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D65" w:rsidRDefault="00385D65" w:rsidP="00385D65"/>
    <w:p w:rsidR="00385D65" w:rsidRDefault="00385D65" w:rsidP="00385D65"/>
    <w:p w:rsidR="00385D65" w:rsidRDefault="00385D65" w:rsidP="00385D65"/>
    <w:p w:rsidR="00385D65" w:rsidRDefault="00385D65" w:rsidP="00385D65"/>
    <w:p w:rsidR="00385D65" w:rsidRDefault="00385D65" w:rsidP="00385D65"/>
    <w:p w:rsidR="00385D65" w:rsidRDefault="00385D65" w:rsidP="00385D65"/>
    <w:p w:rsidR="00385D65" w:rsidRDefault="00385D65" w:rsidP="00385D65"/>
    <w:p w:rsidR="00385D65" w:rsidRDefault="00385D65" w:rsidP="00385D65"/>
    <w:p w:rsidR="00385D65" w:rsidRDefault="00385D65" w:rsidP="00385D65"/>
    <w:p w:rsidR="00385D65" w:rsidRDefault="00385D65" w:rsidP="00385D65"/>
    <w:p w:rsidR="00385D65" w:rsidRDefault="00385D65" w:rsidP="00385D65"/>
    <w:p w:rsidR="00385D65" w:rsidRDefault="00385D65" w:rsidP="00385D65"/>
    <w:tbl>
      <w:tblPr>
        <w:tblW w:w="10089" w:type="dxa"/>
        <w:tblLook w:val="01E0" w:firstRow="1" w:lastRow="1" w:firstColumn="1" w:lastColumn="1" w:noHBand="0" w:noVBand="0"/>
      </w:tblPr>
      <w:tblGrid>
        <w:gridCol w:w="10089"/>
      </w:tblGrid>
      <w:tr w:rsidR="00385D65" w:rsidRPr="004F65E4" w:rsidTr="00CD4AD6">
        <w:tc>
          <w:tcPr>
            <w:tcW w:w="10089" w:type="dxa"/>
          </w:tcPr>
          <w:p w:rsidR="00385D65" w:rsidRPr="001511A6" w:rsidRDefault="00385D65" w:rsidP="00CD4AD6">
            <w:pPr>
              <w:spacing w:before="380" w:line="280" w:lineRule="exact"/>
              <w:jc w:val="right"/>
              <w:rPr>
                <w:rFonts w:ascii="Tahoma" w:hAnsi="Tahoma" w:cs="Tahoma"/>
                <w:b/>
                <w:bCs/>
                <w:iCs/>
                <w:color w:val="243285"/>
                <w:sz w:val="32"/>
                <w:szCs w:val="32"/>
                <w:lang w:val="en-US"/>
              </w:rPr>
            </w:pPr>
          </w:p>
          <w:p w:rsidR="00385D65" w:rsidRPr="004F65E4" w:rsidRDefault="00385D65" w:rsidP="00385D65">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S</w:t>
            </w:r>
            <w:r w:rsidRPr="004F65E4">
              <w:rPr>
                <w:rFonts w:ascii="Tahoma" w:hAnsi="Tahoma" w:cs="Tahoma"/>
                <w:b/>
                <w:bCs/>
                <w:iCs/>
                <w:color w:val="243285"/>
                <w:sz w:val="36"/>
                <w:szCs w:val="36"/>
              </w:rPr>
              <w:t>.</w:t>
            </w:r>
            <w:r>
              <w:rPr>
                <w:rFonts w:ascii="Tahoma" w:hAnsi="Tahoma" w:cs="Tahoma"/>
                <w:b/>
                <w:bCs/>
                <w:iCs/>
                <w:color w:val="243285"/>
                <w:sz w:val="36"/>
                <w:szCs w:val="36"/>
              </w:rPr>
              <w:t>732-1</w:t>
            </w:r>
          </w:p>
          <w:p w:rsidR="00385D65" w:rsidRPr="004F65E4" w:rsidRDefault="00385D65" w:rsidP="00385D65">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12</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385D65" w:rsidRPr="003967ED" w:rsidTr="00CD4AD6">
        <w:tc>
          <w:tcPr>
            <w:tcW w:w="10089" w:type="dxa"/>
          </w:tcPr>
          <w:p w:rsidR="00385D65" w:rsidRPr="00385D65" w:rsidRDefault="00385D65" w:rsidP="00CD4AD6">
            <w:pPr>
              <w:spacing w:before="80" w:line="500" w:lineRule="exact"/>
              <w:jc w:val="right"/>
              <w:rPr>
                <w:rFonts w:ascii="Tahoma" w:hAnsi="Tahoma" w:cs="Tahoma"/>
                <w:b/>
                <w:bCs/>
                <w:iCs/>
                <w:color w:val="243285"/>
                <w:sz w:val="44"/>
                <w:szCs w:val="44"/>
                <w:lang w:val="en-US"/>
              </w:rPr>
            </w:pPr>
          </w:p>
          <w:p w:rsidR="00385D65" w:rsidRPr="001511A6" w:rsidRDefault="00385D65" w:rsidP="00385D65">
            <w:pPr>
              <w:spacing w:before="80" w:line="500" w:lineRule="exact"/>
              <w:jc w:val="right"/>
              <w:rPr>
                <w:rFonts w:ascii="Tahoma" w:hAnsi="Tahoma" w:cs="Tahoma"/>
                <w:b/>
                <w:bCs/>
                <w:iCs/>
                <w:color w:val="243285"/>
                <w:sz w:val="44"/>
                <w:szCs w:val="44"/>
                <w:lang w:val="en-US"/>
              </w:rPr>
            </w:pPr>
            <w:r w:rsidRPr="00385D65">
              <w:rPr>
                <w:rFonts w:ascii="Tahoma" w:hAnsi="Tahoma" w:cs="Tahoma"/>
                <w:b/>
                <w:bCs/>
                <w:iCs/>
                <w:color w:val="243285"/>
                <w:sz w:val="44"/>
                <w:szCs w:val="44"/>
                <w:lang w:val="en-GB"/>
              </w:rPr>
              <w:t xml:space="preserve">Method for statistical processing of earth station antenna side-lobe peaks to determine excess over antenna </w:t>
            </w:r>
            <w:r w:rsidRPr="00385D65">
              <w:rPr>
                <w:rFonts w:ascii="Tahoma" w:hAnsi="Tahoma" w:cs="Tahoma"/>
                <w:b/>
                <w:bCs/>
                <w:iCs/>
                <w:color w:val="243285"/>
                <w:sz w:val="44"/>
                <w:szCs w:val="44"/>
                <w:lang w:val="en-GB"/>
              </w:rPr>
              <w:br/>
              <w:t xml:space="preserve">reference patterns and conditions for </w:t>
            </w:r>
            <w:r w:rsidRPr="00385D65">
              <w:rPr>
                <w:rFonts w:ascii="Tahoma" w:hAnsi="Tahoma" w:cs="Tahoma"/>
                <w:b/>
                <w:bCs/>
                <w:iCs/>
                <w:color w:val="243285"/>
                <w:sz w:val="44"/>
                <w:szCs w:val="44"/>
                <w:lang w:val="en-GB"/>
              </w:rPr>
              <w:br/>
              <w:t>acceptability of any excess</w:t>
            </w:r>
          </w:p>
          <w:p w:rsidR="00385D65" w:rsidRPr="001511A6" w:rsidRDefault="00385D65" w:rsidP="00CD4AD6">
            <w:pPr>
              <w:spacing w:before="80" w:line="500" w:lineRule="exact"/>
              <w:jc w:val="right"/>
              <w:rPr>
                <w:rFonts w:ascii="Tahoma" w:hAnsi="Tahoma" w:cs="Tahoma"/>
                <w:b/>
                <w:bCs/>
                <w:iCs/>
                <w:color w:val="243285"/>
                <w:sz w:val="40"/>
                <w:szCs w:val="40"/>
                <w:lang w:val="en-US"/>
              </w:rPr>
            </w:pPr>
          </w:p>
        </w:tc>
      </w:tr>
      <w:tr w:rsidR="00385D65" w:rsidRPr="005300B1" w:rsidTr="00CD4AD6">
        <w:tc>
          <w:tcPr>
            <w:tcW w:w="10089" w:type="dxa"/>
          </w:tcPr>
          <w:p w:rsidR="00385D65" w:rsidRPr="001637F2" w:rsidRDefault="00385D65" w:rsidP="00CD4AD6">
            <w:pPr>
              <w:spacing w:before="80" w:after="180" w:line="360" w:lineRule="exact"/>
              <w:ind w:right="720"/>
              <w:rPr>
                <w:rFonts w:ascii="Tahoma" w:hAnsi="Tahoma" w:cs="Tahoma"/>
                <w:b/>
                <w:bCs/>
                <w:iCs/>
                <w:color w:val="243285"/>
                <w:sz w:val="36"/>
                <w:szCs w:val="36"/>
                <w:lang w:val="en-US"/>
              </w:rPr>
            </w:pPr>
          </w:p>
          <w:p w:rsidR="00385D65" w:rsidRPr="001637F2" w:rsidRDefault="00385D65" w:rsidP="00CD4AD6">
            <w:pPr>
              <w:spacing w:before="80" w:after="180" w:line="360" w:lineRule="exact"/>
              <w:ind w:right="720"/>
              <w:rPr>
                <w:rFonts w:ascii="Tahoma" w:hAnsi="Tahoma" w:cs="Tahoma"/>
                <w:b/>
                <w:bCs/>
                <w:iCs/>
                <w:color w:val="243285"/>
                <w:sz w:val="36"/>
                <w:szCs w:val="36"/>
                <w:lang w:val="en-US"/>
              </w:rPr>
            </w:pPr>
          </w:p>
          <w:p w:rsidR="00385D65" w:rsidRPr="001637F2" w:rsidRDefault="00385D65" w:rsidP="00CD4AD6">
            <w:pPr>
              <w:spacing w:before="80" w:after="180" w:line="360" w:lineRule="exact"/>
              <w:ind w:right="720"/>
              <w:rPr>
                <w:rFonts w:ascii="Tahoma" w:hAnsi="Tahoma" w:cs="Tahoma"/>
                <w:b/>
                <w:bCs/>
                <w:iCs/>
                <w:color w:val="243285"/>
                <w:sz w:val="36"/>
                <w:szCs w:val="36"/>
                <w:lang w:val="en-US"/>
              </w:rPr>
            </w:pPr>
          </w:p>
          <w:p w:rsidR="00385D65" w:rsidRPr="001637F2" w:rsidRDefault="00385D65" w:rsidP="00CD4AD6">
            <w:pPr>
              <w:spacing w:before="80" w:after="180" w:line="360" w:lineRule="exact"/>
              <w:ind w:right="720"/>
              <w:rPr>
                <w:rFonts w:ascii="Tahoma" w:hAnsi="Tahoma" w:cs="Tahoma"/>
                <w:b/>
                <w:bCs/>
                <w:iCs/>
                <w:color w:val="243285"/>
                <w:sz w:val="36"/>
                <w:szCs w:val="36"/>
                <w:lang w:val="en-US"/>
              </w:rPr>
            </w:pPr>
          </w:p>
          <w:p w:rsidR="00385D65" w:rsidRPr="001511A6" w:rsidRDefault="00385D65" w:rsidP="00CD4AD6">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 xml:space="preserve"> Series</w:t>
            </w:r>
          </w:p>
          <w:p w:rsidR="00385D65" w:rsidRPr="0041667C" w:rsidRDefault="00385D65" w:rsidP="003967ED">
            <w:pPr>
              <w:spacing w:before="80" w:line="360" w:lineRule="exact"/>
              <w:jc w:val="right"/>
              <w:rPr>
                <w:rFonts w:ascii="Tahoma" w:hAnsi="Tahoma" w:cs="Tahoma"/>
                <w:b/>
                <w:bCs/>
                <w:iCs/>
                <w:color w:val="243285"/>
                <w:sz w:val="36"/>
                <w:szCs w:val="36"/>
                <w:lang w:val="en-US"/>
              </w:rPr>
            </w:pPr>
            <w:r>
              <w:rPr>
                <w:rFonts w:ascii="Tahoma" w:hAnsi="Tahoma" w:cs="Tahoma"/>
                <w:b/>
                <w:bCs/>
                <w:color w:val="243285"/>
                <w:sz w:val="36"/>
                <w:szCs w:val="36"/>
                <w:lang w:val="en-US"/>
              </w:rPr>
              <w:t>Fixed-</w:t>
            </w:r>
            <w:r w:rsidRPr="0041667C">
              <w:rPr>
                <w:rFonts w:ascii="Tahoma" w:hAnsi="Tahoma" w:cs="Tahoma"/>
                <w:b/>
                <w:bCs/>
                <w:color w:val="243285"/>
                <w:sz w:val="36"/>
                <w:szCs w:val="36"/>
                <w:lang w:val="en-US"/>
              </w:rPr>
              <w:t>satellite service</w:t>
            </w:r>
            <w:bookmarkStart w:id="0" w:name="_GoBack"/>
            <w:bookmarkEnd w:id="0"/>
          </w:p>
        </w:tc>
      </w:tr>
    </w:tbl>
    <w:p w:rsidR="00385D65" w:rsidRDefault="00385D65" w:rsidP="00385D65">
      <w:pPr>
        <w:spacing w:before="80"/>
        <w:rPr>
          <w:i/>
          <w:sz w:val="22"/>
          <w:lang w:val="en-US"/>
        </w:rPr>
      </w:pPr>
    </w:p>
    <w:p w:rsidR="00385D65" w:rsidRDefault="00385D65" w:rsidP="00385D65">
      <w:pPr>
        <w:spacing w:before="80"/>
        <w:rPr>
          <w:i/>
          <w:sz w:val="22"/>
          <w:lang w:val="en-US"/>
        </w:rPr>
      </w:pPr>
    </w:p>
    <w:p w:rsidR="00385D65" w:rsidRDefault="00385D65" w:rsidP="00385D65">
      <w:pPr>
        <w:spacing w:before="80"/>
        <w:rPr>
          <w:i/>
          <w:sz w:val="22"/>
          <w:lang w:val="en-US"/>
        </w:rPr>
      </w:pPr>
    </w:p>
    <w:p w:rsidR="00385D65" w:rsidRDefault="00385D65" w:rsidP="00385D65">
      <w:pPr>
        <w:spacing w:before="80"/>
        <w:rPr>
          <w:i/>
          <w:sz w:val="22"/>
          <w:lang w:val="en-US"/>
        </w:rPr>
      </w:pPr>
    </w:p>
    <w:p w:rsidR="00385D65" w:rsidRDefault="00385D65" w:rsidP="00385D65">
      <w:pPr>
        <w:pStyle w:val="Equation"/>
        <w:tabs>
          <w:tab w:val="clear" w:pos="4820"/>
          <w:tab w:val="clear" w:pos="9639"/>
          <w:tab w:val="left" w:pos="1191"/>
          <w:tab w:val="left" w:pos="1588"/>
          <w:tab w:val="left" w:pos="1985"/>
        </w:tabs>
        <w:rPr>
          <w:rFonts w:ascii="Palatino Linotype" w:hAnsi="Palatino Linotype"/>
          <w:lang w:val="en-US"/>
        </w:rPr>
        <w:sectPr w:rsidR="00385D65">
          <w:headerReference w:type="even" r:id="rId7"/>
          <w:headerReference w:type="default" r:id="rId8"/>
          <w:pgSz w:w="11907" w:h="16840" w:code="9"/>
          <w:pgMar w:top="1089" w:right="1089" w:bottom="284" w:left="1089" w:header="567" w:footer="284" w:gutter="0"/>
          <w:pgNumType w:start="1"/>
          <w:cols w:space="720"/>
        </w:sectPr>
      </w:pPr>
    </w:p>
    <w:p w:rsidR="00385D65" w:rsidRPr="00586EF8" w:rsidRDefault="00385D65" w:rsidP="00385D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385D65" w:rsidRDefault="00385D65" w:rsidP="00385D6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85D65" w:rsidRDefault="00385D65" w:rsidP="00385D6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385D65" w:rsidRPr="00B714F3" w:rsidRDefault="00385D65" w:rsidP="00385D65">
      <w:pPr>
        <w:pStyle w:val="Heading1"/>
        <w:spacing w:before="680"/>
        <w:jc w:val="center"/>
        <w:rPr>
          <w:szCs w:val="24"/>
          <w:lang w:val="en-US"/>
        </w:rPr>
      </w:pPr>
      <w:r w:rsidRPr="00B714F3">
        <w:rPr>
          <w:szCs w:val="24"/>
          <w:lang w:val="en-US"/>
        </w:rPr>
        <w:t>Policy on Intellectual Property Right (IPR)</w:t>
      </w:r>
    </w:p>
    <w:p w:rsidR="00385D65" w:rsidRPr="00B714F3" w:rsidRDefault="00385D65" w:rsidP="00385D65">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385D65" w:rsidRDefault="00385D65" w:rsidP="00385D65">
      <w:pPr>
        <w:jc w:val="center"/>
        <w:rPr>
          <w:sz w:val="22"/>
          <w:lang w:val="en-US"/>
        </w:rPr>
      </w:pPr>
    </w:p>
    <w:p w:rsidR="00385D65" w:rsidRDefault="00385D65" w:rsidP="00385D6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85D65" w:rsidRPr="003967ED" w:rsidTr="00CD4AD6">
        <w:tc>
          <w:tcPr>
            <w:tcW w:w="9360" w:type="dxa"/>
            <w:gridSpan w:val="2"/>
          </w:tcPr>
          <w:p w:rsidR="00385D65" w:rsidRPr="00036EE3" w:rsidRDefault="00385D65" w:rsidP="00CD4AD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385D65" w:rsidRPr="00036EE3" w:rsidRDefault="00385D65" w:rsidP="00CD4A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b w:val="0"/>
                  <w:sz w:val="18"/>
                  <w:szCs w:val="18"/>
                  <w:lang w:val="en-US"/>
                </w:rPr>
                <w:t>http://www.itu.int/publ/R-REC/en</w:t>
              </w:r>
            </w:hyperlink>
            <w:r w:rsidRPr="00CE0A43">
              <w:rPr>
                <w:b w:val="0"/>
                <w:sz w:val="18"/>
                <w:szCs w:val="18"/>
                <w:lang w:val="en-US"/>
              </w:rPr>
              <w:t>)</w:t>
            </w:r>
          </w:p>
        </w:tc>
      </w:tr>
      <w:tr w:rsidR="00385D65" w:rsidRPr="00036EE3" w:rsidTr="00CD4AD6">
        <w:tc>
          <w:tcPr>
            <w:tcW w:w="1140" w:type="dxa"/>
          </w:tcPr>
          <w:p w:rsidR="00385D65" w:rsidRPr="00036EE3" w:rsidRDefault="00385D65" w:rsidP="00CD4AD6">
            <w:pPr>
              <w:spacing w:before="200" w:after="100"/>
              <w:ind w:left="57"/>
              <w:rPr>
                <w:b/>
                <w:bCs/>
                <w:sz w:val="20"/>
                <w:lang w:val="en-US"/>
              </w:rPr>
            </w:pPr>
            <w:r w:rsidRPr="00036EE3">
              <w:rPr>
                <w:b/>
                <w:bCs/>
                <w:sz w:val="20"/>
                <w:lang w:val="en-US"/>
              </w:rPr>
              <w:t>Series</w:t>
            </w:r>
          </w:p>
        </w:tc>
        <w:tc>
          <w:tcPr>
            <w:tcW w:w="8220" w:type="dxa"/>
          </w:tcPr>
          <w:p w:rsidR="00385D65" w:rsidRPr="00036EE3" w:rsidRDefault="00385D65" w:rsidP="00CD4A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385D65" w:rsidRPr="00036EE3" w:rsidTr="00CD4AD6">
        <w:tc>
          <w:tcPr>
            <w:tcW w:w="1140" w:type="dxa"/>
          </w:tcPr>
          <w:p w:rsidR="00385D65" w:rsidRPr="00036EE3" w:rsidRDefault="00385D65" w:rsidP="00CD4AD6">
            <w:pPr>
              <w:spacing w:before="30" w:after="30"/>
              <w:ind w:left="57"/>
              <w:jc w:val="left"/>
              <w:rPr>
                <w:b/>
                <w:bCs/>
                <w:sz w:val="20"/>
                <w:lang w:val="en-US"/>
              </w:rPr>
            </w:pPr>
            <w:r w:rsidRPr="00036EE3">
              <w:rPr>
                <w:b/>
                <w:bCs/>
                <w:sz w:val="20"/>
                <w:lang w:val="en-US"/>
              </w:rPr>
              <w:t>BO</w:t>
            </w:r>
          </w:p>
        </w:tc>
        <w:tc>
          <w:tcPr>
            <w:tcW w:w="8220" w:type="dxa"/>
          </w:tcPr>
          <w:p w:rsidR="00385D65" w:rsidRPr="00036EE3" w:rsidRDefault="00385D65" w:rsidP="00CD4A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385D65" w:rsidRPr="003967ED" w:rsidTr="00CD4AD6">
        <w:tc>
          <w:tcPr>
            <w:tcW w:w="1140" w:type="dxa"/>
            <w:tcBorders>
              <w:bottom w:val="nil"/>
            </w:tcBorders>
          </w:tcPr>
          <w:p w:rsidR="00385D65" w:rsidRPr="00036EE3" w:rsidRDefault="00385D65" w:rsidP="00CD4AD6">
            <w:pPr>
              <w:spacing w:before="30" w:after="30"/>
              <w:ind w:left="57"/>
              <w:jc w:val="left"/>
              <w:rPr>
                <w:b/>
                <w:bCs/>
                <w:sz w:val="20"/>
                <w:lang w:val="en-US"/>
              </w:rPr>
            </w:pPr>
            <w:r w:rsidRPr="00036EE3">
              <w:rPr>
                <w:b/>
                <w:bCs/>
                <w:sz w:val="20"/>
                <w:lang w:val="en-US"/>
              </w:rPr>
              <w:t>BR</w:t>
            </w:r>
          </w:p>
        </w:tc>
        <w:tc>
          <w:tcPr>
            <w:tcW w:w="8220" w:type="dxa"/>
            <w:tcBorders>
              <w:bottom w:val="nil"/>
            </w:tcBorders>
          </w:tcPr>
          <w:p w:rsidR="00385D65" w:rsidRPr="00036EE3" w:rsidRDefault="00385D65" w:rsidP="00CD4A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385D65" w:rsidRPr="00036EE3" w:rsidTr="00CD4AD6">
        <w:tc>
          <w:tcPr>
            <w:tcW w:w="1140" w:type="dxa"/>
            <w:tcBorders>
              <w:top w:val="nil"/>
              <w:bottom w:val="nil"/>
            </w:tcBorders>
            <w:shd w:val="clear" w:color="auto" w:fill="auto"/>
          </w:tcPr>
          <w:p w:rsidR="00385D65" w:rsidRPr="007D224F" w:rsidRDefault="00385D65" w:rsidP="00CD4AD6">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385D65" w:rsidRPr="007D224F" w:rsidRDefault="00385D65" w:rsidP="00CD4A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385D65" w:rsidRPr="00ED2695" w:rsidTr="00CD4AD6">
        <w:tc>
          <w:tcPr>
            <w:tcW w:w="1140" w:type="dxa"/>
            <w:tcBorders>
              <w:top w:val="nil"/>
              <w:bottom w:val="nil"/>
            </w:tcBorders>
            <w:shd w:val="clear" w:color="auto" w:fill="auto"/>
          </w:tcPr>
          <w:p w:rsidR="00385D65" w:rsidRPr="00ED2695" w:rsidRDefault="00385D65" w:rsidP="00CD4AD6">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385D65" w:rsidRPr="00ED2695" w:rsidRDefault="00385D65" w:rsidP="00CD4A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385D65" w:rsidRPr="007D224F" w:rsidTr="00CD4AD6">
        <w:tc>
          <w:tcPr>
            <w:tcW w:w="1140" w:type="dxa"/>
            <w:tcBorders>
              <w:top w:val="nil"/>
              <w:bottom w:val="nil"/>
            </w:tcBorders>
            <w:shd w:val="clear" w:color="auto" w:fill="auto"/>
          </w:tcPr>
          <w:p w:rsidR="00385D65" w:rsidRPr="0041667C" w:rsidRDefault="00385D65" w:rsidP="00CD4AD6">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385D65" w:rsidRPr="0041667C" w:rsidRDefault="00385D65" w:rsidP="00CD4A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Pr>
                <w:rFonts w:hAnsi="Times New Roman Bold"/>
                <w:sz w:val="20"/>
                <w:lang w:val="fr-CH"/>
              </w:rPr>
              <w:t>Fixed service</w:t>
            </w:r>
          </w:p>
        </w:tc>
      </w:tr>
      <w:tr w:rsidR="00385D65" w:rsidRPr="0041667C" w:rsidTr="00CD4AD6">
        <w:tc>
          <w:tcPr>
            <w:tcW w:w="1140" w:type="dxa"/>
            <w:tcBorders>
              <w:top w:val="nil"/>
              <w:bottom w:val="nil"/>
            </w:tcBorders>
            <w:shd w:val="clear" w:color="auto" w:fill="FFFFFF"/>
          </w:tcPr>
          <w:p w:rsidR="00385D65" w:rsidRPr="0041667C" w:rsidRDefault="00385D65" w:rsidP="00CD4AD6">
            <w:pPr>
              <w:spacing w:before="30" w:after="30"/>
              <w:ind w:left="57"/>
              <w:jc w:val="left"/>
              <w:rPr>
                <w:rFonts w:hAnsi="Times New Roman Bold"/>
                <w:b/>
                <w:bCs/>
                <w:sz w:val="20"/>
                <w:lang w:val="fr-CH"/>
              </w:rPr>
            </w:pPr>
            <w:r>
              <w:rPr>
                <w:rFonts w:hAnsi="Times New Roman Bold"/>
                <w:b/>
                <w:bCs/>
                <w:sz w:val="20"/>
                <w:lang w:val="fr-CH"/>
              </w:rPr>
              <w:t>M</w:t>
            </w:r>
          </w:p>
        </w:tc>
        <w:tc>
          <w:tcPr>
            <w:tcW w:w="8220" w:type="dxa"/>
            <w:tcBorders>
              <w:top w:val="nil"/>
              <w:bottom w:val="nil"/>
            </w:tcBorders>
            <w:shd w:val="clear" w:color="auto" w:fill="FFFFFF"/>
          </w:tcPr>
          <w:p w:rsidR="00385D65" w:rsidRPr="00885C3D" w:rsidRDefault="00385D65" w:rsidP="00CD4AD6">
            <w:pPr>
              <w:spacing w:before="30" w:after="30"/>
              <w:jc w:val="left"/>
              <w:rPr>
                <w:color w:val="000000"/>
                <w:sz w:val="20"/>
                <w:lang w:val="en-US"/>
              </w:rPr>
            </w:pPr>
            <w:r w:rsidRPr="00885C3D">
              <w:rPr>
                <w:color w:val="000000"/>
                <w:sz w:val="20"/>
                <w:lang w:val="en-US"/>
              </w:rPr>
              <w:t>Mobile, radiodetermination, amateur and related satellite services</w:t>
            </w:r>
          </w:p>
        </w:tc>
      </w:tr>
      <w:tr w:rsidR="00385D65" w:rsidRPr="00036EE3" w:rsidTr="00CD4AD6">
        <w:tc>
          <w:tcPr>
            <w:tcW w:w="1140" w:type="dxa"/>
            <w:tcBorders>
              <w:top w:val="nil"/>
            </w:tcBorders>
          </w:tcPr>
          <w:p w:rsidR="00385D65" w:rsidRPr="00036EE3" w:rsidRDefault="00385D65" w:rsidP="00CD4AD6">
            <w:pPr>
              <w:spacing w:before="30" w:after="30"/>
              <w:ind w:left="57"/>
              <w:jc w:val="left"/>
              <w:rPr>
                <w:b/>
                <w:bCs/>
                <w:sz w:val="20"/>
                <w:lang w:val="fr-CH"/>
              </w:rPr>
            </w:pPr>
            <w:r w:rsidRPr="00036EE3">
              <w:rPr>
                <w:b/>
                <w:bCs/>
                <w:sz w:val="20"/>
                <w:lang w:val="fr-CH"/>
              </w:rPr>
              <w:t>P</w:t>
            </w:r>
          </w:p>
        </w:tc>
        <w:tc>
          <w:tcPr>
            <w:tcW w:w="8220" w:type="dxa"/>
            <w:tcBorders>
              <w:top w:val="nil"/>
            </w:tcBorders>
          </w:tcPr>
          <w:p w:rsidR="00385D65" w:rsidRPr="00036EE3" w:rsidRDefault="00385D65" w:rsidP="00CD4AD6">
            <w:pPr>
              <w:spacing w:before="30" w:after="30"/>
              <w:jc w:val="left"/>
              <w:rPr>
                <w:sz w:val="20"/>
                <w:lang w:val="fr-CH"/>
              </w:rPr>
            </w:pPr>
            <w:r w:rsidRPr="00036EE3">
              <w:rPr>
                <w:sz w:val="20"/>
                <w:lang w:val="fr-CH"/>
              </w:rPr>
              <w:t>Radiowave propagation</w:t>
            </w:r>
          </w:p>
        </w:tc>
      </w:tr>
      <w:tr w:rsidR="00385D65" w:rsidRPr="00036EE3" w:rsidTr="00CD4AD6">
        <w:tc>
          <w:tcPr>
            <w:tcW w:w="1140" w:type="dxa"/>
          </w:tcPr>
          <w:p w:rsidR="00385D65" w:rsidRPr="00036EE3" w:rsidRDefault="00385D65" w:rsidP="00CD4AD6">
            <w:pPr>
              <w:spacing w:before="30" w:after="30"/>
              <w:ind w:left="57"/>
              <w:jc w:val="left"/>
              <w:rPr>
                <w:b/>
                <w:bCs/>
                <w:sz w:val="20"/>
                <w:lang w:val="en-US"/>
              </w:rPr>
            </w:pPr>
            <w:r w:rsidRPr="00036EE3">
              <w:rPr>
                <w:b/>
                <w:bCs/>
                <w:sz w:val="20"/>
                <w:lang w:val="en-US"/>
              </w:rPr>
              <w:t>RA</w:t>
            </w:r>
          </w:p>
        </w:tc>
        <w:tc>
          <w:tcPr>
            <w:tcW w:w="8220" w:type="dxa"/>
          </w:tcPr>
          <w:p w:rsidR="00385D65" w:rsidRPr="00036EE3" w:rsidRDefault="00385D65" w:rsidP="00CD4A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385D65" w:rsidRPr="00036EE3" w:rsidTr="00CD4AD6">
        <w:tc>
          <w:tcPr>
            <w:tcW w:w="1140" w:type="dxa"/>
            <w:tcBorders>
              <w:bottom w:val="nil"/>
            </w:tcBorders>
          </w:tcPr>
          <w:p w:rsidR="00385D65" w:rsidRPr="00036EE3" w:rsidRDefault="00385D65" w:rsidP="00CD4AD6">
            <w:pPr>
              <w:spacing w:before="30" w:after="30"/>
              <w:ind w:left="57"/>
              <w:jc w:val="left"/>
              <w:rPr>
                <w:b/>
                <w:bCs/>
                <w:sz w:val="20"/>
                <w:lang w:val="en-US"/>
              </w:rPr>
            </w:pPr>
            <w:r w:rsidRPr="00036EE3">
              <w:rPr>
                <w:b/>
                <w:bCs/>
                <w:sz w:val="20"/>
                <w:lang w:val="en-US"/>
              </w:rPr>
              <w:t>RS</w:t>
            </w:r>
          </w:p>
        </w:tc>
        <w:tc>
          <w:tcPr>
            <w:tcW w:w="8220" w:type="dxa"/>
            <w:tcBorders>
              <w:bottom w:val="nil"/>
            </w:tcBorders>
          </w:tcPr>
          <w:p w:rsidR="00385D65" w:rsidRPr="00036EE3" w:rsidRDefault="00385D65" w:rsidP="00CD4A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385D65" w:rsidRPr="00885C3D" w:rsidTr="00CD4AD6">
        <w:tc>
          <w:tcPr>
            <w:tcW w:w="1140" w:type="dxa"/>
            <w:tcBorders>
              <w:top w:val="nil"/>
              <w:bottom w:val="nil"/>
            </w:tcBorders>
            <w:shd w:val="clear" w:color="auto" w:fill="F3F3F3"/>
          </w:tcPr>
          <w:p w:rsidR="00385D65" w:rsidRPr="00885C3D" w:rsidRDefault="00385D65" w:rsidP="00CD4AD6">
            <w:pPr>
              <w:spacing w:before="30" w:after="30"/>
              <w:ind w:left="57"/>
              <w:jc w:val="left"/>
              <w:rPr>
                <w:b/>
                <w:bCs/>
                <w:color w:val="000080"/>
                <w:sz w:val="20"/>
                <w:lang w:val="en-US"/>
              </w:rPr>
            </w:pPr>
            <w:r w:rsidRPr="00885C3D">
              <w:rPr>
                <w:b/>
                <w:bCs/>
                <w:color w:val="000080"/>
                <w:sz w:val="20"/>
                <w:lang w:val="en-US"/>
              </w:rPr>
              <w:t>S</w:t>
            </w:r>
          </w:p>
        </w:tc>
        <w:tc>
          <w:tcPr>
            <w:tcW w:w="8220" w:type="dxa"/>
            <w:tcBorders>
              <w:top w:val="nil"/>
              <w:bottom w:val="nil"/>
            </w:tcBorders>
            <w:shd w:val="clear" w:color="auto" w:fill="F3F3F3"/>
          </w:tcPr>
          <w:p w:rsidR="00385D65" w:rsidRPr="00885C3D" w:rsidRDefault="00385D65" w:rsidP="00CD4AD6">
            <w:pPr>
              <w:spacing w:before="30" w:after="30"/>
              <w:jc w:val="left"/>
              <w:rPr>
                <w:color w:val="000080"/>
                <w:sz w:val="20"/>
                <w:lang w:val="en-US"/>
              </w:rPr>
            </w:pPr>
            <w:r w:rsidRPr="00885C3D">
              <w:rPr>
                <w:color w:val="000080"/>
                <w:sz w:val="20"/>
                <w:lang w:val="en-US"/>
              </w:rPr>
              <w:t>Fixed-satellite service</w:t>
            </w:r>
          </w:p>
        </w:tc>
      </w:tr>
      <w:tr w:rsidR="00385D65" w:rsidRPr="00036EE3" w:rsidTr="00CD4AD6">
        <w:tc>
          <w:tcPr>
            <w:tcW w:w="1140" w:type="dxa"/>
            <w:tcBorders>
              <w:top w:val="nil"/>
            </w:tcBorders>
          </w:tcPr>
          <w:p w:rsidR="00385D65" w:rsidRPr="00036EE3" w:rsidRDefault="00385D65" w:rsidP="00CD4AD6">
            <w:pPr>
              <w:spacing w:before="30" w:after="30"/>
              <w:ind w:left="57"/>
              <w:jc w:val="left"/>
              <w:rPr>
                <w:b/>
                <w:bCs/>
                <w:sz w:val="20"/>
                <w:lang w:val="en-US"/>
              </w:rPr>
            </w:pPr>
            <w:r w:rsidRPr="00036EE3">
              <w:rPr>
                <w:b/>
                <w:bCs/>
                <w:sz w:val="20"/>
                <w:lang w:val="en-US"/>
              </w:rPr>
              <w:t>SA</w:t>
            </w:r>
          </w:p>
        </w:tc>
        <w:tc>
          <w:tcPr>
            <w:tcW w:w="8220" w:type="dxa"/>
            <w:tcBorders>
              <w:top w:val="nil"/>
            </w:tcBorders>
          </w:tcPr>
          <w:p w:rsidR="00385D65" w:rsidRPr="00036EE3" w:rsidRDefault="00385D65" w:rsidP="00CD4AD6">
            <w:pPr>
              <w:spacing w:before="30" w:after="30"/>
              <w:jc w:val="left"/>
              <w:rPr>
                <w:sz w:val="20"/>
                <w:lang w:val="en-US"/>
              </w:rPr>
            </w:pPr>
            <w:r w:rsidRPr="00036EE3">
              <w:rPr>
                <w:sz w:val="20"/>
                <w:lang w:val="en-US"/>
              </w:rPr>
              <w:t>Space applications and meteorology</w:t>
            </w:r>
          </w:p>
        </w:tc>
      </w:tr>
      <w:tr w:rsidR="00385D65" w:rsidRPr="003967ED" w:rsidTr="00CD4AD6">
        <w:tc>
          <w:tcPr>
            <w:tcW w:w="1140" w:type="dxa"/>
            <w:tcBorders>
              <w:bottom w:val="nil"/>
            </w:tcBorders>
          </w:tcPr>
          <w:p w:rsidR="00385D65" w:rsidRPr="00036EE3" w:rsidRDefault="00385D65" w:rsidP="00CD4AD6">
            <w:pPr>
              <w:spacing w:before="30" w:after="30"/>
              <w:ind w:left="57"/>
              <w:jc w:val="left"/>
              <w:rPr>
                <w:b/>
                <w:bCs/>
                <w:sz w:val="20"/>
                <w:lang w:val="en-US"/>
              </w:rPr>
            </w:pPr>
            <w:r w:rsidRPr="00036EE3">
              <w:rPr>
                <w:b/>
                <w:bCs/>
                <w:sz w:val="20"/>
                <w:lang w:val="en-US"/>
              </w:rPr>
              <w:t>SF</w:t>
            </w:r>
          </w:p>
        </w:tc>
        <w:tc>
          <w:tcPr>
            <w:tcW w:w="8220" w:type="dxa"/>
            <w:tcBorders>
              <w:bottom w:val="nil"/>
            </w:tcBorders>
          </w:tcPr>
          <w:p w:rsidR="00385D65" w:rsidRPr="00036EE3" w:rsidRDefault="00385D65" w:rsidP="00CD4AD6">
            <w:pPr>
              <w:spacing w:before="30" w:after="30"/>
              <w:jc w:val="left"/>
              <w:rPr>
                <w:sz w:val="20"/>
                <w:lang w:val="en-US"/>
              </w:rPr>
            </w:pPr>
            <w:r w:rsidRPr="00036EE3">
              <w:rPr>
                <w:sz w:val="20"/>
                <w:lang w:val="en-US"/>
              </w:rPr>
              <w:t>Frequency sharing and coordination between fixed-satellite and fixed service systems</w:t>
            </w:r>
          </w:p>
        </w:tc>
      </w:tr>
      <w:tr w:rsidR="00385D65" w:rsidRPr="00036EE3" w:rsidTr="00CD4AD6">
        <w:tc>
          <w:tcPr>
            <w:tcW w:w="1140" w:type="dxa"/>
            <w:tcBorders>
              <w:top w:val="nil"/>
              <w:bottom w:val="nil"/>
            </w:tcBorders>
            <w:shd w:val="clear" w:color="auto" w:fill="auto"/>
          </w:tcPr>
          <w:p w:rsidR="00385D65" w:rsidRPr="000A4386" w:rsidRDefault="00385D65" w:rsidP="00CD4AD6">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385D65" w:rsidRPr="000A4386" w:rsidRDefault="00385D65" w:rsidP="00CD4AD6">
            <w:pPr>
              <w:spacing w:before="30" w:after="30"/>
              <w:jc w:val="left"/>
              <w:rPr>
                <w:sz w:val="20"/>
                <w:lang w:val="en-US"/>
              </w:rPr>
            </w:pPr>
            <w:r w:rsidRPr="000A4386">
              <w:rPr>
                <w:sz w:val="20"/>
                <w:lang w:val="en-US"/>
              </w:rPr>
              <w:t>Spectrum management</w:t>
            </w:r>
          </w:p>
        </w:tc>
      </w:tr>
      <w:tr w:rsidR="00385D65" w:rsidRPr="00036EE3" w:rsidTr="00CD4AD6">
        <w:tc>
          <w:tcPr>
            <w:tcW w:w="1140" w:type="dxa"/>
            <w:tcBorders>
              <w:top w:val="nil"/>
            </w:tcBorders>
          </w:tcPr>
          <w:p w:rsidR="00385D65" w:rsidRPr="00036EE3" w:rsidRDefault="00385D65" w:rsidP="00CD4AD6">
            <w:pPr>
              <w:spacing w:before="30" w:after="30"/>
              <w:ind w:left="57"/>
              <w:jc w:val="left"/>
              <w:rPr>
                <w:b/>
                <w:bCs/>
                <w:sz w:val="20"/>
                <w:lang w:val="en-US"/>
              </w:rPr>
            </w:pPr>
            <w:r w:rsidRPr="00036EE3">
              <w:rPr>
                <w:b/>
                <w:bCs/>
                <w:sz w:val="20"/>
                <w:lang w:val="en-US"/>
              </w:rPr>
              <w:t>SNG</w:t>
            </w:r>
          </w:p>
        </w:tc>
        <w:tc>
          <w:tcPr>
            <w:tcW w:w="8220" w:type="dxa"/>
            <w:tcBorders>
              <w:top w:val="nil"/>
            </w:tcBorders>
          </w:tcPr>
          <w:p w:rsidR="00385D65" w:rsidRPr="00036EE3" w:rsidRDefault="00385D65" w:rsidP="00CD4AD6">
            <w:pPr>
              <w:spacing w:before="30" w:after="30"/>
              <w:jc w:val="left"/>
              <w:rPr>
                <w:sz w:val="20"/>
                <w:lang w:val="en-US"/>
              </w:rPr>
            </w:pPr>
            <w:r w:rsidRPr="00036EE3">
              <w:rPr>
                <w:sz w:val="20"/>
                <w:lang w:val="en-US"/>
              </w:rPr>
              <w:t>Satellite news gathering</w:t>
            </w:r>
          </w:p>
        </w:tc>
      </w:tr>
      <w:tr w:rsidR="00385D65" w:rsidRPr="003967ED" w:rsidTr="00CD4AD6">
        <w:tc>
          <w:tcPr>
            <w:tcW w:w="1140" w:type="dxa"/>
          </w:tcPr>
          <w:p w:rsidR="00385D65" w:rsidRPr="00036EE3" w:rsidRDefault="00385D65" w:rsidP="00CD4AD6">
            <w:pPr>
              <w:spacing w:before="30" w:after="30"/>
              <w:ind w:left="57"/>
              <w:jc w:val="left"/>
              <w:rPr>
                <w:b/>
                <w:bCs/>
                <w:sz w:val="20"/>
                <w:lang w:val="en-US"/>
              </w:rPr>
            </w:pPr>
            <w:r w:rsidRPr="00036EE3">
              <w:rPr>
                <w:b/>
                <w:bCs/>
                <w:sz w:val="20"/>
                <w:lang w:val="en-US"/>
              </w:rPr>
              <w:t>TF</w:t>
            </w:r>
          </w:p>
        </w:tc>
        <w:tc>
          <w:tcPr>
            <w:tcW w:w="8220" w:type="dxa"/>
          </w:tcPr>
          <w:p w:rsidR="00385D65" w:rsidRPr="00036EE3" w:rsidRDefault="00385D65" w:rsidP="00CD4AD6">
            <w:pPr>
              <w:spacing w:before="30" w:after="30"/>
              <w:jc w:val="left"/>
              <w:rPr>
                <w:sz w:val="20"/>
                <w:lang w:val="en-US"/>
              </w:rPr>
            </w:pPr>
            <w:r w:rsidRPr="00036EE3">
              <w:rPr>
                <w:sz w:val="20"/>
                <w:lang w:val="en-US"/>
              </w:rPr>
              <w:t>Time signals and frequency standards emissions</w:t>
            </w:r>
          </w:p>
        </w:tc>
      </w:tr>
      <w:tr w:rsidR="00385D65" w:rsidRPr="00036EE3" w:rsidTr="00CD4AD6">
        <w:tc>
          <w:tcPr>
            <w:tcW w:w="1140" w:type="dxa"/>
          </w:tcPr>
          <w:p w:rsidR="00385D65" w:rsidRPr="00036EE3" w:rsidRDefault="00385D65" w:rsidP="00CD4AD6">
            <w:pPr>
              <w:spacing w:before="30" w:after="30"/>
              <w:ind w:left="57"/>
              <w:jc w:val="left"/>
              <w:rPr>
                <w:b/>
                <w:bCs/>
                <w:sz w:val="20"/>
                <w:lang w:val="en-US"/>
              </w:rPr>
            </w:pPr>
            <w:r w:rsidRPr="00036EE3">
              <w:rPr>
                <w:b/>
                <w:bCs/>
                <w:sz w:val="20"/>
                <w:lang w:val="en-US"/>
              </w:rPr>
              <w:t>V</w:t>
            </w:r>
          </w:p>
        </w:tc>
        <w:tc>
          <w:tcPr>
            <w:tcW w:w="8220" w:type="dxa"/>
          </w:tcPr>
          <w:p w:rsidR="00385D65" w:rsidRPr="00036EE3" w:rsidRDefault="00385D65" w:rsidP="00CD4AD6">
            <w:pPr>
              <w:spacing w:before="30" w:after="180"/>
              <w:jc w:val="left"/>
              <w:rPr>
                <w:sz w:val="20"/>
                <w:lang w:val="en-US"/>
              </w:rPr>
            </w:pPr>
            <w:r w:rsidRPr="00036EE3">
              <w:rPr>
                <w:sz w:val="20"/>
                <w:lang w:val="en-US"/>
              </w:rPr>
              <w:t>Vocabulary and related subjects</w:t>
            </w:r>
          </w:p>
        </w:tc>
      </w:tr>
    </w:tbl>
    <w:p w:rsidR="00385D65" w:rsidRPr="00036EE3" w:rsidRDefault="00385D65" w:rsidP="00385D6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85D65" w:rsidTr="00CD4AD6">
        <w:tc>
          <w:tcPr>
            <w:tcW w:w="720" w:type="dxa"/>
          </w:tcPr>
          <w:p w:rsidR="00385D65" w:rsidRDefault="00385D65" w:rsidP="00CD4AD6">
            <w:pPr>
              <w:jc w:val="center"/>
              <w:rPr>
                <w:sz w:val="22"/>
                <w:lang w:val="en-US"/>
              </w:rPr>
            </w:pPr>
          </w:p>
        </w:tc>
      </w:tr>
    </w:tbl>
    <w:p w:rsidR="00385D65" w:rsidRPr="00036EE3" w:rsidRDefault="00385D65" w:rsidP="00385D6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85D65" w:rsidRPr="003967ED" w:rsidTr="00CD4AD6">
        <w:tc>
          <w:tcPr>
            <w:tcW w:w="9360" w:type="dxa"/>
          </w:tcPr>
          <w:p w:rsidR="00385D65" w:rsidRPr="002F5199" w:rsidRDefault="00385D65" w:rsidP="00CD4AD6">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385D65" w:rsidRDefault="00385D65" w:rsidP="00385D65">
      <w:pPr>
        <w:spacing w:before="0"/>
        <w:jc w:val="center"/>
        <w:rPr>
          <w:sz w:val="22"/>
          <w:lang w:val="en-US"/>
        </w:rPr>
      </w:pPr>
    </w:p>
    <w:p w:rsidR="00385D65" w:rsidRDefault="00385D65" w:rsidP="00385D65">
      <w:pPr>
        <w:spacing w:before="0"/>
        <w:jc w:val="center"/>
        <w:rPr>
          <w:sz w:val="22"/>
          <w:lang w:val="en-US"/>
        </w:rPr>
      </w:pPr>
    </w:p>
    <w:p w:rsidR="00385D65" w:rsidRPr="002F5199" w:rsidRDefault="00385D65" w:rsidP="00385D65">
      <w:pPr>
        <w:spacing w:before="0"/>
        <w:jc w:val="right"/>
        <w:rPr>
          <w:i/>
          <w:iCs/>
          <w:sz w:val="20"/>
          <w:lang w:val="en-US"/>
        </w:rPr>
      </w:pPr>
      <w:r w:rsidRPr="002F5199">
        <w:rPr>
          <w:i/>
          <w:iCs/>
          <w:sz w:val="20"/>
          <w:lang w:val="en-US"/>
        </w:rPr>
        <w:t>Electronic Publication</w:t>
      </w:r>
    </w:p>
    <w:p w:rsidR="00385D65" w:rsidRPr="002F5199" w:rsidRDefault="00385D65" w:rsidP="005300B1">
      <w:pPr>
        <w:spacing w:before="0"/>
        <w:jc w:val="right"/>
        <w:rPr>
          <w:sz w:val="20"/>
          <w:lang w:val="en-US"/>
        </w:rPr>
      </w:pPr>
      <w:smartTag w:uri="urn:schemas-microsoft-com:office:smarttags" w:element="place">
        <w:smartTag w:uri="urn:schemas-microsoft-com:office:smarttags" w:element="State">
          <w:smartTag w:uri="urn:schemas-microsoft-com:office:smarttags" w:element="City">
            <w:r w:rsidRPr="002F5199">
              <w:rPr>
                <w:sz w:val="20"/>
                <w:lang w:val="en-US"/>
              </w:rPr>
              <w:t>Geneva</w:t>
            </w:r>
          </w:smartTag>
        </w:smartTag>
      </w:smartTag>
      <w:r w:rsidRPr="002F5199">
        <w:rPr>
          <w:sz w:val="20"/>
          <w:lang w:val="en-US"/>
        </w:rPr>
        <w:t>, 20</w:t>
      </w:r>
      <w:r>
        <w:rPr>
          <w:sz w:val="20"/>
          <w:lang w:val="en-US"/>
        </w:rPr>
        <w:t>1</w:t>
      </w:r>
      <w:r w:rsidR="005300B1">
        <w:rPr>
          <w:sz w:val="20"/>
          <w:lang w:val="en-US"/>
        </w:rPr>
        <w:t>3</w:t>
      </w:r>
    </w:p>
    <w:p w:rsidR="00385D65" w:rsidRDefault="00385D65" w:rsidP="00385D65">
      <w:pPr>
        <w:jc w:val="center"/>
        <w:rPr>
          <w:sz w:val="22"/>
          <w:lang w:val="en-US"/>
        </w:rPr>
      </w:pPr>
    </w:p>
    <w:p w:rsidR="00385D65" w:rsidRPr="00470E28" w:rsidRDefault="00385D65" w:rsidP="005300B1">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5300B1">
        <w:rPr>
          <w:sz w:val="20"/>
          <w:lang w:val="en-US"/>
        </w:rPr>
        <w:t>3</w:t>
      </w:r>
    </w:p>
    <w:p w:rsidR="00385D65" w:rsidRPr="00470E28" w:rsidRDefault="00385D65" w:rsidP="00385D65">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385D65" w:rsidRDefault="00385D65" w:rsidP="00385D65">
      <w:pPr>
        <w:spacing w:before="160"/>
        <w:rPr>
          <w:i/>
          <w:sz w:val="20"/>
          <w:lang w:val="en-US"/>
        </w:rPr>
        <w:sectPr w:rsidR="00385D65" w:rsidSect="00885C3D">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385D65" w:rsidRPr="00BF487A" w:rsidRDefault="00385D65" w:rsidP="00385D65">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w:t>
      </w:r>
      <w:r>
        <w:rPr>
          <w:rStyle w:val="href"/>
          <w:lang w:val="en-US"/>
        </w:rPr>
        <w:t>732-1</w:t>
      </w:r>
    </w:p>
    <w:p w:rsidR="00385D65" w:rsidRPr="00806267" w:rsidRDefault="00385D65" w:rsidP="00385D65">
      <w:pPr>
        <w:pStyle w:val="Rectitle"/>
        <w:rPr>
          <w:lang w:val="en-US"/>
        </w:rPr>
      </w:pPr>
      <w:r w:rsidRPr="00806267">
        <w:rPr>
          <w:lang w:val="en-GB"/>
        </w:rPr>
        <w:t xml:space="preserve">Method for statistical processing of earth station antenna side-lobe </w:t>
      </w:r>
      <w:r>
        <w:rPr>
          <w:lang w:val="en-GB"/>
        </w:rPr>
        <w:br/>
      </w:r>
      <w:r w:rsidRPr="00806267">
        <w:rPr>
          <w:lang w:val="en-GB"/>
        </w:rPr>
        <w:t xml:space="preserve">peaks to determine excess over antenna reference patterns </w:t>
      </w:r>
      <w:r>
        <w:rPr>
          <w:lang w:val="en-GB"/>
        </w:rPr>
        <w:br/>
      </w:r>
      <w:r w:rsidRPr="00806267">
        <w:rPr>
          <w:lang w:val="en-GB"/>
        </w:rPr>
        <w:t>and conditions for acceptability of any excess</w:t>
      </w:r>
    </w:p>
    <w:p w:rsidR="00385D65" w:rsidRPr="00385D65" w:rsidRDefault="00385D65" w:rsidP="00385D65">
      <w:pPr>
        <w:pStyle w:val="Recdate"/>
        <w:rPr>
          <w:lang w:val="en-US" w:eastAsia="de-DE"/>
        </w:rPr>
      </w:pPr>
      <w:r w:rsidRPr="00385D65">
        <w:rPr>
          <w:lang w:val="en-US" w:eastAsia="de-DE"/>
        </w:rPr>
        <w:t>(1992-2012)</w:t>
      </w:r>
    </w:p>
    <w:p w:rsidR="00385D65" w:rsidRPr="00385D65" w:rsidRDefault="00385D65" w:rsidP="00385D65">
      <w:pPr>
        <w:pStyle w:val="HeadingSum"/>
        <w:rPr>
          <w:rFonts w:eastAsia="SimSun"/>
          <w:lang w:val="en-US"/>
        </w:rPr>
      </w:pPr>
      <w:r w:rsidRPr="00385D65">
        <w:rPr>
          <w:rFonts w:eastAsia="SimSun"/>
          <w:lang w:val="en-US"/>
        </w:rPr>
        <w:t>Scope</w:t>
      </w:r>
    </w:p>
    <w:p w:rsidR="00385D65" w:rsidRPr="00385D65" w:rsidRDefault="00385D65" w:rsidP="00385D65">
      <w:pPr>
        <w:pStyle w:val="Summary"/>
        <w:rPr>
          <w:lang w:val="en-US"/>
        </w:rPr>
      </w:pPr>
      <w:r w:rsidRPr="00385D65">
        <w:rPr>
          <w:lang w:val="en-US"/>
        </w:rPr>
        <w:t xml:space="preserve">This Recommendation sets forth a method for the statistical processing of earth station antenna side-lobe peaks in order to determine the percentage of side-lobe peaks that exceed antenna reference patterns provided in relevant ITU-R Recommendations. It also recommends conditions under which earth station antenna side-lobe patterns with peaks exceeding recommended envelopes will still be considered as compliant with ITU-R Recommendations that </w:t>
      </w:r>
      <w:r w:rsidRPr="00385D65">
        <w:rPr>
          <w:lang w:val="en-US" w:eastAsia="ja-JP"/>
        </w:rPr>
        <w:t xml:space="preserve">allow </w:t>
      </w:r>
      <w:r w:rsidRPr="00385D65">
        <w:rPr>
          <w:lang w:val="en-US"/>
        </w:rPr>
        <w:t xml:space="preserve">a certain percentage of side-lobe peaks to exceed </w:t>
      </w:r>
      <w:r w:rsidRPr="00385D65">
        <w:rPr>
          <w:lang w:val="en-US" w:eastAsia="ja-JP"/>
        </w:rPr>
        <w:t>the</w:t>
      </w:r>
      <w:r w:rsidRPr="00385D65">
        <w:rPr>
          <w:lang w:val="en-US"/>
        </w:rPr>
        <w:t xml:space="preserve"> recommended envelopes.</w:t>
      </w:r>
    </w:p>
    <w:p w:rsidR="00385D65" w:rsidRPr="00385D65" w:rsidRDefault="00385D65" w:rsidP="00385D65">
      <w:pPr>
        <w:pStyle w:val="Normalaftertitle"/>
        <w:rPr>
          <w:lang w:val="en-US"/>
        </w:rPr>
      </w:pPr>
      <w:r w:rsidRPr="00385D65">
        <w:rPr>
          <w:lang w:val="en-US"/>
        </w:rPr>
        <w:t>The ITU Radiocommunication Assembly,</w:t>
      </w:r>
    </w:p>
    <w:p w:rsidR="00385D65" w:rsidRPr="002D0C0A" w:rsidRDefault="00385D65" w:rsidP="00385D65">
      <w:pPr>
        <w:pStyle w:val="Call"/>
        <w:rPr>
          <w:lang w:val="en-US"/>
        </w:rPr>
      </w:pPr>
      <w:r w:rsidRPr="002D0C0A">
        <w:rPr>
          <w:lang w:val="en-US"/>
        </w:rPr>
        <w:t>considering</w:t>
      </w:r>
    </w:p>
    <w:p w:rsidR="00385D65" w:rsidRPr="002D0C0A" w:rsidRDefault="00385D65" w:rsidP="00385D65">
      <w:pPr>
        <w:rPr>
          <w:lang w:val="en-US"/>
        </w:rPr>
      </w:pPr>
      <w:r w:rsidRPr="00796EF0">
        <w:rPr>
          <w:lang w:val="en-US"/>
        </w:rPr>
        <w:t>a)</w:t>
      </w:r>
      <w:r w:rsidRPr="002D0C0A">
        <w:rPr>
          <w:lang w:val="en-US"/>
        </w:rPr>
        <w:tab/>
        <w:t>that in determining the coordination distance or for assessing the interference between earth stations and radio-relay stations, and for coordination studies between earth stations and space stations of different satellite systems sharing the same frequency bands, it is necessary that the gain of the earth station antenna be known in the relevant direction;</w:t>
      </w:r>
    </w:p>
    <w:p w:rsidR="00385D65" w:rsidRPr="002D0C0A" w:rsidRDefault="00385D65" w:rsidP="00385D65">
      <w:pPr>
        <w:rPr>
          <w:lang w:val="en-US"/>
        </w:rPr>
      </w:pPr>
      <w:r w:rsidRPr="00796EF0">
        <w:rPr>
          <w:lang w:val="en-US"/>
        </w:rPr>
        <w:t>b)</w:t>
      </w:r>
      <w:r w:rsidRPr="002D0C0A">
        <w:rPr>
          <w:lang w:val="en-US"/>
        </w:rPr>
        <w:tab/>
        <w:t>that in the case of interference calculations between satellite systems, it may be desirable to know the radiation characteristics of the antenna in planes other than the principal plane;</w:t>
      </w:r>
    </w:p>
    <w:p w:rsidR="00385D65" w:rsidRPr="002D0C0A" w:rsidRDefault="00385D65" w:rsidP="00385D65">
      <w:pPr>
        <w:rPr>
          <w:lang w:val="en-US"/>
        </w:rPr>
      </w:pPr>
      <w:r w:rsidRPr="00796EF0">
        <w:rPr>
          <w:lang w:val="en-US"/>
        </w:rPr>
        <w:t>c)</w:t>
      </w:r>
      <w:r w:rsidRPr="002D0C0A">
        <w:rPr>
          <w:lang w:val="en-US"/>
        </w:rPr>
        <w:tab/>
        <w:t>that in calculating mutual interference between radio-relay systems and satellite communication systems, particularly when there is more than one interference source, it is preferable that the statistical properties of antenna side-lobe levels, as well as side-lobe peaks, be known;</w:t>
      </w:r>
    </w:p>
    <w:p w:rsidR="00385D65" w:rsidRPr="002D0C0A" w:rsidRDefault="00385D65" w:rsidP="00385D65">
      <w:pPr>
        <w:rPr>
          <w:lang w:val="en-US"/>
        </w:rPr>
      </w:pPr>
      <w:r w:rsidRPr="00796EF0">
        <w:rPr>
          <w:lang w:val="en-US"/>
        </w:rPr>
        <w:t>d)</w:t>
      </w:r>
      <w:r w:rsidRPr="002D0C0A">
        <w:rPr>
          <w:lang w:val="en-US"/>
        </w:rPr>
        <w:tab/>
        <w:t>that while ITU-R Recommendations on antenna radiation patterns may contain provisions allowing side-lobe peaks to exceed the recommended envelope, these provisions have no connection with the calculation of potential mutual interference in the course of coordination;</w:t>
      </w:r>
    </w:p>
    <w:p w:rsidR="00385D65" w:rsidRPr="002D0C0A" w:rsidRDefault="00385D65" w:rsidP="00385D65">
      <w:pPr>
        <w:rPr>
          <w:lang w:val="en-US"/>
        </w:rPr>
      </w:pPr>
      <w:r w:rsidRPr="00796EF0">
        <w:rPr>
          <w:lang w:val="en-US"/>
        </w:rPr>
        <w:t>e)</w:t>
      </w:r>
      <w:r w:rsidRPr="002D0C0A">
        <w:rPr>
          <w:lang w:val="en-US"/>
        </w:rPr>
        <w:tab/>
        <w:t>that, in compiling statistical data, it is necessary to protect the integrity of such data from experimental errors,</w:t>
      </w:r>
    </w:p>
    <w:p w:rsidR="00385D65" w:rsidRPr="002D0C0A" w:rsidRDefault="00385D65" w:rsidP="00385D65">
      <w:pPr>
        <w:pStyle w:val="Call"/>
        <w:rPr>
          <w:lang w:val="en-US"/>
        </w:rPr>
      </w:pPr>
      <w:r w:rsidRPr="002D0C0A">
        <w:rPr>
          <w:lang w:val="en-US"/>
        </w:rPr>
        <w:t>recognizing</w:t>
      </w:r>
    </w:p>
    <w:p w:rsidR="00385D65" w:rsidRPr="002D0C0A" w:rsidRDefault="00385D65" w:rsidP="00385D65">
      <w:pPr>
        <w:rPr>
          <w:lang w:val="en-US"/>
        </w:rPr>
      </w:pPr>
      <w:r w:rsidRPr="00796EF0">
        <w:rPr>
          <w:lang w:val="en-US" w:eastAsia="ja-JP"/>
        </w:rPr>
        <w:t>a)</w:t>
      </w:r>
      <w:r w:rsidRPr="002D0C0A">
        <w:rPr>
          <w:lang w:val="en-US" w:eastAsia="ja-JP"/>
        </w:rPr>
        <w:tab/>
        <w:t xml:space="preserve">that Recommendation ITU-R S.580, which addresses earth station antenna design objectives, allows </w:t>
      </w:r>
      <w:r w:rsidRPr="002D0C0A">
        <w:rPr>
          <w:lang w:val="en-US"/>
        </w:rPr>
        <w:t xml:space="preserve">a certain percentage of side-lobe peaks to exceed </w:t>
      </w:r>
      <w:r w:rsidRPr="002D0C0A">
        <w:rPr>
          <w:lang w:val="en-US" w:eastAsia="ja-JP"/>
        </w:rPr>
        <w:t>the</w:t>
      </w:r>
      <w:r w:rsidRPr="002D0C0A">
        <w:rPr>
          <w:lang w:val="en-US"/>
        </w:rPr>
        <w:t xml:space="preserve"> </w:t>
      </w:r>
      <w:r w:rsidRPr="002D0C0A">
        <w:rPr>
          <w:lang w:val="en-US" w:eastAsia="ja-JP"/>
        </w:rPr>
        <w:t xml:space="preserve">reference </w:t>
      </w:r>
      <w:r w:rsidRPr="002D0C0A">
        <w:rPr>
          <w:lang w:val="en-US"/>
        </w:rPr>
        <w:t>pattern;</w:t>
      </w:r>
    </w:p>
    <w:p w:rsidR="00385D65" w:rsidRPr="002D0C0A" w:rsidRDefault="00385D65" w:rsidP="00385D65">
      <w:pPr>
        <w:rPr>
          <w:lang w:val="en-US"/>
        </w:rPr>
      </w:pPr>
      <w:r w:rsidRPr="00796EF0">
        <w:rPr>
          <w:lang w:val="en-US"/>
        </w:rPr>
        <w:t>b)</w:t>
      </w:r>
      <w:r w:rsidRPr="002D0C0A">
        <w:rPr>
          <w:lang w:val="en-US"/>
        </w:rPr>
        <w:tab/>
        <w:t>that Recommendations containing reference antenna patterns used for interference analysis and coordination between geostationary-satellite networks allow side-lobe peaks to exceed the reference pattern only under specified circumstances (e.g. in the spillover regions, as Recommendation ITU-R S.731, and local ground reflections at large off-axis angles, as Recommendations ITU-R S.465 and ITU-R S.1855),</w:t>
      </w:r>
    </w:p>
    <w:p w:rsidR="00385D65" w:rsidRPr="002D0C0A" w:rsidRDefault="00385D65" w:rsidP="005300B1">
      <w:pPr>
        <w:pStyle w:val="Call"/>
        <w:rPr>
          <w:lang w:val="en-US"/>
        </w:rPr>
      </w:pPr>
      <w:r w:rsidRPr="002D0C0A">
        <w:rPr>
          <w:lang w:val="en-US"/>
        </w:rPr>
        <w:lastRenderedPageBreak/>
        <w:t>recommends</w:t>
      </w:r>
    </w:p>
    <w:p w:rsidR="00385D65" w:rsidRPr="002D0C0A" w:rsidRDefault="00385D65" w:rsidP="005300B1">
      <w:pPr>
        <w:keepNext/>
        <w:keepLines/>
        <w:rPr>
          <w:lang w:val="en-US"/>
        </w:rPr>
      </w:pPr>
      <w:r w:rsidRPr="0083385A">
        <w:rPr>
          <w:b/>
          <w:lang w:val="en-US"/>
        </w:rPr>
        <w:t>1</w:t>
      </w:r>
      <w:r w:rsidRPr="002D0C0A">
        <w:rPr>
          <w:lang w:val="en-US"/>
        </w:rPr>
        <w:tab/>
        <w:t>that the following method should be used for processing measured data on side-lobes of earth station antennas</w:t>
      </w:r>
      <w:r w:rsidRPr="002D0C0A">
        <w:rPr>
          <w:lang w:val="en-US" w:eastAsia="ja-JP"/>
        </w:rPr>
        <w:t xml:space="preserve"> in the case where ITU-R recommended reference antenna radiation patterns allow </w:t>
      </w:r>
      <w:r w:rsidRPr="002D0C0A">
        <w:rPr>
          <w:lang w:val="en-US"/>
        </w:rPr>
        <w:t xml:space="preserve">a certain percentage of side-lobe peaks to exceed </w:t>
      </w:r>
      <w:r w:rsidRPr="002D0C0A">
        <w:rPr>
          <w:lang w:val="en-US" w:eastAsia="ja-JP"/>
        </w:rPr>
        <w:t>the</w:t>
      </w:r>
      <w:r w:rsidRPr="002D0C0A">
        <w:rPr>
          <w:lang w:val="en-US"/>
        </w:rPr>
        <w:t xml:space="preserve"> pattern:</w:t>
      </w:r>
    </w:p>
    <w:p w:rsidR="00385D65" w:rsidRPr="002D0C0A" w:rsidRDefault="00385D65" w:rsidP="00385D65">
      <w:pPr>
        <w:pStyle w:val="enumlev1"/>
        <w:rPr>
          <w:b/>
          <w:iCs/>
          <w:lang w:val="en-US"/>
        </w:rPr>
      </w:pPr>
      <w:r w:rsidRPr="0083385A">
        <w:rPr>
          <w:b/>
          <w:iCs/>
          <w:lang w:val="en-US"/>
        </w:rPr>
        <w:t>1.1</w:t>
      </w:r>
      <w:r w:rsidRPr="002D0C0A">
        <w:rPr>
          <w:lang w:val="en-US"/>
        </w:rPr>
        <w:tab/>
        <w:t>that a side-lobe peak be defined as a local gain maximum for which an increase or a decrease in off-axis angle shows a reduction in gain level of at least 2 dB</w:t>
      </w:r>
      <w:r w:rsidR="005300B1">
        <w:rPr>
          <w:lang w:val="en-US"/>
        </w:rPr>
        <w:t xml:space="preserve"> (see Note 1)</w:t>
      </w:r>
      <w:r w:rsidRPr="002D0C0A">
        <w:rPr>
          <w:lang w:val="en-US"/>
        </w:rPr>
        <w:t>;</w:t>
      </w:r>
    </w:p>
    <w:p w:rsidR="00385D65" w:rsidRDefault="00385D65" w:rsidP="00385D65">
      <w:pPr>
        <w:pStyle w:val="enumlev1"/>
        <w:rPr>
          <w:lang w:val="en-US"/>
        </w:rPr>
      </w:pPr>
      <w:r w:rsidRPr="0083385A">
        <w:rPr>
          <w:b/>
          <w:iCs/>
          <w:lang w:val="en-US"/>
        </w:rPr>
        <w:t>1.2</w:t>
      </w:r>
      <w:r w:rsidRPr="002D0C0A">
        <w:rPr>
          <w:lang w:val="en-US"/>
        </w:rPr>
        <w:tab/>
        <w:t>the angular regions (sample windows) within which side-lobe peak samples are taken should be def</w:t>
      </w:r>
      <w:r w:rsidR="005300B1">
        <w:rPr>
          <w:lang w:val="en-US"/>
        </w:rPr>
        <w:t>ined as those shown in Table 2;</w:t>
      </w:r>
    </w:p>
    <w:p w:rsidR="005300B1" w:rsidRPr="002D0C0A" w:rsidRDefault="005300B1" w:rsidP="005300B1">
      <w:pPr>
        <w:pStyle w:val="Note"/>
        <w:rPr>
          <w:szCs w:val="24"/>
          <w:lang w:val="en-US"/>
        </w:rPr>
      </w:pPr>
      <w:r>
        <w:rPr>
          <w:lang w:val="en-US"/>
        </w:rPr>
        <w:t>NOTE 1 – These "peaks" can be either above or below the allowed reference antenna pattern.</w:t>
      </w:r>
    </w:p>
    <w:p w:rsidR="00385D65" w:rsidRPr="002D0C0A" w:rsidRDefault="00385D65" w:rsidP="00385D65">
      <w:pPr>
        <w:rPr>
          <w:b/>
          <w:lang w:val="en-US"/>
        </w:rPr>
      </w:pPr>
      <w:r w:rsidRPr="0083385A">
        <w:rPr>
          <w:b/>
          <w:lang w:val="en-US"/>
        </w:rPr>
        <w:t>2</w:t>
      </w:r>
      <w:r w:rsidRPr="002D0C0A">
        <w:rPr>
          <w:lang w:val="en-US"/>
        </w:rPr>
        <w:tab/>
        <w:t>that measurement samples affected by experimental errors should be disregarded;</w:t>
      </w:r>
    </w:p>
    <w:p w:rsidR="00385D65" w:rsidRPr="002D0C0A" w:rsidRDefault="00385D65" w:rsidP="00385D65">
      <w:pPr>
        <w:rPr>
          <w:lang w:val="en-US"/>
        </w:rPr>
      </w:pPr>
      <w:r w:rsidRPr="0083385A">
        <w:rPr>
          <w:b/>
          <w:lang w:val="en-US"/>
        </w:rPr>
        <w:t>3</w:t>
      </w:r>
      <w:r w:rsidRPr="002D0C0A">
        <w:rPr>
          <w:lang w:val="en-US"/>
        </w:rPr>
        <w:tab/>
        <w:t>that the minimum angular resolution of antenna side-lobes measurement in Table 1 should be used so that all side-lobes are captured:</w:t>
      </w:r>
    </w:p>
    <w:p w:rsidR="00385D65" w:rsidRPr="00950633" w:rsidRDefault="00385D65" w:rsidP="00385D65">
      <w:pPr>
        <w:pStyle w:val="TableNo"/>
      </w:pPr>
      <w:r w:rsidRPr="00950633">
        <w:t>TABLE 1</w:t>
      </w:r>
    </w:p>
    <w:p w:rsidR="00385D65" w:rsidRPr="00950633" w:rsidRDefault="00385D65" w:rsidP="00385D65">
      <w:pPr>
        <w:pStyle w:val="Tabletitle"/>
      </w:pPr>
      <w:r w:rsidRPr="00950633">
        <w:t>Minimum measurement resolution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13"/>
        <w:gridCol w:w="3213"/>
        <w:gridCol w:w="3213"/>
      </w:tblGrid>
      <w:tr w:rsidR="00385D65" w:rsidRPr="003967ED" w:rsidTr="00CD4AD6">
        <w:trPr>
          <w:jc w:val="center"/>
        </w:trPr>
        <w:tc>
          <w:tcPr>
            <w:tcW w:w="3213" w:type="dxa"/>
          </w:tcPr>
          <w:p w:rsidR="00385D65" w:rsidRPr="00D03298" w:rsidRDefault="00385D65" w:rsidP="00CD4AD6">
            <w:pPr>
              <w:pStyle w:val="Tablehead"/>
            </w:pPr>
            <w:r w:rsidRPr="00D03298">
              <w:t>Antenna size</w:t>
            </w:r>
          </w:p>
        </w:tc>
        <w:tc>
          <w:tcPr>
            <w:tcW w:w="3213" w:type="dxa"/>
          </w:tcPr>
          <w:p w:rsidR="00385D65" w:rsidRPr="002D0C0A" w:rsidRDefault="00385D65" w:rsidP="00CD4AD6">
            <w:pPr>
              <w:pStyle w:val="Tablehead"/>
              <w:rPr>
                <w:lang w:val="en-US"/>
              </w:rPr>
            </w:pPr>
            <w:r w:rsidRPr="002D0C0A">
              <w:rPr>
                <w:lang w:val="en-US"/>
              </w:rPr>
              <w:t xml:space="preserve">Measurement resolution for off-axis angle </w:t>
            </w:r>
            <w:r w:rsidRPr="00D03298">
              <w:t>φ</w:t>
            </w:r>
            <w:r w:rsidRPr="002D0C0A">
              <w:rPr>
                <w:lang w:val="en-US"/>
              </w:rPr>
              <w:t xml:space="preserve">, </w:t>
            </w:r>
            <w:r w:rsidRPr="00D03298">
              <w:t>φ</w:t>
            </w:r>
            <w:r w:rsidRPr="002D0C0A">
              <w:rPr>
                <w:vertAlign w:val="subscript"/>
                <w:lang w:val="en-US"/>
              </w:rPr>
              <w:t>min</w:t>
            </w:r>
            <w:r w:rsidRPr="002D0C0A">
              <w:rPr>
                <w:lang w:val="en-US"/>
              </w:rPr>
              <w:t xml:space="preserve"> ≤ </w:t>
            </w:r>
            <w:r w:rsidRPr="00D03298">
              <w:t>φ</w:t>
            </w:r>
            <w:r w:rsidRPr="002D0C0A">
              <w:rPr>
                <w:lang w:val="en-US"/>
              </w:rPr>
              <w:t xml:space="preserve"> ≤ 30°</w:t>
            </w:r>
          </w:p>
        </w:tc>
        <w:tc>
          <w:tcPr>
            <w:tcW w:w="3213" w:type="dxa"/>
          </w:tcPr>
          <w:p w:rsidR="00385D65" w:rsidRPr="002D0C0A" w:rsidRDefault="00385D65" w:rsidP="00CD4AD6">
            <w:pPr>
              <w:pStyle w:val="Tablehead"/>
              <w:rPr>
                <w:lang w:val="en-US"/>
              </w:rPr>
            </w:pPr>
            <w:r w:rsidRPr="002D0C0A">
              <w:rPr>
                <w:lang w:val="en-US"/>
              </w:rPr>
              <w:t xml:space="preserve">Measurement resolution for off-axis angle </w:t>
            </w:r>
            <w:r w:rsidRPr="00D03298">
              <w:t>φ</w:t>
            </w:r>
            <w:r w:rsidRPr="002D0C0A">
              <w:rPr>
                <w:lang w:val="en-US"/>
              </w:rPr>
              <w:t xml:space="preserve">, 30° &lt; </w:t>
            </w:r>
            <w:r w:rsidRPr="00D03298">
              <w:t>φ</w:t>
            </w:r>
            <w:r w:rsidRPr="002D0C0A">
              <w:rPr>
                <w:lang w:val="en-US"/>
              </w:rPr>
              <w:t xml:space="preserve"> ≤ 180°</w:t>
            </w:r>
          </w:p>
        </w:tc>
      </w:tr>
      <w:tr w:rsidR="00385D65" w:rsidRPr="00D03298" w:rsidTr="00CD4AD6">
        <w:trPr>
          <w:jc w:val="center"/>
        </w:trPr>
        <w:tc>
          <w:tcPr>
            <w:tcW w:w="3213" w:type="dxa"/>
          </w:tcPr>
          <w:p w:rsidR="00385D65" w:rsidRPr="00D03298" w:rsidRDefault="00385D65" w:rsidP="00CD4AD6">
            <w:pPr>
              <w:pStyle w:val="Tabletext"/>
              <w:jc w:val="center"/>
            </w:pPr>
            <w:r w:rsidRPr="0083385A">
              <w:rPr>
                <w:i/>
                <w:iCs/>
              </w:rPr>
              <w:t>D</w:t>
            </w:r>
            <w:r w:rsidRPr="00D03298">
              <w:t>/</w:t>
            </w:r>
            <w:r w:rsidRPr="00D03298">
              <w:sym w:font="Symbol" w:char="F06C"/>
            </w:r>
            <w:r w:rsidRPr="00D03298">
              <w:t xml:space="preserve"> &lt; 25</w:t>
            </w:r>
          </w:p>
        </w:tc>
        <w:tc>
          <w:tcPr>
            <w:tcW w:w="3213" w:type="dxa"/>
          </w:tcPr>
          <w:p w:rsidR="00385D65" w:rsidRPr="00D03298" w:rsidRDefault="00385D65" w:rsidP="00CD4AD6">
            <w:pPr>
              <w:pStyle w:val="Tabletext"/>
              <w:jc w:val="center"/>
            </w:pPr>
            <w:r w:rsidRPr="00D03298">
              <w:t>0.5°</w:t>
            </w:r>
          </w:p>
        </w:tc>
        <w:tc>
          <w:tcPr>
            <w:tcW w:w="3213" w:type="dxa"/>
          </w:tcPr>
          <w:p w:rsidR="00385D65" w:rsidRPr="00D03298" w:rsidRDefault="00385D65" w:rsidP="00CD4AD6">
            <w:pPr>
              <w:pStyle w:val="Tabletext"/>
              <w:jc w:val="center"/>
            </w:pPr>
            <w:r w:rsidRPr="00D03298">
              <w:t>0.5°</w:t>
            </w:r>
          </w:p>
        </w:tc>
      </w:tr>
      <w:tr w:rsidR="00385D65" w:rsidRPr="00D03298" w:rsidTr="00CD4AD6">
        <w:trPr>
          <w:jc w:val="center"/>
        </w:trPr>
        <w:tc>
          <w:tcPr>
            <w:tcW w:w="3213" w:type="dxa"/>
          </w:tcPr>
          <w:p w:rsidR="00385D65" w:rsidRPr="00D03298" w:rsidRDefault="00385D65" w:rsidP="00CD4AD6">
            <w:pPr>
              <w:pStyle w:val="Tabletext"/>
              <w:jc w:val="center"/>
            </w:pPr>
            <w:r w:rsidRPr="00D03298">
              <w:t xml:space="preserve">25 </w:t>
            </w:r>
            <w:r w:rsidRPr="00D03298">
              <w:sym w:font="Symbol" w:char="F0A3"/>
            </w:r>
            <w:r w:rsidRPr="00D03298">
              <w:t xml:space="preserve"> </w:t>
            </w:r>
            <w:r w:rsidRPr="0083385A">
              <w:rPr>
                <w:i/>
                <w:iCs/>
              </w:rPr>
              <w:t>D</w:t>
            </w:r>
            <w:r w:rsidRPr="00D03298">
              <w:t>/</w:t>
            </w:r>
            <w:r w:rsidRPr="00D03298">
              <w:sym w:font="Symbol" w:char="F06C"/>
            </w:r>
            <w:r w:rsidRPr="00D03298">
              <w:t xml:space="preserve"> &lt; 50</w:t>
            </w:r>
          </w:p>
        </w:tc>
        <w:tc>
          <w:tcPr>
            <w:tcW w:w="3213" w:type="dxa"/>
          </w:tcPr>
          <w:p w:rsidR="00385D65" w:rsidRPr="00D03298" w:rsidRDefault="00385D65" w:rsidP="00CD4AD6">
            <w:pPr>
              <w:pStyle w:val="Tabletext"/>
              <w:jc w:val="center"/>
            </w:pPr>
            <w:r w:rsidRPr="00D03298">
              <w:t>0.25°</w:t>
            </w:r>
          </w:p>
        </w:tc>
        <w:tc>
          <w:tcPr>
            <w:tcW w:w="3213" w:type="dxa"/>
          </w:tcPr>
          <w:p w:rsidR="00385D65" w:rsidRPr="00D03298" w:rsidRDefault="00385D65" w:rsidP="00CD4AD6">
            <w:pPr>
              <w:pStyle w:val="Tabletext"/>
              <w:jc w:val="center"/>
            </w:pPr>
            <w:r w:rsidRPr="00D03298">
              <w:t>0.5°</w:t>
            </w:r>
          </w:p>
        </w:tc>
      </w:tr>
      <w:tr w:rsidR="00385D65" w:rsidRPr="00D03298" w:rsidTr="00CD4AD6">
        <w:trPr>
          <w:jc w:val="center"/>
        </w:trPr>
        <w:tc>
          <w:tcPr>
            <w:tcW w:w="3213" w:type="dxa"/>
          </w:tcPr>
          <w:p w:rsidR="00385D65" w:rsidRPr="00D03298" w:rsidRDefault="00385D65" w:rsidP="00CD4AD6">
            <w:pPr>
              <w:pStyle w:val="Tabletext"/>
              <w:jc w:val="center"/>
            </w:pPr>
            <w:r w:rsidRPr="00D03298">
              <w:t xml:space="preserve">50 </w:t>
            </w:r>
            <w:r w:rsidRPr="00D03298">
              <w:sym w:font="Symbol" w:char="F0A3"/>
            </w:r>
            <w:r w:rsidRPr="00D03298">
              <w:t xml:space="preserve"> </w:t>
            </w:r>
            <w:r w:rsidRPr="0083385A">
              <w:rPr>
                <w:i/>
                <w:iCs/>
              </w:rPr>
              <w:t>D</w:t>
            </w:r>
            <w:r w:rsidRPr="00D03298">
              <w:t>/</w:t>
            </w:r>
            <w:r w:rsidRPr="00D03298">
              <w:sym w:font="Symbol" w:char="F06C"/>
            </w:r>
            <w:r w:rsidRPr="00D03298">
              <w:t xml:space="preserve"> &lt; 250</w:t>
            </w:r>
          </w:p>
        </w:tc>
        <w:tc>
          <w:tcPr>
            <w:tcW w:w="3213" w:type="dxa"/>
          </w:tcPr>
          <w:p w:rsidR="00385D65" w:rsidRPr="00D03298" w:rsidRDefault="00385D65" w:rsidP="00CD4AD6">
            <w:pPr>
              <w:pStyle w:val="Tabletext"/>
              <w:jc w:val="center"/>
            </w:pPr>
            <w:r w:rsidRPr="00D03298">
              <w:t>0.1°</w:t>
            </w:r>
          </w:p>
        </w:tc>
        <w:tc>
          <w:tcPr>
            <w:tcW w:w="3213" w:type="dxa"/>
          </w:tcPr>
          <w:p w:rsidR="00385D65" w:rsidRPr="00D03298" w:rsidRDefault="00385D65" w:rsidP="00CD4AD6">
            <w:pPr>
              <w:pStyle w:val="Tabletext"/>
              <w:jc w:val="center"/>
            </w:pPr>
            <w:r w:rsidRPr="00D03298">
              <w:t>0.2°</w:t>
            </w:r>
          </w:p>
        </w:tc>
      </w:tr>
      <w:tr w:rsidR="00385D65" w:rsidRPr="00D03298" w:rsidTr="00CD4AD6">
        <w:trPr>
          <w:jc w:val="center"/>
        </w:trPr>
        <w:tc>
          <w:tcPr>
            <w:tcW w:w="3213" w:type="dxa"/>
            <w:tcBorders>
              <w:bottom w:val="single" w:sz="4" w:space="0" w:color="000000"/>
            </w:tcBorders>
          </w:tcPr>
          <w:p w:rsidR="00385D65" w:rsidRPr="00D03298" w:rsidRDefault="00385D65" w:rsidP="00CD4AD6">
            <w:pPr>
              <w:pStyle w:val="Tabletext"/>
              <w:jc w:val="center"/>
            </w:pPr>
            <w:r w:rsidRPr="00D03298">
              <w:t xml:space="preserve">250 ≤ </w:t>
            </w:r>
            <w:r w:rsidRPr="0083385A">
              <w:rPr>
                <w:i/>
                <w:iCs/>
              </w:rPr>
              <w:t>D</w:t>
            </w:r>
            <w:r w:rsidRPr="00D03298">
              <w:t>/</w:t>
            </w:r>
            <w:r w:rsidRPr="00D03298">
              <w:sym w:font="Symbol" w:char="F06C"/>
            </w:r>
          </w:p>
        </w:tc>
        <w:tc>
          <w:tcPr>
            <w:tcW w:w="3213" w:type="dxa"/>
            <w:tcBorders>
              <w:bottom w:val="single" w:sz="4" w:space="0" w:color="000000"/>
            </w:tcBorders>
          </w:tcPr>
          <w:p w:rsidR="00385D65" w:rsidRPr="00D03298" w:rsidRDefault="00385D65" w:rsidP="005300B1">
            <w:pPr>
              <w:pStyle w:val="Tabletext"/>
              <w:jc w:val="center"/>
            </w:pPr>
            <w:r w:rsidRPr="00D03298">
              <w:t>0.05° (or 0.1°) (see N</w:t>
            </w:r>
            <w:r>
              <w:t>ote</w:t>
            </w:r>
            <w:r w:rsidRPr="00D03298">
              <w:t xml:space="preserve"> </w:t>
            </w:r>
            <w:r w:rsidR="005300B1">
              <w:t>2</w:t>
            </w:r>
            <w:r w:rsidRPr="00D03298">
              <w:t>)</w:t>
            </w:r>
          </w:p>
        </w:tc>
        <w:tc>
          <w:tcPr>
            <w:tcW w:w="3213" w:type="dxa"/>
            <w:tcBorders>
              <w:bottom w:val="single" w:sz="4" w:space="0" w:color="000000"/>
            </w:tcBorders>
          </w:tcPr>
          <w:p w:rsidR="00385D65" w:rsidRPr="00D03298" w:rsidRDefault="00385D65" w:rsidP="00CD4AD6">
            <w:pPr>
              <w:pStyle w:val="Tabletext"/>
              <w:jc w:val="center"/>
            </w:pPr>
            <w:r w:rsidRPr="00D03298">
              <w:t>0.1°</w:t>
            </w:r>
          </w:p>
        </w:tc>
      </w:tr>
      <w:tr w:rsidR="00385D65" w:rsidRPr="003967ED" w:rsidTr="00CD4AD6">
        <w:trPr>
          <w:jc w:val="center"/>
        </w:trPr>
        <w:tc>
          <w:tcPr>
            <w:tcW w:w="9639" w:type="dxa"/>
            <w:gridSpan w:val="3"/>
            <w:tcBorders>
              <w:left w:val="nil"/>
              <w:bottom w:val="nil"/>
              <w:right w:val="nil"/>
            </w:tcBorders>
          </w:tcPr>
          <w:p w:rsidR="00385D65" w:rsidRPr="00796EF0" w:rsidRDefault="00385D65" w:rsidP="005300B1">
            <w:pPr>
              <w:pStyle w:val="Tabletext"/>
              <w:jc w:val="left"/>
              <w:rPr>
                <w:lang w:val="en-US"/>
              </w:rPr>
            </w:pPr>
            <w:r w:rsidRPr="002D0C0A">
              <w:rPr>
                <w:lang w:val="en-US" w:eastAsia="ja-JP"/>
              </w:rPr>
              <w:t xml:space="preserve">NOTE </w:t>
            </w:r>
            <w:r w:rsidR="005300B1">
              <w:rPr>
                <w:lang w:val="en-US" w:eastAsia="ja-JP"/>
              </w:rPr>
              <w:t>2</w:t>
            </w:r>
            <w:r w:rsidRPr="002D0C0A">
              <w:rPr>
                <w:lang w:val="en-US" w:eastAsia="ja-JP"/>
              </w:rPr>
              <w:t xml:space="preserve"> – In the case of large antennas having </w:t>
            </w:r>
            <w:r w:rsidRPr="0083385A">
              <w:rPr>
                <w:i/>
                <w:iCs/>
                <w:lang w:val="en-US" w:eastAsia="ja-JP"/>
              </w:rPr>
              <w:t>D</w:t>
            </w:r>
            <w:r w:rsidRPr="002D0C0A">
              <w:rPr>
                <w:lang w:val="en-US" w:eastAsia="ja-JP"/>
              </w:rPr>
              <w:t>/</w:t>
            </w:r>
            <w:r w:rsidRPr="00D03298">
              <w:rPr>
                <w:lang w:eastAsia="ja-JP"/>
              </w:rPr>
              <w:sym w:font="Symbol" w:char="F06C"/>
            </w:r>
            <w:r w:rsidRPr="002D0C0A">
              <w:rPr>
                <w:lang w:val="en-US" w:eastAsia="ja-JP"/>
              </w:rPr>
              <w:t xml:space="preserve"> &gt; 250, when the largest dimension of the physical aperture is greater than 12 m, the required angular measurement resolution is 0.1° for all off-axis angles. Further studies may be necessary to determine the maximum size of the physical antenna aperture abo</w:t>
            </w:r>
            <w:r w:rsidR="005300B1">
              <w:rPr>
                <w:lang w:val="en-US" w:eastAsia="ja-JP"/>
              </w:rPr>
              <w:t xml:space="preserve">ve which 0.05° </w:t>
            </w:r>
            <w:r w:rsidRPr="002D0C0A">
              <w:rPr>
                <w:lang w:val="en-US" w:eastAsia="ja-JP"/>
              </w:rPr>
              <w:t>resolution measurements are not practical</w:t>
            </w:r>
            <w:r>
              <w:rPr>
                <w:lang w:val="en-US" w:eastAsia="ja-JP"/>
              </w:rPr>
              <w:t>.</w:t>
            </w:r>
          </w:p>
        </w:tc>
      </w:tr>
    </w:tbl>
    <w:p w:rsidR="00385D65" w:rsidRPr="002D0C0A" w:rsidRDefault="00385D65" w:rsidP="00385D65">
      <w:pPr>
        <w:rPr>
          <w:lang w:val="en-US"/>
        </w:rPr>
      </w:pPr>
      <w:r w:rsidRPr="0083385A">
        <w:rPr>
          <w:b/>
          <w:lang w:val="en-US"/>
        </w:rPr>
        <w:t>4</w:t>
      </w:r>
      <w:r w:rsidRPr="002D0C0A">
        <w:rPr>
          <w:b/>
          <w:lang w:val="en-US"/>
        </w:rPr>
        <w:tab/>
      </w:r>
      <w:r w:rsidRPr="002D0C0A">
        <w:rPr>
          <w:lang w:val="en-US"/>
        </w:rPr>
        <w:t xml:space="preserve">that the peak gain value of the side-lobes within each sample windows should not exceed the reference patterns by more than </w:t>
      </w:r>
      <w:r w:rsidRPr="0083385A">
        <w:rPr>
          <w:i/>
          <w:iCs/>
          <w:lang w:val="en-US"/>
        </w:rPr>
        <w:t>Y</w:t>
      </w:r>
      <w:r w:rsidRPr="002D0C0A">
        <w:rPr>
          <w:lang w:val="en-US"/>
        </w:rPr>
        <w:t xml:space="preserve"> dB, with </w:t>
      </w:r>
      <w:r w:rsidRPr="0083385A">
        <w:rPr>
          <w:i/>
          <w:iCs/>
          <w:lang w:val="en-US"/>
        </w:rPr>
        <w:t>Y</w:t>
      </w:r>
      <w:r w:rsidRPr="002D0C0A">
        <w:rPr>
          <w:lang w:val="en-US"/>
        </w:rPr>
        <w:t xml:space="preserve"> given in Table 2:</w:t>
      </w:r>
    </w:p>
    <w:p w:rsidR="00385D65" w:rsidRPr="002D0C0A" w:rsidRDefault="00385D65" w:rsidP="00385D65">
      <w:pPr>
        <w:pStyle w:val="TableNo"/>
        <w:rPr>
          <w:lang w:val="en-US"/>
        </w:rPr>
      </w:pPr>
      <w:r w:rsidRPr="002D0C0A">
        <w:rPr>
          <w:lang w:val="en-US"/>
        </w:rPr>
        <w:t>TABLE 2</w:t>
      </w:r>
    </w:p>
    <w:p w:rsidR="00385D65" w:rsidRPr="002D0C0A" w:rsidRDefault="00385D65" w:rsidP="00385D65">
      <w:pPr>
        <w:pStyle w:val="Tabletitle"/>
        <w:rPr>
          <w:lang w:val="en-US"/>
        </w:rPr>
      </w:pPr>
      <w:r w:rsidRPr="002D0C0A">
        <w:rPr>
          <w:lang w:val="en-US"/>
        </w:rPr>
        <w:t xml:space="preserve">Angular regions (sample windows) for processing measured </w:t>
      </w:r>
      <w:r w:rsidRPr="002D0C0A">
        <w:rPr>
          <w:lang w:val="en-US"/>
        </w:rPr>
        <w:br/>
        <w:t>side-lobe peak samples and allowed excesses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5"/>
        <w:gridCol w:w="3137"/>
        <w:gridCol w:w="3137"/>
      </w:tblGrid>
      <w:tr w:rsidR="00385D65" w:rsidRPr="003967ED" w:rsidTr="00CD4AD6">
        <w:trPr>
          <w:jc w:val="center"/>
        </w:trPr>
        <w:tc>
          <w:tcPr>
            <w:tcW w:w="2552" w:type="dxa"/>
            <w:vAlign w:val="center"/>
          </w:tcPr>
          <w:p w:rsidR="00385D65" w:rsidRPr="00D03298" w:rsidRDefault="00385D65" w:rsidP="00CD4AD6">
            <w:pPr>
              <w:pStyle w:val="Tablehead"/>
            </w:pPr>
            <w:r w:rsidRPr="00D03298">
              <w:t>Angular regions/sample windows</w:t>
            </w:r>
          </w:p>
        </w:tc>
        <w:tc>
          <w:tcPr>
            <w:tcW w:w="2379" w:type="dxa"/>
            <w:vAlign w:val="center"/>
          </w:tcPr>
          <w:p w:rsidR="00385D65" w:rsidRPr="00D03298" w:rsidRDefault="00385D65" w:rsidP="00CD4AD6">
            <w:pPr>
              <w:pStyle w:val="Tablehead"/>
            </w:pPr>
            <w:r w:rsidRPr="00D03298">
              <w:t>Angular limits (°)</w:t>
            </w:r>
          </w:p>
        </w:tc>
        <w:tc>
          <w:tcPr>
            <w:tcW w:w="2379" w:type="dxa"/>
            <w:vAlign w:val="center"/>
          </w:tcPr>
          <w:p w:rsidR="00385D65" w:rsidRPr="002D0C0A" w:rsidRDefault="00385D65" w:rsidP="00CD4AD6">
            <w:pPr>
              <w:pStyle w:val="Tablehead"/>
              <w:rPr>
                <w:lang w:val="en-US"/>
              </w:rPr>
            </w:pPr>
            <w:r w:rsidRPr="002D0C0A">
              <w:rPr>
                <w:lang w:val="en-US"/>
              </w:rPr>
              <w:t>Allowed excess (</w:t>
            </w:r>
            <w:r w:rsidRPr="0083385A">
              <w:rPr>
                <w:i/>
                <w:iCs/>
                <w:lang w:val="en-US"/>
              </w:rPr>
              <w:t>Y</w:t>
            </w:r>
            <w:r w:rsidRPr="002D0C0A">
              <w:rPr>
                <w:lang w:val="en-US"/>
              </w:rPr>
              <w:t xml:space="preserve"> in dB)</w:t>
            </w:r>
          </w:p>
        </w:tc>
      </w:tr>
      <w:tr w:rsidR="00385D65" w:rsidRPr="00D03298" w:rsidTr="00CD4AD6">
        <w:trPr>
          <w:jc w:val="center"/>
        </w:trPr>
        <w:tc>
          <w:tcPr>
            <w:tcW w:w="2552" w:type="dxa"/>
            <w:vAlign w:val="center"/>
          </w:tcPr>
          <w:p w:rsidR="00385D65" w:rsidRPr="00D03298" w:rsidRDefault="00385D65" w:rsidP="00CD4AD6">
            <w:pPr>
              <w:pStyle w:val="Tabletext"/>
              <w:jc w:val="center"/>
            </w:pPr>
            <w:r w:rsidRPr="00D03298">
              <w:sym w:font="Symbol" w:char="F020"/>
            </w:r>
            <w:r w:rsidRPr="00D03298">
              <w:sym w:font="Symbol" w:char="F044"/>
            </w:r>
            <w:r w:rsidRPr="00D03298">
              <w:sym w:font="Symbol" w:char="F06A"/>
            </w:r>
            <w:r w:rsidRPr="0083385A">
              <w:rPr>
                <w:i/>
                <w:iCs/>
                <w:vertAlign w:val="subscript"/>
              </w:rPr>
              <w:t>W</w:t>
            </w:r>
            <w:r w:rsidRPr="00D03298">
              <w:rPr>
                <w:vertAlign w:val="subscript"/>
              </w:rPr>
              <w:t>1</w:t>
            </w:r>
          </w:p>
        </w:tc>
        <w:tc>
          <w:tcPr>
            <w:tcW w:w="2379" w:type="dxa"/>
            <w:vAlign w:val="center"/>
          </w:tcPr>
          <w:p w:rsidR="00385D65" w:rsidRPr="00D03298" w:rsidRDefault="00385D65" w:rsidP="00CD4AD6">
            <w:pPr>
              <w:pStyle w:val="Tabletext"/>
              <w:jc w:val="center"/>
            </w:pPr>
            <w:r w:rsidRPr="00D03298">
              <w:t>φ</w:t>
            </w:r>
            <w:r w:rsidRPr="00D03298">
              <w:rPr>
                <w:vertAlign w:val="subscript"/>
              </w:rPr>
              <w:t>min</w:t>
            </w:r>
            <w:r w:rsidRPr="00D03298">
              <w:t xml:space="preserve"> &lt; φ ≤</w:t>
            </w:r>
            <w:r>
              <w:t xml:space="preserve"> </w:t>
            </w:r>
            <w:r w:rsidRPr="00D03298">
              <w:t>7</w:t>
            </w:r>
          </w:p>
        </w:tc>
        <w:tc>
          <w:tcPr>
            <w:tcW w:w="2379" w:type="dxa"/>
            <w:vAlign w:val="center"/>
          </w:tcPr>
          <w:p w:rsidR="00385D65" w:rsidRPr="00D03298" w:rsidRDefault="00385D65" w:rsidP="00CD4AD6">
            <w:pPr>
              <w:pStyle w:val="Tabletext"/>
              <w:jc w:val="center"/>
            </w:pPr>
            <w:r w:rsidRPr="00D03298">
              <w:t>1</w:t>
            </w:r>
          </w:p>
        </w:tc>
      </w:tr>
      <w:tr w:rsidR="00385D65" w:rsidRPr="00D03298" w:rsidTr="00CD4AD6">
        <w:trPr>
          <w:jc w:val="center"/>
        </w:trPr>
        <w:tc>
          <w:tcPr>
            <w:tcW w:w="2552" w:type="dxa"/>
            <w:vAlign w:val="center"/>
          </w:tcPr>
          <w:p w:rsidR="00385D65" w:rsidRPr="00D03298" w:rsidRDefault="00385D65" w:rsidP="00CD4AD6">
            <w:pPr>
              <w:pStyle w:val="Tabletext"/>
              <w:jc w:val="center"/>
            </w:pPr>
            <w:r w:rsidRPr="00D03298">
              <w:sym w:font="Symbol" w:char="F020"/>
            </w:r>
            <w:r w:rsidRPr="00D03298">
              <w:sym w:font="Symbol" w:char="F044"/>
            </w:r>
            <w:r w:rsidRPr="00D03298">
              <w:sym w:font="Symbol" w:char="F06A"/>
            </w:r>
            <w:r w:rsidRPr="0083385A">
              <w:rPr>
                <w:i/>
                <w:iCs/>
                <w:vertAlign w:val="subscript"/>
              </w:rPr>
              <w:t>W</w:t>
            </w:r>
            <w:r w:rsidRPr="00D03298">
              <w:rPr>
                <w:vertAlign w:val="subscript"/>
              </w:rPr>
              <w:t>2</w:t>
            </w:r>
          </w:p>
        </w:tc>
        <w:tc>
          <w:tcPr>
            <w:tcW w:w="2379" w:type="dxa"/>
            <w:vAlign w:val="center"/>
          </w:tcPr>
          <w:p w:rsidR="00385D65" w:rsidRDefault="00385D65" w:rsidP="00CD4AD6">
            <w:pPr>
              <w:pStyle w:val="Tabletext"/>
              <w:jc w:val="center"/>
              <w:rPr>
                <w:b/>
              </w:rPr>
            </w:pPr>
            <w:r w:rsidRPr="00D03298">
              <w:t>7</w:t>
            </w:r>
            <w:r w:rsidR="0083385A">
              <w:t xml:space="preserve"> </w:t>
            </w:r>
            <w:r w:rsidRPr="00D03298">
              <w:t>&lt; φ ≤ 9.2</w:t>
            </w:r>
          </w:p>
        </w:tc>
        <w:tc>
          <w:tcPr>
            <w:tcW w:w="2379" w:type="dxa"/>
            <w:vAlign w:val="center"/>
          </w:tcPr>
          <w:p w:rsidR="00385D65" w:rsidRPr="00D03298" w:rsidRDefault="00385D65" w:rsidP="00CD4AD6">
            <w:pPr>
              <w:pStyle w:val="Tabletext"/>
              <w:jc w:val="center"/>
            </w:pPr>
            <w:r w:rsidRPr="00D03298">
              <w:t>3</w:t>
            </w:r>
          </w:p>
        </w:tc>
      </w:tr>
      <w:tr w:rsidR="00385D65" w:rsidRPr="00D03298" w:rsidTr="00CD4AD6">
        <w:trPr>
          <w:jc w:val="center"/>
        </w:trPr>
        <w:tc>
          <w:tcPr>
            <w:tcW w:w="2552" w:type="dxa"/>
            <w:vAlign w:val="center"/>
          </w:tcPr>
          <w:p w:rsidR="00385D65" w:rsidRPr="00D03298" w:rsidRDefault="00385D65" w:rsidP="00CD4AD6">
            <w:pPr>
              <w:pStyle w:val="Tabletext"/>
              <w:jc w:val="center"/>
            </w:pPr>
            <w:r w:rsidRPr="00D03298">
              <w:sym w:font="Symbol" w:char="F044"/>
            </w:r>
            <w:r w:rsidRPr="00D03298">
              <w:sym w:font="Symbol" w:char="F06A"/>
            </w:r>
            <w:r w:rsidRPr="0083385A">
              <w:rPr>
                <w:i/>
                <w:iCs/>
                <w:vertAlign w:val="subscript"/>
              </w:rPr>
              <w:t>W</w:t>
            </w:r>
            <w:r w:rsidRPr="00D03298">
              <w:rPr>
                <w:rFonts w:ascii="Times" w:hAnsi="Times"/>
                <w:vertAlign w:val="subscript"/>
              </w:rPr>
              <w:t>3</w:t>
            </w:r>
          </w:p>
        </w:tc>
        <w:tc>
          <w:tcPr>
            <w:tcW w:w="2379" w:type="dxa"/>
            <w:vAlign w:val="center"/>
          </w:tcPr>
          <w:p w:rsidR="00385D65" w:rsidRDefault="00385D65" w:rsidP="00CD4AD6">
            <w:pPr>
              <w:pStyle w:val="Tabletext"/>
              <w:jc w:val="center"/>
              <w:rPr>
                <w:b/>
                <w:sz w:val="28"/>
              </w:rPr>
            </w:pPr>
            <w:r w:rsidRPr="00D03298">
              <w:t>9.2 &lt; φ ≤ 48</w:t>
            </w:r>
          </w:p>
        </w:tc>
        <w:tc>
          <w:tcPr>
            <w:tcW w:w="2379" w:type="dxa"/>
            <w:vAlign w:val="center"/>
          </w:tcPr>
          <w:p w:rsidR="00385D65" w:rsidRPr="00D03298" w:rsidRDefault="00385D65" w:rsidP="00CD4AD6">
            <w:pPr>
              <w:pStyle w:val="Tabletext"/>
              <w:jc w:val="center"/>
            </w:pPr>
            <w:r w:rsidRPr="00D03298">
              <w:t>3</w:t>
            </w:r>
          </w:p>
        </w:tc>
      </w:tr>
      <w:tr w:rsidR="00385D65" w:rsidRPr="00D03298" w:rsidTr="00CD4AD6">
        <w:trPr>
          <w:jc w:val="center"/>
        </w:trPr>
        <w:tc>
          <w:tcPr>
            <w:tcW w:w="2552" w:type="dxa"/>
            <w:vAlign w:val="center"/>
          </w:tcPr>
          <w:p w:rsidR="00385D65" w:rsidRPr="00D03298" w:rsidRDefault="00385D65" w:rsidP="00CD4AD6">
            <w:pPr>
              <w:pStyle w:val="Tabletext"/>
              <w:jc w:val="center"/>
            </w:pPr>
            <w:r w:rsidRPr="00D03298">
              <w:sym w:font="Symbol" w:char="F044"/>
            </w:r>
            <w:r w:rsidRPr="00D03298">
              <w:sym w:font="Symbol" w:char="F06A"/>
            </w:r>
            <w:r w:rsidRPr="0083385A">
              <w:rPr>
                <w:i/>
                <w:iCs/>
                <w:vertAlign w:val="subscript"/>
              </w:rPr>
              <w:t>W</w:t>
            </w:r>
            <w:r w:rsidRPr="00D03298">
              <w:rPr>
                <w:rFonts w:ascii="Times" w:hAnsi="Times"/>
                <w:vertAlign w:val="subscript"/>
              </w:rPr>
              <w:t>4</w:t>
            </w:r>
          </w:p>
        </w:tc>
        <w:tc>
          <w:tcPr>
            <w:tcW w:w="2379" w:type="dxa"/>
            <w:vAlign w:val="center"/>
          </w:tcPr>
          <w:p w:rsidR="00385D65" w:rsidRDefault="00385D65" w:rsidP="00CD4AD6">
            <w:pPr>
              <w:pStyle w:val="Tabletext"/>
              <w:jc w:val="center"/>
              <w:rPr>
                <w:b/>
              </w:rPr>
            </w:pPr>
            <w:r w:rsidRPr="00D03298">
              <w:t>48 &lt; φ ≤</w:t>
            </w:r>
            <w:r>
              <w:t xml:space="preserve"> </w:t>
            </w:r>
            <w:r w:rsidRPr="00D03298">
              <w:t>180</w:t>
            </w:r>
          </w:p>
        </w:tc>
        <w:tc>
          <w:tcPr>
            <w:tcW w:w="2379" w:type="dxa"/>
            <w:vAlign w:val="center"/>
          </w:tcPr>
          <w:p w:rsidR="00385D65" w:rsidRPr="00D03298" w:rsidRDefault="00385D65" w:rsidP="00CD4AD6">
            <w:pPr>
              <w:pStyle w:val="Tabletext"/>
              <w:jc w:val="center"/>
            </w:pPr>
            <w:r w:rsidRPr="00D03298">
              <w:t>10</w:t>
            </w:r>
          </w:p>
        </w:tc>
      </w:tr>
    </w:tbl>
    <w:p w:rsidR="00385D65" w:rsidRDefault="00385D65" w:rsidP="00385D65">
      <w:pPr>
        <w:pStyle w:val="Tablefin"/>
      </w:pPr>
    </w:p>
    <w:p w:rsidR="00385D65" w:rsidRPr="002D0C0A" w:rsidRDefault="00385D65" w:rsidP="00385D65">
      <w:pPr>
        <w:rPr>
          <w:szCs w:val="24"/>
          <w:lang w:val="en-US" w:eastAsia="ja-JP"/>
        </w:rPr>
      </w:pPr>
      <w:r w:rsidRPr="002D0C0A">
        <w:rPr>
          <w:lang w:val="en-US"/>
        </w:rPr>
        <w:t>In Table 2</w:t>
      </w:r>
      <w:r w:rsidR="0083385A">
        <w:rPr>
          <w:lang w:val="en-US"/>
        </w:rPr>
        <w:t>,</w:t>
      </w:r>
      <w:r w:rsidRPr="002D0C0A">
        <w:rPr>
          <w:lang w:val="en-US"/>
        </w:rPr>
        <w:t xml:space="preserve"> the lower limit of the first angular region </w:t>
      </w:r>
      <w:r>
        <w:t>Δ</w:t>
      </w:r>
      <w:r w:rsidRPr="00D03298">
        <w:t>φ</w:t>
      </w:r>
      <w:r w:rsidRPr="0083385A">
        <w:rPr>
          <w:i/>
          <w:iCs/>
          <w:vertAlign w:val="subscript"/>
          <w:lang w:val="en-US"/>
        </w:rPr>
        <w:t>W</w:t>
      </w:r>
      <w:r w:rsidRPr="002D0C0A">
        <w:rPr>
          <w:vertAlign w:val="subscript"/>
          <w:lang w:val="en-US"/>
        </w:rPr>
        <w:t>1</w:t>
      </w:r>
      <w:r w:rsidRPr="002D0C0A">
        <w:rPr>
          <w:lang w:val="en-US"/>
        </w:rPr>
        <w:t xml:space="preserve"> is 1° </w:t>
      </w:r>
      <w:r w:rsidRPr="002D0C0A">
        <w:rPr>
          <w:szCs w:val="24"/>
          <w:lang w:val="en-US"/>
        </w:rPr>
        <w:t xml:space="preserve">or (100 </w:t>
      </w:r>
      <w:r w:rsidRPr="00893F3E">
        <w:rPr>
          <w:szCs w:val="24"/>
        </w:rPr>
        <w:t>λ</w:t>
      </w:r>
      <w:r w:rsidRPr="002D0C0A">
        <w:rPr>
          <w:szCs w:val="24"/>
          <w:lang w:val="en-US"/>
        </w:rPr>
        <w:t>/</w:t>
      </w:r>
      <w:r w:rsidRPr="0083385A">
        <w:rPr>
          <w:i/>
          <w:iCs/>
          <w:szCs w:val="24"/>
          <w:lang w:val="en-US"/>
        </w:rPr>
        <w:t>D</w:t>
      </w:r>
      <w:r w:rsidRPr="002D0C0A">
        <w:rPr>
          <w:szCs w:val="24"/>
          <w:lang w:val="en-US"/>
        </w:rPr>
        <w:t>) degrees, whichever is greater;</w:t>
      </w:r>
    </w:p>
    <w:p w:rsidR="00385D65" w:rsidRPr="002D0C0A" w:rsidRDefault="00385D65" w:rsidP="005300B1">
      <w:pPr>
        <w:keepNext/>
        <w:keepLines/>
        <w:rPr>
          <w:lang w:val="en-US"/>
        </w:rPr>
      </w:pPr>
      <w:r w:rsidRPr="0083385A">
        <w:rPr>
          <w:b/>
          <w:lang w:val="en-US"/>
        </w:rPr>
        <w:lastRenderedPageBreak/>
        <w:t>5</w:t>
      </w:r>
      <w:r w:rsidRPr="002D0C0A">
        <w:rPr>
          <w:lang w:val="en-US"/>
        </w:rPr>
        <w:tab/>
        <w:t>that when the number of side-lobe peaks is less than 10 in the specified angular regions, the percentage of side-lobe peaks of the earth station antenna that do not comply with the reference pattern should be determined using the following expression:</w:t>
      </w:r>
    </w:p>
    <w:p w:rsidR="00385D65" w:rsidRDefault="00385D65" w:rsidP="00385D65">
      <w:pPr>
        <w:pStyle w:val="Equation"/>
      </w:pPr>
      <w:r w:rsidRPr="002D0C0A">
        <w:rPr>
          <w:lang w:val="en-US"/>
        </w:rPr>
        <w:tab/>
      </w:r>
      <w:r w:rsidRPr="002D0C0A">
        <w:rPr>
          <w:lang w:val="en-US"/>
        </w:rPr>
        <w:tab/>
      </w:r>
      <w:r w:rsidRPr="00D4171B">
        <w:rPr>
          <w:position w:val="-28"/>
        </w:rPr>
        <w:object w:dxaOrig="25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85pt;height:34.45pt" o:ole="" fillcolor="window">
            <v:imagedata r:id="rId13" o:title=""/>
          </v:shape>
          <o:OLEObject Type="Embed" ProgID="Equation.3" ShapeID="_x0000_i1025" DrawAspect="Content" ObjectID="_1425303580" r:id="rId14"/>
        </w:object>
      </w:r>
    </w:p>
    <w:p w:rsidR="00385D65" w:rsidRPr="002D0C0A" w:rsidRDefault="00385D65" w:rsidP="00747CA7">
      <w:pPr>
        <w:keepNext/>
        <w:keepLines/>
        <w:tabs>
          <w:tab w:val="center" w:pos="4820"/>
          <w:tab w:val="right" w:pos="9639"/>
        </w:tabs>
        <w:spacing w:before="0"/>
        <w:rPr>
          <w:lang w:val="en-US"/>
        </w:rPr>
      </w:pPr>
      <w:r w:rsidRPr="002D0C0A">
        <w:rPr>
          <w:lang w:val="en-US"/>
        </w:rPr>
        <w:t>where:</w:t>
      </w:r>
    </w:p>
    <w:p w:rsidR="00385D65" w:rsidRPr="00BF6A90" w:rsidRDefault="00385D65" w:rsidP="00747CA7">
      <w:pPr>
        <w:pStyle w:val="Equationlegend"/>
        <w:keepNext/>
        <w:keepLines/>
        <w:rPr>
          <w:i/>
        </w:rPr>
      </w:pPr>
      <w:r w:rsidRPr="00D03298">
        <w:rPr>
          <w:i/>
        </w:rPr>
        <w:tab/>
        <w:t>j</w:t>
      </w:r>
      <w:r>
        <w:rPr>
          <w:i/>
        </w:rPr>
        <w:t>:</w:t>
      </w:r>
      <w:r w:rsidRPr="00D03298">
        <w:rPr>
          <w:i/>
        </w:rPr>
        <w:t xml:space="preserve"> </w:t>
      </w:r>
      <w:r w:rsidRPr="00D03298">
        <w:rPr>
          <w:i/>
        </w:rPr>
        <w:tab/>
      </w:r>
      <w:r w:rsidRPr="00D03298">
        <w:t xml:space="preserve">index of the angular region </w:t>
      </w:r>
      <w:r w:rsidRPr="00D03298">
        <w:rPr>
          <w:rFonts w:ascii="Calibri" w:hAnsi="Calibri"/>
        </w:rPr>
        <w:sym w:font="Symbol" w:char="F044"/>
      </w:r>
      <w:r w:rsidRPr="00D03298">
        <w:rPr>
          <w:rFonts w:ascii="Calibri" w:hAnsi="Calibri"/>
        </w:rPr>
        <w:sym w:font="Symbol" w:char="F06A"/>
      </w:r>
      <w:r w:rsidRPr="0083385A">
        <w:rPr>
          <w:rFonts w:asciiTheme="majorBidi" w:hAnsiTheme="majorBidi" w:cstheme="majorBidi"/>
          <w:i/>
          <w:iCs/>
          <w:vertAlign w:val="subscript"/>
        </w:rPr>
        <w:t>W</w:t>
      </w:r>
      <w:r w:rsidRPr="00D03298">
        <w:t xml:space="preserve"> analysed, which var</w:t>
      </w:r>
      <w:r>
        <w:t>ies</w:t>
      </w:r>
      <w:r w:rsidRPr="00D03298">
        <w:t xml:space="preserve"> f</w:t>
      </w:r>
      <w:r>
        <w:t>rom 1 to 4 according to Table 2</w:t>
      </w:r>
    </w:p>
    <w:p w:rsidR="00385D65" w:rsidRPr="00D03298" w:rsidRDefault="00385D65" w:rsidP="00747CA7">
      <w:pPr>
        <w:pStyle w:val="Equationlegend"/>
        <w:keepNext/>
        <w:keepLines/>
      </w:pPr>
      <w:r w:rsidRPr="00D03298">
        <w:rPr>
          <w:i/>
        </w:rPr>
        <w:tab/>
        <w:t>N</w:t>
      </w:r>
      <w:r>
        <w:t>:</w:t>
      </w:r>
      <w:r w:rsidRPr="00D03298">
        <w:t xml:space="preserve"> </w:t>
      </w:r>
      <w:r w:rsidRPr="00D03298">
        <w:tab/>
        <w:t xml:space="preserve">number of side-lobe peaks exceeding the reference pattern within angular region </w:t>
      </w:r>
      <w:r w:rsidRPr="00D03298">
        <w:rPr>
          <w:i/>
        </w:rPr>
        <w:t>j</w:t>
      </w:r>
    </w:p>
    <w:p w:rsidR="00385D65" w:rsidRPr="00D03298" w:rsidRDefault="00385D65" w:rsidP="00385D65">
      <w:pPr>
        <w:pStyle w:val="Equationlegend"/>
      </w:pPr>
      <w:r w:rsidRPr="00D03298">
        <w:tab/>
      </w:r>
      <w:r w:rsidRPr="00D03298">
        <w:sym w:font="Symbol" w:char="F044"/>
      </w:r>
      <w:r w:rsidRPr="00D03298">
        <w:sym w:font="Symbol" w:char="F06A"/>
      </w:r>
      <w:r w:rsidRPr="00D4171B">
        <w:rPr>
          <w:i/>
          <w:iCs/>
          <w:vertAlign w:val="subscript"/>
        </w:rPr>
        <w:t>i</w:t>
      </w:r>
      <w:r>
        <w:t>:</w:t>
      </w:r>
      <w:r w:rsidRPr="00D03298">
        <w:tab/>
        <w:t xml:space="preserve">width of the </w:t>
      </w:r>
      <w:r w:rsidRPr="00D03298">
        <w:rPr>
          <w:i/>
        </w:rPr>
        <w:t>i</w:t>
      </w:r>
      <w:r w:rsidRPr="00D4171B">
        <w:rPr>
          <w:iCs/>
          <w:vertAlign w:val="superscript"/>
        </w:rPr>
        <w:t>th</w:t>
      </w:r>
      <w:r w:rsidRPr="00D03298">
        <w:t xml:space="preserve"> side-lobe peak sample that exceeds the reference pattern (degrees)</w:t>
      </w:r>
    </w:p>
    <w:p w:rsidR="00385D65" w:rsidRPr="00D03298" w:rsidRDefault="00385D65" w:rsidP="00385D65">
      <w:pPr>
        <w:pStyle w:val="Equationlegend"/>
      </w:pPr>
      <w:r w:rsidRPr="00D03298">
        <w:tab/>
      </w:r>
      <w:r w:rsidRPr="00D03298">
        <w:sym w:font="Symbol" w:char="F044"/>
      </w:r>
      <w:r w:rsidRPr="00D03298">
        <w:sym w:font="Symbol" w:char="F06A"/>
      </w:r>
      <w:r w:rsidRPr="00D4171B">
        <w:rPr>
          <w:i/>
          <w:iCs/>
          <w:vertAlign w:val="subscript"/>
        </w:rPr>
        <w:t>W</w:t>
      </w:r>
      <w:r>
        <w:t>:</w:t>
      </w:r>
      <w:r w:rsidRPr="00D03298">
        <w:t xml:space="preserve"> </w:t>
      </w:r>
      <w:r w:rsidRPr="00D03298">
        <w:tab/>
        <w:t xml:space="preserve">total sampled angular width of angular region </w:t>
      </w:r>
      <w:r w:rsidRPr="00D03298">
        <w:rPr>
          <w:i/>
        </w:rPr>
        <w:t>j</w:t>
      </w:r>
      <w:r>
        <w:t xml:space="preserve"> (degrees);</w:t>
      </w:r>
    </w:p>
    <w:p w:rsidR="00385D65" w:rsidRPr="002D0C0A" w:rsidRDefault="00385D65" w:rsidP="00385D65">
      <w:pPr>
        <w:rPr>
          <w:lang w:val="en-US"/>
        </w:rPr>
      </w:pPr>
      <w:r w:rsidRPr="0083385A">
        <w:rPr>
          <w:b/>
          <w:lang w:val="en-US"/>
        </w:rPr>
        <w:t>6</w:t>
      </w:r>
      <w:r w:rsidRPr="002D0C0A">
        <w:rPr>
          <w:b/>
          <w:lang w:val="en-US"/>
        </w:rPr>
        <w:tab/>
      </w:r>
      <w:r w:rsidRPr="002D0C0A">
        <w:rPr>
          <w:lang w:val="en-US"/>
        </w:rPr>
        <w:t xml:space="preserve">that antennas be deemed to be compliant with the reference antenna pattern if they meet the condition stated in </w:t>
      </w:r>
      <w:r w:rsidRPr="002D0C0A">
        <w:rPr>
          <w:i/>
          <w:iCs/>
          <w:lang w:val="en-US"/>
        </w:rPr>
        <w:t>recommends</w:t>
      </w:r>
      <w:r w:rsidRPr="002D0C0A">
        <w:rPr>
          <w:lang w:val="en-US"/>
        </w:rPr>
        <w:t xml:space="preserve"> 4 and the percentage of side-lobes exceeding the reference antenna pattern does not exceed the allowed limit or, in the cases covered by </w:t>
      </w:r>
      <w:r w:rsidRPr="002D0C0A">
        <w:rPr>
          <w:i/>
          <w:iCs/>
          <w:lang w:val="en-US"/>
        </w:rPr>
        <w:t>recommends</w:t>
      </w:r>
      <w:r w:rsidRPr="002D0C0A">
        <w:rPr>
          <w:lang w:val="en-US"/>
        </w:rPr>
        <w:t xml:space="preserve"> 5, no value of </w:t>
      </w:r>
      <w:r w:rsidRPr="002D0C0A">
        <w:rPr>
          <w:i/>
          <w:lang w:val="en-US"/>
        </w:rPr>
        <w:t>X</w:t>
      </w:r>
      <w:r w:rsidRPr="002D0C0A">
        <w:rPr>
          <w:i/>
          <w:vertAlign w:val="subscript"/>
          <w:lang w:val="en-US"/>
        </w:rPr>
        <w:t>j</w:t>
      </w:r>
      <w:r w:rsidRPr="002D0C0A">
        <w:rPr>
          <w:i/>
          <w:lang w:val="en-US"/>
        </w:rPr>
        <w:t xml:space="preserve"> </w:t>
      </w:r>
      <w:r w:rsidRPr="002D0C0A">
        <w:rPr>
          <w:lang w:val="en-US"/>
        </w:rPr>
        <w:t>exceeds the allowed percentage of excess.</w:t>
      </w:r>
    </w:p>
    <w:p w:rsidR="00385D65" w:rsidRDefault="00385D65" w:rsidP="00385D65">
      <w:pPr>
        <w:spacing w:before="136"/>
        <w:jc w:val="center"/>
        <w:rPr>
          <w:noProof/>
          <w:lang w:val="en-US"/>
        </w:rPr>
      </w:pPr>
    </w:p>
    <w:p w:rsidR="00385D65" w:rsidRDefault="00385D65" w:rsidP="00385D65">
      <w:pPr>
        <w:pStyle w:val="Line"/>
        <w:rPr>
          <w:noProof/>
        </w:rPr>
      </w:pPr>
    </w:p>
    <w:sectPr w:rsidR="00385D65" w:rsidSect="00FC11A3">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D65" w:rsidRDefault="00385D65">
      <w:r>
        <w:separator/>
      </w:r>
    </w:p>
  </w:endnote>
  <w:endnote w:type="continuationSeparator" w:id="0">
    <w:p w:rsidR="00385D65" w:rsidRDefault="00385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D65" w:rsidRDefault="00385D65">
      <w:r>
        <w:separator/>
      </w:r>
    </w:p>
  </w:footnote>
  <w:footnote w:type="continuationSeparator" w:id="0">
    <w:p w:rsidR="00385D65" w:rsidRDefault="00385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D65" w:rsidRDefault="00385D65">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D65" w:rsidRDefault="00385D65" w:rsidP="00885C3D">
    <w:pPr>
      <w:ind w:right="360" w:firstLine="360"/>
    </w:pPr>
    <w:r>
      <w:rPr>
        <w:noProof/>
        <w:lang w:val="en-US" w:eastAsia="zh-CN"/>
      </w:rPr>
      <w:drawing>
        <wp:anchor distT="0" distB="0" distL="114300" distR="114300" simplePos="0" relativeHeight="251659264" behindDoc="1" locked="0" layoutInCell="1" allowOverlap="1" wp14:anchorId="21EC50B6" wp14:editId="01E11570">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D65" w:rsidRPr="00FC42AF" w:rsidRDefault="00385D65" w:rsidP="00863DF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967ED">
      <w:rPr>
        <w:rStyle w:val="PageNumber"/>
        <w:b/>
        <w:bCs/>
        <w:noProof/>
      </w:rPr>
      <w:t>ii</w:t>
    </w:r>
    <w:r>
      <w:rPr>
        <w:rStyle w:val="PageNumber"/>
        <w:b/>
        <w:bCs/>
      </w:rPr>
      <w:fldChar w:fldCharType="end"/>
    </w:r>
    <w:r w:rsidRPr="00FC42AF">
      <w:tab/>
    </w:r>
    <w:r w:rsidR="003967ED">
      <w:fldChar w:fldCharType="begin"/>
    </w:r>
    <w:r w:rsidR="003967ED">
      <w:instrText xml:space="preserve"> DOCPROPERTY "Header" \* MERGEFORMAT </w:instrText>
    </w:r>
    <w:r w:rsidR="003967ED">
      <w:fldChar w:fldCharType="separate"/>
    </w:r>
    <w:r w:rsidRPr="00385D65">
      <w:rPr>
        <w:b/>
        <w:bCs/>
      </w:rPr>
      <w:t xml:space="preserve">Rec. </w:t>
    </w:r>
    <w:r w:rsidR="003967ED">
      <w:rPr>
        <w:b/>
        <w:bCs/>
      </w:rPr>
      <w:fldChar w:fldCharType="end"/>
    </w:r>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3967ED">
      <w:rPr>
        <w:b/>
        <w:bCs/>
        <w:noProof/>
      </w:rPr>
      <w:t>ITU-R  S.732-1</w:t>
    </w:r>
    <w:r w:rsidRPr="00863DF0">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D65" w:rsidRDefault="00385D65">
    <w:r>
      <w:tab/>
    </w:r>
    <w:r w:rsidR="003967ED">
      <w:fldChar w:fldCharType="begin"/>
    </w:r>
    <w:r w:rsidR="003967ED">
      <w:instrText xml:space="preserve"> DOCPROPERTY "Header" \* MERGEFORMAT </w:instrText>
    </w:r>
    <w:r w:rsidR="003967ED">
      <w:fldChar w:fldCharType="separate"/>
    </w:r>
    <w:r w:rsidRPr="00385D65">
      <w:rPr>
        <w:b/>
        <w:bCs/>
      </w:rPr>
      <w:t xml:space="preserve">Rec. </w:t>
    </w:r>
    <w:r w:rsidR="003967ED">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S.732-1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967ED">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85D65" w:rsidRPr="00385D6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967ED">
      <w:rPr>
        <w:b/>
        <w:bCs/>
        <w:noProof/>
      </w:rPr>
      <w:t>ITU-R  S.732-1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3967ED">
      <w:fldChar w:fldCharType="begin"/>
    </w:r>
    <w:r w:rsidR="003967ED">
      <w:instrText xml:space="preserve"> DOCPROPERTY "Header" \* MERGEFORMAT </w:instrText>
    </w:r>
    <w:r w:rsidR="003967ED">
      <w:fldChar w:fldCharType="separate"/>
    </w:r>
    <w:r w:rsidR="00385D65" w:rsidRPr="00385D65">
      <w:rPr>
        <w:b/>
        <w:bCs/>
      </w:rPr>
      <w:t xml:space="preserve">Rec. </w:t>
    </w:r>
    <w:r w:rsidR="003967ED">
      <w:rPr>
        <w:b/>
        <w:bCs/>
      </w:rPr>
      <w:fldChar w:fldCharType="end"/>
    </w:r>
    <w:r>
      <w:rPr>
        <w:b/>
        <w:bCs/>
      </w:rPr>
      <w:t xml:space="preserve"> </w:t>
    </w:r>
    <w:r>
      <w:rPr>
        <w:b/>
        <w:bCs/>
      </w:rPr>
      <w:fldChar w:fldCharType="begin"/>
    </w:r>
    <w:r>
      <w:rPr>
        <w:b/>
        <w:bCs/>
      </w:rPr>
      <w:instrText>styleref href</w:instrText>
    </w:r>
    <w:r>
      <w:rPr>
        <w:b/>
        <w:bCs/>
      </w:rPr>
      <w:fldChar w:fldCharType="separate"/>
    </w:r>
    <w:r w:rsidR="003967ED">
      <w:rPr>
        <w:b/>
        <w:bCs/>
        <w:noProof/>
      </w:rPr>
      <w:t>ITU-R  S.732-1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967ED">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D65"/>
    <w:rsid w:val="00217EBF"/>
    <w:rsid w:val="00242AEE"/>
    <w:rsid w:val="002D76C4"/>
    <w:rsid w:val="002E6A63"/>
    <w:rsid w:val="00385D65"/>
    <w:rsid w:val="003967ED"/>
    <w:rsid w:val="0052529D"/>
    <w:rsid w:val="005300B1"/>
    <w:rsid w:val="00607D68"/>
    <w:rsid w:val="007468DA"/>
    <w:rsid w:val="00747CA7"/>
    <w:rsid w:val="0083385A"/>
    <w:rsid w:val="00855475"/>
    <w:rsid w:val="009E00A8"/>
    <w:rsid w:val="00A6617B"/>
    <w:rsid w:val="00AB0DC8"/>
    <w:rsid w:val="00B44E24"/>
    <w:rsid w:val="00DF4176"/>
    <w:rsid w:val="00FC11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5D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0"/>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85D65"/>
    <w:rPr>
      <w:color w:val="0000FF"/>
      <w:u w:val="single"/>
    </w:rPr>
  </w:style>
  <w:style w:type="character" w:customStyle="1" w:styleId="enumlev10">
    <w:name w:val="enumlev1 Знак"/>
    <w:link w:val="enumlev1"/>
    <w:locked/>
    <w:rsid w:val="00385D65"/>
    <w:rPr>
      <w:sz w:val="24"/>
      <w:lang w:val="fr-FR" w:eastAsia="en-US"/>
    </w:rPr>
  </w:style>
  <w:style w:type="character" w:customStyle="1" w:styleId="TableNoChar">
    <w:name w:val="Table_No Char"/>
    <w:link w:val="TableNo"/>
    <w:locked/>
    <w:rsid w:val="00385D65"/>
    <w:rPr>
      <w:sz w:val="24"/>
      <w:lang w:val="fr-FR" w:eastAsia="en-US"/>
    </w:rPr>
  </w:style>
  <w:style w:type="character" w:customStyle="1" w:styleId="EquationeqChar">
    <w:name w:val="Equation.eq Char"/>
    <w:link w:val="Equation"/>
    <w:rsid w:val="00385D65"/>
    <w:rPr>
      <w:sz w:val="24"/>
      <w:lang w:val="fr-FR" w:eastAsia="en-US"/>
    </w:rPr>
  </w:style>
  <w:style w:type="character" w:customStyle="1" w:styleId="TabletextChar">
    <w:name w:val="Table_text Char"/>
    <w:link w:val="Tabletext"/>
    <w:locked/>
    <w:rsid w:val="00385D65"/>
    <w:rPr>
      <w:sz w:val="22"/>
      <w:lang w:val="fr-FR" w:eastAsia="en-US"/>
    </w:rPr>
  </w:style>
  <w:style w:type="character" w:customStyle="1" w:styleId="TabletitleChar">
    <w:name w:val="Table_title Char"/>
    <w:link w:val="Tabletitle"/>
    <w:locked/>
    <w:rsid w:val="00385D65"/>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5D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0"/>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85D65"/>
    <w:rPr>
      <w:color w:val="0000FF"/>
      <w:u w:val="single"/>
    </w:rPr>
  </w:style>
  <w:style w:type="character" w:customStyle="1" w:styleId="enumlev10">
    <w:name w:val="enumlev1 Знак"/>
    <w:link w:val="enumlev1"/>
    <w:locked/>
    <w:rsid w:val="00385D65"/>
    <w:rPr>
      <w:sz w:val="24"/>
      <w:lang w:val="fr-FR" w:eastAsia="en-US"/>
    </w:rPr>
  </w:style>
  <w:style w:type="character" w:customStyle="1" w:styleId="TableNoChar">
    <w:name w:val="Table_No Char"/>
    <w:link w:val="TableNo"/>
    <w:locked/>
    <w:rsid w:val="00385D65"/>
    <w:rPr>
      <w:sz w:val="24"/>
      <w:lang w:val="fr-FR" w:eastAsia="en-US"/>
    </w:rPr>
  </w:style>
  <w:style w:type="character" w:customStyle="1" w:styleId="EquationeqChar">
    <w:name w:val="Equation.eq Char"/>
    <w:link w:val="Equation"/>
    <w:rsid w:val="00385D65"/>
    <w:rPr>
      <w:sz w:val="24"/>
      <w:lang w:val="fr-FR" w:eastAsia="en-US"/>
    </w:rPr>
  </w:style>
  <w:style w:type="character" w:customStyle="1" w:styleId="TabletextChar">
    <w:name w:val="Table_text Char"/>
    <w:link w:val="Tabletext"/>
    <w:locked/>
    <w:rsid w:val="00385D65"/>
    <w:rPr>
      <w:sz w:val="22"/>
      <w:lang w:val="fr-FR" w:eastAsia="en-US"/>
    </w:rPr>
  </w:style>
  <w:style w:type="character" w:customStyle="1" w:styleId="TabletitleChar">
    <w:name w:val="Table_title Char"/>
    <w:link w:val="Tabletitle"/>
    <w:locked/>
    <w:rsid w:val="00385D65"/>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TotalTime>
  <Pages>5</Pages>
  <Words>1190</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RECOMMENDATION  ITU-R  S.732-1 - Method for statistical processing of earth station antenna side-lobe  peaks to determine excess over antenna reference patterns  and conditions for acceptability of any excess</vt:lpstr>
    </vt:vector>
  </TitlesOfParts>
  <Manager/>
  <Company>ITU</Company>
  <LinksUpToDate>false</LinksUpToDate>
  <CharactersWithSpaces>8060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S.732-1 - Method for statistical processing of earth station antenna side-lobe  peaks to determine excess over antenna reference patterns  and conditions for acceptability of any excess</dc:title>
  <dc:subject>S Series = Fixed-satellite service</dc:subject>
  <dc:creator>ITU Radiocommunication Bureau (BR)</dc:creator>
  <cp:keywords>S,732-1</cp:keywords>
  <dc:description>Soby, 19.12.2012, ITU51007790</dc:description>
  <cp:lastModifiedBy>Gachet, Christelle</cp:lastModifiedBy>
  <cp:revision>7</cp:revision>
  <cp:lastPrinted>2005-02-10T15:54:00Z</cp:lastPrinted>
  <dcterms:created xsi:type="dcterms:W3CDTF">2012-11-02T12:29:00Z</dcterms:created>
  <dcterms:modified xsi:type="dcterms:W3CDTF">2013-03-20T14:03:00Z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19. décembre 2012</vt:lpwstr>
  </property>
</Properties>
</file>