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6E6C" w:rsidRDefault="00C66E6C" w:rsidP="00C66E6C"/>
    <w:p w:rsidR="00C66E6C" w:rsidRDefault="00C66E6C" w:rsidP="00C66E6C"/>
    <w:p w:rsidR="00C66E6C" w:rsidRDefault="00C66E6C" w:rsidP="00C66E6C"/>
    <w:p w:rsidR="00C66E6C" w:rsidRDefault="00C66E6C" w:rsidP="00C66E6C"/>
    <w:p w:rsidR="00C66E6C" w:rsidRDefault="00C66E6C" w:rsidP="00C66E6C"/>
    <w:p w:rsidR="00C66E6C" w:rsidRDefault="00C66E6C" w:rsidP="00C66E6C"/>
    <w:p w:rsidR="00C66E6C" w:rsidRDefault="00C66E6C" w:rsidP="00C66E6C"/>
    <w:p w:rsidR="00C66E6C" w:rsidRDefault="00C66E6C" w:rsidP="00C66E6C"/>
    <w:p w:rsidR="00C66E6C" w:rsidRDefault="00C66E6C" w:rsidP="00C66E6C"/>
    <w:p w:rsidR="00C66E6C" w:rsidRDefault="00C66E6C" w:rsidP="00C66E6C"/>
    <w:p w:rsidR="00C66E6C" w:rsidRDefault="00C66E6C" w:rsidP="00C66E6C"/>
    <w:p w:rsidR="00C66E6C" w:rsidRDefault="00C66E6C" w:rsidP="00C66E6C"/>
    <w:tbl>
      <w:tblPr>
        <w:tblW w:w="10089" w:type="dxa"/>
        <w:tblLook w:val="01E0" w:firstRow="1" w:lastRow="1" w:firstColumn="1" w:lastColumn="1" w:noHBand="0" w:noVBand="0"/>
      </w:tblPr>
      <w:tblGrid>
        <w:gridCol w:w="10089"/>
      </w:tblGrid>
      <w:tr w:rsidR="00C66E6C" w:rsidRPr="00A443C2" w:rsidTr="009075E1">
        <w:tc>
          <w:tcPr>
            <w:tcW w:w="10089" w:type="dxa"/>
          </w:tcPr>
          <w:p w:rsidR="00C66E6C" w:rsidRPr="00B033C8" w:rsidRDefault="00C66E6C" w:rsidP="009075E1">
            <w:pPr>
              <w:spacing w:before="380" w:line="280" w:lineRule="exact"/>
              <w:jc w:val="right"/>
              <w:rPr>
                <w:rFonts w:ascii="Tahoma" w:hAnsi="Tahoma" w:cs="Tahoma"/>
                <w:b/>
                <w:bCs/>
                <w:iCs/>
                <w:color w:val="243285"/>
                <w:sz w:val="32"/>
                <w:szCs w:val="32"/>
                <w:lang w:val="en-US"/>
              </w:rPr>
            </w:pPr>
          </w:p>
          <w:p w:rsidR="00C66E6C" w:rsidRPr="00A443C2" w:rsidRDefault="00C66E6C" w:rsidP="00C66E6C">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w:t>
            </w:r>
            <w:r w:rsidRPr="00A443C2">
              <w:rPr>
                <w:rFonts w:ascii="Tahoma" w:hAnsi="Tahoma" w:cs="Tahoma"/>
                <w:b/>
                <w:bCs/>
                <w:iCs/>
                <w:color w:val="243285"/>
                <w:sz w:val="36"/>
                <w:szCs w:val="36"/>
              </w:rPr>
              <w:t>.</w:t>
            </w:r>
            <w:r>
              <w:rPr>
                <w:rFonts w:ascii="Tahoma" w:hAnsi="Tahoma" w:cs="Tahoma"/>
                <w:b/>
                <w:bCs/>
                <w:iCs/>
                <w:color w:val="243285"/>
                <w:sz w:val="36"/>
                <w:szCs w:val="36"/>
              </w:rPr>
              <w:t>732-1</w:t>
            </w:r>
          </w:p>
          <w:p w:rsidR="00C66E6C" w:rsidRPr="00A443C2" w:rsidRDefault="00C66E6C" w:rsidP="00C66E6C">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12</w:t>
            </w:r>
            <w:r w:rsidRPr="00A443C2">
              <w:rPr>
                <w:rFonts w:ascii="Tahoma" w:hAnsi="Tahoma" w:cs="Tahoma"/>
                <w:b/>
                <w:bCs/>
                <w:iCs/>
                <w:color w:val="243285"/>
                <w:szCs w:val="24"/>
              </w:rPr>
              <w:t>/</w:t>
            </w:r>
            <w:r>
              <w:rPr>
                <w:rFonts w:ascii="Tahoma" w:hAnsi="Tahoma" w:cs="Tahoma"/>
                <w:b/>
                <w:bCs/>
                <w:iCs/>
                <w:color w:val="243285"/>
                <w:szCs w:val="24"/>
              </w:rPr>
              <w:t>2012</w:t>
            </w:r>
            <w:r w:rsidRPr="00A443C2">
              <w:rPr>
                <w:rFonts w:ascii="Tahoma" w:hAnsi="Tahoma" w:cs="Tahoma"/>
                <w:b/>
                <w:bCs/>
                <w:iCs/>
                <w:color w:val="243285"/>
                <w:szCs w:val="24"/>
              </w:rPr>
              <w:t>)</w:t>
            </w:r>
          </w:p>
        </w:tc>
      </w:tr>
      <w:tr w:rsidR="00C66E6C" w:rsidRPr="00F54FBD" w:rsidTr="009075E1">
        <w:tc>
          <w:tcPr>
            <w:tcW w:w="10089" w:type="dxa"/>
          </w:tcPr>
          <w:p w:rsidR="00C66E6C" w:rsidRDefault="00C66E6C" w:rsidP="009075E1">
            <w:pPr>
              <w:spacing w:before="80" w:line="500" w:lineRule="exact"/>
              <w:jc w:val="right"/>
              <w:rPr>
                <w:rFonts w:ascii="Tahoma" w:hAnsi="Tahoma" w:cs="Tahoma"/>
                <w:b/>
                <w:bCs/>
                <w:iCs/>
                <w:color w:val="243285"/>
                <w:sz w:val="44"/>
                <w:szCs w:val="44"/>
              </w:rPr>
            </w:pPr>
          </w:p>
          <w:p w:rsidR="00C66E6C" w:rsidRDefault="00C1125D" w:rsidP="00C1125D">
            <w:pPr>
              <w:spacing w:before="80" w:line="500" w:lineRule="exact"/>
              <w:jc w:val="right"/>
              <w:rPr>
                <w:rFonts w:ascii="Tahoma" w:hAnsi="Tahoma" w:cs="Tahoma"/>
                <w:b/>
                <w:bCs/>
                <w:iCs/>
                <w:color w:val="243285"/>
                <w:sz w:val="44"/>
                <w:szCs w:val="44"/>
              </w:rPr>
            </w:pPr>
            <w:r w:rsidRPr="00C1125D">
              <w:rPr>
                <w:rFonts w:ascii="Tahoma" w:hAnsi="Tahoma" w:cs="Tahoma"/>
                <w:b/>
                <w:bCs/>
                <w:iCs/>
                <w:color w:val="243285"/>
                <w:sz w:val="44"/>
                <w:szCs w:val="44"/>
                <w:lang w:val="fr-CH"/>
              </w:rPr>
              <w:t xml:space="preserve">Méthode de traitement statistique des crêtes des lobes latéraux d'antenne </w:t>
            </w:r>
            <w:r w:rsidRPr="00C1125D">
              <w:rPr>
                <w:rFonts w:ascii="Tahoma" w:hAnsi="Tahoma" w:cs="Tahoma"/>
                <w:b/>
                <w:bCs/>
                <w:iCs/>
                <w:color w:val="243285"/>
                <w:sz w:val="44"/>
                <w:szCs w:val="44"/>
                <w:lang w:val="fr-CH"/>
              </w:rPr>
              <w:br/>
              <w:t xml:space="preserve">de station </w:t>
            </w:r>
            <w:r>
              <w:rPr>
                <w:rFonts w:ascii="Tahoma" w:hAnsi="Tahoma" w:cs="Tahoma"/>
                <w:b/>
                <w:bCs/>
                <w:iCs/>
                <w:color w:val="243285"/>
                <w:sz w:val="44"/>
                <w:szCs w:val="44"/>
                <w:lang w:val="fr-CH"/>
              </w:rPr>
              <w:t xml:space="preserve">terrienne pour la </w:t>
            </w:r>
            <w:r>
              <w:rPr>
                <w:rFonts w:ascii="Tahoma" w:hAnsi="Tahoma" w:cs="Tahoma"/>
                <w:b/>
                <w:bCs/>
                <w:iCs/>
                <w:color w:val="243285"/>
                <w:sz w:val="44"/>
                <w:szCs w:val="44"/>
                <w:lang w:val="fr-CH"/>
              </w:rPr>
              <w:br/>
              <w:t xml:space="preserve">détermination </w:t>
            </w:r>
            <w:r w:rsidRPr="00C1125D">
              <w:rPr>
                <w:rFonts w:ascii="Tahoma" w:hAnsi="Tahoma" w:cs="Tahoma"/>
                <w:b/>
                <w:bCs/>
                <w:iCs/>
                <w:color w:val="243285"/>
                <w:sz w:val="44"/>
                <w:szCs w:val="44"/>
                <w:lang w:val="fr-CH"/>
              </w:rPr>
              <w:t xml:space="preserve">du dépassement des </w:t>
            </w:r>
            <w:r w:rsidRPr="00C1125D">
              <w:rPr>
                <w:rFonts w:ascii="Tahoma" w:hAnsi="Tahoma" w:cs="Tahoma"/>
                <w:b/>
                <w:bCs/>
                <w:iCs/>
                <w:color w:val="243285"/>
                <w:sz w:val="44"/>
                <w:szCs w:val="44"/>
                <w:lang w:val="fr-CH"/>
              </w:rPr>
              <w:br/>
              <w:t xml:space="preserve">diagrammes d'antenne de </w:t>
            </w:r>
            <w:r>
              <w:rPr>
                <w:rFonts w:ascii="Tahoma" w:hAnsi="Tahoma" w:cs="Tahoma"/>
                <w:b/>
                <w:bCs/>
                <w:iCs/>
                <w:color w:val="243285"/>
                <w:sz w:val="44"/>
                <w:szCs w:val="44"/>
                <w:lang w:val="fr-CH"/>
              </w:rPr>
              <w:br/>
            </w:r>
            <w:r w:rsidRPr="00C1125D">
              <w:rPr>
                <w:rFonts w:ascii="Tahoma" w:hAnsi="Tahoma" w:cs="Tahoma"/>
                <w:b/>
                <w:bCs/>
                <w:iCs/>
                <w:color w:val="243285"/>
                <w:sz w:val="44"/>
                <w:szCs w:val="44"/>
                <w:lang w:val="fr-CH"/>
              </w:rPr>
              <w:t xml:space="preserve">référence et des conditions </w:t>
            </w:r>
            <w:r w:rsidRPr="00C1125D">
              <w:rPr>
                <w:rFonts w:ascii="Tahoma" w:hAnsi="Tahoma" w:cs="Tahoma"/>
                <w:b/>
                <w:bCs/>
                <w:iCs/>
                <w:color w:val="243285"/>
                <w:sz w:val="44"/>
                <w:szCs w:val="44"/>
                <w:lang w:val="fr-CH"/>
              </w:rPr>
              <w:br/>
              <w:t>d'acceptabilité de tout dépassement</w:t>
            </w:r>
          </w:p>
          <w:p w:rsidR="00C66E6C" w:rsidRPr="00F54FBD" w:rsidRDefault="00C66E6C" w:rsidP="009075E1">
            <w:pPr>
              <w:spacing w:before="80" w:line="500" w:lineRule="exact"/>
              <w:jc w:val="right"/>
              <w:rPr>
                <w:rFonts w:ascii="Tahoma" w:hAnsi="Tahoma" w:cs="Tahoma"/>
                <w:b/>
                <w:bCs/>
                <w:iCs/>
                <w:color w:val="243285"/>
                <w:sz w:val="44"/>
                <w:szCs w:val="44"/>
              </w:rPr>
            </w:pPr>
          </w:p>
        </w:tc>
      </w:tr>
      <w:tr w:rsidR="00C66E6C" w:rsidRPr="00F54FBD" w:rsidTr="009075E1">
        <w:tc>
          <w:tcPr>
            <w:tcW w:w="10089" w:type="dxa"/>
          </w:tcPr>
          <w:p w:rsidR="00C66E6C" w:rsidRPr="00F54FBD" w:rsidRDefault="00C66E6C" w:rsidP="009075E1">
            <w:pPr>
              <w:spacing w:before="80" w:line="280" w:lineRule="exact"/>
              <w:ind w:right="640"/>
              <w:rPr>
                <w:rFonts w:ascii="Tahoma" w:hAnsi="Tahoma" w:cs="Tahoma"/>
                <w:b/>
                <w:bCs/>
                <w:iCs/>
                <w:color w:val="243285"/>
                <w:sz w:val="32"/>
                <w:szCs w:val="32"/>
              </w:rPr>
            </w:pPr>
          </w:p>
          <w:p w:rsidR="00C66E6C" w:rsidRPr="00F54FBD" w:rsidRDefault="00C66E6C" w:rsidP="009075E1">
            <w:pPr>
              <w:spacing w:before="80" w:line="280" w:lineRule="exact"/>
              <w:ind w:right="640"/>
              <w:rPr>
                <w:rFonts w:ascii="Tahoma" w:hAnsi="Tahoma" w:cs="Tahoma"/>
                <w:b/>
                <w:bCs/>
                <w:iCs/>
                <w:color w:val="243285"/>
                <w:sz w:val="32"/>
                <w:szCs w:val="32"/>
              </w:rPr>
            </w:pPr>
          </w:p>
          <w:p w:rsidR="00C66E6C" w:rsidRPr="00F54FBD" w:rsidRDefault="00C66E6C" w:rsidP="009075E1">
            <w:pPr>
              <w:spacing w:before="80" w:after="180" w:line="360" w:lineRule="exact"/>
              <w:ind w:right="720"/>
              <w:rPr>
                <w:rFonts w:ascii="Tahoma" w:hAnsi="Tahoma" w:cs="Tahoma"/>
                <w:b/>
                <w:bCs/>
                <w:iCs/>
                <w:color w:val="243285"/>
                <w:sz w:val="36"/>
                <w:szCs w:val="36"/>
              </w:rPr>
            </w:pPr>
          </w:p>
          <w:p w:rsidR="00C66E6C" w:rsidRPr="00F54FBD" w:rsidRDefault="00C66E6C" w:rsidP="009075E1">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w:t>
            </w:r>
          </w:p>
          <w:p w:rsidR="00C66E6C" w:rsidRPr="00F54FBD" w:rsidRDefault="00C66E6C" w:rsidP="009075E1">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 par satellite</w:t>
            </w:r>
          </w:p>
        </w:tc>
      </w:tr>
    </w:tbl>
    <w:p w:rsidR="00C66E6C" w:rsidRPr="00F54FBD" w:rsidRDefault="00C66E6C" w:rsidP="00C66E6C">
      <w:pPr>
        <w:spacing w:before="80"/>
        <w:rPr>
          <w:i/>
          <w:sz w:val="22"/>
        </w:rPr>
      </w:pPr>
    </w:p>
    <w:p w:rsidR="00C66E6C" w:rsidRPr="00F54FBD" w:rsidRDefault="00C66E6C" w:rsidP="00C66E6C">
      <w:pPr>
        <w:spacing w:before="80"/>
        <w:rPr>
          <w:i/>
          <w:sz w:val="22"/>
        </w:rPr>
      </w:pPr>
    </w:p>
    <w:p w:rsidR="00C66E6C" w:rsidRPr="00F54FBD" w:rsidRDefault="00C66E6C" w:rsidP="00C66E6C">
      <w:pPr>
        <w:spacing w:before="80"/>
        <w:rPr>
          <w:i/>
          <w:sz w:val="22"/>
        </w:rPr>
      </w:pPr>
      <w:bookmarkStart w:id="0" w:name="_GoBack"/>
      <w:bookmarkEnd w:id="0"/>
    </w:p>
    <w:p w:rsidR="00C66E6C" w:rsidRPr="00F54FBD" w:rsidRDefault="00C66E6C" w:rsidP="00C66E6C">
      <w:pPr>
        <w:spacing w:before="80"/>
        <w:rPr>
          <w:i/>
          <w:sz w:val="22"/>
        </w:rPr>
      </w:pPr>
    </w:p>
    <w:p w:rsidR="00C66E6C" w:rsidRPr="00F54FBD" w:rsidRDefault="00C66E6C" w:rsidP="00C66E6C">
      <w:pPr>
        <w:spacing w:before="80"/>
        <w:rPr>
          <w:i/>
          <w:sz w:val="22"/>
        </w:rPr>
      </w:pPr>
    </w:p>
    <w:p w:rsidR="00C66E6C" w:rsidRPr="00F54FBD" w:rsidRDefault="00C66E6C" w:rsidP="00C66E6C">
      <w:pPr>
        <w:pStyle w:val="Equation"/>
        <w:tabs>
          <w:tab w:val="clear" w:pos="4820"/>
          <w:tab w:val="clear" w:pos="9639"/>
          <w:tab w:val="left" w:pos="1191"/>
          <w:tab w:val="left" w:pos="1588"/>
          <w:tab w:val="left" w:pos="1985"/>
        </w:tabs>
        <w:rPr>
          <w:rFonts w:ascii="Palatino Linotype" w:hAnsi="Palatino Linotype"/>
        </w:rPr>
        <w:sectPr w:rsidR="00C66E6C" w:rsidRPr="00F54FBD">
          <w:headerReference w:type="even" r:id="rId6"/>
          <w:headerReference w:type="default" r:id="rId7"/>
          <w:pgSz w:w="11907" w:h="16840" w:code="9"/>
          <w:pgMar w:top="1089" w:right="1089" w:bottom="284" w:left="1089" w:header="567" w:footer="284" w:gutter="0"/>
          <w:pgNumType w:start="1"/>
          <w:cols w:space="720"/>
        </w:sectPr>
      </w:pPr>
    </w:p>
    <w:p w:rsidR="00C66E6C" w:rsidRPr="00F54FBD" w:rsidRDefault="00C66E6C" w:rsidP="00C66E6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C66E6C" w:rsidRPr="00F54FBD" w:rsidRDefault="00C66E6C" w:rsidP="00C66E6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C66E6C" w:rsidRPr="00F54FBD" w:rsidRDefault="00C66E6C" w:rsidP="00C66E6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C66E6C" w:rsidRPr="00E44CBB" w:rsidRDefault="00C66E6C" w:rsidP="00C66E6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C66E6C" w:rsidRPr="00E44CBB" w:rsidRDefault="00C66E6C" w:rsidP="00C66E6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C66E6C" w:rsidRPr="00306307" w:rsidRDefault="00C66E6C" w:rsidP="00C66E6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66E6C" w:rsidRPr="009454F8" w:rsidTr="009075E1">
        <w:tc>
          <w:tcPr>
            <w:tcW w:w="9360" w:type="dxa"/>
            <w:gridSpan w:val="2"/>
          </w:tcPr>
          <w:p w:rsidR="00C66E6C" w:rsidRPr="009454F8" w:rsidRDefault="00C66E6C" w:rsidP="009075E1">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C66E6C" w:rsidRPr="009454F8" w:rsidRDefault="00C66E6C" w:rsidP="009075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C66E6C" w:rsidRPr="00036EE3" w:rsidTr="009075E1">
        <w:tc>
          <w:tcPr>
            <w:tcW w:w="1140" w:type="dxa"/>
            <w:tcBorders>
              <w:bottom w:val="nil"/>
            </w:tcBorders>
          </w:tcPr>
          <w:p w:rsidR="00C66E6C" w:rsidRPr="00614CC6" w:rsidRDefault="00C66E6C" w:rsidP="009075E1">
            <w:pPr>
              <w:spacing w:before="90" w:after="100"/>
              <w:ind w:left="57"/>
              <w:rPr>
                <w:b/>
                <w:bCs/>
                <w:sz w:val="20"/>
                <w:lang w:val="en-US"/>
              </w:rPr>
            </w:pPr>
            <w:r w:rsidRPr="00614CC6">
              <w:rPr>
                <w:b/>
                <w:bCs/>
                <w:sz w:val="20"/>
                <w:lang w:val="en-US"/>
              </w:rPr>
              <w:t>Séries</w:t>
            </w:r>
          </w:p>
        </w:tc>
        <w:tc>
          <w:tcPr>
            <w:tcW w:w="8220" w:type="dxa"/>
            <w:tcBorders>
              <w:bottom w:val="nil"/>
            </w:tcBorders>
          </w:tcPr>
          <w:p w:rsidR="00C66E6C" w:rsidRPr="00614CC6" w:rsidRDefault="00C66E6C" w:rsidP="009075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C66E6C" w:rsidRPr="005E427C" w:rsidTr="009075E1">
        <w:tc>
          <w:tcPr>
            <w:tcW w:w="1140" w:type="dxa"/>
            <w:tcBorders>
              <w:top w:val="nil"/>
              <w:bottom w:val="nil"/>
            </w:tcBorders>
            <w:shd w:val="clear" w:color="auto" w:fill="auto"/>
          </w:tcPr>
          <w:p w:rsidR="00C66E6C" w:rsidRPr="005E427C" w:rsidRDefault="00C66E6C" w:rsidP="009075E1">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C66E6C" w:rsidRPr="005E427C" w:rsidRDefault="00C66E6C" w:rsidP="009075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C66E6C" w:rsidRPr="009454F8" w:rsidTr="009075E1">
        <w:tc>
          <w:tcPr>
            <w:tcW w:w="1140" w:type="dxa"/>
            <w:tcBorders>
              <w:top w:val="nil"/>
              <w:bottom w:val="nil"/>
            </w:tcBorders>
          </w:tcPr>
          <w:p w:rsidR="00C66E6C" w:rsidRPr="00614CC6" w:rsidRDefault="00C66E6C" w:rsidP="009075E1">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C66E6C" w:rsidRPr="00614CC6" w:rsidRDefault="00C66E6C" w:rsidP="009075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C66E6C" w:rsidRPr="00E80F1D" w:rsidTr="009075E1">
        <w:tc>
          <w:tcPr>
            <w:tcW w:w="1140" w:type="dxa"/>
            <w:tcBorders>
              <w:top w:val="nil"/>
              <w:bottom w:val="nil"/>
            </w:tcBorders>
            <w:shd w:val="clear" w:color="auto" w:fill="auto"/>
          </w:tcPr>
          <w:p w:rsidR="00C66E6C" w:rsidRPr="00E80F1D" w:rsidRDefault="00C66E6C" w:rsidP="009075E1">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C66E6C" w:rsidRPr="00E80F1D" w:rsidRDefault="00C66E6C" w:rsidP="009075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C66E6C" w:rsidRPr="00ED2695" w:rsidTr="009075E1">
        <w:tc>
          <w:tcPr>
            <w:tcW w:w="1140" w:type="dxa"/>
            <w:tcBorders>
              <w:top w:val="nil"/>
              <w:bottom w:val="nil"/>
            </w:tcBorders>
            <w:shd w:val="clear" w:color="auto" w:fill="auto"/>
          </w:tcPr>
          <w:p w:rsidR="00C66E6C" w:rsidRPr="00614CC6" w:rsidRDefault="00C66E6C" w:rsidP="009075E1">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C66E6C" w:rsidRPr="00614CC6" w:rsidRDefault="00C66E6C" w:rsidP="009075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C66E6C" w:rsidRPr="00DE5EA2" w:rsidTr="009075E1">
        <w:tc>
          <w:tcPr>
            <w:tcW w:w="1140" w:type="dxa"/>
            <w:tcBorders>
              <w:top w:val="nil"/>
              <w:bottom w:val="nil"/>
            </w:tcBorders>
            <w:shd w:val="clear" w:color="auto" w:fill="auto"/>
          </w:tcPr>
          <w:p w:rsidR="00C66E6C" w:rsidRPr="00DE5EA2" w:rsidRDefault="00C66E6C" w:rsidP="009075E1">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C66E6C" w:rsidRPr="00DE5EA2" w:rsidRDefault="00C66E6C" w:rsidP="009075E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C66E6C" w:rsidRPr="00B21066" w:rsidTr="009075E1">
        <w:tc>
          <w:tcPr>
            <w:tcW w:w="1140" w:type="dxa"/>
            <w:tcBorders>
              <w:top w:val="nil"/>
              <w:bottom w:val="nil"/>
            </w:tcBorders>
            <w:shd w:val="clear" w:color="auto" w:fill="auto"/>
          </w:tcPr>
          <w:p w:rsidR="00C66E6C" w:rsidRPr="00B21066" w:rsidRDefault="00C66E6C" w:rsidP="009075E1">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C66E6C" w:rsidRPr="00B21066" w:rsidRDefault="00C66E6C" w:rsidP="009075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C66E6C" w:rsidRPr="00EC361D" w:rsidTr="009075E1">
        <w:tc>
          <w:tcPr>
            <w:tcW w:w="1140" w:type="dxa"/>
            <w:tcBorders>
              <w:top w:val="nil"/>
              <w:bottom w:val="nil"/>
            </w:tcBorders>
            <w:shd w:val="clear" w:color="auto" w:fill="auto"/>
          </w:tcPr>
          <w:p w:rsidR="00C66E6C" w:rsidRPr="00EC361D" w:rsidRDefault="00C66E6C" w:rsidP="009075E1">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C66E6C" w:rsidRPr="00EC361D" w:rsidRDefault="00C66E6C" w:rsidP="009075E1">
            <w:pPr>
              <w:spacing w:before="30" w:after="30"/>
              <w:jc w:val="left"/>
              <w:rPr>
                <w:sz w:val="20"/>
                <w:lang w:val="fr-CH"/>
              </w:rPr>
            </w:pPr>
            <w:r w:rsidRPr="00EC361D">
              <w:rPr>
                <w:sz w:val="20"/>
              </w:rPr>
              <w:t>Propagation des ondes radioélectriques</w:t>
            </w:r>
          </w:p>
        </w:tc>
      </w:tr>
      <w:tr w:rsidR="00C66E6C" w:rsidRPr="004822EF" w:rsidTr="009075E1">
        <w:tc>
          <w:tcPr>
            <w:tcW w:w="1140" w:type="dxa"/>
            <w:tcBorders>
              <w:top w:val="nil"/>
              <w:bottom w:val="nil"/>
            </w:tcBorders>
            <w:shd w:val="clear" w:color="auto" w:fill="auto"/>
          </w:tcPr>
          <w:p w:rsidR="00C66E6C" w:rsidRPr="004822EF" w:rsidRDefault="00C66E6C" w:rsidP="009075E1">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C66E6C" w:rsidRPr="004822EF" w:rsidRDefault="00C66E6C" w:rsidP="009075E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C66E6C" w:rsidRPr="00326525" w:rsidTr="009075E1">
        <w:tc>
          <w:tcPr>
            <w:tcW w:w="1140" w:type="dxa"/>
            <w:tcBorders>
              <w:top w:val="nil"/>
              <w:bottom w:val="nil"/>
            </w:tcBorders>
            <w:shd w:val="clear" w:color="auto" w:fill="auto"/>
          </w:tcPr>
          <w:p w:rsidR="00C66E6C" w:rsidRPr="00326525" w:rsidRDefault="00C66E6C" w:rsidP="009075E1">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C66E6C" w:rsidRPr="00326525" w:rsidRDefault="00C66E6C" w:rsidP="009075E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C66E6C" w:rsidRPr="00326525" w:rsidTr="009075E1">
        <w:tc>
          <w:tcPr>
            <w:tcW w:w="1140" w:type="dxa"/>
            <w:tcBorders>
              <w:top w:val="nil"/>
              <w:bottom w:val="nil"/>
            </w:tcBorders>
            <w:shd w:val="clear" w:color="auto" w:fill="F3F3F3"/>
          </w:tcPr>
          <w:p w:rsidR="00C66E6C" w:rsidRPr="00326525" w:rsidRDefault="00C66E6C" w:rsidP="009075E1">
            <w:pPr>
              <w:spacing w:before="30" w:after="30"/>
              <w:ind w:left="57"/>
              <w:jc w:val="left"/>
              <w:rPr>
                <w:b/>
                <w:bCs/>
                <w:color w:val="000080"/>
                <w:sz w:val="20"/>
                <w:lang w:val="en-US"/>
              </w:rPr>
            </w:pPr>
            <w:r w:rsidRPr="00326525">
              <w:rPr>
                <w:b/>
                <w:bCs/>
                <w:color w:val="000080"/>
                <w:sz w:val="20"/>
                <w:lang w:val="en-US"/>
              </w:rPr>
              <w:t>S</w:t>
            </w:r>
          </w:p>
        </w:tc>
        <w:tc>
          <w:tcPr>
            <w:tcW w:w="8220" w:type="dxa"/>
            <w:tcBorders>
              <w:top w:val="nil"/>
              <w:bottom w:val="nil"/>
            </w:tcBorders>
            <w:shd w:val="clear" w:color="auto" w:fill="F3F3F3"/>
          </w:tcPr>
          <w:p w:rsidR="00C66E6C" w:rsidRPr="00326525" w:rsidRDefault="00C66E6C" w:rsidP="009075E1">
            <w:pPr>
              <w:spacing w:before="30" w:after="30"/>
              <w:jc w:val="left"/>
              <w:rPr>
                <w:b/>
                <w:bCs/>
                <w:color w:val="000080"/>
                <w:sz w:val="20"/>
                <w:lang w:val="en-US"/>
              </w:rPr>
            </w:pPr>
            <w:r w:rsidRPr="00326525">
              <w:rPr>
                <w:b/>
                <w:bCs/>
                <w:color w:val="000080"/>
                <w:sz w:val="20"/>
              </w:rPr>
              <w:t>Service fixe par satellite</w:t>
            </w:r>
          </w:p>
        </w:tc>
      </w:tr>
      <w:tr w:rsidR="00C66E6C" w:rsidRPr="00036EE3" w:rsidTr="009075E1">
        <w:tc>
          <w:tcPr>
            <w:tcW w:w="1140" w:type="dxa"/>
            <w:tcBorders>
              <w:top w:val="nil"/>
            </w:tcBorders>
          </w:tcPr>
          <w:p w:rsidR="00C66E6C" w:rsidRPr="00614CC6" w:rsidRDefault="00C66E6C" w:rsidP="009075E1">
            <w:pPr>
              <w:spacing w:before="30" w:after="30"/>
              <w:ind w:left="57"/>
              <w:jc w:val="left"/>
              <w:rPr>
                <w:b/>
                <w:bCs/>
                <w:sz w:val="20"/>
                <w:lang w:val="en-US"/>
              </w:rPr>
            </w:pPr>
            <w:r w:rsidRPr="00614CC6">
              <w:rPr>
                <w:b/>
                <w:bCs/>
                <w:sz w:val="20"/>
                <w:lang w:val="en-US"/>
              </w:rPr>
              <w:t>SA</w:t>
            </w:r>
          </w:p>
        </w:tc>
        <w:tc>
          <w:tcPr>
            <w:tcW w:w="8220" w:type="dxa"/>
            <w:tcBorders>
              <w:top w:val="nil"/>
            </w:tcBorders>
          </w:tcPr>
          <w:p w:rsidR="00C66E6C" w:rsidRPr="00614CC6" w:rsidRDefault="00C66E6C" w:rsidP="009075E1">
            <w:pPr>
              <w:spacing w:before="30" w:after="30"/>
              <w:jc w:val="left"/>
              <w:rPr>
                <w:sz w:val="20"/>
                <w:lang w:val="en-US"/>
              </w:rPr>
            </w:pPr>
            <w:r w:rsidRPr="00614CC6">
              <w:rPr>
                <w:sz w:val="20"/>
              </w:rPr>
              <w:t>Applications spatiales et météorologie</w:t>
            </w:r>
          </w:p>
        </w:tc>
      </w:tr>
      <w:tr w:rsidR="00C66E6C" w:rsidRPr="00614CC6" w:rsidTr="009075E1">
        <w:tc>
          <w:tcPr>
            <w:tcW w:w="1140" w:type="dxa"/>
          </w:tcPr>
          <w:p w:rsidR="00C66E6C" w:rsidRPr="00614CC6" w:rsidRDefault="00C66E6C" w:rsidP="009075E1">
            <w:pPr>
              <w:spacing w:before="30" w:after="30"/>
              <w:ind w:left="57"/>
              <w:jc w:val="left"/>
              <w:rPr>
                <w:b/>
                <w:bCs/>
                <w:sz w:val="20"/>
                <w:lang w:val="en-US"/>
              </w:rPr>
            </w:pPr>
            <w:r w:rsidRPr="00614CC6">
              <w:rPr>
                <w:b/>
                <w:bCs/>
                <w:sz w:val="20"/>
                <w:lang w:val="en-US"/>
              </w:rPr>
              <w:t>SF</w:t>
            </w:r>
          </w:p>
        </w:tc>
        <w:tc>
          <w:tcPr>
            <w:tcW w:w="8220" w:type="dxa"/>
          </w:tcPr>
          <w:p w:rsidR="00C66E6C" w:rsidRPr="00614CC6" w:rsidRDefault="00C66E6C" w:rsidP="009075E1">
            <w:pPr>
              <w:spacing w:before="30" w:after="30"/>
              <w:jc w:val="left"/>
              <w:rPr>
                <w:sz w:val="20"/>
              </w:rPr>
            </w:pPr>
            <w:r w:rsidRPr="00614CC6">
              <w:rPr>
                <w:sz w:val="20"/>
              </w:rPr>
              <w:t>Partage des fréquences et coordination entre les systèmes du service fixe par satellite et du service fixe</w:t>
            </w:r>
          </w:p>
        </w:tc>
      </w:tr>
      <w:tr w:rsidR="00C66E6C" w:rsidRPr="00036EE3" w:rsidTr="009075E1">
        <w:tc>
          <w:tcPr>
            <w:tcW w:w="1140" w:type="dxa"/>
            <w:shd w:val="clear" w:color="auto" w:fill="auto"/>
          </w:tcPr>
          <w:p w:rsidR="00C66E6C" w:rsidRPr="00592F9F" w:rsidRDefault="00C66E6C" w:rsidP="009075E1">
            <w:pPr>
              <w:spacing w:before="30" w:after="30"/>
              <w:ind w:left="57"/>
              <w:jc w:val="left"/>
              <w:rPr>
                <w:b/>
                <w:bCs/>
                <w:sz w:val="20"/>
                <w:lang w:val="en-US"/>
              </w:rPr>
            </w:pPr>
            <w:r w:rsidRPr="00592F9F">
              <w:rPr>
                <w:b/>
                <w:bCs/>
                <w:sz w:val="20"/>
                <w:lang w:val="en-US"/>
              </w:rPr>
              <w:t>SM</w:t>
            </w:r>
          </w:p>
        </w:tc>
        <w:tc>
          <w:tcPr>
            <w:tcW w:w="8220" w:type="dxa"/>
            <w:shd w:val="clear" w:color="auto" w:fill="auto"/>
          </w:tcPr>
          <w:p w:rsidR="00C66E6C" w:rsidRPr="00592F9F" w:rsidRDefault="00C66E6C" w:rsidP="009075E1">
            <w:pPr>
              <w:spacing w:before="30" w:after="30"/>
              <w:jc w:val="left"/>
              <w:rPr>
                <w:sz w:val="20"/>
                <w:lang w:val="en-US"/>
              </w:rPr>
            </w:pPr>
            <w:r w:rsidRPr="00592F9F">
              <w:rPr>
                <w:sz w:val="20"/>
              </w:rPr>
              <w:t>Gestion du spectre</w:t>
            </w:r>
          </w:p>
        </w:tc>
      </w:tr>
      <w:tr w:rsidR="00C66E6C" w:rsidRPr="00036EE3" w:rsidTr="009075E1">
        <w:tc>
          <w:tcPr>
            <w:tcW w:w="1140" w:type="dxa"/>
          </w:tcPr>
          <w:p w:rsidR="00C66E6C" w:rsidRPr="00614CC6" w:rsidRDefault="00C66E6C" w:rsidP="009075E1">
            <w:pPr>
              <w:spacing w:before="30" w:after="30"/>
              <w:ind w:left="57"/>
              <w:jc w:val="left"/>
              <w:rPr>
                <w:b/>
                <w:bCs/>
                <w:sz w:val="20"/>
                <w:lang w:val="en-US"/>
              </w:rPr>
            </w:pPr>
            <w:r w:rsidRPr="00614CC6">
              <w:rPr>
                <w:b/>
                <w:bCs/>
                <w:sz w:val="20"/>
                <w:lang w:val="en-US"/>
              </w:rPr>
              <w:t>SNG</w:t>
            </w:r>
          </w:p>
        </w:tc>
        <w:tc>
          <w:tcPr>
            <w:tcW w:w="8220" w:type="dxa"/>
          </w:tcPr>
          <w:p w:rsidR="00C66E6C" w:rsidRPr="00614CC6" w:rsidRDefault="00C66E6C" w:rsidP="009075E1">
            <w:pPr>
              <w:spacing w:before="30" w:after="30"/>
              <w:jc w:val="left"/>
              <w:rPr>
                <w:sz w:val="20"/>
                <w:lang w:val="en-US"/>
              </w:rPr>
            </w:pPr>
            <w:r w:rsidRPr="00614CC6">
              <w:rPr>
                <w:sz w:val="20"/>
              </w:rPr>
              <w:t>Reportage d'actualités par satellite</w:t>
            </w:r>
          </w:p>
        </w:tc>
      </w:tr>
      <w:tr w:rsidR="00C66E6C" w:rsidRPr="00614CC6" w:rsidTr="009075E1">
        <w:tc>
          <w:tcPr>
            <w:tcW w:w="1140" w:type="dxa"/>
          </w:tcPr>
          <w:p w:rsidR="00C66E6C" w:rsidRPr="00614CC6" w:rsidRDefault="00C66E6C" w:rsidP="009075E1">
            <w:pPr>
              <w:spacing w:before="30" w:after="30"/>
              <w:ind w:left="57"/>
              <w:jc w:val="left"/>
              <w:rPr>
                <w:b/>
                <w:bCs/>
                <w:sz w:val="20"/>
                <w:lang w:val="en-US"/>
              </w:rPr>
            </w:pPr>
            <w:r w:rsidRPr="00614CC6">
              <w:rPr>
                <w:b/>
                <w:bCs/>
                <w:sz w:val="20"/>
                <w:lang w:val="en-US"/>
              </w:rPr>
              <w:t>TF</w:t>
            </w:r>
          </w:p>
        </w:tc>
        <w:tc>
          <w:tcPr>
            <w:tcW w:w="8220" w:type="dxa"/>
          </w:tcPr>
          <w:p w:rsidR="00C66E6C" w:rsidRPr="00614CC6" w:rsidRDefault="00C66E6C" w:rsidP="009075E1">
            <w:pPr>
              <w:spacing w:before="30" w:after="30"/>
              <w:jc w:val="left"/>
              <w:rPr>
                <w:sz w:val="20"/>
              </w:rPr>
            </w:pPr>
            <w:r w:rsidRPr="00614CC6">
              <w:rPr>
                <w:sz w:val="20"/>
              </w:rPr>
              <w:t>Emissions de fréquences étalon et de signaux horaires</w:t>
            </w:r>
          </w:p>
        </w:tc>
      </w:tr>
      <w:tr w:rsidR="00C66E6C" w:rsidRPr="00036EE3" w:rsidTr="009075E1">
        <w:tc>
          <w:tcPr>
            <w:tcW w:w="1140" w:type="dxa"/>
          </w:tcPr>
          <w:p w:rsidR="00C66E6C" w:rsidRPr="00614CC6" w:rsidRDefault="00C66E6C" w:rsidP="009075E1">
            <w:pPr>
              <w:spacing w:before="30" w:after="30"/>
              <w:ind w:left="57"/>
              <w:jc w:val="left"/>
              <w:rPr>
                <w:b/>
                <w:bCs/>
                <w:sz w:val="20"/>
                <w:lang w:val="en-US"/>
              </w:rPr>
            </w:pPr>
            <w:r w:rsidRPr="00614CC6">
              <w:rPr>
                <w:b/>
                <w:bCs/>
                <w:sz w:val="20"/>
                <w:lang w:val="en-US"/>
              </w:rPr>
              <w:t>V</w:t>
            </w:r>
          </w:p>
        </w:tc>
        <w:tc>
          <w:tcPr>
            <w:tcW w:w="8220" w:type="dxa"/>
          </w:tcPr>
          <w:p w:rsidR="00C66E6C" w:rsidRPr="00614CC6" w:rsidRDefault="00C66E6C" w:rsidP="009075E1">
            <w:pPr>
              <w:spacing w:before="30" w:after="140"/>
              <w:jc w:val="left"/>
              <w:rPr>
                <w:sz w:val="20"/>
                <w:lang w:val="en-US"/>
              </w:rPr>
            </w:pPr>
            <w:r w:rsidRPr="00614CC6">
              <w:rPr>
                <w:sz w:val="20"/>
              </w:rPr>
              <w:t>Vocabulaire et sujets associés</w:t>
            </w:r>
          </w:p>
        </w:tc>
      </w:tr>
    </w:tbl>
    <w:p w:rsidR="00C66E6C" w:rsidRPr="00036EE3" w:rsidRDefault="00C66E6C" w:rsidP="00C66E6C">
      <w:pPr>
        <w:spacing w:before="0"/>
        <w:jc w:val="center"/>
        <w:rPr>
          <w:sz w:val="20"/>
          <w:lang w:val="en-US"/>
        </w:rPr>
      </w:pPr>
    </w:p>
    <w:p w:rsidR="00C66E6C" w:rsidRPr="00036EE3" w:rsidRDefault="00C66E6C" w:rsidP="00C66E6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66E6C" w:rsidRPr="00756B4D" w:rsidTr="009075E1">
        <w:tc>
          <w:tcPr>
            <w:tcW w:w="9360" w:type="dxa"/>
          </w:tcPr>
          <w:p w:rsidR="00C66E6C" w:rsidRPr="00756B4D" w:rsidRDefault="00C66E6C" w:rsidP="009075E1">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C66E6C" w:rsidRPr="00756B4D" w:rsidRDefault="00C66E6C" w:rsidP="00C66E6C">
      <w:pPr>
        <w:spacing w:before="0"/>
        <w:jc w:val="center"/>
        <w:rPr>
          <w:sz w:val="22"/>
        </w:rPr>
      </w:pPr>
    </w:p>
    <w:p w:rsidR="00C66E6C" w:rsidRPr="00614CC6" w:rsidRDefault="00C66E6C" w:rsidP="00C66E6C">
      <w:pPr>
        <w:spacing w:before="100"/>
        <w:jc w:val="right"/>
        <w:rPr>
          <w:i/>
          <w:iCs/>
          <w:sz w:val="20"/>
        </w:rPr>
      </w:pPr>
      <w:r w:rsidRPr="00614CC6">
        <w:rPr>
          <w:i/>
          <w:iCs/>
          <w:sz w:val="20"/>
        </w:rPr>
        <w:t>Publication électronique</w:t>
      </w:r>
    </w:p>
    <w:p w:rsidR="00C66E6C" w:rsidRPr="00614CC6" w:rsidRDefault="00C66E6C" w:rsidP="00C66E6C">
      <w:pPr>
        <w:spacing w:before="0"/>
        <w:jc w:val="right"/>
        <w:rPr>
          <w:sz w:val="20"/>
        </w:rPr>
      </w:pPr>
      <w:r w:rsidRPr="00614CC6">
        <w:rPr>
          <w:sz w:val="20"/>
        </w:rPr>
        <w:t>Genève, 20</w:t>
      </w:r>
      <w:r>
        <w:rPr>
          <w:sz w:val="20"/>
        </w:rPr>
        <w:t>14</w:t>
      </w:r>
    </w:p>
    <w:p w:rsidR="00C66E6C" w:rsidRPr="00614CC6" w:rsidRDefault="00C66E6C" w:rsidP="00C66E6C">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14</w:t>
      </w:r>
    </w:p>
    <w:p w:rsidR="00C66E6C" w:rsidRPr="00614CC6" w:rsidRDefault="00C66E6C" w:rsidP="00C66E6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C66E6C" w:rsidRPr="00614CC6" w:rsidRDefault="00C66E6C" w:rsidP="00C66E6C">
      <w:pPr>
        <w:spacing w:before="160"/>
        <w:rPr>
          <w:i/>
          <w:sz w:val="20"/>
          <w:highlight w:val="yellow"/>
        </w:rPr>
        <w:sectPr w:rsidR="00C66E6C"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C66E6C" w:rsidRPr="00756B4D" w:rsidRDefault="00C66E6C" w:rsidP="00C1125D">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S</w:t>
      </w:r>
      <w:r w:rsidRPr="00756B4D">
        <w:rPr>
          <w:rStyle w:val="href"/>
        </w:rPr>
        <w:t>.</w:t>
      </w:r>
      <w:r w:rsidR="00C1125D">
        <w:rPr>
          <w:rStyle w:val="href"/>
        </w:rPr>
        <w:t>732-1</w:t>
      </w:r>
    </w:p>
    <w:p w:rsidR="00F97DCD" w:rsidRPr="00CA2C43" w:rsidRDefault="00F97DCD" w:rsidP="00F97DCD">
      <w:pPr>
        <w:pStyle w:val="Rectitle"/>
        <w:rPr>
          <w:lang w:val="fr-CH"/>
        </w:rPr>
      </w:pPr>
      <w:bookmarkStart w:id="4" w:name="Revision_history"/>
      <w:r w:rsidRPr="00FD3B74">
        <w:rPr>
          <w:lang w:val="fr-CH"/>
        </w:rPr>
        <w:t xml:space="preserve">Méthode de traitement statistique des crêtes des lobes latéraux d'antenne </w:t>
      </w:r>
      <w:r w:rsidRPr="00FD3B74">
        <w:rPr>
          <w:lang w:val="fr-CH"/>
        </w:rPr>
        <w:br/>
        <w:t xml:space="preserve">de station terrienne pour la détermination du dépassement des </w:t>
      </w:r>
      <w:r w:rsidRPr="00FD3B74">
        <w:rPr>
          <w:lang w:val="fr-CH"/>
        </w:rPr>
        <w:br/>
        <w:t xml:space="preserve">diagrammes d'antenne de référence et des conditions </w:t>
      </w:r>
      <w:r w:rsidRPr="00FD3B74">
        <w:rPr>
          <w:lang w:val="fr-CH"/>
        </w:rPr>
        <w:br/>
        <w:t>d'acceptabilité de tout dépassemen</w:t>
      </w:r>
      <w:r>
        <w:rPr>
          <w:lang w:val="fr-CH"/>
        </w:rPr>
        <w:t>t</w:t>
      </w:r>
    </w:p>
    <w:p w:rsidR="00F97DCD" w:rsidRPr="005E51E1" w:rsidRDefault="00F97DCD" w:rsidP="00F97DCD">
      <w:pPr>
        <w:pStyle w:val="Recdate"/>
        <w:rPr>
          <w:i/>
          <w:iCs/>
          <w:lang w:val="fr-CH"/>
        </w:rPr>
      </w:pPr>
      <w:r w:rsidRPr="005E51E1">
        <w:rPr>
          <w:iCs/>
          <w:lang w:val="fr-CH"/>
        </w:rPr>
        <w:t>(1992-2012)</w:t>
      </w:r>
      <w:bookmarkEnd w:id="4"/>
    </w:p>
    <w:p w:rsidR="00F97DCD" w:rsidRDefault="00F97DCD" w:rsidP="00FB24BA">
      <w:pPr>
        <w:pStyle w:val="HeadingSum"/>
        <w:rPr>
          <w:lang w:eastAsia="ja-JP"/>
        </w:rPr>
      </w:pPr>
      <w:r w:rsidRPr="00C92FF4">
        <w:rPr>
          <w:lang w:eastAsia="ja-JP"/>
        </w:rPr>
        <w:t>Domaine d'application</w:t>
      </w:r>
    </w:p>
    <w:p w:rsidR="00F97DCD" w:rsidRPr="00D85E7B" w:rsidRDefault="00F97DCD" w:rsidP="00FB24BA">
      <w:pPr>
        <w:pStyle w:val="Summary"/>
        <w:rPr>
          <w:lang w:eastAsia="ja-JP"/>
        </w:rPr>
      </w:pPr>
      <w:r w:rsidRPr="00466ACE">
        <w:t xml:space="preserve">La présente Recommandation décrit une </w:t>
      </w:r>
      <w:r w:rsidRPr="00D85E7B">
        <w:t xml:space="preserve">méthode de traitement statistique des </w:t>
      </w:r>
      <w:r w:rsidRPr="003D2571">
        <w:t>crêtes de</w:t>
      </w:r>
      <w:r>
        <w:t>s</w:t>
      </w:r>
      <w:r w:rsidRPr="003D2571">
        <w:t xml:space="preserve"> lobes latéraux d'antenne</w:t>
      </w:r>
      <w:r w:rsidRPr="00D85E7B">
        <w:t xml:space="preserve"> de station terrienne</w:t>
      </w:r>
      <w:r>
        <w:t xml:space="preserve"> permettant de déterminer le </w:t>
      </w:r>
      <w:r w:rsidRPr="00126B38">
        <w:t xml:space="preserve">pourcentage </w:t>
      </w:r>
      <w:r>
        <w:t xml:space="preserve">des </w:t>
      </w:r>
      <w:r w:rsidRPr="00126B38">
        <w:t xml:space="preserve">crêtes </w:t>
      </w:r>
      <w:r>
        <w:t xml:space="preserve">des </w:t>
      </w:r>
      <w:r w:rsidRPr="00126B38">
        <w:t>lobes latéraux</w:t>
      </w:r>
      <w:r>
        <w:t xml:space="preserve"> qui dépassent les diagrammes d'antenne de référence définis dans les Recommandations UIT-R pertinentes. Elle recommande également les conditions dans lesquelles on continuera de considérer que les diagrammes des lobes latéraux d'antenne de station terrienne dont des crêtes dépassent les enveloppes recommandées sont conformes aux Recommandations UIT-R qui autorisent le dépassement des enveloppes recommandées par un certain pourcentage des crêtes des lobes latéraux.</w:t>
      </w:r>
    </w:p>
    <w:p w:rsidR="00F97DCD" w:rsidRDefault="00F97DCD" w:rsidP="00F97DCD">
      <w:pPr>
        <w:pStyle w:val="Normalaftertitle"/>
      </w:pPr>
      <w:r>
        <w:t>L'Assemblée des radiocommunications de l'UIT,</w:t>
      </w:r>
    </w:p>
    <w:p w:rsidR="00F97DCD" w:rsidRPr="00466ACE" w:rsidRDefault="00F97DCD" w:rsidP="000B1223">
      <w:pPr>
        <w:pStyle w:val="Call"/>
        <w:rPr>
          <w:lang w:val="fr-CH"/>
        </w:rPr>
      </w:pPr>
      <w:r w:rsidRPr="00466ACE">
        <w:rPr>
          <w:szCs w:val="24"/>
          <w:lang w:val="fr-CH"/>
        </w:rPr>
        <w:t>considérant</w:t>
      </w:r>
    </w:p>
    <w:p w:rsidR="00F97DCD" w:rsidRDefault="00F97DCD" w:rsidP="00F97DCD">
      <w:r w:rsidRPr="003730A9">
        <w:rPr>
          <w:i/>
          <w:iCs/>
        </w:rPr>
        <w:t>a)</w:t>
      </w:r>
      <w:r>
        <w:tab/>
        <w:t>que, pour la détermination de la distance de coordination ou l'évaluation du brouillage entre stations terriennes et stations de faisceau hertzien d'une part et, pour les études de coordination entre stations terriennes et stations spatiales de différents systèmes à satellites partageant les mêmes bandes de fréquences d'autre part, il faut que le gain de l'antenne de station terrienne soit connu dans la direction pertinente;</w:t>
      </w:r>
    </w:p>
    <w:p w:rsidR="00F97DCD" w:rsidRDefault="00F97DCD" w:rsidP="00F97DCD">
      <w:r w:rsidRPr="003730A9">
        <w:rPr>
          <w:i/>
          <w:iCs/>
        </w:rPr>
        <w:t>b)</w:t>
      </w:r>
      <w:r>
        <w:tab/>
        <w:t>que, dans le cas des calculs de brouillage entre systèmes à satellites, il peut être souhaitable de connaître les caractéristiques de rayonnement de l'antenne dans des plans autres que le plan principal;</w:t>
      </w:r>
    </w:p>
    <w:p w:rsidR="00F97DCD" w:rsidRDefault="00F97DCD" w:rsidP="00F97DCD">
      <w:r w:rsidRPr="003730A9">
        <w:rPr>
          <w:i/>
          <w:iCs/>
        </w:rPr>
        <w:t>c)</w:t>
      </w:r>
      <w:r>
        <w:tab/>
        <w:t>que, dans le calcul des brouillages mutuels entre faisceaux hertziens et systèmes de communication par satellite, notamment lorsqu'il existe plus d'une source de brouillage, il est préférable de connaître les propriétés statistiques des niveaux des lobes latéraux et des crêtes des lobes latéraux des antennes;</w:t>
      </w:r>
    </w:p>
    <w:p w:rsidR="00F97DCD" w:rsidRPr="00DE609B" w:rsidRDefault="00F97DCD" w:rsidP="00F97DCD">
      <w:pPr>
        <w:rPr>
          <w:lang w:val="fr-CH"/>
        </w:rPr>
      </w:pPr>
      <w:r w:rsidRPr="003730A9">
        <w:rPr>
          <w:i/>
          <w:iCs/>
          <w:lang w:val="fr-CH"/>
        </w:rPr>
        <w:t>d)</w:t>
      </w:r>
      <w:r w:rsidRPr="001D7F66">
        <w:rPr>
          <w:lang w:val="fr-CH"/>
        </w:rPr>
        <w:tab/>
        <w:t>que</w:t>
      </w:r>
      <w:r>
        <w:rPr>
          <w:lang w:val="fr-CH"/>
        </w:rPr>
        <w:t>,</w:t>
      </w:r>
      <w:r w:rsidRPr="001D7F66">
        <w:rPr>
          <w:lang w:val="fr-CH"/>
        </w:rPr>
        <w:t xml:space="preserve"> </w:t>
      </w:r>
      <w:r>
        <w:rPr>
          <w:lang w:val="fr-CH"/>
        </w:rPr>
        <w:t>même si</w:t>
      </w:r>
      <w:r w:rsidRPr="001D7F66">
        <w:rPr>
          <w:lang w:val="fr-CH"/>
        </w:rPr>
        <w:t xml:space="preserve"> les Recommandations UIT-R</w:t>
      </w:r>
      <w:r>
        <w:rPr>
          <w:lang w:val="fr-CH"/>
        </w:rPr>
        <w:t xml:space="preserve"> relatives aux diagrammes de rayonnement d'antenne peuvent contenir des dispositions autorisant le dépassement de l'enveloppe recommandée par des crêtes des lobes latéraux, ces dispositions n'ont aucun rapport avec le calcul des risques de brouillages mutuels effectué pendant la coordination;</w:t>
      </w:r>
    </w:p>
    <w:p w:rsidR="00F97DCD" w:rsidRDefault="00F97DCD" w:rsidP="00F97DCD">
      <w:r w:rsidRPr="003730A9">
        <w:rPr>
          <w:i/>
          <w:iCs/>
        </w:rPr>
        <w:t>e)</w:t>
      </w:r>
      <w:r>
        <w:tab/>
        <w:t xml:space="preserve">que, dans la compilation des données statistiques, il faut </w:t>
      </w:r>
      <w:r w:rsidRPr="006876C1">
        <w:t>protéger l</w:t>
      </w:r>
      <w:r>
        <w:t>'</w:t>
      </w:r>
      <w:r w:rsidRPr="006876C1">
        <w:t xml:space="preserve">intégrité de ces données </w:t>
      </w:r>
      <w:r>
        <w:t xml:space="preserve">vis-à-vis </w:t>
      </w:r>
      <w:r w:rsidRPr="006876C1">
        <w:t>des erreurs expérimentales,</w:t>
      </w:r>
    </w:p>
    <w:p w:rsidR="00F97DCD" w:rsidRDefault="00F97DCD" w:rsidP="00F97DCD">
      <w:pPr>
        <w:pStyle w:val="Call"/>
      </w:pPr>
      <w:r>
        <w:t>reconnaissant</w:t>
      </w:r>
    </w:p>
    <w:p w:rsidR="00F97DCD" w:rsidRDefault="00F97DCD" w:rsidP="00F97DCD">
      <w:r w:rsidRPr="003730A9">
        <w:rPr>
          <w:i/>
          <w:iCs/>
        </w:rPr>
        <w:t>a)</w:t>
      </w:r>
      <w:r>
        <w:tab/>
        <w:t>que la Recommandation UIT-R S.580, qui porte sur les objectifs de conception des antennes des stations terriennes, autorise le dépassement du diagramme de référence</w:t>
      </w:r>
      <w:r>
        <w:rPr>
          <w:lang w:val="fr-CH"/>
        </w:rPr>
        <w:t xml:space="preserve"> par </w:t>
      </w:r>
      <w:r>
        <w:t xml:space="preserve">un certain pourcentage des </w:t>
      </w:r>
      <w:r>
        <w:rPr>
          <w:lang w:val="fr-CH"/>
        </w:rPr>
        <w:t>crêtes des lobes latéraux</w:t>
      </w:r>
      <w:r>
        <w:t>;</w:t>
      </w:r>
    </w:p>
    <w:p w:rsidR="00F97DCD" w:rsidRDefault="00F97DCD" w:rsidP="00F97DCD">
      <w:pPr>
        <w:keepNext/>
        <w:keepLines/>
      </w:pPr>
      <w:r w:rsidRPr="003730A9">
        <w:rPr>
          <w:i/>
          <w:iCs/>
        </w:rPr>
        <w:lastRenderedPageBreak/>
        <w:t>b)</w:t>
      </w:r>
      <w:r>
        <w:tab/>
        <w:t xml:space="preserve">que les Recommandations qui contiennent des diagrammes d'antenne de référence utilisés pour l'analyse des brouillages et la coordination entre les réseaux à satellite géostationnaire autorisent le dépassement du diagramme de référence par des crêtes des lobes latéraux uniquement dans des circonstances précises (par exemple, dans les </w:t>
      </w:r>
      <w:r w:rsidRPr="006876C1">
        <w:t xml:space="preserve">régions de </w:t>
      </w:r>
      <w:r>
        <w:t>débordement, voir la Recommandation UIT-R S.731, ou dans le cas de réflexions locales sur le sol</w:t>
      </w:r>
      <w:r w:rsidRPr="003730A9">
        <w:t xml:space="preserve"> </w:t>
      </w:r>
      <w:r>
        <w:t>pour les grands angles hors axe, voir les Recommandations UIT-R S.465 et UIT-R S.1855),</w:t>
      </w:r>
    </w:p>
    <w:p w:rsidR="00F97DCD" w:rsidRPr="00466ACE" w:rsidRDefault="00F97DCD" w:rsidP="000B1223">
      <w:pPr>
        <w:pStyle w:val="Call"/>
        <w:rPr>
          <w:lang w:val="fr-CH"/>
        </w:rPr>
      </w:pPr>
      <w:r w:rsidRPr="00466ACE">
        <w:rPr>
          <w:szCs w:val="24"/>
          <w:lang w:val="fr-CH"/>
        </w:rPr>
        <w:t>recommande</w:t>
      </w:r>
    </w:p>
    <w:p w:rsidR="00F97DCD" w:rsidRDefault="00F97DCD" w:rsidP="00F97DCD">
      <w:r w:rsidRPr="005E51E1">
        <w:rPr>
          <w:b/>
        </w:rPr>
        <w:t>1</w:t>
      </w:r>
      <w:r>
        <w:tab/>
        <w:t>que la méthode ci-après soit utilisée pour traiter les données mesurées sur les lobes latéraux des antennes de station terrienne lorsque les diagrammes de rayonnement d'antenne de référence recommandés par l'UIT-R autorisent le dépassement du diagramme par un certain pourcentage des crêtes des lobes latéraux:</w:t>
      </w:r>
    </w:p>
    <w:p w:rsidR="00F97DCD" w:rsidRDefault="00F97DCD" w:rsidP="00F97DCD">
      <w:r w:rsidRPr="005E51E1">
        <w:rPr>
          <w:b/>
          <w:iCs/>
        </w:rPr>
        <w:t>1.1</w:t>
      </w:r>
      <w:r>
        <w:tab/>
        <w:t>que l'on définisse la crête de lobe latéral comme étant un maximum local de gain pour lequel une augmentation ou une diminution de l'angle hors axe entraîne une réduction du gain d'au moins 2 dB (voir la Note 1);</w:t>
      </w:r>
    </w:p>
    <w:p w:rsidR="00F97DCD" w:rsidRDefault="00F97DCD" w:rsidP="00F97DCD">
      <w:r w:rsidRPr="005E51E1">
        <w:rPr>
          <w:b/>
          <w:iCs/>
        </w:rPr>
        <w:t>1.2</w:t>
      </w:r>
      <w:r>
        <w:tab/>
        <w:t>que les secteur</w:t>
      </w:r>
      <w:r w:rsidR="007B4CC8">
        <w:t>s</w:t>
      </w:r>
      <w:r>
        <w:t xml:space="preserve"> angulaires (fenêtres d'échantillons) dans lesquels sont pris les échantillons de crêtes des lobes latéraux doivent être définis comme indiqué dans le Tableau 2; </w:t>
      </w:r>
    </w:p>
    <w:p w:rsidR="00F97DCD" w:rsidRDefault="00F97DCD" w:rsidP="00F97DCD">
      <w:pPr>
        <w:pStyle w:val="Note"/>
      </w:pPr>
      <w:r>
        <w:t xml:space="preserve">NOTE 1 – Ces «crêtes» peuvent être situées </w:t>
      </w:r>
      <w:r w:rsidRPr="003D2571">
        <w:t>au-dessus ou en-dessous</w:t>
      </w:r>
      <w:r>
        <w:t xml:space="preserve"> du diagramme d'antenne de référence autorisé.</w:t>
      </w:r>
    </w:p>
    <w:p w:rsidR="00F97DCD" w:rsidRPr="00080385" w:rsidRDefault="00F97DCD" w:rsidP="00F97DCD">
      <w:pPr>
        <w:rPr>
          <w:lang w:val="fr-CH"/>
        </w:rPr>
      </w:pPr>
      <w:r w:rsidRPr="005E51E1">
        <w:rPr>
          <w:b/>
          <w:bCs/>
          <w:lang w:val="fr-CH"/>
        </w:rPr>
        <w:t>2</w:t>
      </w:r>
      <w:r w:rsidRPr="00080385">
        <w:rPr>
          <w:b/>
          <w:bCs/>
          <w:lang w:val="fr-CH"/>
        </w:rPr>
        <w:tab/>
      </w:r>
      <w:r w:rsidRPr="00080385">
        <w:rPr>
          <w:lang w:val="fr-CH"/>
        </w:rPr>
        <w:t xml:space="preserve">que les échantillons de mesure affectés par </w:t>
      </w:r>
      <w:r>
        <w:rPr>
          <w:lang w:val="fr-CH"/>
        </w:rPr>
        <w:t>d</w:t>
      </w:r>
      <w:r w:rsidRPr="00080385">
        <w:rPr>
          <w:lang w:val="fr-CH"/>
        </w:rPr>
        <w:t>es erreurs expérimentales</w:t>
      </w:r>
      <w:r>
        <w:rPr>
          <w:lang w:val="fr-CH"/>
        </w:rPr>
        <w:t xml:space="preserve"> ne soient pas pris en compte;</w:t>
      </w:r>
    </w:p>
    <w:p w:rsidR="00F97DCD" w:rsidRPr="00080385" w:rsidRDefault="00F97DCD" w:rsidP="00F97DCD">
      <w:pPr>
        <w:rPr>
          <w:lang w:val="fr-CH"/>
        </w:rPr>
      </w:pPr>
      <w:r w:rsidRPr="005E51E1">
        <w:rPr>
          <w:b/>
          <w:bCs/>
          <w:lang w:val="fr-CH"/>
        </w:rPr>
        <w:t>3</w:t>
      </w:r>
      <w:r w:rsidRPr="00080385">
        <w:rPr>
          <w:b/>
          <w:bCs/>
          <w:lang w:val="fr-CH"/>
        </w:rPr>
        <w:tab/>
      </w:r>
      <w:r w:rsidRPr="00080385">
        <w:rPr>
          <w:lang w:val="fr-CH"/>
        </w:rPr>
        <w:t xml:space="preserve">que la </w:t>
      </w:r>
      <w:r>
        <w:rPr>
          <w:lang w:val="fr-CH"/>
        </w:rPr>
        <w:t>rés</w:t>
      </w:r>
      <w:r w:rsidRPr="00080385">
        <w:rPr>
          <w:lang w:val="fr-CH"/>
        </w:rPr>
        <w:t xml:space="preserve">olution </w:t>
      </w:r>
      <w:r>
        <w:rPr>
          <w:lang w:val="fr-CH"/>
        </w:rPr>
        <w:t>angulaire</w:t>
      </w:r>
      <w:r w:rsidRPr="00080385">
        <w:rPr>
          <w:lang w:val="fr-CH"/>
        </w:rPr>
        <w:t xml:space="preserve"> minimale</w:t>
      </w:r>
      <w:r w:rsidRPr="00080385">
        <w:rPr>
          <w:b/>
          <w:bCs/>
          <w:lang w:val="fr-CH"/>
        </w:rPr>
        <w:tab/>
      </w:r>
      <w:r>
        <w:rPr>
          <w:b/>
          <w:bCs/>
          <w:lang w:val="fr-CH"/>
        </w:rPr>
        <w:t xml:space="preserve"> </w:t>
      </w:r>
      <w:r>
        <w:rPr>
          <w:lang w:val="fr-CH"/>
        </w:rPr>
        <w:t xml:space="preserve">d'une mesure effectuée sur les lobes latéraux d'une antenne indiquée dans le Tableau 1 soit utilisée pour déterminer tous les lobes latéraux: </w:t>
      </w:r>
    </w:p>
    <w:p w:rsidR="00F97DCD" w:rsidRPr="00493C19" w:rsidRDefault="00F97DCD" w:rsidP="00F97DCD">
      <w:pPr>
        <w:pStyle w:val="TableNo"/>
        <w:rPr>
          <w:lang w:val="en-US"/>
        </w:rPr>
      </w:pPr>
      <w:r w:rsidRPr="00493C19">
        <w:rPr>
          <w:lang w:val="en-US"/>
        </w:rPr>
        <w:t>TABLEAU 1</w:t>
      </w:r>
    </w:p>
    <w:p w:rsidR="00F97DCD" w:rsidRPr="0038299E" w:rsidRDefault="00F97DCD" w:rsidP="007B4CC8">
      <w:pPr>
        <w:pStyle w:val="Tabletitle"/>
        <w:rPr>
          <w:lang w:val="fr-CH"/>
        </w:rPr>
      </w:pPr>
      <w:r w:rsidRPr="0038299E">
        <w:rPr>
          <w:lang w:val="fr-CH"/>
        </w:rPr>
        <w:t xml:space="preserve">Résolution </w:t>
      </w:r>
      <w:r w:rsidRPr="007B4CC8">
        <w:t>minimale</w:t>
      </w:r>
      <w:r w:rsidRPr="0038299E">
        <w:rPr>
          <w:lang w:val="fr-CH"/>
        </w:rPr>
        <w:t xml:space="preserve"> des mesures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13"/>
        <w:gridCol w:w="3213"/>
        <w:gridCol w:w="3213"/>
      </w:tblGrid>
      <w:tr w:rsidR="00F97DCD" w:rsidRPr="00D85E7B" w:rsidTr="009075E1">
        <w:trPr>
          <w:jc w:val="center"/>
        </w:trPr>
        <w:tc>
          <w:tcPr>
            <w:tcW w:w="3213" w:type="dxa"/>
          </w:tcPr>
          <w:p w:rsidR="00F97DCD" w:rsidRPr="00493C19" w:rsidRDefault="00F97DCD" w:rsidP="009075E1">
            <w:pPr>
              <w:pStyle w:val="Tablehead"/>
              <w:rPr>
                <w:lang w:val="en-US"/>
              </w:rPr>
            </w:pPr>
            <w:r>
              <w:rPr>
                <w:lang w:val="en-US"/>
              </w:rPr>
              <w:t>Taille de l'antenne</w:t>
            </w:r>
          </w:p>
        </w:tc>
        <w:tc>
          <w:tcPr>
            <w:tcW w:w="3213" w:type="dxa"/>
          </w:tcPr>
          <w:p w:rsidR="00F97DCD" w:rsidRPr="00F97DCD" w:rsidRDefault="00F97DCD" w:rsidP="009075E1">
            <w:pPr>
              <w:pStyle w:val="Tablehead"/>
              <w:rPr>
                <w:lang w:val="fr-CH"/>
              </w:rPr>
            </w:pPr>
            <w:r w:rsidRPr="0038299E">
              <w:rPr>
                <w:lang w:val="fr-CH"/>
              </w:rPr>
              <w:t>Résolution des mesures pour les angles hors axe</w:t>
            </w:r>
            <w:r>
              <w:rPr>
                <w:lang w:val="fr-CH"/>
              </w:rPr>
              <w:br/>
            </w:r>
            <w:r w:rsidRPr="0038299E">
              <w:rPr>
                <w:lang w:val="fr-CH"/>
              </w:rPr>
              <w:t xml:space="preserve"> </w:t>
            </w:r>
            <w:r w:rsidRPr="00D03298">
              <w:t>φ</w:t>
            </w:r>
            <w:r w:rsidRPr="00F97DCD">
              <w:rPr>
                <w:lang w:val="fr-CH"/>
              </w:rPr>
              <w:t xml:space="preserve">, </w:t>
            </w:r>
            <w:r w:rsidRPr="00D03298">
              <w:t>φ</w:t>
            </w:r>
            <w:r w:rsidRPr="00F97DCD">
              <w:rPr>
                <w:vertAlign w:val="subscript"/>
                <w:lang w:val="fr-CH"/>
              </w:rPr>
              <w:t>min</w:t>
            </w:r>
            <w:r w:rsidRPr="00F97DCD">
              <w:rPr>
                <w:lang w:val="fr-CH"/>
              </w:rPr>
              <w:t xml:space="preserve"> ≤ </w:t>
            </w:r>
            <w:r w:rsidRPr="00D03298">
              <w:t>φ</w:t>
            </w:r>
            <w:r w:rsidRPr="00F97DCD">
              <w:rPr>
                <w:lang w:val="fr-CH"/>
              </w:rPr>
              <w:t xml:space="preserve"> ≤ 30°</w:t>
            </w:r>
          </w:p>
        </w:tc>
        <w:tc>
          <w:tcPr>
            <w:tcW w:w="3213" w:type="dxa"/>
          </w:tcPr>
          <w:p w:rsidR="00F97DCD" w:rsidRPr="00F97DCD" w:rsidRDefault="00F97DCD" w:rsidP="009075E1">
            <w:pPr>
              <w:pStyle w:val="Tablehead"/>
              <w:rPr>
                <w:lang w:val="fr-CH"/>
              </w:rPr>
            </w:pPr>
            <w:r w:rsidRPr="0038299E">
              <w:rPr>
                <w:lang w:val="fr-CH"/>
              </w:rPr>
              <w:t>Résolution des mesures pour les angles hors axe</w:t>
            </w:r>
            <w:r>
              <w:rPr>
                <w:lang w:val="fr-CH"/>
              </w:rPr>
              <w:br/>
            </w:r>
            <w:r w:rsidRPr="0038299E">
              <w:rPr>
                <w:lang w:val="fr-CH"/>
              </w:rPr>
              <w:t xml:space="preserve"> </w:t>
            </w:r>
            <w:r w:rsidRPr="00D03298">
              <w:t>φ</w:t>
            </w:r>
            <w:r w:rsidRPr="00F97DCD">
              <w:rPr>
                <w:lang w:val="fr-CH"/>
              </w:rPr>
              <w:t xml:space="preserve">, 30° &lt; </w:t>
            </w:r>
            <w:r w:rsidRPr="00D03298">
              <w:t>φ</w:t>
            </w:r>
            <w:r w:rsidRPr="00F97DCD">
              <w:rPr>
                <w:lang w:val="fr-CH"/>
              </w:rPr>
              <w:t xml:space="preserve"> ≤ 180°</w:t>
            </w:r>
          </w:p>
        </w:tc>
      </w:tr>
      <w:tr w:rsidR="00F97DCD" w:rsidRPr="00D03298" w:rsidTr="009075E1">
        <w:trPr>
          <w:jc w:val="center"/>
        </w:trPr>
        <w:tc>
          <w:tcPr>
            <w:tcW w:w="3213" w:type="dxa"/>
          </w:tcPr>
          <w:p w:rsidR="00F97DCD" w:rsidRPr="00D03298" w:rsidRDefault="00F97DCD" w:rsidP="009075E1">
            <w:pPr>
              <w:pStyle w:val="Tabletext"/>
              <w:jc w:val="center"/>
            </w:pPr>
            <w:r w:rsidRPr="0083385A">
              <w:rPr>
                <w:i/>
                <w:iCs/>
              </w:rPr>
              <w:t>D</w:t>
            </w:r>
            <w:r w:rsidRPr="00D03298">
              <w:t>/</w:t>
            </w:r>
            <w:r w:rsidRPr="00D03298">
              <w:sym w:font="Symbol" w:char="F06C"/>
            </w:r>
            <w:r w:rsidRPr="00D03298">
              <w:t xml:space="preserve"> &lt; 25</w:t>
            </w:r>
          </w:p>
        </w:tc>
        <w:tc>
          <w:tcPr>
            <w:tcW w:w="3213" w:type="dxa"/>
          </w:tcPr>
          <w:p w:rsidR="00F97DCD" w:rsidRPr="00D03298" w:rsidRDefault="00F97DCD" w:rsidP="009075E1">
            <w:pPr>
              <w:pStyle w:val="Tabletext"/>
              <w:jc w:val="center"/>
            </w:pPr>
            <w:r w:rsidRPr="00D03298">
              <w:t>0</w:t>
            </w:r>
            <w:r>
              <w:t>,</w:t>
            </w:r>
            <w:r w:rsidRPr="00D03298">
              <w:t>5°</w:t>
            </w:r>
          </w:p>
        </w:tc>
        <w:tc>
          <w:tcPr>
            <w:tcW w:w="3213" w:type="dxa"/>
          </w:tcPr>
          <w:p w:rsidR="00F97DCD" w:rsidRPr="00D03298" w:rsidRDefault="00F97DCD" w:rsidP="009075E1">
            <w:pPr>
              <w:pStyle w:val="Tabletext"/>
              <w:jc w:val="center"/>
            </w:pPr>
            <w:r w:rsidRPr="00D03298">
              <w:t>0</w:t>
            </w:r>
            <w:r>
              <w:t>,</w:t>
            </w:r>
            <w:r w:rsidRPr="00D03298">
              <w:t>5°</w:t>
            </w:r>
          </w:p>
        </w:tc>
      </w:tr>
      <w:tr w:rsidR="00F97DCD" w:rsidRPr="00D03298" w:rsidTr="009075E1">
        <w:trPr>
          <w:jc w:val="center"/>
        </w:trPr>
        <w:tc>
          <w:tcPr>
            <w:tcW w:w="3213" w:type="dxa"/>
          </w:tcPr>
          <w:p w:rsidR="00F97DCD" w:rsidRPr="00D03298" w:rsidRDefault="00F97DCD" w:rsidP="009075E1">
            <w:pPr>
              <w:pStyle w:val="Tabletext"/>
              <w:jc w:val="center"/>
            </w:pPr>
            <w:r w:rsidRPr="00D03298">
              <w:t xml:space="preserve">25 </w:t>
            </w:r>
            <w:r w:rsidRPr="00D03298">
              <w:sym w:font="Symbol" w:char="F0A3"/>
            </w:r>
            <w:r w:rsidRPr="00D03298">
              <w:t xml:space="preserve"> </w:t>
            </w:r>
            <w:r w:rsidRPr="0083385A">
              <w:rPr>
                <w:i/>
                <w:iCs/>
              </w:rPr>
              <w:t>D</w:t>
            </w:r>
            <w:r w:rsidRPr="00D03298">
              <w:t>/</w:t>
            </w:r>
            <w:r w:rsidRPr="00D03298">
              <w:sym w:font="Symbol" w:char="F06C"/>
            </w:r>
            <w:r w:rsidRPr="00D03298">
              <w:t xml:space="preserve"> &lt; 50</w:t>
            </w:r>
          </w:p>
        </w:tc>
        <w:tc>
          <w:tcPr>
            <w:tcW w:w="3213" w:type="dxa"/>
          </w:tcPr>
          <w:p w:rsidR="00F97DCD" w:rsidRPr="00D03298" w:rsidRDefault="00F97DCD" w:rsidP="009075E1">
            <w:pPr>
              <w:pStyle w:val="Tabletext"/>
              <w:jc w:val="center"/>
            </w:pPr>
            <w:r w:rsidRPr="00D03298">
              <w:t>0</w:t>
            </w:r>
            <w:r>
              <w:t>,</w:t>
            </w:r>
            <w:r w:rsidRPr="00D03298">
              <w:t>25°</w:t>
            </w:r>
          </w:p>
        </w:tc>
        <w:tc>
          <w:tcPr>
            <w:tcW w:w="3213" w:type="dxa"/>
          </w:tcPr>
          <w:p w:rsidR="00F97DCD" w:rsidRPr="00D03298" w:rsidRDefault="00F97DCD" w:rsidP="009075E1">
            <w:pPr>
              <w:pStyle w:val="Tabletext"/>
              <w:jc w:val="center"/>
            </w:pPr>
            <w:r w:rsidRPr="00D03298">
              <w:t>0</w:t>
            </w:r>
            <w:r>
              <w:t>,</w:t>
            </w:r>
            <w:r w:rsidRPr="00D03298">
              <w:t>5°</w:t>
            </w:r>
          </w:p>
        </w:tc>
      </w:tr>
      <w:tr w:rsidR="00F97DCD" w:rsidRPr="00D03298" w:rsidTr="009075E1">
        <w:trPr>
          <w:jc w:val="center"/>
        </w:trPr>
        <w:tc>
          <w:tcPr>
            <w:tcW w:w="3213" w:type="dxa"/>
          </w:tcPr>
          <w:p w:rsidR="00F97DCD" w:rsidRPr="00D03298" w:rsidRDefault="00F97DCD" w:rsidP="009075E1">
            <w:pPr>
              <w:pStyle w:val="Tabletext"/>
              <w:jc w:val="center"/>
            </w:pPr>
            <w:r w:rsidRPr="00D03298">
              <w:t xml:space="preserve">50 </w:t>
            </w:r>
            <w:r w:rsidRPr="00D03298">
              <w:sym w:font="Symbol" w:char="F0A3"/>
            </w:r>
            <w:r w:rsidRPr="00D03298">
              <w:t xml:space="preserve"> </w:t>
            </w:r>
            <w:r w:rsidRPr="0083385A">
              <w:rPr>
                <w:i/>
                <w:iCs/>
              </w:rPr>
              <w:t>D</w:t>
            </w:r>
            <w:r w:rsidRPr="00D03298">
              <w:t>/</w:t>
            </w:r>
            <w:r w:rsidRPr="00D03298">
              <w:sym w:font="Symbol" w:char="F06C"/>
            </w:r>
            <w:r w:rsidRPr="00D03298">
              <w:t xml:space="preserve"> &lt; 250</w:t>
            </w:r>
          </w:p>
        </w:tc>
        <w:tc>
          <w:tcPr>
            <w:tcW w:w="3213" w:type="dxa"/>
          </w:tcPr>
          <w:p w:rsidR="00F97DCD" w:rsidRPr="00D03298" w:rsidRDefault="00F97DCD" w:rsidP="009075E1">
            <w:pPr>
              <w:pStyle w:val="Tabletext"/>
              <w:jc w:val="center"/>
            </w:pPr>
            <w:r w:rsidRPr="00D03298">
              <w:t>0</w:t>
            </w:r>
            <w:r>
              <w:t>,</w:t>
            </w:r>
            <w:r w:rsidRPr="00D03298">
              <w:t>1°</w:t>
            </w:r>
          </w:p>
        </w:tc>
        <w:tc>
          <w:tcPr>
            <w:tcW w:w="3213" w:type="dxa"/>
          </w:tcPr>
          <w:p w:rsidR="00F97DCD" w:rsidRPr="00D03298" w:rsidRDefault="00F97DCD" w:rsidP="009075E1">
            <w:pPr>
              <w:pStyle w:val="Tabletext"/>
              <w:jc w:val="center"/>
            </w:pPr>
            <w:r w:rsidRPr="00D03298">
              <w:t>0</w:t>
            </w:r>
            <w:r>
              <w:t>,</w:t>
            </w:r>
            <w:r w:rsidRPr="00D03298">
              <w:t>2°</w:t>
            </w:r>
          </w:p>
        </w:tc>
      </w:tr>
      <w:tr w:rsidR="00F97DCD" w:rsidRPr="00D03298" w:rsidTr="009075E1">
        <w:trPr>
          <w:jc w:val="center"/>
        </w:trPr>
        <w:tc>
          <w:tcPr>
            <w:tcW w:w="3213" w:type="dxa"/>
            <w:tcBorders>
              <w:bottom w:val="single" w:sz="4" w:space="0" w:color="000000"/>
            </w:tcBorders>
          </w:tcPr>
          <w:p w:rsidR="00F97DCD" w:rsidRPr="00D03298" w:rsidRDefault="00F97DCD" w:rsidP="009075E1">
            <w:pPr>
              <w:pStyle w:val="Tabletext"/>
              <w:jc w:val="center"/>
            </w:pPr>
            <w:r w:rsidRPr="00D03298">
              <w:t xml:space="preserve">250 ≤ </w:t>
            </w:r>
            <w:r w:rsidRPr="0083385A">
              <w:rPr>
                <w:i/>
                <w:iCs/>
              </w:rPr>
              <w:t>D</w:t>
            </w:r>
            <w:r w:rsidRPr="00D03298">
              <w:t>/</w:t>
            </w:r>
            <w:r w:rsidRPr="00D03298">
              <w:sym w:font="Symbol" w:char="F06C"/>
            </w:r>
          </w:p>
        </w:tc>
        <w:tc>
          <w:tcPr>
            <w:tcW w:w="3213" w:type="dxa"/>
            <w:tcBorders>
              <w:bottom w:val="single" w:sz="4" w:space="0" w:color="000000"/>
            </w:tcBorders>
          </w:tcPr>
          <w:p w:rsidR="00F97DCD" w:rsidRPr="00D03298" w:rsidRDefault="00F97DCD" w:rsidP="009075E1">
            <w:pPr>
              <w:pStyle w:val="Tabletext"/>
              <w:jc w:val="center"/>
            </w:pPr>
            <w:r w:rsidRPr="00D03298">
              <w:t>0</w:t>
            </w:r>
            <w:r>
              <w:t>,</w:t>
            </w:r>
            <w:r w:rsidRPr="00D03298">
              <w:t>05° (o</w:t>
            </w:r>
            <w:r>
              <w:t>u</w:t>
            </w:r>
            <w:r w:rsidRPr="00D03298">
              <w:t xml:space="preserve"> 0</w:t>
            </w:r>
            <w:r>
              <w:t>,</w:t>
            </w:r>
            <w:r w:rsidRPr="00D03298">
              <w:t>1°) (</w:t>
            </w:r>
            <w:r>
              <w:t xml:space="preserve">voir la </w:t>
            </w:r>
            <w:r w:rsidRPr="00D03298">
              <w:t>N</w:t>
            </w:r>
            <w:r>
              <w:t>ote</w:t>
            </w:r>
            <w:r w:rsidRPr="00D03298">
              <w:t xml:space="preserve"> </w:t>
            </w:r>
            <w:r>
              <w:t>2</w:t>
            </w:r>
            <w:r w:rsidRPr="00D03298">
              <w:t>)</w:t>
            </w:r>
          </w:p>
        </w:tc>
        <w:tc>
          <w:tcPr>
            <w:tcW w:w="3213" w:type="dxa"/>
            <w:tcBorders>
              <w:bottom w:val="single" w:sz="4" w:space="0" w:color="000000"/>
            </w:tcBorders>
          </w:tcPr>
          <w:p w:rsidR="00F97DCD" w:rsidRPr="00D03298" w:rsidRDefault="00F97DCD" w:rsidP="009075E1">
            <w:pPr>
              <w:pStyle w:val="Tabletext"/>
              <w:jc w:val="center"/>
            </w:pPr>
            <w:r w:rsidRPr="00D03298">
              <w:t>0</w:t>
            </w:r>
            <w:r>
              <w:t>,</w:t>
            </w:r>
            <w:r w:rsidRPr="00D03298">
              <w:t>1°</w:t>
            </w:r>
          </w:p>
        </w:tc>
      </w:tr>
      <w:tr w:rsidR="00F97DCD" w:rsidRPr="007D6B63" w:rsidTr="009075E1">
        <w:trPr>
          <w:jc w:val="center"/>
        </w:trPr>
        <w:tc>
          <w:tcPr>
            <w:tcW w:w="9639" w:type="dxa"/>
            <w:gridSpan w:val="3"/>
            <w:tcBorders>
              <w:left w:val="nil"/>
              <w:bottom w:val="nil"/>
              <w:right w:val="nil"/>
            </w:tcBorders>
          </w:tcPr>
          <w:p w:rsidR="00F97DCD" w:rsidRPr="0038299E" w:rsidRDefault="00F97DCD" w:rsidP="009075E1">
            <w:pPr>
              <w:pStyle w:val="Note"/>
              <w:spacing w:before="120"/>
              <w:rPr>
                <w:lang w:val="fr-CH" w:eastAsia="ja-JP"/>
              </w:rPr>
            </w:pPr>
            <w:r w:rsidRPr="0038299E">
              <w:rPr>
                <w:lang w:val="fr-CH" w:eastAsia="ja-JP"/>
              </w:rPr>
              <w:t xml:space="preserve">NOTE 2 – Dans le cas des grandes antennes dont la taille est de </w:t>
            </w:r>
            <w:r w:rsidRPr="0038299E">
              <w:rPr>
                <w:i/>
                <w:iCs/>
                <w:lang w:val="fr-CH" w:eastAsia="ja-JP"/>
              </w:rPr>
              <w:t>D</w:t>
            </w:r>
            <w:r w:rsidRPr="0038299E">
              <w:rPr>
                <w:lang w:val="fr-CH" w:eastAsia="ja-JP"/>
              </w:rPr>
              <w:t>/</w:t>
            </w:r>
            <w:r w:rsidRPr="00D03298">
              <w:rPr>
                <w:lang w:eastAsia="ja-JP"/>
              </w:rPr>
              <w:sym w:font="Symbol" w:char="F06C"/>
            </w:r>
            <w:r w:rsidRPr="0038299E">
              <w:rPr>
                <w:lang w:val="fr-CH" w:eastAsia="ja-JP"/>
              </w:rPr>
              <w:t xml:space="preserve"> &gt; 250, </w:t>
            </w:r>
            <w:r>
              <w:rPr>
                <w:lang w:val="fr-CH" w:eastAsia="ja-JP"/>
              </w:rPr>
              <w:t xml:space="preserve">lorsque la plus grande dimension de l'ouverture physique est supérieure à 12 m, la résolution angulaire requise pour les mesures est de 0,1° pour tous les angles hors axe. Des études complémentaires pourraient être nécessaires pour déterminer la taille maximale de l'ouverture physique de l'antenne au-delà de laquelle il n'est </w:t>
            </w:r>
            <w:r w:rsidRPr="007D6B63">
              <w:rPr>
                <w:lang w:val="fr-CH" w:eastAsia="ja-JP"/>
              </w:rPr>
              <w:t>pas possible</w:t>
            </w:r>
            <w:r>
              <w:rPr>
                <w:lang w:val="fr-CH" w:eastAsia="ja-JP"/>
              </w:rPr>
              <w:t xml:space="preserve"> d'effectuer les </w:t>
            </w:r>
            <w:r w:rsidRPr="007D6B63">
              <w:rPr>
                <w:lang w:val="fr-CH" w:eastAsia="ja-JP"/>
              </w:rPr>
              <w:t>mesures avec une résolution</w:t>
            </w:r>
            <w:r>
              <w:rPr>
                <w:lang w:val="fr-CH" w:eastAsia="ja-JP"/>
              </w:rPr>
              <w:t xml:space="preserve"> de 0,05°.</w:t>
            </w:r>
          </w:p>
        </w:tc>
      </w:tr>
    </w:tbl>
    <w:p w:rsidR="007B4CC8" w:rsidRDefault="007B4CC8" w:rsidP="007B4CC8">
      <w:pPr>
        <w:pStyle w:val="Tablefin"/>
      </w:pPr>
    </w:p>
    <w:p w:rsidR="00F97DCD" w:rsidRPr="004F02F8" w:rsidRDefault="00F97DCD" w:rsidP="00F97DCD">
      <w:pPr>
        <w:rPr>
          <w:b/>
          <w:lang w:val="fr-CH"/>
        </w:rPr>
      </w:pPr>
      <w:r w:rsidRPr="005E51E1">
        <w:rPr>
          <w:b/>
          <w:lang w:val="fr-CH"/>
        </w:rPr>
        <w:t>4</w:t>
      </w:r>
      <w:r w:rsidRPr="004F02F8">
        <w:rPr>
          <w:b/>
          <w:lang w:val="fr-CH"/>
        </w:rPr>
        <w:tab/>
      </w:r>
      <w:r w:rsidRPr="004F02F8">
        <w:rPr>
          <w:lang w:val="fr-CH"/>
        </w:rPr>
        <w:t xml:space="preserve">que la valeur de gain </w:t>
      </w:r>
      <w:r>
        <w:rPr>
          <w:lang w:val="fr-CH"/>
        </w:rPr>
        <w:t>crête des lobes latéraux dans chaque fenêtre d'échantillons ne dépasse pas</w:t>
      </w:r>
      <w:r w:rsidRPr="006876C1">
        <w:rPr>
          <w:lang w:val="fr-CH"/>
        </w:rPr>
        <w:t xml:space="preserve"> les diagrammes</w:t>
      </w:r>
      <w:r>
        <w:rPr>
          <w:lang w:val="fr-CH"/>
        </w:rPr>
        <w:t xml:space="preserve"> de référence de plus de </w:t>
      </w:r>
      <w:r>
        <w:rPr>
          <w:i/>
          <w:iCs/>
          <w:lang w:val="fr-CH"/>
        </w:rPr>
        <w:t xml:space="preserve">Y </w:t>
      </w:r>
      <w:r>
        <w:rPr>
          <w:lang w:val="fr-CH"/>
        </w:rPr>
        <w:t xml:space="preserve">dB, </w:t>
      </w:r>
      <w:r w:rsidRPr="006876C1">
        <w:rPr>
          <w:lang w:val="fr-CH"/>
        </w:rPr>
        <w:t>les valeurs</w:t>
      </w:r>
      <w:r>
        <w:rPr>
          <w:lang w:val="fr-CH"/>
        </w:rPr>
        <w:t xml:space="preserve"> d'</w:t>
      </w:r>
      <w:r w:rsidRPr="004F02F8">
        <w:rPr>
          <w:i/>
          <w:iCs/>
          <w:lang w:val="fr-CH"/>
        </w:rPr>
        <w:t>Y</w:t>
      </w:r>
      <w:r>
        <w:rPr>
          <w:i/>
          <w:iCs/>
          <w:lang w:val="fr-CH"/>
        </w:rPr>
        <w:t xml:space="preserve"> </w:t>
      </w:r>
      <w:r w:rsidRPr="006876C1">
        <w:rPr>
          <w:lang w:val="fr-CH"/>
        </w:rPr>
        <w:t>étant</w:t>
      </w:r>
      <w:r>
        <w:rPr>
          <w:i/>
          <w:iCs/>
          <w:lang w:val="fr-CH"/>
        </w:rPr>
        <w:t xml:space="preserve"> </w:t>
      </w:r>
      <w:r>
        <w:rPr>
          <w:lang w:val="fr-CH"/>
        </w:rPr>
        <w:t xml:space="preserve">indiquées dans </w:t>
      </w:r>
      <w:r w:rsidRPr="004F02F8">
        <w:rPr>
          <w:lang w:val="fr-CH"/>
        </w:rPr>
        <w:t>le</w:t>
      </w:r>
      <w:r>
        <w:rPr>
          <w:lang w:val="fr-CH"/>
        </w:rPr>
        <w:t xml:space="preserve"> </w:t>
      </w:r>
      <w:r w:rsidRPr="004F02F8">
        <w:rPr>
          <w:lang w:val="fr-CH"/>
        </w:rPr>
        <w:t>Tableau 2:</w:t>
      </w:r>
    </w:p>
    <w:p w:rsidR="00F97DCD" w:rsidRPr="000B23A0" w:rsidRDefault="00F97DCD" w:rsidP="00F97DCD">
      <w:pPr>
        <w:pStyle w:val="TableNo"/>
        <w:rPr>
          <w:lang w:val="fr-CH"/>
        </w:rPr>
      </w:pPr>
      <w:r w:rsidRPr="000B23A0">
        <w:rPr>
          <w:lang w:val="fr-CH"/>
        </w:rPr>
        <w:lastRenderedPageBreak/>
        <w:t>TABLEAU 2</w:t>
      </w:r>
    </w:p>
    <w:p w:rsidR="00F97DCD" w:rsidRPr="004F02F8" w:rsidRDefault="00F97DCD" w:rsidP="00F97DCD">
      <w:pPr>
        <w:pStyle w:val="Tabletitle"/>
        <w:rPr>
          <w:lang w:val="fr-CH"/>
        </w:rPr>
      </w:pPr>
      <w:r>
        <w:rPr>
          <w:lang w:val="fr-CH"/>
        </w:rPr>
        <w:t>Secteurs</w:t>
      </w:r>
      <w:r w:rsidRPr="004F02F8">
        <w:rPr>
          <w:lang w:val="fr-CH"/>
        </w:rPr>
        <w:t xml:space="preserve"> angulaires (fenêtres d'échantillon</w:t>
      </w:r>
      <w:r>
        <w:rPr>
          <w:lang w:val="fr-CH"/>
        </w:rPr>
        <w:t>s</w:t>
      </w:r>
      <w:r w:rsidRPr="004F02F8">
        <w:rPr>
          <w:lang w:val="fr-CH"/>
        </w:rPr>
        <w:t xml:space="preserve">) pour le traitement </w:t>
      </w:r>
      <w:r w:rsidRPr="003D2571">
        <w:rPr>
          <w:lang w:val="fr-CH"/>
        </w:rPr>
        <w:t>d</w:t>
      </w:r>
      <w:r>
        <w:rPr>
          <w:lang w:val="fr-CH"/>
        </w:rPr>
        <w:t xml:space="preserve">es </w:t>
      </w:r>
      <w:r w:rsidRPr="003D2571">
        <w:rPr>
          <w:lang w:val="fr-CH"/>
        </w:rPr>
        <w:t>échantillons</w:t>
      </w:r>
      <w:r>
        <w:rPr>
          <w:lang w:val="fr-CH"/>
        </w:rPr>
        <w:br/>
      </w:r>
      <w:r w:rsidRPr="003D2571">
        <w:rPr>
          <w:lang w:val="fr-CH"/>
        </w:rPr>
        <w:t xml:space="preserve"> de mesure</w:t>
      </w:r>
      <w:r>
        <w:rPr>
          <w:lang w:val="fr-CH"/>
        </w:rPr>
        <w:t xml:space="preserve"> </w:t>
      </w:r>
      <w:r w:rsidRPr="004F02F8">
        <w:rPr>
          <w:lang w:val="fr-CH"/>
        </w:rPr>
        <w:t>de</w:t>
      </w:r>
      <w:r>
        <w:rPr>
          <w:lang w:val="fr-CH"/>
        </w:rPr>
        <w:t>s</w:t>
      </w:r>
      <w:r w:rsidRPr="004F02F8">
        <w:rPr>
          <w:lang w:val="fr-CH"/>
        </w:rPr>
        <w:t xml:space="preserve"> cr</w:t>
      </w:r>
      <w:r>
        <w:rPr>
          <w:lang w:val="fr-CH"/>
        </w:rPr>
        <w:t>êtes des lobes latéraux et dépassements autorisés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5"/>
        <w:gridCol w:w="3137"/>
        <w:gridCol w:w="3137"/>
      </w:tblGrid>
      <w:tr w:rsidR="00F97DCD" w:rsidRPr="00FF419C" w:rsidTr="009075E1">
        <w:trPr>
          <w:jc w:val="center"/>
        </w:trPr>
        <w:tc>
          <w:tcPr>
            <w:tcW w:w="2552" w:type="dxa"/>
            <w:vAlign w:val="center"/>
          </w:tcPr>
          <w:p w:rsidR="00F97DCD" w:rsidRPr="00D03298" w:rsidRDefault="00F97DCD" w:rsidP="009075E1">
            <w:pPr>
              <w:pStyle w:val="Tablehead"/>
            </w:pPr>
            <w:r>
              <w:rPr>
                <w:lang w:val="fr-CH"/>
              </w:rPr>
              <w:t>Secteurs</w:t>
            </w:r>
            <w:r w:rsidRPr="004F02F8">
              <w:rPr>
                <w:lang w:val="fr-CH"/>
              </w:rPr>
              <w:t xml:space="preserve"> </w:t>
            </w:r>
            <w:r>
              <w:t>angulaires</w:t>
            </w:r>
            <w:r w:rsidRPr="00D03298">
              <w:t>/</w:t>
            </w:r>
            <w:r>
              <w:t>fenêtres d'échantillons</w:t>
            </w:r>
          </w:p>
        </w:tc>
        <w:tc>
          <w:tcPr>
            <w:tcW w:w="2379" w:type="dxa"/>
            <w:vAlign w:val="center"/>
          </w:tcPr>
          <w:p w:rsidR="00F97DCD" w:rsidRPr="00D03298" w:rsidRDefault="00F97DCD" w:rsidP="009075E1">
            <w:pPr>
              <w:pStyle w:val="Tablehead"/>
            </w:pPr>
            <w:r>
              <w:t>Limites angulaires</w:t>
            </w:r>
            <w:r w:rsidRPr="00D03298">
              <w:t xml:space="preserve"> (°)</w:t>
            </w:r>
          </w:p>
        </w:tc>
        <w:tc>
          <w:tcPr>
            <w:tcW w:w="2379" w:type="dxa"/>
            <w:vAlign w:val="center"/>
          </w:tcPr>
          <w:p w:rsidR="00F97DCD" w:rsidRPr="00FF419C" w:rsidRDefault="00F97DCD" w:rsidP="009075E1">
            <w:pPr>
              <w:pStyle w:val="Tablehead"/>
              <w:rPr>
                <w:lang w:val="fr-CH"/>
              </w:rPr>
            </w:pPr>
            <w:r>
              <w:rPr>
                <w:lang w:val="fr-CH"/>
              </w:rPr>
              <w:t>Dépassement autorisé</w:t>
            </w:r>
            <w:r>
              <w:rPr>
                <w:i/>
                <w:iCs/>
                <w:lang w:val="fr-CH"/>
              </w:rPr>
              <w:br/>
            </w:r>
            <w:r w:rsidRPr="00FF419C">
              <w:rPr>
                <w:lang w:val="fr-CH"/>
              </w:rPr>
              <w:t>(</w:t>
            </w:r>
            <w:r w:rsidRPr="00FF419C">
              <w:rPr>
                <w:i/>
                <w:iCs/>
                <w:lang w:val="fr-CH"/>
              </w:rPr>
              <w:t>Y</w:t>
            </w:r>
            <w:r w:rsidRPr="00FF419C">
              <w:rPr>
                <w:lang w:val="fr-CH"/>
              </w:rPr>
              <w:t xml:space="preserve"> en dB)</w:t>
            </w:r>
          </w:p>
        </w:tc>
      </w:tr>
      <w:tr w:rsidR="00F97DCD" w:rsidRPr="00D03298" w:rsidTr="009075E1">
        <w:trPr>
          <w:jc w:val="center"/>
        </w:trPr>
        <w:tc>
          <w:tcPr>
            <w:tcW w:w="2552" w:type="dxa"/>
            <w:vAlign w:val="center"/>
          </w:tcPr>
          <w:p w:rsidR="00F97DCD" w:rsidRPr="00D03298" w:rsidRDefault="00F97DCD" w:rsidP="009075E1">
            <w:pPr>
              <w:pStyle w:val="Tabletext"/>
              <w:jc w:val="center"/>
            </w:pPr>
            <w:r w:rsidRPr="00D03298">
              <w:sym w:font="Symbol" w:char="F020"/>
            </w:r>
            <w:r w:rsidRPr="00D03298">
              <w:sym w:font="Symbol" w:char="F044"/>
            </w:r>
            <w:r w:rsidRPr="00D03298">
              <w:sym w:font="Symbol" w:char="F06A"/>
            </w:r>
            <w:r w:rsidRPr="0083385A">
              <w:rPr>
                <w:i/>
                <w:iCs/>
                <w:vertAlign w:val="subscript"/>
              </w:rPr>
              <w:t>W</w:t>
            </w:r>
            <w:r w:rsidRPr="00D03298">
              <w:rPr>
                <w:vertAlign w:val="subscript"/>
              </w:rPr>
              <w:t>1</w:t>
            </w:r>
          </w:p>
        </w:tc>
        <w:tc>
          <w:tcPr>
            <w:tcW w:w="2379" w:type="dxa"/>
            <w:vAlign w:val="center"/>
          </w:tcPr>
          <w:p w:rsidR="00F97DCD" w:rsidRPr="00D03298" w:rsidRDefault="00F97DCD" w:rsidP="009075E1">
            <w:pPr>
              <w:pStyle w:val="Tabletext"/>
              <w:jc w:val="center"/>
            </w:pPr>
            <w:r w:rsidRPr="00D03298">
              <w:t>φ</w:t>
            </w:r>
            <w:r w:rsidRPr="00D03298">
              <w:rPr>
                <w:vertAlign w:val="subscript"/>
              </w:rPr>
              <w:t>min</w:t>
            </w:r>
            <w:r w:rsidRPr="00D03298">
              <w:t xml:space="preserve"> &lt; φ ≤</w:t>
            </w:r>
            <w:r>
              <w:t xml:space="preserve"> </w:t>
            </w:r>
            <w:r w:rsidRPr="00D03298">
              <w:t>7</w:t>
            </w:r>
          </w:p>
        </w:tc>
        <w:tc>
          <w:tcPr>
            <w:tcW w:w="2379" w:type="dxa"/>
            <w:vAlign w:val="center"/>
          </w:tcPr>
          <w:p w:rsidR="00F97DCD" w:rsidRPr="00D03298" w:rsidRDefault="00F97DCD" w:rsidP="009075E1">
            <w:pPr>
              <w:pStyle w:val="Tabletext"/>
              <w:jc w:val="center"/>
            </w:pPr>
            <w:r w:rsidRPr="00D03298">
              <w:t>1</w:t>
            </w:r>
          </w:p>
        </w:tc>
      </w:tr>
      <w:tr w:rsidR="00F97DCD" w:rsidRPr="00D03298" w:rsidTr="009075E1">
        <w:trPr>
          <w:jc w:val="center"/>
        </w:trPr>
        <w:tc>
          <w:tcPr>
            <w:tcW w:w="2552" w:type="dxa"/>
            <w:vAlign w:val="center"/>
          </w:tcPr>
          <w:p w:rsidR="00F97DCD" w:rsidRPr="00D03298" w:rsidRDefault="00F97DCD" w:rsidP="009075E1">
            <w:pPr>
              <w:pStyle w:val="Tabletext"/>
              <w:jc w:val="center"/>
            </w:pPr>
            <w:r w:rsidRPr="00D03298">
              <w:sym w:font="Symbol" w:char="F020"/>
            </w:r>
            <w:r w:rsidRPr="00D03298">
              <w:sym w:font="Symbol" w:char="F044"/>
            </w:r>
            <w:r w:rsidRPr="00D03298">
              <w:sym w:font="Symbol" w:char="F06A"/>
            </w:r>
            <w:r w:rsidRPr="0083385A">
              <w:rPr>
                <w:i/>
                <w:iCs/>
                <w:vertAlign w:val="subscript"/>
              </w:rPr>
              <w:t>W</w:t>
            </w:r>
            <w:r w:rsidRPr="00D03298">
              <w:rPr>
                <w:vertAlign w:val="subscript"/>
              </w:rPr>
              <w:t>2</w:t>
            </w:r>
          </w:p>
        </w:tc>
        <w:tc>
          <w:tcPr>
            <w:tcW w:w="2379" w:type="dxa"/>
            <w:vAlign w:val="center"/>
          </w:tcPr>
          <w:p w:rsidR="00F97DCD" w:rsidRDefault="00F97DCD" w:rsidP="009075E1">
            <w:pPr>
              <w:pStyle w:val="Tabletext"/>
              <w:jc w:val="center"/>
              <w:rPr>
                <w:b/>
              </w:rPr>
            </w:pPr>
            <w:r w:rsidRPr="00D03298">
              <w:t>7</w:t>
            </w:r>
            <w:r>
              <w:t xml:space="preserve"> </w:t>
            </w:r>
            <w:r w:rsidRPr="00D03298">
              <w:t>&lt; φ ≤ 9</w:t>
            </w:r>
            <w:r>
              <w:t>,</w:t>
            </w:r>
            <w:r w:rsidRPr="00D03298">
              <w:t>2</w:t>
            </w:r>
          </w:p>
        </w:tc>
        <w:tc>
          <w:tcPr>
            <w:tcW w:w="2379" w:type="dxa"/>
            <w:vAlign w:val="center"/>
          </w:tcPr>
          <w:p w:rsidR="00F97DCD" w:rsidRPr="00D03298" w:rsidRDefault="00F97DCD" w:rsidP="009075E1">
            <w:pPr>
              <w:pStyle w:val="Tabletext"/>
              <w:jc w:val="center"/>
            </w:pPr>
            <w:r w:rsidRPr="00D03298">
              <w:t>3</w:t>
            </w:r>
          </w:p>
        </w:tc>
      </w:tr>
      <w:tr w:rsidR="00F97DCD" w:rsidRPr="00D03298" w:rsidTr="009075E1">
        <w:trPr>
          <w:jc w:val="center"/>
        </w:trPr>
        <w:tc>
          <w:tcPr>
            <w:tcW w:w="2552" w:type="dxa"/>
            <w:vAlign w:val="center"/>
          </w:tcPr>
          <w:p w:rsidR="00F97DCD" w:rsidRPr="00D03298" w:rsidRDefault="00F97DCD" w:rsidP="009075E1">
            <w:pPr>
              <w:pStyle w:val="Tabletext"/>
              <w:jc w:val="center"/>
            </w:pPr>
            <w:r w:rsidRPr="00D03298">
              <w:sym w:font="Symbol" w:char="F044"/>
            </w:r>
            <w:r w:rsidRPr="00D03298">
              <w:sym w:font="Symbol" w:char="F06A"/>
            </w:r>
            <w:r w:rsidRPr="0083385A">
              <w:rPr>
                <w:i/>
                <w:iCs/>
                <w:vertAlign w:val="subscript"/>
              </w:rPr>
              <w:t>W</w:t>
            </w:r>
            <w:r w:rsidRPr="00D03298">
              <w:rPr>
                <w:rFonts w:ascii="Times" w:hAnsi="Times"/>
                <w:vertAlign w:val="subscript"/>
              </w:rPr>
              <w:t>3</w:t>
            </w:r>
          </w:p>
        </w:tc>
        <w:tc>
          <w:tcPr>
            <w:tcW w:w="2379" w:type="dxa"/>
            <w:vAlign w:val="center"/>
          </w:tcPr>
          <w:p w:rsidR="00F97DCD" w:rsidRDefault="00F97DCD" w:rsidP="009075E1">
            <w:pPr>
              <w:pStyle w:val="Tabletext"/>
              <w:jc w:val="center"/>
              <w:rPr>
                <w:b/>
                <w:sz w:val="28"/>
              </w:rPr>
            </w:pPr>
            <w:r w:rsidRPr="00D03298">
              <w:t>9</w:t>
            </w:r>
            <w:r>
              <w:t>,</w:t>
            </w:r>
            <w:r w:rsidRPr="00D03298">
              <w:t>2 &lt; φ ≤ 48</w:t>
            </w:r>
          </w:p>
        </w:tc>
        <w:tc>
          <w:tcPr>
            <w:tcW w:w="2379" w:type="dxa"/>
            <w:vAlign w:val="center"/>
          </w:tcPr>
          <w:p w:rsidR="00F97DCD" w:rsidRPr="00D03298" w:rsidRDefault="00F97DCD" w:rsidP="009075E1">
            <w:pPr>
              <w:pStyle w:val="Tabletext"/>
              <w:jc w:val="center"/>
            </w:pPr>
            <w:r w:rsidRPr="00D03298">
              <w:t>3</w:t>
            </w:r>
          </w:p>
        </w:tc>
      </w:tr>
      <w:tr w:rsidR="00F97DCD" w:rsidRPr="00D03298" w:rsidTr="009075E1">
        <w:trPr>
          <w:jc w:val="center"/>
        </w:trPr>
        <w:tc>
          <w:tcPr>
            <w:tcW w:w="2552" w:type="dxa"/>
            <w:vAlign w:val="center"/>
          </w:tcPr>
          <w:p w:rsidR="00F97DCD" w:rsidRPr="00D03298" w:rsidRDefault="00F97DCD" w:rsidP="009075E1">
            <w:pPr>
              <w:pStyle w:val="Tabletext"/>
              <w:jc w:val="center"/>
            </w:pPr>
            <w:r w:rsidRPr="00D03298">
              <w:sym w:font="Symbol" w:char="F044"/>
            </w:r>
            <w:r w:rsidRPr="00D03298">
              <w:sym w:font="Symbol" w:char="F06A"/>
            </w:r>
            <w:r w:rsidRPr="0083385A">
              <w:rPr>
                <w:i/>
                <w:iCs/>
                <w:vertAlign w:val="subscript"/>
              </w:rPr>
              <w:t>W</w:t>
            </w:r>
            <w:r w:rsidRPr="00D03298">
              <w:rPr>
                <w:rFonts w:ascii="Times" w:hAnsi="Times"/>
                <w:vertAlign w:val="subscript"/>
              </w:rPr>
              <w:t>4</w:t>
            </w:r>
          </w:p>
        </w:tc>
        <w:tc>
          <w:tcPr>
            <w:tcW w:w="2379" w:type="dxa"/>
            <w:vAlign w:val="center"/>
          </w:tcPr>
          <w:p w:rsidR="00F97DCD" w:rsidRDefault="00F97DCD" w:rsidP="009075E1">
            <w:pPr>
              <w:pStyle w:val="Tabletext"/>
              <w:jc w:val="center"/>
              <w:rPr>
                <w:b/>
              </w:rPr>
            </w:pPr>
            <w:r w:rsidRPr="00D03298">
              <w:t>48 &lt; φ ≤</w:t>
            </w:r>
            <w:r>
              <w:t xml:space="preserve"> </w:t>
            </w:r>
            <w:r w:rsidRPr="00D03298">
              <w:t>180</w:t>
            </w:r>
          </w:p>
        </w:tc>
        <w:tc>
          <w:tcPr>
            <w:tcW w:w="2379" w:type="dxa"/>
            <w:vAlign w:val="center"/>
          </w:tcPr>
          <w:p w:rsidR="00F97DCD" w:rsidRPr="00D03298" w:rsidRDefault="00F97DCD" w:rsidP="009075E1">
            <w:pPr>
              <w:pStyle w:val="Tabletext"/>
              <w:jc w:val="center"/>
            </w:pPr>
            <w:r w:rsidRPr="00D03298">
              <w:t>10</w:t>
            </w:r>
          </w:p>
        </w:tc>
      </w:tr>
    </w:tbl>
    <w:p w:rsidR="00F97DCD" w:rsidRDefault="00F97DCD" w:rsidP="00F97DCD">
      <w:pPr>
        <w:pStyle w:val="Tablefin"/>
      </w:pPr>
    </w:p>
    <w:p w:rsidR="00F97DCD" w:rsidRPr="00FF419C" w:rsidRDefault="00F97DCD" w:rsidP="00F97DCD">
      <w:r>
        <w:t xml:space="preserve">Dans le Tableau 2, la limite inférieure du premier secteur angulaire </w:t>
      </w:r>
      <w:r w:rsidRPr="00D03298">
        <w:sym w:font="Symbol" w:char="F020"/>
      </w:r>
      <w:r w:rsidRPr="00D03298">
        <w:sym w:font="Symbol" w:char="F044"/>
      </w:r>
      <w:r w:rsidRPr="00D03298">
        <w:sym w:font="Symbol" w:char="F06A"/>
      </w:r>
      <w:r w:rsidRPr="0083385A">
        <w:rPr>
          <w:i/>
          <w:iCs/>
          <w:vertAlign w:val="subscript"/>
        </w:rPr>
        <w:t>W</w:t>
      </w:r>
      <w:r w:rsidRPr="00D03298">
        <w:rPr>
          <w:vertAlign w:val="subscript"/>
        </w:rPr>
        <w:t>1</w:t>
      </w:r>
      <w:r>
        <w:rPr>
          <w:vertAlign w:val="subscript"/>
        </w:rPr>
        <w:t xml:space="preserve"> </w:t>
      </w:r>
      <w:r>
        <w:t xml:space="preserve">est 1° ou (100 </w:t>
      </w:r>
      <w:r w:rsidRPr="00D03298">
        <w:sym w:font="Symbol" w:char="F06C"/>
      </w:r>
      <w:r w:rsidRPr="00D03298">
        <w:t>/</w:t>
      </w:r>
      <w:r>
        <w:rPr>
          <w:i/>
          <w:iCs/>
        </w:rPr>
        <w:t>D</w:t>
      </w:r>
      <w:r>
        <w:t xml:space="preserve">) degrés, </w:t>
      </w:r>
      <w:r w:rsidRPr="00FF419C">
        <w:t>la valeur la plus grande étant retenue</w:t>
      </w:r>
      <w:r>
        <w:t>;</w:t>
      </w:r>
    </w:p>
    <w:p w:rsidR="00F97DCD" w:rsidRDefault="00F97DCD" w:rsidP="00F97DCD">
      <w:r w:rsidRPr="005E51E1">
        <w:rPr>
          <w:b/>
          <w:bCs/>
        </w:rPr>
        <w:t>5</w:t>
      </w:r>
      <w:r>
        <w:tab/>
        <w:t>que, si le nombre de crêtes des lobes latéraux est inférieur à 10 dans les secteurs angulaires considérés, le pourcentage des crêtes des lobes latéraux de l'antenne de station terrienne qui ne sont pas conformes au diagramme de référence soit déterminé à l'aide de la formule suivante:</w:t>
      </w:r>
    </w:p>
    <w:p w:rsidR="00F97DCD" w:rsidRDefault="00F97DCD" w:rsidP="00F97DCD">
      <w:pPr>
        <w:pStyle w:val="Equation"/>
        <w:jc w:val="center"/>
      </w:pPr>
      <w:r w:rsidRPr="00D4171B">
        <w:rPr>
          <w:position w:val="-28"/>
        </w:rPr>
        <w:object w:dxaOrig="25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55pt;height:33.45pt" o:ole="" fillcolor="window">
            <v:imagedata r:id="rId12" o:title=""/>
          </v:shape>
          <o:OLEObject Type="Embed" ProgID="Equation.3" ShapeID="_x0000_i1025" DrawAspect="Content" ObjectID="_1472627913" r:id="rId13"/>
        </w:object>
      </w:r>
    </w:p>
    <w:p w:rsidR="00F97DCD" w:rsidRPr="000B23A0" w:rsidRDefault="00F97DCD" w:rsidP="00F97DCD">
      <w:pPr>
        <w:keepNext/>
        <w:keepLines/>
        <w:tabs>
          <w:tab w:val="center" w:pos="4820"/>
          <w:tab w:val="right" w:pos="9639"/>
        </w:tabs>
        <w:spacing w:before="0"/>
        <w:rPr>
          <w:lang w:val="fr-CH"/>
        </w:rPr>
      </w:pPr>
      <w:r w:rsidRPr="000B23A0">
        <w:rPr>
          <w:lang w:val="fr-CH"/>
        </w:rPr>
        <w:t>où:</w:t>
      </w:r>
    </w:p>
    <w:p w:rsidR="00F97DCD" w:rsidRPr="000B23A0" w:rsidRDefault="00F97DCD" w:rsidP="00F97DCD">
      <w:pPr>
        <w:pStyle w:val="Equationlegend"/>
        <w:keepNext/>
        <w:keepLines/>
        <w:rPr>
          <w:i/>
          <w:lang w:val="fr-CH"/>
        </w:rPr>
      </w:pPr>
      <w:r w:rsidRPr="000B23A0">
        <w:rPr>
          <w:i/>
          <w:lang w:val="fr-CH"/>
        </w:rPr>
        <w:tab/>
      </w:r>
      <w:r w:rsidRPr="00D83788">
        <w:rPr>
          <w:i/>
          <w:lang w:val="fr-CH"/>
        </w:rPr>
        <w:t xml:space="preserve">j: </w:t>
      </w:r>
      <w:r w:rsidRPr="00D83788">
        <w:rPr>
          <w:i/>
          <w:lang w:val="fr-CH"/>
        </w:rPr>
        <w:tab/>
      </w:r>
      <w:r w:rsidRPr="00D83788">
        <w:rPr>
          <w:iCs/>
          <w:lang w:val="fr-CH"/>
        </w:rPr>
        <w:t>indice d</w:t>
      </w:r>
      <w:r>
        <w:rPr>
          <w:iCs/>
          <w:lang w:val="fr-CH"/>
        </w:rPr>
        <w:t xml:space="preserve">u secteur angulaire </w:t>
      </w:r>
      <w:r w:rsidRPr="00D03298">
        <w:rPr>
          <w:rFonts w:ascii="Calibri" w:hAnsi="Calibri"/>
        </w:rPr>
        <w:sym w:font="Symbol" w:char="F044"/>
      </w:r>
      <w:r w:rsidRPr="00D03298">
        <w:rPr>
          <w:rFonts w:ascii="Calibri" w:hAnsi="Calibri"/>
        </w:rPr>
        <w:sym w:font="Symbol" w:char="F06A"/>
      </w:r>
      <w:r w:rsidRPr="00D83788">
        <w:rPr>
          <w:rFonts w:asciiTheme="majorBidi" w:hAnsiTheme="majorBidi" w:cstheme="majorBidi"/>
          <w:i/>
          <w:iCs/>
          <w:vertAlign w:val="subscript"/>
          <w:lang w:val="fr-CH"/>
        </w:rPr>
        <w:t>W</w:t>
      </w:r>
      <w:r>
        <w:rPr>
          <w:lang w:val="fr-CH"/>
        </w:rPr>
        <w:t xml:space="preserve"> analysé, dont la valeur varie de 1 à 4 d'après le Tableau 2</w:t>
      </w:r>
    </w:p>
    <w:p w:rsidR="00F97DCD" w:rsidRPr="00D83788" w:rsidRDefault="00F97DCD" w:rsidP="00F97DCD">
      <w:pPr>
        <w:pStyle w:val="Equationlegend"/>
        <w:keepNext/>
        <w:keepLines/>
        <w:rPr>
          <w:lang w:val="fr-CH"/>
        </w:rPr>
      </w:pPr>
      <w:r w:rsidRPr="000B23A0">
        <w:rPr>
          <w:i/>
          <w:lang w:val="fr-CH"/>
        </w:rPr>
        <w:tab/>
      </w:r>
      <w:r w:rsidRPr="00D83788">
        <w:rPr>
          <w:i/>
          <w:lang w:val="fr-CH"/>
        </w:rPr>
        <w:t>N</w:t>
      </w:r>
      <w:r w:rsidRPr="00D83788">
        <w:rPr>
          <w:lang w:val="fr-CH"/>
        </w:rPr>
        <w:t xml:space="preserve">: </w:t>
      </w:r>
      <w:r w:rsidRPr="00D83788">
        <w:rPr>
          <w:lang w:val="fr-CH"/>
        </w:rPr>
        <w:tab/>
        <w:t>nombre de crêtes de</w:t>
      </w:r>
      <w:r>
        <w:rPr>
          <w:lang w:val="fr-CH"/>
        </w:rPr>
        <w:t>s</w:t>
      </w:r>
      <w:r w:rsidRPr="00D83788">
        <w:rPr>
          <w:lang w:val="fr-CH"/>
        </w:rPr>
        <w:t xml:space="preserve"> lobes latéraux dépassant le diagramme de r</w:t>
      </w:r>
      <w:r>
        <w:rPr>
          <w:lang w:val="fr-CH"/>
        </w:rPr>
        <w:t>é</w:t>
      </w:r>
      <w:r w:rsidRPr="00D83788">
        <w:rPr>
          <w:lang w:val="fr-CH"/>
        </w:rPr>
        <w:t>f</w:t>
      </w:r>
      <w:r>
        <w:rPr>
          <w:lang w:val="fr-CH"/>
        </w:rPr>
        <w:t>é</w:t>
      </w:r>
      <w:r w:rsidRPr="00D83788">
        <w:rPr>
          <w:lang w:val="fr-CH"/>
        </w:rPr>
        <w:t xml:space="preserve">rence dans </w:t>
      </w:r>
      <w:r>
        <w:rPr>
          <w:iCs/>
          <w:lang w:val="fr-CH"/>
        </w:rPr>
        <w:t xml:space="preserve">le secteur </w:t>
      </w:r>
      <w:r w:rsidRPr="00D83788">
        <w:rPr>
          <w:lang w:val="fr-CH"/>
        </w:rPr>
        <w:t xml:space="preserve">angulaire </w:t>
      </w:r>
      <w:r w:rsidRPr="00D83788">
        <w:rPr>
          <w:i/>
          <w:lang w:val="fr-CH"/>
        </w:rPr>
        <w:t>j</w:t>
      </w:r>
    </w:p>
    <w:p w:rsidR="00F97DCD" w:rsidRPr="00D83788" w:rsidRDefault="00F97DCD" w:rsidP="00F97DCD">
      <w:pPr>
        <w:pStyle w:val="Equationlegend"/>
        <w:rPr>
          <w:lang w:val="fr-CH"/>
        </w:rPr>
      </w:pPr>
      <w:r w:rsidRPr="00D83788">
        <w:rPr>
          <w:lang w:val="fr-CH"/>
        </w:rPr>
        <w:tab/>
      </w:r>
      <w:r w:rsidRPr="00D03298">
        <w:sym w:font="Symbol" w:char="F044"/>
      </w:r>
      <w:r w:rsidRPr="00D03298">
        <w:sym w:font="Symbol" w:char="F06A"/>
      </w:r>
      <w:r w:rsidRPr="00D83788">
        <w:rPr>
          <w:i/>
          <w:iCs/>
          <w:vertAlign w:val="subscript"/>
          <w:lang w:val="fr-CH"/>
        </w:rPr>
        <w:t>i</w:t>
      </w:r>
      <w:r w:rsidRPr="00D83788">
        <w:rPr>
          <w:lang w:val="fr-CH"/>
        </w:rPr>
        <w:t>:</w:t>
      </w:r>
      <w:r w:rsidRPr="00D83788">
        <w:rPr>
          <w:lang w:val="fr-CH"/>
        </w:rPr>
        <w:tab/>
      </w:r>
      <w:r>
        <w:rPr>
          <w:lang w:val="fr-CH"/>
        </w:rPr>
        <w:t>ouverture</w:t>
      </w:r>
      <w:r w:rsidRPr="00D83788">
        <w:rPr>
          <w:lang w:val="fr-CH"/>
        </w:rPr>
        <w:t xml:space="preserve"> </w:t>
      </w:r>
      <w:r>
        <w:rPr>
          <w:lang w:val="fr-CH"/>
        </w:rPr>
        <w:t xml:space="preserve">angulaire du </w:t>
      </w:r>
      <w:r w:rsidRPr="00D83788">
        <w:rPr>
          <w:i/>
          <w:iCs/>
          <w:lang w:val="fr-CH"/>
        </w:rPr>
        <w:t>i</w:t>
      </w:r>
      <w:r w:rsidRPr="00D83788">
        <w:rPr>
          <w:vertAlign w:val="superscript"/>
          <w:lang w:val="fr-CH"/>
        </w:rPr>
        <w:t>ème</w:t>
      </w:r>
      <w:r w:rsidRPr="00D83788">
        <w:rPr>
          <w:lang w:val="fr-CH"/>
        </w:rPr>
        <w:t xml:space="preserve"> </w:t>
      </w:r>
      <w:r>
        <w:rPr>
          <w:lang w:val="fr-CH"/>
        </w:rPr>
        <w:t xml:space="preserve">échantillon de crête de </w:t>
      </w:r>
      <w:r w:rsidRPr="00D83788">
        <w:rPr>
          <w:lang w:val="fr-CH"/>
        </w:rPr>
        <w:t xml:space="preserve">lobe </w:t>
      </w:r>
      <w:r>
        <w:rPr>
          <w:lang w:val="fr-CH"/>
        </w:rPr>
        <w:t>laté</w:t>
      </w:r>
      <w:r w:rsidRPr="00D83788">
        <w:rPr>
          <w:lang w:val="fr-CH"/>
        </w:rPr>
        <w:t xml:space="preserve">ral </w:t>
      </w:r>
      <w:r>
        <w:rPr>
          <w:lang w:val="fr-CH"/>
        </w:rPr>
        <w:t>qui dépasse le diagramme de référence (degré</w:t>
      </w:r>
      <w:r w:rsidRPr="00D83788">
        <w:rPr>
          <w:lang w:val="fr-CH"/>
        </w:rPr>
        <w:t>s)</w:t>
      </w:r>
    </w:p>
    <w:p w:rsidR="00F97DCD" w:rsidRPr="00CE36F4" w:rsidRDefault="00F97DCD" w:rsidP="00F97DCD">
      <w:pPr>
        <w:pStyle w:val="Equationlegend"/>
        <w:spacing w:line="480" w:lineRule="auto"/>
        <w:rPr>
          <w:lang w:val="fr-CH"/>
        </w:rPr>
      </w:pPr>
      <w:r w:rsidRPr="00D83788">
        <w:rPr>
          <w:lang w:val="fr-CH"/>
        </w:rPr>
        <w:tab/>
      </w:r>
      <w:r w:rsidRPr="00D03298">
        <w:sym w:font="Symbol" w:char="F044"/>
      </w:r>
      <w:r w:rsidRPr="00D03298">
        <w:sym w:font="Symbol" w:char="F06A"/>
      </w:r>
      <w:r w:rsidRPr="00CE36F4">
        <w:rPr>
          <w:i/>
          <w:iCs/>
          <w:vertAlign w:val="subscript"/>
          <w:lang w:val="fr-CH"/>
        </w:rPr>
        <w:t>W</w:t>
      </w:r>
      <w:r w:rsidRPr="00CE36F4">
        <w:rPr>
          <w:lang w:val="fr-CH"/>
        </w:rPr>
        <w:t xml:space="preserve">: </w:t>
      </w:r>
      <w:r w:rsidRPr="00CE36F4">
        <w:rPr>
          <w:lang w:val="fr-CH"/>
        </w:rPr>
        <w:tab/>
        <w:t xml:space="preserve">ouverture angulaire </w:t>
      </w:r>
      <w:r>
        <w:rPr>
          <w:lang w:val="fr-CH"/>
        </w:rPr>
        <w:t xml:space="preserve">totale </w:t>
      </w:r>
      <w:r w:rsidRPr="00D83788">
        <w:rPr>
          <w:iCs/>
          <w:lang w:val="fr-CH"/>
        </w:rPr>
        <w:t>d</w:t>
      </w:r>
      <w:r>
        <w:rPr>
          <w:iCs/>
          <w:lang w:val="fr-CH"/>
        </w:rPr>
        <w:t xml:space="preserve">u secteur </w:t>
      </w:r>
      <w:r>
        <w:rPr>
          <w:lang w:val="fr-CH"/>
        </w:rPr>
        <w:t xml:space="preserve">angulaire </w:t>
      </w:r>
      <w:r w:rsidRPr="00CE36F4">
        <w:rPr>
          <w:i/>
          <w:lang w:val="fr-CH"/>
        </w:rPr>
        <w:t>j</w:t>
      </w:r>
      <w:r w:rsidRPr="00CE36F4">
        <w:rPr>
          <w:lang w:val="fr-CH"/>
        </w:rPr>
        <w:t xml:space="preserve"> (degrés);</w:t>
      </w:r>
    </w:p>
    <w:p w:rsidR="00F97DCD" w:rsidRDefault="00F97DCD" w:rsidP="007B4CC8">
      <w:r w:rsidRPr="005E51E1">
        <w:rPr>
          <w:b/>
          <w:bCs/>
        </w:rPr>
        <w:t>6</w:t>
      </w:r>
      <w:r w:rsidRPr="006E486B">
        <w:rPr>
          <w:b/>
          <w:bCs/>
        </w:rPr>
        <w:tab/>
      </w:r>
      <w:r>
        <w:t xml:space="preserve">que les antennes soient réputées être conformes au diagramme d'antenne de référence si elles remplissent la condition énoncée au point 4 du </w:t>
      </w:r>
      <w:r>
        <w:rPr>
          <w:i/>
          <w:iCs/>
        </w:rPr>
        <w:t xml:space="preserve">recommande </w:t>
      </w:r>
      <w:r>
        <w:t xml:space="preserve">et si le pourcentage de lobes latéraux qui dépassent le diagramme d'antenne de référence ne dépasse pas la limite autorisée, ou, dans les cas visés au point 5 du </w:t>
      </w:r>
      <w:r>
        <w:rPr>
          <w:i/>
          <w:iCs/>
        </w:rPr>
        <w:t>recommande</w:t>
      </w:r>
      <w:r>
        <w:t xml:space="preserve">, si aucune valeur de </w:t>
      </w:r>
      <w:r>
        <w:rPr>
          <w:i/>
          <w:iCs/>
        </w:rPr>
        <w:t>X</w:t>
      </w:r>
      <w:r w:rsidRPr="006876C1">
        <w:rPr>
          <w:i/>
          <w:iCs/>
          <w:vertAlign w:val="subscript"/>
        </w:rPr>
        <w:t>j</w:t>
      </w:r>
      <w:r>
        <w:rPr>
          <w:i/>
          <w:iCs/>
        </w:rPr>
        <w:t xml:space="preserve"> </w:t>
      </w:r>
      <w:r>
        <w:t>ne dépasse le pourcentage de dépassement autorisé.</w:t>
      </w:r>
    </w:p>
    <w:p w:rsidR="00F97DCD" w:rsidRDefault="00F97DCD" w:rsidP="00F97DCD"/>
    <w:p w:rsidR="00C66E6C" w:rsidRPr="00F97DCD" w:rsidRDefault="00C66E6C" w:rsidP="00F97DCD">
      <w:pPr>
        <w:pStyle w:val="Line"/>
      </w:pPr>
    </w:p>
    <w:sectPr w:rsidR="00C66E6C" w:rsidRPr="00F97DCD" w:rsidSect="00C1125D">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6E6C" w:rsidRDefault="00C66E6C">
      <w:r>
        <w:separator/>
      </w:r>
    </w:p>
  </w:endnote>
  <w:endnote w:type="continuationSeparator" w:id="0">
    <w:p w:rsidR="00C66E6C" w:rsidRDefault="00C66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6E6C" w:rsidRDefault="00C66E6C">
      <w:r>
        <w:separator/>
      </w:r>
    </w:p>
  </w:footnote>
  <w:footnote w:type="continuationSeparator" w:id="0">
    <w:p w:rsidR="00C66E6C" w:rsidRDefault="00C66E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E6C" w:rsidRDefault="00C66E6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E6C" w:rsidRDefault="00C66E6C" w:rsidP="00C668C8">
    <w:pPr>
      <w:pStyle w:val="Header"/>
      <w:ind w:right="360" w:firstLine="360"/>
    </w:pPr>
    <w:r>
      <w:rPr>
        <w:noProof/>
        <w:lang w:val="en-US" w:eastAsia="zh-CN"/>
      </w:rPr>
      <w:drawing>
        <wp:anchor distT="0" distB="0" distL="114300" distR="114300" simplePos="0" relativeHeight="251657216" behindDoc="1" locked="0" layoutInCell="1" allowOverlap="1" wp14:anchorId="5FE98ED1" wp14:editId="1E18D6E6">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E6C" w:rsidRPr="00837CB5" w:rsidRDefault="00C66E6C">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8B768B">
      <w:rPr>
        <w:rStyle w:val="PageNumber"/>
        <w:b/>
        <w:bCs/>
        <w:noProof/>
      </w:rPr>
      <w:t>ii</w:t>
    </w:r>
    <w:r>
      <w:rPr>
        <w:rStyle w:val="PageNumber"/>
        <w:b/>
        <w:bCs/>
      </w:rPr>
      <w:fldChar w:fldCharType="end"/>
    </w:r>
    <w:r w:rsidRPr="00837CB5">
      <w:tab/>
    </w:r>
    <w:r>
      <w:fldChar w:fldCharType="begin"/>
    </w:r>
    <w:r>
      <w:instrText xml:space="preserve"> DOCPROPERTY "Header" \* MERGEFORMAT </w:instrText>
    </w:r>
    <w:r>
      <w:fldChar w:fldCharType="separate"/>
    </w:r>
    <w:r w:rsidR="008B768B" w:rsidRPr="008B768B">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8B768B">
      <w:rPr>
        <w:b/>
        <w:bCs/>
        <w:noProof/>
      </w:rPr>
      <w:t>UIT-R  S.732-1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E6C" w:rsidRDefault="00C66E6C">
    <w:pPr>
      <w:pStyle w:val="Header"/>
    </w:pPr>
    <w:r>
      <w:tab/>
    </w:r>
    <w:r>
      <w:fldChar w:fldCharType="begin"/>
    </w:r>
    <w:r>
      <w:instrText xml:space="preserve"> DOCPROPERTY "Header" \* MERGEFORMAT </w:instrText>
    </w:r>
    <w:r>
      <w:fldChar w:fldCharType="separate"/>
    </w:r>
    <w:r w:rsidR="008B768B" w:rsidRPr="008B768B">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8B768B">
      <w:rPr>
        <w:b/>
        <w:bCs/>
        <w:noProof/>
      </w:rPr>
      <w:t>UIT-R  S.732-1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B768B">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8B768B" w:rsidRPr="008B768B">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B768B">
      <w:rPr>
        <w:b/>
        <w:bCs/>
        <w:noProof/>
      </w:rPr>
      <w:t>UIT-R  S.732-1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8B768B">
      <w:fldChar w:fldCharType="begin"/>
    </w:r>
    <w:r w:rsidR="008B768B">
      <w:instrText xml:space="preserve"> DOCPROPERTY "Header" \* MERGEFORMAT </w:instrText>
    </w:r>
    <w:r w:rsidR="008B768B">
      <w:fldChar w:fldCharType="separate"/>
    </w:r>
    <w:r w:rsidR="008B768B" w:rsidRPr="008B768B">
      <w:rPr>
        <w:b/>
        <w:bCs/>
      </w:rPr>
      <w:t xml:space="preserve">Rec. </w:t>
    </w:r>
    <w:r w:rsidR="008B768B">
      <w:rPr>
        <w:b/>
        <w:bCs/>
      </w:rPr>
      <w:fldChar w:fldCharType="end"/>
    </w:r>
    <w:r>
      <w:rPr>
        <w:b/>
        <w:bCs/>
      </w:rPr>
      <w:t xml:space="preserve"> </w:t>
    </w:r>
    <w:r>
      <w:rPr>
        <w:b/>
        <w:bCs/>
      </w:rPr>
      <w:fldChar w:fldCharType="begin"/>
    </w:r>
    <w:r>
      <w:rPr>
        <w:b/>
        <w:bCs/>
      </w:rPr>
      <w:instrText>styleref href</w:instrText>
    </w:r>
    <w:r>
      <w:rPr>
        <w:b/>
        <w:bCs/>
      </w:rPr>
      <w:fldChar w:fldCharType="separate"/>
    </w:r>
    <w:r w:rsidR="008B768B">
      <w:rPr>
        <w:b/>
        <w:bCs/>
        <w:noProof/>
      </w:rPr>
      <w:t>UIT-R  S.732-1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B768B">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E6C"/>
    <w:rsid w:val="000B1223"/>
    <w:rsid w:val="00217EBF"/>
    <w:rsid w:val="00242AEE"/>
    <w:rsid w:val="002D76C4"/>
    <w:rsid w:val="0052529D"/>
    <w:rsid w:val="005A3956"/>
    <w:rsid w:val="00607D68"/>
    <w:rsid w:val="00647CFC"/>
    <w:rsid w:val="007468DA"/>
    <w:rsid w:val="007B4CC8"/>
    <w:rsid w:val="008B768B"/>
    <w:rsid w:val="009E00A8"/>
    <w:rsid w:val="00A6617B"/>
    <w:rsid w:val="00AB0DC8"/>
    <w:rsid w:val="00B44E24"/>
    <w:rsid w:val="00C1125D"/>
    <w:rsid w:val="00C66E6C"/>
    <w:rsid w:val="00DF4176"/>
    <w:rsid w:val="00F97DCD"/>
    <w:rsid w:val="00FB24B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1208D06-F9BA-4189-9BC2-94C3246B0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6E6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66E6C"/>
    <w:rPr>
      <w:color w:val="0000FF"/>
      <w:u w:val="single"/>
    </w:rPr>
  </w:style>
  <w:style w:type="character" w:customStyle="1" w:styleId="TabletextChar">
    <w:name w:val="Table_text Char"/>
    <w:basedOn w:val="DefaultParagraphFont"/>
    <w:link w:val="Tabletext"/>
    <w:rsid w:val="00F97DCD"/>
    <w:rPr>
      <w:sz w:val="22"/>
      <w:lang w:val="fr-FR" w:eastAsia="en-US"/>
    </w:rPr>
  </w:style>
  <w:style w:type="character" w:customStyle="1" w:styleId="RectitleChar">
    <w:name w:val="Rec_title Char"/>
    <w:link w:val="Rectitle"/>
    <w:rsid w:val="00F97DCD"/>
    <w:rPr>
      <w:b/>
      <w:sz w:val="28"/>
      <w:lang w:val="fr-FR" w:eastAsia="en-US"/>
    </w:rPr>
  </w:style>
  <w:style w:type="character" w:customStyle="1" w:styleId="TableNoChar">
    <w:name w:val="Table_No Char"/>
    <w:link w:val="TableNo"/>
    <w:locked/>
    <w:rsid w:val="00F97DCD"/>
    <w:rPr>
      <w:sz w:val="24"/>
      <w:lang w:val="fr-FR" w:eastAsia="en-US"/>
    </w:rPr>
  </w:style>
  <w:style w:type="character" w:customStyle="1" w:styleId="TabletitleChar">
    <w:name w:val="Table_title Char"/>
    <w:link w:val="Tabletitle"/>
    <w:locked/>
    <w:rsid w:val="00F97DCD"/>
    <w:rPr>
      <w:b/>
      <w:sz w:val="24"/>
      <w:lang w:val="fr-FR" w:eastAsia="en-US"/>
    </w:rPr>
  </w:style>
  <w:style w:type="character" w:customStyle="1" w:styleId="EquationeqChar">
    <w:name w:val="Equation.eq Char"/>
    <w:link w:val="Equation"/>
    <w:rsid w:val="00F97DCD"/>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eader" Target="header6.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16</TotalTime>
  <Pages>5</Pages>
  <Words>1475</Words>
  <Characters>8413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9</cp:revision>
  <cp:lastPrinted>2005-02-10T15:54:00Z</cp:lastPrinted>
  <dcterms:created xsi:type="dcterms:W3CDTF">2014-09-19T08:15:00Z</dcterms:created>
  <dcterms:modified xsi:type="dcterms:W3CDTF">2014-09-19T08:31:00Z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