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B7B" w:rsidRDefault="00160B7B" w:rsidP="00160B7B"/>
    <w:p w:rsidR="00160B7B" w:rsidRDefault="00160B7B" w:rsidP="00160B7B"/>
    <w:p w:rsidR="00160B7B" w:rsidRDefault="00160B7B" w:rsidP="00160B7B"/>
    <w:p w:rsidR="00160B7B" w:rsidRDefault="00160B7B" w:rsidP="00160B7B"/>
    <w:p w:rsidR="00160B7B" w:rsidRDefault="00160B7B" w:rsidP="00160B7B"/>
    <w:p w:rsidR="00160B7B" w:rsidRDefault="00160B7B" w:rsidP="00160B7B"/>
    <w:p w:rsidR="00160B7B" w:rsidRDefault="00160B7B" w:rsidP="00160B7B"/>
    <w:p w:rsidR="00160B7B" w:rsidRDefault="00160B7B" w:rsidP="00160B7B"/>
    <w:p w:rsidR="00160B7B" w:rsidRDefault="00160B7B" w:rsidP="00160B7B"/>
    <w:p w:rsidR="00160B7B" w:rsidRDefault="00160B7B" w:rsidP="00160B7B"/>
    <w:p w:rsidR="00160B7B" w:rsidRDefault="00160B7B" w:rsidP="00160B7B"/>
    <w:p w:rsidR="00160B7B" w:rsidRDefault="00160B7B" w:rsidP="00160B7B"/>
    <w:tbl>
      <w:tblPr>
        <w:tblW w:w="10089" w:type="dxa"/>
        <w:tblLook w:val="01E0" w:firstRow="1" w:lastRow="1" w:firstColumn="1" w:lastColumn="1" w:noHBand="0" w:noVBand="0"/>
      </w:tblPr>
      <w:tblGrid>
        <w:gridCol w:w="10089"/>
      </w:tblGrid>
      <w:tr w:rsidR="00160B7B" w:rsidTr="008E3C29">
        <w:tc>
          <w:tcPr>
            <w:tcW w:w="10089" w:type="dxa"/>
          </w:tcPr>
          <w:p w:rsidR="00160B7B" w:rsidRPr="001511A6" w:rsidRDefault="00160B7B" w:rsidP="008E3C29">
            <w:pPr>
              <w:spacing w:before="380" w:line="280" w:lineRule="exact"/>
              <w:jc w:val="right"/>
              <w:rPr>
                <w:rFonts w:ascii="Tahoma" w:hAnsi="Tahoma" w:cs="Tahoma"/>
                <w:b/>
                <w:bCs/>
                <w:iCs/>
                <w:color w:val="243285"/>
                <w:sz w:val="32"/>
                <w:szCs w:val="32"/>
                <w:lang w:val="en-US"/>
              </w:rPr>
            </w:pPr>
          </w:p>
          <w:p w:rsidR="00160B7B" w:rsidRPr="0081070A" w:rsidRDefault="00160B7B" w:rsidP="00FE04DB">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sidR="00FE04DB">
              <w:rPr>
                <w:rFonts w:ascii="Tahoma" w:hAnsi="Tahoma" w:cs="Tahoma"/>
                <w:b/>
                <w:bCs/>
                <w:iCs/>
                <w:color w:val="243285"/>
                <w:sz w:val="36"/>
                <w:szCs w:val="36"/>
                <w:lang w:val="fr-CH"/>
              </w:rPr>
              <w:t>1027-5</w:t>
            </w:r>
          </w:p>
          <w:p w:rsidR="00160B7B" w:rsidRPr="0081070A" w:rsidRDefault="00160B7B" w:rsidP="00FE04DB">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FE04DB">
              <w:rPr>
                <w:rFonts w:ascii="Tahoma" w:hAnsi="Tahoma" w:cs="Tahoma"/>
                <w:b/>
                <w:bCs/>
                <w:iCs/>
                <w:color w:val="243285"/>
                <w:szCs w:val="24"/>
                <w:lang w:val="fr-CH"/>
              </w:rPr>
              <w:t>07</w:t>
            </w:r>
            <w:r w:rsidRPr="00FB15D4">
              <w:rPr>
                <w:rFonts w:ascii="Tahoma" w:hAnsi="Tahoma" w:cs="Tahoma"/>
                <w:b/>
                <w:bCs/>
                <w:iCs/>
                <w:color w:val="243285"/>
                <w:szCs w:val="24"/>
                <w:lang w:val="fr-CH"/>
              </w:rPr>
              <w:t>/</w:t>
            </w:r>
            <w:r w:rsidR="00FE04DB">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160B7B" w:rsidRPr="00FE04DB" w:rsidTr="008E3C29">
        <w:tc>
          <w:tcPr>
            <w:tcW w:w="10089" w:type="dxa"/>
          </w:tcPr>
          <w:p w:rsidR="00160B7B" w:rsidRPr="00FE04DB" w:rsidRDefault="00FE04DB" w:rsidP="00FE04DB">
            <w:pPr>
              <w:spacing w:before="80" w:line="500" w:lineRule="exact"/>
              <w:jc w:val="right"/>
              <w:rPr>
                <w:rFonts w:ascii="Tahoma" w:hAnsi="Tahoma" w:cs="Tahoma"/>
                <w:b/>
                <w:bCs/>
                <w:iCs/>
                <w:color w:val="243285"/>
                <w:sz w:val="44"/>
                <w:szCs w:val="44"/>
                <w:lang w:val="en-GB"/>
              </w:rPr>
            </w:pPr>
            <w:r w:rsidRPr="00FE04DB">
              <w:rPr>
                <w:rFonts w:ascii="Tahoma" w:hAnsi="Tahoma" w:cs="Tahoma"/>
                <w:b/>
                <w:bCs/>
                <w:iCs/>
                <w:color w:val="243285"/>
                <w:sz w:val="44"/>
                <w:szCs w:val="44"/>
                <w:lang w:val="en-US"/>
              </w:rPr>
              <w:t>Sharing cr</w:t>
            </w:r>
            <w:bookmarkStart w:id="0" w:name="_GoBack"/>
            <w:bookmarkEnd w:id="0"/>
            <w:r w:rsidRPr="00FE04DB">
              <w:rPr>
                <w:rFonts w:ascii="Tahoma" w:hAnsi="Tahoma" w:cs="Tahoma"/>
                <w:b/>
                <w:bCs/>
                <w:iCs/>
                <w:color w:val="243285"/>
                <w:sz w:val="44"/>
                <w:szCs w:val="44"/>
                <w:lang w:val="en-US"/>
              </w:rPr>
              <w:t>iteria for space-to-Earth data transmission systems in the Earth exploration-satellite and me</w:t>
            </w:r>
            <w:r>
              <w:rPr>
                <w:rFonts w:ascii="Tahoma" w:hAnsi="Tahoma" w:cs="Tahoma"/>
                <w:b/>
                <w:bCs/>
                <w:iCs/>
                <w:color w:val="243285"/>
                <w:sz w:val="44"/>
                <w:szCs w:val="44"/>
                <w:lang w:val="en-US"/>
              </w:rPr>
              <w:t xml:space="preserve">teorological-satellite services </w:t>
            </w:r>
            <w:r w:rsidRPr="00FE04DB">
              <w:rPr>
                <w:rFonts w:ascii="Tahoma" w:hAnsi="Tahoma" w:cs="Tahoma"/>
                <w:b/>
                <w:bCs/>
                <w:iCs/>
                <w:color w:val="243285"/>
                <w:sz w:val="44"/>
                <w:szCs w:val="44"/>
                <w:lang w:val="en-US"/>
              </w:rPr>
              <w:t xml:space="preserve">using satellites </w:t>
            </w:r>
            <w:r>
              <w:rPr>
                <w:rFonts w:ascii="Tahoma" w:hAnsi="Tahoma" w:cs="Tahoma"/>
                <w:b/>
                <w:bCs/>
                <w:iCs/>
                <w:color w:val="243285"/>
                <w:sz w:val="44"/>
                <w:szCs w:val="44"/>
                <w:lang w:val="en-US"/>
              </w:rPr>
              <w:br/>
            </w:r>
            <w:r w:rsidRPr="00FE04DB">
              <w:rPr>
                <w:rFonts w:ascii="Tahoma" w:hAnsi="Tahoma" w:cs="Tahoma"/>
                <w:b/>
                <w:bCs/>
                <w:iCs/>
                <w:color w:val="243285"/>
                <w:sz w:val="44"/>
                <w:szCs w:val="44"/>
                <w:lang w:val="en-US"/>
              </w:rPr>
              <w:t>in low-Earth orbit</w:t>
            </w:r>
          </w:p>
          <w:p w:rsidR="00160B7B" w:rsidRPr="00FE04DB" w:rsidRDefault="00160B7B" w:rsidP="008E3C29">
            <w:pPr>
              <w:spacing w:before="80" w:line="500" w:lineRule="exact"/>
              <w:jc w:val="right"/>
              <w:rPr>
                <w:rFonts w:ascii="Tahoma" w:hAnsi="Tahoma" w:cs="Tahoma"/>
                <w:b/>
                <w:bCs/>
                <w:iCs/>
                <w:color w:val="243285"/>
                <w:sz w:val="40"/>
                <w:szCs w:val="40"/>
                <w:lang w:val="en-GB"/>
              </w:rPr>
            </w:pPr>
          </w:p>
        </w:tc>
      </w:tr>
      <w:tr w:rsidR="00160B7B" w:rsidRPr="00FE04DB" w:rsidTr="008E3C29">
        <w:tc>
          <w:tcPr>
            <w:tcW w:w="10089" w:type="dxa"/>
          </w:tcPr>
          <w:p w:rsidR="00160B7B" w:rsidRPr="00FE04DB" w:rsidRDefault="00160B7B" w:rsidP="008E3C29">
            <w:pPr>
              <w:spacing w:before="80" w:line="280" w:lineRule="exact"/>
              <w:ind w:right="640"/>
              <w:rPr>
                <w:rFonts w:ascii="Tahoma" w:hAnsi="Tahoma" w:cs="Tahoma"/>
                <w:b/>
                <w:bCs/>
                <w:iCs/>
                <w:color w:val="243285"/>
                <w:sz w:val="32"/>
                <w:szCs w:val="32"/>
                <w:lang w:val="en-GB"/>
              </w:rPr>
            </w:pPr>
          </w:p>
          <w:p w:rsidR="00160B7B" w:rsidRPr="00FE04DB" w:rsidRDefault="00160B7B" w:rsidP="008E3C29">
            <w:pPr>
              <w:spacing w:before="80" w:line="280" w:lineRule="exact"/>
              <w:ind w:right="640"/>
              <w:rPr>
                <w:rFonts w:ascii="Tahoma" w:hAnsi="Tahoma" w:cs="Tahoma"/>
                <w:b/>
                <w:bCs/>
                <w:iCs/>
                <w:color w:val="243285"/>
                <w:sz w:val="32"/>
                <w:szCs w:val="32"/>
                <w:lang w:val="en-GB"/>
              </w:rPr>
            </w:pPr>
          </w:p>
          <w:p w:rsidR="00160B7B" w:rsidRPr="00FE04DB" w:rsidRDefault="00160B7B" w:rsidP="008E3C29">
            <w:pPr>
              <w:spacing w:before="80" w:after="180" w:line="360" w:lineRule="exact"/>
              <w:ind w:right="720"/>
              <w:rPr>
                <w:rFonts w:ascii="Tahoma" w:hAnsi="Tahoma" w:cs="Tahoma"/>
                <w:b/>
                <w:bCs/>
                <w:iCs/>
                <w:color w:val="243285"/>
                <w:sz w:val="36"/>
                <w:szCs w:val="36"/>
                <w:lang w:val="en-GB"/>
              </w:rPr>
            </w:pPr>
          </w:p>
          <w:p w:rsidR="00160B7B" w:rsidRPr="001511A6" w:rsidRDefault="00160B7B" w:rsidP="008E3C2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160B7B" w:rsidRPr="001511A6" w:rsidRDefault="00160B7B" w:rsidP="008E3C29">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160B7B" w:rsidRPr="001511A6" w:rsidRDefault="00160B7B" w:rsidP="008E3C29">
            <w:pPr>
              <w:spacing w:before="80" w:line="360" w:lineRule="exact"/>
              <w:jc w:val="right"/>
              <w:rPr>
                <w:rFonts w:ascii="Tahoma" w:hAnsi="Tahoma" w:cs="Tahoma"/>
                <w:b/>
                <w:bCs/>
                <w:iCs/>
                <w:color w:val="243285"/>
                <w:sz w:val="32"/>
                <w:szCs w:val="32"/>
                <w:lang w:val="en-US"/>
              </w:rPr>
            </w:pPr>
          </w:p>
        </w:tc>
      </w:tr>
    </w:tbl>
    <w:p w:rsidR="00160B7B" w:rsidRDefault="00160B7B" w:rsidP="00160B7B">
      <w:pPr>
        <w:spacing w:before="80"/>
        <w:rPr>
          <w:i/>
          <w:sz w:val="22"/>
          <w:lang w:val="en-US"/>
        </w:rPr>
      </w:pPr>
    </w:p>
    <w:p w:rsidR="00160B7B" w:rsidRDefault="00160B7B" w:rsidP="00160B7B">
      <w:pPr>
        <w:spacing w:before="80"/>
        <w:rPr>
          <w:i/>
          <w:sz w:val="22"/>
          <w:lang w:val="en-US"/>
        </w:rPr>
      </w:pPr>
    </w:p>
    <w:p w:rsidR="00160B7B" w:rsidRDefault="00160B7B" w:rsidP="00160B7B">
      <w:pPr>
        <w:spacing w:before="80"/>
        <w:rPr>
          <w:i/>
          <w:sz w:val="22"/>
          <w:lang w:val="en-US"/>
        </w:rPr>
      </w:pPr>
    </w:p>
    <w:p w:rsidR="00160B7B" w:rsidRDefault="00160B7B" w:rsidP="00160B7B">
      <w:pPr>
        <w:spacing w:before="80"/>
        <w:rPr>
          <w:i/>
          <w:sz w:val="22"/>
          <w:lang w:val="en-US"/>
        </w:rPr>
      </w:pPr>
    </w:p>
    <w:p w:rsidR="00160B7B" w:rsidRDefault="00160B7B" w:rsidP="00160B7B">
      <w:pPr>
        <w:spacing w:before="80"/>
        <w:rPr>
          <w:i/>
          <w:sz w:val="22"/>
          <w:lang w:val="en-US"/>
        </w:rPr>
      </w:pPr>
    </w:p>
    <w:p w:rsidR="00160B7B" w:rsidRDefault="00160B7B" w:rsidP="00160B7B">
      <w:pPr>
        <w:spacing w:before="80"/>
        <w:rPr>
          <w:i/>
          <w:sz w:val="22"/>
          <w:lang w:val="en-US"/>
        </w:rPr>
      </w:pPr>
    </w:p>
    <w:p w:rsidR="00160B7B" w:rsidRDefault="00160B7B" w:rsidP="00160B7B">
      <w:pPr>
        <w:pStyle w:val="Equation"/>
        <w:tabs>
          <w:tab w:val="clear" w:pos="4820"/>
          <w:tab w:val="clear" w:pos="9639"/>
          <w:tab w:val="left" w:pos="1191"/>
          <w:tab w:val="left" w:pos="1588"/>
          <w:tab w:val="left" w:pos="1985"/>
        </w:tabs>
        <w:rPr>
          <w:rFonts w:ascii="Palatino Linotype" w:hAnsi="Palatino Linotype"/>
          <w:lang w:val="en-US"/>
        </w:rPr>
        <w:sectPr w:rsidR="00160B7B">
          <w:headerReference w:type="even" r:id="rId6"/>
          <w:headerReference w:type="default" r:id="rId7"/>
          <w:pgSz w:w="11907" w:h="16840" w:code="9"/>
          <w:pgMar w:top="1089" w:right="1089" w:bottom="284" w:left="1089" w:header="567" w:footer="284" w:gutter="0"/>
          <w:pgNumType w:start="1"/>
          <w:cols w:space="720"/>
        </w:sectPr>
      </w:pPr>
    </w:p>
    <w:p w:rsidR="00160B7B" w:rsidRPr="00586EF8" w:rsidRDefault="00160B7B" w:rsidP="00160B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160B7B" w:rsidRDefault="00160B7B" w:rsidP="00160B7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60B7B" w:rsidRDefault="00160B7B" w:rsidP="00160B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60B7B" w:rsidRPr="00B714F3" w:rsidRDefault="00160B7B" w:rsidP="00160B7B">
      <w:pPr>
        <w:pStyle w:val="Heading1"/>
        <w:spacing w:before="680"/>
        <w:jc w:val="center"/>
        <w:rPr>
          <w:szCs w:val="24"/>
          <w:lang w:val="en-US"/>
        </w:rPr>
      </w:pPr>
      <w:r w:rsidRPr="00B714F3">
        <w:rPr>
          <w:szCs w:val="24"/>
          <w:lang w:val="en-US"/>
        </w:rPr>
        <w:t>Policy on Intellectual Property Right (IPR)</w:t>
      </w:r>
    </w:p>
    <w:p w:rsidR="00160B7B" w:rsidRPr="00B714F3" w:rsidRDefault="00160B7B" w:rsidP="00160B7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60B7B" w:rsidRDefault="00160B7B" w:rsidP="00160B7B">
      <w:pPr>
        <w:jc w:val="center"/>
        <w:rPr>
          <w:sz w:val="22"/>
          <w:lang w:val="en-US"/>
        </w:rPr>
      </w:pPr>
    </w:p>
    <w:p w:rsidR="00160B7B" w:rsidRDefault="00160B7B" w:rsidP="00160B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60B7B" w:rsidRPr="00160B7B" w:rsidTr="008E3C29">
        <w:tc>
          <w:tcPr>
            <w:tcW w:w="9360" w:type="dxa"/>
            <w:gridSpan w:val="2"/>
          </w:tcPr>
          <w:p w:rsidR="00160B7B" w:rsidRPr="00036EE3" w:rsidRDefault="00160B7B" w:rsidP="008E3C2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60B7B" w:rsidRPr="00036EE3" w:rsidRDefault="00160B7B"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160B7B" w:rsidRPr="00036EE3" w:rsidTr="008E3C29">
        <w:tc>
          <w:tcPr>
            <w:tcW w:w="1140" w:type="dxa"/>
            <w:tcBorders>
              <w:bottom w:val="nil"/>
            </w:tcBorders>
          </w:tcPr>
          <w:p w:rsidR="00160B7B" w:rsidRPr="00036EE3" w:rsidRDefault="00160B7B" w:rsidP="008E3C29">
            <w:pPr>
              <w:spacing w:before="200" w:after="100"/>
              <w:ind w:left="57"/>
              <w:rPr>
                <w:b/>
                <w:bCs/>
                <w:sz w:val="20"/>
                <w:lang w:val="en-US"/>
              </w:rPr>
            </w:pPr>
            <w:r w:rsidRPr="00036EE3">
              <w:rPr>
                <w:b/>
                <w:bCs/>
                <w:sz w:val="20"/>
                <w:lang w:val="en-US"/>
              </w:rPr>
              <w:t>Series</w:t>
            </w:r>
          </w:p>
        </w:tc>
        <w:tc>
          <w:tcPr>
            <w:tcW w:w="8220" w:type="dxa"/>
            <w:tcBorders>
              <w:bottom w:val="nil"/>
            </w:tcBorders>
          </w:tcPr>
          <w:p w:rsidR="00160B7B" w:rsidRPr="00036EE3" w:rsidRDefault="00160B7B"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60B7B" w:rsidRPr="00A4173A" w:rsidTr="008E3C29">
        <w:tc>
          <w:tcPr>
            <w:tcW w:w="1140" w:type="dxa"/>
            <w:tcBorders>
              <w:top w:val="nil"/>
              <w:bottom w:val="nil"/>
            </w:tcBorders>
            <w:shd w:val="clear" w:color="auto" w:fill="auto"/>
          </w:tcPr>
          <w:p w:rsidR="00160B7B" w:rsidRPr="00A4173A" w:rsidRDefault="00160B7B" w:rsidP="008E3C29">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160B7B" w:rsidRPr="00A4173A" w:rsidRDefault="00160B7B"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160B7B" w:rsidRPr="00160B7B" w:rsidTr="008E3C29">
        <w:tc>
          <w:tcPr>
            <w:tcW w:w="1140" w:type="dxa"/>
            <w:tcBorders>
              <w:top w:val="nil"/>
            </w:tcBorders>
          </w:tcPr>
          <w:p w:rsidR="00160B7B" w:rsidRPr="00036EE3" w:rsidRDefault="00160B7B" w:rsidP="008E3C29">
            <w:pPr>
              <w:spacing w:before="30" w:after="30"/>
              <w:ind w:left="57"/>
              <w:jc w:val="left"/>
              <w:rPr>
                <w:b/>
                <w:bCs/>
                <w:sz w:val="20"/>
                <w:lang w:val="en-US"/>
              </w:rPr>
            </w:pPr>
            <w:r w:rsidRPr="00036EE3">
              <w:rPr>
                <w:b/>
                <w:bCs/>
                <w:sz w:val="20"/>
                <w:lang w:val="en-US"/>
              </w:rPr>
              <w:t>BR</w:t>
            </w:r>
          </w:p>
        </w:tc>
        <w:tc>
          <w:tcPr>
            <w:tcW w:w="8220" w:type="dxa"/>
            <w:tcBorders>
              <w:top w:val="nil"/>
            </w:tcBorders>
          </w:tcPr>
          <w:p w:rsidR="00160B7B" w:rsidRPr="00036EE3" w:rsidRDefault="00160B7B"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60B7B" w:rsidRPr="00036EE3" w:rsidTr="008E3C29">
        <w:tc>
          <w:tcPr>
            <w:tcW w:w="1140" w:type="dxa"/>
          </w:tcPr>
          <w:p w:rsidR="00160B7B" w:rsidRPr="00036EE3" w:rsidRDefault="00160B7B" w:rsidP="008E3C29">
            <w:pPr>
              <w:spacing w:before="30" w:after="30"/>
              <w:ind w:left="57"/>
              <w:jc w:val="left"/>
              <w:rPr>
                <w:b/>
                <w:bCs/>
                <w:sz w:val="20"/>
                <w:lang w:val="en-US"/>
              </w:rPr>
            </w:pPr>
            <w:r w:rsidRPr="00036EE3">
              <w:rPr>
                <w:b/>
                <w:bCs/>
                <w:sz w:val="20"/>
                <w:lang w:val="en-US"/>
              </w:rPr>
              <w:t>BS</w:t>
            </w:r>
          </w:p>
        </w:tc>
        <w:tc>
          <w:tcPr>
            <w:tcW w:w="8220" w:type="dxa"/>
          </w:tcPr>
          <w:p w:rsidR="00160B7B" w:rsidRPr="00036EE3" w:rsidRDefault="00160B7B"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60B7B" w:rsidRPr="00ED2695" w:rsidTr="008E3C29">
        <w:tc>
          <w:tcPr>
            <w:tcW w:w="1140" w:type="dxa"/>
            <w:shd w:val="clear" w:color="auto" w:fill="auto"/>
          </w:tcPr>
          <w:p w:rsidR="00160B7B" w:rsidRPr="00ED2695" w:rsidRDefault="00160B7B" w:rsidP="008E3C29">
            <w:pPr>
              <w:spacing w:before="30" w:after="30"/>
              <w:ind w:left="57"/>
              <w:jc w:val="left"/>
              <w:rPr>
                <w:b/>
                <w:bCs/>
                <w:sz w:val="20"/>
                <w:lang w:val="en-US"/>
              </w:rPr>
            </w:pPr>
            <w:r w:rsidRPr="00ED2695">
              <w:rPr>
                <w:b/>
                <w:bCs/>
                <w:sz w:val="20"/>
                <w:lang w:val="en-US"/>
              </w:rPr>
              <w:t>BT</w:t>
            </w:r>
          </w:p>
        </w:tc>
        <w:tc>
          <w:tcPr>
            <w:tcW w:w="8220" w:type="dxa"/>
            <w:shd w:val="clear" w:color="auto" w:fill="auto"/>
          </w:tcPr>
          <w:p w:rsidR="00160B7B" w:rsidRPr="00ED2695" w:rsidRDefault="00160B7B"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60B7B" w:rsidRPr="00036EE3" w:rsidTr="008E3C29">
        <w:tc>
          <w:tcPr>
            <w:tcW w:w="1140" w:type="dxa"/>
            <w:shd w:val="clear" w:color="auto" w:fill="auto"/>
          </w:tcPr>
          <w:p w:rsidR="00160B7B" w:rsidRPr="00036EE3" w:rsidRDefault="00160B7B" w:rsidP="008E3C29">
            <w:pPr>
              <w:spacing w:before="30" w:after="30"/>
              <w:ind w:left="57"/>
              <w:jc w:val="left"/>
              <w:rPr>
                <w:b/>
                <w:bCs/>
                <w:sz w:val="20"/>
                <w:lang w:val="fr-CH"/>
              </w:rPr>
            </w:pPr>
            <w:r w:rsidRPr="00036EE3">
              <w:rPr>
                <w:b/>
                <w:bCs/>
                <w:sz w:val="20"/>
                <w:lang w:val="fr-CH"/>
              </w:rPr>
              <w:t>F</w:t>
            </w:r>
          </w:p>
        </w:tc>
        <w:tc>
          <w:tcPr>
            <w:tcW w:w="8220" w:type="dxa"/>
            <w:shd w:val="clear" w:color="auto" w:fill="auto"/>
          </w:tcPr>
          <w:p w:rsidR="00160B7B" w:rsidRPr="00036EE3" w:rsidRDefault="00160B7B"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60B7B" w:rsidRPr="00036EE3" w:rsidTr="008E3C29">
        <w:tc>
          <w:tcPr>
            <w:tcW w:w="1140" w:type="dxa"/>
            <w:shd w:val="clear" w:color="auto" w:fill="auto"/>
          </w:tcPr>
          <w:p w:rsidR="00160B7B" w:rsidRPr="00906589" w:rsidRDefault="00160B7B" w:rsidP="008E3C29">
            <w:pPr>
              <w:spacing w:before="30" w:after="30"/>
              <w:ind w:left="57"/>
              <w:jc w:val="left"/>
              <w:rPr>
                <w:b/>
                <w:bCs/>
                <w:sz w:val="20"/>
                <w:lang w:val="en-US"/>
              </w:rPr>
            </w:pPr>
            <w:r w:rsidRPr="00906589">
              <w:rPr>
                <w:b/>
                <w:bCs/>
                <w:sz w:val="20"/>
                <w:lang w:val="en-US"/>
              </w:rPr>
              <w:t>M</w:t>
            </w:r>
          </w:p>
        </w:tc>
        <w:tc>
          <w:tcPr>
            <w:tcW w:w="8220" w:type="dxa"/>
            <w:shd w:val="clear" w:color="auto" w:fill="auto"/>
          </w:tcPr>
          <w:p w:rsidR="00160B7B" w:rsidRPr="00906589" w:rsidRDefault="00160B7B"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60B7B" w:rsidRPr="00036EE3" w:rsidTr="008E3C29">
        <w:tc>
          <w:tcPr>
            <w:tcW w:w="1140" w:type="dxa"/>
          </w:tcPr>
          <w:p w:rsidR="00160B7B" w:rsidRPr="00036EE3" w:rsidRDefault="00160B7B" w:rsidP="008E3C29">
            <w:pPr>
              <w:spacing w:before="30" w:after="30"/>
              <w:ind w:left="57"/>
              <w:jc w:val="left"/>
              <w:rPr>
                <w:b/>
                <w:bCs/>
                <w:sz w:val="20"/>
                <w:lang w:val="fr-CH"/>
              </w:rPr>
            </w:pPr>
            <w:r w:rsidRPr="00036EE3">
              <w:rPr>
                <w:b/>
                <w:bCs/>
                <w:sz w:val="20"/>
                <w:lang w:val="fr-CH"/>
              </w:rPr>
              <w:t>P</w:t>
            </w:r>
          </w:p>
        </w:tc>
        <w:tc>
          <w:tcPr>
            <w:tcW w:w="8220" w:type="dxa"/>
          </w:tcPr>
          <w:p w:rsidR="00160B7B" w:rsidRPr="00036EE3" w:rsidRDefault="00160B7B" w:rsidP="008E3C29">
            <w:pPr>
              <w:spacing w:before="30" w:after="30"/>
              <w:jc w:val="left"/>
              <w:rPr>
                <w:sz w:val="20"/>
                <w:lang w:val="fr-CH"/>
              </w:rPr>
            </w:pPr>
            <w:r w:rsidRPr="00036EE3">
              <w:rPr>
                <w:sz w:val="20"/>
                <w:lang w:val="fr-CH"/>
              </w:rPr>
              <w:t>Radiowave propagation</w:t>
            </w:r>
          </w:p>
        </w:tc>
      </w:tr>
      <w:tr w:rsidR="00160B7B" w:rsidRPr="00036EE3" w:rsidTr="008E3C29">
        <w:tc>
          <w:tcPr>
            <w:tcW w:w="1140" w:type="dxa"/>
          </w:tcPr>
          <w:p w:rsidR="00160B7B" w:rsidRPr="00036EE3" w:rsidRDefault="00160B7B" w:rsidP="008E3C29">
            <w:pPr>
              <w:spacing w:before="30" w:after="30"/>
              <w:ind w:left="57"/>
              <w:jc w:val="left"/>
              <w:rPr>
                <w:b/>
                <w:bCs/>
                <w:sz w:val="20"/>
                <w:lang w:val="en-US"/>
              </w:rPr>
            </w:pPr>
            <w:r w:rsidRPr="00036EE3">
              <w:rPr>
                <w:b/>
                <w:bCs/>
                <w:sz w:val="20"/>
                <w:lang w:val="en-US"/>
              </w:rPr>
              <w:t>RA</w:t>
            </w:r>
          </w:p>
        </w:tc>
        <w:tc>
          <w:tcPr>
            <w:tcW w:w="8220" w:type="dxa"/>
          </w:tcPr>
          <w:p w:rsidR="00160B7B" w:rsidRPr="00036EE3" w:rsidRDefault="00160B7B"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60B7B" w:rsidRPr="00036EE3" w:rsidTr="008E3C29">
        <w:tc>
          <w:tcPr>
            <w:tcW w:w="1140" w:type="dxa"/>
          </w:tcPr>
          <w:p w:rsidR="00160B7B" w:rsidRPr="00036EE3" w:rsidRDefault="00160B7B" w:rsidP="008E3C29">
            <w:pPr>
              <w:spacing w:before="30" w:after="30"/>
              <w:ind w:left="57"/>
              <w:jc w:val="left"/>
              <w:rPr>
                <w:b/>
                <w:bCs/>
                <w:sz w:val="20"/>
                <w:lang w:val="en-US"/>
              </w:rPr>
            </w:pPr>
            <w:r w:rsidRPr="00036EE3">
              <w:rPr>
                <w:b/>
                <w:bCs/>
                <w:sz w:val="20"/>
                <w:lang w:val="en-US"/>
              </w:rPr>
              <w:t>RS</w:t>
            </w:r>
          </w:p>
        </w:tc>
        <w:tc>
          <w:tcPr>
            <w:tcW w:w="8220" w:type="dxa"/>
          </w:tcPr>
          <w:p w:rsidR="00160B7B" w:rsidRPr="00036EE3" w:rsidRDefault="00160B7B"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60B7B" w:rsidRPr="00036EE3" w:rsidTr="008E3C29">
        <w:tc>
          <w:tcPr>
            <w:tcW w:w="1140" w:type="dxa"/>
            <w:tcBorders>
              <w:bottom w:val="nil"/>
            </w:tcBorders>
          </w:tcPr>
          <w:p w:rsidR="00160B7B" w:rsidRPr="00036EE3" w:rsidRDefault="00160B7B" w:rsidP="008E3C29">
            <w:pPr>
              <w:spacing w:before="30" w:after="30"/>
              <w:ind w:left="57"/>
              <w:jc w:val="left"/>
              <w:rPr>
                <w:b/>
                <w:bCs/>
                <w:sz w:val="20"/>
                <w:lang w:val="en-US"/>
              </w:rPr>
            </w:pPr>
            <w:r w:rsidRPr="00036EE3">
              <w:rPr>
                <w:b/>
                <w:bCs/>
                <w:sz w:val="20"/>
                <w:lang w:val="en-US"/>
              </w:rPr>
              <w:t>S</w:t>
            </w:r>
          </w:p>
        </w:tc>
        <w:tc>
          <w:tcPr>
            <w:tcW w:w="8220" w:type="dxa"/>
            <w:tcBorders>
              <w:bottom w:val="nil"/>
            </w:tcBorders>
          </w:tcPr>
          <w:p w:rsidR="00160B7B" w:rsidRPr="00036EE3" w:rsidRDefault="00160B7B" w:rsidP="008E3C29">
            <w:pPr>
              <w:spacing w:before="30" w:after="30"/>
              <w:jc w:val="left"/>
              <w:rPr>
                <w:sz w:val="20"/>
                <w:lang w:val="en-US"/>
              </w:rPr>
            </w:pPr>
            <w:r w:rsidRPr="00036EE3">
              <w:rPr>
                <w:sz w:val="20"/>
                <w:lang w:val="en-US"/>
              </w:rPr>
              <w:t>Fixed-satellite service</w:t>
            </w:r>
          </w:p>
        </w:tc>
      </w:tr>
      <w:tr w:rsidR="00160B7B" w:rsidRPr="00A4173A" w:rsidTr="008E3C29">
        <w:tc>
          <w:tcPr>
            <w:tcW w:w="1140" w:type="dxa"/>
            <w:tcBorders>
              <w:top w:val="nil"/>
              <w:bottom w:val="nil"/>
            </w:tcBorders>
            <w:shd w:val="clear" w:color="auto" w:fill="F3F3F3"/>
          </w:tcPr>
          <w:p w:rsidR="00160B7B" w:rsidRPr="00A4173A" w:rsidRDefault="00160B7B" w:rsidP="008E3C29">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160B7B" w:rsidRPr="00A4173A" w:rsidRDefault="00160B7B" w:rsidP="008E3C29">
            <w:pPr>
              <w:spacing w:before="30" w:after="30"/>
              <w:jc w:val="left"/>
              <w:rPr>
                <w:b/>
                <w:bCs/>
                <w:color w:val="000080"/>
                <w:sz w:val="20"/>
                <w:lang w:val="en-US"/>
              </w:rPr>
            </w:pPr>
            <w:r w:rsidRPr="00A4173A">
              <w:rPr>
                <w:b/>
                <w:bCs/>
                <w:color w:val="000080"/>
                <w:sz w:val="20"/>
                <w:lang w:val="en-US"/>
              </w:rPr>
              <w:t>Space applications and meteorology</w:t>
            </w:r>
          </w:p>
        </w:tc>
      </w:tr>
      <w:tr w:rsidR="00160B7B" w:rsidRPr="00160B7B" w:rsidTr="008E3C29">
        <w:tc>
          <w:tcPr>
            <w:tcW w:w="1140" w:type="dxa"/>
            <w:tcBorders>
              <w:top w:val="nil"/>
              <w:bottom w:val="nil"/>
            </w:tcBorders>
          </w:tcPr>
          <w:p w:rsidR="00160B7B" w:rsidRPr="00036EE3" w:rsidRDefault="00160B7B" w:rsidP="008E3C2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160B7B" w:rsidRPr="00036EE3" w:rsidRDefault="00160B7B" w:rsidP="008E3C29">
            <w:pPr>
              <w:spacing w:before="30" w:after="30"/>
              <w:jc w:val="left"/>
              <w:rPr>
                <w:sz w:val="20"/>
                <w:lang w:val="en-US"/>
              </w:rPr>
            </w:pPr>
            <w:r w:rsidRPr="00036EE3">
              <w:rPr>
                <w:sz w:val="20"/>
                <w:lang w:val="en-US"/>
              </w:rPr>
              <w:t>Frequency sharing and coordination between fixed-satellite and fixed service systems</w:t>
            </w:r>
          </w:p>
        </w:tc>
      </w:tr>
      <w:tr w:rsidR="00160B7B" w:rsidRPr="00036EE3" w:rsidTr="008E3C29">
        <w:tc>
          <w:tcPr>
            <w:tcW w:w="1140" w:type="dxa"/>
            <w:tcBorders>
              <w:top w:val="nil"/>
              <w:bottom w:val="nil"/>
            </w:tcBorders>
            <w:shd w:val="clear" w:color="auto" w:fill="auto"/>
          </w:tcPr>
          <w:p w:rsidR="00160B7B" w:rsidRPr="001B164E" w:rsidRDefault="00160B7B" w:rsidP="008E3C29">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160B7B" w:rsidRPr="001B164E" w:rsidRDefault="00160B7B" w:rsidP="008E3C29">
            <w:pPr>
              <w:spacing w:before="30" w:after="30"/>
              <w:jc w:val="left"/>
              <w:rPr>
                <w:rFonts w:hAnsi="Times New Roman Bold"/>
                <w:sz w:val="20"/>
                <w:lang w:val="en-US"/>
              </w:rPr>
            </w:pPr>
            <w:r w:rsidRPr="001B164E">
              <w:rPr>
                <w:rFonts w:hAnsi="Times New Roman Bold"/>
                <w:sz w:val="20"/>
                <w:lang w:val="en-US"/>
              </w:rPr>
              <w:t>Spectrum management</w:t>
            </w:r>
          </w:p>
        </w:tc>
      </w:tr>
      <w:tr w:rsidR="00160B7B" w:rsidRPr="00036EE3" w:rsidTr="008E3C29">
        <w:tc>
          <w:tcPr>
            <w:tcW w:w="1140" w:type="dxa"/>
            <w:tcBorders>
              <w:top w:val="nil"/>
            </w:tcBorders>
          </w:tcPr>
          <w:p w:rsidR="00160B7B" w:rsidRPr="00036EE3" w:rsidRDefault="00160B7B" w:rsidP="008E3C29">
            <w:pPr>
              <w:spacing w:before="30" w:after="30"/>
              <w:ind w:left="57"/>
              <w:jc w:val="left"/>
              <w:rPr>
                <w:b/>
                <w:bCs/>
                <w:sz w:val="20"/>
                <w:lang w:val="en-US"/>
              </w:rPr>
            </w:pPr>
            <w:r w:rsidRPr="00036EE3">
              <w:rPr>
                <w:b/>
                <w:bCs/>
                <w:sz w:val="20"/>
                <w:lang w:val="en-US"/>
              </w:rPr>
              <w:t>SNG</w:t>
            </w:r>
          </w:p>
        </w:tc>
        <w:tc>
          <w:tcPr>
            <w:tcW w:w="8220" w:type="dxa"/>
            <w:tcBorders>
              <w:top w:val="nil"/>
            </w:tcBorders>
          </w:tcPr>
          <w:p w:rsidR="00160B7B" w:rsidRPr="00036EE3" w:rsidRDefault="00160B7B" w:rsidP="008E3C29">
            <w:pPr>
              <w:spacing w:before="30" w:after="30"/>
              <w:jc w:val="left"/>
              <w:rPr>
                <w:sz w:val="20"/>
                <w:lang w:val="en-US"/>
              </w:rPr>
            </w:pPr>
            <w:r w:rsidRPr="00036EE3">
              <w:rPr>
                <w:sz w:val="20"/>
                <w:lang w:val="en-US"/>
              </w:rPr>
              <w:t>Satellite news gathering</w:t>
            </w:r>
          </w:p>
        </w:tc>
      </w:tr>
      <w:tr w:rsidR="00160B7B" w:rsidRPr="00160B7B" w:rsidTr="008E3C29">
        <w:tc>
          <w:tcPr>
            <w:tcW w:w="1140" w:type="dxa"/>
          </w:tcPr>
          <w:p w:rsidR="00160B7B" w:rsidRPr="00036EE3" w:rsidRDefault="00160B7B" w:rsidP="008E3C29">
            <w:pPr>
              <w:spacing w:before="30" w:after="30"/>
              <w:ind w:left="57"/>
              <w:jc w:val="left"/>
              <w:rPr>
                <w:b/>
                <w:bCs/>
                <w:sz w:val="20"/>
                <w:lang w:val="en-US"/>
              </w:rPr>
            </w:pPr>
            <w:r w:rsidRPr="00036EE3">
              <w:rPr>
                <w:b/>
                <w:bCs/>
                <w:sz w:val="20"/>
                <w:lang w:val="en-US"/>
              </w:rPr>
              <w:t>TF</w:t>
            </w:r>
          </w:p>
        </w:tc>
        <w:tc>
          <w:tcPr>
            <w:tcW w:w="8220" w:type="dxa"/>
          </w:tcPr>
          <w:p w:rsidR="00160B7B" w:rsidRPr="00036EE3" w:rsidRDefault="00160B7B" w:rsidP="008E3C29">
            <w:pPr>
              <w:spacing w:before="30" w:after="30"/>
              <w:jc w:val="left"/>
              <w:rPr>
                <w:sz w:val="20"/>
                <w:lang w:val="en-US"/>
              </w:rPr>
            </w:pPr>
            <w:r w:rsidRPr="00036EE3">
              <w:rPr>
                <w:sz w:val="20"/>
                <w:lang w:val="en-US"/>
              </w:rPr>
              <w:t>Time signals and frequency standards emissions</w:t>
            </w:r>
          </w:p>
        </w:tc>
      </w:tr>
      <w:tr w:rsidR="00160B7B" w:rsidRPr="00036EE3" w:rsidTr="008E3C29">
        <w:tc>
          <w:tcPr>
            <w:tcW w:w="1140" w:type="dxa"/>
          </w:tcPr>
          <w:p w:rsidR="00160B7B" w:rsidRPr="00036EE3" w:rsidRDefault="00160B7B" w:rsidP="008E3C29">
            <w:pPr>
              <w:spacing w:before="30" w:after="30"/>
              <w:ind w:left="57"/>
              <w:jc w:val="left"/>
              <w:rPr>
                <w:b/>
                <w:bCs/>
                <w:sz w:val="20"/>
                <w:lang w:val="en-US"/>
              </w:rPr>
            </w:pPr>
            <w:r w:rsidRPr="00036EE3">
              <w:rPr>
                <w:b/>
                <w:bCs/>
                <w:sz w:val="20"/>
                <w:lang w:val="en-US"/>
              </w:rPr>
              <w:t>V</w:t>
            </w:r>
          </w:p>
        </w:tc>
        <w:tc>
          <w:tcPr>
            <w:tcW w:w="8220" w:type="dxa"/>
          </w:tcPr>
          <w:p w:rsidR="00160B7B" w:rsidRPr="00036EE3" w:rsidRDefault="00160B7B" w:rsidP="008E3C29">
            <w:pPr>
              <w:spacing w:before="30" w:after="180"/>
              <w:jc w:val="left"/>
              <w:rPr>
                <w:sz w:val="20"/>
                <w:lang w:val="en-US"/>
              </w:rPr>
            </w:pPr>
            <w:r w:rsidRPr="00036EE3">
              <w:rPr>
                <w:sz w:val="20"/>
                <w:lang w:val="en-US"/>
              </w:rPr>
              <w:t>Vocabulary and related subjects</w:t>
            </w:r>
          </w:p>
        </w:tc>
      </w:tr>
    </w:tbl>
    <w:p w:rsidR="00160B7B" w:rsidRPr="00036EE3" w:rsidRDefault="00160B7B" w:rsidP="00160B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60B7B" w:rsidTr="008E3C29">
        <w:tc>
          <w:tcPr>
            <w:tcW w:w="720" w:type="dxa"/>
          </w:tcPr>
          <w:p w:rsidR="00160B7B" w:rsidRDefault="00160B7B" w:rsidP="008E3C29">
            <w:pPr>
              <w:jc w:val="center"/>
              <w:rPr>
                <w:sz w:val="22"/>
                <w:lang w:val="en-US"/>
              </w:rPr>
            </w:pPr>
          </w:p>
        </w:tc>
      </w:tr>
    </w:tbl>
    <w:p w:rsidR="00160B7B" w:rsidRPr="00036EE3" w:rsidRDefault="00160B7B" w:rsidP="00160B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60B7B" w:rsidRPr="00160B7B" w:rsidTr="008E3C29">
        <w:tc>
          <w:tcPr>
            <w:tcW w:w="9360" w:type="dxa"/>
          </w:tcPr>
          <w:p w:rsidR="00160B7B" w:rsidRPr="002F5199" w:rsidRDefault="00160B7B" w:rsidP="008E3C2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60B7B" w:rsidRDefault="00160B7B" w:rsidP="00160B7B">
      <w:pPr>
        <w:spacing w:before="0"/>
        <w:jc w:val="center"/>
        <w:rPr>
          <w:sz w:val="22"/>
          <w:lang w:val="en-US"/>
        </w:rPr>
      </w:pPr>
    </w:p>
    <w:p w:rsidR="00160B7B" w:rsidRDefault="00160B7B" w:rsidP="00160B7B">
      <w:pPr>
        <w:spacing w:before="0"/>
        <w:jc w:val="center"/>
        <w:rPr>
          <w:sz w:val="22"/>
          <w:lang w:val="en-US"/>
        </w:rPr>
      </w:pPr>
    </w:p>
    <w:p w:rsidR="00160B7B" w:rsidRPr="002F5199" w:rsidRDefault="00160B7B" w:rsidP="00160B7B">
      <w:pPr>
        <w:spacing w:before="0"/>
        <w:jc w:val="right"/>
        <w:rPr>
          <w:i/>
          <w:iCs/>
          <w:sz w:val="20"/>
          <w:lang w:val="en-US"/>
        </w:rPr>
      </w:pPr>
      <w:r w:rsidRPr="002F5199">
        <w:rPr>
          <w:i/>
          <w:iCs/>
          <w:sz w:val="20"/>
          <w:lang w:val="en-US"/>
        </w:rPr>
        <w:t>Electronic Publication</w:t>
      </w:r>
    </w:p>
    <w:p w:rsidR="00160B7B" w:rsidRPr="002F5199" w:rsidRDefault="00160B7B" w:rsidP="00160B7B">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17</w:t>
      </w:r>
    </w:p>
    <w:p w:rsidR="00160B7B" w:rsidRDefault="00160B7B" w:rsidP="00160B7B">
      <w:pPr>
        <w:jc w:val="center"/>
        <w:rPr>
          <w:sz w:val="22"/>
          <w:lang w:val="en-US"/>
        </w:rPr>
      </w:pPr>
    </w:p>
    <w:p w:rsidR="00160B7B" w:rsidRPr="00470E28" w:rsidRDefault="00160B7B" w:rsidP="00160B7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17</w:t>
      </w:r>
    </w:p>
    <w:p w:rsidR="00160B7B" w:rsidRPr="00470E28" w:rsidRDefault="00160B7B" w:rsidP="00160B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60B7B" w:rsidRDefault="00160B7B" w:rsidP="00160B7B">
      <w:pPr>
        <w:spacing w:before="160"/>
        <w:rPr>
          <w:i/>
          <w:sz w:val="20"/>
          <w:lang w:val="en-US"/>
        </w:rPr>
        <w:sectPr w:rsidR="00160B7B" w:rsidSect="00727D07">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160B7B" w:rsidRPr="00C95C69" w:rsidRDefault="00160B7B" w:rsidP="00160B7B">
      <w:pPr>
        <w:pStyle w:val="RecNo"/>
        <w:rPr>
          <w:rFonts w:asciiTheme="majorBidi" w:hAnsiTheme="majorBidi" w:cstheme="majorBidi"/>
          <w:b/>
          <w:lang w:val="en-GB"/>
        </w:rPr>
      </w:pPr>
      <w:bookmarkStart w:id="3" w:name="irecnoe"/>
      <w:bookmarkEnd w:id="3"/>
      <w:r w:rsidRPr="00727D07">
        <w:rPr>
          <w:lang w:val="en-GB"/>
        </w:rPr>
        <w:t xml:space="preserve">RECOMMENDATION  </w:t>
      </w:r>
      <w:r w:rsidRPr="00727D07">
        <w:rPr>
          <w:rStyle w:val="href"/>
          <w:lang w:val="en-GB"/>
        </w:rPr>
        <w:t>ITU-R  SA.</w:t>
      </w:r>
      <w:r w:rsidRPr="00727D07">
        <w:rPr>
          <w:rStyle w:val="href"/>
          <w:lang w:val="en-GB"/>
        </w:rPr>
        <w:t>1027-5</w:t>
      </w:r>
    </w:p>
    <w:p w:rsidR="00727D07" w:rsidRDefault="00727D07" w:rsidP="00727D07">
      <w:pPr>
        <w:pStyle w:val="Rectitle"/>
        <w:rPr>
          <w:lang w:val="en-US" w:eastAsia="zh-CN"/>
        </w:rPr>
      </w:pPr>
      <w:r w:rsidRPr="00662F84">
        <w:rPr>
          <w:lang w:val="en-US" w:eastAsia="zh-CN"/>
        </w:rPr>
        <w:t>Sharing criteria for space-to-Earth data transmission systems in the Earth exploration-satellite and meteorological-satellite services</w:t>
      </w:r>
      <w:r w:rsidRPr="00662F84">
        <w:rPr>
          <w:lang w:val="en-US" w:eastAsia="zh-CN"/>
        </w:rPr>
        <w:br/>
        <w:t>using satellites in low-Earth orbit</w:t>
      </w:r>
    </w:p>
    <w:p w:rsidR="00727D07" w:rsidRPr="00CB28CC" w:rsidRDefault="00727D07" w:rsidP="00727D07">
      <w:pPr>
        <w:pStyle w:val="Recdate"/>
        <w:rPr>
          <w:lang w:val="en-US"/>
        </w:rPr>
      </w:pPr>
      <w:r w:rsidRPr="00CB28CC">
        <w:rPr>
          <w:lang w:val="en-US"/>
        </w:rPr>
        <w:t>(1994-1995-1997-1999-2009</w:t>
      </w:r>
      <w:r>
        <w:rPr>
          <w:lang w:val="en-US"/>
        </w:rPr>
        <w:t>-2017</w:t>
      </w:r>
      <w:r w:rsidRPr="00CB28CC">
        <w:rPr>
          <w:lang w:val="en-US"/>
        </w:rPr>
        <w:t>)</w:t>
      </w:r>
    </w:p>
    <w:p w:rsidR="00727D07" w:rsidRPr="00CB28CC" w:rsidRDefault="00727D07" w:rsidP="00727D07">
      <w:pPr>
        <w:pStyle w:val="HeadingSum"/>
        <w:rPr>
          <w:lang w:val="en-US"/>
        </w:rPr>
      </w:pPr>
      <w:r w:rsidRPr="00CB28CC">
        <w:rPr>
          <w:lang w:val="en-US"/>
        </w:rPr>
        <w:t>Scope</w:t>
      </w:r>
    </w:p>
    <w:p w:rsidR="00727D07" w:rsidRDefault="00727D07" w:rsidP="00010879">
      <w:pPr>
        <w:pStyle w:val="Summary"/>
      </w:pPr>
      <w:r w:rsidRPr="00CB28CC">
        <w:t xml:space="preserve">This </w:t>
      </w:r>
      <w:r w:rsidRPr="00010879">
        <w:t>Recommendation</w:t>
      </w:r>
      <w:r w:rsidRPr="00CB28CC">
        <w:t xml:space="preserve"> provides sharing criteria for space-to-Earth transmissions from satellites in low-Earth orbit applying to both the Earth exploration-satellite and meteorological-satellite services.</w:t>
      </w:r>
    </w:p>
    <w:p w:rsidR="00727D07" w:rsidRPr="00727D07" w:rsidRDefault="00727D07" w:rsidP="00010879">
      <w:pPr>
        <w:pStyle w:val="Headingb"/>
        <w:rPr>
          <w:lang w:val="en-GB"/>
        </w:rPr>
      </w:pPr>
      <w:r w:rsidRPr="00727D07">
        <w:rPr>
          <w:lang w:val="en-GB"/>
        </w:rPr>
        <w:t>Keywords</w:t>
      </w:r>
    </w:p>
    <w:p w:rsidR="00727D07" w:rsidRPr="00727D07" w:rsidRDefault="00727D07" w:rsidP="00727D07">
      <w:pPr>
        <w:rPr>
          <w:lang w:val="en-GB"/>
        </w:rPr>
      </w:pPr>
      <w:r w:rsidRPr="00727D07">
        <w:rPr>
          <w:lang w:val="en-GB"/>
        </w:rPr>
        <w:t>EESS, METSAT, non-GSO satellites, single entry sharing criteria</w:t>
      </w:r>
    </w:p>
    <w:p w:rsidR="00727D07" w:rsidRPr="00726368" w:rsidRDefault="00727D07" w:rsidP="00727D07">
      <w:pPr>
        <w:pStyle w:val="Headingb"/>
        <w:rPr>
          <w:lang w:eastAsia="zh-CN"/>
        </w:rPr>
      </w:pPr>
      <w:r w:rsidRPr="009B5625">
        <w:rPr>
          <w:lang w:eastAsia="zh-CN"/>
        </w:rPr>
        <w:t>Related Recommendations and Reports</w:t>
      </w:r>
    </w:p>
    <w:p w:rsidR="00727D07" w:rsidRPr="009B5625" w:rsidRDefault="00727D07" w:rsidP="00727D07">
      <w:pPr>
        <w:rPr>
          <w:lang w:val="fr-CH" w:eastAsia="zh-CN"/>
        </w:rPr>
      </w:pPr>
      <w:r w:rsidRPr="009B5625">
        <w:rPr>
          <w:lang w:val="fr-CH" w:eastAsia="zh-CN"/>
        </w:rPr>
        <w:t>Rec</w:t>
      </w:r>
      <w:r>
        <w:rPr>
          <w:lang w:val="fr-CH" w:eastAsia="zh-CN"/>
        </w:rPr>
        <w:t>ommendations</w:t>
      </w:r>
      <w:r w:rsidRPr="009B5625">
        <w:rPr>
          <w:lang w:val="fr-CH" w:eastAsia="zh-CN"/>
        </w:rPr>
        <w:t xml:space="preserve"> ITU-R SA.514, ITU-R SA.1020, ITU-R SA.1021, ITU-R SA.1022,</w:t>
      </w:r>
      <w:r>
        <w:rPr>
          <w:lang w:val="fr-CH" w:eastAsia="zh-CN"/>
        </w:rPr>
        <w:t xml:space="preserve"> </w:t>
      </w:r>
      <w:r w:rsidRPr="009B5625">
        <w:rPr>
          <w:lang w:val="fr-CH" w:eastAsia="zh-CN"/>
        </w:rPr>
        <w:t>ITU</w:t>
      </w:r>
      <w:r>
        <w:rPr>
          <w:lang w:val="fr-CH" w:eastAsia="zh-CN"/>
        </w:rPr>
        <w:noBreakHyphen/>
      </w:r>
      <w:r w:rsidRPr="009B5625">
        <w:rPr>
          <w:lang w:val="fr-CH" w:eastAsia="zh-CN"/>
        </w:rPr>
        <w:t>R SA.1023, ITU-R SA.1026, ITU-R SA.1159</w:t>
      </w:r>
      <w:r>
        <w:rPr>
          <w:lang w:val="fr-CH"/>
        </w:rPr>
        <w:t>.</w:t>
      </w:r>
    </w:p>
    <w:p w:rsidR="00727D07" w:rsidRPr="00CB28CC" w:rsidRDefault="00727D07" w:rsidP="00727D07">
      <w:pPr>
        <w:pStyle w:val="Normalaftertitle"/>
        <w:rPr>
          <w:lang w:val="en-US"/>
        </w:rPr>
      </w:pPr>
      <w:r w:rsidRPr="00CB28CC">
        <w:rPr>
          <w:lang w:val="en-US"/>
        </w:rPr>
        <w:t>The ITU Radiocommunication Assembly,</w:t>
      </w:r>
    </w:p>
    <w:p w:rsidR="00727D07" w:rsidRPr="00CB28CC" w:rsidRDefault="00727D07" w:rsidP="00727D07">
      <w:pPr>
        <w:pStyle w:val="Call"/>
        <w:rPr>
          <w:lang w:val="en-US"/>
        </w:rPr>
      </w:pPr>
      <w:r w:rsidRPr="00CB28CC">
        <w:rPr>
          <w:lang w:val="en-US"/>
        </w:rPr>
        <w:t>considering</w:t>
      </w:r>
    </w:p>
    <w:p w:rsidR="00727D07" w:rsidRPr="00CB28CC" w:rsidRDefault="00727D07" w:rsidP="00727D07">
      <w:pPr>
        <w:rPr>
          <w:lang w:val="en-US"/>
        </w:rPr>
      </w:pPr>
      <w:r w:rsidRPr="00CB28CC">
        <w:rPr>
          <w:i/>
          <w:iCs/>
          <w:lang w:val="en-US"/>
        </w:rPr>
        <w:t>a)</w:t>
      </w:r>
      <w:r w:rsidRPr="00CB28CC">
        <w:rPr>
          <w:lang w:val="en-US"/>
        </w:rPr>
        <w:tab/>
        <w:t>that frequency bands allocated to the Earth exploration-satellite and meteorological-satellite services may be shared by several systems, including systems operating in other services;</w:t>
      </w:r>
    </w:p>
    <w:p w:rsidR="00727D07" w:rsidRPr="00CB28CC" w:rsidRDefault="00727D07" w:rsidP="00727D07">
      <w:pPr>
        <w:rPr>
          <w:lang w:val="en-US"/>
        </w:rPr>
      </w:pPr>
      <w:r w:rsidRPr="00CB28CC">
        <w:rPr>
          <w:i/>
          <w:iCs/>
          <w:lang w:val="en-US"/>
        </w:rPr>
        <w:t>b)</w:t>
      </w:r>
      <w:r w:rsidRPr="00CB28CC">
        <w:rPr>
          <w:lang w:val="en-US"/>
        </w:rPr>
        <w:tab/>
        <w:t>that for the Earth exploration-satellite and meteorological-satellite services, Recommendation ITU-R SA.1026 specifies aggregate interference criteria for some frequency bands in the form of permissible levels of total interference to earth stations operating with satellites in low</w:t>
      </w:r>
      <w:r w:rsidRPr="00CB28CC">
        <w:rPr>
          <w:lang w:val="en-US"/>
        </w:rPr>
        <w:noBreakHyphen/>
        <w:t>Earth orbit;</w:t>
      </w:r>
    </w:p>
    <w:p w:rsidR="00727D07" w:rsidRPr="00CB28CC" w:rsidRDefault="00727D07" w:rsidP="00727D07">
      <w:pPr>
        <w:rPr>
          <w:lang w:val="en-US"/>
        </w:rPr>
      </w:pPr>
      <w:r w:rsidRPr="00CB28CC">
        <w:rPr>
          <w:i/>
          <w:iCs/>
          <w:lang w:val="en-US"/>
        </w:rPr>
        <w:t>c)</w:t>
      </w:r>
      <w:r w:rsidRPr="00CB28CC">
        <w:rPr>
          <w:lang w:val="en-US"/>
        </w:rPr>
        <w:tab/>
        <w:t>that Recommendation ITU-R SA.1023 provides a methodology for deriving sharing criteria based on interference criteria, the anticipated spatial deployment of interfering stations and the associated temporal characteristics of interfering signals;</w:t>
      </w:r>
    </w:p>
    <w:p w:rsidR="00727D07" w:rsidRPr="00CB28CC" w:rsidRDefault="00727D07" w:rsidP="00727D07">
      <w:pPr>
        <w:rPr>
          <w:lang w:val="en-US"/>
        </w:rPr>
      </w:pPr>
      <w:r w:rsidRPr="00CB28CC">
        <w:rPr>
          <w:i/>
          <w:iCs/>
          <w:lang w:val="en-US"/>
        </w:rPr>
        <w:t>d)</w:t>
      </w:r>
      <w:r w:rsidRPr="00CB28CC">
        <w:rPr>
          <w:lang w:val="en-US"/>
        </w:rPr>
        <w:tab/>
        <w:t>that the typical deployment of interfering stations may change over a period of several years as a result of growth in the number of systems and revisions to frequency band allocations that are adopted by world radio conferences;</w:t>
      </w:r>
    </w:p>
    <w:p w:rsidR="00727D07" w:rsidRPr="00CB28CC" w:rsidRDefault="00727D07" w:rsidP="00727D07">
      <w:pPr>
        <w:rPr>
          <w:lang w:val="en-US"/>
        </w:rPr>
      </w:pPr>
      <w:r w:rsidRPr="00CB28CC">
        <w:rPr>
          <w:i/>
          <w:iCs/>
          <w:lang w:val="en-US"/>
        </w:rPr>
        <w:t>e)</w:t>
      </w:r>
      <w:r w:rsidRPr="00CB28CC">
        <w:rPr>
          <w:lang w:val="en-US"/>
        </w:rPr>
        <w:tab/>
        <w:t>that the interference environment encountered by shipborne earth stations in the meteorological-satellite service is unlikely to be worse than that encountered by earth stations operating on land;</w:t>
      </w:r>
    </w:p>
    <w:p w:rsidR="00727D07" w:rsidRPr="00CB28CC" w:rsidRDefault="00727D07" w:rsidP="00727D07">
      <w:pPr>
        <w:rPr>
          <w:lang w:val="en-US"/>
        </w:rPr>
      </w:pPr>
      <w:r w:rsidRPr="00CB28CC">
        <w:rPr>
          <w:i/>
          <w:iCs/>
          <w:lang w:val="en-US"/>
        </w:rPr>
        <w:t>f)</w:t>
      </w:r>
      <w:r w:rsidRPr="00CB28CC">
        <w:rPr>
          <w:lang w:val="en-US"/>
        </w:rPr>
        <w:tab/>
      </w:r>
      <w:r w:rsidRPr="00CB28CC">
        <w:rPr>
          <w:color w:val="000000"/>
          <w:lang w:val="en-US"/>
        </w:rPr>
        <w:t>that the potential interference received by the Earth exploration-satellite service (EESS) and meteorological-satellite earth stations is the aggregate effect of several sources, including systems from other services allocated in these frequency bands, and systems not being allocated within the same band,</w:t>
      </w:r>
    </w:p>
    <w:p w:rsidR="00727D07" w:rsidRPr="00CB28CC" w:rsidRDefault="00727D07" w:rsidP="00727D07">
      <w:pPr>
        <w:pStyle w:val="Call"/>
        <w:rPr>
          <w:lang w:val="en-US"/>
        </w:rPr>
      </w:pPr>
      <w:r w:rsidRPr="00CB28CC">
        <w:rPr>
          <w:lang w:val="en-US"/>
        </w:rPr>
        <w:t>recommends</w:t>
      </w:r>
    </w:p>
    <w:p w:rsidR="00727D07" w:rsidRPr="00CB28CC" w:rsidRDefault="00727D07" w:rsidP="00727D07">
      <w:pPr>
        <w:rPr>
          <w:lang w:val="en-US"/>
        </w:rPr>
      </w:pPr>
      <w:r w:rsidRPr="000A0689">
        <w:rPr>
          <w:b/>
          <w:lang w:val="en-US"/>
        </w:rPr>
        <w:t>1</w:t>
      </w:r>
      <w:r w:rsidRPr="00CB28CC">
        <w:rPr>
          <w:b/>
          <w:lang w:val="en-US"/>
        </w:rPr>
        <w:tab/>
      </w:r>
      <w:r w:rsidRPr="00CB28CC">
        <w:rPr>
          <w:lang w:val="en-US"/>
        </w:rPr>
        <w:t>that the single entry interference levels presented in Table 1 should be used as sharing criteria for the protection of earth stations operating in the Earth exploration-satellite and meteorological-satellite services;</w:t>
      </w:r>
    </w:p>
    <w:p w:rsidR="00727D07" w:rsidRPr="00CB28CC" w:rsidRDefault="00727D07" w:rsidP="00727D07">
      <w:pPr>
        <w:rPr>
          <w:lang w:val="en-US"/>
        </w:rPr>
      </w:pPr>
      <w:r w:rsidRPr="000A0689">
        <w:rPr>
          <w:b/>
          <w:lang w:val="en-US"/>
        </w:rPr>
        <w:t>2</w:t>
      </w:r>
      <w:r w:rsidRPr="00CB28CC">
        <w:rPr>
          <w:lang w:val="en-US"/>
        </w:rPr>
        <w:tab/>
        <w:t xml:space="preserve">that the deployment of </w:t>
      </w:r>
      <w:r>
        <w:rPr>
          <w:lang w:val="en-US"/>
        </w:rPr>
        <w:t>i</w:t>
      </w:r>
      <w:r w:rsidRPr="007B12FA">
        <w:rPr>
          <w:lang w:val="en-US"/>
        </w:rPr>
        <w:t>nterfering stations</w:t>
      </w:r>
      <w:r>
        <w:rPr>
          <w:lang w:val="en-US"/>
        </w:rPr>
        <w:t xml:space="preserve"> </w:t>
      </w:r>
      <w:r w:rsidRPr="00CB28CC">
        <w:rPr>
          <w:lang w:val="en-US"/>
        </w:rPr>
        <w:t xml:space="preserve">specified in Annex 1 is the basis for Table 1 </w:t>
      </w:r>
      <w:r>
        <w:rPr>
          <w:lang w:val="en-US"/>
        </w:rPr>
        <w:t>should</w:t>
      </w:r>
      <w:r w:rsidRPr="00CB28CC">
        <w:rPr>
          <w:lang w:val="en-US"/>
        </w:rPr>
        <w:t xml:space="preserve"> be reviewed periodically in order to determine whether the typical interference environment and consequential sharing criteria should be revised;</w:t>
      </w:r>
    </w:p>
    <w:p w:rsidR="00727D07" w:rsidRPr="00CB28CC" w:rsidRDefault="00727D07" w:rsidP="00727D07">
      <w:pPr>
        <w:rPr>
          <w:lang w:val="en-US"/>
        </w:rPr>
      </w:pPr>
      <w:r w:rsidRPr="000A0689">
        <w:rPr>
          <w:b/>
          <w:lang w:val="en-US"/>
        </w:rPr>
        <w:t>3</w:t>
      </w:r>
      <w:r w:rsidRPr="00CB28CC">
        <w:rPr>
          <w:lang w:val="en-US"/>
        </w:rPr>
        <w:tab/>
        <w:t>that system performance degradation due to emissions from stations in services with lower allocation status than that of the EESS or the meteorological-satellite service should not exceed 1% of the applicable interference criteria.</w:t>
      </w:r>
    </w:p>
    <w:p w:rsidR="00727D07" w:rsidRPr="00CB28CC" w:rsidRDefault="00727D07" w:rsidP="00727D07">
      <w:pPr>
        <w:pStyle w:val="TableNo"/>
        <w:rPr>
          <w:lang w:val="en-US"/>
        </w:rPr>
      </w:pPr>
      <w:r w:rsidRPr="00CB28CC">
        <w:rPr>
          <w:lang w:val="en-US"/>
        </w:rPr>
        <w:t>TABLE 1</w:t>
      </w:r>
    </w:p>
    <w:p w:rsidR="00727D07" w:rsidRPr="00CB28CC" w:rsidRDefault="00727D07" w:rsidP="00727D07">
      <w:pPr>
        <w:pStyle w:val="Tabletitle"/>
        <w:rPr>
          <w:lang w:val="en-US"/>
        </w:rPr>
      </w:pPr>
      <w:r w:rsidRPr="00CB28CC">
        <w:rPr>
          <w:lang w:val="en-US"/>
        </w:rPr>
        <w:t xml:space="preserve">Sharing criteria for Earth exploration-satellite and meteorological-satellite earth stations </w:t>
      </w:r>
      <w:r w:rsidRPr="00CB28CC">
        <w:rPr>
          <w:lang w:val="en-US"/>
        </w:rPr>
        <w:br/>
        <w:t>using spacecraft in low-Earth orbit (see Notes 1, 2, 3 and 4)</w:t>
      </w:r>
    </w:p>
    <w:tbl>
      <w:tblPr>
        <w:tblW w:w="9773" w:type="dxa"/>
        <w:jc w:val="center"/>
        <w:tblLayout w:type="fixed"/>
        <w:tblLook w:val="0000" w:firstRow="0" w:lastRow="0" w:firstColumn="0" w:lastColumn="0" w:noHBand="0" w:noVBand="0"/>
      </w:tblPr>
      <w:tblGrid>
        <w:gridCol w:w="1693"/>
        <w:gridCol w:w="1985"/>
        <w:gridCol w:w="1984"/>
        <w:gridCol w:w="1985"/>
        <w:gridCol w:w="2126"/>
      </w:tblGrid>
      <w:tr w:rsidR="00727D07" w:rsidRPr="00727D07" w:rsidTr="008E3C29">
        <w:trPr>
          <w:jc w:val="center"/>
        </w:trPr>
        <w:tc>
          <w:tcPr>
            <w:tcW w:w="1693" w:type="dxa"/>
            <w:vMerge w:val="restart"/>
            <w:tcBorders>
              <w:top w:val="single" w:sz="6" w:space="0" w:color="auto"/>
              <w:left w:val="single" w:sz="6" w:space="0" w:color="auto"/>
              <w:right w:val="single" w:sz="6" w:space="0" w:color="auto"/>
            </w:tcBorders>
            <w:vAlign w:val="center"/>
          </w:tcPr>
          <w:p w:rsidR="00727D07" w:rsidRPr="00CB28CC" w:rsidRDefault="00727D07" w:rsidP="008E3C29">
            <w:pPr>
              <w:pStyle w:val="Tablehead"/>
              <w:rPr>
                <w:sz w:val="18"/>
                <w:szCs w:val="18"/>
                <w:lang w:val="en-US"/>
              </w:rPr>
            </w:pPr>
            <w:r w:rsidRPr="00CB28CC">
              <w:rPr>
                <w:sz w:val="18"/>
                <w:szCs w:val="18"/>
                <w:lang w:val="en-US"/>
              </w:rPr>
              <w:t>Frequency band</w:t>
            </w:r>
            <w:r w:rsidRPr="00CB28CC">
              <w:rPr>
                <w:sz w:val="18"/>
                <w:szCs w:val="18"/>
                <w:lang w:val="en-US"/>
              </w:rPr>
              <w:br/>
              <w:t>(MHz)</w:t>
            </w:r>
          </w:p>
        </w:tc>
        <w:tc>
          <w:tcPr>
            <w:tcW w:w="3969" w:type="dxa"/>
            <w:gridSpan w:val="2"/>
            <w:tcBorders>
              <w:top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Interfering signal power (dBW)</w:t>
            </w:r>
            <w:r>
              <w:rPr>
                <w:sz w:val="18"/>
                <w:szCs w:val="18"/>
                <w:lang w:val="en-US"/>
              </w:rPr>
              <w:br/>
            </w:r>
            <w:r w:rsidRPr="00CB28CC">
              <w:rPr>
                <w:sz w:val="18"/>
                <w:szCs w:val="18"/>
                <w:lang w:val="en-US"/>
              </w:rPr>
              <w:t>in the reference bandwidth</w:t>
            </w:r>
            <w:r>
              <w:rPr>
                <w:sz w:val="18"/>
                <w:szCs w:val="18"/>
                <w:lang w:val="en-US"/>
              </w:rPr>
              <w:t xml:space="preserve"> </w:t>
            </w:r>
            <w:r w:rsidRPr="00CB28CC">
              <w:rPr>
                <w:sz w:val="18"/>
                <w:szCs w:val="18"/>
                <w:lang w:val="en-US"/>
              </w:rPr>
              <w:t xml:space="preserve">to be exceeded </w:t>
            </w:r>
            <w:r>
              <w:rPr>
                <w:sz w:val="18"/>
                <w:szCs w:val="18"/>
                <w:lang w:val="en-US"/>
              </w:rPr>
              <w:br/>
            </w:r>
            <w:r w:rsidRPr="00CB28CC">
              <w:rPr>
                <w:sz w:val="18"/>
                <w:szCs w:val="18"/>
                <w:lang w:val="en-US"/>
              </w:rPr>
              <w:t>no more</w:t>
            </w:r>
            <w:r>
              <w:rPr>
                <w:sz w:val="18"/>
                <w:szCs w:val="18"/>
                <w:lang w:val="en-US"/>
              </w:rPr>
              <w:t xml:space="preserve"> </w:t>
            </w:r>
            <w:r w:rsidRPr="00CB28CC">
              <w:rPr>
                <w:sz w:val="18"/>
                <w:szCs w:val="18"/>
                <w:lang w:val="en-US"/>
              </w:rPr>
              <w:t>than 20% of the time</w:t>
            </w:r>
          </w:p>
        </w:tc>
        <w:tc>
          <w:tcPr>
            <w:tcW w:w="4111" w:type="dxa"/>
            <w:gridSpan w:val="2"/>
            <w:tcBorders>
              <w:top w:val="single" w:sz="6" w:space="0" w:color="auto"/>
              <w:left w:val="single" w:sz="6" w:space="0" w:color="auto"/>
              <w:bottom w:val="single" w:sz="6" w:space="0" w:color="auto"/>
              <w:right w:val="single" w:sz="4" w:space="0" w:color="auto"/>
            </w:tcBorders>
          </w:tcPr>
          <w:p w:rsidR="00727D07" w:rsidRPr="00CB28CC" w:rsidRDefault="00727D07" w:rsidP="008E3C29">
            <w:pPr>
              <w:pStyle w:val="Tablehead"/>
              <w:rPr>
                <w:sz w:val="18"/>
                <w:szCs w:val="18"/>
                <w:lang w:val="en-US"/>
              </w:rPr>
            </w:pPr>
            <w:r w:rsidRPr="00CB28CC">
              <w:rPr>
                <w:sz w:val="18"/>
                <w:szCs w:val="18"/>
                <w:lang w:val="en-US"/>
              </w:rPr>
              <w:t>Interfering signal power (dBW)</w:t>
            </w:r>
            <w:r>
              <w:rPr>
                <w:sz w:val="18"/>
                <w:szCs w:val="18"/>
                <w:lang w:val="en-US"/>
              </w:rPr>
              <w:br/>
            </w:r>
            <w:r w:rsidRPr="00CB28CC">
              <w:rPr>
                <w:sz w:val="18"/>
                <w:szCs w:val="18"/>
                <w:lang w:val="en-US"/>
              </w:rPr>
              <w:t>in the reference bandwidth</w:t>
            </w:r>
            <w:r>
              <w:rPr>
                <w:sz w:val="18"/>
                <w:szCs w:val="18"/>
                <w:lang w:val="en-US"/>
              </w:rPr>
              <w:t xml:space="preserve"> </w:t>
            </w:r>
            <w:r w:rsidRPr="00CB28CC">
              <w:rPr>
                <w:sz w:val="18"/>
                <w:szCs w:val="18"/>
                <w:lang w:val="en-US"/>
              </w:rPr>
              <w:t xml:space="preserve">to be exceeded </w:t>
            </w:r>
            <w:r>
              <w:rPr>
                <w:sz w:val="18"/>
                <w:szCs w:val="18"/>
                <w:lang w:val="en-US"/>
              </w:rPr>
              <w:br/>
            </w:r>
            <w:r w:rsidRPr="00CB28CC">
              <w:rPr>
                <w:sz w:val="18"/>
                <w:szCs w:val="18"/>
                <w:lang w:val="en-US"/>
              </w:rPr>
              <w:t>no more</w:t>
            </w:r>
            <w:r>
              <w:rPr>
                <w:sz w:val="18"/>
                <w:szCs w:val="18"/>
                <w:lang w:val="en-US"/>
              </w:rPr>
              <w:t xml:space="preserve"> </w:t>
            </w:r>
            <w:r w:rsidRPr="00CB28CC">
              <w:rPr>
                <w:sz w:val="18"/>
                <w:szCs w:val="18"/>
                <w:lang w:val="en-US"/>
              </w:rPr>
              <w:t xml:space="preserve">than </w:t>
            </w:r>
            <w:r w:rsidRPr="00CB28CC">
              <w:rPr>
                <w:i/>
                <w:iCs/>
                <w:sz w:val="18"/>
                <w:szCs w:val="18"/>
                <w:lang w:val="en-US"/>
              </w:rPr>
              <w:t>p</w:t>
            </w:r>
            <w:r w:rsidRPr="00CB28CC">
              <w:rPr>
                <w:sz w:val="18"/>
                <w:szCs w:val="18"/>
                <w:lang w:val="en-US"/>
              </w:rPr>
              <w:t>% of the time</w:t>
            </w:r>
          </w:p>
        </w:tc>
      </w:tr>
      <w:tr w:rsidR="00727D07" w:rsidRPr="00CB28CC" w:rsidTr="008E3C29">
        <w:trPr>
          <w:jc w:val="center"/>
        </w:trPr>
        <w:tc>
          <w:tcPr>
            <w:tcW w:w="1693" w:type="dxa"/>
            <w:vMerge/>
            <w:tcBorders>
              <w:left w:val="single" w:sz="6" w:space="0" w:color="auto"/>
              <w:right w:val="single" w:sz="6" w:space="0" w:color="auto"/>
            </w:tcBorders>
          </w:tcPr>
          <w:p w:rsidR="00727D07" w:rsidRPr="00CB28CC" w:rsidRDefault="00727D07" w:rsidP="008E3C29">
            <w:pPr>
              <w:pStyle w:val="Tablehead"/>
              <w:rPr>
                <w:sz w:val="18"/>
                <w:szCs w:val="18"/>
                <w:lang w:val="en-US"/>
              </w:rPr>
            </w:pPr>
          </w:p>
        </w:tc>
        <w:tc>
          <w:tcPr>
            <w:tcW w:w="3969" w:type="dxa"/>
            <w:gridSpan w:val="2"/>
            <w:tcBorders>
              <w:top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Interfering signal path</w:t>
            </w:r>
          </w:p>
        </w:tc>
        <w:tc>
          <w:tcPr>
            <w:tcW w:w="4111" w:type="dxa"/>
            <w:gridSpan w:val="2"/>
            <w:tcBorders>
              <w:top w:val="single" w:sz="6" w:space="0" w:color="auto"/>
              <w:bottom w:val="single" w:sz="6" w:space="0" w:color="auto"/>
              <w:right w:val="single" w:sz="4" w:space="0" w:color="auto"/>
            </w:tcBorders>
          </w:tcPr>
          <w:p w:rsidR="00727D07" w:rsidRPr="00CB28CC" w:rsidRDefault="00727D07" w:rsidP="008E3C29">
            <w:pPr>
              <w:pStyle w:val="Tablehead"/>
              <w:rPr>
                <w:sz w:val="18"/>
                <w:szCs w:val="18"/>
                <w:lang w:val="en-US"/>
              </w:rPr>
            </w:pPr>
            <w:r w:rsidRPr="00CB28CC">
              <w:rPr>
                <w:sz w:val="18"/>
                <w:szCs w:val="18"/>
                <w:lang w:val="en-US"/>
              </w:rPr>
              <w:t>Interfering signal path</w:t>
            </w:r>
          </w:p>
        </w:tc>
      </w:tr>
      <w:tr w:rsidR="00727D07" w:rsidRPr="00CB28CC" w:rsidTr="008E3C29">
        <w:trPr>
          <w:jc w:val="center"/>
        </w:trPr>
        <w:tc>
          <w:tcPr>
            <w:tcW w:w="1693" w:type="dxa"/>
            <w:tcBorders>
              <w:left w:val="single" w:sz="6" w:space="0" w:color="auto"/>
              <w:right w:val="single" w:sz="6" w:space="0" w:color="auto"/>
            </w:tcBorders>
          </w:tcPr>
          <w:p w:rsidR="00727D07" w:rsidRPr="00CB28CC" w:rsidRDefault="00727D07" w:rsidP="008E3C29">
            <w:pPr>
              <w:pStyle w:val="Tablehead"/>
              <w:rPr>
                <w:sz w:val="18"/>
                <w:szCs w:val="18"/>
                <w:lang w:val="en-US"/>
              </w:rPr>
            </w:pPr>
          </w:p>
        </w:tc>
        <w:tc>
          <w:tcPr>
            <w:tcW w:w="1985" w:type="dxa"/>
            <w:tcBorders>
              <w:top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Space-to-Earth</w:t>
            </w:r>
          </w:p>
        </w:tc>
        <w:tc>
          <w:tcPr>
            <w:tcW w:w="1984"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Terrestrial</w:t>
            </w:r>
          </w:p>
        </w:tc>
        <w:tc>
          <w:tcPr>
            <w:tcW w:w="1985" w:type="dxa"/>
            <w:tcBorders>
              <w:top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Space-to-Earth</w:t>
            </w:r>
          </w:p>
        </w:tc>
        <w:tc>
          <w:tcPr>
            <w:tcW w:w="2126" w:type="dxa"/>
            <w:tcBorders>
              <w:top w:val="single" w:sz="6" w:space="0" w:color="auto"/>
              <w:left w:val="single" w:sz="6" w:space="0" w:color="auto"/>
              <w:bottom w:val="single" w:sz="6" w:space="0" w:color="auto"/>
              <w:right w:val="single" w:sz="4" w:space="0" w:color="auto"/>
            </w:tcBorders>
          </w:tcPr>
          <w:p w:rsidR="00727D07" w:rsidRPr="00CB28CC" w:rsidRDefault="00727D07" w:rsidP="008E3C29">
            <w:pPr>
              <w:pStyle w:val="Tablehead"/>
              <w:rPr>
                <w:sz w:val="18"/>
                <w:szCs w:val="18"/>
                <w:lang w:val="en-US"/>
              </w:rPr>
            </w:pPr>
            <w:r w:rsidRPr="00CB28CC">
              <w:rPr>
                <w:sz w:val="18"/>
                <w:szCs w:val="18"/>
                <w:lang w:val="en-US"/>
              </w:rPr>
              <w:t>Terrestrial</w:t>
            </w:r>
          </w:p>
        </w:tc>
      </w:tr>
      <w:tr w:rsidR="00727D07" w:rsidRPr="00CB28CC" w:rsidTr="008E3C29">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137-138</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–147 dBW per</w:t>
            </w:r>
            <w:r w:rsidRPr="00CB28CC">
              <w:rPr>
                <w:sz w:val="18"/>
                <w:szCs w:val="18"/>
                <w:lang w:val="en-US"/>
              </w:rPr>
              <w:br/>
              <w:t>150 kHz</w:t>
            </w:r>
            <w:r w:rsidRPr="00CB28CC">
              <w:rPr>
                <w:position w:val="6"/>
                <w:sz w:val="18"/>
                <w:szCs w:val="18"/>
                <w:lang w:val="en-US"/>
              </w:rPr>
              <w:t>(1)</w:t>
            </w:r>
          </w:p>
        </w:tc>
        <w:tc>
          <w:tcPr>
            <w:tcW w:w="1984" w:type="dxa"/>
            <w:tcBorders>
              <w:top w:val="single" w:sz="6" w:space="0" w:color="auto"/>
              <w:left w:val="single" w:sz="6" w:space="0" w:color="auto"/>
              <w:bottom w:val="single" w:sz="6" w:space="0" w:color="auto"/>
              <w:right w:val="single" w:sz="6" w:space="0" w:color="auto"/>
            </w:tcBorders>
          </w:tcPr>
          <w:p w:rsidR="00727D07" w:rsidRPr="00CB28CC" w:rsidRDefault="00727D07" w:rsidP="000A0689">
            <w:pPr>
              <w:pStyle w:val="Tabletext"/>
              <w:jc w:val="center"/>
              <w:rPr>
                <w:sz w:val="18"/>
                <w:szCs w:val="18"/>
                <w:lang w:val="en-US"/>
              </w:rPr>
            </w:pPr>
            <w:r w:rsidRPr="00CB28CC">
              <w:rPr>
                <w:sz w:val="18"/>
                <w:szCs w:val="18"/>
                <w:lang w:val="en-US"/>
              </w:rPr>
              <w:t>–146 dBW per</w:t>
            </w:r>
            <w:r w:rsidRPr="00CB28CC">
              <w:rPr>
                <w:sz w:val="18"/>
                <w:szCs w:val="18"/>
                <w:lang w:val="en-US"/>
              </w:rPr>
              <w:br/>
              <w:t>150 kHz</w:t>
            </w:r>
            <w:r w:rsidR="000A0689" w:rsidRPr="00CB28CC">
              <w:rPr>
                <w:position w:val="6"/>
                <w:sz w:val="14"/>
                <w:lang w:val="en-US"/>
              </w:rPr>
              <w:t>(1)</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0A0689">
            <w:pPr>
              <w:pStyle w:val="Tabletext"/>
              <w:jc w:val="center"/>
              <w:rPr>
                <w:sz w:val="18"/>
                <w:szCs w:val="18"/>
                <w:lang w:val="en-US"/>
              </w:rPr>
            </w:pPr>
            <w:r w:rsidRPr="00CB28CC">
              <w:rPr>
                <w:sz w:val="18"/>
                <w:szCs w:val="18"/>
                <w:lang w:val="en-US"/>
              </w:rPr>
              <w:t>–</w:t>
            </w:r>
            <w:r>
              <w:rPr>
                <w:sz w:val="18"/>
                <w:szCs w:val="18"/>
                <w:lang w:val="en-US"/>
              </w:rPr>
              <w:t xml:space="preserve">136 </w:t>
            </w:r>
            <w:r w:rsidRPr="00CB28CC">
              <w:rPr>
                <w:sz w:val="18"/>
                <w:szCs w:val="18"/>
                <w:lang w:val="en-US"/>
              </w:rPr>
              <w:t>dBW per</w:t>
            </w:r>
            <w:r w:rsidRPr="00CB28CC">
              <w:rPr>
                <w:sz w:val="18"/>
                <w:szCs w:val="18"/>
                <w:lang w:val="en-US"/>
              </w:rPr>
              <w:br/>
              <w:t>150 kHz</w:t>
            </w:r>
            <w:r w:rsidR="000A0689" w:rsidRPr="00CB28CC">
              <w:rPr>
                <w:position w:val="6"/>
                <w:sz w:val="14"/>
                <w:lang w:val="en-US"/>
              </w:rPr>
              <w:t>(1)</w:t>
            </w:r>
            <w:r w:rsidRPr="00CB28CC">
              <w:rPr>
                <w:sz w:val="18"/>
                <w:szCs w:val="18"/>
                <w:lang w:val="en-US"/>
              </w:rPr>
              <w:br/>
            </w:r>
            <w:r w:rsidRPr="00CB28CC">
              <w:rPr>
                <w:i/>
                <w:iCs/>
                <w:sz w:val="18"/>
                <w:szCs w:val="18"/>
                <w:lang w:val="en-US"/>
              </w:rPr>
              <w:t>p</w:t>
            </w:r>
            <w:r w:rsidRPr="00CB28CC">
              <w:rPr>
                <w:sz w:val="18"/>
                <w:szCs w:val="18"/>
                <w:lang w:val="en-US"/>
              </w:rPr>
              <w:t> </w:t>
            </w:r>
            <w:r w:rsidRPr="00CB28CC">
              <w:rPr>
                <w:rFonts w:ascii="Symbol" w:hAnsi="Symbol"/>
                <w:sz w:val="18"/>
                <w:szCs w:val="18"/>
                <w:lang w:val="en-US"/>
              </w:rPr>
              <w:t></w:t>
            </w:r>
            <w:r w:rsidRPr="00CB28CC">
              <w:rPr>
                <w:sz w:val="18"/>
                <w:szCs w:val="18"/>
                <w:lang w:val="en-US"/>
              </w:rPr>
              <w:t> 0.0031</w:t>
            </w:r>
          </w:p>
        </w:tc>
        <w:tc>
          <w:tcPr>
            <w:tcW w:w="2126" w:type="dxa"/>
            <w:tcBorders>
              <w:top w:val="single" w:sz="6" w:space="0" w:color="auto"/>
              <w:left w:val="single" w:sz="6" w:space="0" w:color="auto"/>
              <w:bottom w:val="single" w:sz="6" w:space="0" w:color="auto"/>
              <w:right w:val="single" w:sz="4" w:space="0" w:color="auto"/>
            </w:tcBorders>
          </w:tcPr>
          <w:p w:rsidR="00727D07" w:rsidRPr="00CB28CC" w:rsidRDefault="00727D07" w:rsidP="000A0689">
            <w:pPr>
              <w:pStyle w:val="Tabletext"/>
              <w:jc w:val="center"/>
              <w:rPr>
                <w:sz w:val="18"/>
                <w:szCs w:val="18"/>
                <w:lang w:val="en-US"/>
              </w:rPr>
            </w:pPr>
            <w:r w:rsidRPr="00CB28CC">
              <w:rPr>
                <w:sz w:val="18"/>
                <w:szCs w:val="18"/>
                <w:lang w:val="en-US"/>
              </w:rPr>
              <w:t>–137 dBW per</w:t>
            </w:r>
            <w:r w:rsidRPr="00CB28CC">
              <w:rPr>
                <w:sz w:val="18"/>
                <w:szCs w:val="18"/>
                <w:lang w:val="en-US"/>
              </w:rPr>
              <w:br/>
              <w:t>150 kHz</w:t>
            </w:r>
            <w:r w:rsidR="000A0689" w:rsidRPr="00CB28CC">
              <w:rPr>
                <w:position w:val="6"/>
                <w:sz w:val="14"/>
                <w:lang w:val="en-US"/>
              </w:rPr>
              <w:t>(1)</w:t>
            </w:r>
            <w:r w:rsidRPr="00CB28CC">
              <w:rPr>
                <w:sz w:val="18"/>
                <w:szCs w:val="18"/>
                <w:lang w:val="en-US"/>
              </w:rPr>
              <w:br/>
            </w:r>
            <w:r w:rsidRPr="00CB28CC">
              <w:rPr>
                <w:i/>
                <w:iCs/>
                <w:sz w:val="18"/>
                <w:szCs w:val="18"/>
                <w:lang w:val="en-US"/>
              </w:rPr>
              <w:t>p</w:t>
            </w:r>
            <w:r w:rsidRPr="00CB28CC">
              <w:rPr>
                <w:sz w:val="18"/>
                <w:szCs w:val="18"/>
                <w:lang w:val="en-US"/>
              </w:rPr>
              <w:t> </w:t>
            </w:r>
            <w:r w:rsidRPr="00CB28CC">
              <w:rPr>
                <w:rFonts w:ascii="Symbol" w:hAnsi="Symbol"/>
                <w:sz w:val="18"/>
                <w:szCs w:val="18"/>
                <w:lang w:val="en-US"/>
              </w:rPr>
              <w:t></w:t>
            </w:r>
            <w:r w:rsidRPr="00CB28CC">
              <w:rPr>
                <w:sz w:val="18"/>
                <w:szCs w:val="18"/>
                <w:lang w:val="en-US"/>
              </w:rPr>
              <w:t> 0.0063</w:t>
            </w:r>
          </w:p>
        </w:tc>
      </w:tr>
      <w:tr w:rsidR="00727D07" w:rsidRPr="00CB28CC" w:rsidTr="008E3C29">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400.15-401.00</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–161 dBW per</w:t>
            </w:r>
            <w:r w:rsidRPr="00CB28CC">
              <w:rPr>
                <w:sz w:val="18"/>
                <w:szCs w:val="18"/>
                <w:lang w:val="en-US"/>
              </w:rPr>
              <w:br/>
              <w:t>177.5 kHz</w:t>
            </w:r>
          </w:p>
        </w:tc>
        <w:tc>
          <w:tcPr>
            <w:tcW w:w="1984"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 xml:space="preserve">–163 dBW per </w:t>
            </w:r>
            <w:r w:rsidRPr="00CB28CC">
              <w:rPr>
                <w:sz w:val="18"/>
                <w:szCs w:val="18"/>
                <w:lang w:val="en-US"/>
              </w:rPr>
              <w:br/>
              <w:t>177.5 kHz</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–147 dBW per</w:t>
            </w:r>
            <w:r w:rsidRPr="00CB28CC">
              <w:rPr>
                <w:sz w:val="18"/>
                <w:szCs w:val="18"/>
                <w:lang w:val="en-US"/>
              </w:rPr>
              <w:br/>
              <w:t xml:space="preserve">177.5 kHz </w:t>
            </w:r>
            <w:r w:rsidRPr="00CB28CC">
              <w:rPr>
                <w:sz w:val="18"/>
                <w:szCs w:val="18"/>
                <w:lang w:val="en-US"/>
              </w:rPr>
              <w:br/>
            </w:r>
            <w:r w:rsidRPr="00CB28CC">
              <w:rPr>
                <w:i/>
                <w:iCs/>
                <w:sz w:val="18"/>
                <w:szCs w:val="18"/>
                <w:lang w:val="en-US"/>
              </w:rPr>
              <w:t>p</w:t>
            </w:r>
            <w:r w:rsidRPr="00CB28CC">
              <w:rPr>
                <w:sz w:val="18"/>
                <w:szCs w:val="18"/>
                <w:lang w:val="en-US"/>
              </w:rPr>
              <w:t> </w:t>
            </w:r>
            <w:r w:rsidRPr="00CB28CC">
              <w:rPr>
                <w:rFonts w:ascii="Symbol" w:hAnsi="Symbol"/>
                <w:sz w:val="18"/>
                <w:szCs w:val="18"/>
                <w:lang w:val="en-US"/>
              </w:rPr>
              <w:t></w:t>
            </w:r>
            <w:r w:rsidRPr="00CB28CC">
              <w:rPr>
                <w:sz w:val="18"/>
                <w:szCs w:val="18"/>
                <w:lang w:val="en-US"/>
              </w:rPr>
              <w:t> 0.0031</w:t>
            </w:r>
          </w:p>
        </w:tc>
        <w:tc>
          <w:tcPr>
            <w:tcW w:w="2126" w:type="dxa"/>
            <w:tcBorders>
              <w:top w:val="single" w:sz="6" w:space="0" w:color="auto"/>
              <w:left w:val="single" w:sz="6" w:space="0" w:color="auto"/>
              <w:bottom w:val="single" w:sz="6" w:space="0" w:color="auto"/>
              <w:right w:val="single" w:sz="4" w:space="0" w:color="auto"/>
            </w:tcBorders>
          </w:tcPr>
          <w:p w:rsidR="00727D07" w:rsidRPr="00CB28CC" w:rsidRDefault="00727D07" w:rsidP="008E3C29">
            <w:pPr>
              <w:pStyle w:val="Tabletext"/>
              <w:jc w:val="center"/>
              <w:rPr>
                <w:sz w:val="18"/>
                <w:szCs w:val="18"/>
                <w:lang w:val="en-US"/>
              </w:rPr>
            </w:pPr>
            <w:r w:rsidRPr="00CB28CC">
              <w:rPr>
                <w:sz w:val="18"/>
                <w:szCs w:val="18"/>
                <w:lang w:val="en-US"/>
              </w:rPr>
              <w:t>–147 dBW per</w:t>
            </w:r>
            <w:r w:rsidRPr="00CB28CC">
              <w:rPr>
                <w:sz w:val="18"/>
                <w:szCs w:val="18"/>
                <w:lang w:val="en-US"/>
              </w:rPr>
              <w:br/>
              <w:t xml:space="preserve">177.5 kHz </w:t>
            </w:r>
            <w:r w:rsidRPr="00CB28CC">
              <w:rPr>
                <w:sz w:val="18"/>
                <w:szCs w:val="18"/>
                <w:lang w:val="en-US"/>
              </w:rPr>
              <w:br/>
            </w:r>
            <w:r w:rsidRPr="00CB28CC">
              <w:rPr>
                <w:i/>
                <w:iCs/>
                <w:sz w:val="18"/>
                <w:szCs w:val="18"/>
                <w:lang w:val="en-US"/>
              </w:rPr>
              <w:t>p</w:t>
            </w:r>
            <w:r w:rsidRPr="00CB28CC">
              <w:rPr>
                <w:sz w:val="18"/>
                <w:szCs w:val="18"/>
                <w:lang w:val="en-US"/>
              </w:rPr>
              <w:t> </w:t>
            </w:r>
            <w:r w:rsidRPr="00CB28CC">
              <w:rPr>
                <w:rFonts w:ascii="Symbol" w:hAnsi="Symbol"/>
                <w:sz w:val="18"/>
                <w:szCs w:val="18"/>
                <w:lang w:val="en-US"/>
              </w:rPr>
              <w:t></w:t>
            </w:r>
            <w:r w:rsidRPr="00CB28CC">
              <w:rPr>
                <w:sz w:val="18"/>
                <w:szCs w:val="18"/>
                <w:lang w:val="en-US"/>
              </w:rPr>
              <w:t> 0.0063</w:t>
            </w:r>
          </w:p>
        </w:tc>
      </w:tr>
      <w:tr w:rsidR="00727D07" w:rsidRPr="00CB28CC" w:rsidTr="008E3C29">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r w:rsidRPr="00CB28CC">
              <w:rPr>
                <w:rFonts w:ascii="Tms Rmn" w:hAnsi="Tms Rmn"/>
                <w:b/>
                <w:sz w:val="18"/>
                <w:szCs w:val="18"/>
                <w:lang w:val="en-US"/>
              </w:rPr>
              <w:t> </w:t>
            </w:r>
            <w:r w:rsidRPr="00CB28CC">
              <w:rPr>
                <w:sz w:val="18"/>
                <w:szCs w:val="18"/>
                <w:lang w:val="en-US"/>
              </w:rPr>
              <w:t>698-1</w:t>
            </w:r>
            <w:r w:rsidRPr="00CB28CC">
              <w:rPr>
                <w:rFonts w:ascii="Tms Rmn" w:hAnsi="Tms Rmn"/>
                <w:b/>
                <w:sz w:val="18"/>
                <w:szCs w:val="18"/>
                <w:lang w:val="en-US"/>
              </w:rPr>
              <w:t> </w:t>
            </w:r>
            <w:smartTag w:uri="schemas.gmx.net/NetPhone" w:element="Rufnummer">
              <w:r w:rsidRPr="00CB28CC">
                <w:rPr>
                  <w:sz w:val="18"/>
                  <w:szCs w:val="18"/>
                  <w:lang w:val="en-US"/>
                </w:rPr>
                <w:t>700</w:t>
              </w:r>
            </w:smartTag>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w:t>
            </w:r>
            <w:r>
              <w:rPr>
                <w:sz w:val="18"/>
                <w:szCs w:val="18"/>
                <w:lang w:val="en-US"/>
              </w:rPr>
              <w:t xml:space="preserve">149 </w:t>
            </w:r>
            <w:r w:rsidRPr="00CB28CC">
              <w:rPr>
                <w:sz w:val="18"/>
                <w:szCs w:val="18"/>
                <w:lang w:val="en-US"/>
              </w:rPr>
              <w:t>dBW per</w:t>
            </w:r>
            <w:r w:rsidRPr="00CB28CC">
              <w:rPr>
                <w:sz w:val="18"/>
                <w:szCs w:val="18"/>
                <w:lang w:val="en-US"/>
              </w:rPr>
              <w:br/>
              <w:t>2</w:t>
            </w:r>
            <w:r w:rsidRPr="00CB28CC">
              <w:rPr>
                <w:rFonts w:ascii="Tms Rmn" w:hAnsi="Tms Rmn"/>
                <w:b/>
                <w:sz w:val="18"/>
                <w:szCs w:val="18"/>
                <w:lang w:val="en-US"/>
              </w:rPr>
              <w:t> </w:t>
            </w:r>
            <w:r w:rsidRPr="00CB28CC">
              <w:rPr>
                <w:sz w:val="18"/>
                <w:szCs w:val="18"/>
                <w:lang w:val="en-US"/>
              </w:rPr>
              <w:t>668 kHz</w:t>
            </w:r>
          </w:p>
        </w:tc>
        <w:tc>
          <w:tcPr>
            <w:tcW w:w="1984" w:type="dxa"/>
            <w:tcBorders>
              <w:top w:val="single" w:sz="6" w:space="0" w:color="auto"/>
              <w:left w:val="single" w:sz="6" w:space="0" w:color="auto"/>
              <w:bottom w:val="single" w:sz="6" w:space="0" w:color="auto"/>
              <w:right w:val="single" w:sz="6" w:space="0" w:color="auto"/>
            </w:tcBorders>
          </w:tcPr>
          <w:p w:rsidR="00727D07" w:rsidRPr="007D39A9" w:rsidRDefault="00727D07" w:rsidP="008E3C29">
            <w:pPr>
              <w:pStyle w:val="Tabletext"/>
              <w:jc w:val="center"/>
              <w:rPr>
                <w:sz w:val="18"/>
                <w:szCs w:val="18"/>
                <w:lang w:val="en-US"/>
              </w:rPr>
            </w:pPr>
            <w:r w:rsidRPr="00CB28CC">
              <w:rPr>
                <w:sz w:val="18"/>
                <w:szCs w:val="18"/>
                <w:lang w:val="en-US"/>
              </w:rPr>
              <w:t>–</w:t>
            </w:r>
            <w:r>
              <w:rPr>
                <w:sz w:val="18"/>
                <w:szCs w:val="18"/>
                <w:lang w:val="en-US"/>
              </w:rPr>
              <w:t xml:space="preserve">149 </w:t>
            </w:r>
            <w:r w:rsidRPr="00CB28CC">
              <w:rPr>
                <w:sz w:val="18"/>
                <w:szCs w:val="18"/>
                <w:lang w:val="en-US"/>
              </w:rPr>
              <w:t>dBW per</w:t>
            </w:r>
            <w:r w:rsidRPr="00CB28CC">
              <w:rPr>
                <w:sz w:val="18"/>
                <w:szCs w:val="18"/>
                <w:lang w:val="en-US"/>
              </w:rPr>
              <w:br/>
              <w:t>2</w:t>
            </w:r>
            <w:r w:rsidRPr="00CB28CC">
              <w:rPr>
                <w:rFonts w:ascii="Tms Rmn" w:hAnsi="Tms Rmn"/>
                <w:b/>
                <w:sz w:val="18"/>
                <w:szCs w:val="18"/>
                <w:lang w:val="en-US"/>
              </w:rPr>
              <w:t> </w:t>
            </w:r>
            <w:r w:rsidRPr="00CB28CC">
              <w:rPr>
                <w:sz w:val="18"/>
                <w:szCs w:val="18"/>
                <w:lang w:val="en-US"/>
              </w:rPr>
              <w:t>668 kHz</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–138 dBW per</w:t>
            </w:r>
            <w:r w:rsidRPr="00CB28CC">
              <w:rPr>
                <w:sz w:val="18"/>
                <w:szCs w:val="18"/>
                <w:lang w:val="en-US"/>
              </w:rPr>
              <w:br/>
              <w:t>2</w:t>
            </w:r>
            <w:r w:rsidRPr="00CB28CC">
              <w:rPr>
                <w:rFonts w:ascii="Tms Rmn" w:hAnsi="Tms Rmn"/>
                <w:b/>
                <w:sz w:val="18"/>
                <w:szCs w:val="18"/>
                <w:lang w:val="en-US"/>
              </w:rPr>
              <w:t> </w:t>
            </w:r>
            <w:r w:rsidRPr="00CB28CC">
              <w:rPr>
                <w:sz w:val="18"/>
                <w:szCs w:val="18"/>
                <w:lang w:val="en-US"/>
              </w:rPr>
              <w:t xml:space="preserve">668 kHz </w:t>
            </w:r>
            <w:r w:rsidRPr="00CB28CC">
              <w:rPr>
                <w:i/>
                <w:sz w:val="18"/>
                <w:szCs w:val="18"/>
                <w:lang w:val="en-US"/>
              </w:rPr>
              <w:t>p</w:t>
            </w:r>
            <w:r w:rsidRPr="00CB28CC">
              <w:rPr>
                <w:sz w:val="18"/>
                <w:szCs w:val="18"/>
                <w:lang w:val="en-US"/>
              </w:rPr>
              <w:t> </w:t>
            </w:r>
            <w:r w:rsidRPr="00CB28CC">
              <w:rPr>
                <w:rFonts w:ascii="Symbol" w:hAnsi="Symbol"/>
                <w:sz w:val="18"/>
                <w:szCs w:val="18"/>
                <w:lang w:val="en-US"/>
              </w:rPr>
              <w:t></w:t>
            </w:r>
            <w:r w:rsidRPr="00CB28CC">
              <w:rPr>
                <w:sz w:val="18"/>
                <w:szCs w:val="18"/>
                <w:lang w:val="en-US"/>
              </w:rPr>
              <w:t> 0.0050</w:t>
            </w:r>
          </w:p>
        </w:tc>
        <w:tc>
          <w:tcPr>
            <w:tcW w:w="2126" w:type="dxa"/>
            <w:tcBorders>
              <w:top w:val="single" w:sz="6" w:space="0" w:color="auto"/>
              <w:left w:val="single" w:sz="6" w:space="0" w:color="auto"/>
              <w:bottom w:val="single" w:sz="6" w:space="0" w:color="auto"/>
              <w:right w:val="single" w:sz="4" w:space="0" w:color="auto"/>
            </w:tcBorders>
          </w:tcPr>
          <w:p w:rsidR="00727D07" w:rsidRPr="00CB28CC" w:rsidRDefault="00727D07" w:rsidP="008E3C29">
            <w:pPr>
              <w:pStyle w:val="Tabletext"/>
              <w:jc w:val="center"/>
              <w:rPr>
                <w:sz w:val="18"/>
                <w:szCs w:val="18"/>
                <w:lang w:val="en-US"/>
              </w:rPr>
            </w:pPr>
            <w:r w:rsidRPr="00CB28CC">
              <w:rPr>
                <w:sz w:val="18"/>
                <w:szCs w:val="18"/>
                <w:lang w:val="en-US"/>
              </w:rPr>
              <w:t>–138 dBW per</w:t>
            </w:r>
            <w:r w:rsidRPr="00CB28CC">
              <w:rPr>
                <w:sz w:val="18"/>
                <w:szCs w:val="18"/>
                <w:lang w:val="en-US"/>
              </w:rPr>
              <w:br/>
              <w:t>2</w:t>
            </w:r>
            <w:r w:rsidRPr="00CB28CC">
              <w:rPr>
                <w:rFonts w:ascii="Tms Rmn" w:hAnsi="Tms Rmn"/>
                <w:b/>
                <w:sz w:val="18"/>
                <w:szCs w:val="18"/>
                <w:lang w:val="en-US"/>
              </w:rPr>
              <w:t> </w:t>
            </w:r>
            <w:r w:rsidRPr="00CB28CC">
              <w:rPr>
                <w:sz w:val="18"/>
                <w:szCs w:val="18"/>
                <w:lang w:val="en-US"/>
              </w:rPr>
              <w:t xml:space="preserve">668 kHz </w:t>
            </w:r>
            <w:r w:rsidRPr="00CB28CC">
              <w:rPr>
                <w:i/>
                <w:sz w:val="18"/>
                <w:szCs w:val="18"/>
                <w:lang w:val="en-US"/>
              </w:rPr>
              <w:t>p</w:t>
            </w:r>
            <w:r w:rsidRPr="00CB28CC">
              <w:rPr>
                <w:sz w:val="18"/>
                <w:szCs w:val="18"/>
                <w:lang w:val="en-US"/>
              </w:rPr>
              <w:t> </w:t>
            </w:r>
            <w:r w:rsidRPr="00CB28CC">
              <w:rPr>
                <w:rFonts w:ascii="Symbol" w:hAnsi="Symbol"/>
                <w:sz w:val="18"/>
                <w:szCs w:val="18"/>
                <w:lang w:val="en-US"/>
              </w:rPr>
              <w:t></w:t>
            </w:r>
            <w:r w:rsidRPr="00CB28CC">
              <w:rPr>
                <w:sz w:val="18"/>
                <w:szCs w:val="18"/>
                <w:lang w:val="en-US"/>
              </w:rPr>
              <w:t> 0.0025</w:t>
            </w:r>
          </w:p>
        </w:tc>
      </w:tr>
      <w:tr w:rsidR="00727D07" w:rsidRPr="00CB28CC" w:rsidTr="008E3C29">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r w:rsidRPr="00CB28CC">
              <w:rPr>
                <w:rFonts w:ascii="Tms Rmn" w:hAnsi="Tms Rmn"/>
                <w:b/>
                <w:sz w:val="18"/>
                <w:szCs w:val="18"/>
                <w:lang w:val="en-US"/>
              </w:rPr>
              <w:t> </w:t>
            </w:r>
            <w:r w:rsidRPr="00CB28CC">
              <w:rPr>
                <w:sz w:val="18"/>
                <w:szCs w:val="18"/>
                <w:lang w:val="en-US"/>
              </w:rPr>
              <w:t>700-1</w:t>
            </w:r>
            <w:r w:rsidRPr="00CB28CC">
              <w:rPr>
                <w:rFonts w:ascii="Tms Rmn" w:hAnsi="Tms Rmn"/>
                <w:b/>
                <w:sz w:val="18"/>
                <w:szCs w:val="18"/>
                <w:lang w:val="en-US"/>
              </w:rPr>
              <w:t> </w:t>
            </w:r>
            <w:r w:rsidRPr="00CB28CC">
              <w:rPr>
                <w:sz w:val="18"/>
                <w:szCs w:val="18"/>
                <w:lang w:val="en-US"/>
              </w:rPr>
              <w:t>710</w:t>
            </w:r>
          </w:p>
        </w:tc>
        <w:tc>
          <w:tcPr>
            <w:tcW w:w="1985" w:type="dxa"/>
            <w:tcBorders>
              <w:top w:val="single" w:sz="6" w:space="0" w:color="auto"/>
              <w:left w:val="single" w:sz="6" w:space="0" w:color="auto"/>
              <w:bottom w:val="single" w:sz="6" w:space="0" w:color="auto"/>
              <w:right w:val="single" w:sz="6" w:space="0" w:color="auto"/>
            </w:tcBorders>
          </w:tcPr>
          <w:p w:rsidR="00727D07" w:rsidRPr="00CB28CC" w:rsidDel="003C3BF0" w:rsidRDefault="00727D07" w:rsidP="008E3C29">
            <w:pPr>
              <w:pStyle w:val="Tabletext"/>
              <w:jc w:val="center"/>
              <w:rPr>
                <w:sz w:val="18"/>
                <w:szCs w:val="18"/>
                <w:lang w:val="en-US"/>
              </w:rPr>
            </w:pPr>
            <w:r>
              <w:rPr>
                <w:sz w:val="18"/>
                <w:szCs w:val="18"/>
                <w:lang w:val="en-US"/>
              </w:rPr>
              <w:t>–156</w:t>
            </w:r>
            <w:r w:rsidRPr="00CB28CC">
              <w:rPr>
                <w:sz w:val="18"/>
                <w:szCs w:val="18"/>
                <w:lang w:val="en-US"/>
              </w:rPr>
              <w:t xml:space="preserve"> dBW per</w:t>
            </w:r>
            <w:r w:rsidRPr="00CB28CC">
              <w:rPr>
                <w:sz w:val="18"/>
                <w:szCs w:val="18"/>
                <w:lang w:val="en-US"/>
              </w:rPr>
              <w:br/>
              <w:t>2</w:t>
            </w:r>
            <w:r w:rsidRPr="00CB28CC">
              <w:rPr>
                <w:rFonts w:ascii="Tms Rmn" w:hAnsi="Tms Rmn"/>
                <w:b/>
                <w:sz w:val="18"/>
                <w:szCs w:val="18"/>
                <w:lang w:val="en-US"/>
              </w:rPr>
              <w:t> </w:t>
            </w:r>
            <w:r w:rsidRPr="00CB28CC">
              <w:rPr>
                <w:sz w:val="18"/>
                <w:szCs w:val="18"/>
                <w:lang w:val="en-US"/>
              </w:rPr>
              <w:t>668 kHz</w:t>
            </w:r>
          </w:p>
        </w:tc>
        <w:tc>
          <w:tcPr>
            <w:tcW w:w="1984" w:type="dxa"/>
            <w:tcBorders>
              <w:top w:val="single" w:sz="6" w:space="0" w:color="auto"/>
              <w:left w:val="single" w:sz="6" w:space="0" w:color="auto"/>
              <w:bottom w:val="single" w:sz="6" w:space="0" w:color="auto"/>
              <w:right w:val="single" w:sz="6" w:space="0" w:color="auto"/>
            </w:tcBorders>
          </w:tcPr>
          <w:p w:rsidR="00727D07" w:rsidRPr="00CB28CC" w:rsidDel="003C3BF0" w:rsidRDefault="00727D07" w:rsidP="008E3C29">
            <w:pPr>
              <w:pStyle w:val="Tabletext"/>
              <w:jc w:val="center"/>
              <w:rPr>
                <w:sz w:val="18"/>
                <w:szCs w:val="18"/>
                <w:lang w:val="en-US"/>
              </w:rPr>
            </w:pPr>
            <w:r>
              <w:rPr>
                <w:sz w:val="18"/>
                <w:szCs w:val="18"/>
                <w:lang w:val="en-US"/>
              </w:rPr>
              <w:t>–150</w:t>
            </w:r>
            <w:r w:rsidRPr="00CB28CC">
              <w:rPr>
                <w:sz w:val="18"/>
                <w:szCs w:val="18"/>
                <w:lang w:val="en-US"/>
              </w:rPr>
              <w:t xml:space="preserve"> dBW per</w:t>
            </w:r>
            <w:r w:rsidRPr="00CB28CC">
              <w:rPr>
                <w:sz w:val="18"/>
                <w:szCs w:val="18"/>
                <w:lang w:val="en-US"/>
              </w:rPr>
              <w:br/>
              <w:t>2</w:t>
            </w:r>
            <w:r w:rsidRPr="00CB28CC">
              <w:rPr>
                <w:rFonts w:ascii="Tms Rmn" w:hAnsi="Tms Rmn"/>
                <w:b/>
                <w:sz w:val="18"/>
                <w:szCs w:val="18"/>
                <w:lang w:val="en-US"/>
              </w:rPr>
              <w:t> </w:t>
            </w:r>
            <w:r w:rsidRPr="00CB28CC">
              <w:rPr>
                <w:sz w:val="18"/>
                <w:szCs w:val="18"/>
                <w:lang w:val="en-US"/>
              </w:rPr>
              <w:t>668 kHz</w:t>
            </w:r>
          </w:p>
        </w:tc>
        <w:tc>
          <w:tcPr>
            <w:tcW w:w="1985" w:type="dxa"/>
            <w:tcBorders>
              <w:top w:val="single" w:sz="6" w:space="0" w:color="auto"/>
              <w:left w:val="single" w:sz="6" w:space="0" w:color="auto"/>
              <w:bottom w:val="single" w:sz="6" w:space="0" w:color="auto"/>
              <w:right w:val="single" w:sz="6" w:space="0" w:color="auto"/>
            </w:tcBorders>
          </w:tcPr>
          <w:p w:rsidR="00727D07" w:rsidRPr="00CB28CC" w:rsidDel="003C3BF0" w:rsidRDefault="00727D07" w:rsidP="008E3C29">
            <w:pPr>
              <w:pStyle w:val="Tabletext"/>
              <w:jc w:val="center"/>
              <w:rPr>
                <w:sz w:val="18"/>
                <w:szCs w:val="18"/>
                <w:lang w:val="en-US"/>
              </w:rPr>
            </w:pPr>
            <w:r w:rsidRPr="00CB28CC">
              <w:rPr>
                <w:sz w:val="18"/>
                <w:szCs w:val="18"/>
                <w:lang w:val="en-US"/>
              </w:rPr>
              <w:t>–139 dBW per</w:t>
            </w:r>
            <w:r w:rsidRPr="00CB28CC">
              <w:rPr>
                <w:sz w:val="18"/>
                <w:szCs w:val="18"/>
                <w:lang w:val="en-US"/>
              </w:rPr>
              <w:br/>
              <w:t>2</w:t>
            </w:r>
            <w:r w:rsidRPr="00CB28CC">
              <w:rPr>
                <w:rFonts w:ascii="Tms Rmn" w:hAnsi="Tms Rmn"/>
                <w:b/>
                <w:sz w:val="18"/>
                <w:szCs w:val="18"/>
                <w:lang w:val="en-US"/>
              </w:rPr>
              <w:t> </w:t>
            </w:r>
            <w:r w:rsidRPr="00CB28CC">
              <w:rPr>
                <w:sz w:val="18"/>
                <w:szCs w:val="18"/>
                <w:lang w:val="en-US"/>
              </w:rPr>
              <w:t xml:space="preserve">668 kHz </w:t>
            </w:r>
            <w:r w:rsidRPr="00CB28CC">
              <w:rPr>
                <w:sz w:val="18"/>
                <w:szCs w:val="18"/>
                <w:lang w:val="en-US"/>
              </w:rPr>
              <w:br/>
            </w:r>
            <w:r w:rsidRPr="00CB28CC">
              <w:rPr>
                <w:i/>
                <w:sz w:val="18"/>
                <w:szCs w:val="18"/>
                <w:lang w:val="en-US"/>
              </w:rPr>
              <w:t>p</w:t>
            </w:r>
            <w:r w:rsidRPr="00CB28CC">
              <w:rPr>
                <w:sz w:val="18"/>
                <w:szCs w:val="18"/>
                <w:lang w:val="en-US"/>
              </w:rPr>
              <w:t> </w:t>
            </w:r>
            <w:r w:rsidRPr="00CB28CC">
              <w:rPr>
                <w:rFonts w:ascii="Symbol" w:hAnsi="Symbol"/>
                <w:sz w:val="18"/>
                <w:szCs w:val="18"/>
                <w:lang w:val="en-US"/>
              </w:rPr>
              <w:t></w:t>
            </w:r>
            <w:r w:rsidRPr="00CB28CC">
              <w:rPr>
                <w:sz w:val="18"/>
                <w:szCs w:val="18"/>
                <w:lang w:val="en-US"/>
              </w:rPr>
              <w:t> 0.0016</w:t>
            </w:r>
          </w:p>
        </w:tc>
        <w:tc>
          <w:tcPr>
            <w:tcW w:w="2126" w:type="dxa"/>
            <w:tcBorders>
              <w:top w:val="single" w:sz="6" w:space="0" w:color="auto"/>
              <w:left w:val="single" w:sz="6" w:space="0" w:color="auto"/>
              <w:bottom w:val="single" w:sz="6" w:space="0" w:color="auto"/>
              <w:right w:val="single" w:sz="4" w:space="0" w:color="auto"/>
            </w:tcBorders>
          </w:tcPr>
          <w:p w:rsidR="00727D07" w:rsidRPr="00CB28CC" w:rsidDel="003C3BF0" w:rsidRDefault="00727D07" w:rsidP="008E3C29">
            <w:pPr>
              <w:pStyle w:val="Tabletext"/>
              <w:jc w:val="center"/>
              <w:rPr>
                <w:sz w:val="18"/>
                <w:szCs w:val="18"/>
                <w:lang w:val="en-US"/>
              </w:rPr>
            </w:pPr>
            <w:r w:rsidRPr="00CB28CC">
              <w:rPr>
                <w:sz w:val="18"/>
                <w:szCs w:val="18"/>
                <w:lang w:val="en-US"/>
              </w:rPr>
              <w:t>–138 dBW per</w:t>
            </w:r>
            <w:r w:rsidRPr="00CB28CC">
              <w:rPr>
                <w:sz w:val="18"/>
                <w:szCs w:val="18"/>
                <w:lang w:val="en-US"/>
              </w:rPr>
              <w:br/>
              <w:t>2</w:t>
            </w:r>
            <w:r w:rsidRPr="00CB28CC">
              <w:rPr>
                <w:rFonts w:ascii="Tms Rmn" w:hAnsi="Tms Rmn"/>
                <w:b/>
                <w:sz w:val="18"/>
                <w:szCs w:val="18"/>
                <w:lang w:val="en-US"/>
              </w:rPr>
              <w:t> </w:t>
            </w:r>
            <w:r w:rsidRPr="00CB28CC">
              <w:rPr>
                <w:sz w:val="18"/>
                <w:szCs w:val="18"/>
                <w:lang w:val="en-US"/>
              </w:rPr>
              <w:t xml:space="preserve">668 kHz  </w:t>
            </w:r>
            <w:r w:rsidRPr="00CB28CC">
              <w:rPr>
                <w:sz w:val="18"/>
                <w:szCs w:val="18"/>
                <w:lang w:val="en-US"/>
              </w:rPr>
              <w:br/>
            </w:r>
            <w:r w:rsidRPr="00CB28CC">
              <w:rPr>
                <w:i/>
                <w:sz w:val="18"/>
                <w:szCs w:val="18"/>
                <w:lang w:val="en-US"/>
              </w:rPr>
              <w:t>p</w:t>
            </w:r>
            <w:r w:rsidRPr="00CB28CC">
              <w:rPr>
                <w:sz w:val="18"/>
                <w:szCs w:val="18"/>
                <w:lang w:val="en-US"/>
              </w:rPr>
              <w:t> </w:t>
            </w:r>
            <w:r w:rsidRPr="00CB28CC">
              <w:rPr>
                <w:rFonts w:ascii="Symbol" w:hAnsi="Symbol"/>
                <w:sz w:val="18"/>
                <w:szCs w:val="18"/>
                <w:lang w:val="en-US"/>
              </w:rPr>
              <w:t></w:t>
            </w:r>
            <w:r w:rsidRPr="00CB28CC">
              <w:rPr>
                <w:sz w:val="18"/>
                <w:szCs w:val="18"/>
                <w:lang w:val="en-US"/>
              </w:rPr>
              <w:t> 0.0094</w:t>
            </w:r>
          </w:p>
        </w:tc>
      </w:tr>
      <w:tr w:rsidR="00727D07" w:rsidRPr="00CB28CC" w:rsidTr="008E3C29">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9B5625">
              <w:rPr>
                <w:sz w:val="18"/>
                <w:szCs w:val="18"/>
                <w:lang w:val="en-US"/>
              </w:rPr>
              <w:t>7</w:t>
            </w:r>
            <w:r w:rsidRPr="009B5625">
              <w:rPr>
                <w:rFonts w:ascii="Tms Rmn" w:hAnsi="Tms Rmn"/>
                <w:b/>
                <w:sz w:val="18"/>
                <w:szCs w:val="18"/>
                <w:lang w:val="en-US"/>
              </w:rPr>
              <w:t> </w:t>
            </w:r>
            <w:r w:rsidRPr="009B5625">
              <w:rPr>
                <w:sz w:val="18"/>
                <w:szCs w:val="18"/>
                <w:lang w:val="en-US"/>
              </w:rPr>
              <w:t>750-7 900</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–151 dBW per</w:t>
            </w:r>
            <w:r w:rsidRPr="00CB28CC">
              <w:rPr>
                <w:sz w:val="18"/>
                <w:szCs w:val="18"/>
                <w:lang w:val="en-US"/>
              </w:rPr>
              <w:br/>
              <w:t>10 MHz</w:t>
            </w:r>
          </w:p>
        </w:tc>
        <w:tc>
          <w:tcPr>
            <w:tcW w:w="1984"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–148 dBW per</w:t>
            </w:r>
            <w:r w:rsidRPr="00CB28CC">
              <w:rPr>
                <w:sz w:val="18"/>
                <w:szCs w:val="18"/>
                <w:lang w:val="en-US"/>
              </w:rPr>
              <w:br/>
              <w:t>10 MHz</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–127 dBW per</w:t>
            </w:r>
            <w:r w:rsidRPr="00CB28CC">
              <w:rPr>
                <w:sz w:val="18"/>
                <w:szCs w:val="18"/>
                <w:lang w:val="en-US"/>
              </w:rPr>
              <w:br/>
              <w:t xml:space="preserve">10 MHz </w:t>
            </w:r>
            <w:r w:rsidRPr="00CB28CC">
              <w:rPr>
                <w:sz w:val="18"/>
                <w:szCs w:val="18"/>
                <w:lang w:val="en-US"/>
              </w:rPr>
              <w:br/>
            </w:r>
            <w:r w:rsidRPr="00CB28CC">
              <w:rPr>
                <w:i/>
                <w:sz w:val="18"/>
                <w:szCs w:val="18"/>
                <w:lang w:val="en-US"/>
              </w:rPr>
              <w:t>p </w:t>
            </w:r>
            <w:r w:rsidRPr="00CB28CC">
              <w:rPr>
                <w:rFonts w:ascii="Symbol" w:hAnsi="Symbol"/>
                <w:sz w:val="18"/>
                <w:szCs w:val="18"/>
                <w:lang w:val="en-US"/>
              </w:rPr>
              <w:t></w:t>
            </w:r>
            <w:r w:rsidRPr="00CB28CC">
              <w:rPr>
                <w:sz w:val="18"/>
                <w:szCs w:val="18"/>
                <w:lang w:val="en-US"/>
              </w:rPr>
              <w:t> 0.0047</w:t>
            </w:r>
          </w:p>
        </w:tc>
        <w:tc>
          <w:tcPr>
            <w:tcW w:w="2126" w:type="dxa"/>
            <w:tcBorders>
              <w:top w:val="single" w:sz="6" w:space="0" w:color="auto"/>
              <w:left w:val="single" w:sz="6" w:space="0" w:color="auto"/>
              <w:bottom w:val="single" w:sz="6" w:space="0" w:color="auto"/>
              <w:right w:val="single" w:sz="4" w:space="0" w:color="auto"/>
            </w:tcBorders>
          </w:tcPr>
          <w:p w:rsidR="00727D07" w:rsidRPr="00CB28CC" w:rsidRDefault="00727D07" w:rsidP="008E3C29">
            <w:pPr>
              <w:pStyle w:val="Tabletext"/>
              <w:jc w:val="center"/>
              <w:rPr>
                <w:sz w:val="18"/>
                <w:szCs w:val="18"/>
                <w:lang w:val="en-US"/>
              </w:rPr>
            </w:pPr>
            <w:r w:rsidRPr="00CB28CC">
              <w:rPr>
                <w:sz w:val="18"/>
                <w:szCs w:val="18"/>
                <w:lang w:val="en-US"/>
              </w:rPr>
              <w:t>–127 dBW per</w:t>
            </w:r>
            <w:r w:rsidRPr="00CB28CC">
              <w:rPr>
                <w:sz w:val="18"/>
                <w:szCs w:val="18"/>
                <w:lang w:val="en-US"/>
              </w:rPr>
              <w:br/>
              <w:t xml:space="preserve">10 MHz </w:t>
            </w:r>
            <w:r w:rsidRPr="00CB28CC">
              <w:rPr>
                <w:sz w:val="18"/>
                <w:szCs w:val="18"/>
                <w:lang w:val="en-US"/>
              </w:rPr>
              <w:br/>
            </w:r>
            <w:r w:rsidRPr="00CB28CC">
              <w:rPr>
                <w:i/>
                <w:sz w:val="18"/>
                <w:szCs w:val="18"/>
                <w:lang w:val="en-US"/>
              </w:rPr>
              <w:t>p </w:t>
            </w:r>
            <w:r w:rsidRPr="00CB28CC">
              <w:rPr>
                <w:rFonts w:ascii="Symbol" w:hAnsi="Symbol"/>
                <w:sz w:val="18"/>
                <w:szCs w:val="18"/>
                <w:lang w:val="en-US"/>
              </w:rPr>
              <w:t></w:t>
            </w:r>
            <w:r w:rsidRPr="00CB28CC">
              <w:rPr>
                <w:sz w:val="18"/>
                <w:szCs w:val="18"/>
                <w:lang w:val="en-US"/>
              </w:rPr>
              <w:t> 0.0016</w:t>
            </w:r>
          </w:p>
        </w:tc>
      </w:tr>
      <w:tr w:rsidR="00727D07" w:rsidRPr="00CB28CC" w:rsidTr="008E3C29">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8</w:t>
            </w:r>
            <w:r w:rsidRPr="00CB28CC">
              <w:rPr>
                <w:rFonts w:ascii="Tms Rmn" w:hAnsi="Tms Rmn"/>
                <w:b/>
                <w:sz w:val="18"/>
                <w:szCs w:val="18"/>
                <w:lang w:val="en-US"/>
              </w:rPr>
              <w:t> </w:t>
            </w:r>
            <w:r w:rsidRPr="00CB28CC">
              <w:rPr>
                <w:sz w:val="18"/>
                <w:szCs w:val="18"/>
                <w:lang w:val="en-US"/>
              </w:rPr>
              <w:t>025-8</w:t>
            </w:r>
            <w:r w:rsidRPr="00CB28CC">
              <w:rPr>
                <w:rFonts w:ascii="Tms Rmn" w:hAnsi="Tms Rmn"/>
                <w:b/>
                <w:sz w:val="18"/>
                <w:szCs w:val="18"/>
                <w:lang w:val="en-US"/>
              </w:rPr>
              <w:t> </w:t>
            </w:r>
            <w:r w:rsidRPr="00CB28CC">
              <w:rPr>
                <w:sz w:val="18"/>
                <w:szCs w:val="18"/>
                <w:lang w:val="en-US"/>
              </w:rPr>
              <w:t>400</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–167 dBW per</w:t>
            </w:r>
            <w:r w:rsidRPr="00CB28CC">
              <w:rPr>
                <w:sz w:val="18"/>
                <w:szCs w:val="18"/>
                <w:lang w:val="en-US"/>
              </w:rPr>
              <w:br/>
              <w:t>10 MHz</w:t>
            </w:r>
          </w:p>
        </w:tc>
        <w:tc>
          <w:tcPr>
            <w:tcW w:w="1984"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–150 dBW per</w:t>
            </w:r>
            <w:r w:rsidRPr="00CB28CC">
              <w:rPr>
                <w:sz w:val="18"/>
                <w:szCs w:val="18"/>
                <w:lang w:val="en-US"/>
              </w:rPr>
              <w:br/>
              <w:t>10 MHz</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sidRPr="00CB28CC">
              <w:rPr>
                <w:sz w:val="18"/>
                <w:szCs w:val="18"/>
                <w:lang w:val="en-US"/>
              </w:rPr>
              <w:t>–133 dBW per</w:t>
            </w:r>
            <w:r w:rsidRPr="00CB28CC">
              <w:rPr>
                <w:sz w:val="18"/>
                <w:szCs w:val="18"/>
                <w:lang w:val="en-US"/>
              </w:rPr>
              <w:br/>
              <w:t xml:space="preserve">10 MHz </w:t>
            </w:r>
            <w:r w:rsidRPr="00CB28CC">
              <w:rPr>
                <w:sz w:val="18"/>
                <w:szCs w:val="18"/>
                <w:lang w:val="en-US"/>
              </w:rPr>
              <w:br/>
            </w:r>
            <w:r w:rsidRPr="00CB28CC">
              <w:rPr>
                <w:i/>
                <w:sz w:val="18"/>
                <w:szCs w:val="18"/>
                <w:lang w:val="en-US"/>
              </w:rPr>
              <w:t>p </w:t>
            </w:r>
            <w:r w:rsidRPr="00CB28CC">
              <w:rPr>
                <w:rFonts w:ascii="Symbol" w:hAnsi="Symbol"/>
                <w:sz w:val="18"/>
                <w:szCs w:val="18"/>
                <w:lang w:val="en-US"/>
              </w:rPr>
              <w:t></w:t>
            </w:r>
            <w:r w:rsidRPr="00CB28CC">
              <w:rPr>
                <w:sz w:val="18"/>
                <w:szCs w:val="18"/>
                <w:lang w:val="en-US"/>
              </w:rPr>
              <w:t> 0.0025</w:t>
            </w:r>
          </w:p>
        </w:tc>
        <w:tc>
          <w:tcPr>
            <w:tcW w:w="2126" w:type="dxa"/>
            <w:tcBorders>
              <w:top w:val="single" w:sz="6" w:space="0" w:color="auto"/>
              <w:left w:val="single" w:sz="6" w:space="0" w:color="auto"/>
              <w:bottom w:val="single" w:sz="6" w:space="0" w:color="auto"/>
              <w:right w:val="single" w:sz="4" w:space="0" w:color="auto"/>
            </w:tcBorders>
          </w:tcPr>
          <w:p w:rsidR="00727D07" w:rsidRPr="00CB28CC" w:rsidRDefault="00727D07" w:rsidP="008E3C29">
            <w:pPr>
              <w:pStyle w:val="Tabletext"/>
              <w:jc w:val="center"/>
              <w:rPr>
                <w:sz w:val="18"/>
                <w:szCs w:val="18"/>
                <w:lang w:val="en-US"/>
              </w:rPr>
            </w:pPr>
            <w:r w:rsidRPr="00CB28CC">
              <w:rPr>
                <w:sz w:val="18"/>
                <w:szCs w:val="18"/>
                <w:lang w:val="en-US"/>
              </w:rPr>
              <w:t>–133 dBW per</w:t>
            </w:r>
            <w:r w:rsidRPr="00CB28CC">
              <w:rPr>
                <w:sz w:val="18"/>
                <w:szCs w:val="18"/>
                <w:lang w:val="en-US"/>
              </w:rPr>
              <w:br/>
              <w:t xml:space="preserve">10 MHz </w:t>
            </w:r>
            <w:r w:rsidRPr="00CB28CC">
              <w:rPr>
                <w:sz w:val="18"/>
                <w:szCs w:val="18"/>
                <w:lang w:val="en-US"/>
              </w:rPr>
              <w:br/>
            </w:r>
            <w:r w:rsidRPr="00CB28CC">
              <w:rPr>
                <w:i/>
                <w:sz w:val="18"/>
                <w:szCs w:val="18"/>
                <w:lang w:val="en-US"/>
              </w:rPr>
              <w:t>p </w:t>
            </w:r>
            <w:r w:rsidRPr="00CB28CC">
              <w:rPr>
                <w:rFonts w:ascii="Symbol" w:hAnsi="Symbol"/>
                <w:sz w:val="18"/>
                <w:szCs w:val="18"/>
                <w:lang w:val="en-US"/>
              </w:rPr>
              <w:t></w:t>
            </w:r>
            <w:r w:rsidRPr="00CB28CC">
              <w:rPr>
                <w:sz w:val="18"/>
                <w:szCs w:val="18"/>
                <w:lang w:val="en-US"/>
              </w:rPr>
              <w:t> 0.0050</w:t>
            </w:r>
          </w:p>
        </w:tc>
      </w:tr>
      <w:tr w:rsidR="00727D07" w:rsidRPr="00CB28CC" w:rsidTr="008E3C29">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25.5-27.0</w:t>
            </w:r>
          </w:p>
        </w:tc>
        <w:tc>
          <w:tcPr>
            <w:tcW w:w="1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text"/>
              <w:jc w:val="center"/>
              <w:rPr>
                <w:sz w:val="18"/>
                <w:szCs w:val="18"/>
                <w:lang w:val="en-US"/>
              </w:rPr>
            </w:pPr>
            <w:r>
              <w:rPr>
                <w:sz w:val="18"/>
                <w:szCs w:val="18"/>
                <w:lang w:val="en-US"/>
              </w:rPr>
              <w:t xml:space="preserve">–160 </w:t>
            </w:r>
            <w:r w:rsidRPr="00A67B92">
              <w:rPr>
                <w:sz w:val="18"/>
                <w:szCs w:val="18"/>
                <w:lang w:val="en-US"/>
              </w:rPr>
              <w:t>dBW per</w:t>
            </w:r>
            <w:r w:rsidRPr="00A67B92">
              <w:rPr>
                <w:sz w:val="18"/>
                <w:szCs w:val="18"/>
                <w:lang w:val="en-US"/>
              </w:rPr>
              <w:br/>
              <w:t>10 MHz</w:t>
            </w:r>
          </w:p>
        </w:tc>
        <w:tc>
          <w:tcPr>
            <w:tcW w:w="1984" w:type="dxa"/>
            <w:tcBorders>
              <w:top w:val="single" w:sz="6" w:space="0" w:color="auto"/>
              <w:left w:val="single" w:sz="6" w:space="0" w:color="auto"/>
              <w:bottom w:val="single" w:sz="6" w:space="0" w:color="auto"/>
              <w:right w:val="single" w:sz="6" w:space="0" w:color="auto"/>
            </w:tcBorders>
          </w:tcPr>
          <w:p w:rsidR="00727D07" w:rsidRPr="00A67B92" w:rsidRDefault="00727D07" w:rsidP="008E3C29">
            <w:pPr>
              <w:pStyle w:val="Tabletext"/>
              <w:jc w:val="center"/>
              <w:rPr>
                <w:sz w:val="18"/>
                <w:szCs w:val="18"/>
                <w:lang w:val="en-US"/>
              </w:rPr>
            </w:pPr>
            <w:r>
              <w:rPr>
                <w:sz w:val="18"/>
                <w:szCs w:val="18"/>
                <w:lang w:val="en-US"/>
              </w:rPr>
              <w:t xml:space="preserve">–143 </w:t>
            </w:r>
            <w:r w:rsidRPr="00CB28CC">
              <w:rPr>
                <w:sz w:val="18"/>
                <w:szCs w:val="18"/>
                <w:lang w:val="en-US"/>
              </w:rPr>
              <w:t>dBW per</w:t>
            </w:r>
            <w:r w:rsidRPr="00CB28CC">
              <w:rPr>
                <w:sz w:val="18"/>
                <w:szCs w:val="18"/>
                <w:lang w:val="en-US"/>
              </w:rPr>
              <w:br/>
              <w:t>10 MHz</w:t>
            </w:r>
          </w:p>
        </w:tc>
        <w:tc>
          <w:tcPr>
            <w:tcW w:w="1985" w:type="dxa"/>
            <w:tcBorders>
              <w:top w:val="single" w:sz="6" w:space="0" w:color="auto"/>
              <w:left w:val="single" w:sz="6" w:space="0" w:color="auto"/>
              <w:bottom w:val="single" w:sz="6" w:space="0" w:color="auto"/>
              <w:right w:val="single" w:sz="6" w:space="0" w:color="auto"/>
            </w:tcBorders>
          </w:tcPr>
          <w:p w:rsidR="00727D07" w:rsidRPr="00A67B92" w:rsidRDefault="00727D07" w:rsidP="008E3C29">
            <w:pPr>
              <w:pStyle w:val="Tabletext"/>
              <w:jc w:val="center"/>
              <w:rPr>
                <w:sz w:val="18"/>
                <w:szCs w:val="18"/>
                <w:lang w:val="en-US"/>
              </w:rPr>
            </w:pPr>
            <w:r w:rsidRPr="00CB28CC">
              <w:rPr>
                <w:sz w:val="18"/>
                <w:szCs w:val="18"/>
                <w:lang w:val="en-US"/>
              </w:rPr>
              <w:t>–</w:t>
            </w:r>
            <w:r>
              <w:rPr>
                <w:sz w:val="18"/>
                <w:szCs w:val="18"/>
                <w:lang w:val="en-US"/>
              </w:rPr>
              <w:t xml:space="preserve">116 </w:t>
            </w:r>
            <w:r w:rsidRPr="00A67B92">
              <w:rPr>
                <w:sz w:val="18"/>
                <w:szCs w:val="18"/>
                <w:lang w:val="en-US"/>
              </w:rPr>
              <w:t>dBW per</w:t>
            </w:r>
            <w:r w:rsidRPr="00A67B92">
              <w:rPr>
                <w:sz w:val="18"/>
                <w:szCs w:val="18"/>
                <w:lang w:val="en-US"/>
              </w:rPr>
              <w:br/>
              <w:t xml:space="preserve">10 MHz </w:t>
            </w:r>
            <w:r w:rsidRPr="00A67B92">
              <w:rPr>
                <w:sz w:val="18"/>
                <w:szCs w:val="18"/>
                <w:lang w:val="en-US"/>
              </w:rPr>
              <w:br/>
            </w:r>
            <w:r w:rsidRPr="00A67B92">
              <w:rPr>
                <w:i/>
                <w:sz w:val="18"/>
                <w:szCs w:val="18"/>
                <w:lang w:val="en-US"/>
              </w:rPr>
              <w:t>p </w:t>
            </w:r>
            <w:r w:rsidRPr="00A67B92">
              <w:rPr>
                <w:rFonts w:ascii="Symbol" w:hAnsi="Symbol"/>
                <w:sz w:val="18"/>
                <w:szCs w:val="18"/>
                <w:lang w:val="en-US"/>
              </w:rPr>
              <w:t></w:t>
            </w:r>
            <w:r w:rsidRPr="00A67B92">
              <w:rPr>
                <w:sz w:val="18"/>
                <w:szCs w:val="18"/>
                <w:lang w:val="en-US"/>
              </w:rPr>
              <w:t> 0.0025</w:t>
            </w:r>
          </w:p>
        </w:tc>
        <w:tc>
          <w:tcPr>
            <w:tcW w:w="2126" w:type="dxa"/>
            <w:tcBorders>
              <w:top w:val="single" w:sz="6" w:space="0" w:color="auto"/>
              <w:left w:val="single" w:sz="6" w:space="0" w:color="auto"/>
              <w:bottom w:val="single" w:sz="6" w:space="0" w:color="auto"/>
              <w:right w:val="single" w:sz="4" w:space="0" w:color="auto"/>
            </w:tcBorders>
          </w:tcPr>
          <w:p w:rsidR="00727D07" w:rsidRPr="00A67B92" w:rsidRDefault="00727D07" w:rsidP="008E3C29">
            <w:pPr>
              <w:pStyle w:val="Tabletext"/>
              <w:jc w:val="center"/>
              <w:rPr>
                <w:sz w:val="18"/>
                <w:szCs w:val="18"/>
                <w:lang w:val="en-US"/>
              </w:rPr>
            </w:pPr>
            <w:r>
              <w:rPr>
                <w:sz w:val="18"/>
                <w:szCs w:val="18"/>
                <w:lang w:val="en-US"/>
              </w:rPr>
              <w:t xml:space="preserve">–116 </w:t>
            </w:r>
            <w:r w:rsidRPr="00A67B92">
              <w:rPr>
                <w:sz w:val="18"/>
                <w:szCs w:val="18"/>
                <w:lang w:val="en-US"/>
              </w:rPr>
              <w:t>dBW per</w:t>
            </w:r>
            <w:r w:rsidRPr="00A67B92">
              <w:rPr>
                <w:sz w:val="18"/>
                <w:szCs w:val="18"/>
                <w:lang w:val="en-US"/>
              </w:rPr>
              <w:br/>
              <w:t xml:space="preserve">10 MHz </w:t>
            </w:r>
            <w:r w:rsidRPr="00A67B92">
              <w:rPr>
                <w:sz w:val="18"/>
                <w:szCs w:val="18"/>
                <w:lang w:val="en-US"/>
              </w:rPr>
              <w:br/>
            </w:r>
            <w:r w:rsidRPr="00A67B92">
              <w:rPr>
                <w:i/>
                <w:sz w:val="18"/>
                <w:szCs w:val="18"/>
                <w:lang w:val="en-US"/>
              </w:rPr>
              <w:t>p </w:t>
            </w:r>
            <w:r w:rsidRPr="00A67B92">
              <w:rPr>
                <w:rFonts w:ascii="Symbol" w:hAnsi="Symbol"/>
                <w:sz w:val="18"/>
                <w:szCs w:val="18"/>
                <w:lang w:val="en-US"/>
              </w:rPr>
              <w:t></w:t>
            </w:r>
            <w:r w:rsidRPr="00A67B92">
              <w:rPr>
                <w:sz w:val="18"/>
                <w:szCs w:val="18"/>
                <w:lang w:val="en-US"/>
              </w:rPr>
              <w:t> 0.0050</w:t>
            </w:r>
          </w:p>
        </w:tc>
      </w:tr>
      <w:tr w:rsidR="00727D07" w:rsidRPr="00727D07" w:rsidTr="008E3C29">
        <w:trPr>
          <w:jc w:val="center"/>
        </w:trPr>
        <w:tc>
          <w:tcPr>
            <w:tcW w:w="9773" w:type="dxa"/>
            <w:gridSpan w:val="5"/>
            <w:tcBorders>
              <w:top w:val="single" w:sz="6" w:space="0" w:color="auto"/>
            </w:tcBorders>
            <w:vAlign w:val="center"/>
          </w:tcPr>
          <w:p w:rsidR="00727D07" w:rsidRPr="00CB28CC" w:rsidRDefault="00727D07" w:rsidP="000A0689">
            <w:pPr>
              <w:pStyle w:val="Tabletext"/>
              <w:ind w:left="284" w:hanging="284"/>
              <w:rPr>
                <w:lang w:val="en-US"/>
              </w:rPr>
            </w:pPr>
            <w:r w:rsidRPr="00CB28CC">
              <w:rPr>
                <w:position w:val="6"/>
                <w:sz w:val="14"/>
                <w:lang w:val="en-US"/>
              </w:rPr>
              <w:t>(1)</w:t>
            </w:r>
            <w:r w:rsidRPr="00CB28CC">
              <w:rPr>
                <w:lang w:val="en-US"/>
              </w:rPr>
              <w:tab/>
              <w:t xml:space="preserve">In this case, the interfering signal powers (dBW) in the reference bandwidths are specified for reception at elevation angles </w:t>
            </w:r>
            <w:r w:rsidRPr="00CB28CC">
              <w:rPr>
                <w:rFonts w:ascii="Symbol" w:hAnsi="Symbol"/>
                <w:lang w:val="en-US"/>
              </w:rPr>
              <w:t></w:t>
            </w:r>
            <w:r w:rsidRPr="00CB28CC">
              <w:rPr>
                <w:lang w:val="en-US"/>
              </w:rPr>
              <w:t xml:space="preserve"> 25</w:t>
            </w:r>
            <w:r w:rsidRPr="00CB28CC">
              <w:rPr>
                <w:rFonts w:ascii="Symbol" w:hAnsi="Symbol"/>
                <w:lang w:val="en-US"/>
              </w:rPr>
              <w:t></w:t>
            </w:r>
            <w:r w:rsidRPr="00CB28CC">
              <w:rPr>
                <w:lang w:val="en-US"/>
              </w:rPr>
              <w:t>; in all other cases the minimum elevation angle is 5</w:t>
            </w:r>
            <w:r w:rsidRPr="00CB28CC">
              <w:rPr>
                <w:rFonts w:ascii="Symbol" w:hAnsi="Symbol"/>
                <w:lang w:val="en-US"/>
              </w:rPr>
              <w:t></w:t>
            </w:r>
            <w:r w:rsidRPr="00CB28CC">
              <w:rPr>
                <w:rFonts w:ascii="Symbol" w:hAnsi="Symbol"/>
                <w:lang w:val="en-US"/>
              </w:rPr>
              <w:t></w:t>
            </w:r>
          </w:p>
          <w:p w:rsidR="00727D07" w:rsidRPr="00CB28CC" w:rsidRDefault="00727D07" w:rsidP="000A0689">
            <w:pPr>
              <w:pStyle w:val="Tabletext"/>
              <w:rPr>
                <w:lang w:val="en-US"/>
              </w:rPr>
            </w:pPr>
            <w:r w:rsidRPr="00CB28CC">
              <w:rPr>
                <w:lang w:val="en-US"/>
              </w:rPr>
              <w:t>NOTE 1 – The single entry interfering signal power thresholds in the above table are the permissible levels of interfering signal power that fall within the specified reference bandwidth. Accordingly, the total power in interfering signals that are narrower than the reference bandwidth should be considered in frequency sharing analyses. In cases where the interfering signal bandwidth exceeds the reference bandwidth or does not fully overlap the passband of a specific receiver under study, the available frequency dependent rejection should be applied in conjunction with the specified permissible interference levels.</w:t>
            </w:r>
          </w:p>
          <w:p w:rsidR="00727D07" w:rsidRPr="00CB28CC" w:rsidRDefault="00727D07" w:rsidP="000A0689">
            <w:pPr>
              <w:pStyle w:val="Tabletext"/>
              <w:rPr>
                <w:lang w:val="en-US"/>
              </w:rPr>
            </w:pPr>
            <w:r w:rsidRPr="00CB28CC">
              <w:rPr>
                <w:lang w:val="en-US"/>
              </w:rPr>
              <w:t>NOTE 2 – In deriving the above sharing criteria from permissible total levels of interfering signal power, no allowance has been made for interference from spurious emissions.</w:t>
            </w:r>
          </w:p>
          <w:p w:rsidR="00727D07" w:rsidRPr="00CB28CC" w:rsidRDefault="00727D07" w:rsidP="000A0689">
            <w:pPr>
              <w:pStyle w:val="Tabletext"/>
              <w:rPr>
                <w:lang w:val="en-US"/>
              </w:rPr>
            </w:pPr>
            <w:r w:rsidRPr="00CB28CC">
              <w:rPr>
                <w:lang w:val="en-US"/>
              </w:rPr>
              <w:t>NOTE 3 – Both the long-term (</w:t>
            </w:r>
            <w:smartTag w:uri="schemas.gmx.net/NetPhone" w:element="Rufnummer">
              <w:r w:rsidRPr="00CB28CC">
                <w:rPr>
                  <w:lang w:val="en-US"/>
                </w:rPr>
                <w:t>20</w:t>
              </w:r>
            </w:smartTag>
            <w:r w:rsidRPr="00CB28CC">
              <w:rPr>
                <w:lang w:val="en-US"/>
              </w:rPr>
              <w:t>% of the time) and short-term (</w:t>
            </w:r>
            <w:r w:rsidRPr="00CB28CC">
              <w:rPr>
                <w:rFonts w:ascii="Symbol" w:hAnsi="Symbol"/>
                <w:lang w:val="en-US"/>
              </w:rPr>
              <w:t></w:t>
            </w:r>
            <w:r w:rsidRPr="00CB28CC">
              <w:rPr>
                <w:sz w:val="24"/>
                <w:lang w:val="en-US"/>
              </w:rPr>
              <w:t> </w:t>
            </w:r>
            <w:r w:rsidRPr="00CB28CC">
              <w:rPr>
                <w:i/>
                <w:lang w:val="en-US"/>
              </w:rPr>
              <w:t>p</w:t>
            </w:r>
            <w:r w:rsidRPr="00CB28CC">
              <w:rPr>
                <w:lang w:val="en-US"/>
              </w:rPr>
              <w:t>% of the time) sharing criteria must be met in order for interference to be at or below permissible levels.</w:t>
            </w:r>
          </w:p>
          <w:p w:rsidR="00727D07" w:rsidRDefault="00727D07" w:rsidP="000A0689">
            <w:pPr>
              <w:pStyle w:val="Tabletext"/>
              <w:rPr>
                <w:sz w:val="18"/>
                <w:szCs w:val="18"/>
                <w:lang w:val="en-US"/>
              </w:rPr>
            </w:pPr>
            <w:r w:rsidRPr="00CB28CC">
              <w:rPr>
                <w:lang w:val="en-US"/>
              </w:rPr>
              <w:t>NOTE 4 – Sharing criteria specified for terrestrial signal paths are applicable to transmitting stations in terrestrial services and transmitting earth stations.</w:t>
            </w:r>
          </w:p>
        </w:tc>
      </w:tr>
    </w:tbl>
    <w:p w:rsidR="00727D07" w:rsidRPr="00CB28CC" w:rsidRDefault="00727D07" w:rsidP="00727D07">
      <w:pPr>
        <w:pStyle w:val="Tablefin"/>
        <w:rPr>
          <w:lang w:val="en-US"/>
        </w:rPr>
      </w:pPr>
    </w:p>
    <w:p w:rsidR="00727D07" w:rsidRPr="00CB28CC" w:rsidRDefault="00727D07" w:rsidP="000A0689">
      <w:pPr>
        <w:pStyle w:val="AnnexNoTitle"/>
        <w:rPr>
          <w:lang w:val="en-US"/>
        </w:rPr>
      </w:pPr>
      <w:r w:rsidRPr="00CB28CC">
        <w:rPr>
          <w:lang w:val="en-US"/>
        </w:rPr>
        <w:t>Annex 1</w:t>
      </w:r>
      <w:r w:rsidR="000A0689">
        <w:rPr>
          <w:lang w:val="en-US"/>
        </w:rPr>
        <w:br/>
      </w:r>
      <w:r w:rsidR="000A0689">
        <w:rPr>
          <w:lang w:val="en-US"/>
        </w:rPr>
        <w:br/>
      </w:r>
      <w:r w:rsidRPr="00CB28CC">
        <w:rPr>
          <w:lang w:val="en-US"/>
        </w:rPr>
        <w:t>Basis for sharing criteria</w:t>
      </w:r>
    </w:p>
    <w:p w:rsidR="00727D07" w:rsidRPr="00727D07" w:rsidRDefault="00727D07" w:rsidP="00727D07">
      <w:pPr>
        <w:pStyle w:val="Heading1"/>
        <w:rPr>
          <w:lang w:val="en-GB"/>
        </w:rPr>
      </w:pPr>
      <w:r w:rsidRPr="00727D07">
        <w:rPr>
          <w:lang w:val="en-GB"/>
        </w:rPr>
        <w:t>1</w:t>
      </w:r>
      <w:r w:rsidRPr="00727D07">
        <w:rPr>
          <w:lang w:val="en-GB"/>
        </w:rPr>
        <w:tab/>
        <w:t>Introduction</w:t>
      </w:r>
    </w:p>
    <w:p w:rsidR="00727D07" w:rsidRPr="00CB28CC" w:rsidRDefault="00727D07" w:rsidP="00727D07">
      <w:pPr>
        <w:rPr>
          <w:lang w:val="en-US"/>
        </w:rPr>
      </w:pPr>
      <w:r w:rsidRPr="00CB28CC">
        <w:rPr>
          <w:lang w:val="en-US"/>
        </w:rPr>
        <w:t>The objectives of sharing criteria are, on the one hand, to ensure that interference from all sources will not exceed the applicable interference criteria (i.e. permissible levels of total interference) and, on the other hand, to enable efficient sharing by allowing the maximum possible number of systems to share a band in the same area of operation (preferably on a co-channel basis).</w:t>
      </w:r>
      <w:r>
        <w:rPr>
          <w:lang w:val="en-US"/>
        </w:rPr>
        <w:t xml:space="preserve"> </w:t>
      </w:r>
      <w:r w:rsidRPr="00CB28CC">
        <w:rPr>
          <w:lang w:val="en-US"/>
        </w:rPr>
        <w:t>This Annex presents the basis for subdividing the applicable aggregate interference criteria (as given in Recommendation ITU</w:t>
      </w:r>
      <w:r w:rsidRPr="00CB28CC">
        <w:rPr>
          <w:lang w:val="en-US"/>
        </w:rPr>
        <w:noBreakHyphen/>
        <w:t>R SA.</w:t>
      </w:r>
      <w:smartTag w:uri="schemas.gmx.net/NetPhone" w:element="Rufnummer">
        <w:r w:rsidRPr="00CB28CC">
          <w:rPr>
            <w:lang w:val="en-US"/>
          </w:rPr>
          <w:t>1026</w:t>
        </w:r>
      </w:smartTag>
      <w:r w:rsidRPr="00CB28CC">
        <w:rPr>
          <w:lang w:val="en-US"/>
        </w:rPr>
        <w:t>) among the anticipated interferers. Table 2 presents the factors used in apportioning the total permissible interference for each relevant band between the categories of space-to-Earth and terrestrial interference paths as well as among the anticipated number of interferers in each of those categories. The following paragraphs discuss the interference environment in each band.</w:t>
      </w:r>
    </w:p>
    <w:p w:rsidR="00727D07" w:rsidRPr="00727D07" w:rsidRDefault="00727D07" w:rsidP="00727D07">
      <w:pPr>
        <w:pStyle w:val="Heading1"/>
        <w:rPr>
          <w:lang w:val="en-GB"/>
        </w:rPr>
      </w:pPr>
      <w:r w:rsidRPr="00727D07">
        <w:rPr>
          <w:lang w:val="en-GB"/>
        </w:rPr>
        <w:t>2</w:t>
      </w:r>
      <w:r w:rsidRPr="00727D07">
        <w:rPr>
          <w:lang w:val="en-GB"/>
        </w:rPr>
        <w:tab/>
        <w:t>137-138 MHz band</w:t>
      </w:r>
    </w:p>
    <w:p w:rsidR="00727D07" w:rsidRPr="00CB28CC" w:rsidRDefault="00727D07" w:rsidP="00727D07">
      <w:pPr>
        <w:rPr>
          <w:lang w:val="en-US"/>
        </w:rPr>
      </w:pPr>
      <w:r w:rsidRPr="00CB28CC">
        <w:rPr>
          <w:lang w:val="en-US"/>
        </w:rPr>
        <w:t xml:space="preserve">The </w:t>
      </w:r>
      <w:smartTag w:uri="schemas.gmx.net/NetPhone" w:element="Rufnummer">
        <w:r w:rsidRPr="00CB28CC">
          <w:rPr>
            <w:lang w:val="en-US"/>
          </w:rPr>
          <w:t>137</w:t>
        </w:r>
      </w:smartTag>
      <w:r w:rsidRPr="00CB28CC">
        <w:rPr>
          <w:lang w:val="en-US"/>
        </w:rPr>
        <w:t>-</w:t>
      </w:r>
      <w:smartTag w:uri="schemas.gmx.net/NetPhone" w:element="Rufnummer">
        <w:r w:rsidRPr="00CB28CC">
          <w:rPr>
            <w:lang w:val="en-US"/>
          </w:rPr>
          <w:t>138</w:t>
        </w:r>
      </w:smartTag>
      <w:r w:rsidRPr="00CB28CC">
        <w:rPr>
          <w:lang w:val="en-US"/>
        </w:rPr>
        <w:t xml:space="preserve"> MHz band is allocated to the space operation, meteorological-satellite and space research </w:t>
      </w:r>
      <w:r w:rsidRPr="009B5625">
        <w:rPr>
          <w:lang w:val="en-US"/>
        </w:rPr>
        <w:t>(space-to-Earth)</w:t>
      </w:r>
      <w:r w:rsidRPr="00CB28CC">
        <w:rPr>
          <w:lang w:val="en-US"/>
        </w:rPr>
        <w:t xml:space="preserve"> services on a primary basis; the mobile-satellite (space-to-Earth) on a primary basis in parts of the band and with a secondary basis in other paths of the band; and the fixed and mobile (except aeronautical mobile (R)) services on a secondary basis (except in administrations where that allocation is primary).</w:t>
      </w:r>
    </w:p>
    <w:p w:rsidR="00727D07" w:rsidRPr="00CB28CC" w:rsidRDefault="00727D07" w:rsidP="00727D07">
      <w:pPr>
        <w:rPr>
          <w:lang w:val="en-US"/>
        </w:rPr>
      </w:pPr>
      <w:r w:rsidRPr="00CB28CC">
        <w:rPr>
          <w:lang w:val="en-US"/>
        </w:rPr>
        <w:t>For most of the time at typical meteorological-satellite earth station sites, space stations such as those in the mobile</w:t>
      </w:r>
      <w:r w:rsidRPr="00CB28CC">
        <w:rPr>
          <w:lang w:val="en-US"/>
        </w:rPr>
        <w:noBreakHyphen/>
        <w:t>satellite service could produce higher levels of interference than terrestrial stations. The meteorological-satellite earth stations using antennas with 10 dBic gain will provide greater discrimination against terrestrial station emissions than will the earth stations using lower antenna gains (2 dBic). In the short-term, propagation enhancements on terrestrial interfering signal paths and the location variability of mobile stations may result in similar interference levels from space-to-Earth and terrestrial stations.</w:t>
      </w:r>
    </w:p>
    <w:p w:rsidR="00727D07" w:rsidRPr="00727D07" w:rsidRDefault="00727D07" w:rsidP="00727D07">
      <w:pPr>
        <w:pStyle w:val="Heading1"/>
        <w:rPr>
          <w:lang w:val="en-GB"/>
        </w:rPr>
      </w:pPr>
      <w:r w:rsidRPr="00727D07">
        <w:rPr>
          <w:lang w:val="en-GB"/>
        </w:rPr>
        <w:t>3</w:t>
      </w:r>
      <w:r w:rsidRPr="00727D07">
        <w:rPr>
          <w:lang w:val="en-GB"/>
        </w:rPr>
        <w:tab/>
        <w:t>400.15-401.00 MHz band</w:t>
      </w:r>
    </w:p>
    <w:p w:rsidR="00727D07" w:rsidRPr="00CB28CC" w:rsidRDefault="00727D07" w:rsidP="00727D07">
      <w:pPr>
        <w:rPr>
          <w:lang w:val="en-US"/>
        </w:rPr>
      </w:pPr>
      <w:r w:rsidRPr="00CB28CC">
        <w:rPr>
          <w:lang w:val="en-US"/>
        </w:rPr>
        <w:t xml:space="preserve">The </w:t>
      </w:r>
      <w:smartTag w:uri="schemas.gmx.net/NetPhone" w:element="Rufnummer">
        <w:r w:rsidRPr="00CB28CC">
          <w:rPr>
            <w:lang w:val="en-US"/>
          </w:rPr>
          <w:t>400</w:t>
        </w:r>
      </w:smartTag>
      <w:r w:rsidRPr="00CB28CC">
        <w:rPr>
          <w:lang w:val="en-US"/>
        </w:rPr>
        <w:t>.</w:t>
      </w:r>
      <w:smartTag w:uri="schemas.gmx.net/NetPhone" w:element="Rufnummer">
        <w:r w:rsidRPr="00CB28CC">
          <w:rPr>
            <w:lang w:val="en-US"/>
          </w:rPr>
          <w:t>15-401</w:t>
        </w:r>
      </w:smartTag>
      <w:r w:rsidRPr="00CB28CC">
        <w:rPr>
          <w:lang w:val="en-US"/>
        </w:rPr>
        <w:t>.</w:t>
      </w:r>
      <w:smartTag w:uri="schemas.gmx.net/NetPhone" w:element="Rufnummer">
        <w:r w:rsidRPr="00CB28CC">
          <w:rPr>
            <w:lang w:val="en-US"/>
          </w:rPr>
          <w:t>00</w:t>
        </w:r>
      </w:smartTag>
      <w:r w:rsidRPr="00CB28CC">
        <w:rPr>
          <w:lang w:val="en-US"/>
        </w:rPr>
        <w:t xml:space="preserve"> MHz band is allocated on a secondary basis to the space operation </w:t>
      </w:r>
      <w:r w:rsidRPr="009B5625">
        <w:rPr>
          <w:lang w:val="en-US"/>
        </w:rPr>
        <w:t>(space-to-Earth)</w:t>
      </w:r>
      <w:r>
        <w:rPr>
          <w:lang w:val="en-US"/>
        </w:rPr>
        <w:t xml:space="preserve">, but </w:t>
      </w:r>
      <w:r w:rsidRPr="00CB28CC">
        <w:rPr>
          <w:lang w:val="en-US"/>
        </w:rPr>
        <w:t>on a primary basis to the meteorological-satellite, space research and mobile-satellite (space-to-Earth) services, the space research (space-to-space) service and the meteorological aids service. In addition, the band is also allocated to the fixed and mobile services in some administrations on a</w:t>
      </w:r>
      <w:r>
        <w:rPr>
          <w:lang w:val="en-US"/>
        </w:rPr>
        <w:t xml:space="preserve"> </w:t>
      </w:r>
      <w:r w:rsidRPr="00CB28CC">
        <w:rPr>
          <w:lang w:val="en-US"/>
        </w:rPr>
        <w:t>primary basis.</w:t>
      </w:r>
    </w:p>
    <w:p w:rsidR="00727D07" w:rsidRPr="00CB28CC" w:rsidRDefault="00727D07" w:rsidP="00727D07">
      <w:pPr>
        <w:rPr>
          <w:lang w:val="en-US"/>
        </w:rPr>
      </w:pPr>
      <w:r w:rsidRPr="00CB28CC">
        <w:rPr>
          <w:lang w:val="en-US"/>
        </w:rPr>
        <w:t>For most of the time at typical meteorological-satellite earth station sites, space stations such as those in the mobile</w:t>
      </w:r>
      <w:r w:rsidRPr="00CB28CC">
        <w:rPr>
          <w:lang w:val="en-US"/>
        </w:rPr>
        <w:noBreakHyphen/>
        <w:t>satellite service could produce higher levels of interference than terrestrial stations. In the short-term, propagation enhancements on terrestrial interfering signal paths and the location variability of mobile and meteorological aids stations may result in similar interference levels from space-to-Earth and terrestrial stations.</w:t>
      </w:r>
    </w:p>
    <w:p w:rsidR="00727D07" w:rsidRPr="00727D07" w:rsidRDefault="00727D07" w:rsidP="00727D07">
      <w:pPr>
        <w:pStyle w:val="Heading1"/>
        <w:rPr>
          <w:lang w:val="en-GB"/>
        </w:rPr>
      </w:pPr>
      <w:r w:rsidRPr="00727D07">
        <w:rPr>
          <w:lang w:val="en-GB"/>
        </w:rPr>
        <w:t>4</w:t>
      </w:r>
      <w:r w:rsidRPr="00727D07">
        <w:rPr>
          <w:lang w:val="en-GB"/>
        </w:rPr>
        <w:tab/>
        <w:t>1 698-1 </w:t>
      </w:r>
      <w:smartTag w:uri="schemas.gmx.net/NetPhone" w:element="Rufnummer">
        <w:r w:rsidRPr="00727D07">
          <w:rPr>
            <w:lang w:val="en-GB"/>
          </w:rPr>
          <w:t>710</w:t>
        </w:r>
      </w:smartTag>
      <w:r w:rsidRPr="00727D07">
        <w:rPr>
          <w:lang w:val="en-GB"/>
        </w:rPr>
        <w:t xml:space="preserve"> MHz band</w:t>
      </w:r>
    </w:p>
    <w:p w:rsidR="00727D07" w:rsidRPr="009B5625" w:rsidRDefault="00727D07" w:rsidP="00727D07">
      <w:pPr>
        <w:rPr>
          <w:lang w:val="en-US"/>
        </w:rPr>
      </w:pPr>
      <w:r w:rsidRPr="00CB28CC">
        <w:rPr>
          <w:lang w:val="en-US"/>
        </w:rPr>
        <w:t>The 1</w:t>
      </w:r>
      <w:r w:rsidRPr="00CB28CC">
        <w:rPr>
          <w:rFonts w:ascii="Tms Rmn" w:hAnsi="Tms Rmn"/>
          <w:sz w:val="12"/>
          <w:lang w:val="en-US"/>
        </w:rPr>
        <w:t> </w:t>
      </w:r>
      <w:smartTag w:uri="schemas.gmx.net/NetPhone" w:element="Rufnummer">
        <w:r w:rsidRPr="00CB28CC">
          <w:rPr>
            <w:lang w:val="en-US"/>
          </w:rPr>
          <w:t>690</w:t>
        </w:r>
      </w:smartTag>
      <w:r w:rsidRPr="00CB28CC">
        <w:rPr>
          <w:lang w:val="en-US"/>
        </w:rPr>
        <w:noBreakHyphen/>
        <w:t>1</w:t>
      </w:r>
      <w:r w:rsidRPr="00CB28CC">
        <w:rPr>
          <w:rFonts w:ascii="Tms Rmn" w:hAnsi="Tms Rmn"/>
          <w:sz w:val="12"/>
          <w:lang w:val="en-US"/>
        </w:rPr>
        <w:t> </w:t>
      </w:r>
      <w:smartTag w:uri="schemas.gmx.net/NetPhone" w:element="Rufnummer">
        <w:r w:rsidRPr="00CB28CC">
          <w:rPr>
            <w:lang w:val="en-US"/>
          </w:rPr>
          <w:t>700</w:t>
        </w:r>
      </w:smartTag>
      <w:r w:rsidRPr="00CB28CC">
        <w:rPr>
          <w:lang w:val="en-US"/>
        </w:rPr>
        <w:t xml:space="preserve"> MHz band (of which the band 1 698-1 700 MHz is used for the non-geostationary meteorological satellites) is allocated to the meteorological-satellite (space-to-Earth) service on a primary basis and the Earth exploration-satellite (space-to-Earth) service on a secondary basis; the meteorological aids service on a primary basis; and to the fixed and mobile (except aeronautical mobile) services in Region 1 </w:t>
      </w:r>
      <w:r w:rsidRPr="009B5625">
        <w:rPr>
          <w:lang w:val="en-US"/>
        </w:rPr>
        <w:t>on a secondary basis.</w:t>
      </w:r>
    </w:p>
    <w:p w:rsidR="00727D07" w:rsidRPr="00CB28CC" w:rsidRDefault="00727D07" w:rsidP="00727D07">
      <w:pPr>
        <w:rPr>
          <w:lang w:val="en-US"/>
        </w:rPr>
      </w:pPr>
      <w:r w:rsidRPr="009B5625">
        <w:rPr>
          <w:lang w:val="en-US"/>
        </w:rPr>
        <w:t>In addition, the 1</w:t>
      </w:r>
      <w:r w:rsidRPr="009B5625">
        <w:rPr>
          <w:rFonts w:ascii="Tms Rmn" w:hAnsi="Tms Rmn"/>
          <w:sz w:val="12"/>
          <w:lang w:val="en-US"/>
        </w:rPr>
        <w:t> </w:t>
      </w:r>
      <w:smartTag w:uri="schemas.gmx.net/NetPhone" w:element="Rufnummer">
        <w:r w:rsidRPr="009B5625">
          <w:rPr>
            <w:lang w:val="en-US"/>
          </w:rPr>
          <w:t>690</w:t>
        </w:r>
      </w:smartTag>
      <w:r w:rsidRPr="009B5625">
        <w:rPr>
          <w:lang w:val="en-US"/>
        </w:rPr>
        <w:noBreakHyphen/>
        <w:t>1</w:t>
      </w:r>
      <w:r w:rsidRPr="009B5625">
        <w:rPr>
          <w:rFonts w:ascii="Tms Rmn" w:hAnsi="Tms Rmn"/>
          <w:sz w:val="12"/>
          <w:lang w:val="en-US"/>
        </w:rPr>
        <w:t> </w:t>
      </w:r>
      <w:smartTag w:uri="schemas.gmx.net/NetPhone" w:element="Rufnummer">
        <w:r w:rsidRPr="009B5625">
          <w:rPr>
            <w:lang w:val="en-US"/>
          </w:rPr>
          <w:t>700</w:t>
        </w:r>
      </w:smartTag>
      <w:r w:rsidRPr="009B5625">
        <w:rPr>
          <w:lang w:val="en-US"/>
        </w:rPr>
        <w:t> MHz band is also allocated to the fixed and mobile (except aeronautical mobile) services in some administrations on a primary basis.</w:t>
      </w:r>
    </w:p>
    <w:p w:rsidR="00727D07" w:rsidRPr="00CB28CC" w:rsidRDefault="00727D07" w:rsidP="00727D07">
      <w:pPr>
        <w:rPr>
          <w:lang w:val="en-US"/>
        </w:rPr>
      </w:pPr>
      <w:r w:rsidRPr="00CB28CC">
        <w:rPr>
          <w:lang w:val="en-US"/>
        </w:rPr>
        <w:t>The 1 700</w:t>
      </w:r>
      <w:r w:rsidRPr="00CB28CC">
        <w:rPr>
          <w:lang w:val="en-US"/>
        </w:rPr>
        <w:noBreakHyphen/>
        <w:t>1 710 MHz band is allocated to the meteorological-satellite (space-to-Earth) service and the fixed and mobile (except aeronautical mobile) services on a primary basis and the Earth exploration-satellite (space-to-Earth) service on a secondary basis.</w:t>
      </w:r>
    </w:p>
    <w:p w:rsidR="00727D07" w:rsidRPr="00CB28CC" w:rsidRDefault="00727D07" w:rsidP="00727D07">
      <w:pPr>
        <w:rPr>
          <w:lang w:val="en-US"/>
        </w:rPr>
      </w:pPr>
      <w:r w:rsidRPr="00CB28CC">
        <w:rPr>
          <w:lang w:val="en-US"/>
        </w:rPr>
        <w:t>The number of space stations operated in this band is assumed to produce about the same long</w:t>
      </w:r>
      <w:r w:rsidRPr="00CB28CC">
        <w:rPr>
          <w:lang w:val="en-US"/>
        </w:rPr>
        <w:noBreakHyphen/>
        <w:t xml:space="preserve">term interference levels as terrestrial systems. </w:t>
      </w:r>
    </w:p>
    <w:p w:rsidR="00727D07" w:rsidRPr="00727D07" w:rsidRDefault="00727D07" w:rsidP="00727D07">
      <w:pPr>
        <w:pStyle w:val="Heading1"/>
        <w:rPr>
          <w:lang w:val="en-GB"/>
        </w:rPr>
      </w:pPr>
      <w:r w:rsidRPr="00727D07">
        <w:rPr>
          <w:lang w:val="en-GB"/>
        </w:rPr>
        <w:t>5</w:t>
      </w:r>
      <w:r w:rsidRPr="00727D07">
        <w:rPr>
          <w:lang w:val="en-GB"/>
        </w:rPr>
        <w:tab/>
        <w:t>7 750-7 900 MHz band</w:t>
      </w:r>
    </w:p>
    <w:p w:rsidR="00727D07" w:rsidRPr="00727D07" w:rsidRDefault="00727D07" w:rsidP="00727D07">
      <w:pPr>
        <w:rPr>
          <w:szCs w:val="24"/>
          <w:lang w:val="en-GB"/>
        </w:rPr>
      </w:pPr>
      <w:r w:rsidRPr="00CB28CC">
        <w:rPr>
          <w:lang w:val="en-US"/>
        </w:rPr>
        <w:t>The 7</w:t>
      </w:r>
      <w:r w:rsidRPr="00CB28CC">
        <w:rPr>
          <w:rFonts w:ascii="Tms Rmn" w:hAnsi="Tms Rmn"/>
          <w:sz w:val="12"/>
          <w:lang w:val="en-US"/>
        </w:rPr>
        <w:t> </w:t>
      </w:r>
      <w:r w:rsidRPr="00CB28CC">
        <w:rPr>
          <w:lang w:val="en-US"/>
        </w:rPr>
        <w:t>750-</w:t>
      </w:r>
      <w:r w:rsidRPr="009B5625">
        <w:rPr>
          <w:lang w:val="en-US"/>
        </w:rPr>
        <w:t>7 900</w:t>
      </w:r>
      <w:r w:rsidRPr="00CB28CC">
        <w:rPr>
          <w:lang w:val="en-US"/>
        </w:rPr>
        <w:t xml:space="preserve"> MHz band is allocated to the meteorological-satellite (space-to-Earth) service (limited to non-geostationary satellites) and the fixed and mobile (except aeronautical mobile) services on a primary basis. For long-term interference, it is expected that only a minor contribution will come from space-to-Earth links as the satellite passes rapidly through the antenna main beam. Consequently, a major contribution for short-term interference is then expected from space-to-Earth links.</w:t>
      </w:r>
      <w:r w:rsidRPr="00727D07">
        <w:rPr>
          <w:szCs w:val="24"/>
          <w:lang w:val="en-GB"/>
        </w:rPr>
        <w:t xml:space="preserve"> Interference on terrestrial signal paths may predominate for direct data readout earth stations which have less antenna discrimination (i.e. which have significantly smaller antennas) towards the horizon than recorded data acquisition stations.</w:t>
      </w:r>
    </w:p>
    <w:p w:rsidR="00727D07" w:rsidRPr="00727D07" w:rsidRDefault="00727D07" w:rsidP="00727D07">
      <w:pPr>
        <w:pStyle w:val="Heading1"/>
        <w:rPr>
          <w:lang w:val="en-GB"/>
        </w:rPr>
      </w:pPr>
      <w:r w:rsidRPr="00727D07">
        <w:rPr>
          <w:lang w:val="en-GB"/>
        </w:rPr>
        <w:t>6</w:t>
      </w:r>
      <w:r w:rsidRPr="00727D07">
        <w:rPr>
          <w:lang w:val="en-GB"/>
        </w:rPr>
        <w:tab/>
        <w:t>8 025-8 400 MHz band</w:t>
      </w:r>
    </w:p>
    <w:p w:rsidR="00727D07" w:rsidRPr="00CB28CC" w:rsidRDefault="00727D07" w:rsidP="00727D07">
      <w:pPr>
        <w:rPr>
          <w:lang w:val="en-US"/>
        </w:rPr>
      </w:pPr>
      <w:r w:rsidRPr="009B5625">
        <w:rPr>
          <w:lang w:val="en-US"/>
        </w:rPr>
        <w:t>The 8</w:t>
      </w:r>
      <w:r w:rsidRPr="009B5625">
        <w:rPr>
          <w:rFonts w:ascii="Tms Rmn" w:hAnsi="Tms Rmn"/>
          <w:sz w:val="12"/>
          <w:lang w:val="en-US"/>
        </w:rPr>
        <w:t> </w:t>
      </w:r>
      <w:smartTag w:uri="schemas.gmx.net/NetPhone" w:element="Rufnummer">
        <w:r w:rsidRPr="009B5625">
          <w:rPr>
            <w:lang w:val="en-US"/>
          </w:rPr>
          <w:t>025</w:t>
        </w:r>
      </w:smartTag>
      <w:r w:rsidRPr="009B5625">
        <w:rPr>
          <w:lang w:val="en-US"/>
        </w:rPr>
        <w:t>-8</w:t>
      </w:r>
      <w:r w:rsidRPr="009B5625">
        <w:rPr>
          <w:rFonts w:ascii="Tms Rmn" w:hAnsi="Tms Rmn"/>
          <w:sz w:val="12"/>
          <w:lang w:val="en-US"/>
        </w:rPr>
        <w:t> </w:t>
      </w:r>
      <w:smartTag w:uri="schemas.gmx.net/NetPhone" w:element="Rufnummer">
        <w:r w:rsidRPr="009B5625">
          <w:rPr>
            <w:lang w:val="en-US"/>
          </w:rPr>
          <w:t>400</w:t>
        </w:r>
      </w:smartTag>
      <w:r w:rsidRPr="009B5625">
        <w:rPr>
          <w:lang w:val="en-US"/>
        </w:rPr>
        <w:t xml:space="preserve"> MHz band is allocated to the fixed-satellite (Earth-to-space) service, the Earth exploration-satellite (space-to-Earth) service, and the fixed and mobile services on a primary basis. </w:t>
      </w:r>
      <w:r w:rsidRPr="009B5625">
        <w:rPr>
          <w:color w:val="000000"/>
          <w:lang w:val="en-US"/>
        </w:rPr>
        <w:t>Aircraft stations are not permitted to transmit in the band 8</w:t>
      </w:r>
      <w:r w:rsidRPr="009B5625">
        <w:rPr>
          <w:color w:val="000000"/>
          <w:sz w:val="12"/>
          <w:lang w:val="en-US"/>
        </w:rPr>
        <w:t> </w:t>
      </w:r>
      <w:r w:rsidRPr="009B5625">
        <w:rPr>
          <w:color w:val="000000"/>
          <w:lang w:val="en-US"/>
        </w:rPr>
        <w:t>025-8</w:t>
      </w:r>
      <w:r w:rsidRPr="009B5625">
        <w:rPr>
          <w:color w:val="000000"/>
          <w:sz w:val="12"/>
          <w:lang w:val="en-US"/>
        </w:rPr>
        <w:t> </w:t>
      </w:r>
      <w:r w:rsidRPr="009B5625">
        <w:rPr>
          <w:color w:val="000000"/>
          <w:lang w:val="en-US"/>
        </w:rPr>
        <w:t>400 MHz.</w:t>
      </w:r>
      <w:r w:rsidRPr="00CB28CC">
        <w:rPr>
          <w:lang w:val="en-US"/>
        </w:rPr>
        <w:t xml:space="preserve"> In addition, the 8</w:t>
      </w:r>
      <w:r w:rsidRPr="00CB28CC">
        <w:rPr>
          <w:rFonts w:ascii="Tms Rmn" w:hAnsi="Tms Rmn"/>
          <w:sz w:val="12"/>
          <w:lang w:val="en-US"/>
        </w:rPr>
        <w:t> </w:t>
      </w:r>
      <w:smartTag w:uri="schemas.gmx.net/NetPhone" w:element="Rufnummer">
        <w:r w:rsidRPr="00CB28CC">
          <w:rPr>
            <w:lang w:val="en-US"/>
          </w:rPr>
          <w:t>175</w:t>
        </w:r>
      </w:smartTag>
      <w:r w:rsidRPr="00CB28CC">
        <w:rPr>
          <w:lang w:val="en-US"/>
        </w:rPr>
        <w:noBreakHyphen/>
        <w:t>8</w:t>
      </w:r>
      <w:r w:rsidRPr="00CB28CC">
        <w:rPr>
          <w:rFonts w:ascii="Tms Rmn" w:hAnsi="Tms Rmn"/>
          <w:sz w:val="12"/>
          <w:lang w:val="en-US"/>
        </w:rPr>
        <w:t> </w:t>
      </w:r>
      <w:smartTag w:uri="schemas.gmx.net/NetPhone" w:element="Rufnummer">
        <w:r w:rsidRPr="00CB28CC">
          <w:rPr>
            <w:lang w:val="en-US"/>
          </w:rPr>
          <w:t>215</w:t>
        </w:r>
      </w:smartTag>
      <w:r w:rsidRPr="00CB28CC">
        <w:rPr>
          <w:lang w:val="en-US"/>
        </w:rPr>
        <w:t> MHz segment is allocated to the meteorological-satellite (Earth-to-space) service on a primary basis. Because the only sources of interference on space-to-Earth paths are from Earth exploration-satellite systems, no long</w:t>
      </w:r>
      <w:r w:rsidRPr="00CB28CC">
        <w:rPr>
          <w:lang w:val="en-US"/>
        </w:rPr>
        <w:noBreakHyphen/>
        <w:t>term interference is assumed to occur on space-to-Earth paths (i.e. for most of the time there is no interferer in view or high levels of earth station antenna discrimination are available). In the short</w:t>
      </w:r>
      <w:r w:rsidRPr="00CB28CC">
        <w:rPr>
          <w:lang w:val="en-US"/>
        </w:rPr>
        <w:noBreakHyphen/>
        <w:t>term, interference may occur among Earth exploration-satellite systems on space-to-Earth paths, although interference on terrestrial signal paths will predominate (especially for direct data readout earth stations, which have less antenna discrimination towards the horizon than recorded data acquisition stations). Regarding interference from FSS earth stations operating in the Earth-to-space direction, the sharing criteria specified for terrestrial signal paths should also be applicable to transmitting stations in terrestrial services and transmitting earth stations.</w:t>
      </w:r>
    </w:p>
    <w:p w:rsidR="00727D07" w:rsidRPr="00727D07" w:rsidRDefault="00727D07" w:rsidP="00727D07">
      <w:pPr>
        <w:pStyle w:val="Heading1"/>
        <w:rPr>
          <w:lang w:val="en-GB"/>
        </w:rPr>
      </w:pPr>
      <w:r w:rsidRPr="00727D07">
        <w:rPr>
          <w:lang w:val="en-GB"/>
        </w:rPr>
        <w:t>7</w:t>
      </w:r>
      <w:r w:rsidRPr="00727D07">
        <w:rPr>
          <w:lang w:val="en-GB"/>
        </w:rPr>
        <w:tab/>
        <w:t>25.5-27.0 GHz band</w:t>
      </w:r>
    </w:p>
    <w:p w:rsidR="00727D07" w:rsidRPr="00CB28CC" w:rsidRDefault="00727D07" w:rsidP="00727D07">
      <w:pPr>
        <w:rPr>
          <w:lang w:val="en-US"/>
        </w:rPr>
      </w:pPr>
      <w:r w:rsidRPr="00CB28CC">
        <w:rPr>
          <w:lang w:val="en-US"/>
        </w:rPr>
        <w:t xml:space="preserve">The 25.5-27.0 GHz band is allocated to the Earth exploration-satellite and space research (space-to-Earth), fixed, mobile, and inter-satellite services </w:t>
      </w:r>
      <w:r w:rsidRPr="009B5625">
        <w:rPr>
          <w:lang w:val="en-US"/>
        </w:rPr>
        <w:t>on a primary basis</w:t>
      </w:r>
      <w:r w:rsidRPr="00CB28CC">
        <w:rPr>
          <w:lang w:val="en-US"/>
        </w:rPr>
        <w:t>. Potential sources of interference on Earth exploration-satellite space-to-Earth paths are other Earth exploration-satellite system satellites, inter</w:t>
      </w:r>
      <w:r w:rsidRPr="00CB28CC">
        <w:rPr>
          <w:lang w:val="en-US"/>
        </w:rPr>
        <w:noBreakHyphen/>
        <w:t>satellite service satellites and terrestrial fixed and mobile systems. No long-term interference is assumed to occur on the Earth exploration-satellite space-to-Earth path due to Earth exploration-satellite and inter-satellite service satellite emissions because of the constant movement of the satellites (i.e. for most of the time there is no interferer in view or high levels of earth station antenna discrimination are available).</w:t>
      </w:r>
    </w:p>
    <w:p w:rsidR="00727D07" w:rsidRDefault="00727D07" w:rsidP="00727D07">
      <w:pPr>
        <w:rPr>
          <w:lang w:val="en-US"/>
        </w:rPr>
      </w:pPr>
      <w:r w:rsidRPr="00CB28CC">
        <w:rPr>
          <w:lang w:val="en-US"/>
        </w:rPr>
        <w:t>In the short term, interference may occur between Earth exploration</w:t>
      </w:r>
      <w:r w:rsidRPr="00CB28CC">
        <w:rPr>
          <w:lang w:val="en-US"/>
        </w:rPr>
        <w:noBreakHyphen/>
        <w:t>satellite and inter-satellite service satellite systems on space-to-Earth paths, although interference on terrestrial signal paths will predominate.</w:t>
      </w:r>
    </w:p>
    <w:p w:rsidR="00727D07" w:rsidRPr="00CB28CC" w:rsidRDefault="00727D07" w:rsidP="00727D07">
      <w:pPr>
        <w:pStyle w:val="TableNo"/>
        <w:spacing w:before="120"/>
        <w:rPr>
          <w:lang w:val="en-US"/>
        </w:rPr>
      </w:pPr>
      <w:r w:rsidRPr="00CB28CC">
        <w:rPr>
          <w:lang w:val="en-US"/>
        </w:rPr>
        <w:t>TABLE 2</w:t>
      </w:r>
    </w:p>
    <w:p w:rsidR="00727D07" w:rsidRPr="00CB28CC" w:rsidRDefault="00727D07" w:rsidP="00727D07">
      <w:pPr>
        <w:pStyle w:val="Tabletitle"/>
        <w:rPr>
          <w:lang w:val="en-US"/>
        </w:rPr>
      </w:pPr>
      <w:r w:rsidRPr="00CB28CC">
        <w:rPr>
          <w:lang w:val="en-US"/>
        </w:rPr>
        <w:t>Parameters used to derive sharing criteria from interference criteria</w:t>
      </w:r>
      <w:r>
        <w:rPr>
          <w:lang w:val="en-US"/>
        </w:rPr>
        <w:br/>
        <w:t>(using methodology in Recommendation ITU-R SA.1023)</w:t>
      </w:r>
    </w:p>
    <w:tbl>
      <w:tblPr>
        <w:tblW w:w="9915" w:type="dxa"/>
        <w:jc w:val="center"/>
        <w:tblLayout w:type="fixed"/>
        <w:tblCellMar>
          <w:left w:w="107" w:type="dxa"/>
          <w:right w:w="107" w:type="dxa"/>
        </w:tblCellMar>
        <w:tblLook w:val="0000" w:firstRow="0" w:lastRow="0" w:firstColumn="0" w:lastColumn="0" w:noHBand="0" w:noVBand="0"/>
      </w:tblPr>
      <w:tblGrid>
        <w:gridCol w:w="1425"/>
        <w:gridCol w:w="985"/>
        <w:gridCol w:w="1126"/>
        <w:gridCol w:w="1000"/>
        <w:gridCol w:w="1134"/>
        <w:gridCol w:w="992"/>
        <w:gridCol w:w="1134"/>
        <w:gridCol w:w="993"/>
        <w:gridCol w:w="1126"/>
      </w:tblGrid>
      <w:tr w:rsidR="00727D07" w:rsidRPr="00727D07" w:rsidTr="008E3C29">
        <w:trPr>
          <w:jc w:val="center"/>
        </w:trPr>
        <w:tc>
          <w:tcPr>
            <w:tcW w:w="1425" w:type="dxa"/>
            <w:vMerge w:val="restart"/>
            <w:tcBorders>
              <w:top w:val="single" w:sz="6" w:space="0" w:color="auto"/>
              <w:left w:val="single" w:sz="6" w:space="0" w:color="auto"/>
              <w:right w:val="single" w:sz="6" w:space="0" w:color="auto"/>
            </w:tcBorders>
            <w:vAlign w:val="center"/>
          </w:tcPr>
          <w:p w:rsidR="00727D07" w:rsidRPr="00CB28CC" w:rsidRDefault="00727D07" w:rsidP="008E3C29">
            <w:pPr>
              <w:pStyle w:val="Tablehead"/>
              <w:rPr>
                <w:sz w:val="18"/>
                <w:szCs w:val="18"/>
                <w:lang w:val="en-US"/>
              </w:rPr>
            </w:pPr>
            <w:r w:rsidRPr="00CB28CC">
              <w:rPr>
                <w:sz w:val="18"/>
                <w:szCs w:val="18"/>
                <w:lang w:val="en-US"/>
              </w:rPr>
              <w:t>Frequency band</w:t>
            </w:r>
            <w:r w:rsidRPr="00CB28CC">
              <w:rPr>
                <w:sz w:val="18"/>
                <w:szCs w:val="18"/>
                <w:lang w:val="en-US"/>
              </w:rPr>
              <w:br/>
              <w:t>(MHz)</w:t>
            </w:r>
          </w:p>
        </w:tc>
        <w:tc>
          <w:tcPr>
            <w:tcW w:w="2111" w:type="dxa"/>
            <w:gridSpan w:val="2"/>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Long-term apportionment between categories of interferers</w:t>
            </w:r>
          </w:p>
        </w:tc>
        <w:tc>
          <w:tcPr>
            <w:tcW w:w="2134" w:type="dxa"/>
            <w:gridSpan w:val="2"/>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Short-term apportionment between categories of interferers</w:t>
            </w:r>
          </w:p>
        </w:tc>
        <w:tc>
          <w:tcPr>
            <w:tcW w:w="2126" w:type="dxa"/>
            <w:gridSpan w:val="2"/>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Equivalent number of</w:t>
            </w:r>
            <w:r w:rsidRPr="00CB28CC">
              <w:rPr>
                <w:sz w:val="18"/>
                <w:szCs w:val="18"/>
                <w:lang w:val="en-US"/>
              </w:rPr>
              <w:br/>
              <w:t>long-term interferers</w:t>
            </w:r>
          </w:p>
        </w:tc>
        <w:tc>
          <w:tcPr>
            <w:tcW w:w="2119" w:type="dxa"/>
            <w:gridSpan w:val="2"/>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Equivalent number of</w:t>
            </w:r>
            <w:r w:rsidRPr="00CB28CC">
              <w:rPr>
                <w:sz w:val="18"/>
                <w:szCs w:val="18"/>
                <w:lang w:val="en-US"/>
              </w:rPr>
              <w:br/>
              <w:t>short-term interferers</w:t>
            </w:r>
          </w:p>
        </w:tc>
      </w:tr>
      <w:tr w:rsidR="00727D07" w:rsidRPr="00CB28CC" w:rsidTr="008E3C29">
        <w:trPr>
          <w:jc w:val="center"/>
        </w:trPr>
        <w:tc>
          <w:tcPr>
            <w:tcW w:w="1425" w:type="dxa"/>
            <w:vMerge/>
            <w:tcBorders>
              <w:left w:val="single" w:sz="6" w:space="0" w:color="auto"/>
              <w:right w:val="single" w:sz="6" w:space="0" w:color="auto"/>
            </w:tcBorders>
            <w:vAlign w:val="center"/>
          </w:tcPr>
          <w:p w:rsidR="00727D07" w:rsidRPr="00CB28CC" w:rsidRDefault="00727D07" w:rsidP="008E3C29">
            <w:pPr>
              <w:pStyle w:val="Tablehead"/>
              <w:rPr>
                <w:sz w:val="18"/>
                <w:szCs w:val="18"/>
                <w:lang w:val="en-US"/>
              </w:rPr>
            </w:pPr>
          </w:p>
        </w:tc>
        <w:tc>
          <w:tcPr>
            <w:tcW w:w="2111" w:type="dxa"/>
            <w:gridSpan w:val="2"/>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Interfering signal path</w:t>
            </w:r>
          </w:p>
        </w:tc>
        <w:tc>
          <w:tcPr>
            <w:tcW w:w="2134" w:type="dxa"/>
            <w:gridSpan w:val="2"/>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Interfering signal path</w:t>
            </w:r>
          </w:p>
        </w:tc>
        <w:tc>
          <w:tcPr>
            <w:tcW w:w="2126" w:type="dxa"/>
            <w:gridSpan w:val="2"/>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Interfering signal path</w:t>
            </w:r>
          </w:p>
        </w:tc>
        <w:tc>
          <w:tcPr>
            <w:tcW w:w="2119" w:type="dxa"/>
            <w:gridSpan w:val="2"/>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Interfering signal path</w:t>
            </w:r>
          </w:p>
        </w:tc>
      </w:tr>
      <w:tr w:rsidR="00727D07" w:rsidRPr="00CB28CC" w:rsidTr="008E3C29">
        <w:trPr>
          <w:jc w:val="center"/>
        </w:trPr>
        <w:tc>
          <w:tcPr>
            <w:tcW w:w="1425" w:type="dxa"/>
            <w:vMerge/>
            <w:tcBorders>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p>
        </w:tc>
        <w:tc>
          <w:tcPr>
            <w:tcW w:w="985"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Space-to-Earth</w:t>
            </w:r>
          </w:p>
        </w:tc>
        <w:tc>
          <w:tcPr>
            <w:tcW w:w="1126"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Terrestrial</w:t>
            </w:r>
          </w:p>
        </w:tc>
        <w:tc>
          <w:tcPr>
            <w:tcW w:w="1000"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Space-to-Earth</w:t>
            </w:r>
          </w:p>
        </w:tc>
        <w:tc>
          <w:tcPr>
            <w:tcW w:w="1134"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Terrestrial</w:t>
            </w:r>
          </w:p>
        </w:tc>
        <w:tc>
          <w:tcPr>
            <w:tcW w:w="992"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Space-to-Earth</w:t>
            </w:r>
          </w:p>
        </w:tc>
        <w:tc>
          <w:tcPr>
            <w:tcW w:w="1134"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Terrestrial</w:t>
            </w:r>
          </w:p>
        </w:tc>
        <w:tc>
          <w:tcPr>
            <w:tcW w:w="993"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Space-to-Earth</w:t>
            </w:r>
          </w:p>
        </w:tc>
        <w:tc>
          <w:tcPr>
            <w:tcW w:w="1126" w:type="dxa"/>
            <w:tcBorders>
              <w:top w:val="single" w:sz="6" w:space="0" w:color="auto"/>
              <w:left w:val="single" w:sz="6" w:space="0" w:color="auto"/>
              <w:bottom w:val="single" w:sz="6" w:space="0" w:color="auto"/>
              <w:right w:val="single" w:sz="6" w:space="0" w:color="auto"/>
            </w:tcBorders>
          </w:tcPr>
          <w:p w:rsidR="00727D07" w:rsidRPr="00CB28CC" w:rsidRDefault="00727D07" w:rsidP="008E3C29">
            <w:pPr>
              <w:pStyle w:val="Tablehead"/>
              <w:rPr>
                <w:sz w:val="18"/>
                <w:szCs w:val="18"/>
                <w:lang w:val="en-US"/>
              </w:rPr>
            </w:pPr>
            <w:r w:rsidRPr="00CB28CC">
              <w:rPr>
                <w:sz w:val="18"/>
                <w:szCs w:val="18"/>
                <w:lang w:val="en-US"/>
              </w:rPr>
              <w:t>Terrestrial</w:t>
            </w:r>
          </w:p>
        </w:tc>
      </w:tr>
      <w:tr w:rsidR="00727D07" w:rsidRPr="00CB28CC" w:rsidTr="008E3C29">
        <w:trPr>
          <w:jc w:val="center"/>
        </w:trPr>
        <w:tc>
          <w:tcPr>
            <w:tcW w:w="1425" w:type="dxa"/>
            <w:tcBorders>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137-138</w:t>
            </w:r>
          </w:p>
        </w:tc>
        <w:tc>
          <w:tcPr>
            <w:tcW w:w="98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60%</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40%</w:t>
            </w:r>
          </w:p>
        </w:tc>
        <w:tc>
          <w:tcPr>
            <w:tcW w:w="1000"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50%</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50%</w:t>
            </w:r>
          </w:p>
        </w:tc>
        <w:tc>
          <w:tcPr>
            <w:tcW w:w="992"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9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r>
      <w:tr w:rsidR="00727D07" w:rsidRPr="00CB28CC" w:rsidTr="008E3C29">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400.15-401.00</w:t>
            </w:r>
          </w:p>
        </w:tc>
        <w:tc>
          <w:tcPr>
            <w:tcW w:w="98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75%</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25%</w:t>
            </w:r>
          </w:p>
        </w:tc>
        <w:tc>
          <w:tcPr>
            <w:tcW w:w="1000"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50%</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50%</w:t>
            </w:r>
          </w:p>
        </w:tc>
        <w:tc>
          <w:tcPr>
            <w:tcW w:w="992"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9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r>
      <w:tr w:rsidR="00727D07" w:rsidRPr="00CB28CC" w:rsidTr="008E3C29">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r w:rsidRPr="00CB28CC">
              <w:rPr>
                <w:rFonts w:ascii="Tms Rmn" w:hAnsi="Tms Rmn"/>
                <w:sz w:val="18"/>
                <w:szCs w:val="18"/>
                <w:lang w:val="en-US"/>
              </w:rPr>
              <w:t> </w:t>
            </w:r>
            <w:r w:rsidRPr="00CB28CC">
              <w:rPr>
                <w:sz w:val="18"/>
                <w:szCs w:val="18"/>
                <w:lang w:val="en-US"/>
              </w:rPr>
              <w:t>698-1</w:t>
            </w:r>
            <w:r w:rsidRPr="00CB28CC">
              <w:rPr>
                <w:rFonts w:ascii="Tms Rmn" w:hAnsi="Tms Rmn"/>
                <w:sz w:val="18"/>
                <w:szCs w:val="18"/>
                <w:lang w:val="en-US"/>
              </w:rPr>
              <w:t> </w:t>
            </w:r>
            <w:smartTag w:uri="schemas.gmx.net/NetPhone" w:element="Rufnummer">
              <w:r w:rsidRPr="00CB28CC">
                <w:rPr>
                  <w:sz w:val="18"/>
                  <w:szCs w:val="18"/>
                  <w:lang w:val="en-US"/>
                </w:rPr>
                <w:t>700</w:t>
              </w:r>
            </w:smartTag>
          </w:p>
        </w:tc>
        <w:tc>
          <w:tcPr>
            <w:tcW w:w="98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50%</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50%</w:t>
            </w:r>
          </w:p>
        </w:tc>
        <w:tc>
          <w:tcPr>
            <w:tcW w:w="1000"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80%</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20%</w:t>
            </w:r>
          </w:p>
        </w:tc>
        <w:tc>
          <w:tcPr>
            <w:tcW w:w="992"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9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r>
      <w:tr w:rsidR="00727D07" w:rsidRPr="00CB28CC" w:rsidTr="008E3C29">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r w:rsidRPr="00CB28CC">
              <w:rPr>
                <w:rFonts w:ascii="Tms Rmn" w:hAnsi="Tms Rmn"/>
                <w:sz w:val="18"/>
                <w:szCs w:val="18"/>
                <w:lang w:val="en-US"/>
              </w:rPr>
              <w:t> </w:t>
            </w:r>
            <w:r w:rsidRPr="00CB28CC">
              <w:rPr>
                <w:sz w:val="18"/>
                <w:szCs w:val="18"/>
                <w:lang w:val="en-US"/>
              </w:rPr>
              <w:t>700-1</w:t>
            </w:r>
            <w:r w:rsidRPr="00CB28CC">
              <w:rPr>
                <w:rFonts w:ascii="Tms Rmn" w:hAnsi="Tms Rmn"/>
                <w:sz w:val="18"/>
                <w:szCs w:val="18"/>
                <w:lang w:val="en-US"/>
              </w:rPr>
              <w:t> </w:t>
            </w:r>
            <w:r w:rsidRPr="00CB28CC">
              <w:rPr>
                <w:sz w:val="18"/>
                <w:szCs w:val="18"/>
                <w:lang w:val="en-US"/>
              </w:rPr>
              <w:t>710</w:t>
            </w:r>
            <w:r w:rsidRPr="00CB28CC">
              <w:rPr>
                <w:sz w:val="18"/>
                <w:szCs w:val="18"/>
                <w:lang w:val="en-US"/>
              </w:rPr>
              <w:br w:type="page"/>
            </w:r>
          </w:p>
        </w:tc>
        <w:tc>
          <w:tcPr>
            <w:tcW w:w="98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20%</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80%</w:t>
            </w:r>
          </w:p>
        </w:tc>
        <w:tc>
          <w:tcPr>
            <w:tcW w:w="1000"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25%</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75%</w:t>
            </w:r>
          </w:p>
        </w:tc>
        <w:tc>
          <w:tcPr>
            <w:tcW w:w="992"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9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r>
      <w:tr w:rsidR="00727D07" w:rsidRPr="00CB28CC" w:rsidTr="008E3C29">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7</w:t>
            </w:r>
            <w:r w:rsidRPr="00CB28CC">
              <w:rPr>
                <w:rFonts w:ascii="Tms Rmn" w:hAnsi="Tms Rmn"/>
                <w:sz w:val="18"/>
                <w:szCs w:val="18"/>
                <w:lang w:val="en-US"/>
              </w:rPr>
              <w:t> </w:t>
            </w:r>
            <w:r w:rsidRPr="00CB28CC">
              <w:rPr>
                <w:sz w:val="18"/>
                <w:szCs w:val="18"/>
                <w:lang w:val="en-US"/>
              </w:rPr>
              <w:t>750-</w:t>
            </w:r>
            <w:r w:rsidRPr="009B5625">
              <w:rPr>
                <w:sz w:val="18"/>
                <w:szCs w:val="18"/>
                <w:lang w:val="en-US"/>
              </w:rPr>
              <w:t>7 900</w:t>
            </w:r>
          </w:p>
        </w:tc>
        <w:tc>
          <w:tcPr>
            <w:tcW w:w="98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20%</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80%</w:t>
            </w:r>
          </w:p>
        </w:tc>
        <w:tc>
          <w:tcPr>
            <w:tcW w:w="1000"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75%</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25%</w:t>
            </w:r>
          </w:p>
        </w:tc>
        <w:tc>
          <w:tcPr>
            <w:tcW w:w="992"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9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r>
      <w:tr w:rsidR="00727D07" w:rsidRPr="00CB28CC" w:rsidTr="008E3C29">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8</w:t>
            </w:r>
            <w:r w:rsidRPr="00CB28CC">
              <w:rPr>
                <w:rFonts w:ascii="Tms Rmn" w:hAnsi="Tms Rmn"/>
                <w:sz w:val="18"/>
                <w:szCs w:val="18"/>
                <w:lang w:val="en-US"/>
              </w:rPr>
              <w:t> </w:t>
            </w:r>
            <w:r w:rsidRPr="00CB28CC">
              <w:rPr>
                <w:sz w:val="18"/>
                <w:szCs w:val="18"/>
                <w:lang w:val="en-US"/>
              </w:rPr>
              <w:t>025-8</w:t>
            </w:r>
            <w:r w:rsidRPr="00CB28CC">
              <w:rPr>
                <w:rFonts w:ascii="Tms Rmn" w:hAnsi="Tms Rmn"/>
                <w:sz w:val="18"/>
                <w:szCs w:val="18"/>
                <w:lang w:val="en-US"/>
              </w:rPr>
              <w:t> </w:t>
            </w:r>
            <w:r w:rsidRPr="00CB28CC">
              <w:rPr>
                <w:sz w:val="18"/>
                <w:szCs w:val="18"/>
                <w:lang w:val="en-US"/>
              </w:rPr>
              <w:t>400</w:t>
            </w:r>
          </w:p>
        </w:tc>
        <w:tc>
          <w:tcPr>
            <w:tcW w:w="98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99%</w:t>
            </w:r>
          </w:p>
        </w:tc>
        <w:tc>
          <w:tcPr>
            <w:tcW w:w="1000"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20%</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80%</w:t>
            </w:r>
          </w:p>
        </w:tc>
        <w:tc>
          <w:tcPr>
            <w:tcW w:w="992"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9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r>
      <w:tr w:rsidR="00727D07" w:rsidRPr="00CB28CC" w:rsidTr="008E3C29">
        <w:trPr>
          <w:jc w:val="center"/>
        </w:trPr>
        <w:tc>
          <w:tcPr>
            <w:tcW w:w="142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25</w:t>
            </w:r>
            <w:r w:rsidRPr="00CB28CC">
              <w:rPr>
                <w:rFonts w:ascii="Tms Rmn" w:hAnsi="Tms Rmn"/>
                <w:sz w:val="18"/>
                <w:szCs w:val="18"/>
                <w:lang w:val="en-US"/>
              </w:rPr>
              <w:t> </w:t>
            </w:r>
            <w:smartTag w:uri="schemas.gmx.net/NetPhone" w:element="Rufnummer">
              <w:r w:rsidRPr="00CB28CC">
                <w:rPr>
                  <w:sz w:val="18"/>
                  <w:szCs w:val="18"/>
                  <w:lang w:val="en-US"/>
                </w:rPr>
                <w:t>500</w:t>
              </w:r>
            </w:smartTag>
            <w:r w:rsidRPr="00CB28CC">
              <w:rPr>
                <w:sz w:val="18"/>
                <w:szCs w:val="18"/>
                <w:lang w:val="en-US"/>
              </w:rPr>
              <w:t>-</w:t>
            </w:r>
            <w:smartTag w:uri="schemas.gmx.net/NetPhone" w:element="Rufnummer">
              <w:r w:rsidRPr="00CB28CC">
                <w:rPr>
                  <w:sz w:val="18"/>
                  <w:szCs w:val="18"/>
                  <w:lang w:val="en-US"/>
                </w:rPr>
                <w:t>27</w:t>
              </w:r>
            </w:smartTag>
            <w:r w:rsidRPr="00CB28CC">
              <w:rPr>
                <w:rFonts w:ascii="Tms Rmn" w:hAnsi="Tms Rmn"/>
                <w:sz w:val="18"/>
                <w:szCs w:val="18"/>
                <w:lang w:val="en-US"/>
              </w:rPr>
              <w:t> </w:t>
            </w:r>
            <w:smartTag w:uri="schemas.gmx.net/NetPhone" w:element="Rufnummer">
              <w:r w:rsidRPr="00CB28CC">
                <w:rPr>
                  <w:sz w:val="18"/>
                  <w:szCs w:val="18"/>
                  <w:lang w:val="en-US"/>
                </w:rPr>
                <w:t>000</w:t>
              </w:r>
            </w:smartTag>
          </w:p>
        </w:tc>
        <w:tc>
          <w:tcPr>
            <w:tcW w:w="985"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smartTag w:uri="schemas.gmx.net/NetPhone" w:element="Rufnummer">
              <w:r w:rsidRPr="00CB28CC">
                <w:rPr>
                  <w:sz w:val="18"/>
                  <w:szCs w:val="18"/>
                  <w:lang w:val="en-US"/>
                </w:rPr>
                <w:t>99</w:t>
              </w:r>
            </w:smartTag>
            <w:r w:rsidRPr="00CB28CC">
              <w:rPr>
                <w:sz w:val="18"/>
                <w:szCs w:val="18"/>
                <w:lang w:val="en-US"/>
              </w:rPr>
              <w:t>%</w:t>
            </w:r>
          </w:p>
        </w:tc>
        <w:tc>
          <w:tcPr>
            <w:tcW w:w="1000"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smartTag w:uri="schemas.gmx.net/NetPhone" w:element="Rufnummer">
              <w:r w:rsidRPr="00CB28CC">
                <w:rPr>
                  <w:sz w:val="18"/>
                  <w:szCs w:val="18"/>
                  <w:lang w:val="en-US"/>
                </w:rPr>
                <w:t>20</w:t>
              </w:r>
            </w:smartTag>
            <w:r w:rsidRPr="00CB28CC">
              <w:rPr>
                <w:sz w:val="18"/>
                <w:szCs w:val="18"/>
                <w:lang w:val="en-US"/>
              </w:rPr>
              <w:t>%</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smartTag w:uri="schemas.gmx.net/NetPhone" w:element="Rufnummer">
              <w:r w:rsidRPr="00CB28CC">
                <w:rPr>
                  <w:sz w:val="18"/>
                  <w:szCs w:val="18"/>
                  <w:lang w:val="en-US"/>
                </w:rPr>
                <w:t>80</w:t>
              </w:r>
            </w:smartTag>
            <w:r w:rsidRPr="00CB28CC">
              <w:rPr>
                <w:sz w:val="18"/>
                <w:szCs w:val="18"/>
                <w:lang w:val="en-US"/>
              </w:rPr>
              <w:t>%</w:t>
            </w:r>
          </w:p>
        </w:tc>
        <w:tc>
          <w:tcPr>
            <w:tcW w:w="992"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1134"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c>
          <w:tcPr>
            <w:tcW w:w="993"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1</w:t>
            </w:r>
          </w:p>
        </w:tc>
        <w:tc>
          <w:tcPr>
            <w:tcW w:w="1126" w:type="dxa"/>
            <w:tcBorders>
              <w:top w:val="single" w:sz="6" w:space="0" w:color="auto"/>
              <w:left w:val="single" w:sz="6" w:space="0" w:color="auto"/>
              <w:bottom w:val="single" w:sz="6" w:space="0" w:color="auto"/>
              <w:right w:val="single" w:sz="6" w:space="0" w:color="auto"/>
            </w:tcBorders>
            <w:vAlign w:val="center"/>
          </w:tcPr>
          <w:p w:rsidR="00727D07" w:rsidRPr="00CB28CC" w:rsidRDefault="00727D07" w:rsidP="008E3C29">
            <w:pPr>
              <w:pStyle w:val="Tabletext"/>
              <w:jc w:val="center"/>
              <w:rPr>
                <w:sz w:val="18"/>
                <w:szCs w:val="18"/>
                <w:lang w:val="en-US"/>
              </w:rPr>
            </w:pPr>
            <w:r w:rsidRPr="00CB28CC">
              <w:rPr>
                <w:sz w:val="18"/>
                <w:szCs w:val="18"/>
                <w:lang w:val="en-US"/>
              </w:rPr>
              <w:t>2</w:t>
            </w:r>
          </w:p>
        </w:tc>
      </w:tr>
    </w:tbl>
    <w:p w:rsidR="00727D07" w:rsidRDefault="00727D07" w:rsidP="00727D07">
      <w:pPr>
        <w:jc w:val="center"/>
        <w:rPr>
          <w:lang w:val="en-US"/>
        </w:rPr>
      </w:pPr>
    </w:p>
    <w:p w:rsidR="00727D07" w:rsidRDefault="00727D07" w:rsidP="00727D07">
      <w:pPr>
        <w:jc w:val="center"/>
        <w:rPr>
          <w:lang w:val="en-US"/>
        </w:rPr>
      </w:pPr>
    </w:p>
    <w:p w:rsidR="00A6617B" w:rsidRPr="000A0689" w:rsidRDefault="00A6617B" w:rsidP="000A0689">
      <w:pPr>
        <w:pStyle w:val="Line"/>
      </w:pPr>
    </w:p>
    <w:sectPr w:rsidR="00A6617B" w:rsidRPr="000A0689" w:rsidSect="00FE04DB">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B7B" w:rsidRDefault="00160B7B">
      <w:r>
        <w:separator/>
      </w:r>
    </w:p>
  </w:endnote>
  <w:endnote w:type="continuationSeparator" w:id="0">
    <w:p w:rsidR="00160B7B" w:rsidRDefault="00160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B7B" w:rsidRDefault="00160B7B">
      <w:r>
        <w:separator/>
      </w:r>
    </w:p>
  </w:footnote>
  <w:footnote w:type="continuationSeparator" w:id="0">
    <w:p w:rsidR="00160B7B" w:rsidRDefault="00160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7B" w:rsidRDefault="00160B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7B" w:rsidRDefault="00160B7B" w:rsidP="00B033C8">
    <w:pPr>
      <w:pStyle w:val="Header"/>
      <w:ind w:right="360" w:firstLine="360"/>
    </w:pPr>
    <w:r>
      <w:rPr>
        <w:noProof/>
        <w:lang w:val="en-GB" w:eastAsia="en-GB"/>
      </w:rPr>
      <w:drawing>
        <wp:anchor distT="0" distB="0" distL="114300" distR="114300" simplePos="0" relativeHeight="251659264" behindDoc="1" locked="0" layoutInCell="1" allowOverlap="1" wp14:anchorId="63F65535" wp14:editId="7C2FC0C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7B" w:rsidRPr="00C95C69" w:rsidRDefault="00160B7B">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D47605">
      <w:rPr>
        <w:rStyle w:val="PageNumber"/>
        <w:b/>
        <w:bCs/>
        <w:noProof/>
        <w:lang w:val="fr-CH"/>
      </w:rPr>
      <w:t>ii</w:t>
    </w:r>
    <w:r>
      <w:rPr>
        <w:rStyle w:val="PageNumber"/>
        <w:b/>
        <w:bCs/>
      </w:rPr>
      <w:fldChar w:fldCharType="end"/>
    </w:r>
    <w:r w:rsidRPr="00C95C69">
      <w:rPr>
        <w:lang w:val="fr-CH"/>
      </w:rPr>
      <w:tab/>
    </w:r>
    <w:r>
      <w:fldChar w:fldCharType="begin"/>
    </w:r>
    <w:r>
      <w:instrText xml:space="preserve"> DOCPROPERTY "Header" \* MERGEFORMAT </w:instrText>
    </w:r>
    <w:r>
      <w:fldChar w:fldCharType="separate"/>
    </w:r>
    <w:r w:rsidR="00D47605" w:rsidRPr="00D47605">
      <w:rPr>
        <w:b/>
        <w:bCs/>
        <w:lang w:val="fr-CH"/>
      </w:rPr>
      <w:t xml:space="preserve">Rec. </w:t>
    </w:r>
    <w:r>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D47605">
      <w:rPr>
        <w:b/>
        <w:bCs/>
        <w:noProof/>
      </w:rPr>
      <w:t>ITU-R  SA.1027-5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7B" w:rsidRDefault="00160B7B">
    <w:pPr>
      <w:pStyle w:val="Header"/>
    </w:pPr>
    <w:r>
      <w:tab/>
    </w:r>
    <w:r>
      <w:fldChar w:fldCharType="begin"/>
    </w:r>
    <w:r>
      <w:instrText xml:space="preserve"> DOCPROPERTY "Header" \* MERGEFORMAT </w:instrText>
    </w:r>
    <w:r>
      <w:fldChar w:fldCharType="separate"/>
    </w:r>
    <w:r w:rsidR="00D47605" w:rsidRPr="00D4760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7605">
      <w:rPr>
        <w:b/>
        <w:bCs/>
        <w:noProof/>
      </w:rPr>
      <w:t>ITU-R  SA.1027-5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7D07">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760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47605" w:rsidRPr="00D4760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47605">
      <w:rPr>
        <w:b/>
        <w:bCs/>
        <w:noProof/>
      </w:rPr>
      <w:t>ITU-R  SA.1027-5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D47605">
      <w:fldChar w:fldCharType="begin"/>
    </w:r>
    <w:r w:rsidR="00D47605">
      <w:instrText xml:space="preserve"> DOCPROPERTY "Header" \* MERGEFORMAT </w:instrText>
    </w:r>
    <w:r w:rsidR="00D47605">
      <w:fldChar w:fldCharType="separate"/>
    </w:r>
    <w:r w:rsidR="00D47605" w:rsidRPr="00D47605">
      <w:rPr>
        <w:b/>
        <w:bCs/>
      </w:rPr>
      <w:t xml:space="preserve">Rec. </w:t>
    </w:r>
    <w:r w:rsidR="00D47605">
      <w:rPr>
        <w:b/>
        <w:bCs/>
      </w:rPr>
      <w:fldChar w:fldCharType="end"/>
    </w:r>
    <w:r>
      <w:rPr>
        <w:b/>
        <w:bCs/>
      </w:rPr>
      <w:t xml:space="preserve"> </w:t>
    </w:r>
    <w:r>
      <w:rPr>
        <w:b/>
        <w:bCs/>
      </w:rPr>
      <w:fldChar w:fldCharType="begin"/>
    </w:r>
    <w:r>
      <w:rPr>
        <w:b/>
        <w:bCs/>
      </w:rPr>
      <w:instrText>styleref href</w:instrText>
    </w:r>
    <w:r>
      <w:rPr>
        <w:b/>
        <w:bCs/>
      </w:rPr>
      <w:fldChar w:fldCharType="separate"/>
    </w:r>
    <w:r w:rsidR="00D47605">
      <w:rPr>
        <w:b/>
        <w:bCs/>
        <w:noProof/>
      </w:rPr>
      <w:t>ITU-R  SA.1027-5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7605">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B7B"/>
    <w:rsid w:val="00010879"/>
    <w:rsid w:val="000A0689"/>
    <w:rsid w:val="00160B7B"/>
    <w:rsid w:val="00217EBF"/>
    <w:rsid w:val="00242AEE"/>
    <w:rsid w:val="002D76C4"/>
    <w:rsid w:val="0052529D"/>
    <w:rsid w:val="00607D68"/>
    <w:rsid w:val="00727D07"/>
    <w:rsid w:val="007468DA"/>
    <w:rsid w:val="00952CD8"/>
    <w:rsid w:val="009E00A8"/>
    <w:rsid w:val="00A6617B"/>
    <w:rsid w:val="00AB0DC8"/>
    <w:rsid w:val="00B44E24"/>
    <w:rsid w:val="00D47605"/>
    <w:rsid w:val="00DF4176"/>
    <w:rsid w:val="00FE04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F0342B2"/>
  <w15:docId w15:val="{7EBFECD1-4C9A-40C0-9E34-3693C22C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B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010879"/>
    <w:pPr>
      <w:jc w:val="left"/>
    </w:pPr>
    <w:rPr>
      <w:sz w:val="22"/>
      <w:lang w:val="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60B7B"/>
    <w:rPr>
      <w:color w:val="0000FF"/>
      <w:u w:val="single"/>
    </w:rPr>
  </w:style>
  <w:style w:type="paragraph" w:customStyle="1" w:styleId="AnnexNo">
    <w:name w:val="Annex_No"/>
    <w:basedOn w:val="Normal"/>
    <w:next w:val="Normal"/>
    <w:rsid w:val="00727D0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27D0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TotalTime>
  <Pages>7</Pages>
  <Words>2297</Words>
  <Characters>13621</Characters>
  <Application>Microsoft Office Word</Application>
  <DocSecurity>0</DocSecurity>
  <Lines>113</Lines>
  <Paragraphs>31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Template BR_Rec_2005.dot</vt:lpstr>
      <vt:lpstr>Policy on Intellectual Property Right (IPR)</vt:lpstr>
      <vt:lpstr>1	Introduction</vt:lpstr>
      <vt:lpstr>2	137-138 MHz band</vt:lpstr>
      <vt:lpstr>3	400.15-401.00 MHz band</vt:lpstr>
      <vt:lpstr>4	1 698-1 710 MHz band</vt:lpstr>
      <vt:lpstr>5	7 750-7 900 MHz band</vt:lpstr>
      <vt:lpstr>6	8 025-8 400 MHz band</vt:lpstr>
      <vt:lpstr>7	25.5-27.0 GHz band</vt:lpstr>
    </vt:vector>
  </TitlesOfParts>
  <Manager/>
  <Company>ITU</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2017-06-16T06:43:00Z</cp:lastPrinted>
  <dcterms:created xsi:type="dcterms:W3CDTF">2017-06-16T06:04:00Z</dcterms:created>
  <dcterms:modified xsi:type="dcterms:W3CDTF">2017-06-16T06:44:00Z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