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DD77CB"/>
    <w:p w:rsidR="00DD77CB" w:rsidRPr="00575CB8" w:rsidRDefault="00DD77CB" w:rsidP="00DD77CB">
      <w:pPr>
        <w:rPr>
          <w:lang w:val="en-US"/>
        </w:rPr>
      </w:pPr>
      <w:bookmarkStart w:id="0" w:name="dbreak"/>
      <w:bookmarkEnd w:id="0"/>
    </w:p>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p w:rsidR="00DD77CB" w:rsidRDefault="00DD77CB" w:rsidP="00DD77CB"/>
    <w:tbl>
      <w:tblPr>
        <w:tblW w:w="10089" w:type="dxa"/>
        <w:tblLook w:val="01E0" w:firstRow="1" w:lastRow="1" w:firstColumn="1" w:lastColumn="1" w:noHBand="0" w:noVBand="0"/>
      </w:tblPr>
      <w:tblGrid>
        <w:gridCol w:w="10089"/>
      </w:tblGrid>
      <w:tr w:rsidR="00DD77CB" w:rsidRPr="005A1CE1" w:rsidTr="002432CC">
        <w:tc>
          <w:tcPr>
            <w:tcW w:w="10089" w:type="dxa"/>
          </w:tcPr>
          <w:p w:rsidR="00DD77CB" w:rsidRPr="0010336F" w:rsidRDefault="00DD77CB" w:rsidP="002432CC">
            <w:pPr>
              <w:spacing w:before="380" w:line="280" w:lineRule="exact"/>
              <w:jc w:val="right"/>
              <w:rPr>
                <w:rFonts w:ascii="Tahoma" w:hAnsi="Tahoma" w:cs="Tahoma"/>
                <w:b/>
                <w:bCs/>
                <w:iCs/>
                <w:color w:val="243285"/>
                <w:sz w:val="32"/>
                <w:szCs w:val="32"/>
                <w:lang w:val="en-US"/>
              </w:rPr>
            </w:pPr>
          </w:p>
          <w:p w:rsidR="00DD77CB" w:rsidRPr="0010336F" w:rsidRDefault="00DD77CB" w:rsidP="007B79F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10</w:t>
            </w:r>
            <w:r w:rsidR="007B79FA">
              <w:rPr>
                <w:rFonts w:ascii="Tahoma" w:hAnsi="Tahoma" w:cs="Tahoma"/>
                <w:b/>
                <w:bCs/>
                <w:iCs/>
                <w:color w:val="243285"/>
                <w:sz w:val="36"/>
                <w:szCs w:val="36"/>
                <w:lang w:val="es-ES_tradnl"/>
              </w:rPr>
              <w:t>27</w:t>
            </w:r>
            <w:r>
              <w:rPr>
                <w:rFonts w:ascii="Tahoma" w:hAnsi="Tahoma" w:cs="Tahoma"/>
                <w:b/>
                <w:bCs/>
                <w:iCs/>
                <w:color w:val="243285"/>
                <w:sz w:val="36"/>
                <w:szCs w:val="36"/>
                <w:lang w:val="es-ES_tradnl"/>
              </w:rPr>
              <w:t>-</w:t>
            </w:r>
            <w:r w:rsidR="007B79FA">
              <w:rPr>
                <w:rFonts w:ascii="Tahoma" w:hAnsi="Tahoma" w:cs="Tahoma"/>
                <w:b/>
                <w:bCs/>
                <w:iCs/>
                <w:color w:val="243285"/>
                <w:sz w:val="36"/>
                <w:szCs w:val="36"/>
                <w:lang w:val="es-ES_tradnl"/>
              </w:rPr>
              <w:t>5</w:t>
            </w:r>
          </w:p>
          <w:p w:rsidR="00DD77CB" w:rsidRPr="0010336F" w:rsidRDefault="00DD77CB" w:rsidP="002432CC">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Pr="008636F5">
              <w:rPr>
                <w:rFonts w:ascii="Tahoma" w:hAnsi="Tahoma" w:cs="Tahoma"/>
                <w:b/>
                <w:bCs/>
                <w:iCs/>
                <w:color w:val="243285"/>
                <w:szCs w:val="24"/>
                <w:lang w:val="es-ES_tradnl"/>
              </w:rPr>
              <w:t>07/2017</w:t>
            </w:r>
            <w:r w:rsidRPr="0010336F">
              <w:rPr>
                <w:rFonts w:ascii="Tahoma" w:hAnsi="Tahoma" w:cs="Tahoma"/>
                <w:b/>
                <w:bCs/>
                <w:iCs/>
                <w:color w:val="243285"/>
                <w:szCs w:val="24"/>
                <w:lang w:val="es-ES_tradnl"/>
              </w:rPr>
              <w:t>)</w:t>
            </w:r>
          </w:p>
        </w:tc>
      </w:tr>
      <w:tr w:rsidR="00DD77CB" w:rsidRPr="00E5175D" w:rsidTr="002432CC">
        <w:tc>
          <w:tcPr>
            <w:tcW w:w="10089" w:type="dxa"/>
          </w:tcPr>
          <w:p w:rsidR="00DD77CB" w:rsidRPr="0010336F" w:rsidRDefault="00DD77CB" w:rsidP="002432CC">
            <w:pPr>
              <w:spacing w:before="80" w:line="500" w:lineRule="exact"/>
              <w:jc w:val="right"/>
              <w:rPr>
                <w:rFonts w:ascii="Tahoma" w:hAnsi="Tahoma" w:cs="Tahoma"/>
                <w:b/>
                <w:bCs/>
                <w:iCs/>
                <w:color w:val="243285"/>
                <w:sz w:val="44"/>
                <w:szCs w:val="44"/>
                <w:lang w:val="es-ES_tradnl"/>
              </w:rPr>
            </w:pPr>
          </w:p>
          <w:p w:rsidR="00DD77CB" w:rsidRDefault="007B79FA" w:rsidP="007B79FA">
            <w:pPr>
              <w:spacing w:before="80" w:line="500" w:lineRule="exact"/>
              <w:jc w:val="right"/>
              <w:rPr>
                <w:rFonts w:ascii="Tahoma" w:hAnsi="Tahoma" w:cs="Tahoma"/>
                <w:b/>
                <w:bCs/>
                <w:color w:val="243285"/>
                <w:sz w:val="44"/>
                <w:szCs w:val="44"/>
                <w:lang w:val="es-ES_tradnl"/>
              </w:rPr>
            </w:pPr>
            <w:r w:rsidRPr="0018391A">
              <w:rPr>
                <w:rFonts w:ascii="Tahoma" w:hAnsi="Tahoma" w:cs="Tahoma"/>
                <w:b/>
                <w:bCs/>
                <w:color w:val="243285"/>
                <w:sz w:val="44"/>
                <w:szCs w:val="44"/>
                <w:lang w:val="es-ES_tradnl"/>
              </w:rPr>
              <w:t>Criterios de compartición para los sistemas de transmisión de datos espacio-Tierra de los servicios de exploración de la Tierra</w:t>
            </w:r>
            <w:r w:rsidRPr="0018391A">
              <w:rPr>
                <w:rFonts w:ascii="Tahoma" w:hAnsi="Tahoma" w:cs="Tahoma"/>
                <w:b/>
                <w:bCs/>
                <w:color w:val="243285"/>
                <w:sz w:val="44"/>
                <w:szCs w:val="44"/>
                <w:lang w:val="es-ES_tradnl"/>
              </w:rPr>
              <w:br/>
              <w:t>por satélite y de meteorología por</w:t>
            </w:r>
            <w:r>
              <w:rPr>
                <w:rFonts w:ascii="Tahoma" w:hAnsi="Tahoma" w:cs="Tahoma"/>
                <w:b/>
                <w:bCs/>
                <w:color w:val="243285"/>
                <w:sz w:val="44"/>
                <w:szCs w:val="44"/>
                <w:lang w:val="es-ES_tradnl"/>
              </w:rPr>
              <w:br/>
            </w:r>
            <w:r w:rsidRPr="0018391A">
              <w:rPr>
                <w:rFonts w:ascii="Tahoma" w:hAnsi="Tahoma" w:cs="Tahoma"/>
                <w:b/>
                <w:bCs/>
                <w:color w:val="243285"/>
                <w:sz w:val="44"/>
                <w:szCs w:val="44"/>
                <w:lang w:val="es-ES_tradnl"/>
              </w:rPr>
              <w:t>satélite que utilizan satélites</w:t>
            </w:r>
            <w:r>
              <w:rPr>
                <w:rFonts w:ascii="Tahoma" w:hAnsi="Tahoma" w:cs="Tahoma"/>
                <w:b/>
                <w:bCs/>
                <w:color w:val="243285"/>
                <w:sz w:val="44"/>
                <w:szCs w:val="44"/>
                <w:lang w:val="es-ES_tradnl"/>
              </w:rPr>
              <w:br/>
            </w:r>
            <w:r w:rsidRPr="0018391A">
              <w:rPr>
                <w:rFonts w:ascii="Tahoma" w:hAnsi="Tahoma" w:cs="Tahoma"/>
                <w:b/>
                <w:bCs/>
                <w:color w:val="243285"/>
                <w:sz w:val="44"/>
                <w:szCs w:val="44"/>
                <w:lang w:val="es-ES_tradnl"/>
              </w:rPr>
              <w:t>de órbita terrestre baja</w:t>
            </w:r>
          </w:p>
          <w:p w:rsidR="00DD77CB" w:rsidRPr="0010336F" w:rsidRDefault="00DD77CB" w:rsidP="002432CC">
            <w:pPr>
              <w:spacing w:before="80" w:line="500" w:lineRule="exact"/>
              <w:jc w:val="right"/>
              <w:rPr>
                <w:rFonts w:ascii="Tahoma" w:hAnsi="Tahoma" w:cs="Tahoma"/>
                <w:b/>
                <w:bCs/>
                <w:iCs/>
                <w:color w:val="243285"/>
                <w:sz w:val="44"/>
                <w:szCs w:val="44"/>
                <w:lang w:val="es-ES_tradnl"/>
              </w:rPr>
            </w:pPr>
          </w:p>
        </w:tc>
      </w:tr>
      <w:tr w:rsidR="00DD77CB" w:rsidRPr="00E5175D" w:rsidTr="002432CC">
        <w:tc>
          <w:tcPr>
            <w:tcW w:w="10089" w:type="dxa"/>
          </w:tcPr>
          <w:p w:rsidR="00DD77CB" w:rsidRPr="0010336F" w:rsidRDefault="00DD77CB" w:rsidP="002432CC">
            <w:pPr>
              <w:spacing w:before="80" w:line="280" w:lineRule="exact"/>
              <w:ind w:right="640"/>
              <w:rPr>
                <w:rFonts w:ascii="Tahoma" w:hAnsi="Tahoma" w:cs="Tahoma"/>
                <w:b/>
                <w:bCs/>
                <w:iCs/>
                <w:color w:val="243285"/>
                <w:sz w:val="32"/>
                <w:szCs w:val="32"/>
                <w:lang w:val="es-ES_tradnl"/>
              </w:rPr>
            </w:pPr>
          </w:p>
          <w:p w:rsidR="00DD77CB" w:rsidRDefault="00DD77CB" w:rsidP="002432CC">
            <w:pPr>
              <w:spacing w:before="80" w:line="280" w:lineRule="exact"/>
              <w:ind w:right="640"/>
              <w:rPr>
                <w:rFonts w:ascii="Tahoma" w:hAnsi="Tahoma" w:cs="Tahoma"/>
                <w:b/>
                <w:bCs/>
                <w:iCs/>
                <w:color w:val="243285"/>
                <w:sz w:val="32"/>
                <w:szCs w:val="32"/>
                <w:lang w:val="es-ES_tradnl"/>
              </w:rPr>
            </w:pPr>
          </w:p>
          <w:p w:rsidR="007B79FA" w:rsidRPr="0010336F" w:rsidRDefault="007B79FA" w:rsidP="002432CC">
            <w:pPr>
              <w:spacing w:before="80" w:line="280" w:lineRule="exact"/>
              <w:ind w:right="640"/>
              <w:rPr>
                <w:rFonts w:ascii="Tahoma" w:hAnsi="Tahoma" w:cs="Tahoma"/>
                <w:b/>
                <w:bCs/>
                <w:iCs/>
                <w:color w:val="243285"/>
                <w:sz w:val="32"/>
                <w:szCs w:val="32"/>
                <w:lang w:val="es-ES_tradnl"/>
              </w:rPr>
            </w:pPr>
          </w:p>
          <w:p w:rsidR="00DD77CB" w:rsidRPr="0010336F" w:rsidRDefault="00DD77CB" w:rsidP="002432CC">
            <w:pPr>
              <w:spacing w:before="80" w:after="180" w:line="360" w:lineRule="exact"/>
              <w:ind w:right="720"/>
              <w:rPr>
                <w:rFonts w:ascii="Tahoma" w:hAnsi="Tahoma" w:cs="Tahoma"/>
                <w:b/>
                <w:bCs/>
                <w:iCs/>
                <w:color w:val="243285"/>
                <w:sz w:val="36"/>
                <w:szCs w:val="36"/>
                <w:lang w:val="es-ES_tradnl"/>
              </w:rPr>
            </w:pPr>
          </w:p>
          <w:p w:rsidR="00DD77CB" w:rsidRPr="0010336F" w:rsidRDefault="00DD77CB" w:rsidP="002432C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DD77CB" w:rsidRPr="0010336F" w:rsidRDefault="00DD77CB" w:rsidP="002432C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spacing w:before="80"/>
        <w:rPr>
          <w:i/>
          <w:sz w:val="22"/>
          <w:lang w:val="es-ES_tradnl"/>
        </w:rPr>
      </w:pPr>
    </w:p>
    <w:p w:rsidR="00DD77CB" w:rsidRPr="0026666F" w:rsidRDefault="00DD77CB" w:rsidP="00DD77CB">
      <w:pPr>
        <w:pStyle w:val="Equation"/>
        <w:tabs>
          <w:tab w:val="clear" w:pos="4820"/>
          <w:tab w:val="clear" w:pos="9639"/>
          <w:tab w:val="left" w:pos="1191"/>
          <w:tab w:val="left" w:pos="1588"/>
          <w:tab w:val="left" w:pos="1985"/>
        </w:tabs>
        <w:rPr>
          <w:rFonts w:ascii="Palatino Linotype" w:hAnsi="Palatino Linotype"/>
          <w:lang w:val="es-ES_tradnl"/>
        </w:rPr>
        <w:sectPr w:rsidR="00DD77CB" w:rsidRPr="0026666F">
          <w:headerReference w:type="even" r:id="rId7"/>
          <w:headerReference w:type="default" r:id="rId8"/>
          <w:pgSz w:w="11907" w:h="16840" w:code="9"/>
          <w:pgMar w:top="1089" w:right="1089" w:bottom="284" w:left="1089" w:header="567" w:footer="284" w:gutter="0"/>
          <w:pgNumType w:start="1"/>
          <w:cols w:space="720"/>
        </w:sectPr>
      </w:pPr>
    </w:p>
    <w:p w:rsidR="00DD77CB" w:rsidRPr="006C718C" w:rsidRDefault="00DD77CB" w:rsidP="00DD77C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0" w:after="0"/>
        <w:rPr>
          <w:bCs/>
          <w:sz w:val="24"/>
          <w:szCs w:val="24"/>
          <w:lang w:val="es-ES_tradnl"/>
        </w:rPr>
      </w:pPr>
      <w:bookmarkStart w:id="1" w:name="c2tope"/>
      <w:bookmarkEnd w:id="1"/>
      <w:r w:rsidRPr="006C718C">
        <w:rPr>
          <w:bCs/>
          <w:sz w:val="24"/>
          <w:szCs w:val="24"/>
          <w:lang w:val="es-ES_tradnl"/>
        </w:rPr>
        <w:lastRenderedPageBreak/>
        <w:t>Prólogo</w:t>
      </w:r>
    </w:p>
    <w:p w:rsidR="00DD77CB" w:rsidRPr="006C718C" w:rsidRDefault="00DD77CB" w:rsidP="00DD77C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DD77CB" w:rsidRPr="006C718C" w:rsidRDefault="00DD77CB" w:rsidP="00DD77C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DD77CB" w:rsidRPr="00021E8A" w:rsidRDefault="00DD77CB" w:rsidP="00DD77C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DD77CB" w:rsidRPr="00021E8A" w:rsidRDefault="00DD77CB" w:rsidP="00DD77C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DD77CB" w:rsidRPr="007C36CA" w:rsidRDefault="00DD77CB" w:rsidP="00DD77CB">
      <w:pPr>
        <w:spacing w:before="0"/>
        <w:jc w:val="center"/>
        <w:rPr>
          <w:sz w:val="22"/>
          <w:lang w:val="es-ES_tradnl"/>
        </w:rPr>
      </w:pPr>
    </w:p>
    <w:p w:rsidR="00DD77CB" w:rsidRPr="007C36CA" w:rsidRDefault="00DD77CB" w:rsidP="00DD77C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D77CB" w:rsidRPr="00E5175D" w:rsidTr="002432CC">
        <w:tc>
          <w:tcPr>
            <w:tcW w:w="9360" w:type="dxa"/>
            <w:gridSpan w:val="2"/>
          </w:tcPr>
          <w:p w:rsidR="00DD77CB" w:rsidRPr="00021E8A" w:rsidRDefault="00DD77CB" w:rsidP="002432C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DD77CB" w:rsidRPr="00763D08"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DD77CB" w:rsidRPr="00036EE3" w:rsidTr="002432CC">
        <w:tc>
          <w:tcPr>
            <w:tcW w:w="1140" w:type="dxa"/>
            <w:tcBorders>
              <w:bottom w:val="nil"/>
            </w:tcBorders>
          </w:tcPr>
          <w:p w:rsidR="00DD77CB" w:rsidRPr="00036EE3" w:rsidRDefault="00DD77CB" w:rsidP="002432CC">
            <w:pPr>
              <w:spacing w:before="180" w:after="100"/>
              <w:ind w:left="57"/>
              <w:rPr>
                <w:b/>
                <w:bCs/>
                <w:sz w:val="20"/>
                <w:lang w:val="en-US"/>
              </w:rPr>
            </w:pPr>
            <w:r w:rsidRPr="00036EE3">
              <w:rPr>
                <w:b/>
                <w:bCs/>
                <w:sz w:val="20"/>
                <w:lang w:val="en-US"/>
              </w:rPr>
              <w:t>Series</w:t>
            </w:r>
          </w:p>
        </w:tc>
        <w:tc>
          <w:tcPr>
            <w:tcW w:w="8220" w:type="dxa"/>
            <w:tcBorders>
              <w:bottom w:val="nil"/>
            </w:tcBorders>
          </w:tcPr>
          <w:p w:rsidR="00DD77CB" w:rsidRPr="00036EE3"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DD77CB" w:rsidRPr="004532F7" w:rsidTr="002432CC">
        <w:tc>
          <w:tcPr>
            <w:tcW w:w="1140" w:type="dxa"/>
            <w:tcBorders>
              <w:top w:val="nil"/>
              <w:bottom w:val="nil"/>
            </w:tcBorders>
            <w:shd w:val="clear" w:color="auto" w:fill="auto"/>
          </w:tcPr>
          <w:p w:rsidR="00DD77CB" w:rsidRPr="004532F7" w:rsidRDefault="00DD77CB" w:rsidP="002432C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DD77CB" w:rsidRPr="004532F7"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DD77CB" w:rsidRPr="00E5175D" w:rsidTr="002432CC">
        <w:tc>
          <w:tcPr>
            <w:tcW w:w="1140" w:type="dxa"/>
            <w:tcBorders>
              <w:top w:val="nil"/>
              <w:bottom w:val="nil"/>
            </w:tcBorders>
            <w:shd w:val="clear" w:color="auto" w:fill="auto"/>
          </w:tcPr>
          <w:p w:rsidR="00DD77CB" w:rsidRPr="006B22C3" w:rsidRDefault="00DD77CB" w:rsidP="002432C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DD77CB" w:rsidRPr="006B22C3"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DD77CB" w:rsidRPr="00847DD5" w:rsidTr="002432CC">
        <w:tc>
          <w:tcPr>
            <w:tcW w:w="1140" w:type="dxa"/>
            <w:tcBorders>
              <w:top w:val="nil"/>
              <w:bottom w:val="nil"/>
            </w:tcBorders>
            <w:shd w:val="clear" w:color="auto" w:fill="auto"/>
          </w:tcPr>
          <w:p w:rsidR="00DD77CB" w:rsidRPr="00847DD5" w:rsidRDefault="00DD77CB" w:rsidP="002432C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DD77CB" w:rsidRPr="00847DD5"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DD77CB" w:rsidRPr="00ED2695" w:rsidTr="002432CC">
        <w:tc>
          <w:tcPr>
            <w:tcW w:w="1140" w:type="dxa"/>
            <w:tcBorders>
              <w:top w:val="nil"/>
              <w:bottom w:val="nil"/>
            </w:tcBorders>
            <w:shd w:val="clear" w:color="auto" w:fill="auto"/>
          </w:tcPr>
          <w:p w:rsidR="00DD77CB" w:rsidRPr="00ED2695" w:rsidRDefault="00DD77CB" w:rsidP="002432C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DD77CB" w:rsidRPr="00021E8A"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DD77CB" w:rsidRPr="00366CEE" w:rsidTr="002432CC">
        <w:tc>
          <w:tcPr>
            <w:tcW w:w="1140" w:type="dxa"/>
            <w:tcBorders>
              <w:top w:val="nil"/>
              <w:bottom w:val="nil"/>
            </w:tcBorders>
            <w:shd w:val="clear" w:color="auto" w:fill="auto"/>
          </w:tcPr>
          <w:p w:rsidR="00DD77CB" w:rsidRPr="00366CEE" w:rsidRDefault="00DD77CB" w:rsidP="002432C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DD77CB" w:rsidRPr="00366CEE" w:rsidRDefault="00DD77CB" w:rsidP="00243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DD77CB" w:rsidRPr="00E5175D" w:rsidTr="002432CC">
        <w:tc>
          <w:tcPr>
            <w:tcW w:w="1140" w:type="dxa"/>
            <w:tcBorders>
              <w:top w:val="nil"/>
              <w:bottom w:val="nil"/>
            </w:tcBorders>
            <w:shd w:val="clear" w:color="auto" w:fill="auto"/>
          </w:tcPr>
          <w:p w:rsidR="00DD77CB" w:rsidRPr="0010336F" w:rsidRDefault="00DD77CB" w:rsidP="002432C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DD77CB" w:rsidRPr="0010336F" w:rsidRDefault="00DD77CB" w:rsidP="002432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DD77CB" w:rsidRPr="00E5175D" w:rsidTr="002432CC">
        <w:tc>
          <w:tcPr>
            <w:tcW w:w="1140" w:type="dxa"/>
            <w:tcBorders>
              <w:top w:val="nil"/>
              <w:bottom w:val="nil"/>
            </w:tcBorders>
            <w:shd w:val="clear" w:color="auto" w:fill="auto"/>
          </w:tcPr>
          <w:p w:rsidR="00DD77CB" w:rsidRPr="00F95576" w:rsidRDefault="00DD77CB" w:rsidP="002432CC">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DD77CB" w:rsidRPr="00F95576" w:rsidRDefault="00DD77CB" w:rsidP="002432CC">
            <w:pPr>
              <w:spacing w:before="30" w:after="30"/>
              <w:jc w:val="left"/>
              <w:rPr>
                <w:sz w:val="20"/>
                <w:lang w:val="es-ES_tradnl"/>
              </w:rPr>
            </w:pPr>
            <w:r w:rsidRPr="00F95576">
              <w:rPr>
                <w:sz w:val="20"/>
                <w:lang w:val="es-ES_tradnl"/>
              </w:rPr>
              <w:t>Propagación de las ondas radioeléctricas</w:t>
            </w:r>
          </w:p>
        </w:tc>
      </w:tr>
      <w:tr w:rsidR="00DD77CB" w:rsidRPr="00DE71F7" w:rsidTr="002432CC">
        <w:tc>
          <w:tcPr>
            <w:tcW w:w="1140" w:type="dxa"/>
            <w:tcBorders>
              <w:top w:val="nil"/>
              <w:bottom w:val="nil"/>
            </w:tcBorders>
            <w:shd w:val="clear" w:color="auto" w:fill="auto"/>
          </w:tcPr>
          <w:p w:rsidR="00DD77CB" w:rsidRPr="00DE71F7" w:rsidRDefault="00DD77CB" w:rsidP="002432CC">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DD77CB" w:rsidRPr="00DE71F7" w:rsidRDefault="00DD77CB" w:rsidP="00243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DD77CB" w:rsidRPr="00E5175D" w:rsidTr="002432CC">
        <w:tc>
          <w:tcPr>
            <w:tcW w:w="1140" w:type="dxa"/>
            <w:tcBorders>
              <w:top w:val="nil"/>
              <w:bottom w:val="nil"/>
            </w:tcBorders>
            <w:shd w:val="clear" w:color="auto" w:fill="auto"/>
          </w:tcPr>
          <w:p w:rsidR="00DD77CB" w:rsidRPr="00D12388" w:rsidRDefault="00DD77CB" w:rsidP="002432CC">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DD77CB" w:rsidRPr="00D12388" w:rsidRDefault="00DD77CB" w:rsidP="002432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DD77CB" w:rsidRPr="00025336" w:rsidTr="002432CC">
        <w:tc>
          <w:tcPr>
            <w:tcW w:w="1140" w:type="dxa"/>
            <w:tcBorders>
              <w:top w:val="nil"/>
              <w:bottom w:val="nil"/>
            </w:tcBorders>
            <w:shd w:val="clear" w:color="auto" w:fill="auto"/>
          </w:tcPr>
          <w:p w:rsidR="00DD77CB" w:rsidRPr="00025336" w:rsidRDefault="00DD77CB" w:rsidP="002432CC">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DD77CB" w:rsidRPr="00025336" w:rsidRDefault="00DD77CB" w:rsidP="002432CC">
            <w:pPr>
              <w:spacing w:before="30" w:after="30"/>
              <w:jc w:val="left"/>
              <w:rPr>
                <w:sz w:val="20"/>
                <w:lang w:val="en-US"/>
              </w:rPr>
            </w:pPr>
            <w:r w:rsidRPr="00025336">
              <w:rPr>
                <w:sz w:val="20"/>
              </w:rPr>
              <w:t>Servicio fijo por satélite</w:t>
            </w:r>
          </w:p>
        </w:tc>
      </w:tr>
      <w:tr w:rsidR="00DD77CB" w:rsidRPr="00025336" w:rsidTr="002432CC">
        <w:tc>
          <w:tcPr>
            <w:tcW w:w="1140" w:type="dxa"/>
            <w:tcBorders>
              <w:top w:val="nil"/>
              <w:bottom w:val="nil"/>
            </w:tcBorders>
            <w:shd w:val="clear" w:color="auto" w:fill="F3F3F3"/>
          </w:tcPr>
          <w:p w:rsidR="00DD77CB" w:rsidRPr="00025336" w:rsidRDefault="00DD77CB" w:rsidP="002432CC">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DD77CB" w:rsidRPr="00025336" w:rsidRDefault="00DD77CB" w:rsidP="002432CC">
            <w:pPr>
              <w:spacing w:before="30" w:after="30"/>
              <w:jc w:val="left"/>
              <w:rPr>
                <w:b/>
                <w:bCs/>
                <w:color w:val="000080"/>
                <w:sz w:val="20"/>
                <w:lang w:val="en-US"/>
              </w:rPr>
            </w:pPr>
            <w:r w:rsidRPr="00025336">
              <w:rPr>
                <w:b/>
                <w:bCs/>
                <w:color w:val="000080"/>
                <w:sz w:val="20"/>
              </w:rPr>
              <w:t>Aplicaciones espaciales y meteorología</w:t>
            </w:r>
          </w:p>
        </w:tc>
      </w:tr>
      <w:tr w:rsidR="00DD77CB" w:rsidRPr="00E5175D" w:rsidTr="002432CC">
        <w:tc>
          <w:tcPr>
            <w:tcW w:w="1140" w:type="dxa"/>
            <w:tcBorders>
              <w:top w:val="nil"/>
            </w:tcBorders>
          </w:tcPr>
          <w:p w:rsidR="00DD77CB" w:rsidRPr="00036EE3" w:rsidRDefault="00DD77CB" w:rsidP="002432CC">
            <w:pPr>
              <w:spacing w:before="30" w:after="30"/>
              <w:ind w:left="57"/>
              <w:jc w:val="left"/>
              <w:rPr>
                <w:b/>
                <w:bCs/>
                <w:sz w:val="20"/>
                <w:lang w:val="en-US"/>
              </w:rPr>
            </w:pPr>
            <w:r w:rsidRPr="00036EE3">
              <w:rPr>
                <w:b/>
                <w:bCs/>
                <w:sz w:val="20"/>
                <w:lang w:val="en-US"/>
              </w:rPr>
              <w:t>SF</w:t>
            </w:r>
          </w:p>
        </w:tc>
        <w:tc>
          <w:tcPr>
            <w:tcW w:w="8220" w:type="dxa"/>
            <w:tcBorders>
              <w:top w:val="nil"/>
            </w:tcBorders>
          </w:tcPr>
          <w:p w:rsidR="00DD77CB" w:rsidRPr="00021E8A" w:rsidRDefault="00DD77CB" w:rsidP="002432C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DD77CB" w:rsidRPr="00036EE3" w:rsidTr="002432CC">
        <w:tc>
          <w:tcPr>
            <w:tcW w:w="1140" w:type="dxa"/>
            <w:shd w:val="clear" w:color="auto" w:fill="auto"/>
          </w:tcPr>
          <w:p w:rsidR="00DD77CB" w:rsidRPr="001240BC" w:rsidRDefault="00DD77CB" w:rsidP="002432CC">
            <w:pPr>
              <w:spacing w:before="30" w:after="30"/>
              <w:ind w:left="57"/>
              <w:jc w:val="left"/>
              <w:rPr>
                <w:b/>
                <w:bCs/>
                <w:sz w:val="20"/>
                <w:lang w:val="en-US"/>
              </w:rPr>
            </w:pPr>
            <w:r w:rsidRPr="001240BC">
              <w:rPr>
                <w:b/>
                <w:bCs/>
                <w:sz w:val="20"/>
                <w:lang w:val="en-US"/>
              </w:rPr>
              <w:t>SM</w:t>
            </w:r>
          </w:p>
        </w:tc>
        <w:tc>
          <w:tcPr>
            <w:tcW w:w="8220" w:type="dxa"/>
            <w:shd w:val="clear" w:color="auto" w:fill="auto"/>
          </w:tcPr>
          <w:p w:rsidR="00DD77CB" w:rsidRPr="001240BC" w:rsidRDefault="00DD77CB" w:rsidP="002432CC">
            <w:pPr>
              <w:spacing w:before="30" w:after="30"/>
              <w:jc w:val="left"/>
              <w:rPr>
                <w:sz w:val="20"/>
                <w:lang w:val="en-US"/>
              </w:rPr>
            </w:pPr>
            <w:r w:rsidRPr="001240BC">
              <w:rPr>
                <w:sz w:val="20"/>
              </w:rPr>
              <w:t>Gestión del espectro</w:t>
            </w:r>
          </w:p>
        </w:tc>
      </w:tr>
      <w:tr w:rsidR="00DD77CB" w:rsidRPr="00036EE3" w:rsidTr="002432CC">
        <w:tc>
          <w:tcPr>
            <w:tcW w:w="1140" w:type="dxa"/>
          </w:tcPr>
          <w:p w:rsidR="00DD77CB" w:rsidRPr="00036EE3" w:rsidRDefault="00DD77CB" w:rsidP="002432CC">
            <w:pPr>
              <w:spacing w:before="30" w:after="30"/>
              <w:ind w:left="57"/>
              <w:jc w:val="left"/>
              <w:rPr>
                <w:b/>
                <w:bCs/>
                <w:sz w:val="20"/>
                <w:lang w:val="en-US"/>
              </w:rPr>
            </w:pPr>
            <w:r w:rsidRPr="00036EE3">
              <w:rPr>
                <w:b/>
                <w:bCs/>
                <w:sz w:val="20"/>
                <w:lang w:val="en-US"/>
              </w:rPr>
              <w:t>SNG</w:t>
            </w:r>
          </w:p>
        </w:tc>
        <w:tc>
          <w:tcPr>
            <w:tcW w:w="8220" w:type="dxa"/>
          </w:tcPr>
          <w:p w:rsidR="00DD77CB" w:rsidRPr="00021E8A" w:rsidRDefault="00DD77CB" w:rsidP="002432CC">
            <w:pPr>
              <w:spacing w:before="30" w:after="30"/>
              <w:jc w:val="left"/>
              <w:rPr>
                <w:bCs/>
                <w:sz w:val="20"/>
                <w:lang w:val="en-US"/>
              </w:rPr>
            </w:pPr>
            <w:r w:rsidRPr="00021E8A">
              <w:rPr>
                <w:bCs/>
                <w:sz w:val="20"/>
              </w:rPr>
              <w:t>Periodismo electrónico por satélite</w:t>
            </w:r>
          </w:p>
        </w:tc>
      </w:tr>
      <w:tr w:rsidR="00DD77CB" w:rsidRPr="00E5175D" w:rsidTr="002432CC">
        <w:tc>
          <w:tcPr>
            <w:tcW w:w="1140" w:type="dxa"/>
          </w:tcPr>
          <w:p w:rsidR="00DD77CB" w:rsidRPr="00036EE3" w:rsidRDefault="00DD77CB" w:rsidP="002432CC">
            <w:pPr>
              <w:spacing w:before="30" w:after="30"/>
              <w:ind w:left="57"/>
              <w:jc w:val="left"/>
              <w:rPr>
                <w:b/>
                <w:bCs/>
                <w:sz w:val="20"/>
                <w:lang w:val="en-US"/>
              </w:rPr>
            </w:pPr>
            <w:r w:rsidRPr="00036EE3">
              <w:rPr>
                <w:b/>
                <w:bCs/>
                <w:sz w:val="20"/>
                <w:lang w:val="en-US"/>
              </w:rPr>
              <w:t>TF</w:t>
            </w:r>
          </w:p>
        </w:tc>
        <w:tc>
          <w:tcPr>
            <w:tcW w:w="8220" w:type="dxa"/>
          </w:tcPr>
          <w:p w:rsidR="00DD77CB" w:rsidRPr="00021E8A" w:rsidRDefault="00DD77CB" w:rsidP="002432CC">
            <w:pPr>
              <w:spacing w:before="30" w:after="30"/>
              <w:jc w:val="left"/>
              <w:rPr>
                <w:bCs/>
                <w:sz w:val="20"/>
                <w:lang w:val="es-ES_tradnl"/>
              </w:rPr>
            </w:pPr>
            <w:r w:rsidRPr="00021E8A">
              <w:rPr>
                <w:bCs/>
                <w:sz w:val="20"/>
                <w:lang w:val="es-ES_tradnl"/>
              </w:rPr>
              <w:t>Emisiones de frecuencias patrón y señales horarias</w:t>
            </w:r>
          </w:p>
        </w:tc>
      </w:tr>
      <w:tr w:rsidR="00DD77CB" w:rsidRPr="00036EE3" w:rsidTr="002432CC">
        <w:tc>
          <w:tcPr>
            <w:tcW w:w="1140" w:type="dxa"/>
          </w:tcPr>
          <w:p w:rsidR="00DD77CB" w:rsidRPr="00036EE3" w:rsidRDefault="00DD77CB" w:rsidP="002432CC">
            <w:pPr>
              <w:spacing w:before="30" w:after="30"/>
              <w:ind w:left="57"/>
              <w:jc w:val="left"/>
              <w:rPr>
                <w:b/>
                <w:bCs/>
                <w:sz w:val="20"/>
                <w:lang w:val="en-US"/>
              </w:rPr>
            </w:pPr>
            <w:r w:rsidRPr="00036EE3">
              <w:rPr>
                <w:b/>
                <w:bCs/>
                <w:sz w:val="20"/>
                <w:lang w:val="en-US"/>
              </w:rPr>
              <w:t>V</w:t>
            </w:r>
          </w:p>
        </w:tc>
        <w:tc>
          <w:tcPr>
            <w:tcW w:w="8220" w:type="dxa"/>
          </w:tcPr>
          <w:p w:rsidR="00DD77CB" w:rsidRPr="00021E8A" w:rsidRDefault="00DD77CB" w:rsidP="002432CC">
            <w:pPr>
              <w:spacing w:before="30" w:after="140"/>
              <w:jc w:val="left"/>
              <w:rPr>
                <w:bCs/>
                <w:sz w:val="20"/>
                <w:lang w:val="en-US"/>
              </w:rPr>
            </w:pPr>
            <w:r w:rsidRPr="00021E8A">
              <w:rPr>
                <w:bCs/>
                <w:sz w:val="20"/>
              </w:rPr>
              <w:t>Vocabulario y cuestiones afines</w:t>
            </w:r>
          </w:p>
        </w:tc>
      </w:tr>
    </w:tbl>
    <w:p w:rsidR="00DD77CB" w:rsidRPr="00036EE3" w:rsidRDefault="00DD77CB" w:rsidP="00DD77C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D77CB" w:rsidTr="002432CC">
        <w:tc>
          <w:tcPr>
            <w:tcW w:w="720" w:type="dxa"/>
          </w:tcPr>
          <w:p w:rsidR="00DD77CB" w:rsidRDefault="00DD77CB" w:rsidP="002432CC">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D77CB" w:rsidRPr="00E5175D" w:rsidTr="002432CC">
        <w:tc>
          <w:tcPr>
            <w:tcW w:w="9360" w:type="dxa"/>
          </w:tcPr>
          <w:p w:rsidR="00DD77CB" w:rsidRPr="00763D08" w:rsidRDefault="00DD77CB" w:rsidP="00AD4D39">
            <w:pPr>
              <w:spacing w:before="92" w:after="92"/>
              <w:ind w:left="113" w:right="113"/>
              <w:rPr>
                <w:i/>
                <w:iCs/>
                <w:sz w:val="20"/>
                <w:lang w:val="es-ES_tradnl"/>
              </w:rPr>
            </w:pPr>
            <w:r w:rsidRPr="00763D08">
              <w:rPr>
                <w:b/>
                <w:bCs/>
                <w:i/>
                <w:iCs/>
                <w:sz w:val="20"/>
                <w:lang w:val="es-ES_tradnl"/>
              </w:rPr>
              <w:t>Nota</w:t>
            </w:r>
            <w:r w:rsidRPr="00763D08">
              <w:rPr>
                <w:i/>
                <w:iCs/>
                <w:sz w:val="20"/>
                <w:lang w:val="es-ES_tradnl"/>
              </w:rPr>
              <w:t>: Esta Recomendación UIT-R fue aprobada en inglés conforme al procedimiento detallado en la Resolución</w:t>
            </w:r>
            <w:r w:rsidR="00AD4D39">
              <w:rPr>
                <w:i/>
                <w:iCs/>
                <w:sz w:val="20"/>
                <w:lang w:val="es-ES_tradnl"/>
              </w:rPr>
              <w:t> </w:t>
            </w:r>
            <w:r w:rsidRPr="00763D08">
              <w:rPr>
                <w:i/>
                <w:iCs/>
                <w:sz w:val="20"/>
                <w:lang w:val="es-ES_tradnl"/>
              </w:rPr>
              <w:t>UIT-R 1.</w:t>
            </w:r>
          </w:p>
        </w:tc>
      </w:tr>
    </w:tbl>
    <w:p w:rsidR="00DD77CB" w:rsidRPr="00763D08" w:rsidRDefault="00DD77CB" w:rsidP="00DD77CB">
      <w:pPr>
        <w:spacing w:before="0"/>
        <w:jc w:val="center"/>
        <w:rPr>
          <w:sz w:val="22"/>
          <w:lang w:val="es-ES_tradnl"/>
        </w:rPr>
      </w:pPr>
    </w:p>
    <w:p w:rsidR="00DD77CB" w:rsidRPr="00763D08" w:rsidRDefault="00DD77CB" w:rsidP="00DD77CB">
      <w:pPr>
        <w:spacing w:before="60"/>
        <w:jc w:val="right"/>
        <w:rPr>
          <w:i/>
          <w:iCs/>
          <w:sz w:val="20"/>
          <w:lang w:val="es-ES_tradnl"/>
        </w:rPr>
      </w:pPr>
      <w:r w:rsidRPr="00763D08">
        <w:rPr>
          <w:i/>
          <w:iCs/>
          <w:sz w:val="20"/>
          <w:lang w:val="es-ES_tradnl"/>
        </w:rPr>
        <w:t>Publicación electrónica</w:t>
      </w:r>
    </w:p>
    <w:p w:rsidR="00DD77CB" w:rsidRPr="00763D08" w:rsidRDefault="00DD77CB" w:rsidP="00DD77CB">
      <w:pPr>
        <w:spacing w:before="0" w:after="40"/>
        <w:jc w:val="right"/>
        <w:rPr>
          <w:sz w:val="20"/>
          <w:lang w:val="es-ES_tradnl"/>
        </w:rPr>
      </w:pPr>
      <w:r w:rsidRPr="00763D08">
        <w:rPr>
          <w:sz w:val="20"/>
          <w:lang w:val="es-ES_tradnl"/>
        </w:rPr>
        <w:t>Ginebra, 20</w:t>
      </w:r>
      <w:r>
        <w:rPr>
          <w:sz w:val="20"/>
          <w:lang w:val="es-ES_tradnl"/>
        </w:rPr>
        <w:t>18</w:t>
      </w:r>
    </w:p>
    <w:p w:rsidR="00DD77CB" w:rsidRPr="00763D08" w:rsidRDefault="00DD77CB" w:rsidP="00DD77CB">
      <w:pPr>
        <w:spacing w:before="0" w:after="120"/>
        <w:jc w:val="center"/>
        <w:rPr>
          <w:sz w:val="22"/>
          <w:lang w:val="es-ES_tradnl"/>
        </w:rPr>
      </w:pPr>
    </w:p>
    <w:p w:rsidR="00DD77CB" w:rsidRPr="00763D08" w:rsidRDefault="00DD77CB" w:rsidP="00DD77C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18</w:t>
      </w:r>
    </w:p>
    <w:p w:rsidR="00DD77CB" w:rsidRPr="006C718C" w:rsidRDefault="00DD77CB" w:rsidP="00DD77C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DD77CB" w:rsidRPr="006C718C" w:rsidRDefault="00DD77CB" w:rsidP="00DD77CB">
      <w:pPr>
        <w:spacing w:before="160"/>
        <w:rPr>
          <w:i/>
          <w:sz w:val="20"/>
          <w:highlight w:val="yellow"/>
          <w:lang w:val="es-ES_tradnl"/>
        </w:rPr>
        <w:sectPr w:rsidR="00DD77CB"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DD77CB" w:rsidRPr="0010336F" w:rsidRDefault="00DD77CB" w:rsidP="007B79FA">
      <w:pPr>
        <w:pStyle w:val="RecNo"/>
        <w:spacing w:before="0"/>
        <w:rPr>
          <w:lang w:val="es-ES_tradnl"/>
        </w:rPr>
      </w:pPr>
      <w:bookmarkStart w:id="3" w:name="irecnoe"/>
      <w:bookmarkEnd w:id="3"/>
      <w:r w:rsidRPr="00763D08">
        <w:rPr>
          <w:lang w:val="es-ES_tradnl"/>
        </w:rPr>
        <w:t xml:space="preserve">RECOMENDACIÓN  </w:t>
      </w:r>
      <w:r w:rsidRPr="0010336F">
        <w:rPr>
          <w:rStyle w:val="href"/>
          <w:lang w:val="es-ES_tradnl"/>
        </w:rPr>
        <w:t xml:space="preserve">UIT-R  </w:t>
      </w:r>
      <w:r>
        <w:rPr>
          <w:rStyle w:val="href"/>
          <w:lang w:val="es-ES_tradnl"/>
        </w:rPr>
        <w:t>SA</w:t>
      </w:r>
      <w:r w:rsidRPr="0010336F">
        <w:rPr>
          <w:rStyle w:val="href"/>
          <w:lang w:val="es-ES_tradnl"/>
        </w:rPr>
        <w:t>.1</w:t>
      </w:r>
      <w:r>
        <w:rPr>
          <w:rStyle w:val="href"/>
          <w:lang w:val="es-ES_tradnl"/>
        </w:rPr>
        <w:t>0</w:t>
      </w:r>
      <w:r w:rsidR="007B79FA">
        <w:rPr>
          <w:rStyle w:val="href"/>
          <w:lang w:val="es-ES_tradnl"/>
        </w:rPr>
        <w:t>27</w:t>
      </w:r>
      <w:r>
        <w:rPr>
          <w:rStyle w:val="href"/>
          <w:lang w:val="es-ES_tradnl"/>
        </w:rPr>
        <w:t>-</w:t>
      </w:r>
      <w:r w:rsidR="007B79FA">
        <w:rPr>
          <w:rStyle w:val="href"/>
          <w:lang w:val="es-ES_tradnl"/>
        </w:rPr>
        <w:t>5</w:t>
      </w:r>
    </w:p>
    <w:p w:rsidR="007B79FA" w:rsidRPr="0018391A" w:rsidRDefault="007B79FA" w:rsidP="00DF6DC6">
      <w:pPr>
        <w:pStyle w:val="Rectitle"/>
        <w:rPr>
          <w:lang w:val="es-ES_tradnl"/>
        </w:rPr>
      </w:pPr>
      <w:r w:rsidRPr="0018391A">
        <w:rPr>
          <w:lang w:val="es-ES_tradnl"/>
        </w:rPr>
        <w:t xml:space="preserve">Criterios de compartición para los sistemas de transmisión de datos </w:t>
      </w:r>
      <w:r w:rsidR="00DF6DC6">
        <w:rPr>
          <w:lang w:val="es-ES_tradnl"/>
        </w:rPr>
        <w:br/>
        <w:t>espacio-</w:t>
      </w:r>
      <w:r w:rsidRPr="0018391A">
        <w:rPr>
          <w:lang w:val="es-ES_tradnl"/>
        </w:rPr>
        <w:t>Tierra de los servicios de exploración de la Tierra por</w:t>
      </w:r>
      <w:r w:rsidR="00DF6DC6">
        <w:rPr>
          <w:lang w:val="es-ES_tradnl"/>
        </w:rPr>
        <w:t xml:space="preserve"> </w:t>
      </w:r>
      <w:r w:rsidR="00DF6DC6">
        <w:rPr>
          <w:lang w:val="es-ES_tradnl"/>
        </w:rPr>
        <w:br/>
      </w:r>
      <w:r w:rsidR="00DF6DC6" w:rsidRPr="0018391A">
        <w:rPr>
          <w:lang w:val="es-ES_tradnl"/>
        </w:rPr>
        <w:t xml:space="preserve">satélite </w:t>
      </w:r>
      <w:r w:rsidRPr="0018391A">
        <w:rPr>
          <w:lang w:val="es-ES_tradnl"/>
        </w:rPr>
        <w:t>y de meteorología por satélite que utilizan satélites</w:t>
      </w:r>
      <w:r w:rsidR="00DF6DC6">
        <w:rPr>
          <w:lang w:val="es-ES_tradnl"/>
        </w:rPr>
        <w:br/>
      </w:r>
      <w:r w:rsidRPr="0018391A">
        <w:rPr>
          <w:lang w:val="es-ES_tradnl"/>
        </w:rPr>
        <w:t>de órbita terrestre baja</w:t>
      </w:r>
    </w:p>
    <w:p w:rsidR="00DF6DC6" w:rsidRPr="0001294B" w:rsidRDefault="00DF6DC6" w:rsidP="00DF6DC6">
      <w:pPr>
        <w:pStyle w:val="Blanc"/>
        <w:rPr>
          <w:lang w:val="es-ES_tradnl"/>
        </w:rPr>
      </w:pPr>
    </w:p>
    <w:p w:rsidR="007B79FA" w:rsidRPr="0018391A" w:rsidRDefault="00DF6DC6" w:rsidP="00DF6DC6">
      <w:pPr>
        <w:pStyle w:val="Repdate"/>
        <w:rPr>
          <w:lang w:val="es-ES_tradnl"/>
        </w:rPr>
      </w:pPr>
      <w:r w:rsidRPr="0018391A">
        <w:rPr>
          <w:lang w:val="es-ES_tradnl"/>
        </w:rPr>
        <w:t xml:space="preserve"> </w:t>
      </w:r>
      <w:r w:rsidR="007B79FA" w:rsidRPr="0018391A">
        <w:rPr>
          <w:lang w:val="es-ES_tradnl"/>
        </w:rPr>
        <w:t>(1994-1995-1997-1999-2009-2017)</w:t>
      </w:r>
    </w:p>
    <w:p w:rsidR="00DF6DC6" w:rsidRPr="0001294B" w:rsidRDefault="00DF6DC6" w:rsidP="00DF6DC6">
      <w:pPr>
        <w:pStyle w:val="Blanc"/>
        <w:rPr>
          <w:lang w:val="es-ES_tradnl"/>
        </w:rPr>
      </w:pPr>
    </w:p>
    <w:p w:rsidR="007B79FA" w:rsidRPr="0018391A" w:rsidRDefault="007B79FA" w:rsidP="007B79FA">
      <w:pPr>
        <w:pStyle w:val="HeadingSum"/>
      </w:pPr>
      <w:r w:rsidRPr="0018391A">
        <w:t>Cometido</w:t>
      </w:r>
    </w:p>
    <w:p w:rsidR="007B79FA" w:rsidRPr="0018391A" w:rsidRDefault="007B79FA" w:rsidP="007B79FA">
      <w:pPr>
        <w:pStyle w:val="Summary"/>
      </w:pPr>
      <w:r w:rsidRPr="0018391A">
        <w:t>En la presente Recomendación se indican los criterios de compartición para los sistemas de transmisión de datos espacio-Tierra de los servicios de exploración de la Tierra por satélite y de meteorología por satélite que utilizan satélites de órbita terrestre baja.</w:t>
      </w:r>
    </w:p>
    <w:p w:rsidR="007B79FA" w:rsidRPr="0018391A" w:rsidRDefault="007B79FA" w:rsidP="007B79FA">
      <w:pPr>
        <w:pStyle w:val="Headingb"/>
        <w:rPr>
          <w:lang w:val="es-ES_tradnl"/>
        </w:rPr>
      </w:pPr>
      <w:r w:rsidRPr="0018391A">
        <w:rPr>
          <w:lang w:val="es-ES_tradnl"/>
        </w:rPr>
        <w:t>Palabras clave</w:t>
      </w:r>
    </w:p>
    <w:p w:rsidR="007B79FA" w:rsidRPr="0018391A" w:rsidRDefault="00F7572E" w:rsidP="00AD4D39">
      <w:pPr>
        <w:rPr>
          <w:lang w:val="es-ES_tradnl"/>
        </w:rPr>
      </w:pPr>
      <w:r w:rsidRPr="0018391A">
        <w:rPr>
          <w:lang w:val="es-ES_tradnl"/>
        </w:rPr>
        <w:t>Criterios de compartición de una sola fuente</w:t>
      </w:r>
      <w:r>
        <w:rPr>
          <w:lang w:val="es-ES_tradnl"/>
        </w:rPr>
        <w:t>,</w:t>
      </w:r>
      <w:r w:rsidRPr="0018391A">
        <w:rPr>
          <w:lang w:val="es-ES_tradnl"/>
        </w:rPr>
        <w:t xml:space="preserve"> MetSat, </w:t>
      </w:r>
      <w:r w:rsidR="00AD4D39" w:rsidRPr="0018391A">
        <w:rPr>
          <w:lang w:val="es-ES_tradnl"/>
        </w:rPr>
        <w:t>satélites no OSG</w:t>
      </w:r>
      <w:r w:rsidR="00AD4D39">
        <w:rPr>
          <w:lang w:val="es-ES_tradnl"/>
        </w:rPr>
        <w:t>,</w:t>
      </w:r>
      <w:r w:rsidR="00AD4D39" w:rsidRPr="0018391A">
        <w:rPr>
          <w:lang w:val="es-ES_tradnl"/>
        </w:rPr>
        <w:t xml:space="preserve"> </w:t>
      </w:r>
      <w:r w:rsidR="00B42DBF">
        <w:rPr>
          <w:lang w:val="es-ES_tradnl"/>
        </w:rPr>
        <w:t>SETS</w:t>
      </w:r>
    </w:p>
    <w:p w:rsidR="007B79FA" w:rsidRPr="00877BE6" w:rsidRDefault="007B79FA" w:rsidP="00DF6DC6">
      <w:pPr>
        <w:pStyle w:val="Headingb"/>
        <w:rPr>
          <w:lang w:val="fr-CH"/>
        </w:rPr>
      </w:pPr>
      <w:r w:rsidRPr="00877BE6">
        <w:rPr>
          <w:lang w:val="fr-CH"/>
        </w:rPr>
        <w:t>Recomendaciones relacionad</w:t>
      </w:r>
      <w:r w:rsidR="00DF6DC6">
        <w:rPr>
          <w:lang w:val="fr-CH"/>
        </w:rPr>
        <w:t>a</w:t>
      </w:r>
      <w:r w:rsidRPr="00877BE6">
        <w:rPr>
          <w:lang w:val="fr-CH"/>
        </w:rPr>
        <w:t>s</w:t>
      </w:r>
    </w:p>
    <w:p w:rsidR="007B79FA" w:rsidRDefault="007B79FA" w:rsidP="00F7572E">
      <w:pPr>
        <w:spacing w:after="480"/>
        <w:rPr>
          <w:lang w:val="fr-CH"/>
        </w:rPr>
      </w:pPr>
      <w:r w:rsidRPr="00877BE6">
        <w:rPr>
          <w:lang w:val="fr-CH"/>
        </w:rPr>
        <w:t>Recomendaciones UIT-R SA.514, UIT-R SA.1020, UIT-R SA.1021, UIT-R SA.1022, UIT</w:t>
      </w:r>
      <w:r w:rsidRPr="00877BE6">
        <w:rPr>
          <w:lang w:val="fr-CH"/>
        </w:rPr>
        <w:noBreakHyphen/>
        <w:t>R</w:t>
      </w:r>
      <w:r w:rsidR="00F7572E">
        <w:rPr>
          <w:lang w:val="fr-CH"/>
        </w:rPr>
        <w:t xml:space="preserve"> </w:t>
      </w:r>
      <w:r w:rsidRPr="00877BE6">
        <w:rPr>
          <w:lang w:val="fr-CH"/>
        </w:rPr>
        <w:t>SA.1023, UIT-R SA.1026, UIT-R SA.1159</w:t>
      </w:r>
    </w:p>
    <w:p w:rsidR="00DF6DC6" w:rsidRPr="0001294B" w:rsidRDefault="00DF6DC6" w:rsidP="00DF6DC6">
      <w:pPr>
        <w:pStyle w:val="Blanc"/>
        <w:rPr>
          <w:lang w:val="fr-CH"/>
        </w:rPr>
      </w:pPr>
    </w:p>
    <w:p w:rsidR="007B79FA" w:rsidRPr="0018391A" w:rsidRDefault="007B79FA" w:rsidP="007B79FA">
      <w:pPr>
        <w:pStyle w:val="Normalaftertitle"/>
        <w:rPr>
          <w:lang w:val="es-ES_tradnl"/>
        </w:rPr>
      </w:pPr>
      <w:r w:rsidRPr="0018391A">
        <w:rPr>
          <w:lang w:val="es-ES_tradnl"/>
        </w:rPr>
        <w:t>La Asamblea de Radiocomunicaciones de la UIT,</w:t>
      </w:r>
    </w:p>
    <w:p w:rsidR="007B79FA" w:rsidRPr="0018391A" w:rsidRDefault="007B79FA" w:rsidP="007B79FA">
      <w:pPr>
        <w:pStyle w:val="Call"/>
        <w:rPr>
          <w:lang w:val="es-ES_tradnl"/>
        </w:rPr>
      </w:pPr>
      <w:proofErr w:type="gramStart"/>
      <w:r w:rsidRPr="0018391A">
        <w:rPr>
          <w:lang w:val="es-ES_tradnl"/>
        </w:rPr>
        <w:t>considerando</w:t>
      </w:r>
      <w:proofErr w:type="gramEnd"/>
    </w:p>
    <w:p w:rsidR="007B79FA" w:rsidRPr="0018391A" w:rsidRDefault="007B79FA" w:rsidP="007B79FA">
      <w:pPr>
        <w:rPr>
          <w:szCs w:val="24"/>
          <w:lang w:val="es-ES_tradnl"/>
        </w:rPr>
      </w:pPr>
      <w:r w:rsidRPr="0018391A">
        <w:rPr>
          <w:i/>
          <w:iCs/>
          <w:szCs w:val="24"/>
          <w:lang w:val="es-ES_tradnl"/>
        </w:rPr>
        <w:t>a)</w:t>
      </w:r>
      <w:r w:rsidRPr="0018391A">
        <w:rPr>
          <w:szCs w:val="24"/>
          <w:lang w:val="es-ES_tradnl"/>
        </w:rPr>
        <w:tab/>
        <w:t>que las bandas de frecuencias atribuidas a los servicios de exploración de la Tierra por satélite y de meteorología por satélite pueden ser compartidas por varios sistemas, incluyendo sistemas explotados en otros servicios;</w:t>
      </w:r>
    </w:p>
    <w:p w:rsidR="007B79FA" w:rsidRPr="0018391A" w:rsidRDefault="007B79FA" w:rsidP="007F64B9">
      <w:pPr>
        <w:rPr>
          <w:szCs w:val="24"/>
          <w:lang w:val="es-ES_tradnl"/>
        </w:rPr>
      </w:pPr>
      <w:r w:rsidRPr="0018391A">
        <w:rPr>
          <w:i/>
          <w:iCs/>
          <w:szCs w:val="24"/>
          <w:lang w:val="es-ES_tradnl"/>
        </w:rPr>
        <w:t>b)</w:t>
      </w:r>
      <w:r w:rsidRPr="0018391A">
        <w:rPr>
          <w:szCs w:val="24"/>
          <w:lang w:val="es-ES_tradnl"/>
        </w:rPr>
        <w:tab/>
        <w:t>que para los servicios de exploración de la Tierra por satélite y de meteorología por satélite la Recomendación</w:t>
      </w:r>
      <w:r w:rsidR="007F64B9">
        <w:rPr>
          <w:szCs w:val="24"/>
          <w:lang w:val="es-ES_tradnl"/>
        </w:rPr>
        <w:t xml:space="preserve"> </w:t>
      </w:r>
      <w:r w:rsidRPr="0018391A">
        <w:rPr>
          <w:szCs w:val="24"/>
          <w:lang w:val="es-ES_tradnl"/>
        </w:rPr>
        <w:t>UIT-R</w:t>
      </w:r>
      <w:r w:rsidR="007F64B9">
        <w:rPr>
          <w:szCs w:val="24"/>
          <w:lang w:val="es-ES_tradnl"/>
        </w:rPr>
        <w:t> </w:t>
      </w:r>
      <w:r w:rsidRPr="0018391A">
        <w:rPr>
          <w:szCs w:val="24"/>
          <w:lang w:val="es-ES_tradnl"/>
        </w:rPr>
        <w:t>SA.1026 especifica criterios de interferencia combinada para algunas bandas de frecuencias en la forma de niveles admisibles de interferencia total causada a las estaciones terrenas que funcionan con satélites de órbita terrestre baja;</w:t>
      </w:r>
    </w:p>
    <w:p w:rsidR="007B79FA" w:rsidRPr="0018391A" w:rsidRDefault="007B79FA" w:rsidP="007B79FA">
      <w:pPr>
        <w:rPr>
          <w:szCs w:val="24"/>
          <w:lang w:val="es-ES_tradnl"/>
        </w:rPr>
      </w:pPr>
      <w:r w:rsidRPr="0018391A">
        <w:rPr>
          <w:i/>
          <w:iCs/>
          <w:szCs w:val="24"/>
          <w:lang w:val="es-ES_tradnl"/>
        </w:rPr>
        <w:t>c)</w:t>
      </w:r>
      <w:r w:rsidRPr="0018391A">
        <w:rPr>
          <w:szCs w:val="24"/>
          <w:lang w:val="es-ES_tradnl"/>
        </w:rPr>
        <w:tab/>
        <w:t>que la Recomendación UIT-R SA.1023 presenta una metodología para obtener criterios de compartición basándose en criterios de interferencia, la distribución espacial prevista de las estaciones interferentes y las características temporales asociadas de las señales interferentes;</w:t>
      </w:r>
    </w:p>
    <w:p w:rsidR="007B79FA" w:rsidRPr="0018391A" w:rsidRDefault="007B79FA" w:rsidP="007B79FA">
      <w:pPr>
        <w:rPr>
          <w:szCs w:val="24"/>
          <w:lang w:val="es-ES_tradnl"/>
        </w:rPr>
      </w:pPr>
      <w:r w:rsidRPr="0018391A">
        <w:rPr>
          <w:i/>
          <w:iCs/>
          <w:szCs w:val="24"/>
          <w:lang w:val="es-ES_tradnl"/>
        </w:rPr>
        <w:t>d)</w:t>
      </w:r>
      <w:r w:rsidRPr="0018391A">
        <w:rPr>
          <w:szCs w:val="24"/>
          <w:lang w:val="es-ES_tradnl"/>
        </w:rPr>
        <w:tab/>
        <w:t>que la distribución típica de las estaciones interferentes puede variar en el transcurso de los años como resultado del aumento del número de sistemas y de las revisiones de las atribuciones de bandas de frecuencias adoptadas por las conferencias mundiales de radiocomunicaciones;</w:t>
      </w:r>
    </w:p>
    <w:p w:rsidR="007B79FA" w:rsidRPr="0018391A" w:rsidRDefault="007B79FA" w:rsidP="007B79FA">
      <w:pPr>
        <w:rPr>
          <w:szCs w:val="24"/>
          <w:lang w:val="es-ES_tradnl"/>
        </w:rPr>
      </w:pPr>
      <w:r w:rsidRPr="0018391A">
        <w:rPr>
          <w:i/>
          <w:iCs/>
          <w:szCs w:val="24"/>
          <w:lang w:val="es-ES_tradnl"/>
        </w:rPr>
        <w:t>e)</w:t>
      </w:r>
      <w:r w:rsidRPr="0018391A">
        <w:rPr>
          <w:szCs w:val="24"/>
          <w:lang w:val="es-ES_tradnl"/>
        </w:rPr>
        <w:tab/>
        <w:t>que no es probable que el entorno de interferencia de las estaciones terrenas a bordo de buques en el servicio de meteorología por satélite sea más desfavorable que el entorno de las estaciones terrenas en tierra;</w:t>
      </w:r>
    </w:p>
    <w:p w:rsidR="007B79FA" w:rsidRPr="0018391A" w:rsidRDefault="007B79FA" w:rsidP="007B79FA">
      <w:pPr>
        <w:rPr>
          <w:szCs w:val="24"/>
          <w:lang w:val="es-ES_tradnl"/>
        </w:rPr>
      </w:pPr>
      <w:r w:rsidRPr="0018391A">
        <w:rPr>
          <w:i/>
          <w:iCs/>
          <w:szCs w:val="24"/>
          <w:lang w:val="es-ES_tradnl"/>
        </w:rPr>
        <w:t>f)</w:t>
      </w:r>
      <w:r w:rsidRPr="0018391A">
        <w:rPr>
          <w:szCs w:val="24"/>
          <w:lang w:val="es-ES_tradnl"/>
        </w:rPr>
        <w:tab/>
        <w:t>que la interferencia potencial recibida por las estaciones terrenas del servicio de exploración de la Tierra por satélite (SETS) y del servicio de meteorología por satélite es el efecto combinado de diversas fuentes, con inclusión de sistemas pertenecientes a otros servicios atribuidos en estas bandas de frecuencias y de sistemas que no tienen atribuciones en la misma banda,</w:t>
      </w:r>
    </w:p>
    <w:p w:rsidR="007B79FA" w:rsidRPr="0018391A" w:rsidRDefault="007B79FA" w:rsidP="007B79FA">
      <w:pPr>
        <w:pStyle w:val="Call"/>
        <w:rPr>
          <w:lang w:val="es-ES_tradnl"/>
        </w:rPr>
      </w:pPr>
      <w:proofErr w:type="gramStart"/>
      <w:r w:rsidRPr="0018391A">
        <w:rPr>
          <w:lang w:val="es-ES_tradnl"/>
        </w:rPr>
        <w:t>recomienda</w:t>
      </w:r>
      <w:proofErr w:type="gramEnd"/>
    </w:p>
    <w:p w:rsidR="007B79FA" w:rsidRPr="0018391A" w:rsidRDefault="007B79FA" w:rsidP="00B42DBF">
      <w:pPr>
        <w:rPr>
          <w:szCs w:val="24"/>
          <w:lang w:val="es-ES_tradnl"/>
        </w:rPr>
      </w:pPr>
      <w:r w:rsidRPr="0018391A">
        <w:rPr>
          <w:b/>
          <w:bCs/>
          <w:szCs w:val="24"/>
          <w:lang w:val="es-ES_tradnl"/>
        </w:rPr>
        <w:t>1</w:t>
      </w:r>
      <w:r w:rsidRPr="0018391A">
        <w:rPr>
          <w:szCs w:val="24"/>
          <w:lang w:val="es-ES_tradnl"/>
        </w:rPr>
        <w:tab/>
        <w:t xml:space="preserve">que se utilicen los niveles de interferencia procedentes de una sola fuente </w:t>
      </w:r>
      <w:proofErr w:type="gramStart"/>
      <w:r w:rsidRPr="0018391A">
        <w:rPr>
          <w:szCs w:val="24"/>
          <w:lang w:val="es-ES_tradnl"/>
        </w:rPr>
        <w:t>indicados</w:t>
      </w:r>
      <w:proofErr w:type="gramEnd"/>
      <w:r w:rsidRPr="0018391A">
        <w:rPr>
          <w:szCs w:val="24"/>
          <w:lang w:val="es-ES_tradnl"/>
        </w:rPr>
        <w:t xml:space="preserve"> en el Cuadro</w:t>
      </w:r>
      <w:r w:rsidR="00B42DBF">
        <w:rPr>
          <w:szCs w:val="24"/>
          <w:lang w:val="es-ES_tradnl"/>
        </w:rPr>
        <w:t> </w:t>
      </w:r>
      <w:r w:rsidRPr="0018391A">
        <w:rPr>
          <w:szCs w:val="24"/>
          <w:lang w:val="es-ES_tradnl"/>
        </w:rPr>
        <w:t>1 como criterios de compartición para proteger las estaciones terrenas que funcionan en los servicios de exploración de la Tierra por satélite y de meteorología por satélite;</w:t>
      </w:r>
    </w:p>
    <w:p w:rsidR="007B79FA" w:rsidRPr="0018391A" w:rsidRDefault="007B79FA" w:rsidP="009053DA">
      <w:pPr>
        <w:rPr>
          <w:szCs w:val="24"/>
          <w:lang w:val="es-ES_tradnl"/>
        </w:rPr>
      </w:pPr>
      <w:r w:rsidRPr="0018391A">
        <w:rPr>
          <w:b/>
          <w:bCs/>
          <w:szCs w:val="24"/>
          <w:lang w:val="es-ES_tradnl"/>
        </w:rPr>
        <w:t>2</w:t>
      </w:r>
      <w:r w:rsidRPr="0018391A">
        <w:rPr>
          <w:szCs w:val="24"/>
          <w:lang w:val="es-ES_tradnl"/>
        </w:rPr>
        <w:tab/>
        <w:t>que debe examinarse periódicamente la distribución de las estaciones interferentes especificada en el Anexo</w:t>
      </w:r>
      <w:r w:rsidR="009053DA">
        <w:rPr>
          <w:szCs w:val="24"/>
          <w:lang w:val="es-ES_tradnl"/>
        </w:rPr>
        <w:t> </w:t>
      </w:r>
      <w:r w:rsidRPr="0018391A">
        <w:rPr>
          <w:szCs w:val="24"/>
          <w:lang w:val="es-ES_tradnl"/>
        </w:rPr>
        <w:t>1 para determinar si deben revisarse el entorno de interferencia típico y los consiguientes criterios de compartición;</w:t>
      </w:r>
    </w:p>
    <w:p w:rsidR="007B79FA" w:rsidRPr="0018391A" w:rsidRDefault="007B79FA" w:rsidP="007B79FA">
      <w:pPr>
        <w:rPr>
          <w:szCs w:val="24"/>
          <w:lang w:val="es-ES_tradnl"/>
        </w:rPr>
      </w:pPr>
      <w:r w:rsidRPr="0018391A">
        <w:rPr>
          <w:b/>
          <w:bCs/>
          <w:szCs w:val="24"/>
          <w:lang w:val="es-ES_tradnl"/>
        </w:rPr>
        <w:t>3</w:t>
      </w:r>
      <w:r w:rsidRPr="0018391A">
        <w:rPr>
          <w:szCs w:val="24"/>
          <w:lang w:val="es-ES_tradnl"/>
        </w:rPr>
        <w:tab/>
        <w:t>que la degradación de la calidad de funcionamiento del sistema debida a las emisiones de estaciones de los servicios atribuidos a título inferior al SETS o al servicio de meteorología por satélite no deben rebasar el 1% de los criterios de interferencia aplicables.</w:t>
      </w:r>
    </w:p>
    <w:p w:rsidR="007B79FA" w:rsidRPr="0018391A" w:rsidRDefault="007B79FA" w:rsidP="007B79FA">
      <w:pPr>
        <w:pStyle w:val="TableNo"/>
        <w:keepNext w:val="0"/>
        <w:rPr>
          <w:lang w:val="es-ES_tradnl"/>
        </w:rPr>
      </w:pPr>
      <w:r w:rsidRPr="0018391A">
        <w:rPr>
          <w:lang w:val="es-ES_tradnl"/>
        </w:rPr>
        <w:t>CUADRO 1</w:t>
      </w:r>
    </w:p>
    <w:p w:rsidR="007B79FA" w:rsidRPr="0018391A" w:rsidRDefault="007B79FA" w:rsidP="00DF6DC6">
      <w:pPr>
        <w:pStyle w:val="Tabletitle"/>
        <w:keepNext w:val="0"/>
        <w:rPr>
          <w:lang w:val="es-ES_tradnl"/>
        </w:rPr>
      </w:pPr>
      <w:r w:rsidRPr="0018391A">
        <w:rPr>
          <w:lang w:val="es-ES_tradnl"/>
        </w:rPr>
        <w:t>Criterios de compartición para las estaciones terrenas de exploración de la Tierra</w:t>
      </w:r>
      <w:r w:rsidR="00DF6DC6">
        <w:rPr>
          <w:lang w:val="es-ES_tradnl"/>
        </w:rPr>
        <w:br/>
      </w:r>
      <w:r w:rsidRPr="0018391A">
        <w:rPr>
          <w:lang w:val="es-ES_tradnl"/>
        </w:rPr>
        <w:t>por satélite</w:t>
      </w:r>
      <w:r w:rsidR="00DF6DC6">
        <w:rPr>
          <w:lang w:val="es-ES_tradnl"/>
        </w:rPr>
        <w:t xml:space="preserve"> </w:t>
      </w:r>
      <w:r w:rsidRPr="0018391A">
        <w:rPr>
          <w:lang w:val="es-ES_tradnl"/>
        </w:rPr>
        <w:t>y de meteorología por satélite que utilizan vehículos espaciales</w:t>
      </w:r>
      <w:r w:rsidR="00DF6DC6">
        <w:rPr>
          <w:lang w:val="es-ES_tradnl"/>
        </w:rPr>
        <w:br/>
      </w:r>
      <w:r w:rsidRPr="0018391A">
        <w:rPr>
          <w:lang w:val="es-ES_tradnl"/>
        </w:rPr>
        <w:t>en órbita terrestre baja</w:t>
      </w: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2"/>
        <w:gridCol w:w="1984"/>
        <w:gridCol w:w="1843"/>
        <w:gridCol w:w="1843"/>
        <w:gridCol w:w="1853"/>
      </w:tblGrid>
      <w:tr w:rsidR="00F7572E" w:rsidRPr="00E5175D" w:rsidTr="006A21F5">
        <w:trPr>
          <w:trHeight w:val="20"/>
          <w:jc w:val="center"/>
        </w:trPr>
        <w:tc>
          <w:tcPr>
            <w:tcW w:w="2122" w:type="dxa"/>
            <w:vMerge w:val="restart"/>
            <w:vAlign w:val="center"/>
          </w:tcPr>
          <w:p w:rsidR="00F7572E" w:rsidRPr="00E5175D" w:rsidRDefault="00F7572E" w:rsidP="00F7572E">
            <w:pPr>
              <w:pStyle w:val="Tablehead"/>
              <w:rPr>
                <w:sz w:val="20"/>
                <w:lang w:val="es-ES_tradnl"/>
              </w:rPr>
            </w:pPr>
            <w:r w:rsidRPr="00E5175D">
              <w:rPr>
                <w:sz w:val="20"/>
                <w:lang w:val="es-ES_tradnl"/>
              </w:rPr>
              <w:t>Banda de frecuencias</w:t>
            </w:r>
            <w:r w:rsidRPr="00E5175D">
              <w:rPr>
                <w:sz w:val="20"/>
                <w:lang w:val="es-ES_tradnl"/>
              </w:rPr>
              <w:br/>
              <w:t>(MHz)</w:t>
            </w:r>
          </w:p>
        </w:tc>
        <w:tc>
          <w:tcPr>
            <w:tcW w:w="3827" w:type="dxa"/>
            <w:gridSpan w:val="2"/>
          </w:tcPr>
          <w:p w:rsidR="00F7572E" w:rsidRPr="00E5175D" w:rsidRDefault="00F7572E" w:rsidP="00F7572E">
            <w:pPr>
              <w:pStyle w:val="Tablehead"/>
              <w:rPr>
                <w:sz w:val="20"/>
                <w:lang w:val="es-ES_tradnl"/>
              </w:rPr>
            </w:pPr>
            <w:r w:rsidRPr="00E5175D">
              <w:rPr>
                <w:sz w:val="20"/>
                <w:lang w:val="es-ES_tradnl"/>
              </w:rPr>
              <w:t>Potencia de la señal interferente (dBW)</w:t>
            </w:r>
            <w:r w:rsidRPr="00E5175D">
              <w:rPr>
                <w:sz w:val="20"/>
                <w:lang w:val="es-ES_tradnl"/>
              </w:rPr>
              <w:br/>
              <w:t>en la anchura de banda de referencia</w:t>
            </w:r>
            <w:r w:rsidRPr="00E5175D">
              <w:rPr>
                <w:sz w:val="20"/>
                <w:lang w:val="es-ES_tradnl"/>
              </w:rPr>
              <w:br/>
              <w:t xml:space="preserve">que no debe rebasarse más </w:t>
            </w:r>
            <w:r w:rsidRPr="00E5175D">
              <w:rPr>
                <w:sz w:val="20"/>
                <w:lang w:val="es-ES_tradnl"/>
              </w:rPr>
              <w:br/>
              <w:t>del 20%del tiempo</w:t>
            </w:r>
          </w:p>
        </w:tc>
        <w:tc>
          <w:tcPr>
            <w:tcW w:w="3696" w:type="dxa"/>
            <w:gridSpan w:val="2"/>
          </w:tcPr>
          <w:p w:rsidR="00F7572E" w:rsidRPr="00E5175D" w:rsidRDefault="00F7572E" w:rsidP="00F7572E">
            <w:pPr>
              <w:pStyle w:val="Tablehead"/>
              <w:rPr>
                <w:sz w:val="20"/>
                <w:lang w:val="es-ES_tradnl"/>
              </w:rPr>
            </w:pPr>
            <w:r w:rsidRPr="00E5175D">
              <w:rPr>
                <w:sz w:val="20"/>
                <w:lang w:val="es-ES_tradnl"/>
              </w:rPr>
              <w:t>Potencia de la señal interferente (dBW)</w:t>
            </w:r>
            <w:r w:rsidRPr="00E5175D">
              <w:rPr>
                <w:sz w:val="20"/>
                <w:lang w:val="es-ES_tradnl"/>
              </w:rPr>
              <w:br/>
              <w:t>en la anchura de banda de referencia</w:t>
            </w:r>
            <w:r w:rsidRPr="00E5175D">
              <w:rPr>
                <w:sz w:val="20"/>
                <w:lang w:val="es-ES_tradnl"/>
              </w:rPr>
              <w:br/>
              <w:t>que no debe rebasarse más</w:t>
            </w:r>
            <w:r w:rsidRPr="00E5175D">
              <w:rPr>
                <w:sz w:val="20"/>
                <w:lang w:val="es-ES_tradnl"/>
              </w:rPr>
              <w:br/>
              <w:t xml:space="preserve">del </w:t>
            </w:r>
            <w:r w:rsidRPr="00E5175D">
              <w:rPr>
                <w:i/>
                <w:sz w:val="20"/>
                <w:lang w:val="es-ES_tradnl"/>
              </w:rPr>
              <w:t>p</w:t>
            </w:r>
            <w:r w:rsidRPr="00E5175D">
              <w:rPr>
                <w:sz w:val="20"/>
                <w:lang w:val="es-ES_tradnl"/>
              </w:rPr>
              <w:t>% del tiempo</w:t>
            </w:r>
          </w:p>
        </w:tc>
      </w:tr>
      <w:tr w:rsidR="00F7572E" w:rsidRPr="00E5175D" w:rsidTr="006A21F5">
        <w:trPr>
          <w:trHeight w:val="20"/>
          <w:jc w:val="center"/>
        </w:trPr>
        <w:tc>
          <w:tcPr>
            <w:tcW w:w="2122" w:type="dxa"/>
            <w:vMerge/>
          </w:tcPr>
          <w:p w:rsidR="00F7572E" w:rsidRPr="00E5175D" w:rsidRDefault="00F7572E" w:rsidP="00F7572E">
            <w:pPr>
              <w:pStyle w:val="Tablehead"/>
              <w:rPr>
                <w:sz w:val="20"/>
                <w:lang w:val="es-ES_tradnl"/>
              </w:rPr>
            </w:pPr>
          </w:p>
        </w:tc>
        <w:tc>
          <w:tcPr>
            <w:tcW w:w="3827" w:type="dxa"/>
            <w:gridSpan w:val="2"/>
          </w:tcPr>
          <w:p w:rsidR="00F7572E" w:rsidRPr="00E5175D" w:rsidRDefault="00F7572E" w:rsidP="00F7572E">
            <w:pPr>
              <w:pStyle w:val="Tablehead"/>
              <w:rPr>
                <w:sz w:val="20"/>
                <w:lang w:val="es-ES_tradnl"/>
              </w:rPr>
            </w:pPr>
            <w:r w:rsidRPr="00E5175D">
              <w:rPr>
                <w:sz w:val="20"/>
                <w:lang w:val="es-ES_tradnl"/>
              </w:rPr>
              <w:t>Trayecto de la señal interferente</w:t>
            </w:r>
          </w:p>
        </w:tc>
        <w:tc>
          <w:tcPr>
            <w:tcW w:w="3696" w:type="dxa"/>
            <w:gridSpan w:val="2"/>
          </w:tcPr>
          <w:p w:rsidR="00F7572E" w:rsidRPr="00E5175D" w:rsidRDefault="00F7572E" w:rsidP="00F7572E">
            <w:pPr>
              <w:pStyle w:val="Tablehead"/>
              <w:rPr>
                <w:sz w:val="20"/>
                <w:lang w:val="es-ES_tradnl"/>
              </w:rPr>
            </w:pPr>
            <w:r w:rsidRPr="00E5175D">
              <w:rPr>
                <w:sz w:val="20"/>
                <w:lang w:val="es-ES_tradnl"/>
              </w:rPr>
              <w:t>Trayecto de la señal interferente</w:t>
            </w:r>
          </w:p>
        </w:tc>
      </w:tr>
      <w:tr w:rsidR="00F7572E" w:rsidRPr="00E5175D" w:rsidTr="006A21F5">
        <w:trPr>
          <w:trHeight w:val="20"/>
          <w:jc w:val="center"/>
        </w:trPr>
        <w:tc>
          <w:tcPr>
            <w:tcW w:w="2122" w:type="dxa"/>
            <w:vMerge/>
          </w:tcPr>
          <w:p w:rsidR="00F7572E" w:rsidRPr="00E5175D" w:rsidRDefault="00F7572E" w:rsidP="00F7572E">
            <w:pPr>
              <w:pStyle w:val="Tablehead"/>
              <w:rPr>
                <w:sz w:val="20"/>
                <w:lang w:val="es-ES_tradnl"/>
              </w:rPr>
            </w:pPr>
          </w:p>
        </w:tc>
        <w:tc>
          <w:tcPr>
            <w:tcW w:w="1984" w:type="dxa"/>
          </w:tcPr>
          <w:p w:rsidR="00F7572E" w:rsidRPr="00E5175D" w:rsidRDefault="00F7572E" w:rsidP="00F7572E">
            <w:pPr>
              <w:pStyle w:val="Tablehead"/>
              <w:rPr>
                <w:sz w:val="20"/>
                <w:lang w:val="es-ES_tradnl"/>
              </w:rPr>
            </w:pPr>
            <w:r w:rsidRPr="00E5175D">
              <w:rPr>
                <w:sz w:val="20"/>
                <w:lang w:val="es-ES_tradnl"/>
              </w:rPr>
              <w:t>Espacio-Tierra</w:t>
            </w:r>
          </w:p>
        </w:tc>
        <w:tc>
          <w:tcPr>
            <w:tcW w:w="1843" w:type="dxa"/>
          </w:tcPr>
          <w:p w:rsidR="00F7572E" w:rsidRPr="00E5175D" w:rsidRDefault="00F7572E" w:rsidP="00F7572E">
            <w:pPr>
              <w:pStyle w:val="Tablehead"/>
              <w:rPr>
                <w:sz w:val="20"/>
                <w:lang w:val="es-ES_tradnl"/>
              </w:rPr>
            </w:pPr>
            <w:r w:rsidRPr="00E5175D">
              <w:rPr>
                <w:sz w:val="20"/>
                <w:lang w:val="es-ES_tradnl"/>
              </w:rPr>
              <w:t>Terrenal</w:t>
            </w:r>
          </w:p>
        </w:tc>
        <w:tc>
          <w:tcPr>
            <w:tcW w:w="1843" w:type="dxa"/>
          </w:tcPr>
          <w:p w:rsidR="00F7572E" w:rsidRPr="00E5175D" w:rsidRDefault="00F7572E" w:rsidP="00F7572E">
            <w:pPr>
              <w:pStyle w:val="Tablehead"/>
              <w:rPr>
                <w:sz w:val="20"/>
                <w:lang w:val="es-ES_tradnl"/>
              </w:rPr>
            </w:pPr>
            <w:r w:rsidRPr="00E5175D">
              <w:rPr>
                <w:sz w:val="20"/>
                <w:lang w:val="es-ES_tradnl"/>
              </w:rPr>
              <w:t>Espacio-Tierra</w:t>
            </w:r>
          </w:p>
        </w:tc>
        <w:tc>
          <w:tcPr>
            <w:tcW w:w="1853" w:type="dxa"/>
          </w:tcPr>
          <w:p w:rsidR="00F7572E" w:rsidRPr="00E5175D" w:rsidRDefault="00F7572E" w:rsidP="00F7572E">
            <w:pPr>
              <w:pStyle w:val="Tablehead"/>
              <w:rPr>
                <w:sz w:val="20"/>
                <w:lang w:val="es-ES_tradnl"/>
              </w:rPr>
            </w:pPr>
            <w:r w:rsidRPr="00E5175D">
              <w:rPr>
                <w:sz w:val="20"/>
                <w:lang w:val="es-ES_tradnl"/>
              </w:rPr>
              <w:t>Terrenal</w:t>
            </w:r>
          </w:p>
        </w:tc>
      </w:tr>
      <w:tr w:rsidR="007B79FA" w:rsidRPr="00E5175D" w:rsidTr="006A21F5">
        <w:trPr>
          <w:trHeight w:val="20"/>
          <w:jc w:val="center"/>
        </w:trPr>
        <w:tc>
          <w:tcPr>
            <w:tcW w:w="2122" w:type="dxa"/>
            <w:vAlign w:val="center"/>
          </w:tcPr>
          <w:p w:rsidR="007B79FA" w:rsidRPr="00E5175D" w:rsidRDefault="007B79FA" w:rsidP="00F7572E">
            <w:pPr>
              <w:pStyle w:val="Tabletext"/>
              <w:jc w:val="center"/>
              <w:rPr>
                <w:sz w:val="20"/>
                <w:lang w:val="es-ES_tradnl"/>
              </w:rPr>
            </w:pPr>
            <w:r w:rsidRPr="00E5175D">
              <w:rPr>
                <w:sz w:val="20"/>
                <w:lang w:val="es-ES_tradnl"/>
              </w:rPr>
              <w:t>137-138</w:t>
            </w:r>
          </w:p>
        </w:tc>
        <w:tc>
          <w:tcPr>
            <w:tcW w:w="1984" w:type="dxa"/>
            <w:vAlign w:val="center"/>
          </w:tcPr>
          <w:p w:rsidR="007B79FA" w:rsidRPr="00E5175D" w:rsidRDefault="007B79FA" w:rsidP="007F64B9">
            <w:pPr>
              <w:pStyle w:val="Tabletext"/>
              <w:jc w:val="center"/>
              <w:rPr>
                <w:sz w:val="20"/>
                <w:lang w:val="es-ES_tradnl"/>
              </w:rPr>
            </w:pPr>
            <w:r w:rsidRPr="00E5175D">
              <w:rPr>
                <w:sz w:val="20"/>
                <w:lang w:val="es-ES_tradnl"/>
              </w:rPr>
              <w:t>–147 dBW por</w:t>
            </w:r>
            <w:r w:rsidRPr="00E5175D">
              <w:rPr>
                <w:sz w:val="20"/>
                <w:lang w:val="es-ES_tradnl"/>
              </w:rPr>
              <w:br/>
              <w:t>150</w:t>
            </w:r>
            <w:r w:rsidRPr="007F64B9">
              <w:rPr>
                <w:sz w:val="20"/>
                <w:vertAlign w:val="superscript"/>
              </w:rPr>
              <w:t>(1)</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–146 dBW por</w:t>
            </w:r>
            <w:r w:rsidRPr="00E5175D">
              <w:rPr>
                <w:sz w:val="20"/>
                <w:lang w:val="es-ES_tradnl"/>
              </w:rPr>
              <w:br/>
              <w:t>150 kHz</w:t>
            </w:r>
            <w:r w:rsidR="007F64B9" w:rsidRPr="007F64B9">
              <w:rPr>
                <w:sz w:val="20"/>
                <w:vertAlign w:val="superscript"/>
              </w:rPr>
              <w:t>(1)</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–136 dBW por</w:t>
            </w:r>
            <w:r w:rsidRPr="00E5175D">
              <w:rPr>
                <w:sz w:val="20"/>
                <w:lang w:val="es-ES_tradnl"/>
              </w:rPr>
              <w:br/>
              <w:t>150 kHz</w:t>
            </w:r>
            <w:r w:rsidR="007F64B9" w:rsidRPr="007F64B9">
              <w:rPr>
                <w:sz w:val="20"/>
                <w:vertAlign w:val="superscript"/>
              </w:rPr>
              <w:t>(1)</w:t>
            </w:r>
            <w:r w:rsidRPr="00E5175D">
              <w:rPr>
                <w:sz w:val="20"/>
                <w:lang w:val="es-ES_tradnl"/>
              </w:rPr>
              <w:br/>
            </w:r>
            <w:r w:rsidRPr="00E5175D">
              <w:rPr>
                <w:i/>
                <w:iCs/>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0,0031</w:t>
            </w:r>
          </w:p>
        </w:tc>
        <w:tc>
          <w:tcPr>
            <w:tcW w:w="1853" w:type="dxa"/>
            <w:vAlign w:val="center"/>
          </w:tcPr>
          <w:p w:rsidR="007B79FA" w:rsidRPr="00E5175D" w:rsidRDefault="007B79FA" w:rsidP="00F7572E">
            <w:pPr>
              <w:pStyle w:val="Tabletext"/>
              <w:jc w:val="center"/>
              <w:rPr>
                <w:sz w:val="20"/>
                <w:lang w:val="es-ES_tradnl"/>
              </w:rPr>
            </w:pPr>
            <w:r w:rsidRPr="00E5175D">
              <w:rPr>
                <w:sz w:val="20"/>
                <w:lang w:val="es-ES_tradnl"/>
              </w:rPr>
              <w:t>–137 dBW por</w:t>
            </w:r>
            <w:r w:rsidRPr="00E5175D">
              <w:rPr>
                <w:sz w:val="20"/>
                <w:lang w:val="es-ES_tradnl"/>
              </w:rPr>
              <w:br/>
              <w:t>150 kHz</w:t>
            </w:r>
            <w:r w:rsidR="007F64B9" w:rsidRPr="007F64B9">
              <w:rPr>
                <w:sz w:val="20"/>
                <w:vertAlign w:val="superscript"/>
              </w:rPr>
              <w:t>(1)</w:t>
            </w:r>
            <w:r w:rsidRPr="00E5175D">
              <w:rPr>
                <w:sz w:val="20"/>
                <w:lang w:val="es-ES_tradnl"/>
              </w:rPr>
              <w:br/>
            </w:r>
            <w:r w:rsidRPr="00E5175D">
              <w:rPr>
                <w:i/>
                <w:iCs/>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0,0063</w:t>
            </w:r>
          </w:p>
        </w:tc>
      </w:tr>
      <w:tr w:rsidR="007B79FA" w:rsidRPr="00E5175D" w:rsidTr="006A21F5">
        <w:trPr>
          <w:trHeight w:val="20"/>
          <w:jc w:val="center"/>
        </w:trPr>
        <w:tc>
          <w:tcPr>
            <w:tcW w:w="2122" w:type="dxa"/>
            <w:vAlign w:val="center"/>
          </w:tcPr>
          <w:p w:rsidR="007B79FA" w:rsidRPr="00E5175D" w:rsidRDefault="007B79FA" w:rsidP="00F7572E">
            <w:pPr>
              <w:pStyle w:val="Tabletext"/>
              <w:jc w:val="center"/>
              <w:rPr>
                <w:sz w:val="20"/>
                <w:lang w:val="es-ES_tradnl"/>
              </w:rPr>
            </w:pPr>
            <w:r w:rsidRPr="00E5175D">
              <w:rPr>
                <w:sz w:val="20"/>
                <w:lang w:val="es-ES_tradnl"/>
              </w:rPr>
              <w:t>400,15-401,00</w:t>
            </w:r>
          </w:p>
        </w:tc>
        <w:tc>
          <w:tcPr>
            <w:tcW w:w="1984" w:type="dxa"/>
            <w:vAlign w:val="center"/>
          </w:tcPr>
          <w:p w:rsidR="007B79FA" w:rsidRPr="00E5175D" w:rsidRDefault="007B79FA" w:rsidP="00F7572E">
            <w:pPr>
              <w:pStyle w:val="Tabletext"/>
              <w:jc w:val="center"/>
              <w:rPr>
                <w:sz w:val="20"/>
                <w:lang w:val="es-ES_tradnl"/>
              </w:rPr>
            </w:pPr>
            <w:r w:rsidRPr="00E5175D">
              <w:rPr>
                <w:sz w:val="20"/>
                <w:lang w:val="es-ES_tradnl"/>
              </w:rPr>
              <w:t>–161 dBW por</w:t>
            </w:r>
            <w:r w:rsidRPr="00E5175D">
              <w:rPr>
                <w:sz w:val="20"/>
                <w:lang w:val="es-ES_tradnl"/>
              </w:rPr>
              <w:br/>
              <w:t>177,5 kHz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 xml:space="preserve">–163 dBW por </w:t>
            </w:r>
            <w:r w:rsidRPr="00E5175D">
              <w:rPr>
                <w:sz w:val="20"/>
                <w:lang w:val="es-ES_tradnl"/>
              </w:rPr>
              <w:br/>
              <w:t>177,5 kHz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–147 dBW por</w:t>
            </w:r>
            <w:r w:rsidRPr="00E5175D">
              <w:rPr>
                <w:sz w:val="20"/>
                <w:lang w:val="es-ES_tradnl"/>
              </w:rPr>
              <w:br/>
              <w:t xml:space="preserve">177,5 kHz </w:t>
            </w:r>
            <w:r w:rsidRPr="00E5175D">
              <w:rPr>
                <w:sz w:val="20"/>
                <w:lang w:val="es-ES_tradnl"/>
              </w:rPr>
              <w:br/>
            </w:r>
            <w:r w:rsidRPr="00E5175D">
              <w:rPr>
                <w:i/>
                <w:iCs/>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0,0031</w:t>
            </w:r>
          </w:p>
        </w:tc>
        <w:tc>
          <w:tcPr>
            <w:tcW w:w="1853" w:type="dxa"/>
            <w:vAlign w:val="center"/>
          </w:tcPr>
          <w:p w:rsidR="007B79FA" w:rsidRPr="00E5175D" w:rsidRDefault="007B79FA" w:rsidP="00F7572E">
            <w:pPr>
              <w:pStyle w:val="Tabletext"/>
              <w:jc w:val="center"/>
              <w:rPr>
                <w:sz w:val="20"/>
                <w:lang w:val="es-ES_tradnl"/>
              </w:rPr>
            </w:pPr>
            <w:r w:rsidRPr="00E5175D">
              <w:rPr>
                <w:sz w:val="20"/>
                <w:lang w:val="es-ES_tradnl"/>
              </w:rPr>
              <w:t>–147 dBW por</w:t>
            </w:r>
            <w:r w:rsidRPr="00E5175D">
              <w:rPr>
                <w:sz w:val="20"/>
                <w:lang w:val="es-ES_tradnl"/>
              </w:rPr>
              <w:br/>
              <w:t xml:space="preserve">177,5 kHz </w:t>
            </w:r>
            <w:r w:rsidRPr="00E5175D">
              <w:rPr>
                <w:sz w:val="20"/>
                <w:lang w:val="es-ES_tradnl"/>
              </w:rPr>
              <w:br/>
            </w:r>
            <w:r w:rsidRPr="00E5175D">
              <w:rPr>
                <w:i/>
                <w:iCs/>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0,0063</w:t>
            </w:r>
          </w:p>
        </w:tc>
      </w:tr>
      <w:tr w:rsidR="007B79FA" w:rsidRPr="00E5175D" w:rsidTr="006A21F5">
        <w:trPr>
          <w:cantSplit/>
          <w:trHeight w:val="20"/>
          <w:jc w:val="center"/>
        </w:trPr>
        <w:tc>
          <w:tcPr>
            <w:tcW w:w="2122" w:type="dxa"/>
            <w:vAlign w:val="center"/>
          </w:tcPr>
          <w:p w:rsidR="007B79FA" w:rsidRPr="00E5175D" w:rsidRDefault="007B79FA" w:rsidP="00F7572E">
            <w:pPr>
              <w:pStyle w:val="Tabletext"/>
              <w:jc w:val="center"/>
              <w:rPr>
                <w:sz w:val="20"/>
                <w:lang w:val="es-ES_tradnl"/>
              </w:rPr>
            </w:pPr>
            <w:r w:rsidRPr="00E5175D">
              <w:rPr>
                <w:sz w:val="20"/>
                <w:lang w:val="es-ES_tradnl"/>
              </w:rPr>
              <w:t>1</w:t>
            </w:r>
            <w:r w:rsidRPr="00E5175D">
              <w:rPr>
                <w:rFonts w:ascii="Tms Rmn" w:hAnsi="Tms Rmn"/>
                <w:b/>
                <w:sz w:val="20"/>
                <w:lang w:val="es-ES_tradnl"/>
              </w:rPr>
              <w:t> </w:t>
            </w:r>
            <w:r w:rsidRPr="00E5175D">
              <w:rPr>
                <w:sz w:val="20"/>
                <w:lang w:val="es-ES_tradnl"/>
              </w:rPr>
              <w:t>698-1</w:t>
            </w:r>
            <w:r w:rsidRPr="00E5175D">
              <w:rPr>
                <w:rFonts w:ascii="Tms Rmn" w:hAnsi="Tms Rmn"/>
                <w:b/>
                <w:sz w:val="20"/>
                <w:lang w:val="es-ES_tradnl"/>
              </w:rPr>
              <w:t> </w:t>
            </w:r>
            <w:r w:rsidRPr="00E5175D">
              <w:rPr>
                <w:sz w:val="20"/>
                <w:lang w:val="es-ES_tradnl"/>
              </w:rPr>
              <w:t>700</w:t>
            </w:r>
          </w:p>
        </w:tc>
        <w:tc>
          <w:tcPr>
            <w:tcW w:w="1984" w:type="dxa"/>
            <w:vAlign w:val="center"/>
          </w:tcPr>
          <w:p w:rsidR="007B79FA" w:rsidRPr="00E5175D" w:rsidRDefault="007B79FA" w:rsidP="00F7572E">
            <w:pPr>
              <w:pStyle w:val="Tabletext"/>
              <w:jc w:val="center"/>
              <w:rPr>
                <w:sz w:val="20"/>
                <w:lang w:val="es-ES_tradnl"/>
              </w:rPr>
            </w:pPr>
            <w:r w:rsidRPr="00E5175D">
              <w:rPr>
                <w:sz w:val="20"/>
                <w:lang w:val="es-ES_tradnl"/>
              </w:rPr>
              <w:t>–149 dBW por</w:t>
            </w:r>
            <w:r w:rsidRPr="00E5175D">
              <w:rPr>
                <w:sz w:val="20"/>
                <w:lang w:val="es-ES_tradnl"/>
              </w:rPr>
              <w:br/>
              <w:t>2</w:t>
            </w:r>
            <w:r w:rsidRPr="00E5175D">
              <w:rPr>
                <w:rFonts w:ascii="Tms Rmn" w:hAnsi="Tms Rmn"/>
                <w:b/>
                <w:sz w:val="20"/>
                <w:lang w:val="es-ES_tradnl"/>
              </w:rPr>
              <w:t> </w:t>
            </w:r>
            <w:r w:rsidRPr="00E5175D">
              <w:rPr>
                <w:sz w:val="20"/>
                <w:lang w:val="es-ES_tradnl"/>
              </w:rPr>
              <w:t>668 kHz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–149 dBW por</w:t>
            </w:r>
            <w:r w:rsidRPr="00E5175D">
              <w:rPr>
                <w:sz w:val="20"/>
                <w:lang w:val="es-ES_tradnl"/>
              </w:rPr>
              <w:br/>
              <w:t>2</w:t>
            </w:r>
            <w:r w:rsidRPr="00E5175D">
              <w:rPr>
                <w:rFonts w:ascii="Tms Rmn" w:hAnsi="Tms Rmn"/>
                <w:b/>
                <w:sz w:val="20"/>
                <w:lang w:val="es-ES_tradnl"/>
              </w:rPr>
              <w:t> </w:t>
            </w:r>
            <w:r w:rsidRPr="00E5175D">
              <w:rPr>
                <w:sz w:val="20"/>
                <w:lang w:val="es-ES_tradnl"/>
              </w:rPr>
              <w:t>668 kHz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–138 dBW por</w:t>
            </w:r>
            <w:r w:rsidRPr="00E5175D">
              <w:rPr>
                <w:sz w:val="20"/>
                <w:lang w:val="es-ES_tradnl"/>
              </w:rPr>
              <w:br/>
              <w:t>2</w:t>
            </w:r>
            <w:r w:rsidRPr="00E5175D">
              <w:rPr>
                <w:rFonts w:ascii="Tms Rmn" w:hAnsi="Tms Rmn"/>
                <w:b/>
                <w:sz w:val="20"/>
                <w:lang w:val="es-ES_tradnl"/>
              </w:rPr>
              <w:t> </w:t>
            </w:r>
            <w:r w:rsidRPr="00E5175D">
              <w:rPr>
                <w:sz w:val="20"/>
                <w:lang w:val="es-ES_tradnl"/>
              </w:rPr>
              <w:t xml:space="preserve">668 kHz </w:t>
            </w:r>
            <w:r w:rsidRPr="00E5175D">
              <w:rPr>
                <w:sz w:val="20"/>
                <w:lang w:val="es-ES_tradnl"/>
              </w:rPr>
              <w:br/>
            </w:r>
            <w:r w:rsidRPr="00E5175D">
              <w:rPr>
                <w:i/>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0,0050</w:t>
            </w:r>
          </w:p>
        </w:tc>
        <w:tc>
          <w:tcPr>
            <w:tcW w:w="1853" w:type="dxa"/>
            <w:vAlign w:val="center"/>
          </w:tcPr>
          <w:p w:rsidR="007B79FA" w:rsidRPr="00E5175D" w:rsidRDefault="007B79FA" w:rsidP="00F7572E">
            <w:pPr>
              <w:pStyle w:val="Tabletext"/>
              <w:jc w:val="center"/>
              <w:rPr>
                <w:sz w:val="20"/>
                <w:lang w:val="es-ES_tradnl"/>
              </w:rPr>
            </w:pPr>
            <w:r w:rsidRPr="00E5175D">
              <w:rPr>
                <w:sz w:val="20"/>
                <w:lang w:val="es-ES_tradnl"/>
              </w:rPr>
              <w:t>–138 dBW por</w:t>
            </w:r>
            <w:r w:rsidRPr="00E5175D">
              <w:rPr>
                <w:sz w:val="20"/>
                <w:lang w:val="es-ES_tradnl"/>
              </w:rPr>
              <w:br/>
              <w:t>2</w:t>
            </w:r>
            <w:r w:rsidRPr="00E5175D">
              <w:rPr>
                <w:rFonts w:ascii="Tms Rmn" w:hAnsi="Tms Rmn"/>
                <w:b/>
                <w:sz w:val="20"/>
                <w:lang w:val="es-ES_tradnl"/>
              </w:rPr>
              <w:t> </w:t>
            </w:r>
            <w:r w:rsidRPr="00E5175D">
              <w:rPr>
                <w:sz w:val="20"/>
                <w:lang w:val="es-ES_tradnl"/>
              </w:rPr>
              <w:t xml:space="preserve">668 kHz </w:t>
            </w:r>
            <w:r w:rsidRPr="00E5175D">
              <w:rPr>
                <w:sz w:val="20"/>
                <w:lang w:val="es-ES_tradnl"/>
              </w:rPr>
              <w:br/>
            </w:r>
            <w:r w:rsidRPr="00E5175D">
              <w:rPr>
                <w:i/>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0,0025</w:t>
            </w:r>
          </w:p>
        </w:tc>
      </w:tr>
      <w:tr w:rsidR="007B79FA" w:rsidRPr="00E5175D" w:rsidTr="006A21F5">
        <w:trPr>
          <w:cantSplit/>
          <w:trHeight w:val="20"/>
          <w:jc w:val="center"/>
        </w:trPr>
        <w:tc>
          <w:tcPr>
            <w:tcW w:w="2122" w:type="dxa"/>
            <w:vAlign w:val="center"/>
          </w:tcPr>
          <w:p w:rsidR="007B79FA" w:rsidRPr="00E5175D" w:rsidRDefault="007B79FA" w:rsidP="00F7572E">
            <w:pPr>
              <w:pStyle w:val="Tabletext"/>
              <w:jc w:val="center"/>
              <w:rPr>
                <w:sz w:val="20"/>
                <w:lang w:val="es-ES_tradnl"/>
              </w:rPr>
            </w:pPr>
            <w:r w:rsidRPr="00E5175D">
              <w:rPr>
                <w:sz w:val="20"/>
                <w:lang w:val="es-ES_tradnl"/>
              </w:rPr>
              <w:t>1</w:t>
            </w:r>
            <w:r w:rsidRPr="00E5175D">
              <w:rPr>
                <w:rFonts w:ascii="Tms Rmn" w:hAnsi="Tms Rmn"/>
                <w:b/>
                <w:sz w:val="20"/>
                <w:lang w:val="es-ES_tradnl"/>
              </w:rPr>
              <w:t> </w:t>
            </w:r>
            <w:r w:rsidRPr="00E5175D">
              <w:rPr>
                <w:sz w:val="20"/>
                <w:lang w:val="es-ES_tradnl"/>
              </w:rPr>
              <w:t>700-1</w:t>
            </w:r>
            <w:r w:rsidRPr="00E5175D">
              <w:rPr>
                <w:rFonts w:ascii="Tms Rmn" w:hAnsi="Tms Rmn"/>
                <w:b/>
                <w:sz w:val="20"/>
                <w:lang w:val="es-ES_tradnl"/>
              </w:rPr>
              <w:t> </w:t>
            </w:r>
            <w:r w:rsidRPr="00E5175D">
              <w:rPr>
                <w:sz w:val="20"/>
                <w:lang w:val="es-ES_tradnl"/>
              </w:rPr>
              <w:t>710</w:t>
            </w:r>
          </w:p>
        </w:tc>
        <w:tc>
          <w:tcPr>
            <w:tcW w:w="1984" w:type="dxa"/>
            <w:vAlign w:val="center"/>
          </w:tcPr>
          <w:p w:rsidR="007B79FA" w:rsidRPr="00E5175D" w:rsidRDefault="007B79FA" w:rsidP="00F7572E">
            <w:pPr>
              <w:pStyle w:val="Tabletext"/>
              <w:jc w:val="center"/>
              <w:rPr>
                <w:sz w:val="20"/>
                <w:lang w:val="es-ES_tradnl"/>
              </w:rPr>
            </w:pPr>
            <w:r w:rsidRPr="00E5175D">
              <w:rPr>
                <w:sz w:val="20"/>
                <w:lang w:val="es-ES_tradnl"/>
              </w:rPr>
              <w:t>–156 dBW por</w:t>
            </w:r>
            <w:r w:rsidRPr="00E5175D">
              <w:rPr>
                <w:sz w:val="20"/>
                <w:lang w:val="es-ES_tradnl"/>
              </w:rPr>
              <w:br/>
              <w:t>2</w:t>
            </w:r>
            <w:r w:rsidRPr="00E5175D">
              <w:rPr>
                <w:rFonts w:ascii="Tms Rmn" w:hAnsi="Tms Rmn"/>
                <w:b/>
                <w:sz w:val="20"/>
                <w:lang w:val="es-ES_tradnl"/>
              </w:rPr>
              <w:t> </w:t>
            </w:r>
            <w:r w:rsidRPr="00E5175D">
              <w:rPr>
                <w:sz w:val="20"/>
                <w:lang w:val="es-ES_tradnl"/>
              </w:rPr>
              <w:t>668 kHz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–150 dBW por</w:t>
            </w:r>
            <w:r w:rsidRPr="00E5175D">
              <w:rPr>
                <w:sz w:val="20"/>
                <w:lang w:val="es-ES_tradnl"/>
              </w:rPr>
              <w:br/>
              <w:t>2</w:t>
            </w:r>
            <w:r w:rsidRPr="00E5175D">
              <w:rPr>
                <w:rFonts w:ascii="Tms Rmn" w:hAnsi="Tms Rmn"/>
                <w:b/>
                <w:sz w:val="20"/>
                <w:lang w:val="es-ES_tradnl"/>
              </w:rPr>
              <w:t> </w:t>
            </w:r>
            <w:r w:rsidRPr="00E5175D">
              <w:rPr>
                <w:sz w:val="20"/>
                <w:lang w:val="es-ES_tradnl"/>
              </w:rPr>
              <w:t>668 kHz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–139 dBW por</w:t>
            </w:r>
            <w:r w:rsidRPr="00E5175D">
              <w:rPr>
                <w:sz w:val="20"/>
                <w:lang w:val="es-ES_tradnl"/>
              </w:rPr>
              <w:br/>
              <w:t>2</w:t>
            </w:r>
            <w:r w:rsidRPr="00E5175D">
              <w:rPr>
                <w:rFonts w:ascii="Tms Rmn" w:hAnsi="Tms Rmn"/>
                <w:b/>
                <w:sz w:val="20"/>
                <w:lang w:val="es-ES_tradnl"/>
              </w:rPr>
              <w:t> </w:t>
            </w:r>
            <w:r w:rsidRPr="00E5175D">
              <w:rPr>
                <w:sz w:val="20"/>
                <w:lang w:val="es-ES_tradnl"/>
              </w:rPr>
              <w:t xml:space="preserve">668 kHz </w:t>
            </w:r>
            <w:r w:rsidRPr="00E5175D">
              <w:rPr>
                <w:sz w:val="20"/>
                <w:lang w:val="es-ES_tradnl"/>
              </w:rPr>
              <w:br/>
            </w:r>
            <w:r w:rsidRPr="00E5175D">
              <w:rPr>
                <w:i/>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0,0016</w:t>
            </w:r>
          </w:p>
        </w:tc>
        <w:tc>
          <w:tcPr>
            <w:tcW w:w="1853" w:type="dxa"/>
            <w:vAlign w:val="center"/>
          </w:tcPr>
          <w:p w:rsidR="007B79FA" w:rsidRPr="00E5175D" w:rsidRDefault="007B79FA" w:rsidP="00F7572E">
            <w:pPr>
              <w:pStyle w:val="Tabletext"/>
              <w:jc w:val="center"/>
              <w:rPr>
                <w:sz w:val="20"/>
                <w:lang w:val="es-ES_tradnl"/>
              </w:rPr>
            </w:pPr>
            <w:r w:rsidRPr="00E5175D">
              <w:rPr>
                <w:sz w:val="20"/>
                <w:lang w:val="es-ES_tradnl"/>
              </w:rPr>
              <w:t>–138 dBW por</w:t>
            </w:r>
            <w:r w:rsidRPr="00E5175D">
              <w:rPr>
                <w:sz w:val="20"/>
                <w:lang w:val="es-ES_tradnl"/>
              </w:rPr>
              <w:br/>
              <w:t>2</w:t>
            </w:r>
            <w:r w:rsidRPr="00E5175D">
              <w:rPr>
                <w:rFonts w:ascii="Tms Rmn" w:hAnsi="Tms Rmn"/>
                <w:b/>
                <w:sz w:val="20"/>
                <w:lang w:val="es-ES_tradnl"/>
              </w:rPr>
              <w:t> </w:t>
            </w:r>
            <w:r w:rsidRPr="00E5175D">
              <w:rPr>
                <w:sz w:val="20"/>
                <w:lang w:val="es-ES_tradnl"/>
              </w:rPr>
              <w:t xml:space="preserve">668 kHz  </w:t>
            </w:r>
            <w:r w:rsidRPr="00E5175D">
              <w:rPr>
                <w:sz w:val="20"/>
                <w:lang w:val="es-ES_tradnl"/>
              </w:rPr>
              <w:br/>
            </w:r>
            <w:r w:rsidRPr="00E5175D">
              <w:rPr>
                <w:i/>
                <w:sz w:val="20"/>
                <w:lang w:val="es-ES_tradnl"/>
              </w:rPr>
              <w:t>p</w:t>
            </w:r>
            <w:r w:rsidRPr="00E5175D">
              <w:rPr>
                <w:sz w:val="20"/>
                <w:lang w:val="es-ES_tradnl"/>
              </w:rPr>
              <w:t> </w:t>
            </w:r>
            <w:r w:rsidRPr="00E5175D">
              <w:rPr>
                <w:rFonts w:ascii="Symbol" w:hAnsi="Symbol"/>
                <w:sz w:val="20"/>
                <w:lang w:val="es-ES_tradnl"/>
              </w:rPr>
              <w:t></w:t>
            </w:r>
            <w:r w:rsidRPr="00E5175D">
              <w:rPr>
                <w:sz w:val="20"/>
                <w:lang w:val="es-ES_tradnl"/>
              </w:rPr>
              <w:t> 0,0094</w:t>
            </w:r>
          </w:p>
        </w:tc>
      </w:tr>
      <w:tr w:rsidR="007B79FA" w:rsidRPr="00E5175D" w:rsidTr="006A21F5">
        <w:trPr>
          <w:cantSplit/>
          <w:trHeight w:val="20"/>
          <w:jc w:val="center"/>
        </w:trPr>
        <w:tc>
          <w:tcPr>
            <w:tcW w:w="2122" w:type="dxa"/>
            <w:vAlign w:val="center"/>
          </w:tcPr>
          <w:p w:rsidR="007B79FA" w:rsidRPr="00E5175D" w:rsidRDefault="007B79FA" w:rsidP="00F7572E">
            <w:pPr>
              <w:pStyle w:val="Tabletext"/>
              <w:jc w:val="center"/>
              <w:rPr>
                <w:sz w:val="20"/>
                <w:lang w:val="es-ES_tradnl"/>
              </w:rPr>
            </w:pPr>
            <w:r w:rsidRPr="00E5175D">
              <w:rPr>
                <w:sz w:val="20"/>
                <w:lang w:val="es-ES_tradnl"/>
              </w:rPr>
              <w:t>7</w:t>
            </w:r>
            <w:r w:rsidRPr="00E5175D">
              <w:rPr>
                <w:rFonts w:ascii="Tms Rmn" w:hAnsi="Tms Rmn"/>
                <w:b/>
                <w:sz w:val="20"/>
                <w:lang w:val="es-ES_tradnl"/>
              </w:rPr>
              <w:t> </w:t>
            </w:r>
            <w:r w:rsidRPr="00E5175D">
              <w:rPr>
                <w:sz w:val="20"/>
                <w:lang w:val="es-ES_tradnl"/>
              </w:rPr>
              <w:t>750-7</w:t>
            </w:r>
            <w:r w:rsidRPr="00E5175D">
              <w:rPr>
                <w:rFonts w:ascii="Tms Rmn" w:hAnsi="Tms Rmn"/>
                <w:b/>
                <w:sz w:val="20"/>
                <w:lang w:val="es-ES_tradnl"/>
              </w:rPr>
              <w:t> </w:t>
            </w:r>
            <w:r w:rsidRPr="00E5175D">
              <w:rPr>
                <w:sz w:val="20"/>
                <w:lang w:val="es-ES_tradnl"/>
              </w:rPr>
              <w:t>900</w:t>
            </w:r>
          </w:p>
        </w:tc>
        <w:tc>
          <w:tcPr>
            <w:tcW w:w="1984" w:type="dxa"/>
            <w:vAlign w:val="center"/>
          </w:tcPr>
          <w:p w:rsidR="007B79FA" w:rsidRPr="00E5175D" w:rsidRDefault="007B79FA" w:rsidP="00F7572E">
            <w:pPr>
              <w:pStyle w:val="Tabletext"/>
              <w:jc w:val="center"/>
              <w:rPr>
                <w:sz w:val="20"/>
                <w:lang w:val="es-ES_tradnl"/>
              </w:rPr>
            </w:pPr>
            <w:r w:rsidRPr="00E5175D">
              <w:rPr>
                <w:sz w:val="20"/>
                <w:lang w:val="es-ES_tradnl"/>
              </w:rPr>
              <w:t>–151 dBW por</w:t>
            </w:r>
            <w:r w:rsidRPr="00E5175D">
              <w:rPr>
                <w:sz w:val="20"/>
                <w:lang w:val="es-ES_tradnl"/>
              </w:rPr>
              <w:br/>
              <w:t>10 MHz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–148 dBW por</w:t>
            </w:r>
            <w:r w:rsidRPr="00E5175D">
              <w:rPr>
                <w:sz w:val="20"/>
                <w:lang w:val="es-ES_tradnl"/>
              </w:rPr>
              <w:br/>
              <w:t>10 MHz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–127 dBW por</w:t>
            </w:r>
            <w:r w:rsidRPr="00E5175D">
              <w:rPr>
                <w:sz w:val="20"/>
                <w:lang w:val="es-ES_tradnl"/>
              </w:rPr>
              <w:br/>
              <w:t xml:space="preserve">10 MHz </w:t>
            </w:r>
            <w:r w:rsidRPr="00E5175D">
              <w:rPr>
                <w:sz w:val="20"/>
                <w:lang w:val="es-ES_tradnl"/>
              </w:rPr>
              <w:br/>
            </w:r>
            <w:r w:rsidRPr="00E5175D">
              <w:rPr>
                <w:i/>
                <w:sz w:val="20"/>
                <w:lang w:val="es-ES_tradnl"/>
              </w:rPr>
              <w:t>p </w:t>
            </w:r>
            <w:r w:rsidRPr="00E5175D">
              <w:rPr>
                <w:rFonts w:ascii="Symbol" w:hAnsi="Symbol"/>
                <w:sz w:val="20"/>
                <w:lang w:val="es-ES_tradnl"/>
              </w:rPr>
              <w:t></w:t>
            </w:r>
            <w:r w:rsidRPr="00E5175D">
              <w:rPr>
                <w:sz w:val="20"/>
                <w:lang w:val="es-ES_tradnl"/>
              </w:rPr>
              <w:t> 0,0047</w:t>
            </w:r>
          </w:p>
        </w:tc>
        <w:tc>
          <w:tcPr>
            <w:tcW w:w="1853" w:type="dxa"/>
            <w:vAlign w:val="center"/>
          </w:tcPr>
          <w:p w:rsidR="007B79FA" w:rsidRPr="00E5175D" w:rsidRDefault="007B79FA" w:rsidP="00F7572E">
            <w:pPr>
              <w:pStyle w:val="Tabletext"/>
              <w:jc w:val="center"/>
              <w:rPr>
                <w:sz w:val="20"/>
                <w:lang w:val="es-ES_tradnl"/>
              </w:rPr>
            </w:pPr>
            <w:r w:rsidRPr="00E5175D">
              <w:rPr>
                <w:sz w:val="20"/>
                <w:lang w:val="es-ES_tradnl"/>
              </w:rPr>
              <w:t>–127 dBW por</w:t>
            </w:r>
            <w:r w:rsidRPr="00E5175D">
              <w:rPr>
                <w:sz w:val="20"/>
                <w:lang w:val="es-ES_tradnl"/>
              </w:rPr>
              <w:br/>
              <w:t xml:space="preserve">10 MHz </w:t>
            </w:r>
            <w:r w:rsidRPr="00E5175D">
              <w:rPr>
                <w:sz w:val="20"/>
                <w:lang w:val="es-ES_tradnl"/>
              </w:rPr>
              <w:br/>
            </w:r>
            <w:r w:rsidRPr="00E5175D">
              <w:rPr>
                <w:i/>
                <w:sz w:val="20"/>
                <w:lang w:val="es-ES_tradnl"/>
              </w:rPr>
              <w:t>p </w:t>
            </w:r>
            <w:r w:rsidRPr="00E5175D">
              <w:rPr>
                <w:rFonts w:ascii="Symbol" w:hAnsi="Symbol"/>
                <w:sz w:val="20"/>
                <w:lang w:val="es-ES_tradnl"/>
              </w:rPr>
              <w:t></w:t>
            </w:r>
            <w:r w:rsidRPr="00E5175D">
              <w:rPr>
                <w:sz w:val="20"/>
                <w:lang w:val="es-ES_tradnl"/>
              </w:rPr>
              <w:t> 0,0016</w:t>
            </w:r>
          </w:p>
        </w:tc>
      </w:tr>
      <w:tr w:rsidR="007B79FA" w:rsidRPr="00E5175D" w:rsidTr="006A21F5">
        <w:trPr>
          <w:cantSplit/>
          <w:trHeight w:val="20"/>
          <w:jc w:val="center"/>
        </w:trPr>
        <w:tc>
          <w:tcPr>
            <w:tcW w:w="2122" w:type="dxa"/>
            <w:vAlign w:val="center"/>
          </w:tcPr>
          <w:p w:rsidR="007B79FA" w:rsidRPr="00E5175D" w:rsidRDefault="007B79FA" w:rsidP="00F7572E">
            <w:pPr>
              <w:pStyle w:val="Tabletext"/>
              <w:jc w:val="center"/>
              <w:rPr>
                <w:sz w:val="20"/>
                <w:lang w:val="es-ES_tradnl"/>
              </w:rPr>
            </w:pPr>
            <w:r w:rsidRPr="00E5175D">
              <w:rPr>
                <w:sz w:val="20"/>
                <w:lang w:val="es-ES_tradnl"/>
              </w:rPr>
              <w:t>8</w:t>
            </w:r>
            <w:r w:rsidRPr="00E5175D">
              <w:rPr>
                <w:rFonts w:ascii="Tms Rmn" w:hAnsi="Tms Rmn"/>
                <w:b/>
                <w:sz w:val="20"/>
                <w:lang w:val="es-ES_tradnl"/>
              </w:rPr>
              <w:t> </w:t>
            </w:r>
            <w:r w:rsidRPr="00E5175D">
              <w:rPr>
                <w:sz w:val="20"/>
                <w:lang w:val="es-ES_tradnl"/>
              </w:rPr>
              <w:t>025-8</w:t>
            </w:r>
            <w:r w:rsidRPr="00E5175D">
              <w:rPr>
                <w:rFonts w:ascii="Tms Rmn" w:hAnsi="Tms Rmn"/>
                <w:b/>
                <w:sz w:val="20"/>
                <w:lang w:val="es-ES_tradnl"/>
              </w:rPr>
              <w:t> </w:t>
            </w:r>
            <w:r w:rsidRPr="00E5175D">
              <w:rPr>
                <w:sz w:val="20"/>
                <w:lang w:val="es-ES_tradnl"/>
              </w:rPr>
              <w:t>400</w:t>
            </w:r>
          </w:p>
        </w:tc>
        <w:tc>
          <w:tcPr>
            <w:tcW w:w="1984" w:type="dxa"/>
            <w:vAlign w:val="center"/>
          </w:tcPr>
          <w:p w:rsidR="007B79FA" w:rsidRPr="00E5175D" w:rsidRDefault="007B79FA" w:rsidP="00F7572E">
            <w:pPr>
              <w:pStyle w:val="Tabletext"/>
              <w:jc w:val="center"/>
              <w:rPr>
                <w:sz w:val="20"/>
                <w:lang w:val="es-ES_tradnl"/>
              </w:rPr>
            </w:pPr>
            <w:r w:rsidRPr="00E5175D">
              <w:rPr>
                <w:sz w:val="20"/>
                <w:lang w:val="es-ES_tradnl"/>
              </w:rPr>
              <w:t>–167 dBW por</w:t>
            </w:r>
            <w:r w:rsidRPr="00E5175D">
              <w:rPr>
                <w:sz w:val="20"/>
                <w:lang w:val="es-ES_tradnl"/>
              </w:rPr>
              <w:br/>
              <w:t>10 MHz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–150 dBW por</w:t>
            </w:r>
            <w:r w:rsidRPr="00E5175D">
              <w:rPr>
                <w:sz w:val="20"/>
                <w:lang w:val="es-ES_tradnl"/>
              </w:rPr>
              <w:br/>
              <w:t>10 MHz</w:t>
            </w:r>
          </w:p>
        </w:tc>
        <w:tc>
          <w:tcPr>
            <w:tcW w:w="1843" w:type="dxa"/>
            <w:vAlign w:val="center"/>
          </w:tcPr>
          <w:p w:rsidR="007B79FA" w:rsidRPr="00E5175D" w:rsidRDefault="007B79FA" w:rsidP="00F7572E">
            <w:pPr>
              <w:pStyle w:val="Tabletext"/>
              <w:jc w:val="center"/>
              <w:rPr>
                <w:sz w:val="20"/>
                <w:lang w:val="es-ES_tradnl"/>
              </w:rPr>
            </w:pPr>
            <w:r w:rsidRPr="00E5175D">
              <w:rPr>
                <w:sz w:val="20"/>
                <w:lang w:val="es-ES_tradnl"/>
              </w:rPr>
              <w:t>–133 dBW por</w:t>
            </w:r>
            <w:r w:rsidRPr="00E5175D">
              <w:rPr>
                <w:sz w:val="20"/>
                <w:lang w:val="es-ES_tradnl"/>
              </w:rPr>
              <w:br/>
              <w:t xml:space="preserve">10 MHz </w:t>
            </w:r>
            <w:r w:rsidRPr="00E5175D">
              <w:rPr>
                <w:sz w:val="20"/>
                <w:lang w:val="es-ES_tradnl"/>
              </w:rPr>
              <w:br/>
            </w:r>
            <w:r w:rsidRPr="00E5175D">
              <w:rPr>
                <w:i/>
                <w:sz w:val="20"/>
                <w:lang w:val="es-ES_tradnl"/>
              </w:rPr>
              <w:t>p </w:t>
            </w:r>
            <w:r w:rsidRPr="00E5175D">
              <w:rPr>
                <w:rFonts w:ascii="Symbol" w:hAnsi="Symbol"/>
                <w:sz w:val="20"/>
                <w:lang w:val="es-ES_tradnl"/>
              </w:rPr>
              <w:t></w:t>
            </w:r>
            <w:r w:rsidRPr="00E5175D">
              <w:rPr>
                <w:sz w:val="20"/>
                <w:lang w:val="es-ES_tradnl"/>
              </w:rPr>
              <w:t> 0,0025</w:t>
            </w:r>
          </w:p>
        </w:tc>
        <w:tc>
          <w:tcPr>
            <w:tcW w:w="1853" w:type="dxa"/>
            <w:vAlign w:val="center"/>
          </w:tcPr>
          <w:p w:rsidR="007B79FA" w:rsidRPr="00E5175D" w:rsidRDefault="007B79FA" w:rsidP="00F7572E">
            <w:pPr>
              <w:pStyle w:val="Tabletext"/>
              <w:jc w:val="center"/>
              <w:rPr>
                <w:sz w:val="20"/>
                <w:lang w:val="es-ES_tradnl"/>
              </w:rPr>
            </w:pPr>
            <w:r w:rsidRPr="00E5175D">
              <w:rPr>
                <w:sz w:val="20"/>
                <w:lang w:val="es-ES_tradnl"/>
              </w:rPr>
              <w:t>–133 dBW por</w:t>
            </w:r>
            <w:r w:rsidRPr="00E5175D">
              <w:rPr>
                <w:sz w:val="20"/>
                <w:lang w:val="es-ES_tradnl"/>
              </w:rPr>
              <w:br/>
              <w:t xml:space="preserve">10 MHz </w:t>
            </w:r>
            <w:r w:rsidRPr="00E5175D">
              <w:rPr>
                <w:sz w:val="20"/>
                <w:lang w:val="es-ES_tradnl"/>
              </w:rPr>
              <w:br/>
            </w:r>
            <w:r w:rsidRPr="00E5175D">
              <w:rPr>
                <w:i/>
                <w:sz w:val="20"/>
                <w:lang w:val="es-ES_tradnl"/>
              </w:rPr>
              <w:t>p </w:t>
            </w:r>
            <w:r w:rsidRPr="00E5175D">
              <w:rPr>
                <w:rFonts w:ascii="Symbol" w:hAnsi="Symbol"/>
                <w:sz w:val="20"/>
                <w:lang w:val="es-ES_tradnl"/>
              </w:rPr>
              <w:t></w:t>
            </w:r>
            <w:r w:rsidRPr="00E5175D">
              <w:rPr>
                <w:sz w:val="20"/>
                <w:lang w:val="es-ES_tradnl"/>
              </w:rPr>
              <w:t> 0,0050</w:t>
            </w:r>
          </w:p>
        </w:tc>
      </w:tr>
      <w:tr w:rsidR="007B79FA" w:rsidRPr="00E5175D" w:rsidTr="00E5175D">
        <w:trPr>
          <w:cantSplit/>
          <w:trHeight w:val="20"/>
          <w:jc w:val="center"/>
        </w:trPr>
        <w:tc>
          <w:tcPr>
            <w:tcW w:w="2122" w:type="dxa"/>
            <w:tcBorders>
              <w:bottom w:val="single" w:sz="6" w:space="0" w:color="auto"/>
            </w:tcBorders>
            <w:vAlign w:val="center"/>
          </w:tcPr>
          <w:p w:rsidR="007B79FA" w:rsidRPr="00E5175D" w:rsidRDefault="007B79FA" w:rsidP="00F7572E">
            <w:pPr>
              <w:pStyle w:val="Tabletext"/>
              <w:jc w:val="center"/>
              <w:rPr>
                <w:sz w:val="20"/>
                <w:lang w:val="es-ES_tradnl"/>
              </w:rPr>
            </w:pPr>
            <w:r w:rsidRPr="00E5175D">
              <w:rPr>
                <w:sz w:val="20"/>
                <w:lang w:val="es-ES_tradnl"/>
              </w:rPr>
              <w:t>25,5-27,0</w:t>
            </w:r>
          </w:p>
        </w:tc>
        <w:tc>
          <w:tcPr>
            <w:tcW w:w="1984" w:type="dxa"/>
            <w:tcBorders>
              <w:bottom w:val="single" w:sz="6" w:space="0" w:color="auto"/>
            </w:tcBorders>
            <w:vAlign w:val="center"/>
          </w:tcPr>
          <w:p w:rsidR="007B79FA" w:rsidRPr="00E5175D" w:rsidRDefault="007B79FA" w:rsidP="00F7572E">
            <w:pPr>
              <w:pStyle w:val="Tabletext"/>
              <w:jc w:val="center"/>
              <w:rPr>
                <w:sz w:val="20"/>
                <w:lang w:val="es-ES_tradnl"/>
              </w:rPr>
            </w:pPr>
            <w:r w:rsidRPr="00E5175D">
              <w:rPr>
                <w:sz w:val="20"/>
                <w:lang w:val="es-ES_tradnl"/>
              </w:rPr>
              <w:t>–160 dBW por</w:t>
            </w:r>
            <w:r w:rsidRPr="00E5175D">
              <w:rPr>
                <w:sz w:val="20"/>
                <w:lang w:val="es-ES_tradnl"/>
              </w:rPr>
              <w:br/>
              <w:t>10 MHz</w:t>
            </w:r>
          </w:p>
        </w:tc>
        <w:tc>
          <w:tcPr>
            <w:tcW w:w="1843" w:type="dxa"/>
            <w:tcBorders>
              <w:bottom w:val="single" w:sz="6" w:space="0" w:color="auto"/>
            </w:tcBorders>
            <w:vAlign w:val="center"/>
          </w:tcPr>
          <w:p w:rsidR="007B79FA" w:rsidRPr="00E5175D" w:rsidRDefault="007B79FA" w:rsidP="00F7572E">
            <w:pPr>
              <w:pStyle w:val="Tabletext"/>
              <w:jc w:val="center"/>
              <w:rPr>
                <w:sz w:val="20"/>
                <w:lang w:val="es-ES_tradnl"/>
              </w:rPr>
            </w:pPr>
            <w:r w:rsidRPr="00E5175D">
              <w:rPr>
                <w:sz w:val="20"/>
                <w:lang w:val="es-ES_tradnl"/>
              </w:rPr>
              <w:t>–143 dBW por</w:t>
            </w:r>
            <w:r w:rsidRPr="00E5175D">
              <w:rPr>
                <w:sz w:val="20"/>
                <w:lang w:val="es-ES_tradnl"/>
              </w:rPr>
              <w:br/>
              <w:t>10 MHz</w:t>
            </w:r>
          </w:p>
        </w:tc>
        <w:tc>
          <w:tcPr>
            <w:tcW w:w="1843" w:type="dxa"/>
            <w:tcBorders>
              <w:bottom w:val="single" w:sz="6" w:space="0" w:color="auto"/>
            </w:tcBorders>
            <w:vAlign w:val="center"/>
          </w:tcPr>
          <w:p w:rsidR="007B79FA" w:rsidRPr="00E5175D" w:rsidRDefault="007B79FA" w:rsidP="00F7572E">
            <w:pPr>
              <w:pStyle w:val="Tabletext"/>
              <w:jc w:val="center"/>
              <w:rPr>
                <w:sz w:val="20"/>
                <w:lang w:val="es-ES_tradnl"/>
              </w:rPr>
            </w:pPr>
            <w:r w:rsidRPr="00E5175D">
              <w:rPr>
                <w:sz w:val="20"/>
                <w:lang w:val="es-ES_tradnl"/>
              </w:rPr>
              <w:t>–116 dBW por</w:t>
            </w:r>
            <w:r w:rsidRPr="00E5175D">
              <w:rPr>
                <w:sz w:val="20"/>
                <w:lang w:val="es-ES_tradnl"/>
              </w:rPr>
              <w:br/>
              <w:t>10 MHz</w:t>
            </w:r>
            <w:r w:rsidRPr="00E5175D">
              <w:rPr>
                <w:sz w:val="20"/>
                <w:lang w:val="es-ES_tradnl"/>
              </w:rPr>
              <w:br/>
            </w:r>
            <w:r w:rsidRPr="00E5175D">
              <w:rPr>
                <w:i/>
                <w:sz w:val="20"/>
                <w:lang w:val="es-ES_tradnl"/>
              </w:rPr>
              <w:t>p </w:t>
            </w:r>
            <w:r w:rsidRPr="00E5175D">
              <w:rPr>
                <w:rFonts w:ascii="Symbol" w:hAnsi="Symbol"/>
                <w:sz w:val="20"/>
                <w:lang w:val="es-ES_tradnl"/>
              </w:rPr>
              <w:t></w:t>
            </w:r>
            <w:r w:rsidRPr="00E5175D">
              <w:rPr>
                <w:sz w:val="20"/>
                <w:lang w:val="es-ES_tradnl"/>
              </w:rPr>
              <w:t> 0,0025</w:t>
            </w:r>
          </w:p>
        </w:tc>
        <w:tc>
          <w:tcPr>
            <w:tcW w:w="1853" w:type="dxa"/>
            <w:tcBorders>
              <w:bottom w:val="single" w:sz="6" w:space="0" w:color="auto"/>
            </w:tcBorders>
            <w:vAlign w:val="center"/>
          </w:tcPr>
          <w:p w:rsidR="007B79FA" w:rsidRPr="00E5175D" w:rsidRDefault="007B79FA" w:rsidP="00F7572E">
            <w:pPr>
              <w:pStyle w:val="Tabletext"/>
              <w:jc w:val="center"/>
              <w:rPr>
                <w:sz w:val="20"/>
                <w:lang w:val="es-ES_tradnl"/>
              </w:rPr>
            </w:pPr>
            <w:r w:rsidRPr="00E5175D">
              <w:rPr>
                <w:sz w:val="20"/>
                <w:lang w:val="es-ES_tradnl"/>
              </w:rPr>
              <w:t>–116 dBW por</w:t>
            </w:r>
            <w:r w:rsidRPr="00E5175D">
              <w:rPr>
                <w:sz w:val="20"/>
                <w:lang w:val="es-ES_tradnl"/>
              </w:rPr>
              <w:br/>
              <w:t>10 MHz</w:t>
            </w:r>
            <w:r w:rsidRPr="00E5175D">
              <w:rPr>
                <w:sz w:val="20"/>
                <w:lang w:val="es-ES_tradnl"/>
              </w:rPr>
              <w:br/>
            </w:r>
            <w:r w:rsidRPr="00E5175D">
              <w:rPr>
                <w:i/>
                <w:sz w:val="20"/>
                <w:lang w:val="es-ES_tradnl"/>
              </w:rPr>
              <w:t>p </w:t>
            </w:r>
            <w:r w:rsidRPr="00E5175D">
              <w:rPr>
                <w:rFonts w:ascii="Symbol" w:hAnsi="Symbol"/>
                <w:sz w:val="20"/>
                <w:lang w:val="es-ES_tradnl"/>
              </w:rPr>
              <w:t></w:t>
            </w:r>
            <w:r w:rsidRPr="00E5175D">
              <w:rPr>
                <w:sz w:val="20"/>
                <w:lang w:val="es-ES_tradnl"/>
              </w:rPr>
              <w:t> 0,0050</w:t>
            </w:r>
          </w:p>
        </w:tc>
      </w:tr>
      <w:tr w:rsidR="007B79FA" w:rsidRPr="00E5175D" w:rsidTr="0050562F">
        <w:trPr>
          <w:cantSplit/>
          <w:trHeight w:val="20"/>
          <w:jc w:val="center"/>
        </w:trPr>
        <w:tc>
          <w:tcPr>
            <w:tcW w:w="9645" w:type="dxa"/>
            <w:gridSpan w:val="5"/>
            <w:tcBorders>
              <w:left w:val="nil"/>
              <w:bottom w:val="nil"/>
              <w:right w:val="nil"/>
            </w:tcBorders>
          </w:tcPr>
          <w:p w:rsidR="007B79FA" w:rsidRPr="00E5175D" w:rsidRDefault="007B79FA" w:rsidP="00F7572E">
            <w:pPr>
              <w:pStyle w:val="Tablelegend"/>
              <w:rPr>
                <w:sz w:val="20"/>
                <w:lang w:val="es-ES_tradnl"/>
              </w:rPr>
            </w:pPr>
            <w:r w:rsidRPr="00E5175D">
              <w:rPr>
                <w:sz w:val="20"/>
                <w:vertAlign w:val="superscript"/>
                <w:lang w:val="es-ES_tradnl"/>
              </w:rPr>
              <w:t>(1)</w:t>
            </w:r>
            <w:r w:rsidRPr="00E5175D">
              <w:rPr>
                <w:rStyle w:val="FootnoteReference"/>
                <w:sz w:val="20"/>
                <w:lang w:val="es-ES_tradnl"/>
              </w:rPr>
              <w:tab/>
            </w:r>
            <w:r w:rsidRPr="00E5175D">
              <w:rPr>
                <w:sz w:val="20"/>
                <w:lang w:val="es-ES_tradnl"/>
              </w:rPr>
              <w:t>En este caso, las potencias de la señal interferente (dBW) en la anchura de banda de referencia se da para una recepción con ángulos de elevación</w:t>
            </w:r>
            <w:r w:rsidR="0001294B" w:rsidRPr="00E5175D">
              <w:rPr>
                <w:sz w:val="20"/>
                <w:lang w:val="es-ES_tradnl"/>
              </w:rPr>
              <w:t xml:space="preserve"> </w:t>
            </w:r>
            <w:r w:rsidR="0001294B" w:rsidRPr="00E5175D">
              <w:rPr>
                <w:sz w:val="20"/>
                <w:lang w:val="es-ES_tradnl"/>
              </w:rPr>
              <w:sym w:font="Symbol" w:char="F0B3"/>
            </w:r>
            <w:r w:rsidRPr="00E5175D">
              <w:rPr>
                <w:sz w:val="20"/>
                <w:lang w:val="es-ES_tradnl"/>
              </w:rPr>
              <w:t>25</w:t>
            </w:r>
            <w:r w:rsidR="0001294B" w:rsidRPr="00E5175D">
              <w:rPr>
                <w:sz w:val="20"/>
                <w:lang w:val="es-ES_tradnl"/>
              </w:rPr>
              <w:t>°</w:t>
            </w:r>
            <w:r w:rsidRPr="00E5175D">
              <w:rPr>
                <w:sz w:val="20"/>
                <w:lang w:val="es-ES_tradnl"/>
              </w:rPr>
              <w:t>; en el resto de los casos el mínimo ángulo de elevación es 5</w:t>
            </w:r>
            <w:r w:rsidR="00DF6DC6" w:rsidRPr="00E5175D">
              <w:rPr>
                <w:sz w:val="20"/>
                <w:lang w:val="es-ES_tradnl"/>
              </w:rPr>
              <w:t>°</w:t>
            </w:r>
            <w:r w:rsidRPr="00E5175D">
              <w:rPr>
                <w:sz w:val="20"/>
                <w:lang w:val="es-ES_tradnl"/>
              </w:rPr>
              <w:t>.</w:t>
            </w:r>
          </w:p>
        </w:tc>
      </w:tr>
      <w:tr w:rsidR="0050562F" w:rsidRPr="00E5175D" w:rsidTr="0050562F">
        <w:trPr>
          <w:cantSplit/>
          <w:trHeight w:val="20"/>
          <w:jc w:val="center"/>
        </w:trPr>
        <w:tc>
          <w:tcPr>
            <w:tcW w:w="9645" w:type="dxa"/>
            <w:gridSpan w:val="5"/>
            <w:tcBorders>
              <w:top w:val="nil"/>
              <w:left w:val="nil"/>
              <w:bottom w:val="nil"/>
              <w:right w:val="nil"/>
            </w:tcBorders>
          </w:tcPr>
          <w:p w:rsidR="0050562F" w:rsidRPr="0050562F" w:rsidRDefault="0050562F" w:rsidP="0050562F">
            <w:pPr>
              <w:pStyle w:val="TableLegendNote"/>
              <w:rPr>
                <w:i/>
                <w:iCs/>
                <w:sz w:val="20"/>
                <w:lang w:val="es-ES_tradnl"/>
              </w:rPr>
            </w:pPr>
            <w:r w:rsidRPr="0050562F">
              <w:rPr>
                <w:i/>
                <w:iCs/>
                <w:sz w:val="20"/>
                <w:lang w:val="es-ES_tradnl"/>
              </w:rPr>
              <w:t>Notas relativas al Cuadro 1:</w:t>
            </w:r>
          </w:p>
          <w:p w:rsidR="0050562F" w:rsidRPr="0050562F" w:rsidRDefault="0050562F" w:rsidP="0050562F">
            <w:pPr>
              <w:pStyle w:val="TableLegendNote"/>
              <w:rPr>
                <w:sz w:val="20"/>
                <w:lang w:val="es-ES_tradnl"/>
              </w:rPr>
            </w:pPr>
            <w:r w:rsidRPr="0050562F">
              <w:rPr>
                <w:sz w:val="20"/>
                <w:lang w:val="es-ES_tradnl"/>
              </w:rPr>
              <w:t>NOTA 1 – Los umbrales de potencia de señal interferente de una sola fuente en este Cuadro son los niveles admisibles de potencia de señal interferente que caen dentro de la anchura de banda de referencia especificada. En consecuencia, la potencia total de las señales interferentes cuya anchura de banda es menor que la anchura de banda de referencia debe considerarse en los análisis de compartición de frecuencias. Cuando la anchura de banda de la señal interferente es mayor que la anchura de banda de referencia o no cubre totalmente la banda de paso del receptor específico sometido a estudio, debe aplicarse el rechazo dependiente de la frecuencia disponible junto con los niveles de interferencia admisibles especificados.</w:t>
            </w:r>
          </w:p>
          <w:p w:rsidR="0050562F" w:rsidRPr="0050562F" w:rsidRDefault="0050562F" w:rsidP="0050562F">
            <w:pPr>
              <w:pStyle w:val="TableLegendNote"/>
              <w:rPr>
                <w:sz w:val="20"/>
                <w:lang w:val="es-ES_tradnl"/>
              </w:rPr>
            </w:pPr>
            <w:r w:rsidRPr="0050562F">
              <w:rPr>
                <w:sz w:val="20"/>
                <w:lang w:val="es-ES_tradnl"/>
              </w:rPr>
              <w:t>NOTA 2 – Para obtener los criterios de compartición anteriores a partir de los niveles admisibles de potencia total de la señal interferente no se ha tenido en cuenta la interferencia producida por emisiones no esenciales.</w:t>
            </w:r>
          </w:p>
          <w:p w:rsidR="0050562F" w:rsidRPr="0050562F" w:rsidRDefault="0050562F" w:rsidP="0050562F">
            <w:pPr>
              <w:pStyle w:val="TableLegendNote"/>
              <w:rPr>
                <w:sz w:val="20"/>
                <w:lang w:val="es-ES_tradnl"/>
              </w:rPr>
            </w:pPr>
            <w:r w:rsidRPr="0050562F">
              <w:rPr>
                <w:sz w:val="20"/>
                <w:lang w:val="es-ES_tradnl"/>
              </w:rPr>
              <w:t>NOTA 3 – Para que la interferencia tenga un nivel igual o inferior al admisible deben cumplirse los criterios de compartición a largo plazo (20% del tiempo) y a corto plazo (</w:t>
            </w:r>
            <w:r w:rsidRPr="0050562F">
              <w:rPr>
                <w:rFonts w:ascii="Symbol" w:hAnsi="Symbol"/>
                <w:sz w:val="20"/>
              </w:rPr>
              <w:t></w:t>
            </w:r>
            <w:r w:rsidRPr="0050562F">
              <w:rPr>
                <w:i/>
                <w:sz w:val="20"/>
                <w:lang w:val="es-ES_tradnl"/>
              </w:rPr>
              <w:t xml:space="preserve"> p</w:t>
            </w:r>
            <w:r w:rsidRPr="0050562F">
              <w:rPr>
                <w:sz w:val="20"/>
                <w:lang w:val="es-ES_tradnl"/>
              </w:rPr>
              <w:t>% del tiempo).</w:t>
            </w:r>
          </w:p>
          <w:p w:rsidR="0050562F" w:rsidRPr="008F443F" w:rsidRDefault="0050562F" w:rsidP="008F443F">
            <w:pPr>
              <w:pStyle w:val="TableLegendNote"/>
              <w:rPr>
                <w:sz w:val="20"/>
                <w:lang w:val="es-ES_tradnl"/>
              </w:rPr>
            </w:pPr>
            <w:r w:rsidRPr="0050562F">
              <w:rPr>
                <w:sz w:val="20"/>
                <w:lang w:val="es-ES_tradnl"/>
              </w:rPr>
              <w:t>NOTA 4 – Los criterios de compartición especificados para los trayectos de señales terrenales son aplicables a estaciones transmisoras de servicios terrenales y a estaciones terrenas de transmisión.</w:t>
            </w:r>
          </w:p>
        </w:tc>
      </w:tr>
    </w:tbl>
    <w:p w:rsidR="00DF6DC6" w:rsidRPr="0001294B" w:rsidRDefault="00DF6DC6" w:rsidP="00DF6DC6">
      <w:pPr>
        <w:pStyle w:val="Tablefin"/>
        <w:rPr>
          <w:lang w:val="es-ES_tradnl"/>
        </w:rPr>
      </w:pPr>
    </w:p>
    <w:p w:rsidR="00F7572E" w:rsidRDefault="00F7572E" w:rsidP="00DF6DC6">
      <w:pPr>
        <w:rPr>
          <w:lang w:val="es-ES_tradnl"/>
        </w:rPr>
      </w:pPr>
    </w:p>
    <w:p w:rsidR="008F443F" w:rsidRDefault="008F443F" w:rsidP="00DF6DC6">
      <w:pPr>
        <w:rPr>
          <w:lang w:val="es-ES_tradnl"/>
        </w:rPr>
      </w:pPr>
    </w:p>
    <w:p w:rsidR="007B79FA" w:rsidRPr="0018391A" w:rsidRDefault="007B79FA" w:rsidP="007B79FA">
      <w:pPr>
        <w:pStyle w:val="AnnexNoTitle"/>
        <w:spacing w:before="0"/>
        <w:rPr>
          <w:lang w:val="es-ES_tradnl"/>
        </w:rPr>
      </w:pPr>
      <w:r w:rsidRPr="0018391A">
        <w:rPr>
          <w:lang w:val="es-ES_tradnl"/>
        </w:rPr>
        <w:t>Anexo 1</w:t>
      </w:r>
      <w:r w:rsidRPr="0018391A">
        <w:rPr>
          <w:lang w:val="es-ES_tradnl"/>
        </w:rPr>
        <w:br/>
      </w:r>
      <w:r w:rsidRPr="0018391A">
        <w:rPr>
          <w:lang w:val="es-ES_tradnl"/>
        </w:rPr>
        <w:br/>
        <w:t>Fundamentos de los criterios de compartición</w:t>
      </w:r>
    </w:p>
    <w:p w:rsidR="007B79FA" w:rsidRPr="00877BE6" w:rsidRDefault="007B79FA" w:rsidP="007B79FA">
      <w:pPr>
        <w:pStyle w:val="Heading1"/>
        <w:rPr>
          <w:lang w:val="es-ES_tradnl"/>
        </w:rPr>
      </w:pPr>
      <w:r w:rsidRPr="00877BE6">
        <w:rPr>
          <w:lang w:val="es-ES_tradnl"/>
        </w:rPr>
        <w:t>1</w:t>
      </w:r>
      <w:r w:rsidRPr="00877BE6">
        <w:rPr>
          <w:lang w:val="es-ES_tradnl"/>
        </w:rPr>
        <w:tab/>
        <w:t>Introducción</w:t>
      </w:r>
    </w:p>
    <w:p w:rsidR="007B79FA" w:rsidRPr="0018391A" w:rsidRDefault="007B79FA" w:rsidP="008370DB">
      <w:pPr>
        <w:spacing w:before="80"/>
        <w:rPr>
          <w:lang w:val="es-ES_tradnl"/>
        </w:rPr>
      </w:pPr>
      <w:r w:rsidRPr="0018391A">
        <w:rPr>
          <w:lang w:val="es-ES_tradnl"/>
        </w:rPr>
        <w:t xml:space="preserve">Los objetivos de los criterios de compartición son, por un lado, asegurar que la interferencia procedente de todas las fuentes no rebasará el criterio de interferencia aplicable (es decir, los niveles admisibles de interferencia total) y, por otro lado, posibilitar una compartición eficaz permitiendo que el máximo número posible de sistemas compartan una banda en la misma área de explotación (preferiblemente de manera cocanal). Este </w:t>
      </w:r>
      <w:r w:rsidR="00D330EB" w:rsidRPr="0018391A">
        <w:rPr>
          <w:lang w:val="es-ES_tradnl"/>
        </w:rPr>
        <w:t>Anexo</w:t>
      </w:r>
      <w:r w:rsidRPr="0018391A">
        <w:rPr>
          <w:lang w:val="es-ES_tradnl"/>
        </w:rPr>
        <w:t xml:space="preserve"> presenta las bases para subdividir los criterios de interferencia combinada aplicables (según lo indicado en la Recomendación UIT-R</w:t>
      </w:r>
      <w:r w:rsidR="008370DB">
        <w:rPr>
          <w:lang w:val="es-ES_tradnl"/>
        </w:rPr>
        <w:t> </w:t>
      </w:r>
      <w:r w:rsidRPr="0018391A">
        <w:rPr>
          <w:lang w:val="es-ES_tradnl"/>
        </w:rPr>
        <w:t>SA.1026) entre las fuentes interferentes previstas. El Cuadro 2 señala los factores empleados para distribuir la interferencia admisible total en cada banda relevante entre las categorías de trayectos de interferencia espacio-Tierra, así como entre el número previsto de fuentes de interferencias de cada una de estas categorías. En los puntos siguientes se examina el entorno de interferencia en cada banda.</w:t>
      </w:r>
    </w:p>
    <w:p w:rsidR="007B79FA" w:rsidRPr="00877BE6" w:rsidRDefault="007B79FA" w:rsidP="007B79FA">
      <w:pPr>
        <w:pStyle w:val="Heading1"/>
        <w:rPr>
          <w:lang w:val="es-ES_tradnl"/>
        </w:rPr>
      </w:pPr>
      <w:r w:rsidRPr="00877BE6">
        <w:rPr>
          <w:lang w:val="es-ES_tradnl"/>
        </w:rPr>
        <w:t>2</w:t>
      </w:r>
      <w:r w:rsidRPr="00877BE6">
        <w:rPr>
          <w:lang w:val="es-ES_tradnl"/>
        </w:rPr>
        <w:tab/>
        <w:t>Banda 137-138 MHz</w:t>
      </w:r>
    </w:p>
    <w:p w:rsidR="007B79FA" w:rsidRPr="0018391A" w:rsidRDefault="007B79FA" w:rsidP="008370DB">
      <w:pPr>
        <w:spacing w:before="80"/>
        <w:rPr>
          <w:szCs w:val="24"/>
          <w:lang w:val="es-ES_tradnl"/>
        </w:rPr>
      </w:pPr>
      <w:r w:rsidRPr="0018391A">
        <w:rPr>
          <w:szCs w:val="24"/>
          <w:lang w:val="es-ES_tradnl"/>
        </w:rPr>
        <w:t>La banda 137-138</w:t>
      </w:r>
      <w:r w:rsidR="008370DB">
        <w:rPr>
          <w:szCs w:val="24"/>
          <w:lang w:val="es-ES_tradnl"/>
        </w:rPr>
        <w:t> </w:t>
      </w:r>
      <w:r w:rsidRPr="0018391A">
        <w:rPr>
          <w:szCs w:val="24"/>
          <w:lang w:val="es-ES_tradnl"/>
        </w:rPr>
        <w:t>MHz está atribuida a título primario a los servicios de operaciones espaciales, de meteorología por satélite y de investigación espacial (espacio-Tierra); al servicio móvil por satélite (espacio-Tierra) a título primario en algunas partes de la banda y a título secundario en otras partes de la banda; y a los servicios fijo y</w:t>
      </w:r>
      <w:r w:rsidR="00B41E37">
        <w:rPr>
          <w:szCs w:val="24"/>
          <w:lang w:val="es-ES_tradnl"/>
        </w:rPr>
        <w:t xml:space="preserve"> móvil (salvo móvil aeronáutico </w:t>
      </w:r>
      <w:r w:rsidRPr="0018391A">
        <w:rPr>
          <w:szCs w:val="24"/>
          <w:lang w:val="es-ES_tradnl"/>
        </w:rPr>
        <w:t>(R)) a título secundario (salvo en el caso de las administraciones donde la atribución es a título primario).</w:t>
      </w:r>
    </w:p>
    <w:p w:rsidR="007B79FA" w:rsidRPr="0018391A" w:rsidRDefault="007B79FA" w:rsidP="00DF6DC6">
      <w:pPr>
        <w:spacing w:before="80"/>
        <w:rPr>
          <w:szCs w:val="24"/>
          <w:lang w:val="es-ES_tradnl"/>
        </w:rPr>
      </w:pPr>
      <w:r w:rsidRPr="0018391A">
        <w:rPr>
          <w:szCs w:val="24"/>
          <w:lang w:val="es-ES_tradnl"/>
        </w:rPr>
        <w:t>La mayoría del tiempo, en los emplazamientos de las estaciones terrenas típicas del servicio de meteorología por satélite, las estaciones espaciales tales como las del servicio móvil por satélite pueden producir niveles de interferencia más elevados que las estaciones terrenales. Las estaciones terrenas del servicio de meteorología por satélite que utilizan antenas con una ganancia de 10</w:t>
      </w:r>
      <w:r w:rsidR="00DF6DC6">
        <w:rPr>
          <w:szCs w:val="24"/>
          <w:lang w:val="es-ES_tradnl"/>
        </w:rPr>
        <w:t> </w:t>
      </w:r>
      <w:r w:rsidRPr="0018391A">
        <w:rPr>
          <w:szCs w:val="24"/>
          <w:lang w:val="es-ES_tradnl"/>
        </w:rPr>
        <w:t>dBic ofrecerán mayor discriminación contra las emisiones procedentes de las estaciones terrenales que las estaciones terrenas que emplean antenas de ganancia más baja (2</w:t>
      </w:r>
      <w:r w:rsidR="00DF6DC6">
        <w:rPr>
          <w:szCs w:val="24"/>
          <w:lang w:val="es-ES_tradnl"/>
        </w:rPr>
        <w:t> </w:t>
      </w:r>
      <w:r w:rsidRPr="0018391A">
        <w:rPr>
          <w:szCs w:val="24"/>
          <w:lang w:val="es-ES_tradnl"/>
        </w:rPr>
        <w:t>dBic). A corto plazo, las mejoras en la propagación en los trayectos de la señal terrenal interferente y la variación de los emplazamientos de las estaciones móviles pueden provocar niveles de interferencia similares procedentes de las estaciones espacio-Tierra y terrenales.</w:t>
      </w:r>
    </w:p>
    <w:p w:rsidR="007B79FA" w:rsidRPr="00877BE6" w:rsidRDefault="007B79FA" w:rsidP="007B79FA">
      <w:pPr>
        <w:pStyle w:val="Heading1"/>
        <w:rPr>
          <w:lang w:val="es-ES_tradnl"/>
        </w:rPr>
      </w:pPr>
      <w:r w:rsidRPr="00877BE6">
        <w:rPr>
          <w:lang w:val="es-ES_tradnl"/>
        </w:rPr>
        <w:t>3</w:t>
      </w:r>
      <w:r w:rsidRPr="00877BE6">
        <w:rPr>
          <w:lang w:val="es-ES_tradnl"/>
        </w:rPr>
        <w:tab/>
        <w:t>Banda de 400,15-401,00 MHz</w:t>
      </w:r>
    </w:p>
    <w:p w:rsidR="007B79FA" w:rsidRPr="0018391A" w:rsidRDefault="007B79FA" w:rsidP="0001294B">
      <w:pPr>
        <w:spacing w:before="80"/>
        <w:rPr>
          <w:szCs w:val="24"/>
          <w:lang w:val="es-ES_tradnl"/>
        </w:rPr>
      </w:pPr>
      <w:r w:rsidRPr="0018391A">
        <w:rPr>
          <w:szCs w:val="24"/>
          <w:lang w:val="es-ES_tradnl"/>
        </w:rPr>
        <w:t>La banda 400,15-401,00</w:t>
      </w:r>
      <w:r w:rsidR="0001294B">
        <w:rPr>
          <w:szCs w:val="24"/>
          <w:lang w:val="es-ES_tradnl"/>
        </w:rPr>
        <w:t> </w:t>
      </w:r>
      <w:r w:rsidRPr="0018391A">
        <w:rPr>
          <w:szCs w:val="24"/>
          <w:lang w:val="es-ES_tradnl"/>
        </w:rPr>
        <w:t xml:space="preserve">MHz está atribuida a título secundario al servicio de operaciones espaciales (espacio-Tierra), y a título primario a los servicios de meteorología por satélite, de investigación espacial y móvil por satélite (espacio-Tierra), al servicio de </w:t>
      </w:r>
      <w:r w:rsidR="009A6C5E">
        <w:rPr>
          <w:szCs w:val="24"/>
          <w:lang w:val="es-ES_tradnl"/>
        </w:rPr>
        <w:t>investigación espacial (espacio-</w:t>
      </w:r>
      <w:r w:rsidRPr="0018391A">
        <w:rPr>
          <w:szCs w:val="24"/>
          <w:lang w:val="es-ES_tradnl"/>
        </w:rPr>
        <w:t>espacio) y al servicio de ayudas a la meteorología. Además, en algunas administraciones la banda está también atribuida a los servicios fijo y móvil a título primario.</w:t>
      </w:r>
    </w:p>
    <w:p w:rsidR="007B79FA" w:rsidRPr="0018391A" w:rsidRDefault="007B79FA" w:rsidP="007B79FA">
      <w:pPr>
        <w:spacing w:before="80"/>
        <w:rPr>
          <w:szCs w:val="24"/>
          <w:lang w:val="es-ES_tradnl"/>
        </w:rPr>
      </w:pPr>
      <w:r w:rsidRPr="0018391A">
        <w:rPr>
          <w:szCs w:val="24"/>
          <w:lang w:val="es-ES_tradnl"/>
        </w:rPr>
        <w:t>La mayoría del tiempo, en los emplazamientos de las estaciones terrenas típicas del servicio de meteorología por satélite, las estaciones espaciales tales como las del servicio móvil por satélite pueden producir niveles de interferencia más elevados que las estaciones terrenales. A corto plazo, las mejoras en la propagación en los trayectos de la señal terrenal interferente y la variación de los emplazamientos de las estaciones móviles y de ayudas a la meteorología pueden provocar niveles de interferencia similares procedentes de las estaciones espacio-Tierra y terrenales.</w:t>
      </w:r>
    </w:p>
    <w:p w:rsidR="007B79FA" w:rsidRPr="00877BE6" w:rsidRDefault="007B79FA" w:rsidP="007B79FA">
      <w:pPr>
        <w:pStyle w:val="Heading1"/>
        <w:rPr>
          <w:lang w:val="es-ES_tradnl"/>
        </w:rPr>
      </w:pPr>
      <w:r w:rsidRPr="00877BE6">
        <w:rPr>
          <w:lang w:val="es-ES_tradnl"/>
        </w:rPr>
        <w:t>4</w:t>
      </w:r>
      <w:r w:rsidRPr="00877BE6">
        <w:rPr>
          <w:lang w:val="es-ES_tradnl"/>
        </w:rPr>
        <w:tab/>
        <w:t>Banda 1 698-1 710 MHz</w:t>
      </w:r>
    </w:p>
    <w:p w:rsidR="007B79FA" w:rsidRPr="0018391A" w:rsidRDefault="007B79FA" w:rsidP="00B41E37">
      <w:pPr>
        <w:spacing w:before="80"/>
        <w:rPr>
          <w:szCs w:val="24"/>
          <w:lang w:val="es-ES_tradnl"/>
        </w:rPr>
      </w:pPr>
      <w:r w:rsidRPr="0018391A">
        <w:rPr>
          <w:szCs w:val="24"/>
          <w:lang w:val="es-ES_tradnl"/>
        </w:rPr>
        <w:t>La banda 1 690-1 700 MHz (cuya gama 1 698-1 700</w:t>
      </w:r>
      <w:r w:rsidR="0001294B">
        <w:rPr>
          <w:szCs w:val="24"/>
          <w:lang w:val="es-ES_tradnl"/>
        </w:rPr>
        <w:t> </w:t>
      </w:r>
      <w:r w:rsidRPr="0018391A">
        <w:rPr>
          <w:szCs w:val="24"/>
          <w:lang w:val="es-ES_tradnl"/>
        </w:rPr>
        <w:t>MHz utilizan los satélites de meteorología no estacionarios) está atribuida a título primario al servicio de met</w:t>
      </w:r>
      <w:r w:rsidR="009A6C5E">
        <w:rPr>
          <w:szCs w:val="24"/>
          <w:lang w:val="es-ES_tradnl"/>
        </w:rPr>
        <w:t>eorología por satélite (espacio-</w:t>
      </w:r>
      <w:r w:rsidRPr="0018391A">
        <w:rPr>
          <w:szCs w:val="24"/>
          <w:lang w:val="es-ES_tradnl"/>
        </w:rPr>
        <w:t>Tierra) y a título secundario al servicio de exploración de la Tierra por satélite (espacio-Tierra); a título primario al servicio de ayudas a la meteorología; y, en la Región</w:t>
      </w:r>
      <w:r w:rsidR="00B41E37">
        <w:rPr>
          <w:szCs w:val="24"/>
          <w:lang w:val="es-ES_tradnl"/>
        </w:rPr>
        <w:t> </w:t>
      </w:r>
      <w:r w:rsidRPr="0018391A">
        <w:rPr>
          <w:szCs w:val="24"/>
          <w:lang w:val="es-ES_tradnl"/>
        </w:rPr>
        <w:t>1, a título secundario, a los servicios fijo y móvil (salvo móvil aeronáutico).</w:t>
      </w:r>
    </w:p>
    <w:p w:rsidR="007B79FA" w:rsidRPr="0018391A" w:rsidRDefault="007B79FA" w:rsidP="007B79FA">
      <w:pPr>
        <w:spacing w:before="80"/>
        <w:rPr>
          <w:szCs w:val="24"/>
          <w:lang w:val="es-ES_tradnl"/>
        </w:rPr>
      </w:pPr>
      <w:r w:rsidRPr="0018391A">
        <w:rPr>
          <w:szCs w:val="24"/>
          <w:lang w:val="es-ES_tradnl"/>
        </w:rPr>
        <w:t>Además, en algunas administraciones, la banda 1 690</w:t>
      </w:r>
      <w:r w:rsidRPr="0018391A">
        <w:rPr>
          <w:szCs w:val="24"/>
          <w:lang w:val="es-ES_tradnl"/>
        </w:rPr>
        <w:noBreakHyphen/>
        <w:t>1 700 MHz también se atribuye a título primario a los servicios fijo y móvil (excepto móvil aeronáutico).</w:t>
      </w:r>
    </w:p>
    <w:p w:rsidR="007B79FA" w:rsidRPr="0018391A" w:rsidRDefault="007B79FA" w:rsidP="0001294B">
      <w:pPr>
        <w:spacing w:before="80"/>
        <w:rPr>
          <w:szCs w:val="24"/>
          <w:lang w:val="es-ES_tradnl"/>
        </w:rPr>
      </w:pPr>
      <w:r w:rsidRPr="0018391A">
        <w:rPr>
          <w:szCs w:val="24"/>
          <w:lang w:val="es-ES_tradnl"/>
        </w:rPr>
        <w:t>La banda 1 700-1 710</w:t>
      </w:r>
      <w:r w:rsidR="0001294B">
        <w:rPr>
          <w:szCs w:val="24"/>
          <w:lang w:val="es-ES_tradnl"/>
        </w:rPr>
        <w:t> </w:t>
      </w:r>
      <w:r w:rsidRPr="0018391A">
        <w:rPr>
          <w:szCs w:val="24"/>
          <w:lang w:val="es-ES_tradnl"/>
        </w:rPr>
        <w:t>MHz está atribuida a título primario al servicio de meteorología por satélite (espacio-Tierra) y a los servicios fijo y móvil (salvo móvil aeronáutico) y a título secundario al servicio de exploración de la Tierra por satélite (espacio-Tierra).</w:t>
      </w:r>
    </w:p>
    <w:p w:rsidR="007B79FA" w:rsidRPr="0018391A" w:rsidRDefault="007B79FA" w:rsidP="007B79FA">
      <w:pPr>
        <w:spacing w:before="80"/>
        <w:rPr>
          <w:szCs w:val="24"/>
          <w:lang w:val="es-ES_tradnl"/>
        </w:rPr>
      </w:pPr>
      <w:r w:rsidRPr="0018391A">
        <w:rPr>
          <w:szCs w:val="24"/>
          <w:lang w:val="es-ES_tradnl"/>
        </w:rPr>
        <w:t>Se entiende que el número de estaciones espaciales que funcionan en esta banda producirán aproximadamente los mismos niveles de interferencia a largo plazo que los sistemas terrenales.</w:t>
      </w:r>
    </w:p>
    <w:p w:rsidR="007B79FA" w:rsidRPr="00877BE6" w:rsidRDefault="007B79FA" w:rsidP="007B79FA">
      <w:pPr>
        <w:pStyle w:val="Heading1"/>
        <w:rPr>
          <w:lang w:val="es-ES_tradnl"/>
        </w:rPr>
      </w:pPr>
      <w:r w:rsidRPr="00877BE6">
        <w:rPr>
          <w:lang w:val="es-ES_tradnl"/>
        </w:rPr>
        <w:t>5</w:t>
      </w:r>
      <w:r w:rsidRPr="00877BE6">
        <w:rPr>
          <w:lang w:val="es-ES_tradnl"/>
        </w:rPr>
        <w:tab/>
        <w:t>Banda 7 750-7 900 MHz</w:t>
      </w:r>
    </w:p>
    <w:p w:rsidR="007B79FA" w:rsidRPr="0018391A" w:rsidRDefault="007B79FA" w:rsidP="000941A2">
      <w:pPr>
        <w:spacing w:before="80"/>
        <w:rPr>
          <w:szCs w:val="24"/>
          <w:lang w:val="es-ES_tradnl"/>
        </w:rPr>
      </w:pPr>
      <w:r w:rsidRPr="0018391A">
        <w:rPr>
          <w:szCs w:val="24"/>
          <w:lang w:val="es-ES_tradnl"/>
        </w:rPr>
        <w:t>La banda 7 750-7 900</w:t>
      </w:r>
      <w:r w:rsidR="000941A2">
        <w:rPr>
          <w:szCs w:val="24"/>
          <w:lang w:val="es-ES_tradnl"/>
        </w:rPr>
        <w:t> </w:t>
      </w:r>
      <w:r w:rsidRPr="0018391A">
        <w:rPr>
          <w:szCs w:val="24"/>
          <w:lang w:val="es-ES_tradnl"/>
        </w:rPr>
        <w:t>MHz está atribuida a título primario al servicio de met</w:t>
      </w:r>
      <w:r w:rsidR="009A6C5E">
        <w:rPr>
          <w:szCs w:val="24"/>
          <w:lang w:val="es-ES_tradnl"/>
        </w:rPr>
        <w:t>eorología por satélite (espacio-</w:t>
      </w:r>
      <w:bookmarkStart w:id="4" w:name="_GoBack"/>
      <w:bookmarkEnd w:id="4"/>
      <w:r w:rsidRPr="0018391A">
        <w:rPr>
          <w:szCs w:val="24"/>
          <w:lang w:val="es-ES_tradnl"/>
        </w:rPr>
        <w:t>Tierra) (limitado a los satélites no geoestacionarios) y a los servicios fijo y móvil (salvo móvil aeronáutico). En el caso de la interferencia a largo plazo, se prevé que la contribución de los enlaces espacio-Tierra sea mínima, dado que el satélite atraviesa rápidamente el haz principal de la antena. Por consiguiente, se espera que la mayor contribución de los enlaces espacio-Tierra provendrá de la interferencia a corto plazo. La interferencia sobre los trayectos de señales terrenales puede predominar para las estaciones terrenas de lectura directa de datos, que tienen menos discriminación de antena (esto es, que tienen antenas considerablemente más pequeñas) hacia el horizonte que las estaciones de adquisición de datos registrados.</w:t>
      </w:r>
    </w:p>
    <w:p w:rsidR="007B79FA" w:rsidRPr="00877BE6" w:rsidRDefault="007B79FA" w:rsidP="007B79FA">
      <w:pPr>
        <w:pStyle w:val="Heading1"/>
        <w:rPr>
          <w:lang w:val="es-ES_tradnl"/>
        </w:rPr>
      </w:pPr>
      <w:r w:rsidRPr="00877BE6">
        <w:rPr>
          <w:lang w:val="es-ES_tradnl"/>
        </w:rPr>
        <w:t>6</w:t>
      </w:r>
      <w:r w:rsidRPr="00877BE6">
        <w:rPr>
          <w:lang w:val="es-ES_tradnl"/>
        </w:rPr>
        <w:tab/>
        <w:t>Banda 8 025-8 400 MHz</w:t>
      </w:r>
    </w:p>
    <w:p w:rsidR="007B79FA" w:rsidRPr="0018391A" w:rsidRDefault="007B79FA" w:rsidP="000941A2">
      <w:pPr>
        <w:spacing w:before="80"/>
        <w:rPr>
          <w:szCs w:val="24"/>
          <w:lang w:val="es-ES_tradnl"/>
        </w:rPr>
      </w:pPr>
      <w:r w:rsidRPr="0018391A">
        <w:rPr>
          <w:szCs w:val="24"/>
          <w:lang w:val="es-ES_tradnl"/>
        </w:rPr>
        <w:t>La banda 8 025-8 400 MHz está atribuida al ser</w:t>
      </w:r>
      <w:r w:rsidR="00F7572E">
        <w:rPr>
          <w:szCs w:val="24"/>
          <w:lang w:val="es-ES_tradnl"/>
        </w:rPr>
        <w:t>vicio fijo por satélite (Tierra-</w:t>
      </w:r>
      <w:r w:rsidRPr="0018391A">
        <w:rPr>
          <w:szCs w:val="24"/>
          <w:lang w:val="es-ES_tradnl"/>
        </w:rPr>
        <w:t>espacio), al servicio de exploración de la Tierra por satélite (espacio</w:t>
      </w:r>
      <w:r w:rsidR="00F7572E">
        <w:rPr>
          <w:szCs w:val="24"/>
          <w:lang w:val="es-ES_tradnl"/>
        </w:rPr>
        <w:t>-</w:t>
      </w:r>
      <w:r w:rsidRPr="0018391A">
        <w:rPr>
          <w:szCs w:val="24"/>
          <w:lang w:val="es-ES_tradnl"/>
        </w:rPr>
        <w:t>Tierra) y a título primario a los servicios fijo y móvil. No se permite a las estaciones de aeronave transmitir en la banda 8</w:t>
      </w:r>
      <w:r w:rsidR="00B41E37">
        <w:rPr>
          <w:szCs w:val="24"/>
          <w:lang w:val="es-ES_tradnl"/>
        </w:rPr>
        <w:t> </w:t>
      </w:r>
      <w:r w:rsidRPr="0018391A">
        <w:rPr>
          <w:szCs w:val="24"/>
          <w:lang w:val="es-ES_tradnl"/>
        </w:rPr>
        <w:t>025-8</w:t>
      </w:r>
      <w:r w:rsidR="00B41E37">
        <w:rPr>
          <w:szCs w:val="24"/>
          <w:lang w:val="es-ES_tradnl"/>
        </w:rPr>
        <w:t> </w:t>
      </w:r>
      <w:r w:rsidRPr="0018391A">
        <w:rPr>
          <w:szCs w:val="24"/>
          <w:lang w:val="es-ES_tradnl"/>
        </w:rPr>
        <w:t>400</w:t>
      </w:r>
      <w:r w:rsidR="00F7572E">
        <w:rPr>
          <w:szCs w:val="24"/>
          <w:lang w:val="es-ES_tradnl"/>
        </w:rPr>
        <w:t> </w:t>
      </w:r>
      <w:r w:rsidRPr="0018391A">
        <w:rPr>
          <w:szCs w:val="24"/>
          <w:lang w:val="es-ES_tradnl"/>
        </w:rPr>
        <w:t>MHz. Además, el segmento 8 175</w:t>
      </w:r>
      <w:r w:rsidRPr="0018391A">
        <w:rPr>
          <w:szCs w:val="24"/>
          <w:lang w:val="es-ES_tradnl"/>
        </w:rPr>
        <w:noBreakHyphen/>
        <w:t>8 215 MHz está atribuido a título primario al servicio de meteorología por satélite (Tierra-espacio). Como las únicas fuentes de interferencia en los trayectos espacio-Tierra son los sistemas de exploración de la Tierra por satélite, no se supone ninguna interferencia a largo plazo en los trayectos espacio-Tierra (es</w:t>
      </w:r>
      <w:r w:rsidR="000941A2">
        <w:rPr>
          <w:szCs w:val="24"/>
          <w:lang w:val="es-ES_tradnl"/>
        </w:rPr>
        <w:t xml:space="preserve"> </w:t>
      </w:r>
      <w:r w:rsidRPr="0018391A">
        <w:rPr>
          <w:szCs w:val="24"/>
          <w:lang w:val="es-ES_tradnl"/>
        </w:rPr>
        <w:t>decir, durante la mayor parte del tiempo no hay a la vista ninguna fuente de interferencia, o la antena de estación terrena tiene niveles de discriminación elevados). A</w:t>
      </w:r>
      <w:r w:rsidR="0001294B">
        <w:rPr>
          <w:szCs w:val="24"/>
          <w:lang w:val="es-ES_tradnl"/>
        </w:rPr>
        <w:t> </w:t>
      </w:r>
      <w:r w:rsidRPr="0018391A">
        <w:rPr>
          <w:szCs w:val="24"/>
          <w:lang w:val="es-ES_tradnl"/>
        </w:rPr>
        <w:t>corto plazo puede aparecer interferencia entre sistemas de exploración de la Tierra por satélite en trayectos espacio</w:t>
      </w:r>
      <w:r w:rsidRPr="0018391A">
        <w:rPr>
          <w:szCs w:val="24"/>
          <w:lang w:val="es-ES_tradnl"/>
        </w:rPr>
        <w:noBreakHyphen/>
        <w:t>Tierra, pese a que predominará la interferencia en trayectos de señales terrenales (especialmente para las estaciones terrenas de indicación de datos directa cuyas antenas tienen una discriminación menor hacia el horizonte que los de las estaciones de adquisición de datos registrados). En cuanto a la interferencia procedente de las estaciones terrenas del SFS que funcionan en el sentido Tierra-espacio, los criterios de compartición especificados por los trayectos terrenales de la señal deben ser igualmente aplicables a las estaciones transmisoras en los servicios terrenales y a las estaciones terrenas transmisoras.</w:t>
      </w:r>
    </w:p>
    <w:p w:rsidR="007B79FA" w:rsidRPr="00877BE6" w:rsidRDefault="007B79FA" w:rsidP="007B79FA">
      <w:pPr>
        <w:pStyle w:val="Heading1"/>
        <w:rPr>
          <w:lang w:val="es-ES_tradnl"/>
        </w:rPr>
      </w:pPr>
      <w:r w:rsidRPr="00877BE6">
        <w:rPr>
          <w:lang w:val="es-ES_tradnl"/>
        </w:rPr>
        <w:t>7</w:t>
      </w:r>
      <w:r w:rsidRPr="00877BE6">
        <w:rPr>
          <w:lang w:val="es-ES_tradnl"/>
        </w:rPr>
        <w:tab/>
        <w:t>Banda 25,5-27,0 GHz</w:t>
      </w:r>
    </w:p>
    <w:p w:rsidR="007B79FA" w:rsidRDefault="007B79FA" w:rsidP="0001294B">
      <w:pPr>
        <w:spacing w:before="80"/>
        <w:rPr>
          <w:szCs w:val="24"/>
          <w:lang w:val="es-ES_tradnl"/>
        </w:rPr>
      </w:pPr>
      <w:r w:rsidRPr="0018391A">
        <w:rPr>
          <w:szCs w:val="24"/>
          <w:lang w:val="es-ES_tradnl"/>
        </w:rPr>
        <w:t>La banda 25,5-27,0</w:t>
      </w:r>
      <w:r w:rsidR="0001294B">
        <w:rPr>
          <w:szCs w:val="24"/>
          <w:lang w:val="es-ES_tradnl"/>
        </w:rPr>
        <w:t> </w:t>
      </w:r>
      <w:r w:rsidRPr="0018391A">
        <w:rPr>
          <w:szCs w:val="24"/>
          <w:lang w:val="es-ES_tradnl"/>
        </w:rPr>
        <w:t>GHz está atribuida a los servicios de exploración de la Tierra por satélite, investigación espacial (espacio-Tierra), fijo, móvil y entre satélites, a título primario. Las posibles fuentes de interferencia en los trayectos espacio-Tierra del servicio de exploración de la Tierra por satélite son otros satélites de este mismo servicio, los satélites del servicio entre satélites y los sistemas fijo y móvil terrenales. No se supone ninguna interferencia de larga duración en el trayecto espacio-Tierra del servicio de exploración de la Tierra por satélite debida a las emisiones de satélites del servicio de exploración de la Tierra por satélite y al servicio entre satélites a causa del movimiento constante de los satélites (es decir, durante la mayor parte del tiempo no hay a la vista ninguna fuente de interferencia, o la antena de la estación terrena tiene niveles de discriminación elevados). A corto plazo puede aparecer interferencia entre sistemas de satélites del servicio de exploración de la Tierra por satélite y el servicio entre satélites en trayectos espacio-Tierra, pese a que predominará la interferencia en los trayectos de señales terrenales.</w:t>
      </w:r>
    </w:p>
    <w:p w:rsidR="007B79FA" w:rsidRPr="0018391A" w:rsidRDefault="007B79FA" w:rsidP="007B79FA">
      <w:pPr>
        <w:pStyle w:val="TableNo"/>
        <w:rPr>
          <w:lang w:val="es-ES_tradnl"/>
        </w:rPr>
      </w:pPr>
      <w:r w:rsidRPr="0018391A">
        <w:rPr>
          <w:lang w:val="es-ES_tradnl"/>
        </w:rPr>
        <w:t>CUADRO 2</w:t>
      </w:r>
    </w:p>
    <w:p w:rsidR="007B79FA" w:rsidRPr="0018391A" w:rsidRDefault="007B79FA" w:rsidP="002F6A6A">
      <w:pPr>
        <w:pStyle w:val="Tabletitle"/>
        <w:rPr>
          <w:lang w:val="es-ES_tradnl"/>
        </w:rPr>
      </w:pPr>
      <w:r w:rsidRPr="0018391A">
        <w:rPr>
          <w:lang w:val="es-ES_tradnl"/>
        </w:rPr>
        <w:t>Parámetros utilizados para obtener los criterios de compartición a partir</w:t>
      </w:r>
      <w:r w:rsidR="002F6A6A">
        <w:rPr>
          <w:lang w:val="es-ES_tradnl"/>
        </w:rPr>
        <w:br/>
      </w:r>
      <w:r w:rsidRPr="0018391A">
        <w:rPr>
          <w:lang w:val="es-ES_tradnl"/>
        </w:rPr>
        <w:t>de los criterios</w:t>
      </w:r>
      <w:r w:rsidR="002F6A6A">
        <w:rPr>
          <w:lang w:val="es-ES_tradnl"/>
        </w:rPr>
        <w:t xml:space="preserve"> </w:t>
      </w:r>
      <w:r w:rsidRPr="0018391A">
        <w:rPr>
          <w:lang w:val="es-ES_tradnl"/>
        </w:rPr>
        <w:t>de interferencia (utilizando la metodología</w:t>
      </w:r>
      <w:r w:rsidR="002F6A6A">
        <w:rPr>
          <w:lang w:val="es-ES_tradnl"/>
        </w:rPr>
        <w:br/>
      </w:r>
      <w:r w:rsidRPr="0018391A">
        <w:rPr>
          <w:lang w:val="es-ES_tradnl"/>
        </w:rPr>
        <w:t>de la Recomendación UIT-R SA.1023)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74"/>
        <w:gridCol w:w="1020"/>
        <w:gridCol w:w="1078"/>
        <w:gridCol w:w="1020"/>
        <w:gridCol w:w="1078"/>
        <w:gridCol w:w="964"/>
        <w:gridCol w:w="1020"/>
        <w:gridCol w:w="964"/>
        <w:gridCol w:w="1022"/>
      </w:tblGrid>
      <w:tr w:rsidR="0001294B" w:rsidRPr="00E5175D" w:rsidTr="00E5175D">
        <w:trPr>
          <w:jc w:val="center"/>
        </w:trPr>
        <w:tc>
          <w:tcPr>
            <w:tcW w:w="1474" w:type="dxa"/>
            <w:vMerge w:val="restart"/>
            <w:vAlign w:val="center"/>
          </w:tcPr>
          <w:p w:rsidR="0001294B" w:rsidRPr="00E5175D" w:rsidRDefault="0001294B" w:rsidP="002F6A6A">
            <w:pPr>
              <w:pStyle w:val="Tablehead"/>
              <w:rPr>
                <w:sz w:val="20"/>
                <w:lang w:val="es-ES_tradnl"/>
              </w:rPr>
            </w:pPr>
            <w:r w:rsidRPr="00E5175D">
              <w:rPr>
                <w:sz w:val="20"/>
                <w:lang w:val="es-ES_tradnl"/>
              </w:rPr>
              <w:t>Banda de frecuencias</w:t>
            </w:r>
            <w:r w:rsidRPr="00E5175D">
              <w:rPr>
                <w:sz w:val="20"/>
                <w:lang w:val="es-ES_tradnl"/>
              </w:rPr>
              <w:br/>
              <w:t>(MHz)</w:t>
            </w:r>
          </w:p>
        </w:tc>
        <w:tc>
          <w:tcPr>
            <w:tcW w:w="2098" w:type="dxa"/>
            <w:gridSpan w:val="2"/>
          </w:tcPr>
          <w:p w:rsidR="0001294B" w:rsidRPr="00E5175D" w:rsidRDefault="0001294B" w:rsidP="002F6A6A">
            <w:pPr>
              <w:pStyle w:val="Tablehead"/>
              <w:rPr>
                <w:sz w:val="20"/>
                <w:lang w:val="es-ES_tradnl"/>
              </w:rPr>
            </w:pPr>
            <w:r w:rsidRPr="00E5175D">
              <w:rPr>
                <w:sz w:val="20"/>
                <w:lang w:val="es-ES_tradnl"/>
              </w:rPr>
              <w:t>Reparto a largo plazo entre categorías de interferentes</w:t>
            </w:r>
          </w:p>
        </w:tc>
        <w:tc>
          <w:tcPr>
            <w:tcW w:w="2098" w:type="dxa"/>
            <w:gridSpan w:val="2"/>
          </w:tcPr>
          <w:p w:rsidR="0001294B" w:rsidRPr="00E5175D" w:rsidRDefault="0001294B" w:rsidP="002F6A6A">
            <w:pPr>
              <w:pStyle w:val="Tablehead"/>
              <w:rPr>
                <w:sz w:val="20"/>
                <w:lang w:val="es-ES_tradnl"/>
              </w:rPr>
            </w:pPr>
            <w:r w:rsidRPr="00E5175D">
              <w:rPr>
                <w:sz w:val="20"/>
                <w:lang w:val="es-ES_tradnl"/>
              </w:rPr>
              <w:t>Reparto a corto plazo entre categorías de interferentes</w:t>
            </w:r>
          </w:p>
        </w:tc>
        <w:tc>
          <w:tcPr>
            <w:tcW w:w="1984" w:type="dxa"/>
            <w:gridSpan w:val="2"/>
            <w:vAlign w:val="center"/>
          </w:tcPr>
          <w:p w:rsidR="0001294B" w:rsidRPr="00E5175D" w:rsidRDefault="0001294B" w:rsidP="002F6A6A">
            <w:pPr>
              <w:pStyle w:val="Tablehead"/>
              <w:rPr>
                <w:sz w:val="20"/>
                <w:lang w:val="es-ES_tradnl"/>
              </w:rPr>
            </w:pPr>
            <w:r w:rsidRPr="00E5175D">
              <w:rPr>
                <w:sz w:val="20"/>
                <w:lang w:val="es-ES_tradnl"/>
              </w:rPr>
              <w:t>Número equivalente de interferentes a largo plazo</w:t>
            </w:r>
          </w:p>
        </w:tc>
        <w:tc>
          <w:tcPr>
            <w:tcW w:w="1986" w:type="dxa"/>
            <w:gridSpan w:val="2"/>
            <w:vAlign w:val="center"/>
          </w:tcPr>
          <w:p w:rsidR="0001294B" w:rsidRPr="00E5175D" w:rsidRDefault="0001294B" w:rsidP="002F6A6A">
            <w:pPr>
              <w:pStyle w:val="Tablehead"/>
              <w:rPr>
                <w:sz w:val="20"/>
                <w:lang w:val="es-ES_tradnl"/>
              </w:rPr>
            </w:pPr>
            <w:r w:rsidRPr="00E5175D">
              <w:rPr>
                <w:sz w:val="20"/>
                <w:lang w:val="es-ES_tradnl"/>
              </w:rPr>
              <w:t>Número equivalente de</w:t>
            </w:r>
            <w:r w:rsidR="002F6A6A" w:rsidRPr="00E5175D">
              <w:rPr>
                <w:sz w:val="20"/>
                <w:lang w:val="es-ES_tradnl"/>
              </w:rPr>
              <w:t xml:space="preserve"> </w:t>
            </w:r>
            <w:r w:rsidRPr="00E5175D">
              <w:rPr>
                <w:sz w:val="20"/>
                <w:lang w:val="es-ES_tradnl"/>
              </w:rPr>
              <w:t>interferentes a corto plazo</w:t>
            </w:r>
          </w:p>
        </w:tc>
      </w:tr>
      <w:tr w:rsidR="0001294B" w:rsidRPr="00E5175D" w:rsidTr="00E5175D">
        <w:trPr>
          <w:jc w:val="center"/>
        </w:trPr>
        <w:tc>
          <w:tcPr>
            <w:tcW w:w="1474" w:type="dxa"/>
            <w:vMerge/>
            <w:vAlign w:val="center"/>
          </w:tcPr>
          <w:p w:rsidR="0001294B" w:rsidRPr="00E5175D" w:rsidRDefault="0001294B" w:rsidP="002F6A6A">
            <w:pPr>
              <w:pStyle w:val="Tablehead"/>
              <w:rPr>
                <w:sz w:val="20"/>
                <w:lang w:val="es-ES_tradnl"/>
              </w:rPr>
            </w:pPr>
          </w:p>
        </w:tc>
        <w:tc>
          <w:tcPr>
            <w:tcW w:w="2098" w:type="dxa"/>
            <w:gridSpan w:val="2"/>
          </w:tcPr>
          <w:p w:rsidR="0001294B" w:rsidRPr="00E5175D" w:rsidRDefault="0001294B" w:rsidP="002F6A6A">
            <w:pPr>
              <w:pStyle w:val="Tablehead"/>
              <w:rPr>
                <w:sz w:val="20"/>
                <w:lang w:val="es-ES_tradnl"/>
              </w:rPr>
            </w:pPr>
            <w:r w:rsidRPr="00E5175D">
              <w:rPr>
                <w:sz w:val="20"/>
                <w:lang w:val="es-ES_tradnl"/>
              </w:rPr>
              <w:t>Trayecto de la señal interferente</w:t>
            </w:r>
          </w:p>
        </w:tc>
        <w:tc>
          <w:tcPr>
            <w:tcW w:w="2098" w:type="dxa"/>
            <w:gridSpan w:val="2"/>
          </w:tcPr>
          <w:p w:rsidR="0001294B" w:rsidRPr="00E5175D" w:rsidRDefault="0001294B" w:rsidP="002F6A6A">
            <w:pPr>
              <w:pStyle w:val="Tablehead"/>
              <w:rPr>
                <w:sz w:val="20"/>
                <w:lang w:val="es-ES_tradnl"/>
              </w:rPr>
            </w:pPr>
            <w:r w:rsidRPr="00E5175D">
              <w:rPr>
                <w:sz w:val="20"/>
                <w:lang w:val="es-ES_tradnl"/>
              </w:rPr>
              <w:t>Trayecto de la señal interferente</w:t>
            </w:r>
          </w:p>
        </w:tc>
        <w:tc>
          <w:tcPr>
            <w:tcW w:w="1984" w:type="dxa"/>
            <w:gridSpan w:val="2"/>
          </w:tcPr>
          <w:p w:rsidR="0001294B" w:rsidRPr="00E5175D" w:rsidRDefault="0001294B" w:rsidP="002F6A6A">
            <w:pPr>
              <w:pStyle w:val="Tablehead"/>
              <w:rPr>
                <w:sz w:val="20"/>
                <w:lang w:val="es-ES_tradnl"/>
              </w:rPr>
            </w:pPr>
            <w:r w:rsidRPr="00E5175D">
              <w:rPr>
                <w:sz w:val="20"/>
                <w:lang w:val="es-ES_tradnl"/>
              </w:rPr>
              <w:t>Trayecto de la señal interferente</w:t>
            </w:r>
          </w:p>
        </w:tc>
        <w:tc>
          <w:tcPr>
            <w:tcW w:w="1986" w:type="dxa"/>
            <w:gridSpan w:val="2"/>
          </w:tcPr>
          <w:p w:rsidR="0001294B" w:rsidRPr="00E5175D" w:rsidRDefault="0001294B" w:rsidP="002F6A6A">
            <w:pPr>
              <w:pStyle w:val="Tablehead"/>
              <w:rPr>
                <w:sz w:val="20"/>
                <w:lang w:val="es-ES_tradnl"/>
              </w:rPr>
            </w:pPr>
            <w:r w:rsidRPr="00E5175D">
              <w:rPr>
                <w:sz w:val="20"/>
                <w:lang w:val="es-ES_tradnl"/>
              </w:rPr>
              <w:t>Trayecto de la señal interferente</w:t>
            </w:r>
          </w:p>
        </w:tc>
      </w:tr>
      <w:tr w:rsidR="0001294B" w:rsidRPr="00E5175D" w:rsidTr="00E5175D">
        <w:trPr>
          <w:jc w:val="center"/>
        </w:trPr>
        <w:tc>
          <w:tcPr>
            <w:tcW w:w="1474" w:type="dxa"/>
            <w:vMerge/>
          </w:tcPr>
          <w:p w:rsidR="0001294B" w:rsidRPr="00E5175D" w:rsidRDefault="0001294B" w:rsidP="002F6A6A">
            <w:pPr>
              <w:pStyle w:val="Tablehead"/>
              <w:rPr>
                <w:sz w:val="20"/>
                <w:lang w:val="es-ES_tradnl"/>
              </w:rPr>
            </w:pPr>
          </w:p>
        </w:tc>
        <w:tc>
          <w:tcPr>
            <w:tcW w:w="1020" w:type="dxa"/>
            <w:vAlign w:val="center"/>
          </w:tcPr>
          <w:p w:rsidR="0001294B" w:rsidRPr="00E5175D" w:rsidRDefault="0001294B" w:rsidP="002F6A6A">
            <w:pPr>
              <w:pStyle w:val="Tablehead"/>
              <w:rPr>
                <w:sz w:val="20"/>
                <w:lang w:val="es-ES_tradnl"/>
              </w:rPr>
            </w:pPr>
            <w:r w:rsidRPr="00E5175D">
              <w:rPr>
                <w:sz w:val="20"/>
                <w:lang w:val="es-ES_tradnl"/>
              </w:rPr>
              <w:t>Espacio-Tierra</w:t>
            </w:r>
          </w:p>
        </w:tc>
        <w:tc>
          <w:tcPr>
            <w:tcW w:w="1078" w:type="dxa"/>
            <w:vAlign w:val="center"/>
          </w:tcPr>
          <w:p w:rsidR="0001294B" w:rsidRPr="00E5175D" w:rsidRDefault="0001294B" w:rsidP="002F6A6A">
            <w:pPr>
              <w:pStyle w:val="Tablehead"/>
              <w:rPr>
                <w:sz w:val="20"/>
                <w:lang w:val="es-ES_tradnl"/>
              </w:rPr>
            </w:pPr>
            <w:r w:rsidRPr="00E5175D">
              <w:rPr>
                <w:sz w:val="20"/>
                <w:lang w:val="es-ES_tradnl"/>
              </w:rPr>
              <w:t>Terrenal</w:t>
            </w:r>
          </w:p>
        </w:tc>
        <w:tc>
          <w:tcPr>
            <w:tcW w:w="1020" w:type="dxa"/>
            <w:vAlign w:val="center"/>
          </w:tcPr>
          <w:p w:rsidR="0001294B" w:rsidRPr="00E5175D" w:rsidRDefault="0001294B" w:rsidP="002F6A6A">
            <w:pPr>
              <w:pStyle w:val="Tablehead"/>
              <w:rPr>
                <w:sz w:val="20"/>
                <w:lang w:val="es-ES_tradnl"/>
              </w:rPr>
            </w:pPr>
            <w:r w:rsidRPr="00E5175D">
              <w:rPr>
                <w:sz w:val="20"/>
                <w:lang w:val="es-ES_tradnl"/>
              </w:rPr>
              <w:t>Espacio-Tierra</w:t>
            </w:r>
          </w:p>
        </w:tc>
        <w:tc>
          <w:tcPr>
            <w:tcW w:w="1078" w:type="dxa"/>
            <w:vAlign w:val="center"/>
          </w:tcPr>
          <w:p w:rsidR="0001294B" w:rsidRPr="00E5175D" w:rsidRDefault="0001294B" w:rsidP="002F6A6A">
            <w:pPr>
              <w:pStyle w:val="Tablehead"/>
              <w:rPr>
                <w:sz w:val="20"/>
                <w:lang w:val="es-ES_tradnl"/>
              </w:rPr>
            </w:pPr>
            <w:r w:rsidRPr="00E5175D">
              <w:rPr>
                <w:sz w:val="20"/>
                <w:lang w:val="es-ES_tradnl"/>
              </w:rPr>
              <w:t>Terrenal</w:t>
            </w:r>
          </w:p>
        </w:tc>
        <w:tc>
          <w:tcPr>
            <w:tcW w:w="964" w:type="dxa"/>
            <w:vAlign w:val="center"/>
          </w:tcPr>
          <w:p w:rsidR="0001294B" w:rsidRPr="00E5175D" w:rsidRDefault="0001294B" w:rsidP="002F6A6A">
            <w:pPr>
              <w:pStyle w:val="Tablehead"/>
              <w:rPr>
                <w:sz w:val="20"/>
                <w:lang w:val="es-ES_tradnl"/>
              </w:rPr>
            </w:pPr>
            <w:r w:rsidRPr="00E5175D">
              <w:rPr>
                <w:sz w:val="20"/>
                <w:lang w:val="es-ES_tradnl"/>
              </w:rPr>
              <w:t>Espacio-Tierra</w:t>
            </w:r>
          </w:p>
        </w:tc>
        <w:tc>
          <w:tcPr>
            <w:tcW w:w="1020" w:type="dxa"/>
            <w:vAlign w:val="center"/>
          </w:tcPr>
          <w:p w:rsidR="0001294B" w:rsidRPr="00E5175D" w:rsidRDefault="0001294B" w:rsidP="002F6A6A">
            <w:pPr>
              <w:pStyle w:val="Tablehead"/>
              <w:rPr>
                <w:sz w:val="20"/>
                <w:lang w:val="es-ES_tradnl"/>
              </w:rPr>
            </w:pPr>
            <w:r w:rsidRPr="00E5175D">
              <w:rPr>
                <w:sz w:val="20"/>
                <w:lang w:val="es-ES_tradnl"/>
              </w:rPr>
              <w:t>Terrenal</w:t>
            </w:r>
          </w:p>
        </w:tc>
        <w:tc>
          <w:tcPr>
            <w:tcW w:w="964" w:type="dxa"/>
            <w:vAlign w:val="center"/>
          </w:tcPr>
          <w:p w:rsidR="0001294B" w:rsidRPr="00E5175D" w:rsidRDefault="0001294B" w:rsidP="002F6A6A">
            <w:pPr>
              <w:pStyle w:val="Tablehead"/>
              <w:rPr>
                <w:sz w:val="20"/>
                <w:lang w:val="es-ES_tradnl"/>
              </w:rPr>
            </w:pPr>
            <w:r w:rsidRPr="00E5175D">
              <w:rPr>
                <w:sz w:val="20"/>
                <w:lang w:val="es-ES_tradnl"/>
              </w:rPr>
              <w:t>Espacio-Tierra</w:t>
            </w:r>
          </w:p>
        </w:tc>
        <w:tc>
          <w:tcPr>
            <w:tcW w:w="1022" w:type="dxa"/>
            <w:vAlign w:val="center"/>
          </w:tcPr>
          <w:p w:rsidR="0001294B" w:rsidRPr="00E5175D" w:rsidRDefault="0001294B" w:rsidP="002F6A6A">
            <w:pPr>
              <w:pStyle w:val="Tablehead"/>
              <w:rPr>
                <w:sz w:val="20"/>
                <w:lang w:val="es-ES_tradnl"/>
              </w:rPr>
            </w:pPr>
            <w:r w:rsidRPr="00E5175D">
              <w:rPr>
                <w:sz w:val="20"/>
                <w:lang w:val="es-ES_tradnl"/>
              </w:rPr>
              <w:t>Terrenal</w:t>
            </w:r>
          </w:p>
        </w:tc>
      </w:tr>
      <w:tr w:rsidR="007B79FA" w:rsidRPr="00E5175D" w:rsidTr="00E5175D">
        <w:trPr>
          <w:trHeight w:val="69"/>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t>137-138</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60%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40%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50%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50%</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1</w:t>
            </w:r>
          </w:p>
        </w:tc>
      </w:tr>
      <w:tr w:rsidR="007B79FA" w:rsidRPr="00E5175D" w:rsidTr="00E5175D">
        <w:trPr>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t>400,15-401,00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75%</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25%</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50%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50%</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1</w:t>
            </w:r>
          </w:p>
        </w:tc>
      </w:tr>
      <w:tr w:rsidR="007B79FA" w:rsidRPr="00E5175D" w:rsidTr="00E5175D">
        <w:trPr>
          <w:trHeight w:val="278"/>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t>1</w:t>
            </w:r>
            <w:r w:rsidRPr="00E5175D">
              <w:rPr>
                <w:rFonts w:ascii="Tms Rmn" w:hAnsi="Tms Rmn"/>
                <w:sz w:val="20"/>
                <w:lang w:val="es-ES_tradnl"/>
              </w:rPr>
              <w:t> </w:t>
            </w:r>
            <w:r w:rsidRPr="00E5175D">
              <w:rPr>
                <w:sz w:val="20"/>
                <w:lang w:val="es-ES_tradnl"/>
              </w:rPr>
              <w:t>698–1</w:t>
            </w:r>
            <w:r w:rsidRPr="00E5175D">
              <w:rPr>
                <w:rFonts w:ascii="Tms Rmn" w:hAnsi="Tms Rmn"/>
                <w:sz w:val="20"/>
                <w:lang w:val="es-ES_tradnl"/>
              </w:rPr>
              <w:t> </w:t>
            </w:r>
            <w:r w:rsidRPr="00E5175D">
              <w:rPr>
                <w:sz w:val="20"/>
                <w:lang w:val="es-ES_tradnl"/>
              </w:rPr>
              <w:t>700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50%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50%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80%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20%</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1</w:t>
            </w:r>
          </w:p>
        </w:tc>
      </w:tr>
      <w:tr w:rsidR="007B79FA" w:rsidRPr="00E5175D" w:rsidTr="00E5175D">
        <w:trPr>
          <w:trHeight w:val="98"/>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br w:type="page"/>
              <w:t>1</w:t>
            </w:r>
            <w:r w:rsidRPr="00E5175D">
              <w:rPr>
                <w:rFonts w:ascii="Tms Rmn" w:hAnsi="Tms Rmn"/>
                <w:sz w:val="20"/>
                <w:lang w:val="es-ES_tradnl"/>
              </w:rPr>
              <w:t> </w:t>
            </w:r>
            <w:r w:rsidRPr="00E5175D">
              <w:rPr>
                <w:sz w:val="20"/>
                <w:lang w:val="es-ES_tradnl"/>
              </w:rPr>
              <w:t>700-1</w:t>
            </w:r>
            <w:r w:rsidRPr="00E5175D">
              <w:rPr>
                <w:rFonts w:ascii="Tms Rmn" w:hAnsi="Tms Rmn"/>
                <w:sz w:val="20"/>
                <w:lang w:val="es-ES_tradnl"/>
              </w:rPr>
              <w:t> </w:t>
            </w:r>
            <w:r w:rsidRPr="00E5175D">
              <w:rPr>
                <w:sz w:val="20"/>
                <w:lang w:val="es-ES_tradnl"/>
              </w:rPr>
              <w:t>710</w:t>
            </w:r>
            <w:r w:rsidRPr="00E5175D">
              <w:rPr>
                <w:sz w:val="20"/>
                <w:lang w:val="es-ES_tradnl"/>
              </w:rPr>
              <w:br w:type="page"/>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80%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25%</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75%</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1</w:t>
            </w:r>
          </w:p>
        </w:tc>
      </w:tr>
      <w:tr w:rsidR="007B79FA" w:rsidRPr="00E5175D" w:rsidTr="00E5175D">
        <w:trPr>
          <w:trHeight w:val="60"/>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t>7</w:t>
            </w:r>
            <w:r w:rsidRPr="00E5175D">
              <w:rPr>
                <w:rFonts w:ascii="Tms Rmn" w:hAnsi="Tms Rmn"/>
                <w:sz w:val="20"/>
                <w:lang w:val="es-ES_tradnl"/>
              </w:rPr>
              <w:t> </w:t>
            </w:r>
            <w:r w:rsidRPr="00E5175D">
              <w:rPr>
                <w:sz w:val="20"/>
                <w:lang w:val="es-ES_tradnl"/>
              </w:rPr>
              <w:t>750-7 900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80%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75%</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25%</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2</w:t>
            </w:r>
          </w:p>
        </w:tc>
      </w:tr>
      <w:tr w:rsidR="007B79FA" w:rsidRPr="00E5175D" w:rsidTr="00E5175D">
        <w:trPr>
          <w:trHeight w:val="163"/>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br w:type="page"/>
              <w:t>8 025-8 400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99%</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80%</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2</w:t>
            </w:r>
          </w:p>
        </w:tc>
      </w:tr>
      <w:tr w:rsidR="007B79FA" w:rsidRPr="00E5175D" w:rsidTr="00E5175D">
        <w:trPr>
          <w:trHeight w:val="126"/>
          <w:jc w:val="center"/>
        </w:trPr>
        <w:tc>
          <w:tcPr>
            <w:tcW w:w="1474" w:type="dxa"/>
            <w:vAlign w:val="center"/>
          </w:tcPr>
          <w:p w:rsidR="007B79FA" w:rsidRPr="00E5175D" w:rsidRDefault="007B79FA" w:rsidP="002F6A6A">
            <w:pPr>
              <w:pStyle w:val="Tabletext"/>
              <w:jc w:val="center"/>
              <w:rPr>
                <w:sz w:val="20"/>
                <w:lang w:val="es-ES_tradnl"/>
              </w:rPr>
            </w:pPr>
            <w:r w:rsidRPr="00E5175D">
              <w:rPr>
                <w:sz w:val="20"/>
                <w:lang w:val="es-ES_tradnl"/>
              </w:rPr>
              <w:t>25 500-27 000</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99%</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20%</w:t>
            </w:r>
          </w:p>
        </w:tc>
        <w:tc>
          <w:tcPr>
            <w:tcW w:w="1078" w:type="dxa"/>
            <w:vAlign w:val="center"/>
          </w:tcPr>
          <w:p w:rsidR="007B79FA" w:rsidRPr="00E5175D" w:rsidRDefault="007B79FA" w:rsidP="002F6A6A">
            <w:pPr>
              <w:pStyle w:val="Tabletext"/>
              <w:jc w:val="center"/>
              <w:rPr>
                <w:sz w:val="20"/>
                <w:lang w:val="es-ES_tradnl"/>
              </w:rPr>
            </w:pPr>
            <w:r w:rsidRPr="00E5175D">
              <w:rPr>
                <w:sz w:val="20"/>
                <w:lang w:val="es-ES_tradnl"/>
              </w:rPr>
              <w:t>80%</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20" w:type="dxa"/>
            <w:vAlign w:val="center"/>
          </w:tcPr>
          <w:p w:rsidR="007B79FA" w:rsidRPr="00E5175D" w:rsidRDefault="007B79FA" w:rsidP="002F6A6A">
            <w:pPr>
              <w:pStyle w:val="Tabletext"/>
              <w:jc w:val="center"/>
              <w:rPr>
                <w:sz w:val="20"/>
                <w:lang w:val="es-ES_tradnl"/>
              </w:rPr>
            </w:pPr>
            <w:r w:rsidRPr="00E5175D">
              <w:rPr>
                <w:sz w:val="20"/>
                <w:lang w:val="es-ES_tradnl"/>
              </w:rPr>
              <w:t>2</w:t>
            </w:r>
          </w:p>
        </w:tc>
        <w:tc>
          <w:tcPr>
            <w:tcW w:w="964" w:type="dxa"/>
            <w:vAlign w:val="center"/>
          </w:tcPr>
          <w:p w:rsidR="007B79FA" w:rsidRPr="00E5175D" w:rsidRDefault="007B79FA" w:rsidP="002F6A6A">
            <w:pPr>
              <w:pStyle w:val="Tabletext"/>
              <w:jc w:val="center"/>
              <w:rPr>
                <w:sz w:val="20"/>
                <w:lang w:val="es-ES_tradnl"/>
              </w:rPr>
            </w:pPr>
            <w:r w:rsidRPr="00E5175D">
              <w:rPr>
                <w:sz w:val="20"/>
                <w:lang w:val="es-ES_tradnl"/>
              </w:rPr>
              <w:t>1</w:t>
            </w:r>
          </w:p>
        </w:tc>
        <w:tc>
          <w:tcPr>
            <w:tcW w:w="1022" w:type="dxa"/>
            <w:vAlign w:val="center"/>
          </w:tcPr>
          <w:p w:rsidR="007B79FA" w:rsidRPr="00E5175D" w:rsidRDefault="007B79FA" w:rsidP="002F6A6A">
            <w:pPr>
              <w:pStyle w:val="Tabletext"/>
              <w:jc w:val="center"/>
              <w:rPr>
                <w:sz w:val="20"/>
                <w:lang w:val="es-ES_tradnl"/>
              </w:rPr>
            </w:pPr>
            <w:r w:rsidRPr="00E5175D">
              <w:rPr>
                <w:sz w:val="20"/>
                <w:lang w:val="es-ES_tradnl"/>
              </w:rPr>
              <w:t>2</w:t>
            </w:r>
          </w:p>
        </w:tc>
      </w:tr>
    </w:tbl>
    <w:p w:rsidR="007B79FA" w:rsidRDefault="007B79FA" w:rsidP="007E249F">
      <w:pPr>
        <w:pStyle w:val="Tablefin"/>
      </w:pPr>
    </w:p>
    <w:p w:rsidR="007E249F" w:rsidRDefault="007E249F" w:rsidP="007E249F"/>
    <w:p w:rsidR="00DD77CB" w:rsidRDefault="00DD77CB">
      <w:pPr>
        <w:jc w:val="center"/>
      </w:pPr>
      <w:r>
        <w:t>______________</w:t>
      </w:r>
    </w:p>
    <w:sectPr w:rsidR="00DD77CB" w:rsidSect="00DD77CB">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77CB" w:rsidRDefault="00DD77CB">
      <w:r>
        <w:separator/>
      </w:r>
    </w:p>
  </w:endnote>
  <w:endnote w:type="continuationSeparator" w:id="0">
    <w:p w:rsidR="00DD77CB" w:rsidRDefault="00DD7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77CB" w:rsidRDefault="00DD77CB">
      <w:r>
        <w:separator/>
      </w:r>
    </w:p>
  </w:footnote>
  <w:footnote w:type="continuationSeparator" w:id="0">
    <w:p w:rsidR="00DD77CB" w:rsidRDefault="00DD77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rsidP="00D62884">
    <w:pPr>
      <w:pStyle w:val="Header"/>
      <w:ind w:right="360" w:firstLine="360"/>
    </w:pPr>
    <w:r>
      <w:rPr>
        <w:noProof/>
        <w:lang w:val="es-ES_tradnl" w:eastAsia="zh-CN"/>
      </w:rPr>
      <w:drawing>
        <wp:anchor distT="0" distB="0" distL="114300" distR="114300" simplePos="0" relativeHeight="251658240" behindDoc="1" locked="0" layoutInCell="1" allowOverlap="1" wp14:anchorId="7FE0F607" wp14:editId="744B71C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A6C5E">
      <w:rPr>
        <w:rStyle w:val="PageNumber"/>
        <w:b/>
        <w:bCs/>
        <w:noProof/>
      </w:rPr>
      <w:t>ii</w:t>
    </w:r>
    <w:r>
      <w:rPr>
        <w:rStyle w:val="PageNumber"/>
        <w:b/>
        <w:bCs/>
      </w:rPr>
      <w:fldChar w:fldCharType="end"/>
    </w:r>
    <w:r>
      <w:tab/>
    </w:r>
    <w:fldSimple w:instr=" DOCPROPERTY &quot;Header&quot; \* MERGEFORMAT ">
      <w:r w:rsidR="00B42DBF" w:rsidRPr="00B42DBF">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9A6C5E">
      <w:rPr>
        <w:b/>
        <w:bCs/>
        <w:noProof/>
      </w:rPr>
      <w:t>UIT-R  SA.1027-5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7CB" w:rsidRDefault="00DD77CB">
    <w:pPr>
      <w:pStyle w:val="Header"/>
    </w:pPr>
    <w:r>
      <w:tab/>
    </w:r>
    <w:fldSimple w:instr=" DOCPROPERTY &quot;Header&quot; \* MERGEFORMAT ">
      <w:r w:rsidR="00B42DBF" w:rsidRPr="00B42DBF">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B42DBF">
      <w:rPr>
        <w:b/>
        <w:bCs/>
        <w:noProof/>
      </w:rPr>
      <w:t>UIT-R  SA.1027-5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A6C5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42DBF" w:rsidRPr="00B42DB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A6C5E">
      <w:rPr>
        <w:b/>
        <w:bCs/>
        <w:noProof/>
      </w:rPr>
      <w:t>UIT-R  SA.1027-5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B42DBF" w:rsidRPr="00B42DB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A6C5E">
      <w:rPr>
        <w:b/>
        <w:bCs/>
        <w:noProof/>
      </w:rPr>
      <w:t>UIT-R  SA.1027-5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A6C5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638A0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7DEE9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02C11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4ED7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80B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EAC1C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68C12A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6839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DCE0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22D2E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7CB"/>
    <w:rsid w:val="00011196"/>
    <w:rsid w:val="0001294B"/>
    <w:rsid w:val="0006447C"/>
    <w:rsid w:val="000941A2"/>
    <w:rsid w:val="0010042C"/>
    <w:rsid w:val="00217EBF"/>
    <w:rsid w:val="00242AEE"/>
    <w:rsid w:val="002D76C4"/>
    <w:rsid w:val="002F6A6A"/>
    <w:rsid w:val="003468DE"/>
    <w:rsid w:val="003F3E39"/>
    <w:rsid w:val="00455797"/>
    <w:rsid w:val="00494DF6"/>
    <w:rsid w:val="0050562F"/>
    <w:rsid w:val="0052529D"/>
    <w:rsid w:val="00607D68"/>
    <w:rsid w:val="006A21F5"/>
    <w:rsid w:val="007468DA"/>
    <w:rsid w:val="007B79FA"/>
    <w:rsid w:val="007E249F"/>
    <w:rsid w:val="007F64B9"/>
    <w:rsid w:val="008370DB"/>
    <w:rsid w:val="008F443F"/>
    <w:rsid w:val="0090196F"/>
    <w:rsid w:val="009053DA"/>
    <w:rsid w:val="009A6C5E"/>
    <w:rsid w:val="009E00A8"/>
    <w:rsid w:val="00A6617B"/>
    <w:rsid w:val="00AB0DC8"/>
    <w:rsid w:val="00AD4D39"/>
    <w:rsid w:val="00B41E37"/>
    <w:rsid w:val="00B42DBF"/>
    <w:rsid w:val="00B44E24"/>
    <w:rsid w:val="00B87E3B"/>
    <w:rsid w:val="00B91663"/>
    <w:rsid w:val="00C16F39"/>
    <w:rsid w:val="00C3263E"/>
    <w:rsid w:val="00D330EB"/>
    <w:rsid w:val="00D7101A"/>
    <w:rsid w:val="00DD77CB"/>
    <w:rsid w:val="00DF4176"/>
    <w:rsid w:val="00DF6DC6"/>
    <w:rsid w:val="00E5175D"/>
    <w:rsid w:val="00EC0D54"/>
    <w:rsid w:val="00F7572E"/>
    <w:rsid w:val="00F94A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251BA6-3639-48BA-A1EA-38907BB7C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7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D77CB"/>
    <w:rPr>
      <w:color w:val="0000FF"/>
      <w:u w:val="single"/>
    </w:rPr>
  </w:style>
  <w:style w:type="character" w:customStyle="1" w:styleId="Heading1Char">
    <w:name w:val="Heading 1 Char"/>
    <w:basedOn w:val="DefaultParagraphFont"/>
    <w:link w:val="Heading1"/>
    <w:rsid w:val="00DD77CB"/>
    <w:rPr>
      <w:b/>
      <w:sz w:val="24"/>
      <w:lang w:val="fr-FR" w:eastAsia="en-US"/>
    </w:rPr>
  </w:style>
  <w:style w:type="character" w:customStyle="1" w:styleId="Rectitle0">
    <w:name w:val="Rec_title Знак"/>
    <w:link w:val="Rectitle"/>
    <w:locked/>
    <w:rsid w:val="00DD77CB"/>
    <w:rPr>
      <w:b/>
      <w:sz w:val="28"/>
      <w:lang w:val="fr-FR" w:eastAsia="en-US"/>
    </w:rPr>
  </w:style>
  <w:style w:type="character" w:customStyle="1" w:styleId="enumlev1Char">
    <w:name w:val="enumlev1 Char"/>
    <w:link w:val="enumlev1"/>
    <w:locked/>
    <w:rsid w:val="00DD77CB"/>
    <w:rPr>
      <w:sz w:val="24"/>
      <w:lang w:val="fr-FR" w:eastAsia="en-US"/>
    </w:rPr>
  </w:style>
  <w:style w:type="character" w:customStyle="1" w:styleId="NormalaftertitleChar">
    <w:name w:val="Normal_after_title Char"/>
    <w:link w:val="Normalaftertitle"/>
    <w:locked/>
    <w:rsid w:val="00DD77C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174</TotalTime>
  <Pages>7</Pages>
  <Words>2843</Words>
  <Characters>15639</Characters>
  <Application>Microsoft Office Word</Application>
  <DocSecurity>0</DocSecurity>
  <Lines>130</Lines>
  <Paragraphs>36</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Template BR_Rec_2005.dot</vt:lpstr>
      <vt:lpstr>Política sobre Derechos de Propiedad Intelectual (IPR)</vt:lpstr>
      <vt:lpstr>1	Introducción</vt:lpstr>
      <vt:lpstr>2	Banda 137-138 MHz</vt:lpstr>
      <vt:lpstr>3	Banda de 400,15-401,00 MHz</vt:lpstr>
      <vt:lpstr>4	Banda 1 698-1 710 MHz</vt:lpstr>
      <vt:lpstr>5	Banda 7 750-7 900 MHz</vt:lpstr>
      <vt:lpstr>6	Banda 8 025-8 400 MHz</vt:lpstr>
      <vt:lpstr>7	Banda 25,5-27,0 GHz</vt:lpstr>
    </vt:vector>
  </TitlesOfParts>
  <Manager/>
  <Company>ITU</Company>
  <LinksUpToDate>false</LinksUpToDate>
  <CharactersWithSpaces>18446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Angel Martinez Romera</dc:creator>
  <cp:keywords/>
  <dc:description/>
  <cp:lastModifiedBy>Angel Martinez Romera</cp:lastModifiedBy>
  <cp:revision>24</cp:revision>
  <cp:lastPrinted>2018-05-10T11:55:00Z</cp:lastPrinted>
  <dcterms:created xsi:type="dcterms:W3CDTF">2018-05-11T12:47:00Z</dcterms:created>
  <dcterms:modified xsi:type="dcterms:W3CDTF">2018-05-14T08:40:00Z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