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tbl>
      <w:tblPr>
        <w:tblW w:w="10089" w:type="dxa"/>
        <w:tblLook w:val="01E0" w:firstRow="1" w:lastRow="1" w:firstColumn="1" w:lastColumn="1" w:noHBand="0" w:noVBand="0"/>
      </w:tblPr>
      <w:tblGrid>
        <w:gridCol w:w="10089"/>
      </w:tblGrid>
      <w:tr w:rsidR="002E374B" w:rsidRPr="00A443C2" w:rsidTr="009B67AF">
        <w:tc>
          <w:tcPr>
            <w:tcW w:w="10089" w:type="dxa"/>
          </w:tcPr>
          <w:p w:rsidR="002E374B" w:rsidRPr="00B033C8" w:rsidRDefault="002E374B" w:rsidP="009B67AF">
            <w:pPr>
              <w:spacing w:before="380" w:line="280" w:lineRule="exact"/>
              <w:jc w:val="right"/>
              <w:rPr>
                <w:rFonts w:ascii="Tahoma" w:hAnsi="Tahoma" w:cs="Tahoma"/>
                <w:b/>
                <w:bCs/>
                <w:iCs/>
                <w:color w:val="243285"/>
                <w:sz w:val="32"/>
                <w:szCs w:val="32"/>
                <w:lang w:val="en-US"/>
              </w:rPr>
            </w:pPr>
          </w:p>
          <w:p w:rsidR="002E374B" w:rsidRPr="00A443C2" w:rsidRDefault="002E374B" w:rsidP="0099603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sidR="00996038">
              <w:rPr>
                <w:rFonts w:ascii="Tahoma" w:hAnsi="Tahoma" w:cs="Tahoma"/>
                <w:b/>
                <w:bCs/>
                <w:iCs/>
                <w:color w:val="243285"/>
                <w:sz w:val="36"/>
                <w:szCs w:val="36"/>
              </w:rPr>
              <w:t>1155-1</w:t>
            </w:r>
          </w:p>
          <w:p w:rsidR="002E374B" w:rsidRPr="00A443C2" w:rsidRDefault="002E374B" w:rsidP="0099603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996038">
              <w:rPr>
                <w:rFonts w:ascii="Tahoma" w:hAnsi="Tahoma" w:cs="Tahoma"/>
                <w:b/>
                <w:bCs/>
                <w:iCs/>
                <w:color w:val="243285"/>
                <w:szCs w:val="24"/>
              </w:rPr>
              <w:t>12</w:t>
            </w:r>
            <w:r w:rsidRPr="00A443C2">
              <w:rPr>
                <w:rFonts w:ascii="Tahoma" w:hAnsi="Tahoma" w:cs="Tahoma"/>
                <w:b/>
                <w:bCs/>
                <w:iCs/>
                <w:color w:val="243285"/>
                <w:szCs w:val="24"/>
              </w:rPr>
              <w:t>/</w:t>
            </w:r>
            <w:r w:rsidR="00996038">
              <w:rPr>
                <w:rFonts w:ascii="Tahoma" w:hAnsi="Tahoma" w:cs="Tahoma"/>
                <w:b/>
                <w:bCs/>
                <w:iCs/>
                <w:color w:val="243285"/>
                <w:szCs w:val="24"/>
              </w:rPr>
              <w:t>2013</w:t>
            </w:r>
            <w:r w:rsidRPr="00A443C2">
              <w:rPr>
                <w:rFonts w:ascii="Tahoma" w:hAnsi="Tahoma" w:cs="Tahoma"/>
                <w:b/>
                <w:bCs/>
                <w:iCs/>
                <w:color w:val="243285"/>
                <w:szCs w:val="24"/>
              </w:rPr>
              <w:t>)</w:t>
            </w:r>
          </w:p>
        </w:tc>
      </w:tr>
      <w:tr w:rsidR="002E374B" w:rsidRPr="00F54FBD" w:rsidTr="009B67AF">
        <w:tc>
          <w:tcPr>
            <w:tcW w:w="10089" w:type="dxa"/>
          </w:tcPr>
          <w:p w:rsidR="002E374B" w:rsidRDefault="002E374B" w:rsidP="009B67AF">
            <w:pPr>
              <w:spacing w:before="80" w:line="500" w:lineRule="exact"/>
              <w:jc w:val="right"/>
              <w:rPr>
                <w:rFonts w:ascii="Tahoma" w:hAnsi="Tahoma" w:cs="Tahoma"/>
                <w:b/>
                <w:bCs/>
                <w:iCs/>
                <w:color w:val="243285"/>
                <w:sz w:val="44"/>
                <w:szCs w:val="44"/>
              </w:rPr>
            </w:pPr>
          </w:p>
          <w:p w:rsidR="002E374B" w:rsidRDefault="00996038" w:rsidP="00996038">
            <w:pPr>
              <w:spacing w:before="80" w:line="500" w:lineRule="exact"/>
              <w:jc w:val="right"/>
              <w:rPr>
                <w:rFonts w:ascii="Tahoma" w:hAnsi="Tahoma" w:cs="Tahoma"/>
                <w:b/>
                <w:bCs/>
                <w:iCs/>
                <w:color w:val="243285"/>
                <w:sz w:val="44"/>
                <w:szCs w:val="44"/>
              </w:rPr>
            </w:pPr>
            <w:r w:rsidRPr="00996038">
              <w:rPr>
                <w:rFonts w:ascii="Tahoma" w:hAnsi="Tahoma" w:cs="Tahoma"/>
                <w:b/>
                <w:bCs/>
                <w:iCs/>
                <w:color w:val="243285"/>
                <w:sz w:val="44"/>
                <w:szCs w:val="44"/>
              </w:rPr>
              <w:t xml:space="preserve">Critères de protection relatifs à l'exploitation des systèmes à satellites </w:t>
            </w:r>
            <w:r>
              <w:rPr>
                <w:rFonts w:ascii="Tahoma" w:hAnsi="Tahoma" w:cs="Tahoma"/>
                <w:b/>
                <w:bCs/>
                <w:iCs/>
                <w:color w:val="243285"/>
                <w:sz w:val="44"/>
                <w:szCs w:val="44"/>
              </w:rPr>
              <w:br/>
            </w:r>
            <w:r w:rsidRPr="00996038">
              <w:rPr>
                <w:rFonts w:ascii="Tahoma" w:hAnsi="Tahoma" w:cs="Tahoma"/>
                <w:b/>
                <w:bCs/>
                <w:iCs/>
                <w:color w:val="243285"/>
                <w:sz w:val="44"/>
                <w:szCs w:val="44"/>
              </w:rPr>
              <w:t>relais de données</w:t>
            </w:r>
            <w:r>
              <w:rPr>
                <w:rFonts w:ascii="Tahoma" w:hAnsi="Tahoma" w:cs="Tahoma"/>
                <w:b/>
                <w:bCs/>
                <w:iCs/>
                <w:color w:val="243285"/>
                <w:sz w:val="44"/>
                <w:szCs w:val="44"/>
              </w:rPr>
              <w:t xml:space="preserve"> </w:t>
            </w:r>
          </w:p>
          <w:p w:rsidR="002E374B" w:rsidRPr="00F54FBD" w:rsidRDefault="002E374B" w:rsidP="009B67AF">
            <w:pPr>
              <w:spacing w:before="80" w:line="500" w:lineRule="exact"/>
              <w:jc w:val="right"/>
              <w:rPr>
                <w:rFonts w:ascii="Tahoma" w:hAnsi="Tahoma" w:cs="Tahoma"/>
                <w:b/>
                <w:bCs/>
                <w:iCs/>
                <w:color w:val="243285"/>
                <w:sz w:val="44"/>
                <w:szCs w:val="44"/>
              </w:rPr>
            </w:pPr>
          </w:p>
        </w:tc>
      </w:tr>
      <w:tr w:rsidR="002E374B" w:rsidRPr="00F54FBD" w:rsidTr="009B67AF">
        <w:tc>
          <w:tcPr>
            <w:tcW w:w="10089" w:type="dxa"/>
          </w:tcPr>
          <w:p w:rsidR="002E374B" w:rsidRPr="00F54FBD" w:rsidRDefault="002E374B" w:rsidP="009B67AF">
            <w:pPr>
              <w:spacing w:before="80" w:line="280" w:lineRule="exact"/>
              <w:ind w:right="640"/>
              <w:rPr>
                <w:rFonts w:ascii="Tahoma" w:hAnsi="Tahoma" w:cs="Tahoma"/>
                <w:b/>
                <w:bCs/>
                <w:iCs/>
                <w:color w:val="243285"/>
                <w:sz w:val="32"/>
                <w:szCs w:val="32"/>
              </w:rPr>
            </w:pPr>
          </w:p>
          <w:p w:rsidR="002E374B" w:rsidRPr="00F54FBD" w:rsidRDefault="002E374B" w:rsidP="009B67AF">
            <w:pPr>
              <w:spacing w:before="80" w:line="280" w:lineRule="exact"/>
              <w:ind w:right="640"/>
              <w:rPr>
                <w:rFonts w:ascii="Tahoma" w:hAnsi="Tahoma" w:cs="Tahoma"/>
                <w:b/>
                <w:bCs/>
                <w:iCs/>
                <w:color w:val="243285"/>
                <w:sz w:val="32"/>
                <w:szCs w:val="32"/>
              </w:rPr>
            </w:pPr>
          </w:p>
          <w:p w:rsidR="002E374B" w:rsidRPr="00F54FBD" w:rsidRDefault="002E374B" w:rsidP="009B67AF">
            <w:pPr>
              <w:spacing w:before="80" w:after="180" w:line="360" w:lineRule="exact"/>
              <w:ind w:right="720"/>
              <w:rPr>
                <w:rFonts w:ascii="Tahoma" w:hAnsi="Tahoma" w:cs="Tahoma"/>
                <w:b/>
                <w:bCs/>
                <w:iCs/>
                <w:color w:val="243285"/>
                <w:sz w:val="36"/>
                <w:szCs w:val="36"/>
              </w:rPr>
            </w:pPr>
          </w:p>
          <w:p w:rsidR="002E374B" w:rsidRPr="00F54FBD" w:rsidRDefault="002E374B" w:rsidP="009B67A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2E374B" w:rsidRPr="00F54FBD" w:rsidRDefault="002E374B" w:rsidP="009B67A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2E374B" w:rsidRPr="00F54FBD" w:rsidRDefault="002E374B" w:rsidP="002E374B">
      <w:pPr>
        <w:spacing w:before="80"/>
        <w:rPr>
          <w:i/>
          <w:sz w:val="22"/>
        </w:rPr>
      </w:pPr>
    </w:p>
    <w:p w:rsidR="002E374B" w:rsidRPr="00F54FBD" w:rsidRDefault="002E374B" w:rsidP="002E374B">
      <w:pPr>
        <w:spacing w:before="80"/>
        <w:rPr>
          <w:i/>
          <w:sz w:val="22"/>
        </w:rPr>
      </w:pPr>
    </w:p>
    <w:p w:rsidR="002E374B" w:rsidRPr="00F54FBD" w:rsidRDefault="002E374B" w:rsidP="002E374B">
      <w:pPr>
        <w:spacing w:before="80"/>
        <w:rPr>
          <w:i/>
          <w:sz w:val="22"/>
        </w:rPr>
      </w:pPr>
    </w:p>
    <w:p w:rsidR="002E374B" w:rsidRPr="00F54FBD" w:rsidRDefault="002E374B" w:rsidP="002E374B">
      <w:pPr>
        <w:spacing w:before="80"/>
        <w:rPr>
          <w:i/>
          <w:sz w:val="22"/>
        </w:rPr>
      </w:pPr>
    </w:p>
    <w:p w:rsidR="002E374B" w:rsidRPr="00F54FBD" w:rsidRDefault="002E374B" w:rsidP="002E374B">
      <w:pPr>
        <w:spacing w:before="80"/>
        <w:rPr>
          <w:i/>
          <w:sz w:val="22"/>
        </w:rPr>
      </w:pPr>
    </w:p>
    <w:p w:rsidR="002E374B" w:rsidRPr="00F54FBD" w:rsidRDefault="002E374B" w:rsidP="002E374B">
      <w:pPr>
        <w:spacing w:before="80"/>
        <w:rPr>
          <w:i/>
          <w:sz w:val="22"/>
        </w:rPr>
      </w:pPr>
    </w:p>
    <w:p w:rsidR="002E374B" w:rsidRPr="00F54FBD" w:rsidRDefault="002E374B" w:rsidP="002E374B">
      <w:pPr>
        <w:pStyle w:val="Equation"/>
        <w:tabs>
          <w:tab w:val="clear" w:pos="4820"/>
          <w:tab w:val="clear" w:pos="9639"/>
          <w:tab w:val="left" w:pos="1191"/>
          <w:tab w:val="left" w:pos="1588"/>
          <w:tab w:val="left" w:pos="1985"/>
        </w:tabs>
        <w:rPr>
          <w:rFonts w:ascii="Palatino Linotype" w:hAnsi="Palatino Linotype"/>
        </w:rPr>
        <w:sectPr w:rsidR="002E374B" w:rsidRPr="00F54FBD">
          <w:headerReference w:type="even" r:id="rId7"/>
          <w:headerReference w:type="default" r:id="rId8"/>
          <w:pgSz w:w="11907" w:h="16840" w:code="9"/>
          <w:pgMar w:top="1089" w:right="1089" w:bottom="284" w:left="1089" w:header="567" w:footer="284" w:gutter="0"/>
          <w:pgNumType w:start="1"/>
          <w:cols w:space="720"/>
        </w:sectPr>
      </w:pPr>
    </w:p>
    <w:p w:rsidR="002E374B" w:rsidRPr="00F54FBD" w:rsidRDefault="002E374B" w:rsidP="002E3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E374B" w:rsidRPr="00F54FBD" w:rsidRDefault="002E374B" w:rsidP="002E374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E374B" w:rsidRPr="00F54FBD" w:rsidRDefault="002E374B" w:rsidP="002E374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E374B" w:rsidRPr="00E44CBB" w:rsidRDefault="002E374B" w:rsidP="002E374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E374B" w:rsidRPr="00E44CBB" w:rsidRDefault="002E374B" w:rsidP="002E374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E374B" w:rsidRPr="0086089D" w:rsidRDefault="002E374B" w:rsidP="002E374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E374B" w:rsidRPr="009454F8" w:rsidTr="009B67AF">
        <w:tc>
          <w:tcPr>
            <w:tcW w:w="9360" w:type="dxa"/>
            <w:gridSpan w:val="2"/>
          </w:tcPr>
          <w:p w:rsidR="002E374B" w:rsidRPr="009454F8" w:rsidRDefault="002E374B" w:rsidP="009B67A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E374B" w:rsidRPr="009454F8"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E374B" w:rsidRPr="00036EE3" w:rsidTr="009B67AF">
        <w:tc>
          <w:tcPr>
            <w:tcW w:w="1140" w:type="dxa"/>
            <w:tcBorders>
              <w:bottom w:val="nil"/>
            </w:tcBorders>
          </w:tcPr>
          <w:p w:rsidR="002E374B" w:rsidRPr="00614CC6" w:rsidRDefault="002E374B" w:rsidP="009B67AF">
            <w:pPr>
              <w:spacing w:before="90" w:after="100"/>
              <w:ind w:left="57"/>
              <w:rPr>
                <w:b/>
                <w:bCs/>
                <w:sz w:val="20"/>
                <w:lang w:val="en-US"/>
              </w:rPr>
            </w:pPr>
            <w:r w:rsidRPr="00614CC6">
              <w:rPr>
                <w:b/>
                <w:bCs/>
                <w:sz w:val="20"/>
                <w:lang w:val="en-US"/>
              </w:rPr>
              <w:t>Séries</w:t>
            </w:r>
          </w:p>
        </w:tc>
        <w:tc>
          <w:tcPr>
            <w:tcW w:w="8220" w:type="dxa"/>
            <w:tcBorders>
              <w:bottom w:val="nil"/>
            </w:tcBorders>
          </w:tcPr>
          <w:p w:rsidR="002E374B" w:rsidRPr="00614CC6"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E374B" w:rsidRPr="005E427C" w:rsidTr="009B67AF">
        <w:tc>
          <w:tcPr>
            <w:tcW w:w="1140" w:type="dxa"/>
            <w:tcBorders>
              <w:top w:val="nil"/>
              <w:bottom w:val="nil"/>
            </w:tcBorders>
            <w:shd w:val="clear" w:color="auto" w:fill="auto"/>
          </w:tcPr>
          <w:p w:rsidR="002E374B" w:rsidRPr="005E427C" w:rsidRDefault="002E374B" w:rsidP="009B67A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E374B" w:rsidRPr="005E427C"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E374B" w:rsidRPr="009454F8" w:rsidTr="009B67AF">
        <w:tc>
          <w:tcPr>
            <w:tcW w:w="1140" w:type="dxa"/>
            <w:tcBorders>
              <w:top w:val="nil"/>
              <w:bottom w:val="nil"/>
            </w:tcBorders>
          </w:tcPr>
          <w:p w:rsidR="002E374B" w:rsidRPr="00614CC6" w:rsidRDefault="002E374B" w:rsidP="009B67A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E374B" w:rsidRPr="00614CC6"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E374B" w:rsidRPr="00E80F1D" w:rsidTr="009B67AF">
        <w:tc>
          <w:tcPr>
            <w:tcW w:w="1140" w:type="dxa"/>
            <w:tcBorders>
              <w:top w:val="nil"/>
              <w:bottom w:val="nil"/>
            </w:tcBorders>
            <w:shd w:val="clear" w:color="auto" w:fill="auto"/>
          </w:tcPr>
          <w:p w:rsidR="002E374B" w:rsidRPr="00E80F1D" w:rsidRDefault="002E374B" w:rsidP="009B67A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E374B" w:rsidRPr="00E80F1D"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E374B" w:rsidRPr="00ED2695" w:rsidTr="009B67AF">
        <w:tc>
          <w:tcPr>
            <w:tcW w:w="1140" w:type="dxa"/>
            <w:tcBorders>
              <w:top w:val="nil"/>
              <w:bottom w:val="nil"/>
            </w:tcBorders>
            <w:shd w:val="clear" w:color="auto" w:fill="auto"/>
          </w:tcPr>
          <w:p w:rsidR="002E374B" w:rsidRPr="00614CC6" w:rsidRDefault="002E374B" w:rsidP="009B67A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E374B" w:rsidRPr="00614CC6"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E374B" w:rsidRPr="00DE5EA2" w:rsidTr="009B67AF">
        <w:tc>
          <w:tcPr>
            <w:tcW w:w="1140" w:type="dxa"/>
            <w:tcBorders>
              <w:top w:val="nil"/>
              <w:bottom w:val="nil"/>
            </w:tcBorders>
            <w:shd w:val="clear" w:color="auto" w:fill="auto"/>
          </w:tcPr>
          <w:p w:rsidR="002E374B" w:rsidRPr="00DE5EA2" w:rsidRDefault="002E374B" w:rsidP="009B67A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2E374B" w:rsidRPr="00DE5EA2" w:rsidRDefault="002E374B" w:rsidP="009B67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2E374B" w:rsidRPr="00B21066" w:rsidTr="009B67AF">
        <w:tc>
          <w:tcPr>
            <w:tcW w:w="1140" w:type="dxa"/>
            <w:tcBorders>
              <w:top w:val="nil"/>
              <w:bottom w:val="nil"/>
            </w:tcBorders>
            <w:shd w:val="clear" w:color="auto" w:fill="auto"/>
          </w:tcPr>
          <w:p w:rsidR="002E374B" w:rsidRPr="00B21066" w:rsidRDefault="002E374B" w:rsidP="009B67A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E374B" w:rsidRPr="00B21066"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E374B" w:rsidRPr="00EC361D" w:rsidTr="009B67AF">
        <w:tc>
          <w:tcPr>
            <w:tcW w:w="1140" w:type="dxa"/>
            <w:tcBorders>
              <w:top w:val="nil"/>
              <w:bottom w:val="nil"/>
            </w:tcBorders>
            <w:shd w:val="clear" w:color="auto" w:fill="auto"/>
          </w:tcPr>
          <w:p w:rsidR="002E374B" w:rsidRPr="00EC361D" w:rsidRDefault="002E374B" w:rsidP="009B67AF">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2E374B" w:rsidRPr="00EC361D" w:rsidRDefault="002E374B" w:rsidP="009B67AF">
            <w:pPr>
              <w:spacing w:before="30" w:after="30"/>
              <w:jc w:val="left"/>
              <w:rPr>
                <w:sz w:val="20"/>
                <w:lang w:val="fr-CH"/>
              </w:rPr>
            </w:pPr>
            <w:r w:rsidRPr="00EC361D">
              <w:rPr>
                <w:sz w:val="20"/>
              </w:rPr>
              <w:t>Propagation des ondes radioélectriques</w:t>
            </w:r>
          </w:p>
        </w:tc>
      </w:tr>
      <w:tr w:rsidR="002E374B" w:rsidRPr="004822EF" w:rsidTr="009B67AF">
        <w:tc>
          <w:tcPr>
            <w:tcW w:w="1140" w:type="dxa"/>
            <w:tcBorders>
              <w:top w:val="nil"/>
              <w:bottom w:val="nil"/>
            </w:tcBorders>
            <w:shd w:val="clear" w:color="auto" w:fill="auto"/>
          </w:tcPr>
          <w:p w:rsidR="002E374B" w:rsidRPr="004822EF" w:rsidRDefault="002E374B" w:rsidP="009B67AF">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2E374B" w:rsidRPr="004822EF" w:rsidRDefault="002E374B" w:rsidP="009B67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2E374B" w:rsidRPr="00326525" w:rsidTr="009B67AF">
        <w:tc>
          <w:tcPr>
            <w:tcW w:w="1140" w:type="dxa"/>
            <w:tcBorders>
              <w:top w:val="nil"/>
              <w:bottom w:val="nil"/>
            </w:tcBorders>
            <w:shd w:val="clear" w:color="auto" w:fill="auto"/>
          </w:tcPr>
          <w:p w:rsidR="002E374B" w:rsidRPr="00326525" w:rsidRDefault="002E374B" w:rsidP="009B67AF">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2E374B" w:rsidRPr="00326525" w:rsidRDefault="002E374B" w:rsidP="009B67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2E374B" w:rsidRPr="00C40D3E" w:rsidTr="009B67AF">
        <w:tc>
          <w:tcPr>
            <w:tcW w:w="1140" w:type="dxa"/>
            <w:tcBorders>
              <w:top w:val="nil"/>
              <w:bottom w:val="nil"/>
            </w:tcBorders>
            <w:shd w:val="clear" w:color="auto" w:fill="auto"/>
          </w:tcPr>
          <w:p w:rsidR="002E374B" w:rsidRPr="00C40D3E" w:rsidRDefault="002E374B" w:rsidP="009B67AF">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2E374B" w:rsidRPr="00C40D3E" w:rsidRDefault="002E374B" w:rsidP="009B67AF">
            <w:pPr>
              <w:spacing w:before="30" w:after="30"/>
              <w:jc w:val="left"/>
              <w:rPr>
                <w:sz w:val="20"/>
                <w:lang w:val="en-US"/>
              </w:rPr>
            </w:pPr>
            <w:r w:rsidRPr="00C40D3E">
              <w:rPr>
                <w:sz w:val="20"/>
              </w:rPr>
              <w:t>Service fixe par satellite</w:t>
            </w:r>
          </w:p>
        </w:tc>
      </w:tr>
      <w:tr w:rsidR="002E374B" w:rsidRPr="00C40D3E" w:rsidTr="009B67AF">
        <w:tc>
          <w:tcPr>
            <w:tcW w:w="1140" w:type="dxa"/>
            <w:tcBorders>
              <w:top w:val="nil"/>
              <w:bottom w:val="nil"/>
            </w:tcBorders>
            <w:shd w:val="clear" w:color="auto" w:fill="F3F3F3"/>
          </w:tcPr>
          <w:p w:rsidR="002E374B" w:rsidRPr="00C40D3E" w:rsidRDefault="002E374B" w:rsidP="009B67AF">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2E374B" w:rsidRPr="00C40D3E" w:rsidRDefault="002E374B" w:rsidP="009B67AF">
            <w:pPr>
              <w:spacing w:before="30" w:after="30"/>
              <w:jc w:val="left"/>
              <w:rPr>
                <w:b/>
                <w:bCs/>
                <w:color w:val="000080"/>
                <w:sz w:val="20"/>
                <w:lang w:val="en-US"/>
              </w:rPr>
            </w:pPr>
            <w:r w:rsidRPr="00C40D3E">
              <w:rPr>
                <w:b/>
                <w:bCs/>
                <w:color w:val="000080"/>
                <w:sz w:val="20"/>
              </w:rPr>
              <w:t>Applications spatiales et météorologie</w:t>
            </w:r>
          </w:p>
        </w:tc>
      </w:tr>
      <w:tr w:rsidR="002E374B" w:rsidRPr="00614CC6" w:rsidTr="009B67AF">
        <w:tc>
          <w:tcPr>
            <w:tcW w:w="1140" w:type="dxa"/>
            <w:tcBorders>
              <w:top w:val="nil"/>
            </w:tcBorders>
          </w:tcPr>
          <w:p w:rsidR="002E374B" w:rsidRPr="00614CC6" w:rsidRDefault="002E374B" w:rsidP="009B67AF">
            <w:pPr>
              <w:spacing w:before="30" w:after="30"/>
              <w:ind w:left="57"/>
              <w:jc w:val="left"/>
              <w:rPr>
                <w:b/>
                <w:bCs/>
                <w:sz w:val="20"/>
                <w:lang w:val="en-US"/>
              </w:rPr>
            </w:pPr>
            <w:r w:rsidRPr="00614CC6">
              <w:rPr>
                <w:b/>
                <w:bCs/>
                <w:sz w:val="20"/>
                <w:lang w:val="en-US"/>
              </w:rPr>
              <w:t>SF</w:t>
            </w:r>
          </w:p>
        </w:tc>
        <w:tc>
          <w:tcPr>
            <w:tcW w:w="8220" w:type="dxa"/>
            <w:tcBorders>
              <w:top w:val="nil"/>
            </w:tcBorders>
          </w:tcPr>
          <w:p w:rsidR="002E374B" w:rsidRPr="00614CC6" w:rsidRDefault="002E374B" w:rsidP="009B67AF">
            <w:pPr>
              <w:spacing w:before="30" w:after="30"/>
              <w:jc w:val="left"/>
              <w:rPr>
                <w:sz w:val="20"/>
              </w:rPr>
            </w:pPr>
            <w:r w:rsidRPr="00614CC6">
              <w:rPr>
                <w:sz w:val="20"/>
              </w:rPr>
              <w:t>Partage des fréquences et coordination entre les systèmes du service fixe par satellite et du service fixe</w:t>
            </w:r>
          </w:p>
        </w:tc>
      </w:tr>
      <w:tr w:rsidR="002E374B" w:rsidRPr="00036EE3" w:rsidTr="009B67AF">
        <w:tc>
          <w:tcPr>
            <w:tcW w:w="1140" w:type="dxa"/>
            <w:shd w:val="clear" w:color="auto" w:fill="auto"/>
          </w:tcPr>
          <w:p w:rsidR="002E374B" w:rsidRPr="00592F9F" w:rsidRDefault="002E374B" w:rsidP="009B67AF">
            <w:pPr>
              <w:spacing w:before="30" w:after="30"/>
              <w:ind w:left="57"/>
              <w:jc w:val="left"/>
              <w:rPr>
                <w:b/>
                <w:bCs/>
                <w:sz w:val="20"/>
                <w:lang w:val="en-US"/>
              </w:rPr>
            </w:pPr>
            <w:r w:rsidRPr="00592F9F">
              <w:rPr>
                <w:b/>
                <w:bCs/>
                <w:sz w:val="20"/>
                <w:lang w:val="en-US"/>
              </w:rPr>
              <w:t>SM</w:t>
            </w:r>
          </w:p>
        </w:tc>
        <w:tc>
          <w:tcPr>
            <w:tcW w:w="8220" w:type="dxa"/>
            <w:shd w:val="clear" w:color="auto" w:fill="auto"/>
          </w:tcPr>
          <w:p w:rsidR="002E374B" w:rsidRPr="00592F9F" w:rsidRDefault="002E374B" w:rsidP="009B67AF">
            <w:pPr>
              <w:spacing w:before="30" w:after="30"/>
              <w:jc w:val="left"/>
              <w:rPr>
                <w:sz w:val="20"/>
                <w:lang w:val="en-US"/>
              </w:rPr>
            </w:pPr>
            <w:r w:rsidRPr="00592F9F">
              <w:rPr>
                <w:sz w:val="20"/>
              </w:rPr>
              <w:t>Gestion du spectre</w:t>
            </w:r>
          </w:p>
        </w:tc>
      </w:tr>
      <w:tr w:rsidR="002E374B" w:rsidRPr="00036EE3" w:rsidTr="009B67AF">
        <w:tc>
          <w:tcPr>
            <w:tcW w:w="1140" w:type="dxa"/>
          </w:tcPr>
          <w:p w:rsidR="002E374B" w:rsidRPr="00614CC6" w:rsidRDefault="002E374B" w:rsidP="009B67AF">
            <w:pPr>
              <w:spacing w:before="30" w:after="30"/>
              <w:ind w:left="57"/>
              <w:jc w:val="left"/>
              <w:rPr>
                <w:b/>
                <w:bCs/>
                <w:sz w:val="20"/>
                <w:lang w:val="en-US"/>
              </w:rPr>
            </w:pPr>
            <w:r w:rsidRPr="00614CC6">
              <w:rPr>
                <w:b/>
                <w:bCs/>
                <w:sz w:val="20"/>
                <w:lang w:val="en-US"/>
              </w:rPr>
              <w:t>SNG</w:t>
            </w:r>
          </w:p>
        </w:tc>
        <w:tc>
          <w:tcPr>
            <w:tcW w:w="8220" w:type="dxa"/>
          </w:tcPr>
          <w:p w:rsidR="002E374B" w:rsidRPr="00614CC6" w:rsidRDefault="002E374B" w:rsidP="009B67AF">
            <w:pPr>
              <w:spacing w:before="30" w:after="30"/>
              <w:jc w:val="left"/>
              <w:rPr>
                <w:sz w:val="20"/>
                <w:lang w:val="en-US"/>
              </w:rPr>
            </w:pPr>
            <w:r w:rsidRPr="00614CC6">
              <w:rPr>
                <w:sz w:val="20"/>
              </w:rPr>
              <w:t>Reportage d'actualités par satellite</w:t>
            </w:r>
          </w:p>
        </w:tc>
      </w:tr>
      <w:tr w:rsidR="002E374B" w:rsidRPr="00614CC6" w:rsidTr="009B67AF">
        <w:tc>
          <w:tcPr>
            <w:tcW w:w="1140" w:type="dxa"/>
          </w:tcPr>
          <w:p w:rsidR="002E374B" w:rsidRPr="00614CC6" w:rsidRDefault="002E374B" w:rsidP="009B67AF">
            <w:pPr>
              <w:spacing w:before="30" w:after="30"/>
              <w:ind w:left="57"/>
              <w:jc w:val="left"/>
              <w:rPr>
                <w:b/>
                <w:bCs/>
                <w:sz w:val="20"/>
                <w:lang w:val="en-US"/>
              </w:rPr>
            </w:pPr>
            <w:r w:rsidRPr="00614CC6">
              <w:rPr>
                <w:b/>
                <w:bCs/>
                <w:sz w:val="20"/>
                <w:lang w:val="en-US"/>
              </w:rPr>
              <w:t>TF</w:t>
            </w:r>
          </w:p>
        </w:tc>
        <w:tc>
          <w:tcPr>
            <w:tcW w:w="8220" w:type="dxa"/>
          </w:tcPr>
          <w:p w:rsidR="002E374B" w:rsidRPr="00614CC6" w:rsidRDefault="002E374B" w:rsidP="009B67AF">
            <w:pPr>
              <w:spacing w:before="30" w:after="30"/>
              <w:jc w:val="left"/>
              <w:rPr>
                <w:sz w:val="20"/>
              </w:rPr>
            </w:pPr>
            <w:r w:rsidRPr="00614CC6">
              <w:rPr>
                <w:sz w:val="20"/>
              </w:rPr>
              <w:t>Emissions de fréquences étalon et de signaux horaires</w:t>
            </w:r>
          </w:p>
        </w:tc>
      </w:tr>
      <w:tr w:rsidR="002E374B" w:rsidRPr="00036EE3" w:rsidTr="009B67AF">
        <w:tc>
          <w:tcPr>
            <w:tcW w:w="1140" w:type="dxa"/>
          </w:tcPr>
          <w:p w:rsidR="002E374B" w:rsidRPr="00614CC6" w:rsidRDefault="002E374B" w:rsidP="009B67AF">
            <w:pPr>
              <w:spacing w:before="30" w:after="30"/>
              <w:ind w:left="57"/>
              <w:jc w:val="left"/>
              <w:rPr>
                <w:b/>
                <w:bCs/>
                <w:sz w:val="20"/>
                <w:lang w:val="en-US"/>
              </w:rPr>
            </w:pPr>
            <w:r w:rsidRPr="00614CC6">
              <w:rPr>
                <w:b/>
                <w:bCs/>
                <w:sz w:val="20"/>
                <w:lang w:val="en-US"/>
              </w:rPr>
              <w:t>V</w:t>
            </w:r>
          </w:p>
        </w:tc>
        <w:tc>
          <w:tcPr>
            <w:tcW w:w="8220" w:type="dxa"/>
          </w:tcPr>
          <w:p w:rsidR="002E374B" w:rsidRPr="00614CC6" w:rsidRDefault="002E374B" w:rsidP="009B67AF">
            <w:pPr>
              <w:spacing w:before="30" w:after="140"/>
              <w:jc w:val="left"/>
              <w:rPr>
                <w:sz w:val="20"/>
                <w:lang w:val="en-US"/>
              </w:rPr>
            </w:pPr>
            <w:r w:rsidRPr="00614CC6">
              <w:rPr>
                <w:sz w:val="20"/>
              </w:rPr>
              <w:t>Vocabulaire et sujets associés</w:t>
            </w:r>
          </w:p>
        </w:tc>
      </w:tr>
    </w:tbl>
    <w:p w:rsidR="002E374B" w:rsidRPr="00036EE3" w:rsidRDefault="002E374B" w:rsidP="002E374B">
      <w:pPr>
        <w:spacing w:before="0"/>
        <w:jc w:val="center"/>
        <w:rPr>
          <w:sz w:val="20"/>
          <w:lang w:val="en-US"/>
        </w:rPr>
      </w:pPr>
    </w:p>
    <w:p w:rsidR="002E374B" w:rsidRPr="00036EE3" w:rsidRDefault="002E374B" w:rsidP="002E374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E374B" w:rsidRPr="00756B4D" w:rsidTr="009B67AF">
        <w:tc>
          <w:tcPr>
            <w:tcW w:w="9360" w:type="dxa"/>
          </w:tcPr>
          <w:p w:rsidR="002E374B" w:rsidRPr="00756B4D" w:rsidRDefault="002E374B" w:rsidP="009B67A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E374B" w:rsidRPr="00756B4D" w:rsidRDefault="002E374B" w:rsidP="002E374B">
      <w:pPr>
        <w:spacing w:before="0"/>
        <w:jc w:val="center"/>
        <w:rPr>
          <w:sz w:val="22"/>
        </w:rPr>
      </w:pPr>
    </w:p>
    <w:p w:rsidR="002E374B" w:rsidRPr="00614CC6" w:rsidRDefault="002E374B" w:rsidP="002E374B">
      <w:pPr>
        <w:spacing w:before="100"/>
        <w:jc w:val="right"/>
        <w:rPr>
          <w:i/>
          <w:iCs/>
          <w:sz w:val="20"/>
        </w:rPr>
      </w:pPr>
      <w:r w:rsidRPr="00614CC6">
        <w:rPr>
          <w:i/>
          <w:iCs/>
          <w:sz w:val="20"/>
        </w:rPr>
        <w:t>Publication électronique</w:t>
      </w:r>
    </w:p>
    <w:p w:rsidR="002E374B" w:rsidRPr="00614CC6" w:rsidRDefault="002E374B" w:rsidP="002E374B">
      <w:pPr>
        <w:spacing w:before="0"/>
        <w:jc w:val="right"/>
        <w:rPr>
          <w:sz w:val="20"/>
        </w:rPr>
      </w:pPr>
      <w:r w:rsidRPr="00614CC6">
        <w:rPr>
          <w:sz w:val="20"/>
        </w:rPr>
        <w:t>Genève, 20</w:t>
      </w:r>
      <w:r>
        <w:rPr>
          <w:sz w:val="20"/>
        </w:rPr>
        <w:t>15</w:t>
      </w:r>
    </w:p>
    <w:p w:rsidR="002E374B" w:rsidRPr="00614CC6" w:rsidRDefault="002E374B" w:rsidP="002E374B">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15</w:t>
      </w:r>
    </w:p>
    <w:p w:rsidR="002E374B" w:rsidRPr="00614CC6" w:rsidRDefault="002E374B" w:rsidP="002E374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E374B" w:rsidRPr="00614CC6" w:rsidRDefault="002E374B" w:rsidP="002E374B">
      <w:pPr>
        <w:spacing w:before="160"/>
        <w:rPr>
          <w:i/>
          <w:sz w:val="20"/>
          <w:highlight w:val="yellow"/>
        </w:rPr>
        <w:sectPr w:rsidR="002E374B"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E374B" w:rsidRPr="00756B4D" w:rsidRDefault="002E374B" w:rsidP="00CC243F">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Pr>
          <w:rStyle w:val="href"/>
        </w:rPr>
        <w:t>1155-1</w:t>
      </w:r>
      <w:r w:rsidR="00CC243F">
        <w:rPr>
          <w:rStyle w:val="FootnoteReference"/>
        </w:rPr>
        <w:footnoteReference w:customMarkFollows="1" w:id="1"/>
        <w:t>*</w:t>
      </w:r>
    </w:p>
    <w:p w:rsidR="002E374B" w:rsidRPr="0098351B" w:rsidRDefault="002E374B" w:rsidP="002E374B">
      <w:pPr>
        <w:pStyle w:val="Rectitle"/>
        <w:rPr>
          <w:lang w:val="fr-CH"/>
        </w:rPr>
      </w:pPr>
      <w:r w:rsidRPr="0098351B">
        <w:rPr>
          <w:lang w:val="fr-CH"/>
        </w:rPr>
        <w:t xml:space="preserve">Critères de protection relatifs à l'exploitation </w:t>
      </w:r>
      <w:r w:rsidRPr="0098351B">
        <w:rPr>
          <w:lang w:val="fr-CH"/>
        </w:rPr>
        <w:br/>
        <w:t>des systèmes à satellites relais de données</w:t>
      </w:r>
    </w:p>
    <w:p w:rsidR="002E374B" w:rsidRPr="0098351B" w:rsidRDefault="002E374B" w:rsidP="002E374B">
      <w:pPr>
        <w:pStyle w:val="Recdate"/>
        <w:rPr>
          <w:i/>
          <w:iCs/>
          <w:lang w:val="fr-CH"/>
        </w:rPr>
      </w:pPr>
      <w:r w:rsidRPr="0098351B">
        <w:rPr>
          <w:iCs/>
          <w:lang w:val="fr-CH"/>
        </w:rPr>
        <w:t>(1995-2013)</w:t>
      </w:r>
    </w:p>
    <w:p w:rsidR="002E374B" w:rsidRPr="0098351B" w:rsidRDefault="002E374B" w:rsidP="002E374B">
      <w:pPr>
        <w:pStyle w:val="HeadingSum"/>
        <w:rPr>
          <w:lang w:val="fr-CH"/>
        </w:rPr>
      </w:pPr>
      <w:r w:rsidRPr="0098351B">
        <w:rPr>
          <w:lang w:val="fr-CH"/>
        </w:rPr>
        <w:t>Domaine d'application</w:t>
      </w:r>
    </w:p>
    <w:p w:rsidR="002E374B" w:rsidRPr="0098351B" w:rsidRDefault="002E374B" w:rsidP="00F631B2">
      <w:pPr>
        <w:pStyle w:val="Summary"/>
        <w:rPr>
          <w:lang w:val="fr-CH"/>
        </w:rPr>
      </w:pPr>
      <w:r w:rsidRPr="0098351B">
        <w:rPr>
          <w:lang w:val="fr-CH"/>
        </w:rPr>
        <w:t xml:space="preserve">La présente Recommandation spécifie les critères de protection pour les systèmes à satellites relais de données, sous la forme de valeurs du rapport </w:t>
      </w:r>
      <w:r w:rsidRPr="0098351B">
        <w:rPr>
          <w:i/>
          <w:iCs/>
          <w:lang w:val="fr-CH"/>
        </w:rPr>
        <w:t>I/N</w:t>
      </w:r>
      <w:r w:rsidRPr="0098351B">
        <w:rPr>
          <w:lang w:val="fr-CH"/>
        </w:rPr>
        <w:t xml:space="preserve">, et fournit des analyses et des textes explicatifs </w:t>
      </w:r>
      <w:r w:rsidR="00F631B2">
        <w:rPr>
          <w:lang w:val="fr-CH"/>
        </w:rPr>
        <w:t xml:space="preserve">concernant </w:t>
      </w:r>
      <w:r w:rsidR="00414EFC">
        <w:rPr>
          <w:lang w:val="fr-CH"/>
        </w:rPr>
        <w:t>les</w:t>
      </w:r>
      <w:r w:rsidR="00F631B2">
        <w:rPr>
          <w:lang w:val="fr-CH"/>
        </w:rPr>
        <w:t xml:space="preserve">dits </w:t>
      </w:r>
      <w:r w:rsidRPr="0098351B">
        <w:rPr>
          <w:lang w:val="fr-CH"/>
        </w:rPr>
        <w:t>critères de protection.</w:t>
      </w:r>
    </w:p>
    <w:p w:rsidR="002E374B" w:rsidRPr="0098351B" w:rsidRDefault="002E374B" w:rsidP="002E374B">
      <w:pPr>
        <w:pStyle w:val="Normalaftertitle"/>
        <w:rPr>
          <w:lang w:val="fr-CH"/>
        </w:rPr>
      </w:pPr>
      <w:r w:rsidRPr="0098351B">
        <w:rPr>
          <w:lang w:val="fr-CH"/>
        </w:rPr>
        <w:t>L'Assemblée des radiocommunications de l'UIT,</w:t>
      </w:r>
    </w:p>
    <w:p w:rsidR="002E374B" w:rsidRPr="0098351B" w:rsidRDefault="002E374B" w:rsidP="002E374B">
      <w:pPr>
        <w:pStyle w:val="Call"/>
        <w:rPr>
          <w:lang w:val="fr-CH"/>
        </w:rPr>
      </w:pPr>
      <w:r w:rsidRPr="0098351B">
        <w:rPr>
          <w:lang w:val="fr-CH"/>
        </w:rPr>
        <w:t>considéran</w:t>
      </w:r>
      <w:bookmarkStart w:id="3" w:name="_GoBack"/>
      <w:bookmarkEnd w:id="3"/>
      <w:r w:rsidRPr="0098351B">
        <w:rPr>
          <w:lang w:val="fr-CH"/>
        </w:rPr>
        <w:t>t</w:t>
      </w:r>
    </w:p>
    <w:p w:rsidR="002E374B" w:rsidRPr="0098351B" w:rsidRDefault="002E374B" w:rsidP="00F631B2">
      <w:pPr>
        <w:rPr>
          <w:lang w:val="fr-CH"/>
        </w:rPr>
      </w:pPr>
      <w:r w:rsidRPr="00F631B2">
        <w:rPr>
          <w:i/>
          <w:iCs/>
          <w:lang w:val="fr-CH"/>
        </w:rPr>
        <w:t>a)</w:t>
      </w:r>
      <w:r w:rsidRPr="0098351B">
        <w:rPr>
          <w:lang w:val="fr-CH"/>
        </w:rPr>
        <w:tab/>
        <w:t xml:space="preserve">que des systèmes à satellites relais de données sont en exploitation ou en </w:t>
      </w:r>
      <w:r w:rsidR="00F631B2">
        <w:rPr>
          <w:lang w:val="fr-CH"/>
        </w:rPr>
        <w:t xml:space="preserve">projet, conformément au </w:t>
      </w:r>
      <w:r w:rsidRPr="0098351B">
        <w:rPr>
          <w:lang w:val="fr-CH"/>
        </w:rPr>
        <w:t>système fictif de référence décrit dans la Recommandation UIT-R SA.1018;</w:t>
      </w:r>
    </w:p>
    <w:p w:rsidR="002E374B" w:rsidRPr="0098351B" w:rsidRDefault="002E374B" w:rsidP="002E374B">
      <w:pPr>
        <w:rPr>
          <w:lang w:val="fr-CH"/>
        </w:rPr>
      </w:pPr>
      <w:r w:rsidRPr="00F631B2">
        <w:rPr>
          <w:i/>
          <w:iCs/>
          <w:lang w:val="fr-CH"/>
        </w:rPr>
        <w:t>b)</w:t>
      </w:r>
      <w:r w:rsidRPr="0098351B">
        <w:rPr>
          <w:lang w:val="fr-CH"/>
        </w:rPr>
        <w:tab/>
        <w:t>que ces systèmes à satellites relais de données acceptent des liaisons ayant des caractéristiques très différentes, comme décrit dans l'Annexe 1;</w:t>
      </w:r>
    </w:p>
    <w:p w:rsidR="002E374B" w:rsidRPr="0098351B" w:rsidRDefault="002E374B" w:rsidP="002E374B">
      <w:pPr>
        <w:rPr>
          <w:lang w:val="fr-CH"/>
        </w:rPr>
      </w:pPr>
      <w:r w:rsidRPr="00F631B2">
        <w:rPr>
          <w:i/>
          <w:iCs/>
          <w:lang w:val="fr-CH"/>
        </w:rPr>
        <w:t>c)</w:t>
      </w:r>
      <w:r w:rsidRPr="0098351B">
        <w:rPr>
          <w:lang w:val="fr-CH"/>
        </w:rPr>
        <w:tab/>
        <w:t>que les bandes de fréquences préférées pour les systèmes à satellites relais de données ont été identifiées dans la Recommandation UIT-R SA.1019;</w:t>
      </w:r>
    </w:p>
    <w:p w:rsidR="002E374B" w:rsidRPr="0098351B" w:rsidRDefault="002E374B" w:rsidP="00367472">
      <w:pPr>
        <w:rPr>
          <w:lang w:val="fr-CH"/>
        </w:rPr>
      </w:pPr>
      <w:r w:rsidRPr="00F631B2">
        <w:rPr>
          <w:i/>
          <w:iCs/>
          <w:lang w:val="fr-CH"/>
        </w:rPr>
        <w:t>d)</w:t>
      </w:r>
      <w:r w:rsidRPr="0098351B">
        <w:rPr>
          <w:lang w:val="fr-CH"/>
        </w:rPr>
        <w:tab/>
        <w:t xml:space="preserve">que le partage entre les systèmes à satellites relais de données et d'autres systèmes radioélectriques spatiaux et </w:t>
      </w:r>
      <w:r w:rsidR="00367472">
        <w:rPr>
          <w:lang w:val="fr-CH"/>
        </w:rPr>
        <w:t xml:space="preserve">de Terre </w:t>
      </w:r>
      <w:r w:rsidRPr="0098351B">
        <w:rPr>
          <w:lang w:val="fr-CH"/>
        </w:rPr>
        <w:t>est nécessaire dans toutes les bandes de fréquences préférées, identifiées dans la Recommandation UIT</w:t>
      </w:r>
      <w:r w:rsidRPr="0098351B">
        <w:rPr>
          <w:lang w:val="fr-CH"/>
        </w:rPr>
        <w:noBreakHyphen/>
        <w:t>R SA.1019;</w:t>
      </w:r>
    </w:p>
    <w:p w:rsidR="002E374B" w:rsidRPr="0098351B" w:rsidRDefault="002E374B" w:rsidP="00367472">
      <w:pPr>
        <w:rPr>
          <w:lang w:val="fr-CH"/>
        </w:rPr>
      </w:pPr>
      <w:r w:rsidRPr="00F631B2">
        <w:rPr>
          <w:i/>
          <w:iCs/>
          <w:lang w:val="fr-CH"/>
        </w:rPr>
        <w:t>e)</w:t>
      </w:r>
      <w:r w:rsidRPr="0098351B">
        <w:rPr>
          <w:lang w:val="fr-CH"/>
        </w:rPr>
        <w:tab/>
        <w:t xml:space="preserve">que les systèmes radioélectriques spatiaux et </w:t>
      </w:r>
      <w:r w:rsidR="00367472">
        <w:rPr>
          <w:lang w:val="fr-CH"/>
        </w:rPr>
        <w:t xml:space="preserve">de Terre </w:t>
      </w:r>
      <w:r w:rsidRPr="0098351B">
        <w:rPr>
          <w:lang w:val="fr-CH"/>
        </w:rPr>
        <w:t>partageant ces bandes avec les systèmes à satellites relais de données vont être plus nombreux, ce qui augmentera les probabilités de brouillage;</w:t>
      </w:r>
    </w:p>
    <w:p w:rsidR="002E374B" w:rsidRPr="0098351B" w:rsidRDefault="002E374B" w:rsidP="002E374B">
      <w:pPr>
        <w:rPr>
          <w:lang w:val="fr-CH"/>
        </w:rPr>
      </w:pPr>
      <w:r w:rsidRPr="00F631B2">
        <w:rPr>
          <w:i/>
          <w:iCs/>
          <w:lang w:val="fr-CH"/>
        </w:rPr>
        <w:t>f)</w:t>
      </w:r>
      <w:r w:rsidRPr="0098351B">
        <w:rPr>
          <w:lang w:val="fr-CH"/>
        </w:rPr>
        <w:tab/>
        <w:t>que les marges des liaisons aller et retour avec les satellites relais de données sont normalement de 2 à 4 dB, mais que, dans certains cas, elles peuvent être de l'ordre de 1 dB;</w:t>
      </w:r>
    </w:p>
    <w:p w:rsidR="002E374B" w:rsidRPr="0098351B" w:rsidRDefault="002E374B" w:rsidP="002E374B">
      <w:pPr>
        <w:rPr>
          <w:lang w:val="fr-CH"/>
        </w:rPr>
      </w:pPr>
      <w:r w:rsidRPr="00F631B2">
        <w:rPr>
          <w:i/>
          <w:iCs/>
          <w:lang w:val="fr-CH"/>
        </w:rPr>
        <w:t>g)</w:t>
      </w:r>
      <w:r w:rsidRPr="0098351B">
        <w:rPr>
          <w:lang w:val="fr-CH"/>
        </w:rPr>
        <w:tab/>
        <w:t>que la marge nominale de la liaison espace-espace est souvent le facteur limitant;</w:t>
      </w:r>
    </w:p>
    <w:p w:rsidR="002E374B" w:rsidRPr="0098351B" w:rsidRDefault="002E374B" w:rsidP="002E374B">
      <w:pPr>
        <w:rPr>
          <w:lang w:val="fr-CH"/>
        </w:rPr>
      </w:pPr>
      <w:r w:rsidRPr="00F631B2">
        <w:rPr>
          <w:i/>
          <w:iCs/>
          <w:lang w:val="fr-CH"/>
        </w:rPr>
        <w:t>h)</w:t>
      </w:r>
      <w:r w:rsidRPr="0098351B">
        <w:rPr>
          <w:lang w:val="fr-CH"/>
        </w:rPr>
        <w:tab/>
        <w:t>que les systèmes à satellites relais de données émettront et recevront des signaux dans les services d'exploitation spatiale, de recherche spatiale, d'exploration de la Terre par satellite et dans le service fixe par satellite;</w:t>
      </w:r>
    </w:p>
    <w:p w:rsidR="002E374B" w:rsidRPr="0098351B" w:rsidRDefault="002E374B" w:rsidP="002E374B">
      <w:pPr>
        <w:rPr>
          <w:lang w:val="fr-CH"/>
        </w:rPr>
      </w:pPr>
      <w:r w:rsidRPr="00F631B2">
        <w:rPr>
          <w:i/>
          <w:iCs/>
          <w:lang w:val="fr-CH"/>
        </w:rPr>
        <w:t>j)</w:t>
      </w:r>
      <w:r w:rsidRPr="0098351B">
        <w:rPr>
          <w:lang w:val="fr-CH"/>
        </w:rPr>
        <w:tab/>
        <w:t>que l'Annexe 1 contient des renseignements techniques détaillés sur les critères de protection,</w:t>
      </w:r>
    </w:p>
    <w:p w:rsidR="002E374B" w:rsidRPr="0098351B" w:rsidRDefault="002E374B" w:rsidP="002E374B">
      <w:pPr>
        <w:pStyle w:val="Call"/>
        <w:rPr>
          <w:lang w:val="fr-CH"/>
        </w:rPr>
      </w:pPr>
      <w:r w:rsidRPr="0098351B">
        <w:rPr>
          <w:lang w:val="fr-CH"/>
        </w:rPr>
        <w:t>recommande</w:t>
      </w:r>
    </w:p>
    <w:p w:rsidR="002E374B" w:rsidRPr="0098351B" w:rsidRDefault="002E374B" w:rsidP="00367472">
      <w:pPr>
        <w:rPr>
          <w:lang w:val="fr-CH"/>
        </w:rPr>
      </w:pPr>
      <w:r w:rsidRPr="0098351B">
        <w:rPr>
          <w:b/>
          <w:lang w:val="fr-CH"/>
        </w:rPr>
        <w:t>1</w:t>
      </w:r>
      <w:r w:rsidRPr="0098351B">
        <w:rPr>
          <w:lang w:val="fr-CH"/>
        </w:rPr>
        <w:tab/>
      </w:r>
      <w:r w:rsidR="00367472">
        <w:rPr>
          <w:lang w:val="fr-CH"/>
        </w:rPr>
        <w:t xml:space="preserve">de faire en sorte que </w:t>
      </w:r>
      <w:r w:rsidRPr="0098351B">
        <w:rPr>
          <w:lang w:val="fr-CH"/>
        </w:rPr>
        <w:t>les critères de protection, spécifiés sous forme de rapport entre la valeur maximale de la densité spectrale de puissance du brouillage cumulatif et la densité de puissance de bruit du système, qui ne doit pas être dépassé, pour toutes les sources, pendant plus de 0,1% du temps, pour les diverses liaisons des systèmes à satellites relais de données</w:t>
      </w:r>
      <w:r w:rsidR="00367472">
        <w:rPr>
          <w:lang w:val="fr-CH"/>
        </w:rPr>
        <w:t>, soient tels qu'indiqués dans le Tableau 1</w:t>
      </w:r>
      <w:r w:rsidRPr="0098351B">
        <w:rPr>
          <w:lang w:val="fr-CH"/>
        </w:rPr>
        <w:t>;</w:t>
      </w:r>
    </w:p>
    <w:p w:rsidR="002E374B" w:rsidRPr="0098351B" w:rsidRDefault="002E374B" w:rsidP="002E374B">
      <w:pPr>
        <w:rPr>
          <w:lang w:val="fr-CH"/>
        </w:rPr>
      </w:pPr>
      <w:r w:rsidRPr="0098351B">
        <w:rPr>
          <w:b/>
          <w:lang w:val="fr-CH"/>
        </w:rPr>
        <w:t>2</w:t>
      </w:r>
      <w:r w:rsidRPr="0098351B">
        <w:rPr>
          <w:lang w:val="fr-CH"/>
        </w:rPr>
        <w:tab/>
        <w:t>d'utiliser les critères de protection indiqués dans le Tableau 1 pour élaborer, dans le cadre d'études, des critères de partage avec d'autres systèmes de Terre et spatiaux.</w:t>
      </w:r>
    </w:p>
    <w:p w:rsidR="002E374B" w:rsidRPr="0098351B" w:rsidRDefault="002E374B" w:rsidP="00F22486">
      <w:pPr>
        <w:pStyle w:val="TableNo"/>
        <w:rPr>
          <w:lang w:val="fr-CH"/>
        </w:rPr>
      </w:pPr>
      <w:r w:rsidRPr="0098351B">
        <w:rPr>
          <w:lang w:val="fr-CH"/>
        </w:rPr>
        <w:lastRenderedPageBreak/>
        <w:t>TABLEAU  1</w:t>
      </w:r>
    </w:p>
    <w:p w:rsidR="002E374B" w:rsidRPr="0098351B" w:rsidRDefault="002E374B" w:rsidP="00F22486">
      <w:pPr>
        <w:pStyle w:val="Tabletitle"/>
        <w:rPr>
          <w:lang w:val="fr-CH"/>
        </w:rPr>
      </w:pPr>
      <w:r w:rsidRPr="0098351B">
        <w:rPr>
          <w:lang w:val="fr-CH"/>
        </w:rPr>
        <w:t>Critères de protection</w:t>
      </w:r>
    </w:p>
    <w:tbl>
      <w:tblPr>
        <w:tblW w:w="8052" w:type="dxa"/>
        <w:jc w:val="center"/>
        <w:tblLayout w:type="fixed"/>
        <w:tblLook w:val="0000" w:firstRow="0" w:lastRow="0" w:firstColumn="0" w:lastColumn="0" w:noHBand="0" w:noVBand="0"/>
      </w:tblPr>
      <w:tblGrid>
        <w:gridCol w:w="2835"/>
        <w:gridCol w:w="2665"/>
        <w:gridCol w:w="2552"/>
      </w:tblGrid>
      <w:tr w:rsidR="002E374B" w:rsidRPr="0098351B" w:rsidTr="00F22486">
        <w:trPr>
          <w:cantSplit/>
          <w:jc w:val="center"/>
        </w:trPr>
        <w:tc>
          <w:tcPr>
            <w:tcW w:w="2835" w:type="dxa"/>
            <w:tcBorders>
              <w:top w:val="single" w:sz="6" w:space="0" w:color="auto"/>
              <w:left w:val="single" w:sz="6" w:space="0" w:color="auto"/>
              <w:bottom w:val="single" w:sz="6" w:space="0" w:color="auto"/>
              <w:right w:val="single" w:sz="6" w:space="0" w:color="auto"/>
            </w:tcBorders>
          </w:tcPr>
          <w:p w:rsidR="002E374B" w:rsidRPr="0098351B" w:rsidRDefault="002E374B" w:rsidP="00F22486">
            <w:pPr>
              <w:pStyle w:val="Tablehead"/>
              <w:rPr>
                <w:lang w:val="fr-CH"/>
              </w:rPr>
            </w:pPr>
            <w:r w:rsidRPr="0098351B">
              <w:rPr>
                <w:lang w:val="fr-CH"/>
              </w:rPr>
              <w:t>Liaison de satellite relais</w:t>
            </w:r>
            <w:r w:rsidRPr="0098351B">
              <w:rPr>
                <w:lang w:val="fr-CH"/>
              </w:rPr>
              <w:br/>
              <w:t>de données</w:t>
            </w:r>
          </w:p>
        </w:tc>
        <w:tc>
          <w:tcPr>
            <w:tcW w:w="2665" w:type="dxa"/>
            <w:tcBorders>
              <w:top w:val="single" w:sz="6" w:space="0" w:color="auto"/>
              <w:left w:val="single" w:sz="6" w:space="0" w:color="auto"/>
              <w:bottom w:val="single" w:sz="6" w:space="0" w:color="auto"/>
              <w:right w:val="single" w:sz="6" w:space="0" w:color="auto"/>
            </w:tcBorders>
          </w:tcPr>
          <w:p w:rsidR="002E374B" w:rsidRPr="0098351B" w:rsidRDefault="002E374B" w:rsidP="00F22486">
            <w:pPr>
              <w:pStyle w:val="Tablehead"/>
              <w:rPr>
                <w:lang w:val="fr-CH"/>
              </w:rPr>
            </w:pPr>
            <w:r w:rsidRPr="0098351B">
              <w:rPr>
                <w:lang w:val="fr-CH"/>
              </w:rPr>
              <w:t>Emplacement du récepteur</w:t>
            </w:r>
          </w:p>
        </w:tc>
        <w:tc>
          <w:tcPr>
            <w:tcW w:w="2552"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F22486">
            <w:pPr>
              <w:pStyle w:val="Tablehead"/>
              <w:rPr>
                <w:lang w:val="fr-CH"/>
              </w:rPr>
            </w:pPr>
            <w:r w:rsidRPr="0098351B">
              <w:rPr>
                <w:i/>
                <w:iCs/>
                <w:lang w:val="fr-CH"/>
              </w:rPr>
              <w:t>I</w:t>
            </w:r>
            <w:r w:rsidRPr="0098351B">
              <w:rPr>
                <w:rFonts w:ascii="Times New Roman Bold" w:hAnsi="Times New Roman Bold" w:cs="Times New Roman Bold"/>
                <w:vertAlign w:val="subscript"/>
                <w:lang w:val="fr-CH"/>
              </w:rPr>
              <w:t>0</w:t>
            </w:r>
            <w:r w:rsidRPr="0098351B">
              <w:rPr>
                <w:lang w:val="fr-CH"/>
              </w:rPr>
              <w:t>/</w:t>
            </w:r>
            <w:r w:rsidRPr="0098351B">
              <w:rPr>
                <w:i/>
                <w:iCs/>
                <w:lang w:val="fr-CH"/>
              </w:rPr>
              <w:t>N</w:t>
            </w:r>
            <w:r w:rsidRPr="0098351B">
              <w:rPr>
                <w:rFonts w:ascii="Times New Roman Bold" w:hAnsi="Times New Roman Bold" w:cs="Times New Roman Bold"/>
                <w:vertAlign w:val="subscript"/>
                <w:lang w:val="fr-CH"/>
              </w:rPr>
              <w:t>0</w:t>
            </w:r>
            <w:r w:rsidRPr="0098351B" w:rsidDel="00A81019">
              <w:rPr>
                <w:lang w:val="fr-CH"/>
              </w:rPr>
              <w:t xml:space="preserve"> </w:t>
            </w:r>
            <w:r w:rsidRPr="0098351B">
              <w:rPr>
                <w:lang w:val="fr-CH"/>
              </w:rPr>
              <w:br/>
              <w:t>(dB)</w:t>
            </w:r>
          </w:p>
        </w:tc>
      </w:tr>
      <w:tr w:rsidR="002E374B" w:rsidRPr="0098351B" w:rsidTr="00F22486">
        <w:trPr>
          <w:cantSplit/>
          <w:jc w:val="center"/>
        </w:trPr>
        <w:tc>
          <w:tcPr>
            <w:tcW w:w="2835" w:type="dxa"/>
            <w:tcBorders>
              <w:left w:val="single" w:sz="6" w:space="0" w:color="auto"/>
              <w:right w:val="single" w:sz="6" w:space="0" w:color="auto"/>
            </w:tcBorders>
          </w:tcPr>
          <w:p w:rsidR="002E374B" w:rsidRPr="0098351B" w:rsidRDefault="002E374B" w:rsidP="00F22486">
            <w:pPr>
              <w:pStyle w:val="Tabletext"/>
              <w:jc w:val="left"/>
              <w:rPr>
                <w:lang w:val="fr-CH"/>
              </w:rPr>
            </w:pPr>
            <w:r w:rsidRPr="0098351B">
              <w:rPr>
                <w:lang w:val="fr-CH"/>
              </w:rPr>
              <w:t>Liaison interorbitale aller</w:t>
            </w:r>
          </w:p>
        </w:tc>
        <w:tc>
          <w:tcPr>
            <w:tcW w:w="2665" w:type="dxa"/>
            <w:tcBorders>
              <w:left w:val="single" w:sz="6" w:space="0" w:color="auto"/>
              <w:right w:val="single" w:sz="6" w:space="0" w:color="auto"/>
            </w:tcBorders>
          </w:tcPr>
          <w:p w:rsidR="002E374B" w:rsidRPr="0098351B" w:rsidRDefault="002E374B" w:rsidP="00F22486">
            <w:pPr>
              <w:pStyle w:val="Tabletext"/>
              <w:rPr>
                <w:lang w:val="fr-CH"/>
              </w:rPr>
            </w:pPr>
            <w:r w:rsidRPr="0098351B">
              <w:rPr>
                <w:lang w:val="fr-CH"/>
              </w:rPr>
              <w:t>Engin spatial utilisateur</w:t>
            </w:r>
          </w:p>
        </w:tc>
        <w:tc>
          <w:tcPr>
            <w:tcW w:w="2552" w:type="dxa"/>
            <w:tcBorders>
              <w:left w:val="single" w:sz="6" w:space="0" w:color="auto"/>
              <w:right w:val="single" w:sz="6" w:space="0" w:color="auto"/>
            </w:tcBorders>
            <w:vAlign w:val="center"/>
          </w:tcPr>
          <w:p w:rsidR="002E374B" w:rsidRPr="0098351B" w:rsidRDefault="002E374B" w:rsidP="00F22486">
            <w:pPr>
              <w:pStyle w:val="Tabletext"/>
              <w:jc w:val="center"/>
              <w:rPr>
                <w:lang w:val="fr-CH"/>
              </w:rPr>
            </w:pPr>
          </w:p>
        </w:tc>
      </w:tr>
      <w:tr w:rsidR="002E374B" w:rsidRPr="0098351B" w:rsidTr="00F22486">
        <w:trPr>
          <w:cantSplit/>
          <w:jc w:val="center"/>
        </w:trPr>
        <w:tc>
          <w:tcPr>
            <w:tcW w:w="2835" w:type="dxa"/>
            <w:tcBorders>
              <w:left w:val="single" w:sz="6" w:space="0" w:color="auto"/>
              <w:right w:val="single" w:sz="6" w:space="0" w:color="auto"/>
            </w:tcBorders>
          </w:tcPr>
          <w:p w:rsidR="002E374B" w:rsidRPr="0098351B" w:rsidRDefault="002E374B" w:rsidP="00F22486">
            <w:pPr>
              <w:pStyle w:val="Tabletext"/>
              <w:jc w:val="left"/>
              <w:rPr>
                <w:lang w:val="fr-CH"/>
              </w:rPr>
            </w:pPr>
            <w:r w:rsidRPr="0098351B">
              <w:rPr>
                <w:lang w:val="fr-CH"/>
              </w:rPr>
              <w:t>2 025-2 110 MHz</w:t>
            </w:r>
            <w:r w:rsidRPr="0098351B">
              <w:rPr>
                <w:lang w:val="fr-CH"/>
              </w:rPr>
              <w:br/>
              <w:t>13,4-14,3 GHz</w:t>
            </w:r>
            <w:r w:rsidRPr="0098351B">
              <w:rPr>
                <w:lang w:val="fr-CH"/>
              </w:rPr>
              <w:br/>
              <w:t>22,55-23,55 GHz</w:t>
            </w:r>
          </w:p>
        </w:tc>
        <w:tc>
          <w:tcPr>
            <w:tcW w:w="2665" w:type="dxa"/>
            <w:tcBorders>
              <w:left w:val="single" w:sz="6" w:space="0" w:color="auto"/>
              <w:right w:val="single" w:sz="6" w:space="0" w:color="auto"/>
            </w:tcBorders>
          </w:tcPr>
          <w:p w:rsidR="002E374B" w:rsidRPr="0098351B" w:rsidRDefault="002E374B" w:rsidP="00F22486">
            <w:pPr>
              <w:pStyle w:val="Tabletext"/>
              <w:rPr>
                <w:lang w:val="fr-CH"/>
              </w:rPr>
            </w:pPr>
          </w:p>
        </w:tc>
        <w:tc>
          <w:tcPr>
            <w:tcW w:w="2552" w:type="dxa"/>
            <w:tcBorders>
              <w:left w:val="single" w:sz="6" w:space="0" w:color="auto"/>
              <w:right w:val="single" w:sz="6" w:space="0" w:color="auto"/>
            </w:tcBorders>
          </w:tcPr>
          <w:p w:rsidR="002E374B" w:rsidRPr="0098351B" w:rsidRDefault="002E374B" w:rsidP="00F22486">
            <w:pPr>
              <w:pStyle w:val="Tabletext"/>
              <w:jc w:val="center"/>
              <w:rPr>
                <w:lang w:val="fr-CH"/>
              </w:rPr>
            </w:pPr>
            <w:r w:rsidRPr="0098351B">
              <w:rPr>
                <w:lang w:val="fr-CH"/>
              </w:rPr>
              <w:t>–10</w:t>
            </w:r>
          </w:p>
        </w:tc>
      </w:tr>
      <w:tr w:rsidR="002E374B" w:rsidRPr="0098351B" w:rsidTr="00F22486">
        <w:trPr>
          <w:cantSplit/>
          <w:jc w:val="center"/>
        </w:trPr>
        <w:tc>
          <w:tcPr>
            <w:tcW w:w="2835" w:type="dxa"/>
            <w:tcBorders>
              <w:left w:val="single" w:sz="6" w:space="0" w:color="auto"/>
              <w:right w:val="single" w:sz="6" w:space="0" w:color="auto"/>
            </w:tcBorders>
          </w:tcPr>
          <w:p w:rsidR="002E374B" w:rsidRPr="0098351B" w:rsidRDefault="002E374B" w:rsidP="00F22486">
            <w:pPr>
              <w:pStyle w:val="Tabletext"/>
              <w:jc w:val="left"/>
              <w:rPr>
                <w:lang w:val="fr-CH"/>
              </w:rPr>
            </w:pPr>
            <w:r w:rsidRPr="0098351B">
              <w:rPr>
                <w:lang w:val="fr-CH"/>
              </w:rPr>
              <w:t>Liaison interorbitale retour</w:t>
            </w:r>
          </w:p>
        </w:tc>
        <w:tc>
          <w:tcPr>
            <w:tcW w:w="2665" w:type="dxa"/>
            <w:tcBorders>
              <w:left w:val="single" w:sz="6" w:space="0" w:color="auto"/>
              <w:right w:val="single" w:sz="6" w:space="0" w:color="auto"/>
            </w:tcBorders>
          </w:tcPr>
          <w:p w:rsidR="002E374B" w:rsidRPr="0098351B" w:rsidRDefault="002E374B" w:rsidP="00F22486">
            <w:pPr>
              <w:pStyle w:val="Tabletext"/>
              <w:rPr>
                <w:lang w:val="fr-CH"/>
              </w:rPr>
            </w:pPr>
            <w:r w:rsidRPr="0098351B">
              <w:rPr>
                <w:lang w:val="fr-CH"/>
              </w:rPr>
              <w:t>Satellite relais de données</w:t>
            </w:r>
          </w:p>
        </w:tc>
        <w:tc>
          <w:tcPr>
            <w:tcW w:w="2552" w:type="dxa"/>
            <w:tcBorders>
              <w:left w:val="single" w:sz="6" w:space="0" w:color="auto"/>
              <w:right w:val="single" w:sz="6" w:space="0" w:color="auto"/>
            </w:tcBorders>
          </w:tcPr>
          <w:p w:rsidR="002E374B" w:rsidRPr="0098351B" w:rsidRDefault="002E374B" w:rsidP="00F22486">
            <w:pPr>
              <w:pStyle w:val="Tabletext"/>
              <w:jc w:val="center"/>
              <w:rPr>
                <w:lang w:val="fr-CH"/>
              </w:rPr>
            </w:pPr>
          </w:p>
        </w:tc>
      </w:tr>
      <w:tr w:rsidR="002E374B" w:rsidRPr="0098351B" w:rsidTr="00F22486">
        <w:trPr>
          <w:cantSplit/>
          <w:jc w:val="center"/>
        </w:trPr>
        <w:tc>
          <w:tcPr>
            <w:tcW w:w="2835" w:type="dxa"/>
            <w:tcBorders>
              <w:left w:val="single" w:sz="6" w:space="0" w:color="auto"/>
              <w:right w:val="single" w:sz="6" w:space="0" w:color="auto"/>
            </w:tcBorders>
          </w:tcPr>
          <w:p w:rsidR="002E374B" w:rsidRPr="0098351B" w:rsidRDefault="002E374B" w:rsidP="00F22486">
            <w:pPr>
              <w:pStyle w:val="Tabletext"/>
              <w:jc w:val="left"/>
              <w:rPr>
                <w:lang w:val="fr-CH"/>
              </w:rPr>
            </w:pPr>
            <w:r w:rsidRPr="0098351B">
              <w:rPr>
                <w:lang w:val="fr-CH"/>
              </w:rPr>
              <w:t>2 200-2 290 MHz</w:t>
            </w:r>
            <w:r w:rsidRPr="0098351B">
              <w:rPr>
                <w:lang w:val="fr-CH"/>
              </w:rPr>
              <w:br/>
              <w:t>14,5-15,35 GHz</w:t>
            </w:r>
            <w:r w:rsidRPr="0098351B">
              <w:rPr>
                <w:lang w:val="fr-CH"/>
              </w:rPr>
              <w:br/>
              <w:t>25,25-27,5 GHz</w:t>
            </w:r>
          </w:p>
        </w:tc>
        <w:tc>
          <w:tcPr>
            <w:tcW w:w="2665" w:type="dxa"/>
            <w:tcBorders>
              <w:left w:val="single" w:sz="6" w:space="0" w:color="auto"/>
              <w:right w:val="single" w:sz="6" w:space="0" w:color="auto"/>
            </w:tcBorders>
          </w:tcPr>
          <w:p w:rsidR="002E374B" w:rsidRPr="0098351B" w:rsidRDefault="002E374B" w:rsidP="00F22486">
            <w:pPr>
              <w:pStyle w:val="Tabletext"/>
              <w:rPr>
                <w:lang w:val="fr-CH"/>
              </w:rPr>
            </w:pPr>
          </w:p>
        </w:tc>
        <w:tc>
          <w:tcPr>
            <w:tcW w:w="2552" w:type="dxa"/>
            <w:tcBorders>
              <w:left w:val="single" w:sz="6" w:space="0" w:color="auto"/>
              <w:right w:val="single" w:sz="6" w:space="0" w:color="auto"/>
            </w:tcBorders>
          </w:tcPr>
          <w:p w:rsidR="002E374B" w:rsidRPr="0098351B" w:rsidRDefault="002E374B" w:rsidP="00F22486">
            <w:pPr>
              <w:pStyle w:val="Tabletext"/>
              <w:jc w:val="center"/>
              <w:rPr>
                <w:lang w:val="fr-CH"/>
              </w:rPr>
            </w:pPr>
            <w:r w:rsidRPr="0098351B">
              <w:rPr>
                <w:lang w:val="fr-CH"/>
              </w:rPr>
              <w:t>–10</w:t>
            </w:r>
          </w:p>
        </w:tc>
      </w:tr>
      <w:tr w:rsidR="002E374B" w:rsidRPr="0098351B" w:rsidTr="00F22486">
        <w:trPr>
          <w:cantSplit/>
          <w:jc w:val="center"/>
        </w:trPr>
        <w:tc>
          <w:tcPr>
            <w:tcW w:w="2835" w:type="dxa"/>
            <w:tcBorders>
              <w:left w:val="single" w:sz="6" w:space="0" w:color="auto"/>
              <w:right w:val="single" w:sz="6" w:space="0" w:color="auto"/>
            </w:tcBorders>
          </w:tcPr>
          <w:p w:rsidR="002E374B" w:rsidRPr="0098351B" w:rsidRDefault="002E374B" w:rsidP="00F22486">
            <w:pPr>
              <w:pStyle w:val="Tabletext"/>
              <w:jc w:val="left"/>
              <w:rPr>
                <w:lang w:val="fr-CH"/>
              </w:rPr>
            </w:pPr>
            <w:r w:rsidRPr="0098351B">
              <w:rPr>
                <w:lang w:val="fr-CH"/>
              </w:rPr>
              <w:t>Liaison de connexion aller</w:t>
            </w:r>
          </w:p>
        </w:tc>
        <w:tc>
          <w:tcPr>
            <w:tcW w:w="2665" w:type="dxa"/>
            <w:tcBorders>
              <w:left w:val="single" w:sz="6" w:space="0" w:color="auto"/>
              <w:right w:val="single" w:sz="6" w:space="0" w:color="auto"/>
            </w:tcBorders>
          </w:tcPr>
          <w:p w:rsidR="002E374B" w:rsidRPr="0098351B" w:rsidRDefault="002E374B" w:rsidP="00F22486">
            <w:pPr>
              <w:pStyle w:val="Tabletext"/>
              <w:rPr>
                <w:lang w:val="fr-CH"/>
              </w:rPr>
            </w:pPr>
            <w:r w:rsidRPr="0098351B">
              <w:rPr>
                <w:lang w:val="fr-CH"/>
              </w:rPr>
              <w:t>Satellite relais de données</w:t>
            </w:r>
          </w:p>
        </w:tc>
        <w:tc>
          <w:tcPr>
            <w:tcW w:w="2552" w:type="dxa"/>
            <w:tcBorders>
              <w:left w:val="single" w:sz="6" w:space="0" w:color="auto"/>
              <w:right w:val="single" w:sz="6" w:space="0" w:color="auto"/>
            </w:tcBorders>
          </w:tcPr>
          <w:p w:rsidR="002E374B" w:rsidRPr="0098351B" w:rsidRDefault="002E374B" w:rsidP="00F22486">
            <w:pPr>
              <w:pStyle w:val="Tabletext"/>
              <w:jc w:val="center"/>
              <w:rPr>
                <w:lang w:val="fr-CH"/>
              </w:rPr>
            </w:pPr>
          </w:p>
        </w:tc>
      </w:tr>
      <w:tr w:rsidR="002E374B" w:rsidRPr="0098351B" w:rsidTr="00F22486">
        <w:trPr>
          <w:cantSplit/>
          <w:jc w:val="center"/>
        </w:trPr>
        <w:tc>
          <w:tcPr>
            <w:tcW w:w="2835" w:type="dxa"/>
            <w:tcBorders>
              <w:left w:val="single" w:sz="6" w:space="0" w:color="auto"/>
              <w:right w:val="single" w:sz="6" w:space="0" w:color="auto"/>
            </w:tcBorders>
          </w:tcPr>
          <w:p w:rsidR="002E374B" w:rsidRPr="0098351B" w:rsidRDefault="002E374B" w:rsidP="00F22486">
            <w:pPr>
              <w:pStyle w:val="Tabletext"/>
              <w:jc w:val="left"/>
              <w:rPr>
                <w:lang w:val="fr-CH"/>
              </w:rPr>
            </w:pPr>
            <w:r w:rsidRPr="0098351B">
              <w:rPr>
                <w:lang w:val="fr-CH"/>
              </w:rPr>
              <w:t>14,5-15,35 GHz</w:t>
            </w:r>
            <w:r w:rsidRPr="0098351B">
              <w:rPr>
                <w:lang w:val="fr-CH"/>
              </w:rPr>
              <w:br/>
              <w:t>27,5-31,0 GHz</w:t>
            </w:r>
          </w:p>
        </w:tc>
        <w:tc>
          <w:tcPr>
            <w:tcW w:w="2665" w:type="dxa"/>
            <w:tcBorders>
              <w:left w:val="single" w:sz="6" w:space="0" w:color="auto"/>
              <w:right w:val="single" w:sz="6" w:space="0" w:color="auto"/>
            </w:tcBorders>
          </w:tcPr>
          <w:p w:rsidR="002E374B" w:rsidRPr="0098351B" w:rsidRDefault="002E374B" w:rsidP="00F22486">
            <w:pPr>
              <w:pStyle w:val="Tabletext"/>
              <w:rPr>
                <w:lang w:val="fr-CH"/>
              </w:rPr>
            </w:pPr>
          </w:p>
        </w:tc>
        <w:tc>
          <w:tcPr>
            <w:tcW w:w="2552" w:type="dxa"/>
            <w:tcBorders>
              <w:left w:val="single" w:sz="6" w:space="0" w:color="auto"/>
              <w:right w:val="single" w:sz="6" w:space="0" w:color="auto"/>
            </w:tcBorders>
          </w:tcPr>
          <w:p w:rsidR="002E374B" w:rsidRPr="0098351B" w:rsidRDefault="002E374B" w:rsidP="00F22486">
            <w:pPr>
              <w:pStyle w:val="Tabletext"/>
              <w:jc w:val="center"/>
              <w:rPr>
                <w:lang w:val="fr-CH"/>
              </w:rPr>
            </w:pPr>
            <w:r w:rsidRPr="0098351B">
              <w:rPr>
                <w:lang w:val="fr-CH"/>
              </w:rPr>
              <w:t>–6</w:t>
            </w:r>
          </w:p>
        </w:tc>
      </w:tr>
      <w:tr w:rsidR="002E374B" w:rsidRPr="0098351B" w:rsidTr="00F22486">
        <w:trPr>
          <w:cantSplit/>
          <w:jc w:val="center"/>
        </w:trPr>
        <w:tc>
          <w:tcPr>
            <w:tcW w:w="2835" w:type="dxa"/>
            <w:tcBorders>
              <w:left w:val="single" w:sz="6" w:space="0" w:color="auto"/>
              <w:right w:val="single" w:sz="6" w:space="0" w:color="auto"/>
            </w:tcBorders>
          </w:tcPr>
          <w:p w:rsidR="002E374B" w:rsidRPr="0098351B" w:rsidRDefault="002E374B" w:rsidP="00F22486">
            <w:pPr>
              <w:pStyle w:val="Tabletext"/>
              <w:jc w:val="left"/>
              <w:rPr>
                <w:lang w:val="fr-CH"/>
              </w:rPr>
            </w:pPr>
            <w:r w:rsidRPr="0098351B">
              <w:rPr>
                <w:lang w:val="fr-CH"/>
              </w:rPr>
              <w:t>Liaison de connexion retour</w:t>
            </w:r>
          </w:p>
        </w:tc>
        <w:tc>
          <w:tcPr>
            <w:tcW w:w="2665" w:type="dxa"/>
            <w:tcBorders>
              <w:left w:val="single" w:sz="6" w:space="0" w:color="auto"/>
              <w:right w:val="single" w:sz="6" w:space="0" w:color="auto"/>
            </w:tcBorders>
          </w:tcPr>
          <w:p w:rsidR="002E374B" w:rsidRPr="0098351B" w:rsidRDefault="002E374B" w:rsidP="00F22486">
            <w:pPr>
              <w:pStyle w:val="Tabletext"/>
              <w:rPr>
                <w:lang w:val="fr-CH"/>
              </w:rPr>
            </w:pPr>
            <w:r w:rsidRPr="0098351B">
              <w:rPr>
                <w:lang w:val="fr-CH"/>
              </w:rPr>
              <w:t>Station terrienne</w:t>
            </w:r>
          </w:p>
        </w:tc>
        <w:tc>
          <w:tcPr>
            <w:tcW w:w="2552" w:type="dxa"/>
            <w:tcBorders>
              <w:left w:val="single" w:sz="6" w:space="0" w:color="auto"/>
              <w:right w:val="single" w:sz="6" w:space="0" w:color="auto"/>
            </w:tcBorders>
          </w:tcPr>
          <w:p w:rsidR="002E374B" w:rsidRPr="0098351B" w:rsidRDefault="002E374B" w:rsidP="00F22486">
            <w:pPr>
              <w:pStyle w:val="Tabletext"/>
              <w:jc w:val="center"/>
              <w:rPr>
                <w:lang w:val="fr-CH"/>
              </w:rPr>
            </w:pPr>
          </w:p>
        </w:tc>
      </w:tr>
      <w:tr w:rsidR="002E374B" w:rsidRPr="0098351B" w:rsidTr="00F22486">
        <w:trPr>
          <w:cantSplit/>
          <w:jc w:val="center"/>
        </w:trPr>
        <w:tc>
          <w:tcPr>
            <w:tcW w:w="2835" w:type="dxa"/>
            <w:tcBorders>
              <w:left w:val="single" w:sz="6" w:space="0" w:color="auto"/>
              <w:bottom w:val="single" w:sz="6" w:space="0" w:color="auto"/>
              <w:right w:val="single" w:sz="6" w:space="0" w:color="auto"/>
            </w:tcBorders>
          </w:tcPr>
          <w:p w:rsidR="002E374B" w:rsidRPr="0098351B" w:rsidRDefault="002E374B" w:rsidP="00F22486">
            <w:pPr>
              <w:pStyle w:val="Tabletext"/>
              <w:jc w:val="left"/>
              <w:rPr>
                <w:lang w:val="fr-CH"/>
              </w:rPr>
            </w:pPr>
            <w:r w:rsidRPr="0098351B">
              <w:rPr>
                <w:lang w:val="fr-CH"/>
              </w:rPr>
              <w:t>13,4-14,05 GHz</w:t>
            </w:r>
            <w:r w:rsidRPr="0098351B">
              <w:rPr>
                <w:lang w:val="fr-CH"/>
              </w:rPr>
              <w:br/>
              <w:t>10,7-10,95 GHz</w:t>
            </w:r>
            <w:r w:rsidRPr="0098351B">
              <w:rPr>
                <w:lang w:val="fr-CH"/>
              </w:rPr>
              <w:br/>
              <w:t>17,7-21,2 GHz</w:t>
            </w:r>
          </w:p>
        </w:tc>
        <w:tc>
          <w:tcPr>
            <w:tcW w:w="2665" w:type="dxa"/>
            <w:tcBorders>
              <w:left w:val="single" w:sz="6" w:space="0" w:color="auto"/>
              <w:bottom w:val="single" w:sz="6" w:space="0" w:color="auto"/>
              <w:right w:val="single" w:sz="6" w:space="0" w:color="auto"/>
            </w:tcBorders>
          </w:tcPr>
          <w:p w:rsidR="002E374B" w:rsidRPr="0098351B" w:rsidRDefault="002E374B" w:rsidP="00F22486">
            <w:pPr>
              <w:pStyle w:val="Tabletext"/>
              <w:rPr>
                <w:lang w:val="fr-CH"/>
              </w:rPr>
            </w:pPr>
          </w:p>
        </w:tc>
        <w:tc>
          <w:tcPr>
            <w:tcW w:w="2552" w:type="dxa"/>
            <w:tcBorders>
              <w:left w:val="single" w:sz="6" w:space="0" w:color="auto"/>
              <w:bottom w:val="single" w:sz="6" w:space="0" w:color="auto"/>
              <w:right w:val="single" w:sz="6" w:space="0" w:color="auto"/>
            </w:tcBorders>
          </w:tcPr>
          <w:p w:rsidR="002E374B" w:rsidRPr="0098351B" w:rsidRDefault="002E374B" w:rsidP="00F22486">
            <w:pPr>
              <w:pStyle w:val="Tabletext"/>
              <w:jc w:val="center"/>
              <w:rPr>
                <w:lang w:val="fr-CH"/>
              </w:rPr>
            </w:pPr>
            <w:r w:rsidRPr="0098351B">
              <w:rPr>
                <w:lang w:val="fr-CH"/>
              </w:rPr>
              <w:t>–6</w:t>
            </w:r>
          </w:p>
        </w:tc>
      </w:tr>
    </w:tbl>
    <w:p w:rsidR="002E374B" w:rsidRPr="0098351B" w:rsidRDefault="002E374B" w:rsidP="002E374B">
      <w:pPr>
        <w:pStyle w:val="Tablefin"/>
        <w:rPr>
          <w:lang w:val="fr-CH"/>
        </w:rPr>
      </w:pPr>
    </w:p>
    <w:p w:rsidR="00F22486" w:rsidRDefault="00F22486" w:rsidP="003426AD">
      <w:pPr>
        <w:rPr>
          <w:lang w:val="fr-CH"/>
        </w:rPr>
      </w:pPr>
    </w:p>
    <w:p w:rsidR="003426AD" w:rsidRDefault="003426AD" w:rsidP="003426AD">
      <w:pPr>
        <w:rPr>
          <w:lang w:val="fr-CH"/>
        </w:rPr>
      </w:pPr>
    </w:p>
    <w:p w:rsidR="002E374B" w:rsidRPr="0098351B" w:rsidRDefault="002E374B" w:rsidP="002E374B">
      <w:pPr>
        <w:pStyle w:val="AnnexNoTitle"/>
        <w:rPr>
          <w:lang w:val="fr-CH"/>
        </w:rPr>
      </w:pPr>
      <w:r w:rsidRPr="0098351B">
        <w:rPr>
          <w:lang w:val="fr-CH"/>
        </w:rPr>
        <w:t>Annexe 1</w:t>
      </w:r>
      <w:r w:rsidRPr="0098351B">
        <w:rPr>
          <w:lang w:val="fr-CH"/>
        </w:rPr>
        <w:br/>
      </w:r>
      <w:r w:rsidRPr="0098351B">
        <w:rPr>
          <w:lang w:val="fr-CH"/>
        </w:rPr>
        <w:br/>
        <w:t>Analyse de la sensibilité aux brouillages des liaisons</w:t>
      </w:r>
      <w:r w:rsidRPr="0098351B">
        <w:rPr>
          <w:lang w:val="fr-CH"/>
        </w:rPr>
        <w:br/>
        <w:t>de satellites relais de données</w:t>
      </w:r>
    </w:p>
    <w:p w:rsidR="002E374B" w:rsidRPr="0098351B" w:rsidRDefault="002E374B" w:rsidP="002E374B">
      <w:pPr>
        <w:pStyle w:val="Heading1"/>
        <w:rPr>
          <w:lang w:val="fr-CH"/>
        </w:rPr>
      </w:pPr>
      <w:r w:rsidRPr="0098351B">
        <w:rPr>
          <w:lang w:val="fr-CH"/>
        </w:rPr>
        <w:t>1</w:t>
      </w:r>
      <w:r w:rsidRPr="0098351B">
        <w:rPr>
          <w:lang w:val="fr-CH"/>
        </w:rPr>
        <w:tab/>
        <w:t>Introduction</w:t>
      </w:r>
    </w:p>
    <w:p w:rsidR="002E374B" w:rsidRPr="0098351B" w:rsidRDefault="002E374B" w:rsidP="002E374B">
      <w:pPr>
        <w:rPr>
          <w:lang w:val="fr-CH"/>
        </w:rPr>
      </w:pPr>
      <w:r w:rsidRPr="0098351B">
        <w:rPr>
          <w:lang w:val="fr-CH"/>
        </w:rPr>
        <w:t>Une grande partie du spectre approprié à la recherche spatiale est également attribuée à un ou à plusieurs autres services: un partage de fréquences entre services est donc nécessaire. La présente Annexe examine les facteurs qui ont une incidence sur la sensibilité des liaisons avec des stations spatiales géostationnaires exploitées comme satellites relais de données, aux brouillages dus à des engins spatiaux sur orbite basse dans les services de recherche spatiale, d'exploitation spatiale et d'exploration de la Terre par satellite et dus à des stations terriennes fonctionnant dans ces mêmes services ou dans le service fixe par satellite. Cette Annexe spécifie les critères de protection appropriés à ces services dans les bandes de fréquences 2-30 GHz. Ces critères serviront aux analyses de coordination et de brouillage en l'absence de données propres aux systèmes.</w:t>
      </w:r>
    </w:p>
    <w:p w:rsidR="002E374B" w:rsidRPr="0098351B" w:rsidRDefault="002E374B" w:rsidP="002E374B">
      <w:pPr>
        <w:pStyle w:val="Heading1"/>
        <w:rPr>
          <w:lang w:val="fr-CH"/>
        </w:rPr>
      </w:pPr>
      <w:r w:rsidRPr="0098351B">
        <w:rPr>
          <w:lang w:val="fr-CH"/>
        </w:rPr>
        <w:t>2</w:t>
      </w:r>
      <w:r w:rsidRPr="0098351B">
        <w:rPr>
          <w:lang w:val="fr-CH"/>
        </w:rPr>
        <w:tab/>
        <w:t>Considérations générales</w:t>
      </w:r>
    </w:p>
    <w:p w:rsidR="002E374B" w:rsidRPr="0098351B" w:rsidRDefault="002E374B" w:rsidP="002E374B">
      <w:pPr>
        <w:rPr>
          <w:lang w:val="fr-CH"/>
        </w:rPr>
      </w:pPr>
      <w:r w:rsidRPr="0098351B">
        <w:rPr>
          <w:lang w:val="fr-CH"/>
        </w:rPr>
        <w:t xml:space="preserve">Les systèmes de recherche spatiale, d'exploitation spatiale et d'exploration de la Terre dans l'espace circumterrestre dépendent depuis toujours de communications périodiques, exemptes de brouillages et bilatérales entre les engins spatiaux et les centres de contrôle ou autres installations terriennes. </w:t>
      </w:r>
      <w:r w:rsidRPr="0098351B">
        <w:rPr>
          <w:lang w:val="fr-CH"/>
        </w:rPr>
        <w:lastRenderedPageBreak/>
        <w:t>L'évolution et l'expansion de ces activités sont devenues dépendantes des satellites relais de données décrits dans la Recommandation UIT-R SA.1414.</w:t>
      </w:r>
    </w:p>
    <w:p w:rsidR="002E374B" w:rsidRPr="0098351B" w:rsidRDefault="002E374B" w:rsidP="003426AD">
      <w:pPr>
        <w:rPr>
          <w:lang w:val="fr-CH"/>
        </w:rPr>
      </w:pPr>
      <w:r w:rsidRPr="0098351B">
        <w:rPr>
          <w:lang w:val="fr-CH"/>
        </w:rPr>
        <w:t>Ces opérations nécessitent des liaisons espace-espace, qui sont plus difficiles à concevoir et à mettre en œuvre que les liaisons espace vers Terre. En effet, aussi bien le système émetteur que le système récepteur sont soumis aux limites des systèmes embarqués à bord d'engins spatiaux (en termes de masse et de puissance) ainsi que, dans la plupart des cas, aux contraintes du contrôle à distance et de non-maintenabilité.</w:t>
      </w:r>
    </w:p>
    <w:p w:rsidR="002E374B" w:rsidRPr="0098351B" w:rsidRDefault="002E374B" w:rsidP="002E374B">
      <w:pPr>
        <w:rPr>
          <w:lang w:val="fr-CH"/>
        </w:rPr>
      </w:pPr>
      <w:r w:rsidRPr="0098351B">
        <w:rPr>
          <w:lang w:val="fr-CH"/>
        </w:rPr>
        <w:t>Pour les systèmes de ce type, la tendance est d'utiliser des schémas de modulation utilisant au mieux la largeur de bande, comme la MDP-2 (inversion de phase) et la MDP-4 (quadrature de phase), complétés de procédés de correction d'erreur directe par codage de type convolutionnel ou par bloc, aussi bien pour augmenter la qualité que pour diminuer la puissance nécessaire du signal. Certains systèmes font appel aux techniques de modulation à spectre étalé afin de réduire la densité de puissance du signal. On utilise aussi, pour mesurer les distances et localiser les engins spatiaux, des techniques (semblables ou identiques aux techniques de modulation à spectre étalé) de modulation en séquences pseudo</w:t>
      </w:r>
      <w:r w:rsidRPr="0098351B">
        <w:rPr>
          <w:lang w:val="fr-CH"/>
        </w:rPr>
        <w:noBreakHyphen/>
        <w:t>aléatoires. Des circuits d'asservissement par verrouillage de phase sont également utilisés pendant les séquences de recherche, d'acquisition et de poursuite.</w:t>
      </w:r>
    </w:p>
    <w:p w:rsidR="002E374B" w:rsidRPr="0098351B" w:rsidRDefault="002E374B" w:rsidP="002E374B">
      <w:pPr>
        <w:pStyle w:val="Heading1"/>
        <w:rPr>
          <w:lang w:val="fr-CH"/>
        </w:rPr>
      </w:pPr>
      <w:r w:rsidRPr="0098351B">
        <w:rPr>
          <w:lang w:val="fr-CH"/>
        </w:rPr>
        <w:t>3</w:t>
      </w:r>
      <w:r w:rsidRPr="0098351B">
        <w:rPr>
          <w:lang w:val="fr-CH"/>
        </w:rPr>
        <w:tab/>
        <w:t>Critères de protection</w:t>
      </w:r>
    </w:p>
    <w:p w:rsidR="002E374B" w:rsidRPr="0098351B" w:rsidRDefault="002E374B" w:rsidP="00F22486">
      <w:pPr>
        <w:rPr>
          <w:lang w:val="fr-CH"/>
        </w:rPr>
      </w:pPr>
      <w:r w:rsidRPr="0098351B">
        <w:rPr>
          <w:lang w:val="fr-CH"/>
        </w:rPr>
        <w:t xml:space="preserve">Dans les liaisons espace vers Terre et Terre vers espace, il y a avantage à minimiser les marges de liaison afin d'économiser la masse et la puissance, de réduire les brouillages et d'améliorer la rentabilité. Dans les liaisons espace-espace, cette incitation est accrue car chaque extrémité de la liaison est embarquée dans l'espace. Une fois que l'on a tenu compte des éventuelles marges nécessaires pour compenser l'effet des intempéries sur la liaison de connexion, les valeurs caractéristiques des marges nominales globales sont généralement proches de 2 à </w:t>
      </w:r>
      <w:r w:rsidR="00F22486">
        <w:rPr>
          <w:lang w:val="fr-CH"/>
        </w:rPr>
        <w:t>4</w:t>
      </w:r>
      <w:r w:rsidRPr="0098351B">
        <w:rPr>
          <w:lang w:val="fr-CH"/>
        </w:rPr>
        <w:t xml:space="preserve"> dB, mais dans certains cas, elles peuvent être de l'ordre de 1 dB. Ces valeurs tiennent compte, dans le cas des satellites relais de données, de la liaison espace-espace qui est associée en tandem à la liaison espace vers Terre ou Terre vers espace (parfois désignée sous le terme «liaison de connexion»). La marge nominale de la liaison espace</w:t>
      </w:r>
      <w:r w:rsidRPr="0098351B">
        <w:rPr>
          <w:lang w:val="fr-CH"/>
        </w:rPr>
        <w:noBreakHyphen/>
        <w:t>espace est souvent le facteur limitant, en raison des contraintes extrêmes du lancement dans l'espace des systèmes d'émission comme de réception, alors qu'on peut toujours augmenter le diamètre d'une antenne de station réceptrice au sol.</w:t>
      </w:r>
    </w:p>
    <w:p w:rsidR="002E374B" w:rsidRPr="0098351B" w:rsidRDefault="002E374B" w:rsidP="00F22486">
      <w:pPr>
        <w:rPr>
          <w:lang w:val="fr-CH"/>
        </w:rPr>
      </w:pPr>
      <w:r w:rsidRPr="0098351B">
        <w:rPr>
          <w:lang w:val="fr-CH"/>
        </w:rPr>
        <w:t xml:space="preserve">Compte tenu de ces faibles marges nominales, des niveaux de brouillage provoquant une réduction </w:t>
      </w:r>
      <w:r w:rsidR="00F22486">
        <w:rPr>
          <w:lang w:val="fr-CH"/>
        </w:rPr>
        <w:t xml:space="preserve">de seulement </w:t>
      </w:r>
      <w:r w:rsidRPr="0098351B">
        <w:rPr>
          <w:lang w:val="fr-CH"/>
        </w:rPr>
        <w:t xml:space="preserve">0,2 dB de la marge de liaison pourraient être préjudiciables pour les liaisons espace-espace. </w:t>
      </w:r>
    </w:p>
    <w:p w:rsidR="002E374B" w:rsidRPr="0098351B" w:rsidRDefault="002E374B" w:rsidP="002E374B">
      <w:pPr>
        <w:rPr>
          <w:lang w:val="fr-CH"/>
        </w:rPr>
      </w:pPr>
      <w:r w:rsidRPr="0098351B">
        <w:rPr>
          <w:lang w:val="fr-CH"/>
        </w:rPr>
        <w:t xml:space="preserve">Dans la plupart des cas cependant, surtout aux fréquences très élevées, ces liaisons ne seront pas affectées en permanence par un brouillage issu d'une seule source au sol car le mouvement de l'engin spatial sur orbite basse modifiera constamment la géométrie de liaison. </w:t>
      </w:r>
    </w:p>
    <w:p w:rsidR="002E374B" w:rsidRPr="0098351B" w:rsidRDefault="002E374B" w:rsidP="002E374B">
      <w:pPr>
        <w:rPr>
          <w:lang w:val="fr-CH"/>
        </w:rPr>
      </w:pPr>
      <w:r w:rsidRPr="0098351B">
        <w:rPr>
          <w:lang w:val="fr-CH"/>
        </w:rPr>
        <w:t>Par ailleurs, les configurations de brouillage qui se reforment à chaque apparition d'une géométrie de liaison spécifique provoquent des problèmes systématiques lors d'observations en temps réel de la surface de la Terre à partir d'un engin spatial sur orbite basse.</w:t>
      </w:r>
    </w:p>
    <w:p w:rsidR="002E374B" w:rsidRPr="0098351B" w:rsidRDefault="002E374B" w:rsidP="002E374B">
      <w:pPr>
        <w:rPr>
          <w:lang w:val="fr-CH"/>
        </w:rPr>
      </w:pPr>
      <w:r w:rsidRPr="0098351B">
        <w:rPr>
          <w:lang w:val="fr-CH"/>
        </w:rPr>
        <w:t>Les niveaux de brouillage préjudiciable pour les liaisons Terre vers espace dépendront de la répartition des marges entre les liaisons Terre vers espace et espace-espace en tandem. La géométrie des liaisons Terre vers espace en direction des satellites relais de données ne varie pas dans le temps.</w:t>
      </w:r>
    </w:p>
    <w:p w:rsidR="002E374B" w:rsidRPr="0098351B" w:rsidRDefault="002E374B" w:rsidP="002E374B">
      <w:pPr>
        <w:rPr>
          <w:lang w:val="fr-CH"/>
        </w:rPr>
      </w:pPr>
      <w:r w:rsidRPr="0098351B">
        <w:rPr>
          <w:lang w:val="fr-CH"/>
        </w:rPr>
        <w:t xml:space="preserve">Dans les analyses qui suivent, on est parti de l'hypothèse d'une réduction de 0,4 dB de la marge de liaison due à un brouillage par source unique, valeur qui a été utilisée dans d'autres cas analogues. Cela correspond à une valeur d'au plus </w:t>
      </w:r>
      <w:r w:rsidRPr="0098351B">
        <w:rPr>
          <w:lang w:val="fr-CH"/>
        </w:rPr>
        <w:noBreakHyphen/>
        <w:t>10 dB du rapport </w:t>
      </w:r>
      <w:r w:rsidRPr="0098351B">
        <w:rPr>
          <w:i/>
          <w:iCs/>
          <w:lang w:val="fr-CH"/>
        </w:rPr>
        <w:t>I/</w:t>
      </w:r>
      <w:r w:rsidRPr="0098351B">
        <w:rPr>
          <w:i/>
          <w:lang w:val="fr-CH"/>
        </w:rPr>
        <w:t>N</w:t>
      </w:r>
      <w:r w:rsidRPr="0098351B">
        <w:rPr>
          <w:lang w:val="fr-CH"/>
        </w:rPr>
        <w:t xml:space="preserve"> nécessaire entre la puissance de brouillage et la puissance de bruit du système dans la largeur de bande de référence.</w:t>
      </w:r>
    </w:p>
    <w:p w:rsidR="002E374B" w:rsidRPr="0098351B" w:rsidRDefault="002E374B" w:rsidP="002E374B">
      <w:pPr>
        <w:pStyle w:val="Heading2"/>
        <w:rPr>
          <w:lang w:val="fr-CH"/>
        </w:rPr>
      </w:pPr>
      <w:r w:rsidRPr="0098351B">
        <w:rPr>
          <w:lang w:val="fr-CH"/>
        </w:rPr>
        <w:lastRenderedPageBreak/>
        <w:t>3.1</w:t>
      </w:r>
      <w:r w:rsidRPr="0098351B">
        <w:rPr>
          <w:lang w:val="fr-CH"/>
        </w:rPr>
        <w:tab/>
        <w:t>Largeur de bande de référence</w:t>
      </w:r>
    </w:p>
    <w:p w:rsidR="002E374B" w:rsidRPr="0098351B" w:rsidRDefault="002E374B" w:rsidP="002E374B">
      <w:pPr>
        <w:rPr>
          <w:lang w:val="fr-CH"/>
        </w:rPr>
      </w:pPr>
      <w:r w:rsidRPr="0098351B">
        <w:rPr>
          <w:lang w:val="fr-CH"/>
        </w:rPr>
        <w:t>Les systèmes utilisent des schémas de modulation directe, de sorte que la largeur de bande de référence dans laquelle il faut spécifier un rapport de protection dépend du plus faible débit de données et de la plus petite largeur de bande du récepteur susceptible d'être employé. Pour les liaisons espace</w:t>
      </w:r>
      <w:r w:rsidRPr="0098351B">
        <w:rPr>
          <w:lang w:val="fr-CH"/>
        </w:rPr>
        <w:noBreakHyphen/>
        <w:t>espace exploitées à des fréquences de la bande des 2 GHz, le débit minimal de données est susceptible d'être proche de 1 kbit/s tandis que dans les bandes de fréquences supérieures, le débit sera d'au moins 1 Mbit/s. Ainsi, la valeur recommandée pour la largeur de bande de référence est de 1 kHz dans la bande des 2 GHz et de 1 MHz dans les bandes supérieures.</w:t>
      </w:r>
    </w:p>
    <w:p w:rsidR="002E374B" w:rsidRPr="0098351B" w:rsidRDefault="002E374B" w:rsidP="002E374B">
      <w:pPr>
        <w:pStyle w:val="Heading2"/>
        <w:rPr>
          <w:lang w:val="fr-CH"/>
        </w:rPr>
      </w:pPr>
      <w:r w:rsidRPr="0098351B">
        <w:rPr>
          <w:lang w:val="fr-CH"/>
        </w:rPr>
        <w:t>3.2</w:t>
      </w:r>
      <w:r w:rsidRPr="0098351B">
        <w:rPr>
          <w:lang w:val="fr-CH"/>
        </w:rPr>
        <w:tab/>
        <w:t>Pourcentage de temps de référence</w:t>
      </w:r>
    </w:p>
    <w:p w:rsidR="002E374B" w:rsidRPr="0098351B" w:rsidRDefault="002E374B" w:rsidP="002E374B">
      <w:pPr>
        <w:rPr>
          <w:lang w:val="fr-CH"/>
        </w:rPr>
      </w:pPr>
      <w:r w:rsidRPr="0098351B">
        <w:rPr>
          <w:lang w:val="fr-CH"/>
        </w:rPr>
        <w:t>Dans les missions habitées, lors de phases critiques comme un rendez-vous et un accostage ou des activités à l'extérieur de l'engin spatial, une perte de communications pendant plus de 5 min peut avoir de graves conséquences pour la mission.</w:t>
      </w:r>
    </w:p>
    <w:p w:rsidR="002E374B" w:rsidRPr="0098351B" w:rsidRDefault="002E374B" w:rsidP="00F22486">
      <w:pPr>
        <w:rPr>
          <w:lang w:val="fr-CH"/>
        </w:rPr>
      </w:pPr>
      <w:r w:rsidRPr="0098351B">
        <w:rPr>
          <w:lang w:val="fr-CH"/>
        </w:rPr>
        <w:t>Dans les missions habitées et non habitées, la référence est de 0,1% du temps. Pour la liaison espace-espace,</w:t>
      </w:r>
      <w:r w:rsidRPr="0098351B" w:rsidDel="001B79AC">
        <w:rPr>
          <w:lang w:val="fr-CH"/>
        </w:rPr>
        <w:t xml:space="preserve"> </w:t>
      </w:r>
      <w:r w:rsidRPr="0098351B">
        <w:rPr>
          <w:lang w:val="fr-CH"/>
        </w:rPr>
        <w:t xml:space="preserve">le pourcentage de temps devrait se rapporter à la période pendant laquelle le satellite utilisateur est visible depuis le satellite relais de données (DRS) correspondant, car c'est la période pendant laquelle les communications ont lieu, et </w:t>
      </w:r>
      <w:r w:rsidR="00F22486">
        <w:rPr>
          <w:lang w:val="fr-CH"/>
        </w:rPr>
        <w:t xml:space="preserve">la réception de </w:t>
      </w:r>
      <w:r w:rsidRPr="0098351B">
        <w:rPr>
          <w:lang w:val="fr-CH"/>
        </w:rPr>
        <w:t>brouillages en dehors de cette période n'a pas d'importance.</w:t>
      </w:r>
    </w:p>
    <w:p w:rsidR="002E374B" w:rsidRPr="0098351B" w:rsidRDefault="002E374B" w:rsidP="002E374B">
      <w:pPr>
        <w:pStyle w:val="Heading2"/>
        <w:rPr>
          <w:lang w:val="fr-CH"/>
        </w:rPr>
      </w:pPr>
      <w:r w:rsidRPr="0098351B">
        <w:rPr>
          <w:lang w:val="fr-CH"/>
        </w:rPr>
        <w:t>3.3</w:t>
      </w:r>
      <w:r w:rsidRPr="0098351B">
        <w:rPr>
          <w:lang w:val="fr-CH"/>
        </w:rPr>
        <w:tab/>
        <w:t>Niveaux de protection requis</w:t>
      </w:r>
    </w:p>
    <w:p w:rsidR="002E374B" w:rsidRPr="0098351B" w:rsidRDefault="002E374B" w:rsidP="002E374B">
      <w:pPr>
        <w:rPr>
          <w:lang w:val="fr-CH"/>
        </w:rPr>
      </w:pPr>
      <w:r w:rsidRPr="0098351B">
        <w:rPr>
          <w:lang w:val="fr-CH"/>
        </w:rPr>
        <w:t>Les communications par l'intermédiaire d'un satellite relais de données mettent en œuvre deux liaisons en série, soit dans le sens «aller» (liaison «de connexion» Terre vers espace en tandem avec une liaison «interorbitale» espace-espace) ou dans le sens «retour» (liaison «interorbitale» espace-espace en tandem avec une liaison «de connexion» espace vers Terre).</w:t>
      </w:r>
    </w:p>
    <w:p w:rsidR="002E374B" w:rsidRPr="0098351B" w:rsidRDefault="002E374B" w:rsidP="002E374B">
      <w:pPr>
        <w:rPr>
          <w:lang w:val="fr-CH"/>
        </w:rPr>
      </w:pPr>
      <w:r w:rsidRPr="0098351B">
        <w:rPr>
          <w:lang w:val="fr-CH"/>
        </w:rPr>
        <w:t>La détermination des niveaux de protection nécessite la prise en compte de la liaison de connexion comme de la liaison interorbitale.</w:t>
      </w:r>
    </w:p>
    <w:p w:rsidR="002E374B" w:rsidRPr="0098351B" w:rsidRDefault="002E374B" w:rsidP="002E374B">
      <w:pPr>
        <w:pStyle w:val="Heading3"/>
        <w:rPr>
          <w:lang w:val="fr-CH"/>
        </w:rPr>
      </w:pPr>
      <w:r w:rsidRPr="0098351B">
        <w:rPr>
          <w:lang w:val="fr-CH"/>
        </w:rPr>
        <w:t>3.3.1</w:t>
      </w:r>
      <w:r w:rsidRPr="0098351B">
        <w:rPr>
          <w:lang w:val="fr-CH"/>
        </w:rPr>
        <w:tab/>
        <w:t>Liaisons espace-espace</w:t>
      </w:r>
    </w:p>
    <w:p w:rsidR="002E374B" w:rsidRPr="0098351B" w:rsidRDefault="002E374B" w:rsidP="003426AD">
      <w:pPr>
        <w:rPr>
          <w:lang w:val="fr-CH"/>
        </w:rPr>
      </w:pPr>
      <w:r w:rsidRPr="0098351B">
        <w:rPr>
          <w:lang w:val="fr-CH"/>
        </w:rPr>
        <w:t xml:space="preserve">La température de bruit totale d'un récepteur type de station spatiale est généralement de 600 K à 2 GHz et atteint 1 200 K à 20 GHz, lorsque l'antenne de l'engin spatial est pointée en direction de la Terre (290 K). Il convient d'utiliser ces valeurs lorsqu'on ne dispose pas des valeurs réelles pour déterminer si le rapport </w:t>
      </w:r>
      <w:r w:rsidRPr="0098351B">
        <w:rPr>
          <w:i/>
          <w:lang w:val="fr-CH"/>
        </w:rPr>
        <w:t>I</w:t>
      </w:r>
      <w:r w:rsidRPr="0098351B">
        <w:rPr>
          <w:lang w:val="fr-CH"/>
        </w:rPr>
        <w:t>/</w:t>
      </w:r>
      <w:r w:rsidRPr="0098351B">
        <w:rPr>
          <w:i/>
          <w:lang w:val="fr-CH"/>
        </w:rPr>
        <w:t>N</w:t>
      </w:r>
      <w:r w:rsidRPr="0098351B">
        <w:rPr>
          <w:lang w:val="fr-CH"/>
        </w:rPr>
        <w:t xml:space="preserve"> nécessaire de </w:t>
      </w:r>
      <w:r w:rsidR="003426AD">
        <w:rPr>
          <w:lang w:val="fr-CH"/>
        </w:rPr>
        <w:t>−</w:t>
      </w:r>
      <w:r w:rsidRPr="0098351B">
        <w:rPr>
          <w:lang w:val="fr-CH"/>
        </w:rPr>
        <w:t>10 dB est respecté.</w:t>
      </w:r>
    </w:p>
    <w:p w:rsidR="002E374B" w:rsidRPr="0098351B" w:rsidRDefault="002E374B" w:rsidP="002E374B">
      <w:pPr>
        <w:rPr>
          <w:lang w:val="fr-CH"/>
        </w:rPr>
      </w:pPr>
      <w:r w:rsidRPr="0098351B">
        <w:rPr>
          <w:lang w:val="fr-CH"/>
        </w:rPr>
        <w:t>La contribution de bruit apportée par la liaison de connexion dans le sens aller est faible en raison du gain de transmission négatif des satellites relais de données. On n'en a donc pas tenu compte.</w:t>
      </w:r>
    </w:p>
    <w:p w:rsidR="002E374B" w:rsidRPr="0098351B" w:rsidRDefault="002E374B" w:rsidP="002E374B">
      <w:pPr>
        <w:pStyle w:val="Heading3"/>
        <w:rPr>
          <w:lang w:val="fr-CH"/>
        </w:rPr>
      </w:pPr>
      <w:r w:rsidRPr="0098351B">
        <w:rPr>
          <w:lang w:val="fr-CH"/>
        </w:rPr>
        <w:t>3.3.2</w:t>
      </w:r>
      <w:r w:rsidRPr="0098351B">
        <w:rPr>
          <w:lang w:val="fr-CH"/>
        </w:rPr>
        <w:tab/>
        <w:t>Liaisons satellite DRS vers Terre et Terre vers satellite DRS</w:t>
      </w:r>
    </w:p>
    <w:p w:rsidR="002E374B" w:rsidRPr="0098351B" w:rsidRDefault="002E374B" w:rsidP="003426AD">
      <w:pPr>
        <w:rPr>
          <w:lang w:val="fr-CH"/>
        </w:rPr>
      </w:pPr>
      <w:r w:rsidRPr="0098351B">
        <w:rPr>
          <w:lang w:val="fr-CH"/>
        </w:rPr>
        <w:t xml:space="preserve">Le Tableau 2 montre l'interaction entre les </w:t>
      </w:r>
      <w:r w:rsidR="00F22486">
        <w:rPr>
          <w:lang w:val="fr-CH"/>
        </w:rPr>
        <w:t xml:space="preserve">deux </w:t>
      </w:r>
      <w:r w:rsidRPr="0098351B">
        <w:rPr>
          <w:lang w:val="fr-CH"/>
        </w:rPr>
        <w:t>parties de la liaison globale de bout</w:t>
      </w:r>
      <w:r w:rsidR="00F22486">
        <w:rPr>
          <w:lang w:val="fr-CH"/>
        </w:rPr>
        <w:t xml:space="preserve"> en </w:t>
      </w:r>
      <w:r w:rsidRPr="0098351B">
        <w:rPr>
          <w:lang w:val="fr-CH"/>
        </w:rPr>
        <w:t>bout, à la fois pour les liaisons retour et pour les liaisons aller, et pour différentes bandes de fréquences. Les marges de liaison sont des valeurs caractéristiq</w:t>
      </w:r>
      <w:r w:rsidR="00F22486">
        <w:rPr>
          <w:lang w:val="fr-CH"/>
        </w:rPr>
        <w:t>ues des liaisons de systèmes utilisés aux</w:t>
      </w:r>
      <w:r w:rsidRPr="0098351B">
        <w:rPr>
          <w:lang w:val="fr-CH"/>
        </w:rPr>
        <w:t xml:space="preserve"> </w:t>
      </w:r>
      <w:r w:rsidR="00414EFC">
        <w:rPr>
          <w:lang w:val="fr-CH"/>
        </w:rPr>
        <w:t>E</w:t>
      </w:r>
      <w:r w:rsidRPr="0098351B">
        <w:rPr>
          <w:lang w:val="fr-CH"/>
        </w:rPr>
        <w:t xml:space="preserve">tats-Unis d'Amérique. </w:t>
      </w:r>
      <w:r w:rsidR="00414EFC">
        <w:rPr>
          <w:lang w:val="fr-CH"/>
        </w:rPr>
        <w:t>E</w:t>
      </w:r>
      <w:r w:rsidRPr="0098351B">
        <w:rPr>
          <w:lang w:val="fr-CH"/>
        </w:rPr>
        <w:t xml:space="preserve">tant donné que les liaisons sont généralement de type </w:t>
      </w:r>
      <w:r w:rsidR="003426AD" w:rsidRPr="0098351B">
        <w:rPr>
          <w:lang w:val="fr-CH"/>
        </w:rPr>
        <w:t>«</w:t>
      </w:r>
      <w:r w:rsidRPr="0098351B">
        <w:rPr>
          <w:lang w:val="fr-CH"/>
        </w:rPr>
        <w:t>bent-pipe</w:t>
      </w:r>
      <w:r w:rsidR="003426AD" w:rsidRPr="0098351B">
        <w:rPr>
          <w:lang w:val="fr-CH"/>
        </w:rPr>
        <w:t>»</w:t>
      </w:r>
      <w:r w:rsidRPr="0098351B">
        <w:rPr>
          <w:lang w:val="fr-CH"/>
        </w:rPr>
        <w:t xml:space="preserve"> – il n'y a pas de traitement à bord du satellite DRS – le bruit est additif, de sorte que la marge de liaison globale est déterminée par la combinaison en cascade des différentes marges de liaison. Dans certains cas, les deux liaisons ont des marges analogues (p.ex. retour 15 GHz/13 GHz), de sorte que les deux liaisons présentent une sensibilité équivalente au bruit. Dans d'autres cas, la liaison espace-espace a une marge nettement plus faible que la liaison de connexion (p.ex. retour 2 GHz /13 GHz, aller 15 GHz/13 GHz), de sorte que la première est nettement plus sensible au bruit. </w:t>
      </w:r>
      <w:r w:rsidR="00F22486">
        <w:rPr>
          <w:lang w:val="fr-CH"/>
        </w:rPr>
        <w:t xml:space="preserve">Cela signifie qu'on peut tolérer </w:t>
      </w:r>
      <w:r w:rsidRPr="0098351B">
        <w:rPr>
          <w:lang w:val="fr-CH"/>
        </w:rPr>
        <w:t xml:space="preserve">davantage de brouillages sur </w:t>
      </w:r>
      <w:r>
        <w:rPr>
          <w:lang w:val="fr-CH"/>
        </w:rPr>
        <w:t>le</w:t>
      </w:r>
      <w:r w:rsidRPr="0098351B">
        <w:rPr>
          <w:lang w:val="fr-CH"/>
        </w:rPr>
        <w:t>s</w:t>
      </w:r>
      <w:r>
        <w:rPr>
          <w:lang w:val="fr-CH"/>
        </w:rPr>
        <w:t xml:space="preserve"> </w:t>
      </w:r>
      <w:r w:rsidRPr="0098351B">
        <w:rPr>
          <w:lang w:val="fr-CH"/>
        </w:rPr>
        <w:t xml:space="preserve">liaisons de connexion, et le critère </w:t>
      </w:r>
      <w:r w:rsidRPr="0098351B">
        <w:rPr>
          <w:i/>
          <w:iCs/>
          <w:lang w:val="fr-CH"/>
        </w:rPr>
        <w:t>I</w:t>
      </w:r>
      <w:r w:rsidRPr="0098351B">
        <w:rPr>
          <w:lang w:val="fr-CH"/>
        </w:rPr>
        <w:t>/</w:t>
      </w:r>
      <w:r w:rsidRPr="0098351B">
        <w:rPr>
          <w:i/>
          <w:iCs/>
          <w:lang w:val="fr-CH"/>
        </w:rPr>
        <w:t>N</w:t>
      </w:r>
      <w:r w:rsidRPr="0098351B">
        <w:rPr>
          <w:lang w:val="fr-CH"/>
        </w:rPr>
        <w:t xml:space="preserve"> est </w:t>
      </w:r>
      <w:r w:rsidR="00F22486">
        <w:rPr>
          <w:lang w:val="fr-CH"/>
        </w:rPr>
        <w:t xml:space="preserve">donc </w:t>
      </w:r>
      <w:r w:rsidRPr="0098351B">
        <w:rPr>
          <w:lang w:val="fr-CH"/>
        </w:rPr>
        <w:t>assoupli à –6 dB pour ces liaisons.</w:t>
      </w:r>
    </w:p>
    <w:p w:rsidR="002E374B" w:rsidRPr="0098351B" w:rsidRDefault="002E374B" w:rsidP="002E374B">
      <w:pPr>
        <w:pStyle w:val="TableNo"/>
        <w:rPr>
          <w:lang w:val="fr-CH"/>
        </w:rPr>
      </w:pPr>
      <w:r w:rsidRPr="0098351B">
        <w:rPr>
          <w:lang w:val="fr-CH"/>
        </w:rPr>
        <w:lastRenderedPageBreak/>
        <w:t>TABLEAU 2</w:t>
      </w:r>
    </w:p>
    <w:p w:rsidR="002E374B" w:rsidRPr="0098351B" w:rsidRDefault="002E374B" w:rsidP="002E374B">
      <w:pPr>
        <w:pStyle w:val="Tabletitle"/>
        <w:rPr>
          <w:lang w:val="fr-CH"/>
        </w:rPr>
      </w:pPr>
      <w:r w:rsidRPr="0098351B">
        <w:rPr>
          <w:lang w:val="fr-CH"/>
        </w:rPr>
        <w:t>Brouillages reçus par un satellite relais de données</w:t>
      </w:r>
    </w:p>
    <w:tbl>
      <w:tblPr>
        <w:tblW w:w="9639" w:type="dxa"/>
        <w:jc w:val="center"/>
        <w:tblLayout w:type="fixed"/>
        <w:tblLook w:val="0000" w:firstRow="0" w:lastRow="0" w:firstColumn="0" w:lastColumn="0" w:noHBand="0" w:noVBand="0"/>
      </w:tblPr>
      <w:tblGrid>
        <w:gridCol w:w="1985"/>
        <w:gridCol w:w="2268"/>
        <w:gridCol w:w="1346"/>
        <w:gridCol w:w="1347"/>
        <w:gridCol w:w="1346"/>
        <w:gridCol w:w="1347"/>
      </w:tblGrid>
      <w:tr w:rsidR="002E374B" w:rsidRPr="0098351B" w:rsidTr="009B67AF">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Liaison retour</w:t>
            </w: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Bande →</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2/13</w:t>
            </w:r>
          </w:p>
        </w:tc>
        <w:tc>
          <w:tcPr>
            <w:tcW w:w="2693" w:type="dxa"/>
            <w:gridSpan w:val="2"/>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head"/>
              <w:rPr>
                <w:lang w:val="fr-CH"/>
              </w:rPr>
            </w:pPr>
            <w:r w:rsidRPr="0098351B">
              <w:rPr>
                <w:lang w:val="fr-CH"/>
              </w:rPr>
              <w:t>15/13</w:t>
            </w:r>
          </w:p>
        </w:tc>
      </w:tr>
      <w:tr w:rsidR="002E374B" w:rsidRPr="0098351B" w:rsidTr="009B67AF">
        <w:trPr>
          <w:cantSplit/>
          <w:jc w:val="center"/>
        </w:trPr>
        <w:tc>
          <w:tcPr>
            <w:tcW w:w="1985" w:type="dxa"/>
            <w:vMerge w:val="restart"/>
            <w:tcBorders>
              <w:top w:val="single" w:sz="6" w:space="0" w:color="auto"/>
              <w:left w:val="single" w:sz="6" w:space="0" w:color="auto"/>
              <w:right w:val="single" w:sz="6" w:space="0" w:color="auto"/>
            </w:tcBorders>
          </w:tcPr>
          <w:p w:rsidR="002E374B" w:rsidRPr="0098351B" w:rsidRDefault="002E374B" w:rsidP="009B67AF">
            <w:pPr>
              <w:pStyle w:val="Tabletext"/>
              <w:keepNext/>
              <w:keepLines/>
              <w:jc w:val="left"/>
              <w:rPr>
                <w:lang w:val="fr-CH"/>
              </w:rPr>
            </w:pPr>
            <w:r w:rsidRPr="0098351B">
              <w:rPr>
                <w:lang w:val="fr-CH"/>
              </w:rPr>
              <w:t>Liaison utilisateur vers satellite DRS</w:t>
            </w: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Marg</w:t>
            </w:r>
            <w:r w:rsidR="0068211B">
              <w:rPr>
                <w:lang w:val="fr-CH"/>
              </w:rPr>
              <w:t>e au niveau du</w:t>
            </w:r>
            <w:r w:rsidRPr="0098351B">
              <w:rPr>
                <w:lang w:val="fr-CH"/>
              </w:rPr>
              <w:t xml:space="preserve"> satellite TDRS (dB)</w:t>
            </w:r>
          </w:p>
        </w:tc>
        <w:tc>
          <w:tcPr>
            <w:tcW w:w="1346"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right"/>
              <w:rPr>
                <w:lang w:val="fr-CH"/>
              </w:rPr>
            </w:pPr>
            <w:r w:rsidRPr="0098351B">
              <w:rPr>
                <w:lang w:val="fr-CH"/>
              </w:rPr>
              <w:t>4,01</w:t>
            </w:r>
          </w:p>
        </w:tc>
        <w:tc>
          <w:tcPr>
            <w:tcW w:w="134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right"/>
              <w:rPr>
                <w:lang w:val="fr-CH"/>
              </w:rPr>
            </w:pPr>
            <w:r w:rsidRPr="0098351B">
              <w:rPr>
                <w:lang w:val="fr-CH"/>
              </w:rPr>
              <w:t>4,01</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3,31</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3,31</w:t>
            </w:r>
          </w:p>
        </w:tc>
      </w:tr>
      <w:tr w:rsidR="002E374B" w:rsidRPr="0098351B" w:rsidTr="009B67AF">
        <w:trPr>
          <w:cantSplit/>
          <w:jc w:val="center"/>
        </w:trPr>
        <w:tc>
          <w:tcPr>
            <w:tcW w:w="1985" w:type="dxa"/>
            <w:vMerge/>
            <w:tcBorders>
              <w:left w:val="single" w:sz="6" w:space="0" w:color="auto"/>
              <w:right w:val="single" w:sz="6" w:space="0" w:color="auto"/>
            </w:tcBorders>
          </w:tcPr>
          <w:p w:rsidR="002E374B" w:rsidRPr="0098351B" w:rsidRDefault="002E374B" w:rsidP="009B67AF">
            <w:pPr>
              <w:pStyle w:val="Tabletext"/>
              <w:keepNext/>
              <w:keepLines/>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0,40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0,00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0,40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0,00</w:t>
            </w:r>
          </w:p>
        </w:tc>
      </w:tr>
      <w:tr w:rsidR="002E374B" w:rsidRPr="0098351B" w:rsidTr="009B67AF">
        <w:trPr>
          <w:cantSplit/>
          <w:jc w:val="center"/>
        </w:trPr>
        <w:tc>
          <w:tcPr>
            <w:tcW w:w="1985" w:type="dxa"/>
            <w:vMerge/>
            <w:tcBorders>
              <w:left w:val="single" w:sz="6" w:space="0" w:color="auto"/>
              <w:bottom w:val="single" w:sz="6" w:space="0" w:color="auto"/>
              <w:right w:val="single" w:sz="6" w:space="0" w:color="auto"/>
            </w:tcBorders>
          </w:tcPr>
          <w:p w:rsidR="002E374B" w:rsidRPr="0098351B" w:rsidRDefault="002E374B" w:rsidP="009B67AF">
            <w:pPr>
              <w:pStyle w:val="Tabletext"/>
              <w:keepNext/>
              <w:keepLines/>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Marge au niveau du satellite TDRS – 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3,61</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4,01</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2,91</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3,31</w:t>
            </w:r>
          </w:p>
        </w:tc>
      </w:tr>
      <w:tr w:rsidR="002E374B" w:rsidRPr="0098351B" w:rsidTr="009B67AF">
        <w:trPr>
          <w:cantSplit/>
          <w:jc w:val="center"/>
        </w:trPr>
        <w:tc>
          <w:tcPr>
            <w:tcW w:w="1985" w:type="dxa"/>
            <w:vMerge w:val="restart"/>
            <w:tcBorders>
              <w:top w:val="single" w:sz="6" w:space="0" w:color="auto"/>
              <w:left w:val="single" w:sz="6" w:space="0" w:color="auto"/>
              <w:right w:val="single" w:sz="6" w:space="0" w:color="auto"/>
            </w:tcBorders>
          </w:tcPr>
          <w:p w:rsidR="002E374B" w:rsidRPr="0098351B" w:rsidRDefault="002E374B" w:rsidP="009B67AF">
            <w:pPr>
              <w:pStyle w:val="Tabletext"/>
              <w:keepNext/>
              <w:keepLines/>
              <w:jc w:val="left"/>
              <w:rPr>
                <w:lang w:val="fr-CH"/>
              </w:rPr>
            </w:pPr>
            <w:r w:rsidRPr="0098351B">
              <w:rPr>
                <w:lang w:val="fr-CH"/>
              </w:rPr>
              <w:t>Liaison satellite DRS vers Terre</w:t>
            </w: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Marge au niveau de la Terre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50,30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50,30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4,45</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4,45</w:t>
            </w:r>
          </w:p>
        </w:tc>
      </w:tr>
      <w:tr w:rsidR="002E374B" w:rsidRPr="0098351B" w:rsidTr="009B67AF">
        <w:trPr>
          <w:cantSplit/>
          <w:jc w:val="center"/>
        </w:trPr>
        <w:tc>
          <w:tcPr>
            <w:tcW w:w="1985" w:type="dxa"/>
            <w:vMerge/>
            <w:tcBorders>
              <w:left w:val="single" w:sz="6" w:space="0" w:color="auto"/>
              <w:right w:val="single" w:sz="6" w:space="0" w:color="auto"/>
            </w:tcBorders>
          </w:tcPr>
          <w:p w:rsidR="002E374B" w:rsidRPr="0098351B" w:rsidRDefault="002E374B" w:rsidP="009B67AF">
            <w:pPr>
              <w:pStyle w:val="Tabletext"/>
              <w:keepNext/>
              <w:keepLines/>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0,00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1,00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0,00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1,00</w:t>
            </w:r>
          </w:p>
        </w:tc>
      </w:tr>
      <w:tr w:rsidR="002E374B" w:rsidRPr="0098351B" w:rsidTr="009B67AF">
        <w:trPr>
          <w:cantSplit/>
          <w:jc w:val="center"/>
        </w:trPr>
        <w:tc>
          <w:tcPr>
            <w:tcW w:w="1985" w:type="dxa"/>
            <w:vMerge/>
            <w:tcBorders>
              <w:left w:val="single" w:sz="6" w:space="0" w:color="auto"/>
              <w:bottom w:val="single" w:sz="6" w:space="0" w:color="auto"/>
              <w:right w:val="single" w:sz="6" w:space="0" w:color="auto"/>
            </w:tcBorders>
          </w:tcPr>
          <w:p w:rsidR="002E374B" w:rsidRPr="0098351B" w:rsidRDefault="002E374B" w:rsidP="009B67AF">
            <w:pPr>
              <w:pStyle w:val="Tabletext"/>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Marge au niveau de la Terre – 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50,30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49,30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4,45</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3,45</w:t>
            </w:r>
          </w:p>
        </w:tc>
      </w:tr>
      <w:tr w:rsidR="002E374B" w:rsidRPr="0098351B" w:rsidTr="009B67AF">
        <w:trPr>
          <w:cantSplit/>
          <w:jc w:val="center"/>
        </w:trPr>
        <w:tc>
          <w:tcPr>
            <w:tcW w:w="1985" w:type="dxa"/>
            <w:vMerge w:val="restart"/>
            <w:tcBorders>
              <w:top w:val="single" w:sz="6" w:space="0" w:color="auto"/>
              <w:left w:val="single" w:sz="6" w:space="0" w:color="auto"/>
              <w:right w:val="single" w:sz="6" w:space="0" w:color="auto"/>
            </w:tcBorders>
          </w:tcPr>
          <w:p w:rsidR="002E374B" w:rsidRPr="0098351B" w:rsidRDefault="002E374B" w:rsidP="009B67AF">
            <w:pPr>
              <w:pStyle w:val="Tabletext"/>
              <w:jc w:val="left"/>
              <w:rPr>
                <w:lang w:val="fr-CH"/>
              </w:rPr>
            </w:pPr>
            <w:r w:rsidRPr="0098351B">
              <w:rPr>
                <w:lang w:val="fr-CH"/>
              </w:rPr>
              <w:t>Liaison de bout en bout</w:t>
            </w: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Marge totale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4,01</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4,01</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0,83</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0,83</w:t>
            </w:r>
          </w:p>
        </w:tc>
      </w:tr>
      <w:tr w:rsidR="002E374B" w:rsidRPr="0098351B" w:rsidTr="009B67AF">
        <w:trPr>
          <w:cantSplit/>
          <w:jc w:val="center"/>
        </w:trPr>
        <w:tc>
          <w:tcPr>
            <w:tcW w:w="1985" w:type="dxa"/>
            <w:vMerge/>
            <w:tcBorders>
              <w:left w:val="single" w:sz="6" w:space="0" w:color="auto"/>
              <w:right w:val="single" w:sz="6" w:space="0" w:color="auto"/>
            </w:tcBorders>
          </w:tcPr>
          <w:p w:rsidR="002E374B" w:rsidRPr="0098351B" w:rsidRDefault="002E374B" w:rsidP="009B67AF">
            <w:pPr>
              <w:pStyle w:val="Tabletext"/>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0,40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0,23</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0,46</w:t>
            </w:r>
          </w:p>
        </w:tc>
      </w:tr>
      <w:tr w:rsidR="002E374B" w:rsidRPr="0098351B" w:rsidTr="009B67AF">
        <w:trPr>
          <w:cantSplit/>
          <w:jc w:val="center"/>
        </w:trPr>
        <w:tc>
          <w:tcPr>
            <w:tcW w:w="1985" w:type="dxa"/>
            <w:vMerge/>
            <w:tcBorders>
              <w:left w:val="single" w:sz="6" w:space="0" w:color="auto"/>
              <w:bottom w:val="single" w:sz="6" w:space="0" w:color="auto"/>
              <w:right w:val="single" w:sz="6" w:space="0" w:color="auto"/>
            </w:tcBorders>
          </w:tcPr>
          <w:p w:rsidR="002E374B" w:rsidRPr="0098351B" w:rsidRDefault="002E374B" w:rsidP="009B67AF">
            <w:pPr>
              <w:pStyle w:val="Tabletext"/>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Marge totale – 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3,61</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4,01</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0,60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0,37</w:t>
            </w:r>
          </w:p>
        </w:tc>
      </w:tr>
      <w:tr w:rsidR="002E374B" w:rsidRPr="0098351B" w:rsidTr="009B67AF">
        <w:trPr>
          <w:cantSplit/>
          <w:jc w:val="center"/>
        </w:trPr>
        <w:tc>
          <w:tcPr>
            <w:tcW w:w="1985" w:type="dxa"/>
            <w:tcBorders>
              <w:top w:val="single" w:sz="6" w:space="0" w:color="auto"/>
              <w:bottom w:val="single" w:sz="6" w:space="0" w:color="auto"/>
            </w:tcBorders>
          </w:tcPr>
          <w:p w:rsidR="002E374B" w:rsidRPr="0098351B" w:rsidRDefault="002E374B" w:rsidP="009B67AF">
            <w:pPr>
              <w:pStyle w:val="Tabletext"/>
              <w:jc w:val="left"/>
              <w:rPr>
                <w:lang w:val="fr-CH"/>
              </w:rPr>
            </w:pPr>
          </w:p>
        </w:tc>
        <w:tc>
          <w:tcPr>
            <w:tcW w:w="2268" w:type="dxa"/>
            <w:tcBorders>
              <w:top w:val="single" w:sz="6" w:space="0" w:color="auto"/>
              <w:bottom w:val="single" w:sz="6" w:space="0" w:color="auto"/>
            </w:tcBorders>
            <w:vAlign w:val="center"/>
          </w:tcPr>
          <w:p w:rsidR="002E374B" w:rsidRPr="0098351B" w:rsidRDefault="002E374B" w:rsidP="009B67AF">
            <w:pPr>
              <w:pStyle w:val="Tabletext"/>
              <w:jc w:val="left"/>
              <w:rPr>
                <w:lang w:val="fr-CH"/>
              </w:rPr>
            </w:pPr>
          </w:p>
        </w:tc>
        <w:tc>
          <w:tcPr>
            <w:tcW w:w="1346" w:type="dxa"/>
            <w:tcBorders>
              <w:top w:val="single" w:sz="6" w:space="0" w:color="auto"/>
              <w:bottom w:val="single" w:sz="6" w:space="0" w:color="auto"/>
            </w:tcBorders>
          </w:tcPr>
          <w:p w:rsidR="002E374B" w:rsidRPr="0098351B" w:rsidRDefault="002E374B" w:rsidP="009B67AF">
            <w:pPr>
              <w:pStyle w:val="Tabletext"/>
              <w:jc w:val="right"/>
              <w:rPr>
                <w:lang w:val="fr-CH"/>
              </w:rPr>
            </w:pPr>
          </w:p>
        </w:tc>
        <w:tc>
          <w:tcPr>
            <w:tcW w:w="1347" w:type="dxa"/>
            <w:tcBorders>
              <w:top w:val="single" w:sz="6" w:space="0" w:color="auto"/>
              <w:bottom w:val="single" w:sz="6" w:space="0" w:color="auto"/>
            </w:tcBorders>
          </w:tcPr>
          <w:p w:rsidR="002E374B" w:rsidRPr="0098351B" w:rsidRDefault="002E374B" w:rsidP="009B67AF">
            <w:pPr>
              <w:pStyle w:val="Tabletext"/>
              <w:jc w:val="right"/>
              <w:rPr>
                <w:lang w:val="fr-CH"/>
              </w:rPr>
            </w:pPr>
          </w:p>
        </w:tc>
        <w:tc>
          <w:tcPr>
            <w:tcW w:w="1346" w:type="dxa"/>
            <w:tcBorders>
              <w:top w:val="single" w:sz="6" w:space="0" w:color="auto"/>
              <w:bottom w:val="single" w:sz="6" w:space="0" w:color="auto"/>
            </w:tcBorders>
          </w:tcPr>
          <w:p w:rsidR="002E374B" w:rsidRPr="0098351B" w:rsidRDefault="002E374B" w:rsidP="009B67AF">
            <w:pPr>
              <w:pStyle w:val="Tabletext"/>
              <w:jc w:val="right"/>
              <w:rPr>
                <w:lang w:val="fr-CH"/>
              </w:rPr>
            </w:pPr>
          </w:p>
        </w:tc>
        <w:tc>
          <w:tcPr>
            <w:tcW w:w="1347" w:type="dxa"/>
            <w:tcBorders>
              <w:top w:val="single" w:sz="6" w:space="0" w:color="auto"/>
              <w:bottom w:val="single" w:sz="6" w:space="0" w:color="auto"/>
            </w:tcBorders>
          </w:tcPr>
          <w:p w:rsidR="002E374B" w:rsidRPr="0098351B" w:rsidRDefault="002E374B" w:rsidP="009B67AF">
            <w:pPr>
              <w:pStyle w:val="Tabletext"/>
              <w:jc w:val="right"/>
              <w:rPr>
                <w:lang w:val="fr-CH"/>
              </w:rPr>
            </w:pPr>
          </w:p>
        </w:tc>
      </w:tr>
      <w:tr w:rsidR="002E374B" w:rsidRPr="0098351B" w:rsidTr="009B67AF">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Liaison aller</w:t>
            </w: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Bande →</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15/2</w:t>
            </w:r>
          </w:p>
        </w:tc>
        <w:tc>
          <w:tcPr>
            <w:tcW w:w="2693" w:type="dxa"/>
            <w:gridSpan w:val="2"/>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head"/>
              <w:rPr>
                <w:lang w:val="fr-CH"/>
              </w:rPr>
            </w:pPr>
            <w:r w:rsidRPr="0098351B">
              <w:rPr>
                <w:lang w:val="fr-CH"/>
              </w:rPr>
              <w:t>15/13</w:t>
            </w:r>
          </w:p>
        </w:tc>
      </w:tr>
      <w:tr w:rsidR="002E374B" w:rsidRPr="0098351B" w:rsidTr="009B67AF">
        <w:trPr>
          <w:cantSplit/>
          <w:jc w:val="center"/>
        </w:trPr>
        <w:tc>
          <w:tcPr>
            <w:tcW w:w="1985" w:type="dxa"/>
            <w:vMerge w:val="restart"/>
            <w:tcBorders>
              <w:top w:val="single" w:sz="6" w:space="0" w:color="auto"/>
              <w:left w:val="single" w:sz="6" w:space="0" w:color="auto"/>
              <w:right w:val="single" w:sz="6" w:space="0" w:color="auto"/>
            </w:tcBorders>
          </w:tcPr>
          <w:p w:rsidR="002E374B" w:rsidRPr="0098351B" w:rsidRDefault="002E374B" w:rsidP="009B67AF">
            <w:pPr>
              <w:pStyle w:val="Tabletext"/>
              <w:rPr>
                <w:lang w:val="fr-CH"/>
              </w:rPr>
            </w:pPr>
            <w:r w:rsidRPr="0098351B">
              <w:rPr>
                <w:lang w:val="fr-CH"/>
              </w:rPr>
              <w:t>Liaison Terre vers satellite DRS</w:t>
            </w: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68211B" w:rsidP="009B67AF">
            <w:pPr>
              <w:pStyle w:val="Tabletext"/>
              <w:keepNext/>
              <w:keepLines/>
              <w:jc w:val="left"/>
              <w:rPr>
                <w:lang w:val="fr-CH"/>
              </w:rPr>
            </w:pPr>
            <w:r>
              <w:rPr>
                <w:lang w:val="fr-CH"/>
              </w:rPr>
              <w:t xml:space="preserve">Marge au niveau du </w:t>
            </w:r>
            <w:r w:rsidR="002E374B" w:rsidRPr="0098351B">
              <w:rPr>
                <w:lang w:val="fr-CH"/>
              </w:rPr>
              <w:t>satellite TDRS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35,04</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35,04</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23,63</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23,63</w:t>
            </w:r>
          </w:p>
        </w:tc>
      </w:tr>
      <w:tr w:rsidR="002E374B" w:rsidRPr="0098351B" w:rsidTr="009B67AF">
        <w:trPr>
          <w:cantSplit/>
          <w:jc w:val="center"/>
        </w:trPr>
        <w:tc>
          <w:tcPr>
            <w:tcW w:w="1985" w:type="dxa"/>
            <w:vMerge/>
            <w:tcBorders>
              <w:left w:val="single" w:sz="6" w:space="0" w:color="auto"/>
              <w:right w:val="single" w:sz="6" w:space="0" w:color="auto"/>
            </w:tcBorders>
          </w:tcPr>
          <w:p w:rsidR="002E374B" w:rsidRPr="0098351B" w:rsidRDefault="002E374B" w:rsidP="009B67AF">
            <w:pPr>
              <w:pStyle w:val="Tabletext"/>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1,00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1,00</w:t>
            </w:r>
          </w:p>
        </w:tc>
      </w:tr>
      <w:tr w:rsidR="002E374B" w:rsidRPr="0098351B" w:rsidTr="009B67AF">
        <w:trPr>
          <w:cantSplit/>
          <w:jc w:val="center"/>
        </w:trPr>
        <w:tc>
          <w:tcPr>
            <w:tcW w:w="1985" w:type="dxa"/>
            <w:vMerge/>
            <w:tcBorders>
              <w:left w:val="single" w:sz="6" w:space="0" w:color="auto"/>
              <w:bottom w:val="single" w:sz="6" w:space="0" w:color="auto"/>
              <w:right w:val="single" w:sz="6" w:space="0" w:color="auto"/>
            </w:tcBorders>
          </w:tcPr>
          <w:p w:rsidR="002E374B" w:rsidRPr="0098351B" w:rsidRDefault="002E374B" w:rsidP="009B67AF">
            <w:pPr>
              <w:pStyle w:val="Tabletext"/>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Marge au niveau du satellite TDRS – 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35,04</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34,04</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23,63</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22,63</w:t>
            </w:r>
          </w:p>
        </w:tc>
      </w:tr>
      <w:tr w:rsidR="002E374B" w:rsidRPr="0098351B" w:rsidTr="009B67AF">
        <w:trPr>
          <w:cantSplit/>
          <w:jc w:val="center"/>
        </w:trPr>
        <w:tc>
          <w:tcPr>
            <w:tcW w:w="1985" w:type="dxa"/>
            <w:vMerge w:val="restart"/>
            <w:tcBorders>
              <w:top w:val="single" w:sz="6" w:space="0" w:color="auto"/>
              <w:left w:val="single" w:sz="6" w:space="0" w:color="auto"/>
              <w:right w:val="single" w:sz="6" w:space="0" w:color="auto"/>
            </w:tcBorders>
          </w:tcPr>
          <w:p w:rsidR="002E374B" w:rsidRPr="0098351B" w:rsidRDefault="002E374B" w:rsidP="009B67AF">
            <w:pPr>
              <w:pStyle w:val="Tabletext"/>
              <w:jc w:val="left"/>
              <w:rPr>
                <w:lang w:val="fr-CH"/>
              </w:rPr>
            </w:pPr>
            <w:r w:rsidRPr="0098351B">
              <w:rPr>
                <w:lang w:val="fr-CH"/>
              </w:rPr>
              <w:t>Liaison satellite DRS vers utilisateur</w:t>
            </w: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Marge au niveau de l'utilisateur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3,90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3,90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w:t>
            </w:r>
          </w:p>
        </w:tc>
      </w:tr>
      <w:tr w:rsidR="002E374B" w:rsidRPr="0098351B" w:rsidTr="009B67AF">
        <w:trPr>
          <w:cantSplit/>
          <w:jc w:val="center"/>
        </w:trPr>
        <w:tc>
          <w:tcPr>
            <w:tcW w:w="1985" w:type="dxa"/>
            <w:vMerge/>
            <w:tcBorders>
              <w:left w:val="single" w:sz="6" w:space="0" w:color="auto"/>
              <w:right w:val="single" w:sz="6" w:space="0" w:color="auto"/>
            </w:tcBorders>
          </w:tcPr>
          <w:p w:rsidR="002E374B" w:rsidRPr="0098351B" w:rsidRDefault="002E374B" w:rsidP="009B67AF">
            <w:pPr>
              <w:pStyle w:val="Tabletext"/>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0,40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0,40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0,00</w:t>
            </w:r>
          </w:p>
        </w:tc>
      </w:tr>
      <w:tr w:rsidR="002E374B" w:rsidRPr="0098351B" w:rsidTr="009B67AF">
        <w:trPr>
          <w:cantSplit/>
          <w:jc w:val="center"/>
        </w:trPr>
        <w:tc>
          <w:tcPr>
            <w:tcW w:w="1985" w:type="dxa"/>
            <w:vMerge/>
            <w:tcBorders>
              <w:left w:val="single" w:sz="6" w:space="0" w:color="auto"/>
              <w:bottom w:val="single" w:sz="6" w:space="0" w:color="auto"/>
              <w:right w:val="single" w:sz="6" w:space="0" w:color="auto"/>
            </w:tcBorders>
          </w:tcPr>
          <w:p w:rsidR="002E374B" w:rsidRPr="0098351B" w:rsidRDefault="002E374B" w:rsidP="009B67AF">
            <w:pPr>
              <w:pStyle w:val="Tabletext"/>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Marge au niveau de l'utilisateur – 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3,90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3,10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w:t>
            </w:r>
          </w:p>
        </w:tc>
      </w:tr>
      <w:tr w:rsidR="002E374B" w:rsidRPr="0098351B" w:rsidTr="009B67AF">
        <w:trPr>
          <w:cantSplit/>
          <w:jc w:val="center"/>
        </w:trPr>
        <w:tc>
          <w:tcPr>
            <w:tcW w:w="1985" w:type="dxa"/>
            <w:tcBorders>
              <w:top w:val="single" w:sz="6" w:space="0" w:color="auto"/>
              <w:left w:val="single" w:sz="6" w:space="0" w:color="auto"/>
              <w:right w:val="single" w:sz="6" w:space="0" w:color="auto"/>
            </w:tcBorders>
          </w:tcPr>
          <w:p w:rsidR="002E374B" w:rsidRPr="0098351B" w:rsidRDefault="002E374B" w:rsidP="009B67AF">
            <w:pPr>
              <w:pStyle w:val="Tabletext"/>
              <w:jc w:val="left"/>
              <w:rPr>
                <w:lang w:val="fr-CH"/>
              </w:rPr>
            </w:pPr>
            <w:r w:rsidRPr="0098351B">
              <w:rPr>
                <w:lang w:val="fr-CH"/>
              </w:rPr>
              <w:t>Liaison de bout en bout</w:t>
            </w: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Marge totale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3,90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3,90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3,46</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3,46</w:t>
            </w:r>
          </w:p>
        </w:tc>
      </w:tr>
      <w:tr w:rsidR="002E374B" w:rsidRPr="0098351B" w:rsidTr="009B67AF">
        <w:trPr>
          <w:cantSplit/>
          <w:jc w:val="center"/>
        </w:trPr>
        <w:tc>
          <w:tcPr>
            <w:tcW w:w="1985" w:type="dxa"/>
            <w:tcBorders>
              <w:left w:val="single" w:sz="6" w:space="0" w:color="auto"/>
              <w:right w:val="single" w:sz="6" w:space="0" w:color="auto"/>
            </w:tcBorders>
          </w:tcPr>
          <w:p w:rsidR="002E374B" w:rsidRPr="0098351B" w:rsidRDefault="002E374B" w:rsidP="009B67AF">
            <w:pPr>
              <w:pStyle w:val="Tabletext"/>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0,40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0,40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0,01</w:t>
            </w:r>
          </w:p>
        </w:tc>
      </w:tr>
      <w:tr w:rsidR="002E374B" w:rsidRPr="0098351B" w:rsidTr="009B67AF">
        <w:trPr>
          <w:cantSplit/>
          <w:jc w:val="center"/>
        </w:trPr>
        <w:tc>
          <w:tcPr>
            <w:tcW w:w="1985" w:type="dxa"/>
            <w:tcBorders>
              <w:left w:val="single" w:sz="6" w:space="0" w:color="auto"/>
              <w:bottom w:val="single" w:sz="6" w:space="0" w:color="auto"/>
              <w:right w:val="single" w:sz="6" w:space="0" w:color="auto"/>
            </w:tcBorders>
          </w:tcPr>
          <w:p w:rsidR="002E374B" w:rsidRPr="0098351B" w:rsidRDefault="002E374B" w:rsidP="009B67AF">
            <w:pPr>
              <w:pStyle w:val="Tabletext"/>
              <w:jc w:val="left"/>
              <w:rPr>
                <w:lang w:val="fr-CH"/>
              </w:rPr>
            </w:pPr>
          </w:p>
        </w:tc>
        <w:tc>
          <w:tcPr>
            <w:tcW w:w="2268"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Marge totale – dégradation (dB)</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3,90</w:t>
            </w:r>
          </w:p>
        </w:tc>
        <w:tc>
          <w:tcPr>
            <w:tcW w:w="1346"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3,06</w:t>
            </w:r>
          </w:p>
        </w:tc>
        <w:tc>
          <w:tcPr>
            <w:tcW w:w="1347"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3,45</w:t>
            </w:r>
          </w:p>
        </w:tc>
      </w:tr>
    </w:tbl>
    <w:p w:rsidR="002E374B" w:rsidRPr="0098351B" w:rsidRDefault="002E374B" w:rsidP="002E374B">
      <w:pPr>
        <w:pStyle w:val="Tablefin"/>
        <w:rPr>
          <w:lang w:val="fr-CH"/>
        </w:rPr>
      </w:pPr>
    </w:p>
    <w:p w:rsidR="002E374B" w:rsidRPr="0098351B" w:rsidRDefault="002E374B" w:rsidP="002E374B">
      <w:pPr>
        <w:pStyle w:val="HeadingSum"/>
        <w:rPr>
          <w:lang w:val="fr-CH"/>
        </w:rPr>
      </w:pPr>
    </w:p>
    <w:p w:rsidR="002E374B" w:rsidRPr="0098351B" w:rsidRDefault="002E374B" w:rsidP="002E374B">
      <w:pPr>
        <w:jc w:val="center"/>
        <w:rPr>
          <w:lang w:val="fr-CH"/>
        </w:rPr>
      </w:pPr>
      <w:r w:rsidRPr="0098351B">
        <w:rPr>
          <w:lang w:val="fr-CH"/>
        </w:rPr>
        <w:t>_____________</w:t>
      </w:r>
    </w:p>
    <w:sectPr w:rsidR="002E374B" w:rsidRPr="0098351B" w:rsidSect="002E374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74B" w:rsidRDefault="002E374B">
      <w:r>
        <w:separator/>
      </w:r>
    </w:p>
  </w:endnote>
  <w:endnote w:type="continuationSeparator" w:id="0">
    <w:p w:rsidR="002E374B" w:rsidRDefault="002E3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74B" w:rsidRDefault="002E374B">
      <w:r>
        <w:separator/>
      </w:r>
    </w:p>
  </w:footnote>
  <w:footnote w:type="continuationSeparator" w:id="0">
    <w:p w:rsidR="002E374B" w:rsidRDefault="002E374B">
      <w:r>
        <w:continuationSeparator/>
      </w:r>
    </w:p>
  </w:footnote>
  <w:footnote w:id="1">
    <w:p w:rsidR="00CC243F" w:rsidRPr="00CC243F" w:rsidRDefault="00CC243F" w:rsidP="00CC243F">
      <w:pPr>
        <w:pStyle w:val="FootnoteText"/>
        <w:rPr>
          <w:lang w:val="fr-CH"/>
        </w:rPr>
      </w:pPr>
      <w:r>
        <w:rPr>
          <w:rStyle w:val="FootnoteReference"/>
        </w:rPr>
        <w:t>*</w:t>
      </w:r>
      <w:r>
        <w:t xml:space="preserve"> </w:t>
      </w:r>
      <w:r>
        <w:rPr>
          <w:lang w:val="fr-CH"/>
        </w:rPr>
        <w:tab/>
      </w:r>
      <w:r w:rsidRPr="008B51CB">
        <w:rPr>
          <w:lang w:val="fr-CH"/>
        </w:rPr>
        <w:t xml:space="preserve">La présente Recommandation </w:t>
      </w:r>
      <w:r>
        <w:rPr>
          <w:lang w:val="fr-CH"/>
        </w:rPr>
        <w:t xml:space="preserve">devrait être portée à l'attention des </w:t>
      </w:r>
      <w:r w:rsidRPr="008B51CB">
        <w:rPr>
          <w:lang w:val="fr-CH"/>
        </w:rPr>
        <w:t>Commission</w:t>
      </w:r>
      <w:r>
        <w:rPr>
          <w:lang w:val="fr-CH"/>
        </w:rPr>
        <w:t>s</w:t>
      </w:r>
      <w:r w:rsidRPr="008B51CB">
        <w:rPr>
          <w:lang w:val="fr-CH"/>
        </w:rPr>
        <w:t xml:space="preserve"> d'études </w:t>
      </w:r>
      <w:r>
        <w:rPr>
          <w:lang w:val="fr-CH"/>
        </w:rPr>
        <w:t>4 et 5</w:t>
      </w:r>
      <w:r w:rsidRPr="008B51CB">
        <w:rPr>
          <w:lang w:val="fr-CH"/>
        </w:rPr>
        <w:t xml:space="preserve"> des radiocommunications.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4B" w:rsidRDefault="002E374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4B" w:rsidRDefault="002E374B" w:rsidP="00C668C8">
    <w:pPr>
      <w:pStyle w:val="Header"/>
      <w:ind w:right="360" w:firstLine="360"/>
    </w:pPr>
    <w:r>
      <w:rPr>
        <w:noProof/>
        <w:lang w:val="en-US" w:eastAsia="zh-CN"/>
      </w:rPr>
      <w:drawing>
        <wp:anchor distT="0" distB="0" distL="114300" distR="114300" simplePos="0" relativeHeight="251660288" behindDoc="0" locked="0" layoutInCell="1" allowOverlap="1" wp14:anchorId="6703857F" wp14:editId="0D25359A">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67860DF7" wp14:editId="1CD29F5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4B" w:rsidRPr="00837CB5" w:rsidRDefault="002E374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A7382">
      <w:rPr>
        <w:rStyle w:val="PageNumber"/>
        <w:b/>
        <w:bCs/>
        <w:noProof/>
      </w:rPr>
      <w:t>ii</w:t>
    </w:r>
    <w:r>
      <w:rPr>
        <w:rStyle w:val="PageNumber"/>
        <w:b/>
        <w:bCs/>
      </w:rPr>
      <w:fldChar w:fldCharType="end"/>
    </w:r>
    <w:r w:rsidRPr="00837CB5">
      <w:tab/>
    </w:r>
    <w:fldSimple w:instr=" DOCPROPERTY &quot;Header&quot; \* MERGEFORMAT ">
      <w:r w:rsidR="001A7382" w:rsidRPr="001A738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A7382">
      <w:rPr>
        <w:b/>
        <w:bCs/>
        <w:noProof/>
      </w:rPr>
      <w:t>UIT-R  SA.1155-1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4B" w:rsidRDefault="002E374B">
    <w:pPr>
      <w:pStyle w:val="Header"/>
    </w:pPr>
    <w:r>
      <w:tab/>
    </w:r>
    <w:fldSimple w:instr=" DOCPROPERTY &quot;Header&quot; \* MERGEFORMAT ">
      <w:r w:rsidR="001A7382" w:rsidRPr="001A73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7382">
      <w:rPr>
        <w:b/>
        <w:bCs/>
        <w:noProof/>
      </w:rPr>
      <w:t>UIT-R  SA.1155-1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7382">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A7382" w:rsidRPr="001A738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A7382">
      <w:rPr>
        <w:b/>
        <w:bCs/>
        <w:noProof/>
      </w:rPr>
      <w:t>UIT-R  SA.1155-1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1A7382" w:rsidRPr="001A73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7382">
      <w:rPr>
        <w:b/>
        <w:bCs/>
        <w:noProof/>
      </w:rPr>
      <w:t>UIT-R  SA.1155-1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7382">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74B"/>
    <w:rsid w:val="001A7382"/>
    <w:rsid w:val="00217EBF"/>
    <w:rsid w:val="00223571"/>
    <w:rsid w:val="00242AEE"/>
    <w:rsid w:val="002D76C4"/>
    <w:rsid w:val="002E374B"/>
    <w:rsid w:val="003426AD"/>
    <w:rsid w:val="00367472"/>
    <w:rsid w:val="00383306"/>
    <w:rsid w:val="00414EFC"/>
    <w:rsid w:val="004B2ACC"/>
    <w:rsid w:val="0052529D"/>
    <w:rsid w:val="00607D68"/>
    <w:rsid w:val="0068211B"/>
    <w:rsid w:val="00683904"/>
    <w:rsid w:val="007468DA"/>
    <w:rsid w:val="008A2B72"/>
    <w:rsid w:val="0094742A"/>
    <w:rsid w:val="00996038"/>
    <w:rsid w:val="009B1B2B"/>
    <w:rsid w:val="009E00A8"/>
    <w:rsid w:val="00A6617B"/>
    <w:rsid w:val="00AB0DC8"/>
    <w:rsid w:val="00B44E24"/>
    <w:rsid w:val="00CC243F"/>
    <w:rsid w:val="00DF4176"/>
    <w:rsid w:val="00F22486"/>
    <w:rsid w:val="00F36EE1"/>
    <w:rsid w:val="00F631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90F1F3C-F7FB-4A5F-B96A-E1F381C77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74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E374B"/>
    <w:rPr>
      <w:color w:val="0000FF"/>
      <w:u w:val="single"/>
    </w:rPr>
  </w:style>
  <w:style w:type="paragraph" w:customStyle="1" w:styleId="Table">
    <w:name w:val="Table_#"/>
    <w:basedOn w:val="Normal"/>
    <w:next w:val="TableTitle0"/>
    <w:rsid w:val="002E374B"/>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2E374B"/>
    <w:pPr>
      <w:spacing w:before="0"/>
    </w:pPr>
    <w:rPr>
      <w:b/>
    </w:rPr>
  </w:style>
  <w:style w:type="paragraph" w:customStyle="1" w:styleId="TableText0">
    <w:name w:val="Table_Text"/>
    <w:basedOn w:val="Normal"/>
    <w:rsid w:val="002E374B"/>
    <w:pPr>
      <w:keepNext/>
      <w:spacing w:before="100" w:after="100" w:line="190" w:lineRule="exact"/>
    </w:pPr>
    <w:rPr>
      <w:sz w:val="18"/>
      <w:lang w:val="en-GB"/>
    </w:rPr>
  </w:style>
  <w:style w:type="paragraph" w:customStyle="1" w:styleId="Fig">
    <w:name w:val="Fig"/>
    <w:basedOn w:val="Normal"/>
    <w:next w:val="Normal"/>
    <w:rsid w:val="002E374B"/>
    <w:pPr>
      <w:spacing w:before="136"/>
      <w:jc w:val="center"/>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59609-5A45-44C3-8D7E-3D4F84FE2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TotalTime>
  <Pages>7</Pages>
  <Words>2499</Words>
  <Characters>13853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18</cp:revision>
  <cp:lastPrinted>2015-06-25T13:17:00Z</cp:lastPrinted>
  <dcterms:created xsi:type="dcterms:W3CDTF">2015-06-24T14:01:00Z</dcterms:created>
  <dcterms:modified xsi:type="dcterms:W3CDTF">2015-06-25T13:17:00Z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