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7E1F" w14:textId="77777777" w:rsidR="00014369" w:rsidRPr="00014369" w:rsidRDefault="00014369" w:rsidP="00014369">
      <w:pPr>
        <w:pStyle w:val="RecNo"/>
        <w:spacing w:before="0"/>
        <w:rPr>
          <w:lang w:val="en-US"/>
        </w:rPr>
      </w:pPr>
      <w:proofErr w:type="gramStart"/>
      <w:r w:rsidRPr="00014369">
        <w:rPr>
          <w:lang w:val="en-US"/>
        </w:rPr>
        <w:t xml:space="preserve">RECOMMENDATION </w:t>
      </w:r>
      <w:r>
        <w:rPr>
          <w:lang w:val="en-US"/>
        </w:rPr>
        <w:t xml:space="preserve"> </w:t>
      </w:r>
      <w:r w:rsidRPr="00014369">
        <w:rPr>
          <w:rStyle w:val="href"/>
          <w:lang w:val="en-US"/>
        </w:rPr>
        <w:t>ITU</w:t>
      </w:r>
      <w:proofErr w:type="gramEnd"/>
      <w:r w:rsidRPr="00014369">
        <w:rPr>
          <w:rStyle w:val="href"/>
          <w:lang w:val="en-US"/>
        </w:rPr>
        <w:t xml:space="preserve">-R </w:t>
      </w:r>
      <w:r w:rsidRPr="00014369">
        <w:rPr>
          <w:rStyle w:val="href"/>
        </w:rPr>
        <w:t xml:space="preserve"> </w:t>
      </w:r>
      <w:r w:rsidRPr="00014369">
        <w:rPr>
          <w:rStyle w:val="href"/>
          <w:lang w:val="en-US"/>
        </w:rPr>
        <w:t>SA.1157</w:t>
      </w:r>
      <w:r w:rsidRPr="00014369">
        <w:rPr>
          <w:rStyle w:val="href"/>
        </w:rPr>
        <w:t>-1</w:t>
      </w:r>
    </w:p>
    <w:p w14:paraId="329F694B" w14:textId="77777777" w:rsidR="00014369" w:rsidRPr="00014369" w:rsidRDefault="00014369" w:rsidP="00014369">
      <w:pPr>
        <w:pStyle w:val="Rectitle"/>
        <w:rPr>
          <w:lang w:val="en-US"/>
        </w:rPr>
      </w:pPr>
      <w:r w:rsidRPr="00014369">
        <w:rPr>
          <w:lang w:val="en-US"/>
        </w:rPr>
        <w:t>Protection criteria for deep-space research</w:t>
      </w:r>
    </w:p>
    <w:p w14:paraId="289729CE" w14:textId="77777777" w:rsidR="000E5383" w:rsidRDefault="000E5383" w:rsidP="00497405">
      <w:pPr>
        <w:pStyle w:val="Recdate"/>
        <w:rPr>
          <w:lang w:val="en-US"/>
        </w:rPr>
      </w:pPr>
    </w:p>
    <w:p w14:paraId="4A2B8938" w14:textId="77777777" w:rsidR="003530BF" w:rsidRDefault="003530BF" w:rsidP="00497405">
      <w:pPr>
        <w:pStyle w:val="Recdate"/>
        <w:rPr>
          <w:lang w:val="en-US"/>
        </w:rPr>
      </w:pPr>
    </w:p>
    <w:p w14:paraId="033C0AD4" w14:textId="77777777" w:rsidR="00014369" w:rsidRPr="00014369" w:rsidRDefault="00014369" w:rsidP="00497405">
      <w:pPr>
        <w:pStyle w:val="Recdate"/>
        <w:rPr>
          <w:lang w:val="en-US"/>
        </w:rPr>
      </w:pPr>
      <w:r w:rsidRPr="00014369">
        <w:rPr>
          <w:lang w:val="en-US"/>
        </w:rPr>
        <w:t>(1995</w:t>
      </w:r>
      <w:r w:rsidR="000E5383">
        <w:rPr>
          <w:lang w:val="en-US"/>
        </w:rPr>
        <w:t>-2006</w:t>
      </w:r>
      <w:r w:rsidRPr="00014369">
        <w:rPr>
          <w:lang w:val="en-US"/>
        </w:rPr>
        <w:t>)</w:t>
      </w:r>
    </w:p>
    <w:p w14:paraId="3178268E" w14:textId="77777777" w:rsidR="003530BF" w:rsidRDefault="003530BF" w:rsidP="003530BF"/>
    <w:p w14:paraId="696BF0A0" w14:textId="77777777" w:rsidR="00014369" w:rsidRPr="00014369" w:rsidRDefault="00014369" w:rsidP="000E5383">
      <w:pPr>
        <w:pStyle w:val="HeadingSum"/>
      </w:pPr>
      <w:proofErr w:type="spellStart"/>
      <w:r w:rsidRPr="00014369">
        <w:t>Scope</w:t>
      </w:r>
      <w:proofErr w:type="spellEnd"/>
    </w:p>
    <w:p w14:paraId="6CFB0F33" w14:textId="77777777" w:rsidR="00014369" w:rsidRPr="00014369" w:rsidRDefault="00014369" w:rsidP="000E5383">
      <w:pPr>
        <w:pStyle w:val="Summary"/>
        <w:rPr>
          <w:bCs/>
        </w:rPr>
      </w:pPr>
      <w:r w:rsidRPr="00014369">
        <w:t xml:space="preserve">This </w:t>
      </w:r>
      <w:proofErr w:type="spellStart"/>
      <w:r w:rsidRPr="00014369">
        <w:t>Recommendation</w:t>
      </w:r>
      <w:proofErr w:type="spellEnd"/>
      <w:r w:rsidRPr="00014369">
        <w:t xml:space="preserve"> </w:t>
      </w:r>
      <w:proofErr w:type="spellStart"/>
      <w:r w:rsidRPr="00014369">
        <w:t>specifies</w:t>
      </w:r>
      <w:proofErr w:type="spellEnd"/>
      <w:r w:rsidRPr="00014369">
        <w:t xml:space="preserve"> </w:t>
      </w:r>
      <w:proofErr w:type="spellStart"/>
      <w:r w:rsidRPr="00014369">
        <w:t>the</w:t>
      </w:r>
      <w:proofErr w:type="spellEnd"/>
      <w:r w:rsidRPr="00014369">
        <w:t xml:space="preserve"> </w:t>
      </w:r>
      <w:proofErr w:type="spellStart"/>
      <w:r w:rsidRPr="00014369">
        <w:t>protection</w:t>
      </w:r>
      <w:proofErr w:type="spellEnd"/>
      <w:r w:rsidRPr="00014369">
        <w:t xml:space="preserve"> </w:t>
      </w:r>
      <w:proofErr w:type="spellStart"/>
      <w:r w:rsidRPr="00014369">
        <w:t>criteria</w:t>
      </w:r>
      <w:proofErr w:type="spellEnd"/>
      <w:r w:rsidRPr="00014369">
        <w:t xml:space="preserve"> </w:t>
      </w:r>
      <w:proofErr w:type="spellStart"/>
      <w:r w:rsidRPr="00014369">
        <w:t>needed</w:t>
      </w:r>
      <w:proofErr w:type="spellEnd"/>
      <w:r w:rsidRPr="00014369">
        <w:t xml:space="preserve"> </w:t>
      </w:r>
      <w:proofErr w:type="spellStart"/>
      <w:r w:rsidRPr="00014369">
        <w:t>to</w:t>
      </w:r>
      <w:proofErr w:type="spellEnd"/>
      <w:r w:rsidRPr="00014369">
        <w:t xml:space="preserve"> </w:t>
      </w:r>
      <w:proofErr w:type="spellStart"/>
      <w:r w:rsidRPr="00014369">
        <w:t>success</w:t>
      </w:r>
      <w:proofErr w:type="spellEnd"/>
      <w:r w:rsidRPr="00014369">
        <w:t xml:space="preserve"> </w:t>
      </w:r>
      <w:proofErr w:type="spellStart"/>
      <w:r w:rsidRPr="00014369">
        <w:t>fully</w:t>
      </w:r>
      <w:proofErr w:type="spellEnd"/>
      <w:r w:rsidRPr="00014369">
        <w:t xml:space="preserve"> control, </w:t>
      </w:r>
      <w:proofErr w:type="spellStart"/>
      <w:r w:rsidRPr="00014369">
        <w:t>command</w:t>
      </w:r>
      <w:proofErr w:type="spellEnd"/>
      <w:r w:rsidRPr="00014369">
        <w:t xml:space="preserve"> and </w:t>
      </w:r>
      <w:proofErr w:type="spellStart"/>
      <w:r w:rsidRPr="00014369">
        <w:t>operate</w:t>
      </w:r>
      <w:proofErr w:type="spellEnd"/>
      <w:r w:rsidRPr="00014369">
        <w:t xml:space="preserve"> </w:t>
      </w:r>
      <w:proofErr w:type="spellStart"/>
      <w:r w:rsidRPr="00014369">
        <w:t>manned</w:t>
      </w:r>
      <w:proofErr w:type="spellEnd"/>
      <w:r w:rsidRPr="00014369">
        <w:t xml:space="preserve"> and </w:t>
      </w:r>
      <w:proofErr w:type="spellStart"/>
      <w:r w:rsidRPr="00014369">
        <w:t>unmanned</w:t>
      </w:r>
      <w:proofErr w:type="spellEnd"/>
      <w:r w:rsidRPr="00014369">
        <w:t xml:space="preserve"> </w:t>
      </w:r>
      <w:proofErr w:type="spellStart"/>
      <w:r w:rsidRPr="00014369">
        <w:t>research</w:t>
      </w:r>
      <w:proofErr w:type="spellEnd"/>
      <w:r w:rsidRPr="00014369">
        <w:t xml:space="preserve"> </w:t>
      </w:r>
      <w:proofErr w:type="spellStart"/>
      <w:r w:rsidRPr="00014369">
        <w:t>satellites</w:t>
      </w:r>
      <w:proofErr w:type="spellEnd"/>
      <w:r w:rsidRPr="00014369">
        <w:t xml:space="preserve"> in </w:t>
      </w:r>
      <w:proofErr w:type="spellStart"/>
      <w:r w:rsidRPr="00014369">
        <w:t>deep</w:t>
      </w:r>
      <w:proofErr w:type="spellEnd"/>
      <w:r w:rsidRPr="00014369">
        <w:t xml:space="preserve"> </w:t>
      </w:r>
      <w:proofErr w:type="spellStart"/>
      <w:r w:rsidRPr="00014369">
        <w:t>space</w:t>
      </w:r>
      <w:proofErr w:type="spellEnd"/>
      <w:r w:rsidRPr="00014369">
        <w:t xml:space="preserve">, </w:t>
      </w:r>
      <w:proofErr w:type="spellStart"/>
      <w:r w:rsidRPr="00014369">
        <w:t>that</w:t>
      </w:r>
      <w:proofErr w:type="spellEnd"/>
      <w:r w:rsidRPr="00014369">
        <w:t xml:space="preserve"> </w:t>
      </w:r>
      <w:proofErr w:type="spellStart"/>
      <w:r w:rsidRPr="00014369">
        <w:t>is</w:t>
      </w:r>
      <w:proofErr w:type="spellEnd"/>
      <w:r w:rsidRPr="00014369">
        <w:t xml:space="preserve">, </w:t>
      </w:r>
      <w:proofErr w:type="spellStart"/>
      <w:r w:rsidRPr="00014369">
        <w:t>satellites</w:t>
      </w:r>
      <w:proofErr w:type="spellEnd"/>
      <w:r w:rsidRPr="00014369">
        <w:t xml:space="preserve"> </w:t>
      </w:r>
      <w:proofErr w:type="spellStart"/>
      <w:r w:rsidRPr="00014369">
        <w:t>conducting</w:t>
      </w:r>
      <w:proofErr w:type="spellEnd"/>
      <w:r w:rsidRPr="00014369">
        <w:t xml:space="preserve"> </w:t>
      </w:r>
      <w:proofErr w:type="spellStart"/>
      <w:r w:rsidRPr="00014369">
        <w:t>their</w:t>
      </w:r>
      <w:proofErr w:type="spellEnd"/>
      <w:r w:rsidRPr="00014369">
        <w:t xml:space="preserve"> </w:t>
      </w:r>
      <w:proofErr w:type="spellStart"/>
      <w:r w:rsidRPr="00014369">
        <w:t>assigned</w:t>
      </w:r>
      <w:proofErr w:type="spellEnd"/>
      <w:r w:rsidRPr="00014369">
        <w:t xml:space="preserve"> </w:t>
      </w:r>
      <w:proofErr w:type="spellStart"/>
      <w:r w:rsidRPr="00014369">
        <w:t>missions</w:t>
      </w:r>
      <w:proofErr w:type="spellEnd"/>
      <w:r w:rsidRPr="00014369">
        <w:t xml:space="preserve"> in </w:t>
      </w:r>
      <w:proofErr w:type="spellStart"/>
      <w:r w:rsidRPr="00014369">
        <w:t>the</w:t>
      </w:r>
      <w:proofErr w:type="spellEnd"/>
      <w:r w:rsidRPr="00014369">
        <w:t xml:space="preserve"> </w:t>
      </w:r>
      <w:proofErr w:type="spellStart"/>
      <w:r w:rsidRPr="00014369">
        <w:t>volume</w:t>
      </w:r>
      <w:proofErr w:type="spellEnd"/>
      <w:r w:rsidRPr="00014369">
        <w:t xml:space="preserve"> </w:t>
      </w:r>
      <w:proofErr w:type="spellStart"/>
      <w:r w:rsidRPr="00014369">
        <w:t>of</w:t>
      </w:r>
      <w:proofErr w:type="spellEnd"/>
      <w:r w:rsidRPr="00014369">
        <w:t xml:space="preserve"> </w:t>
      </w:r>
      <w:proofErr w:type="spellStart"/>
      <w:r w:rsidRPr="00014369">
        <w:t>space</w:t>
      </w:r>
      <w:proofErr w:type="spellEnd"/>
      <w:r w:rsidRPr="00014369">
        <w:t xml:space="preserve"> more </w:t>
      </w:r>
      <w:proofErr w:type="spellStart"/>
      <w:r w:rsidRPr="00014369">
        <w:t>distant</w:t>
      </w:r>
      <w:proofErr w:type="spellEnd"/>
      <w:r w:rsidRPr="00014369">
        <w:t xml:space="preserve"> </w:t>
      </w:r>
      <w:proofErr w:type="spellStart"/>
      <w:r w:rsidRPr="00014369">
        <w:t>from</w:t>
      </w:r>
      <w:proofErr w:type="spellEnd"/>
      <w:r w:rsidRPr="00014369">
        <w:t xml:space="preserve"> </w:t>
      </w:r>
      <w:proofErr w:type="spellStart"/>
      <w:r w:rsidRPr="00014369">
        <w:t>Earth</w:t>
      </w:r>
      <w:proofErr w:type="spellEnd"/>
      <w:r w:rsidRPr="00014369">
        <w:t xml:space="preserve"> </w:t>
      </w:r>
      <w:proofErr w:type="spellStart"/>
      <w:r w:rsidRPr="00014369">
        <w:t>than</w:t>
      </w:r>
      <w:proofErr w:type="spellEnd"/>
      <w:r w:rsidRPr="00014369">
        <w:t xml:space="preserve"> 2 </w:t>
      </w:r>
      <w:proofErr w:type="spellStart"/>
      <w:r w:rsidRPr="00014369">
        <w:t>million</w:t>
      </w:r>
      <w:proofErr w:type="spellEnd"/>
      <w:r w:rsidRPr="00014369">
        <w:t xml:space="preserve"> km.</w:t>
      </w:r>
    </w:p>
    <w:p w14:paraId="76831900" w14:textId="77777777" w:rsidR="00014369" w:rsidRPr="00014369" w:rsidRDefault="00014369" w:rsidP="00014369">
      <w:pPr>
        <w:pStyle w:val="Normalaftertitle"/>
        <w:rPr>
          <w:lang w:val="en-US"/>
        </w:rPr>
      </w:pPr>
      <w:r w:rsidRPr="00014369">
        <w:rPr>
          <w:lang w:val="en-US"/>
        </w:rPr>
        <w:t>The ITU Radiocommunication Assembly,</w:t>
      </w:r>
    </w:p>
    <w:p w14:paraId="1E631069" w14:textId="77777777" w:rsidR="00014369" w:rsidRPr="00014369" w:rsidRDefault="00014369" w:rsidP="00014369">
      <w:pPr>
        <w:pStyle w:val="Call"/>
        <w:spacing w:before="120"/>
        <w:rPr>
          <w:lang w:val="en-US"/>
        </w:rPr>
      </w:pPr>
      <w:r w:rsidRPr="00014369">
        <w:rPr>
          <w:lang w:val="en-US"/>
        </w:rPr>
        <w:t>considering</w:t>
      </w:r>
    </w:p>
    <w:p w14:paraId="597945EA" w14:textId="77777777" w:rsidR="00014369" w:rsidRPr="00014369" w:rsidRDefault="00014369" w:rsidP="00014369">
      <w:pPr>
        <w:rPr>
          <w:lang w:val="en-US"/>
        </w:rPr>
      </w:pPr>
      <w:r w:rsidRPr="00014369">
        <w:rPr>
          <w:lang w:val="en-US"/>
        </w:rPr>
        <w:t>a)</w:t>
      </w:r>
      <w:r w:rsidRPr="00014369">
        <w:rPr>
          <w:lang w:val="en-US"/>
        </w:rPr>
        <w:tab/>
        <w:t xml:space="preserve">that manned deep-space research has unique requirements for extreme reliability of radiocommunications so as to ensure safety of </w:t>
      </w:r>
      <w:proofErr w:type="gramStart"/>
      <w:r w:rsidRPr="00014369">
        <w:rPr>
          <w:lang w:val="en-US"/>
        </w:rPr>
        <w:t>life;</w:t>
      </w:r>
      <w:proofErr w:type="gramEnd"/>
    </w:p>
    <w:p w14:paraId="1C7BFD93" w14:textId="77777777" w:rsidR="00014369" w:rsidRPr="00014369" w:rsidRDefault="00014369" w:rsidP="00014369">
      <w:pPr>
        <w:rPr>
          <w:lang w:val="en-US"/>
        </w:rPr>
      </w:pPr>
      <w:r w:rsidRPr="00014369">
        <w:rPr>
          <w:lang w:val="en-US"/>
        </w:rPr>
        <w:t>b)</w:t>
      </w:r>
      <w:r w:rsidRPr="00014369">
        <w:rPr>
          <w:lang w:val="en-US"/>
        </w:rPr>
        <w:tab/>
        <w:t xml:space="preserve">that both manned and unmanned deep-space research have unique requirements for extreme reliability of radiocommunications so as to ensure successful reception of valuable scientific data collected at particular critical times, and that repeated transmission of these data is often not </w:t>
      </w:r>
      <w:proofErr w:type="gramStart"/>
      <w:r w:rsidRPr="00014369">
        <w:rPr>
          <w:lang w:val="en-US"/>
        </w:rPr>
        <w:t>possible;</w:t>
      </w:r>
      <w:proofErr w:type="gramEnd"/>
    </w:p>
    <w:p w14:paraId="5BBBA287" w14:textId="77777777" w:rsidR="00014369" w:rsidRPr="00014369" w:rsidRDefault="00014369" w:rsidP="00014369">
      <w:pPr>
        <w:rPr>
          <w:lang w:val="en-US"/>
        </w:rPr>
      </w:pPr>
      <w:r w:rsidRPr="00014369">
        <w:rPr>
          <w:lang w:val="en-US"/>
        </w:rPr>
        <w:t>c)</w:t>
      </w:r>
      <w:r w:rsidRPr="00014369">
        <w:rPr>
          <w:lang w:val="en-US"/>
        </w:rPr>
        <w:tab/>
        <w:t xml:space="preserve">that the extreme sensitivity of deep-space earth stations results in unusually low levels of permissible </w:t>
      </w:r>
      <w:proofErr w:type="gramStart"/>
      <w:r w:rsidRPr="00014369">
        <w:rPr>
          <w:lang w:val="en-US"/>
        </w:rPr>
        <w:t>interference;</w:t>
      </w:r>
      <w:proofErr w:type="gramEnd"/>
    </w:p>
    <w:p w14:paraId="485702BD" w14:textId="77777777" w:rsidR="00014369" w:rsidRPr="00014369" w:rsidRDefault="00014369" w:rsidP="00014369">
      <w:pPr>
        <w:rPr>
          <w:lang w:val="en-US"/>
        </w:rPr>
      </w:pPr>
      <w:r w:rsidRPr="00014369">
        <w:rPr>
          <w:lang w:val="en-US"/>
        </w:rPr>
        <w:t>d)</w:t>
      </w:r>
      <w:r w:rsidRPr="00014369">
        <w:rPr>
          <w:lang w:val="en-US"/>
        </w:rPr>
        <w:tab/>
        <w:t>that protection criteria have been derived as shown in Annex 1 for deep-space research earth stations and for stations in deep-</w:t>
      </w:r>
      <w:proofErr w:type="gramStart"/>
      <w:r w:rsidRPr="00014369">
        <w:rPr>
          <w:lang w:val="en-US"/>
        </w:rPr>
        <w:t>space;</w:t>
      </w:r>
      <w:proofErr w:type="gramEnd"/>
    </w:p>
    <w:p w14:paraId="4D10E380" w14:textId="77777777" w:rsidR="00014369" w:rsidRPr="00014369" w:rsidRDefault="00014369" w:rsidP="00014369">
      <w:pPr>
        <w:rPr>
          <w:lang w:val="en-US"/>
        </w:rPr>
      </w:pPr>
      <w:r w:rsidRPr="00014369">
        <w:rPr>
          <w:lang w:val="en-US"/>
        </w:rPr>
        <w:t>e)</w:t>
      </w:r>
      <w:r w:rsidRPr="00014369">
        <w:rPr>
          <w:lang w:val="en-US"/>
        </w:rPr>
        <w:tab/>
        <w:t>that interference susceptibility has been derived as shown in Annex 2,</w:t>
      </w:r>
    </w:p>
    <w:p w14:paraId="1BF49359" w14:textId="77777777" w:rsidR="00014369" w:rsidRPr="00014369" w:rsidRDefault="00014369" w:rsidP="00014369">
      <w:pPr>
        <w:pStyle w:val="Call"/>
        <w:spacing w:before="120"/>
        <w:rPr>
          <w:lang w:val="en-US"/>
        </w:rPr>
      </w:pPr>
      <w:r w:rsidRPr="00014369">
        <w:rPr>
          <w:lang w:val="en-US"/>
        </w:rPr>
        <w:t>recommends</w:t>
      </w:r>
    </w:p>
    <w:p w14:paraId="10C57BC0" w14:textId="77777777" w:rsidR="00014369" w:rsidRPr="00014369" w:rsidRDefault="00014369" w:rsidP="00014369">
      <w:pPr>
        <w:rPr>
          <w:lang w:val="en-US"/>
        </w:rPr>
      </w:pPr>
      <w:r w:rsidRPr="00014369">
        <w:rPr>
          <w:b/>
          <w:bCs/>
          <w:lang w:val="en-US"/>
        </w:rPr>
        <w:t>1</w:t>
      </w:r>
      <w:r w:rsidRPr="00014369">
        <w:rPr>
          <w:lang w:val="en-US"/>
        </w:rPr>
        <w:tab/>
        <w:t>that protection criteria for deep-space research earth stations should be established as follows:</w:t>
      </w:r>
    </w:p>
    <w:p w14:paraId="032933FE" w14:textId="77777777" w:rsidR="00014369" w:rsidRPr="00014369" w:rsidRDefault="00014369" w:rsidP="00014369">
      <w:pPr>
        <w:pStyle w:val="enumlev1"/>
        <w:rPr>
          <w:lang w:val="en-US"/>
        </w:rPr>
      </w:pPr>
      <w:r w:rsidRPr="00014369">
        <w:rPr>
          <w:lang w:val="en-US"/>
        </w:rPr>
        <w:t>–</w:t>
      </w:r>
      <w:r w:rsidRPr="00014369">
        <w:rPr>
          <w:sz w:val="12"/>
          <w:lang w:val="en-US"/>
        </w:rPr>
        <w:t> </w:t>
      </w:r>
      <w:r w:rsidRPr="00014369">
        <w:rPr>
          <w:lang w:val="en-US"/>
        </w:rPr>
        <w:t>222 dB(W/Hz) in bands near 2 GHz,</w:t>
      </w:r>
    </w:p>
    <w:p w14:paraId="5EBC5670" w14:textId="77777777" w:rsidR="00014369" w:rsidRPr="00014369" w:rsidRDefault="00014369" w:rsidP="00014369">
      <w:pPr>
        <w:pStyle w:val="enumlev1"/>
        <w:rPr>
          <w:lang w:val="en-US"/>
        </w:rPr>
      </w:pPr>
      <w:r w:rsidRPr="00014369">
        <w:rPr>
          <w:lang w:val="en-US"/>
        </w:rPr>
        <w:t>–</w:t>
      </w:r>
      <w:r w:rsidRPr="00014369">
        <w:rPr>
          <w:sz w:val="12"/>
          <w:lang w:val="en-US"/>
        </w:rPr>
        <w:t> </w:t>
      </w:r>
      <w:r w:rsidRPr="00014369">
        <w:rPr>
          <w:lang w:val="en-US"/>
        </w:rPr>
        <w:t>221 dB(W/Hz) in bands near 8 GHz,</w:t>
      </w:r>
    </w:p>
    <w:p w14:paraId="7A4CE53F" w14:textId="77777777" w:rsidR="00014369" w:rsidRPr="00014369" w:rsidRDefault="00014369" w:rsidP="00014369">
      <w:pPr>
        <w:pStyle w:val="enumlev1"/>
        <w:rPr>
          <w:lang w:val="en-US"/>
        </w:rPr>
      </w:pPr>
      <w:r w:rsidRPr="00014369">
        <w:rPr>
          <w:lang w:val="en-US"/>
        </w:rPr>
        <w:t>–</w:t>
      </w:r>
      <w:r w:rsidRPr="00014369">
        <w:rPr>
          <w:sz w:val="12"/>
          <w:lang w:val="en-US"/>
        </w:rPr>
        <w:t> </w:t>
      </w:r>
      <w:r w:rsidRPr="00014369">
        <w:rPr>
          <w:lang w:val="en-US"/>
        </w:rPr>
        <w:t>220 dB(W/Hz) in bands near 13 GHz,</w:t>
      </w:r>
    </w:p>
    <w:p w14:paraId="73039B91" w14:textId="77777777" w:rsidR="00014369" w:rsidRPr="00014369" w:rsidRDefault="00014369" w:rsidP="00014369">
      <w:pPr>
        <w:pStyle w:val="enumlev1"/>
        <w:rPr>
          <w:lang w:val="en-US"/>
        </w:rPr>
      </w:pPr>
      <w:r w:rsidRPr="00014369">
        <w:rPr>
          <w:lang w:val="en-US"/>
        </w:rPr>
        <w:t>–</w:t>
      </w:r>
      <w:r w:rsidRPr="00014369">
        <w:rPr>
          <w:sz w:val="12"/>
          <w:lang w:val="en-US"/>
        </w:rPr>
        <w:t> </w:t>
      </w:r>
      <w:r w:rsidRPr="00014369">
        <w:rPr>
          <w:lang w:val="en-US"/>
        </w:rPr>
        <w:t>217 dB(W/Hz) in bands near 32 </w:t>
      </w:r>
      <w:proofErr w:type="gramStart"/>
      <w:r w:rsidRPr="00014369">
        <w:rPr>
          <w:lang w:val="en-US"/>
        </w:rPr>
        <w:t>GHz;</w:t>
      </w:r>
      <w:proofErr w:type="gramEnd"/>
    </w:p>
    <w:p w14:paraId="6C740947" w14:textId="77777777" w:rsidR="00014369" w:rsidRPr="00014369" w:rsidRDefault="00014369" w:rsidP="00014369">
      <w:pPr>
        <w:rPr>
          <w:lang w:val="en-US"/>
        </w:rPr>
      </w:pPr>
      <w:r w:rsidRPr="00014369">
        <w:rPr>
          <w:b/>
          <w:bCs/>
          <w:lang w:val="en-US"/>
        </w:rPr>
        <w:t>2</w:t>
      </w:r>
      <w:r w:rsidRPr="00014369">
        <w:rPr>
          <w:lang w:val="en-US"/>
        </w:rPr>
        <w:tab/>
        <w:t xml:space="preserve">that protection criteria for stations on spacecraft in </w:t>
      </w:r>
      <w:proofErr w:type="gramStart"/>
      <w:r w:rsidRPr="00014369">
        <w:rPr>
          <w:lang w:val="en-US"/>
        </w:rPr>
        <w:t>deep-space</w:t>
      </w:r>
      <w:proofErr w:type="gramEnd"/>
      <w:r w:rsidRPr="00014369">
        <w:rPr>
          <w:lang w:val="en-US"/>
        </w:rPr>
        <w:t xml:space="preserve"> should be established as follows:</w:t>
      </w:r>
    </w:p>
    <w:p w14:paraId="3A94CF85" w14:textId="77777777" w:rsidR="00014369" w:rsidRPr="00014369" w:rsidRDefault="00014369" w:rsidP="00014369">
      <w:pPr>
        <w:pStyle w:val="enumlev1"/>
        <w:rPr>
          <w:lang w:val="en-US"/>
        </w:rPr>
      </w:pPr>
      <w:r w:rsidRPr="00014369">
        <w:rPr>
          <w:lang w:val="en-US"/>
        </w:rPr>
        <w:t>–</w:t>
      </w:r>
      <w:r w:rsidRPr="00014369">
        <w:rPr>
          <w:sz w:val="12"/>
          <w:lang w:val="en-US"/>
        </w:rPr>
        <w:t> </w:t>
      </w:r>
      <w:r w:rsidRPr="00014369">
        <w:rPr>
          <w:lang w:val="en-US"/>
        </w:rPr>
        <w:t>193 </w:t>
      </w:r>
      <w:proofErr w:type="gramStart"/>
      <w:r w:rsidRPr="00014369">
        <w:rPr>
          <w:lang w:val="en-US"/>
        </w:rPr>
        <w:t>dB(</w:t>
      </w:r>
      <w:proofErr w:type="gramEnd"/>
      <w:r w:rsidRPr="00014369">
        <w:rPr>
          <w:lang w:val="en-US"/>
        </w:rPr>
        <w:t>W/20 Hz) in bands near 2 GHz,</w:t>
      </w:r>
    </w:p>
    <w:p w14:paraId="79E9FC5A" w14:textId="77777777" w:rsidR="00014369" w:rsidRPr="00014369" w:rsidRDefault="00014369" w:rsidP="00014369">
      <w:pPr>
        <w:pStyle w:val="enumlev1"/>
        <w:rPr>
          <w:lang w:val="en-US"/>
        </w:rPr>
      </w:pPr>
      <w:r w:rsidRPr="00014369">
        <w:rPr>
          <w:lang w:val="en-US"/>
        </w:rPr>
        <w:t>–</w:t>
      </w:r>
      <w:r w:rsidRPr="00014369">
        <w:rPr>
          <w:sz w:val="12"/>
          <w:lang w:val="en-US"/>
        </w:rPr>
        <w:t> </w:t>
      </w:r>
      <w:r w:rsidRPr="00014369">
        <w:rPr>
          <w:lang w:val="en-US"/>
        </w:rPr>
        <w:t>190 </w:t>
      </w:r>
      <w:proofErr w:type="gramStart"/>
      <w:r w:rsidRPr="00014369">
        <w:rPr>
          <w:lang w:val="en-US"/>
        </w:rPr>
        <w:t>dB(</w:t>
      </w:r>
      <w:proofErr w:type="gramEnd"/>
      <w:r w:rsidRPr="00014369">
        <w:rPr>
          <w:lang w:val="en-US"/>
        </w:rPr>
        <w:t>W/20 Hz) in bands near 7 GHz,</w:t>
      </w:r>
    </w:p>
    <w:p w14:paraId="2082FD23" w14:textId="77777777" w:rsidR="00014369" w:rsidRPr="00014369" w:rsidRDefault="00014369" w:rsidP="00014369">
      <w:pPr>
        <w:pStyle w:val="enumlev1"/>
        <w:rPr>
          <w:lang w:val="en-US"/>
        </w:rPr>
      </w:pPr>
      <w:r w:rsidRPr="00014369">
        <w:rPr>
          <w:lang w:val="en-US"/>
        </w:rPr>
        <w:t>–</w:t>
      </w:r>
      <w:r w:rsidRPr="00014369">
        <w:rPr>
          <w:sz w:val="12"/>
          <w:lang w:val="en-US"/>
        </w:rPr>
        <w:t> </w:t>
      </w:r>
      <w:r w:rsidRPr="00014369">
        <w:rPr>
          <w:lang w:val="en-US"/>
        </w:rPr>
        <w:t>186 </w:t>
      </w:r>
      <w:proofErr w:type="gramStart"/>
      <w:r w:rsidRPr="00014369">
        <w:rPr>
          <w:lang w:val="en-US"/>
        </w:rPr>
        <w:t>dB(</w:t>
      </w:r>
      <w:proofErr w:type="gramEnd"/>
      <w:r w:rsidRPr="00014369">
        <w:rPr>
          <w:lang w:val="en-US"/>
        </w:rPr>
        <w:t>W/20 Hz) in bands near 17 GHz,</w:t>
      </w:r>
    </w:p>
    <w:p w14:paraId="5C35E5AE" w14:textId="77777777" w:rsidR="00014369" w:rsidRPr="00014369" w:rsidRDefault="00014369" w:rsidP="00014369">
      <w:pPr>
        <w:pStyle w:val="enumlev1"/>
        <w:rPr>
          <w:lang w:val="en-US"/>
        </w:rPr>
      </w:pPr>
      <w:r w:rsidRPr="00014369">
        <w:rPr>
          <w:lang w:val="en-US"/>
        </w:rPr>
        <w:t>–</w:t>
      </w:r>
      <w:r w:rsidRPr="00014369">
        <w:rPr>
          <w:sz w:val="12"/>
          <w:lang w:val="en-US"/>
        </w:rPr>
        <w:t> </w:t>
      </w:r>
      <w:r w:rsidRPr="00014369">
        <w:rPr>
          <w:lang w:val="en-US"/>
        </w:rPr>
        <w:t>183 </w:t>
      </w:r>
      <w:proofErr w:type="gramStart"/>
      <w:r w:rsidRPr="00014369">
        <w:rPr>
          <w:lang w:val="en-US"/>
        </w:rPr>
        <w:t>dB(</w:t>
      </w:r>
      <w:proofErr w:type="gramEnd"/>
      <w:r w:rsidRPr="00014369">
        <w:rPr>
          <w:lang w:val="en-US"/>
        </w:rPr>
        <w:t>W/20 Hz) in bands near 34 GHz;</w:t>
      </w:r>
    </w:p>
    <w:p w14:paraId="1AB9265F" w14:textId="77777777" w:rsidR="00014369" w:rsidRDefault="00014369" w:rsidP="00014369">
      <w:pPr>
        <w:rPr>
          <w:lang w:val="en-US"/>
        </w:rPr>
      </w:pPr>
      <w:r w:rsidRPr="00014369">
        <w:rPr>
          <w:b/>
          <w:bCs/>
          <w:lang w:val="en-US"/>
        </w:rPr>
        <w:t>3</w:t>
      </w:r>
      <w:r w:rsidRPr="00014369">
        <w:rPr>
          <w:lang w:val="en-US"/>
        </w:rPr>
        <w:tab/>
        <w:t>that calculation of interference that may result from atmospheric and precipitation effects should be based on weather statistics that apply for 0.001% of the time (see § 2.3 of Annex 1).</w:t>
      </w:r>
    </w:p>
    <w:p w14:paraId="4C01BC0A" w14:textId="77777777" w:rsidR="00014369" w:rsidRPr="00014369" w:rsidRDefault="00014369" w:rsidP="00014369">
      <w:pPr>
        <w:pStyle w:val="AnnexNoTitle"/>
        <w:rPr>
          <w:lang w:val="en-US"/>
        </w:rPr>
      </w:pPr>
      <w:r w:rsidRPr="00014369">
        <w:rPr>
          <w:lang w:val="en-US"/>
        </w:rPr>
        <w:lastRenderedPageBreak/>
        <w:t>Annex 1</w:t>
      </w:r>
      <w:r w:rsidRPr="00014369">
        <w:rPr>
          <w:lang w:val="en-US"/>
        </w:rPr>
        <w:br/>
      </w:r>
      <w:r w:rsidRPr="00014369">
        <w:rPr>
          <w:lang w:val="en-US"/>
        </w:rPr>
        <w:br/>
        <w:t>Protection criteria for deep-space research</w:t>
      </w:r>
    </w:p>
    <w:p w14:paraId="7997A7F1" w14:textId="77777777" w:rsidR="00014369" w:rsidRPr="00014369" w:rsidRDefault="00014369" w:rsidP="00014369">
      <w:pPr>
        <w:pStyle w:val="Heading1"/>
        <w:rPr>
          <w:lang w:val="en-US"/>
        </w:rPr>
      </w:pPr>
      <w:r w:rsidRPr="00014369">
        <w:rPr>
          <w:lang w:val="en-US"/>
        </w:rPr>
        <w:t>1</w:t>
      </w:r>
      <w:r w:rsidRPr="00014369">
        <w:rPr>
          <w:lang w:val="en-US"/>
        </w:rPr>
        <w:tab/>
        <w:t>Introduction</w:t>
      </w:r>
    </w:p>
    <w:p w14:paraId="4A12C05C" w14:textId="77777777" w:rsidR="00014369" w:rsidRPr="00014369" w:rsidRDefault="00014369" w:rsidP="00014369">
      <w:pPr>
        <w:rPr>
          <w:lang w:val="en-US"/>
        </w:rPr>
      </w:pPr>
      <w:r w:rsidRPr="00014369">
        <w:rPr>
          <w:lang w:val="en-US"/>
        </w:rPr>
        <w:t>This Annex establishes protection criteria for deep-space research. These criteria may be used in calculations of coordination distance and for other analysis. The protection criteria are also relevant to studies of sharing within the space research service. Potential interference with other services is considered and conclusions are drawn about the feasibility of sharing. Future relay satellites for use in deep-space missions are not considered in this Annex.</w:t>
      </w:r>
    </w:p>
    <w:p w14:paraId="4C6A7458" w14:textId="77777777" w:rsidR="00014369" w:rsidRPr="00014369" w:rsidRDefault="00014369" w:rsidP="00014369">
      <w:pPr>
        <w:rPr>
          <w:lang w:val="en-US"/>
        </w:rPr>
      </w:pPr>
      <w:r w:rsidRPr="00014369">
        <w:rPr>
          <w:lang w:val="en-US"/>
        </w:rPr>
        <w:t>The protection criteria are based on the susceptibility of receivers typically used for deep-space research, as described in Annex 2.</w:t>
      </w:r>
    </w:p>
    <w:p w14:paraId="2AFE3587" w14:textId="77777777" w:rsidR="00014369" w:rsidRPr="00014369" w:rsidRDefault="00014369" w:rsidP="00014369">
      <w:pPr>
        <w:pStyle w:val="Heading2"/>
        <w:rPr>
          <w:lang w:val="en-US"/>
        </w:rPr>
      </w:pPr>
      <w:r w:rsidRPr="00014369">
        <w:rPr>
          <w:lang w:val="en-US"/>
        </w:rPr>
        <w:t>1.1</w:t>
      </w:r>
      <w:r w:rsidRPr="00014369">
        <w:rPr>
          <w:lang w:val="en-US"/>
        </w:rPr>
        <w:tab/>
        <w:t>Interference effects and consequences</w:t>
      </w:r>
    </w:p>
    <w:p w14:paraId="7558428C" w14:textId="77777777" w:rsidR="00014369" w:rsidRPr="00014369" w:rsidRDefault="00014369" w:rsidP="00014369">
      <w:pPr>
        <w:rPr>
          <w:lang w:val="en-US"/>
        </w:rPr>
      </w:pPr>
      <w:r w:rsidRPr="00014369">
        <w:rPr>
          <w:lang w:val="en-US"/>
        </w:rPr>
        <w:t>The consequence of interference that impairs the proper functioning of an earth-station or space-station receiver can be a reduction or interruption in the ability to navigate and control a spacecraft, and in the ability to receive scientific and engineering data sent by a spacecraft.</w:t>
      </w:r>
    </w:p>
    <w:p w14:paraId="55FDF223" w14:textId="77777777" w:rsidR="00014369" w:rsidRPr="00014369" w:rsidRDefault="00014369" w:rsidP="00014369">
      <w:pPr>
        <w:rPr>
          <w:lang w:val="en-US"/>
        </w:rPr>
      </w:pPr>
      <w:r w:rsidRPr="00014369">
        <w:rPr>
          <w:lang w:val="en-US"/>
        </w:rPr>
        <w:t>The receiver contains several synchronization loops, each of which locks to, and tracks, a particular signal component. With sufficiently strong interference, one or more of the several loops will lose lock on the desired signal. Momentary interference can also cause this unlocking and it may take several minutes in the case of the weakest signals to regain lock. During the critical periods that occur during most deep-space missions, it is essential to transmit and receive scientific data without error or interruption. Loss of lock during these periods results in irretrievable data loss. It is this characteristic that leads to such severe requirements for protection from interference. In contrast, the data communicated by some other radio services are often available for retransmission.</w:t>
      </w:r>
    </w:p>
    <w:p w14:paraId="0A3F1D88" w14:textId="77777777" w:rsidR="00014369" w:rsidRPr="00014369" w:rsidRDefault="00014369" w:rsidP="00014369">
      <w:pPr>
        <w:rPr>
          <w:lang w:val="en-US"/>
        </w:rPr>
      </w:pPr>
      <w:r w:rsidRPr="00014369">
        <w:rPr>
          <w:lang w:val="en-US"/>
        </w:rPr>
        <w:t>For some modes of operation, the loop bandwidths are unusually narrow. A particular example is the carrier tracking loop in the earth-station receiver. This bandwidth may be as narrow as 1 Hz, and in special circumstances less (300 </w:t>
      </w:r>
      <w:proofErr w:type="spellStart"/>
      <w:r w:rsidR="00807B9C" w:rsidRPr="007D35E7">
        <w:rPr>
          <w:lang w:val="en-US"/>
        </w:rPr>
        <w:t>m</w:t>
      </w:r>
      <w:r w:rsidRPr="007D35E7">
        <w:rPr>
          <w:lang w:val="en-US"/>
        </w:rPr>
        <w:t>Hz</w:t>
      </w:r>
      <w:proofErr w:type="spellEnd"/>
      <w:r w:rsidRPr="00014369">
        <w:rPr>
          <w:lang w:val="en-US"/>
        </w:rPr>
        <w:t xml:space="preserve">). It might be concluded that it would be unlikely that an interfering signal would lie exactly within that bandwidth, but it must be remembered that the frequency of the desired signal is Doppler shifted </w:t>
      </w:r>
      <w:proofErr w:type="gramStart"/>
      <w:r w:rsidRPr="00014369">
        <w:rPr>
          <w:lang w:val="en-US"/>
        </w:rPr>
        <w:t>as a result of</w:t>
      </w:r>
      <w:proofErr w:type="gramEnd"/>
      <w:r w:rsidRPr="00014369">
        <w:rPr>
          <w:lang w:val="en-US"/>
        </w:rPr>
        <w:t xml:space="preserve"> Earth rotation. For example, an 8.4 GHz signal will be shifted </w:t>
      </w:r>
      <w:r w:rsidRPr="0067409F">
        <w:rPr>
          <w:rFonts w:ascii="Symbol" w:hAnsi="Symbol"/>
        </w:rPr>
        <w:t></w:t>
      </w:r>
      <w:r w:rsidRPr="00014369">
        <w:rPr>
          <w:lang w:val="en-US"/>
        </w:rPr>
        <w:t xml:space="preserve">11 kHz when received by an earth station located at a latitude of 35°. An interfering signal with a fixed frequency that is anywhere within the Doppler-shifted range of the deep-space signal will sweep through the carrier tracking loop bandwidth, and unlocking can result. In addition, interference does not have to be exactly within the loop bandwidth </w:t>
      </w:r>
      <w:proofErr w:type="gramStart"/>
      <w:r w:rsidRPr="00014369">
        <w:rPr>
          <w:lang w:val="en-US"/>
        </w:rPr>
        <w:t>in order to</w:t>
      </w:r>
      <w:proofErr w:type="gramEnd"/>
      <w:r w:rsidRPr="00014369">
        <w:rPr>
          <w:lang w:val="en-US"/>
        </w:rPr>
        <w:t xml:space="preserve"> affect the loop. </w:t>
      </w:r>
      <w:proofErr w:type="gramStart"/>
      <w:r w:rsidRPr="00014369">
        <w:rPr>
          <w:lang w:val="en-US"/>
        </w:rPr>
        <w:t>As long as</w:t>
      </w:r>
      <w:proofErr w:type="gramEnd"/>
      <w:r w:rsidRPr="00014369">
        <w:rPr>
          <w:lang w:val="en-US"/>
        </w:rPr>
        <w:t xml:space="preserve"> the interference frequency is near the loop bandwidth, and has sufficient power, severe degradation is possible. Interference that is remote from the loop bandwidth can also cause degradation through other mechanisms, such as maser saturation.</w:t>
      </w:r>
    </w:p>
    <w:p w14:paraId="325CA4B4" w14:textId="77777777" w:rsidR="00014369" w:rsidRPr="00014369" w:rsidRDefault="00014369" w:rsidP="00014369">
      <w:pPr>
        <w:pStyle w:val="Heading2"/>
        <w:rPr>
          <w:lang w:val="en-US"/>
        </w:rPr>
      </w:pPr>
      <w:r w:rsidRPr="00014369">
        <w:rPr>
          <w:lang w:val="en-US"/>
        </w:rPr>
        <w:t>1.2</w:t>
      </w:r>
      <w:r w:rsidRPr="00014369">
        <w:rPr>
          <w:lang w:val="en-US"/>
        </w:rPr>
        <w:tab/>
        <w:t>Development of protection criteria</w:t>
      </w:r>
    </w:p>
    <w:p w14:paraId="27274D02" w14:textId="77777777" w:rsidR="00014369" w:rsidRPr="00014369" w:rsidRDefault="00014369" w:rsidP="00014369">
      <w:pPr>
        <w:rPr>
          <w:lang w:val="en-US"/>
        </w:rPr>
      </w:pPr>
      <w:r w:rsidRPr="00014369">
        <w:rPr>
          <w:lang w:val="en-US"/>
        </w:rPr>
        <w:t>To ensure the proper operation of the entire receiving system, each of the four subsystems must be protected against interference. A protection criterion specifies the amount of interference power that will result in a maximum acceptable degradation of performance. The maximum acceptable degradation for each subsystem is given in Table 1. Using these values, the corresponding maximum allowable interference may be determined.</w:t>
      </w:r>
    </w:p>
    <w:p w14:paraId="29C2015F" w14:textId="77777777" w:rsidR="00014369" w:rsidRDefault="00014369" w:rsidP="003530BF">
      <w:pPr>
        <w:keepLines/>
        <w:rPr>
          <w:lang w:val="en-US"/>
        </w:rPr>
      </w:pPr>
      <w:r w:rsidRPr="00014369">
        <w:rPr>
          <w:lang w:val="en-US"/>
        </w:rPr>
        <w:lastRenderedPageBreak/>
        <w:t>In the following sections of this Annex, protection criteria are developed. For each of the several receiver subsystems, there is a maximum acceptable performance degradation as caused by interference. The amount of interference that can cause such degradation is presented in Annex 2. The receiver subsystem that is most sensitive to interference determines the maximum allowable interference. This amount is the protection criterion for the receiver. Greater interference is harmful.</w:t>
      </w:r>
    </w:p>
    <w:p w14:paraId="12BB6378" w14:textId="77777777" w:rsidR="003530BF" w:rsidRPr="00014369" w:rsidRDefault="003530BF" w:rsidP="003530BF">
      <w:pPr>
        <w:keepLines/>
        <w:rPr>
          <w:lang w:val="en-US"/>
        </w:rPr>
      </w:pPr>
    </w:p>
    <w:p w14:paraId="39E3B0C9" w14:textId="77777777" w:rsidR="00014369" w:rsidRPr="00014369" w:rsidRDefault="00014369" w:rsidP="00014369">
      <w:pPr>
        <w:pStyle w:val="TableNo"/>
        <w:rPr>
          <w:lang w:val="en-US"/>
        </w:rPr>
      </w:pPr>
      <w:r w:rsidRPr="00014369">
        <w:rPr>
          <w:lang w:val="en-US"/>
        </w:rPr>
        <w:t>TABLE 1</w:t>
      </w:r>
    </w:p>
    <w:p w14:paraId="6F01DFB7" w14:textId="77777777" w:rsidR="00014369" w:rsidRPr="0067409F" w:rsidRDefault="00014369" w:rsidP="000E5383">
      <w:pPr>
        <w:pStyle w:val="Tabletitle"/>
      </w:pPr>
      <w:r w:rsidRPr="0067409F">
        <w:t xml:space="preserve">Maximum acceptable </w:t>
      </w:r>
      <w:proofErr w:type="spellStart"/>
      <w:r w:rsidRPr="0067409F">
        <w:t>degradation</w:t>
      </w:r>
      <w:proofErr w:type="spellEnd"/>
      <w:r w:rsidRPr="0067409F">
        <w:t xml:space="preserve"> of </w:t>
      </w:r>
      <w:proofErr w:type="spellStart"/>
      <w:r w:rsidRPr="0067409F">
        <w:t>receiving</w:t>
      </w:r>
      <w:proofErr w:type="spellEnd"/>
      <w:r w:rsidRPr="0067409F">
        <w:t xml:space="preserve"> </w:t>
      </w:r>
      <w:proofErr w:type="spellStart"/>
      <w:r w:rsidRPr="0067409F">
        <w:t>subsystems</w:t>
      </w:r>
      <w:proofErr w:type="spellEnd"/>
    </w:p>
    <w:tbl>
      <w:tblPr>
        <w:tblW w:w="0" w:type="auto"/>
        <w:jc w:val="center"/>
        <w:tblLayout w:type="fixed"/>
        <w:tblLook w:val="0000" w:firstRow="0" w:lastRow="0" w:firstColumn="0" w:lastColumn="0" w:noHBand="0" w:noVBand="0"/>
      </w:tblPr>
      <w:tblGrid>
        <w:gridCol w:w="3686"/>
        <w:gridCol w:w="4820"/>
      </w:tblGrid>
      <w:tr w:rsidR="00014369" w:rsidRPr="0067409F" w14:paraId="2A186F29" w14:textId="77777777">
        <w:tblPrEx>
          <w:tblCellMar>
            <w:top w:w="0" w:type="dxa"/>
            <w:bottom w:w="0" w:type="dxa"/>
          </w:tblCellMar>
        </w:tblPrEx>
        <w:trPr>
          <w:cantSplit/>
          <w:jc w:val="center"/>
        </w:trPr>
        <w:tc>
          <w:tcPr>
            <w:tcW w:w="3686" w:type="dxa"/>
            <w:tcBorders>
              <w:top w:val="single" w:sz="6" w:space="0" w:color="auto"/>
              <w:left w:val="single" w:sz="6" w:space="0" w:color="auto"/>
              <w:right w:val="single" w:sz="6" w:space="0" w:color="auto"/>
            </w:tcBorders>
          </w:tcPr>
          <w:p w14:paraId="35F0615F" w14:textId="77777777" w:rsidR="00014369" w:rsidRPr="0067409F" w:rsidRDefault="00014369" w:rsidP="00014369">
            <w:pPr>
              <w:pStyle w:val="Tablehead"/>
            </w:pPr>
            <w:proofErr w:type="spellStart"/>
            <w:r w:rsidRPr="0067409F">
              <w:t>Receiving</w:t>
            </w:r>
            <w:proofErr w:type="spellEnd"/>
            <w:r w:rsidRPr="0067409F">
              <w:t xml:space="preserve"> </w:t>
            </w:r>
            <w:proofErr w:type="spellStart"/>
            <w:r w:rsidRPr="0067409F">
              <w:t>subsystem</w:t>
            </w:r>
            <w:proofErr w:type="spellEnd"/>
          </w:p>
        </w:tc>
        <w:tc>
          <w:tcPr>
            <w:tcW w:w="4820" w:type="dxa"/>
            <w:tcBorders>
              <w:top w:val="single" w:sz="6" w:space="0" w:color="auto"/>
              <w:left w:val="single" w:sz="6" w:space="0" w:color="auto"/>
              <w:right w:val="single" w:sz="6" w:space="0" w:color="auto"/>
            </w:tcBorders>
          </w:tcPr>
          <w:p w14:paraId="61D456F2" w14:textId="77777777" w:rsidR="00014369" w:rsidRPr="0067409F" w:rsidRDefault="00014369" w:rsidP="00014369">
            <w:pPr>
              <w:pStyle w:val="Tablehead"/>
            </w:pPr>
            <w:r w:rsidRPr="0067409F">
              <w:t xml:space="preserve">Maximum acceptable </w:t>
            </w:r>
            <w:proofErr w:type="spellStart"/>
            <w:r w:rsidRPr="0067409F">
              <w:t>degradation</w:t>
            </w:r>
            <w:proofErr w:type="spellEnd"/>
          </w:p>
        </w:tc>
      </w:tr>
      <w:tr w:rsidR="00014369" w:rsidRPr="0067409F" w14:paraId="329DF2E3" w14:textId="77777777">
        <w:tblPrEx>
          <w:tblCellMar>
            <w:top w:w="0" w:type="dxa"/>
            <w:bottom w:w="0" w:type="dxa"/>
          </w:tblCellMar>
        </w:tblPrEx>
        <w:trPr>
          <w:cantSplit/>
          <w:jc w:val="center"/>
        </w:trPr>
        <w:tc>
          <w:tcPr>
            <w:tcW w:w="3686" w:type="dxa"/>
            <w:tcBorders>
              <w:top w:val="single" w:sz="6" w:space="0" w:color="auto"/>
              <w:left w:val="single" w:sz="6" w:space="0" w:color="auto"/>
              <w:right w:val="single" w:sz="6" w:space="0" w:color="auto"/>
            </w:tcBorders>
          </w:tcPr>
          <w:p w14:paraId="066D4B4B" w14:textId="77777777" w:rsidR="00014369" w:rsidRPr="0067409F" w:rsidRDefault="00014369" w:rsidP="00014369">
            <w:pPr>
              <w:pStyle w:val="Tabletext"/>
            </w:pPr>
            <w:r w:rsidRPr="0067409F">
              <w:t xml:space="preserve">Maser </w:t>
            </w:r>
            <w:proofErr w:type="spellStart"/>
            <w:r w:rsidRPr="0067409F">
              <w:t>pre</w:t>
            </w:r>
            <w:proofErr w:type="spellEnd"/>
            <w:r w:rsidRPr="0067409F">
              <w:t>-amplifier</w:t>
            </w:r>
          </w:p>
        </w:tc>
        <w:tc>
          <w:tcPr>
            <w:tcW w:w="4820" w:type="dxa"/>
            <w:tcBorders>
              <w:top w:val="single" w:sz="6" w:space="0" w:color="auto"/>
              <w:right w:val="single" w:sz="6" w:space="0" w:color="auto"/>
            </w:tcBorders>
          </w:tcPr>
          <w:p w14:paraId="29EE3618" w14:textId="77777777" w:rsidR="00014369" w:rsidRPr="0067409F" w:rsidRDefault="00014369" w:rsidP="000E5383">
            <w:pPr>
              <w:pStyle w:val="Tabletext"/>
              <w:jc w:val="left"/>
            </w:pPr>
            <w:r w:rsidRPr="0067409F">
              <w:t>1 dB gain compression</w:t>
            </w:r>
          </w:p>
        </w:tc>
      </w:tr>
      <w:tr w:rsidR="00014369" w:rsidRPr="00014369" w14:paraId="1004362D" w14:textId="77777777">
        <w:tblPrEx>
          <w:tblCellMar>
            <w:top w:w="0" w:type="dxa"/>
            <w:bottom w:w="0" w:type="dxa"/>
          </w:tblCellMar>
        </w:tblPrEx>
        <w:trPr>
          <w:cantSplit/>
          <w:jc w:val="center"/>
        </w:trPr>
        <w:tc>
          <w:tcPr>
            <w:tcW w:w="3686" w:type="dxa"/>
            <w:tcBorders>
              <w:left w:val="single" w:sz="6" w:space="0" w:color="auto"/>
              <w:right w:val="single" w:sz="6" w:space="0" w:color="auto"/>
            </w:tcBorders>
          </w:tcPr>
          <w:p w14:paraId="707BC2D5" w14:textId="77777777" w:rsidR="00014369" w:rsidRPr="0067409F" w:rsidRDefault="00014369" w:rsidP="00014369">
            <w:pPr>
              <w:pStyle w:val="Tabletext"/>
            </w:pPr>
            <w:r w:rsidRPr="0067409F">
              <w:t xml:space="preserve">Carrier </w:t>
            </w:r>
            <w:proofErr w:type="spellStart"/>
            <w:r w:rsidRPr="0067409F">
              <w:t>tracking</w:t>
            </w:r>
            <w:proofErr w:type="spellEnd"/>
          </w:p>
        </w:tc>
        <w:tc>
          <w:tcPr>
            <w:tcW w:w="4820" w:type="dxa"/>
            <w:tcBorders>
              <w:right w:val="single" w:sz="6" w:space="0" w:color="auto"/>
            </w:tcBorders>
          </w:tcPr>
          <w:p w14:paraId="56EE5373" w14:textId="77777777" w:rsidR="00014369" w:rsidRPr="00014369" w:rsidRDefault="00014369" w:rsidP="000E5383">
            <w:pPr>
              <w:pStyle w:val="Tabletext"/>
              <w:jc w:val="left"/>
              <w:rPr>
                <w:lang w:val="en-US"/>
              </w:rPr>
            </w:pPr>
            <w:r w:rsidRPr="00014369">
              <w:rPr>
                <w:lang w:val="en-US"/>
              </w:rPr>
              <w:t>10° loop static phase error or peak phase jitter</w:t>
            </w:r>
          </w:p>
        </w:tc>
      </w:tr>
      <w:tr w:rsidR="00014369" w:rsidRPr="00014369" w14:paraId="3834E940" w14:textId="77777777">
        <w:tblPrEx>
          <w:tblCellMar>
            <w:top w:w="0" w:type="dxa"/>
            <w:bottom w:w="0" w:type="dxa"/>
          </w:tblCellMar>
        </w:tblPrEx>
        <w:trPr>
          <w:cantSplit/>
          <w:jc w:val="center"/>
        </w:trPr>
        <w:tc>
          <w:tcPr>
            <w:tcW w:w="3686" w:type="dxa"/>
            <w:tcBorders>
              <w:left w:val="single" w:sz="6" w:space="0" w:color="auto"/>
              <w:right w:val="single" w:sz="6" w:space="0" w:color="auto"/>
            </w:tcBorders>
          </w:tcPr>
          <w:p w14:paraId="0C9F1632" w14:textId="77777777" w:rsidR="00014369" w:rsidRPr="0067409F" w:rsidRDefault="00014369" w:rsidP="00014369">
            <w:pPr>
              <w:pStyle w:val="Tabletext"/>
            </w:pPr>
            <w:proofErr w:type="spellStart"/>
            <w:r w:rsidRPr="0067409F">
              <w:t>Telemetry</w:t>
            </w:r>
            <w:proofErr w:type="spellEnd"/>
          </w:p>
        </w:tc>
        <w:tc>
          <w:tcPr>
            <w:tcW w:w="4820" w:type="dxa"/>
            <w:tcBorders>
              <w:right w:val="single" w:sz="6" w:space="0" w:color="auto"/>
            </w:tcBorders>
          </w:tcPr>
          <w:p w14:paraId="4E233855" w14:textId="77777777" w:rsidR="00014369" w:rsidRPr="00014369" w:rsidRDefault="00014369" w:rsidP="000E5383">
            <w:pPr>
              <w:pStyle w:val="Tabletext"/>
              <w:jc w:val="left"/>
              <w:rPr>
                <w:lang w:val="en-US"/>
              </w:rPr>
            </w:pPr>
            <w:r w:rsidRPr="00014369">
              <w:rPr>
                <w:lang w:val="en-US"/>
              </w:rPr>
              <w:t>1 dB equivalent reduction in symbol energy to noise spectral density ratio (</w:t>
            </w:r>
            <w:r w:rsidRPr="0067409F">
              <w:rPr>
                <w:rFonts w:ascii="Symbol" w:hAnsi="Symbol"/>
              </w:rPr>
              <w:t></w:t>
            </w:r>
            <w:r w:rsidRPr="00014369">
              <w:rPr>
                <w:i/>
                <w:lang w:val="en-US"/>
              </w:rPr>
              <w:t>E</w:t>
            </w:r>
            <w:r w:rsidRPr="00014369">
              <w:rPr>
                <w:lang w:val="en-US"/>
              </w:rPr>
              <w:t>/</w:t>
            </w:r>
            <w:r w:rsidRPr="00014369">
              <w:rPr>
                <w:i/>
                <w:lang w:val="en-US"/>
              </w:rPr>
              <w:t>N</w:t>
            </w:r>
            <w:r w:rsidRPr="00014369">
              <w:rPr>
                <w:position w:val="-4"/>
                <w:sz w:val="14"/>
                <w:lang w:val="en-US"/>
              </w:rPr>
              <w:t>0</w:t>
            </w:r>
            <w:r w:rsidRPr="00014369">
              <w:rPr>
                <w:lang w:val="en-US"/>
              </w:rPr>
              <w:t xml:space="preserve"> </w:t>
            </w:r>
            <w:r w:rsidRPr="0067409F">
              <w:rPr>
                <w:rFonts w:ascii="Symbol" w:hAnsi="Symbol"/>
              </w:rPr>
              <w:t></w:t>
            </w:r>
            <w:r w:rsidRPr="00014369">
              <w:rPr>
                <w:lang w:val="en-US"/>
              </w:rPr>
              <w:t xml:space="preserve"> –1 dB)</w:t>
            </w:r>
          </w:p>
        </w:tc>
      </w:tr>
      <w:tr w:rsidR="00014369" w:rsidRPr="00014369" w14:paraId="3A9AC665" w14:textId="77777777">
        <w:tblPrEx>
          <w:tblCellMar>
            <w:top w:w="0" w:type="dxa"/>
            <w:bottom w:w="0" w:type="dxa"/>
          </w:tblCellMar>
        </w:tblPrEx>
        <w:trPr>
          <w:cantSplit/>
          <w:jc w:val="center"/>
        </w:trPr>
        <w:tc>
          <w:tcPr>
            <w:tcW w:w="3686" w:type="dxa"/>
            <w:tcBorders>
              <w:left w:val="single" w:sz="6" w:space="0" w:color="auto"/>
              <w:bottom w:val="single" w:sz="6" w:space="0" w:color="auto"/>
              <w:right w:val="single" w:sz="6" w:space="0" w:color="auto"/>
            </w:tcBorders>
          </w:tcPr>
          <w:p w14:paraId="60E503F4" w14:textId="77777777" w:rsidR="00014369" w:rsidRPr="0067409F" w:rsidRDefault="00014369" w:rsidP="00014369">
            <w:pPr>
              <w:pStyle w:val="Tabletext"/>
            </w:pPr>
            <w:proofErr w:type="spellStart"/>
            <w:r w:rsidRPr="0067409F">
              <w:t>Ranging</w:t>
            </w:r>
            <w:proofErr w:type="spellEnd"/>
          </w:p>
        </w:tc>
        <w:tc>
          <w:tcPr>
            <w:tcW w:w="4820" w:type="dxa"/>
            <w:tcBorders>
              <w:bottom w:val="single" w:sz="6" w:space="0" w:color="auto"/>
              <w:right w:val="single" w:sz="6" w:space="0" w:color="auto"/>
            </w:tcBorders>
          </w:tcPr>
          <w:p w14:paraId="4CD5A153" w14:textId="77777777" w:rsidR="00014369" w:rsidRPr="00014369" w:rsidRDefault="00014369" w:rsidP="000E5383">
            <w:pPr>
              <w:pStyle w:val="Tabletext"/>
              <w:jc w:val="left"/>
              <w:rPr>
                <w:lang w:val="en-US"/>
              </w:rPr>
            </w:pPr>
            <w:r w:rsidRPr="00014369">
              <w:rPr>
                <w:lang w:val="en-US"/>
              </w:rPr>
              <w:t>1 dB equivalent reduction in symbol energy to noise spectral density ratio (</w:t>
            </w:r>
            <w:r w:rsidRPr="0067409F">
              <w:rPr>
                <w:rFonts w:ascii="Symbol" w:hAnsi="Symbol"/>
              </w:rPr>
              <w:t></w:t>
            </w:r>
            <w:r w:rsidRPr="00014369">
              <w:rPr>
                <w:i/>
                <w:lang w:val="en-US"/>
              </w:rPr>
              <w:t>E</w:t>
            </w:r>
            <w:r w:rsidRPr="00014369">
              <w:rPr>
                <w:lang w:val="en-US"/>
              </w:rPr>
              <w:t>/</w:t>
            </w:r>
            <w:r w:rsidRPr="00014369">
              <w:rPr>
                <w:i/>
                <w:lang w:val="en-US"/>
              </w:rPr>
              <w:t>N</w:t>
            </w:r>
            <w:r w:rsidRPr="00014369">
              <w:rPr>
                <w:position w:val="-4"/>
                <w:sz w:val="14"/>
                <w:lang w:val="en-US"/>
              </w:rPr>
              <w:t>0</w:t>
            </w:r>
            <w:r w:rsidRPr="00014369">
              <w:rPr>
                <w:lang w:val="en-US"/>
              </w:rPr>
              <w:t xml:space="preserve"> </w:t>
            </w:r>
            <w:r w:rsidRPr="0067409F">
              <w:rPr>
                <w:rFonts w:ascii="Symbol" w:hAnsi="Symbol"/>
              </w:rPr>
              <w:t></w:t>
            </w:r>
            <w:r w:rsidRPr="00014369">
              <w:rPr>
                <w:lang w:val="en-US"/>
              </w:rPr>
              <w:t xml:space="preserve"> –1 dB)</w:t>
            </w:r>
          </w:p>
        </w:tc>
      </w:tr>
    </w:tbl>
    <w:p w14:paraId="5EB9D0FA" w14:textId="77777777" w:rsidR="000E5383" w:rsidRDefault="000E5383" w:rsidP="000E5383">
      <w:pPr>
        <w:pStyle w:val="Tablefin"/>
      </w:pPr>
    </w:p>
    <w:p w14:paraId="1993012E" w14:textId="77777777" w:rsidR="003530BF" w:rsidRPr="003530BF" w:rsidRDefault="003530BF" w:rsidP="003530BF">
      <w:pPr>
        <w:rPr>
          <w:lang w:val="en-GB"/>
        </w:rPr>
      </w:pPr>
    </w:p>
    <w:p w14:paraId="37A10CF1" w14:textId="77777777" w:rsidR="00014369" w:rsidRPr="00014369" w:rsidRDefault="00014369" w:rsidP="00014369">
      <w:pPr>
        <w:pStyle w:val="Heading1"/>
        <w:rPr>
          <w:lang w:val="en-US"/>
        </w:rPr>
      </w:pPr>
      <w:r w:rsidRPr="00014369">
        <w:rPr>
          <w:lang w:val="en-US"/>
        </w:rPr>
        <w:t>2</w:t>
      </w:r>
      <w:r w:rsidRPr="00014369">
        <w:rPr>
          <w:lang w:val="en-US"/>
        </w:rPr>
        <w:tab/>
        <w:t>Protection criteria for deep-space earth stations</w:t>
      </w:r>
    </w:p>
    <w:p w14:paraId="387A3B1D" w14:textId="77777777" w:rsidR="00014369" w:rsidRPr="00014369" w:rsidRDefault="00014369" w:rsidP="00014369">
      <w:pPr>
        <w:rPr>
          <w:lang w:val="en-US"/>
        </w:rPr>
      </w:pPr>
      <w:r w:rsidRPr="00014369">
        <w:rPr>
          <w:lang w:val="en-US"/>
        </w:rPr>
        <w:t xml:space="preserve">There are four receiver subsystems that are sensitive to interference: maser pre-amplifier, carrier tracking loop, telemetering </w:t>
      </w:r>
      <w:proofErr w:type="gramStart"/>
      <w:r w:rsidRPr="00014369">
        <w:rPr>
          <w:lang w:val="en-US"/>
        </w:rPr>
        <w:t>subsystem</w:t>
      </w:r>
      <w:proofErr w:type="gramEnd"/>
      <w:r w:rsidRPr="00014369">
        <w:rPr>
          <w:lang w:val="en-US"/>
        </w:rPr>
        <w:t xml:space="preserve"> and ranging subsystem.</w:t>
      </w:r>
    </w:p>
    <w:p w14:paraId="443A9EE7" w14:textId="77777777" w:rsidR="00014369" w:rsidRPr="00014369" w:rsidRDefault="00014369" w:rsidP="00014369">
      <w:pPr>
        <w:pStyle w:val="Heading2"/>
        <w:rPr>
          <w:lang w:val="en-US"/>
        </w:rPr>
      </w:pPr>
      <w:r w:rsidRPr="00014369">
        <w:rPr>
          <w:lang w:val="en-US"/>
        </w:rPr>
        <w:t>2.1</w:t>
      </w:r>
      <w:r w:rsidRPr="00014369">
        <w:rPr>
          <w:lang w:val="en-US"/>
        </w:rPr>
        <w:tab/>
        <w:t>Maximum acceptable performance degradation</w:t>
      </w:r>
    </w:p>
    <w:p w14:paraId="17EED5D1" w14:textId="77777777" w:rsidR="00014369" w:rsidRPr="00014369" w:rsidRDefault="00014369" w:rsidP="00014369">
      <w:pPr>
        <w:rPr>
          <w:lang w:val="en-US"/>
        </w:rPr>
      </w:pPr>
      <w:r w:rsidRPr="00014369">
        <w:rPr>
          <w:lang w:val="en-US"/>
        </w:rPr>
        <w:t xml:space="preserve">The gain of a maser pre-amplifier is reduced as a function of the input power for very strong signals or interference. This gain compression results in non-linear operation. Strong interference can thus produce non-linear effects on the desired signal, including generation of spurious signals. The maximum acceptable gain compression </w:t>
      </w:r>
      <w:proofErr w:type="gramStart"/>
      <w:r w:rsidRPr="00014369">
        <w:rPr>
          <w:lang w:val="en-US"/>
        </w:rPr>
        <w:t>is considered to be</w:t>
      </w:r>
      <w:proofErr w:type="gramEnd"/>
      <w:r w:rsidRPr="00014369">
        <w:rPr>
          <w:lang w:val="en-US"/>
        </w:rPr>
        <w:t xml:space="preserve"> 1 </w:t>
      </w:r>
      <w:proofErr w:type="spellStart"/>
      <w:r w:rsidRPr="00014369">
        <w:rPr>
          <w:lang w:val="en-US"/>
        </w:rPr>
        <w:t>dB.</w:t>
      </w:r>
      <w:proofErr w:type="spellEnd"/>
      <w:r w:rsidRPr="00014369">
        <w:rPr>
          <w:lang w:val="en-US"/>
        </w:rPr>
        <w:t xml:space="preserve"> The use of gain compression as a measure of non-linear effects is common practice.</w:t>
      </w:r>
    </w:p>
    <w:p w14:paraId="408D7ADB" w14:textId="77777777" w:rsidR="00014369" w:rsidRPr="00014369" w:rsidRDefault="00014369" w:rsidP="00014369">
      <w:pPr>
        <w:rPr>
          <w:lang w:val="en-US"/>
        </w:rPr>
      </w:pPr>
      <w:r w:rsidRPr="00014369">
        <w:rPr>
          <w:lang w:val="en-US"/>
        </w:rPr>
        <w:t xml:space="preserve">The response of the carrier tracking loop to interference is an increase in phase error and jitter. Sufficiently strong interference can cause loss of lock. The maximum acceptable degradation </w:t>
      </w:r>
      <w:proofErr w:type="gramStart"/>
      <w:r w:rsidRPr="00014369">
        <w:rPr>
          <w:lang w:val="en-US"/>
        </w:rPr>
        <w:t>is considered to be</w:t>
      </w:r>
      <w:proofErr w:type="gramEnd"/>
      <w:r w:rsidRPr="00014369">
        <w:rPr>
          <w:lang w:val="en-US"/>
        </w:rPr>
        <w:t xml:space="preserve"> a 10° increase in static phase error or a 10° increase in peak phase jitter.</w:t>
      </w:r>
    </w:p>
    <w:p w14:paraId="0EAF0BCA" w14:textId="77777777" w:rsidR="00014369" w:rsidRPr="00014369" w:rsidRDefault="00014369" w:rsidP="00014369">
      <w:pPr>
        <w:rPr>
          <w:lang w:val="en-US"/>
        </w:rPr>
      </w:pPr>
      <w:r w:rsidRPr="00014369">
        <w:rPr>
          <w:lang w:val="en-US"/>
        </w:rPr>
        <w:t xml:space="preserve">The degradation of telemetry bit error performance and ranging accuracy </w:t>
      </w:r>
      <w:proofErr w:type="gramStart"/>
      <w:r w:rsidRPr="00014369">
        <w:rPr>
          <w:lang w:val="en-US"/>
        </w:rPr>
        <w:t>as a result of</w:t>
      </w:r>
      <w:proofErr w:type="gramEnd"/>
      <w:r w:rsidRPr="00014369">
        <w:rPr>
          <w:lang w:val="en-US"/>
        </w:rPr>
        <w:t xml:space="preserve"> interference can be expressed in terms of a corresponding reduction in signal-to-noise ratio. The maximum acceptable degradation for the telemetry and ranging subsystems corresponds to a 1 dB reduction in the symbol energy-to-noise spectral density ratio.</w:t>
      </w:r>
    </w:p>
    <w:p w14:paraId="6C63EAE5" w14:textId="77777777" w:rsidR="00014369" w:rsidRPr="00014369" w:rsidRDefault="00014369" w:rsidP="00014369">
      <w:pPr>
        <w:rPr>
          <w:lang w:val="en-US"/>
        </w:rPr>
      </w:pPr>
      <w:r w:rsidRPr="00014369">
        <w:rPr>
          <w:lang w:val="en-US"/>
        </w:rPr>
        <w:t>The maximum allowable interference for each receiver subsystem is derived from the corresponding maximum acceptable degradation. The protection criterion for the entire receiver is the maximum allowable interference for the most sensitive subsystem.</w:t>
      </w:r>
    </w:p>
    <w:p w14:paraId="50373AF7" w14:textId="77777777" w:rsidR="00014369" w:rsidRPr="00014369" w:rsidRDefault="00014369" w:rsidP="00014369">
      <w:pPr>
        <w:rPr>
          <w:lang w:val="en-US"/>
        </w:rPr>
      </w:pPr>
      <w:r w:rsidRPr="00014369">
        <w:rPr>
          <w:lang w:val="en-US"/>
        </w:rPr>
        <w:t>Table 1 summarizes the maximum acceptable performance degradation for each of the four receiver subsystems.</w:t>
      </w:r>
    </w:p>
    <w:p w14:paraId="71DE0598" w14:textId="77777777" w:rsidR="00014369" w:rsidRPr="00014369" w:rsidRDefault="00014369" w:rsidP="00014369">
      <w:pPr>
        <w:pStyle w:val="Heading2"/>
        <w:rPr>
          <w:lang w:val="en-US"/>
        </w:rPr>
      </w:pPr>
      <w:r w:rsidRPr="00014369">
        <w:rPr>
          <w:lang w:val="en-US"/>
        </w:rPr>
        <w:lastRenderedPageBreak/>
        <w:t>2.2</w:t>
      </w:r>
      <w:r w:rsidRPr="00014369">
        <w:rPr>
          <w:lang w:val="en-US"/>
        </w:rPr>
        <w:tab/>
        <w:t xml:space="preserve">Interference levels corresponding to maximum acceptable performance </w:t>
      </w:r>
      <w:proofErr w:type="gramStart"/>
      <w:r w:rsidRPr="00014369">
        <w:rPr>
          <w:lang w:val="en-US"/>
        </w:rPr>
        <w:t>degradation</w:t>
      </w:r>
      <w:proofErr w:type="gramEnd"/>
    </w:p>
    <w:p w14:paraId="6D899FB0" w14:textId="77777777" w:rsidR="00014369" w:rsidRPr="00014369" w:rsidRDefault="00014369" w:rsidP="00014369">
      <w:pPr>
        <w:pStyle w:val="Heading3"/>
        <w:rPr>
          <w:lang w:val="en-US"/>
        </w:rPr>
      </w:pPr>
      <w:r w:rsidRPr="00014369">
        <w:rPr>
          <w:lang w:val="en-US"/>
        </w:rPr>
        <w:t>2.2.1</w:t>
      </w:r>
      <w:r w:rsidRPr="00014369">
        <w:rPr>
          <w:lang w:val="en-US"/>
        </w:rPr>
        <w:tab/>
        <w:t>Maser pre</w:t>
      </w:r>
      <w:r w:rsidRPr="00014369">
        <w:rPr>
          <w:lang w:val="en-US"/>
        </w:rPr>
        <w:noBreakHyphen/>
        <w:t>amplifier</w:t>
      </w:r>
    </w:p>
    <w:p w14:paraId="53C00C5C" w14:textId="77777777" w:rsidR="00014369" w:rsidRDefault="00014369" w:rsidP="00014369">
      <w:pPr>
        <w:rPr>
          <w:lang w:val="en-US"/>
        </w:rPr>
      </w:pPr>
      <w:r w:rsidRPr="00014369">
        <w:rPr>
          <w:lang w:val="en-US"/>
        </w:rPr>
        <w:t>Table 2 shows the interference power that causes a 1 dB gain compression in the maser pre</w:t>
      </w:r>
      <w:r w:rsidRPr="00014369">
        <w:rPr>
          <w:lang w:val="en-US"/>
        </w:rPr>
        <w:noBreakHyphen/>
        <w:t>amplifier. The data source is found in Annex 2.</w:t>
      </w:r>
    </w:p>
    <w:p w14:paraId="09A71525" w14:textId="77777777" w:rsidR="00014369" w:rsidRPr="00014369" w:rsidRDefault="00014369" w:rsidP="00014369">
      <w:pPr>
        <w:pStyle w:val="TableNo"/>
        <w:rPr>
          <w:lang w:val="en-US"/>
        </w:rPr>
      </w:pPr>
      <w:r w:rsidRPr="00014369">
        <w:rPr>
          <w:lang w:val="en-US"/>
        </w:rPr>
        <w:t>TABLE 2</w:t>
      </w:r>
    </w:p>
    <w:p w14:paraId="69E2D93F" w14:textId="77777777" w:rsidR="00014369" w:rsidRPr="00014369" w:rsidRDefault="00014369" w:rsidP="00014369">
      <w:pPr>
        <w:pStyle w:val="Tabletitle"/>
        <w:rPr>
          <w:lang w:val="en-US"/>
        </w:rPr>
      </w:pPr>
      <w:r w:rsidRPr="00014369">
        <w:rPr>
          <w:lang w:val="en-US"/>
        </w:rPr>
        <w:t>Maximum allowable interference power for 1 dB gain compression</w:t>
      </w:r>
      <w:r w:rsidRPr="00014369">
        <w:rPr>
          <w:lang w:val="en-US"/>
        </w:rPr>
        <w:br/>
        <w:t>in maser pre-amplifier, 8.4 GHz</w:t>
      </w:r>
    </w:p>
    <w:tbl>
      <w:tblPr>
        <w:tblW w:w="0" w:type="auto"/>
        <w:jc w:val="center"/>
        <w:tblLayout w:type="fixed"/>
        <w:tblLook w:val="0000" w:firstRow="0" w:lastRow="0" w:firstColumn="0" w:lastColumn="0" w:noHBand="0" w:noVBand="0"/>
      </w:tblPr>
      <w:tblGrid>
        <w:gridCol w:w="2835"/>
        <w:gridCol w:w="2835"/>
        <w:gridCol w:w="2835"/>
      </w:tblGrid>
      <w:tr w:rsidR="00014369" w:rsidRPr="00014369" w14:paraId="0799CAB7" w14:textId="77777777">
        <w:tblPrEx>
          <w:tblCellMar>
            <w:top w:w="0" w:type="dxa"/>
            <w:bottom w:w="0" w:type="dxa"/>
          </w:tblCellMar>
        </w:tblPrEx>
        <w:trPr>
          <w:cantSplit/>
          <w:jc w:val="center"/>
        </w:trPr>
        <w:tc>
          <w:tcPr>
            <w:tcW w:w="2835" w:type="dxa"/>
            <w:tcBorders>
              <w:top w:val="single" w:sz="6" w:space="0" w:color="auto"/>
              <w:left w:val="single" w:sz="6" w:space="0" w:color="auto"/>
              <w:right w:val="single" w:sz="6" w:space="0" w:color="auto"/>
            </w:tcBorders>
            <w:vAlign w:val="center"/>
          </w:tcPr>
          <w:p w14:paraId="3EB5378E" w14:textId="77777777" w:rsidR="00014369" w:rsidRPr="0067409F" w:rsidRDefault="00014369" w:rsidP="00014369">
            <w:pPr>
              <w:pStyle w:val="Tablehead"/>
            </w:pPr>
            <w:proofErr w:type="spellStart"/>
            <w:r w:rsidRPr="0067409F">
              <w:t>Interference</w:t>
            </w:r>
            <w:proofErr w:type="spellEnd"/>
            <w:r w:rsidRPr="0067409F">
              <w:t xml:space="preserve"> type</w:t>
            </w:r>
          </w:p>
        </w:tc>
        <w:tc>
          <w:tcPr>
            <w:tcW w:w="2835" w:type="dxa"/>
            <w:tcBorders>
              <w:top w:val="single" w:sz="6" w:space="0" w:color="auto"/>
              <w:left w:val="single" w:sz="6" w:space="0" w:color="auto"/>
              <w:right w:val="single" w:sz="6" w:space="0" w:color="auto"/>
            </w:tcBorders>
            <w:vAlign w:val="center"/>
          </w:tcPr>
          <w:p w14:paraId="49210B1E" w14:textId="77777777" w:rsidR="00014369" w:rsidRPr="0067409F" w:rsidRDefault="00014369" w:rsidP="00014369">
            <w:pPr>
              <w:pStyle w:val="Tablehead"/>
            </w:pPr>
            <w:r w:rsidRPr="0067409F">
              <w:t>Data source</w:t>
            </w:r>
          </w:p>
        </w:tc>
        <w:tc>
          <w:tcPr>
            <w:tcW w:w="2835" w:type="dxa"/>
            <w:tcBorders>
              <w:top w:val="single" w:sz="6" w:space="0" w:color="auto"/>
              <w:left w:val="single" w:sz="6" w:space="0" w:color="auto"/>
              <w:right w:val="single" w:sz="6" w:space="0" w:color="auto"/>
            </w:tcBorders>
            <w:vAlign w:val="center"/>
          </w:tcPr>
          <w:p w14:paraId="13B45126" w14:textId="77777777" w:rsidR="00014369" w:rsidRPr="00014369" w:rsidRDefault="00014369" w:rsidP="00014369">
            <w:pPr>
              <w:pStyle w:val="Tablehead"/>
              <w:rPr>
                <w:lang w:val="en-US"/>
              </w:rPr>
            </w:pPr>
            <w:r w:rsidRPr="00014369">
              <w:rPr>
                <w:lang w:val="en-US"/>
              </w:rPr>
              <w:t>Interference for 1 dB gain compression</w:t>
            </w:r>
          </w:p>
        </w:tc>
      </w:tr>
      <w:tr w:rsidR="00014369" w:rsidRPr="0067409F" w14:paraId="480EFB36" w14:textId="77777777">
        <w:tblPrEx>
          <w:tblCellMar>
            <w:top w:w="0" w:type="dxa"/>
            <w:bottom w:w="0" w:type="dxa"/>
          </w:tblCellMar>
        </w:tblPrEx>
        <w:trPr>
          <w:cantSplit/>
          <w:jc w:val="center"/>
        </w:trPr>
        <w:tc>
          <w:tcPr>
            <w:tcW w:w="2835" w:type="dxa"/>
            <w:tcBorders>
              <w:top w:val="single" w:sz="6" w:space="0" w:color="auto"/>
              <w:left w:val="single" w:sz="6" w:space="0" w:color="auto"/>
              <w:right w:val="single" w:sz="6" w:space="0" w:color="auto"/>
            </w:tcBorders>
          </w:tcPr>
          <w:p w14:paraId="320292E4" w14:textId="77777777" w:rsidR="00014369" w:rsidRPr="0067409F" w:rsidRDefault="00150C4D" w:rsidP="00014369">
            <w:pPr>
              <w:pStyle w:val="Tabletext"/>
            </w:pPr>
            <w:proofErr w:type="spellStart"/>
            <w:r>
              <w:t>Continuous</w:t>
            </w:r>
            <w:proofErr w:type="spellEnd"/>
            <w:r>
              <w:t xml:space="preserve"> </w:t>
            </w:r>
            <w:proofErr w:type="spellStart"/>
            <w:r>
              <w:t>wave</w:t>
            </w:r>
            <w:proofErr w:type="spellEnd"/>
            <w:r>
              <w:t xml:space="preserve"> (</w:t>
            </w:r>
            <w:r w:rsidR="00014369" w:rsidRPr="0067409F">
              <w:t>CW</w:t>
            </w:r>
            <w:r>
              <w:t>)</w:t>
            </w:r>
          </w:p>
        </w:tc>
        <w:tc>
          <w:tcPr>
            <w:tcW w:w="2835" w:type="dxa"/>
            <w:tcBorders>
              <w:top w:val="single" w:sz="6" w:space="0" w:color="auto"/>
              <w:right w:val="single" w:sz="6" w:space="0" w:color="auto"/>
            </w:tcBorders>
          </w:tcPr>
          <w:p w14:paraId="27CA0873" w14:textId="77777777" w:rsidR="00014369" w:rsidRPr="0067409F" w:rsidRDefault="00014369" w:rsidP="00014369">
            <w:pPr>
              <w:pStyle w:val="Tabletext"/>
              <w:jc w:val="center"/>
            </w:pPr>
            <w:r w:rsidRPr="0067409F">
              <w:t>Fig. 2</w:t>
            </w:r>
          </w:p>
        </w:tc>
        <w:tc>
          <w:tcPr>
            <w:tcW w:w="2835" w:type="dxa"/>
            <w:tcBorders>
              <w:top w:val="single" w:sz="6" w:space="0" w:color="auto"/>
              <w:right w:val="single" w:sz="6" w:space="0" w:color="auto"/>
            </w:tcBorders>
          </w:tcPr>
          <w:p w14:paraId="0CB2F288" w14:textId="77777777" w:rsidR="00014369" w:rsidRPr="0067409F" w:rsidRDefault="00014369" w:rsidP="00014369">
            <w:pPr>
              <w:pStyle w:val="Tabletext"/>
              <w:jc w:val="center"/>
            </w:pPr>
            <w:r w:rsidRPr="0067409F">
              <w:t xml:space="preserve">–114 </w:t>
            </w:r>
            <w:proofErr w:type="spellStart"/>
            <w:r w:rsidRPr="0067409F">
              <w:t>dBW</w:t>
            </w:r>
            <w:proofErr w:type="spellEnd"/>
          </w:p>
        </w:tc>
      </w:tr>
      <w:tr w:rsidR="00014369" w:rsidRPr="0067409F" w14:paraId="35963121" w14:textId="77777777">
        <w:tblPrEx>
          <w:tblCellMar>
            <w:top w:w="0" w:type="dxa"/>
            <w:bottom w:w="0" w:type="dxa"/>
          </w:tblCellMar>
        </w:tblPrEx>
        <w:trPr>
          <w:cantSplit/>
          <w:jc w:val="center"/>
        </w:trPr>
        <w:tc>
          <w:tcPr>
            <w:tcW w:w="2835" w:type="dxa"/>
            <w:tcBorders>
              <w:left w:val="single" w:sz="6" w:space="0" w:color="auto"/>
              <w:bottom w:val="single" w:sz="6" w:space="0" w:color="auto"/>
              <w:right w:val="single" w:sz="6" w:space="0" w:color="auto"/>
            </w:tcBorders>
          </w:tcPr>
          <w:p w14:paraId="01C81C1D" w14:textId="77777777" w:rsidR="00014369" w:rsidRPr="0067409F" w:rsidRDefault="00014369" w:rsidP="00014369">
            <w:pPr>
              <w:pStyle w:val="Tabletext"/>
            </w:pPr>
            <w:r w:rsidRPr="0067409F">
              <w:t xml:space="preserve">Noise (40 MHz </w:t>
            </w:r>
            <w:proofErr w:type="spellStart"/>
            <w:r w:rsidRPr="0067409F">
              <w:t>bandwidth</w:t>
            </w:r>
            <w:proofErr w:type="spellEnd"/>
            <w:r w:rsidRPr="0067409F">
              <w:t>)</w:t>
            </w:r>
          </w:p>
        </w:tc>
        <w:tc>
          <w:tcPr>
            <w:tcW w:w="2835" w:type="dxa"/>
            <w:tcBorders>
              <w:bottom w:val="single" w:sz="6" w:space="0" w:color="auto"/>
              <w:right w:val="single" w:sz="6" w:space="0" w:color="auto"/>
            </w:tcBorders>
          </w:tcPr>
          <w:p w14:paraId="74EB41AC" w14:textId="77777777" w:rsidR="00014369" w:rsidRPr="0067409F" w:rsidRDefault="00014369" w:rsidP="00014369">
            <w:pPr>
              <w:pStyle w:val="Tabletext"/>
              <w:jc w:val="center"/>
            </w:pPr>
            <w:r w:rsidRPr="0067409F">
              <w:t>Fig. 2</w:t>
            </w:r>
          </w:p>
        </w:tc>
        <w:tc>
          <w:tcPr>
            <w:tcW w:w="2835" w:type="dxa"/>
            <w:tcBorders>
              <w:bottom w:val="single" w:sz="6" w:space="0" w:color="auto"/>
              <w:right w:val="single" w:sz="6" w:space="0" w:color="auto"/>
            </w:tcBorders>
          </w:tcPr>
          <w:p w14:paraId="00436C16" w14:textId="77777777" w:rsidR="00014369" w:rsidRPr="0067409F" w:rsidRDefault="00014369" w:rsidP="00014369">
            <w:pPr>
              <w:pStyle w:val="Tabletext"/>
              <w:jc w:val="center"/>
            </w:pPr>
            <w:r w:rsidRPr="0067409F">
              <w:t>–190 dB(W/Hz)</w:t>
            </w:r>
          </w:p>
        </w:tc>
      </w:tr>
    </w:tbl>
    <w:p w14:paraId="5DE78E1D" w14:textId="77777777" w:rsidR="00014369" w:rsidRPr="0067409F" w:rsidRDefault="00014369" w:rsidP="000E5383">
      <w:pPr>
        <w:pStyle w:val="Tablefin"/>
      </w:pPr>
    </w:p>
    <w:p w14:paraId="1743CF92" w14:textId="77777777" w:rsidR="00014369" w:rsidRPr="00014369" w:rsidRDefault="00014369" w:rsidP="00014369">
      <w:pPr>
        <w:pStyle w:val="Heading3"/>
        <w:rPr>
          <w:lang w:val="en-US"/>
        </w:rPr>
      </w:pPr>
      <w:r w:rsidRPr="00014369">
        <w:rPr>
          <w:lang w:val="en-US"/>
        </w:rPr>
        <w:t>2.2.2</w:t>
      </w:r>
      <w:r w:rsidRPr="00014369">
        <w:rPr>
          <w:lang w:val="en-US"/>
        </w:rPr>
        <w:tab/>
        <w:t xml:space="preserve">Carrier tracking, </w:t>
      </w:r>
      <w:proofErr w:type="gramStart"/>
      <w:r w:rsidRPr="00014369">
        <w:rPr>
          <w:lang w:val="en-US"/>
        </w:rPr>
        <w:t>telemetry</w:t>
      </w:r>
      <w:proofErr w:type="gramEnd"/>
      <w:r w:rsidRPr="00014369">
        <w:rPr>
          <w:lang w:val="en-US"/>
        </w:rPr>
        <w:t xml:space="preserve"> and ranging subsystems</w:t>
      </w:r>
    </w:p>
    <w:p w14:paraId="1F7ED022" w14:textId="77777777" w:rsidR="00014369" w:rsidRPr="00014369" w:rsidRDefault="00014369" w:rsidP="00014369">
      <w:pPr>
        <w:pStyle w:val="Heading4"/>
        <w:rPr>
          <w:lang w:val="en-US"/>
        </w:rPr>
      </w:pPr>
      <w:r w:rsidRPr="00014369">
        <w:rPr>
          <w:lang w:val="en-US"/>
        </w:rPr>
        <w:t>2.2.2.1</w:t>
      </w:r>
      <w:r w:rsidRPr="00014369">
        <w:rPr>
          <w:lang w:val="en-US"/>
        </w:rPr>
        <w:tab/>
        <w:t xml:space="preserve">Interference ratios for carrier tracking, telemetry and </w:t>
      </w:r>
      <w:proofErr w:type="gramStart"/>
      <w:r w:rsidRPr="00014369">
        <w:rPr>
          <w:lang w:val="en-US"/>
        </w:rPr>
        <w:t>ranging</w:t>
      </w:r>
      <w:proofErr w:type="gramEnd"/>
    </w:p>
    <w:p w14:paraId="5F0375C0" w14:textId="77777777" w:rsidR="00014369" w:rsidRPr="00014369" w:rsidRDefault="00014369" w:rsidP="00014369">
      <w:pPr>
        <w:rPr>
          <w:lang w:val="en-US"/>
        </w:rPr>
      </w:pPr>
      <w:r w:rsidRPr="00014369">
        <w:rPr>
          <w:lang w:val="en-US"/>
        </w:rPr>
        <w:t xml:space="preserve">Table 3 shows the interference-to-carrier ratio </w:t>
      </w:r>
      <w:r w:rsidR="00150C4D">
        <w:rPr>
          <w:lang w:val="en-US"/>
        </w:rPr>
        <w:t>(</w:t>
      </w:r>
      <w:r w:rsidRPr="00014369">
        <w:rPr>
          <w:i/>
          <w:lang w:val="en-US"/>
        </w:rPr>
        <w:t>I</w:t>
      </w:r>
      <w:r w:rsidRPr="00014369">
        <w:rPr>
          <w:lang w:val="en-US"/>
        </w:rPr>
        <w:t>/</w:t>
      </w:r>
      <w:r w:rsidRPr="00014369">
        <w:rPr>
          <w:i/>
          <w:lang w:val="en-US"/>
        </w:rPr>
        <w:t>C</w:t>
      </w:r>
      <w:r w:rsidR="00150C4D" w:rsidRPr="00150C4D">
        <w:rPr>
          <w:lang w:val="en-US"/>
        </w:rPr>
        <w:t>)</w:t>
      </w:r>
      <w:r w:rsidRPr="00014369">
        <w:rPr>
          <w:lang w:val="en-US"/>
        </w:rPr>
        <w:t xml:space="preserve"> interference-to-signal ratio </w:t>
      </w:r>
      <w:r w:rsidR="00150C4D">
        <w:rPr>
          <w:lang w:val="en-US"/>
        </w:rPr>
        <w:t>(</w:t>
      </w:r>
      <w:r w:rsidRPr="00014369">
        <w:rPr>
          <w:i/>
          <w:lang w:val="en-US"/>
        </w:rPr>
        <w:t>I</w:t>
      </w:r>
      <w:r w:rsidRPr="00014369">
        <w:rPr>
          <w:lang w:val="en-US"/>
        </w:rPr>
        <w:t>/</w:t>
      </w:r>
      <w:r w:rsidRPr="00014369">
        <w:rPr>
          <w:i/>
          <w:lang w:val="en-US"/>
        </w:rPr>
        <w:t>S</w:t>
      </w:r>
      <w:r w:rsidR="00150C4D">
        <w:rPr>
          <w:lang w:val="en-US"/>
        </w:rPr>
        <w:t>)</w:t>
      </w:r>
      <w:r w:rsidRPr="00014369">
        <w:rPr>
          <w:lang w:val="en-US"/>
        </w:rPr>
        <w:t xml:space="preserve"> or interference-to-noise ratio </w:t>
      </w:r>
      <w:r w:rsidR="00150C4D">
        <w:rPr>
          <w:lang w:val="en-US"/>
        </w:rPr>
        <w:t>(</w:t>
      </w:r>
      <w:r w:rsidRPr="00014369">
        <w:rPr>
          <w:i/>
          <w:lang w:val="en-US"/>
        </w:rPr>
        <w:t>I</w:t>
      </w:r>
      <w:r w:rsidRPr="00014369">
        <w:rPr>
          <w:lang w:val="en-US"/>
        </w:rPr>
        <w:t>/</w:t>
      </w:r>
      <w:r w:rsidRPr="00014369">
        <w:rPr>
          <w:i/>
          <w:lang w:val="en-US"/>
        </w:rPr>
        <w:t>N</w:t>
      </w:r>
      <w:r w:rsidR="00150C4D" w:rsidRPr="00150C4D">
        <w:rPr>
          <w:lang w:val="en-US"/>
        </w:rPr>
        <w:t>)</w:t>
      </w:r>
      <w:r w:rsidRPr="00014369">
        <w:rPr>
          <w:lang w:val="en-US"/>
        </w:rPr>
        <w:t xml:space="preserve"> that corresponds to the acceptable degradation of the carrier tracking, </w:t>
      </w:r>
      <w:proofErr w:type="gramStart"/>
      <w:r w:rsidRPr="00014369">
        <w:rPr>
          <w:lang w:val="en-US"/>
        </w:rPr>
        <w:t>telemetry</w:t>
      </w:r>
      <w:proofErr w:type="gramEnd"/>
      <w:r w:rsidRPr="00014369">
        <w:rPr>
          <w:lang w:val="en-US"/>
        </w:rPr>
        <w:t xml:space="preserve"> and ranging subsystems. The ratios are found as follows:</w:t>
      </w:r>
    </w:p>
    <w:p w14:paraId="22C938F1" w14:textId="77777777" w:rsidR="00014369" w:rsidRPr="00014369" w:rsidRDefault="00014369" w:rsidP="00014369">
      <w:pPr>
        <w:rPr>
          <w:lang w:val="en-US"/>
        </w:rPr>
      </w:pPr>
      <w:r w:rsidRPr="00014369">
        <w:rPr>
          <w:lang w:val="en-US"/>
        </w:rPr>
        <w:t>For CW interference, the allowable interference ratio for each subsystem may be found directly from curves given in Annex 2.</w:t>
      </w:r>
    </w:p>
    <w:p w14:paraId="1C9A4880" w14:textId="77777777" w:rsidR="00014369" w:rsidRPr="00014369" w:rsidRDefault="00014369" w:rsidP="00014369">
      <w:pPr>
        <w:rPr>
          <w:lang w:val="en-US"/>
        </w:rPr>
      </w:pPr>
      <w:r w:rsidRPr="00014369">
        <w:rPr>
          <w:lang w:val="en-US"/>
        </w:rPr>
        <w:t xml:space="preserve">For noise-like interference to the carrier tracking loop, Fig. 8 shows that a reduction in carrier margin from 10 dB (the typical minimum operating point) to 5.5 dB results in an additional 10° of phase jitter. The corresponding </w:t>
      </w:r>
      <w:r w:rsidRPr="00014369">
        <w:rPr>
          <w:i/>
          <w:lang w:val="en-US"/>
        </w:rPr>
        <w:t>I</w:t>
      </w:r>
      <w:r w:rsidRPr="00014369">
        <w:rPr>
          <w:lang w:val="en-US"/>
        </w:rPr>
        <w:t>/</w:t>
      </w:r>
      <w:r w:rsidRPr="00014369">
        <w:rPr>
          <w:i/>
          <w:lang w:val="en-US"/>
        </w:rPr>
        <w:t>N</w:t>
      </w:r>
      <w:r w:rsidRPr="00014369">
        <w:rPr>
          <w:lang w:val="en-US"/>
        </w:rPr>
        <w:t xml:space="preserve"> ratio is given by:</w:t>
      </w:r>
    </w:p>
    <w:p w14:paraId="65DC0CE5" w14:textId="77777777" w:rsidR="003530BF" w:rsidRDefault="003530BF" w:rsidP="003530BF">
      <w:pPr>
        <w:pStyle w:val="Blanc"/>
      </w:pPr>
    </w:p>
    <w:p w14:paraId="45E7A873" w14:textId="77777777" w:rsidR="00014369" w:rsidRPr="003530BF" w:rsidRDefault="00014369" w:rsidP="00014369">
      <w:pPr>
        <w:pStyle w:val="Equation"/>
        <w:rPr>
          <w:lang w:val="en-US"/>
        </w:rPr>
      </w:pPr>
      <w:r w:rsidRPr="003530BF">
        <w:rPr>
          <w:lang w:val="en-US"/>
        </w:rPr>
        <w:tab/>
      </w:r>
      <w:r w:rsidRPr="003530BF">
        <w:rPr>
          <w:lang w:val="en-US"/>
        </w:rPr>
        <w:tab/>
      </w:r>
      <w:r w:rsidRPr="003530BF">
        <w:rPr>
          <w:i/>
          <w:lang w:val="en-US"/>
        </w:rPr>
        <w:t>I</w:t>
      </w:r>
      <w:r w:rsidRPr="003530BF">
        <w:rPr>
          <w:vertAlign w:val="subscript"/>
          <w:lang w:val="en-US"/>
        </w:rPr>
        <w:t>0</w:t>
      </w:r>
      <w:r w:rsidRPr="003530BF">
        <w:rPr>
          <w:lang w:val="en-US"/>
        </w:rPr>
        <w:t>/</w:t>
      </w:r>
      <w:r w:rsidRPr="003530BF">
        <w:rPr>
          <w:i/>
          <w:lang w:val="en-US"/>
        </w:rPr>
        <w:t>N</w:t>
      </w:r>
      <w:proofErr w:type="gramStart"/>
      <w:r w:rsidRPr="003530BF">
        <w:rPr>
          <w:vertAlign w:val="subscript"/>
          <w:lang w:val="en-US"/>
        </w:rPr>
        <w:t>0</w:t>
      </w:r>
      <w:r w:rsidRPr="003530BF">
        <w:rPr>
          <w:lang w:val="en-US"/>
        </w:rPr>
        <w:t xml:space="preserve">  =</w:t>
      </w:r>
      <w:proofErr w:type="gramEnd"/>
      <w:r w:rsidRPr="003530BF">
        <w:rPr>
          <w:lang w:val="en-US"/>
        </w:rPr>
        <w:t xml:space="preserve">  10 log </w:t>
      </w:r>
      <w:r w:rsidR="00150C4D">
        <w:rPr>
          <w:lang w:val="en-US"/>
        </w:rPr>
        <w:t>(</w:t>
      </w:r>
      <w:r w:rsidRPr="003530BF">
        <w:rPr>
          <w:lang w:val="en-US"/>
        </w:rPr>
        <w:t>10</w:t>
      </w:r>
      <w:r w:rsidRPr="003530BF">
        <w:rPr>
          <w:vertAlign w:val="superscript"/>
          <w:lang w:val="en-US"/>
        </w:rPr>
        <w:t>(</w:t>
      </w:r>
      <w:r w:rsidRPr="003530BF">
        <w:rPr>
          <w:i/>
          <w:vertAlign w:val="superscript"/>
          <w:lang w:val="en-US"/>
        </w:rPr>
        <w:t>CM</w:t>
      </w:r>
      <w:r w:rsidRPr="003530BF">
        <w:rPr>
          <w:position w:val="-4"/>
          <w:sz w:val="18"/>
          <w:vertAlign w:val="superscript"/>
          <w:lang w:val="en-US"/>
        </w:rPr>
        <w:t>0</w:t>
      </w:r>
      <w:r w:rsidRPr="003530BF">
        <w:rPr>
          <w:vertAlign w:val="superscript"/>
          <w:lang w:val="en-US"/>
        </w:rPr>
        <w:t>/10)</w:t>
      </w:r>
      <w:r w:rsidRPr="003530BF">
        <w:rPr>
          <w:lang w:val="en-US"/>
        </w:rPr>
        <w:t>/10</w:t>
      </w:r>
      <w:r w:rsidRPr="003530BF">
        <w:rPr>
          <w:vertAlign w:val="superscript"/>
          <w:lang w:val="en-US"/>
        </w:rPr>
        <w:t>(</w:t>
      </w:r>
      <w:r w:rsidRPr="003530BF">
        <w:rPr>
          <w:i/>
          <w:vertAlign w:val="superscript"/>
          <w:lang w:val="en-US"/>
        </w:rPr>
        <w:t>CM</w:t>
      </w:r>
      <w:proofErr w:type="spellStart"/>
      <w:r w:rsidRPr="003530BF">
        <w:rPr>
          <w:i/>
          <w:position w:val="-4"/>
          <w:sz w:val="18"/>
          <w:vertAlign w:val="superscript"/>
          <w:lang w:val="en-US"/>
        </w:rPr>
        <w:t>i</w:t>
      </w:r>
      <w:proofErr w:type="spellEnd"/>
      <w:r w:rsidRPr="003530BF">
        <w:rPr>
          <w:vertAlign w:val="superscript"/>
          <w:lang w:val="en-US"/>
        </w:rPr>
        <w:t xml:space="preserve"> /10)</w:t>
      </w:r>
      <w:r w:rsidRPr="003530BF">
        <w:rPr>
          <w:lang w:val="en-US"/>
        </w:rPr>
        <w:t xml:space="preserve">   </w:t>
      </w:r>
      <w:r w:rsidRPr="003530BF">
        <w:rPr>
          <w:rFonts w:ascii="Symbol" w:hAnsi="Symbol"/>
        </w:rPr>
        <w:t></w:t>
      </w:r>
      <w:r w:rsidRPr="003530BF">
        <w:rPr>
          <w:rFonts w:ascii="Symbol" w:hAnsi="Symbol"/>
        </w:rPr>
        <w:t></w:t>
      </w:r>
      <w:r w:rsidR="00150C4D">
        <w:rPr>
          <w:lang w:val="en-US"/>
        </w:rPr>
        <w:t>)</w:t>
      </w:r>
      <w:r w:rsidRPr="003530BF">
        <w:rPr>
          <w:lang w:val="en-US"/>
        </w:rPr>
        <w:t>               </w:t>
      </w:r>
      <w:r w:rsidR="000E5383" w:rsidRPr="003530BF">
        <w:rPr>
          <w:lang w:val="en-US"/>
        </w:rPr>
        <w:t> </w:t>
      </w:r>
      <w:r w:rsidRPr="003530BF">
        <w:rPr>
          <w:lang w:val="en-US"/>
        </w:rPr>
        <w:t>dB</w:t>
      </w:r>
    </w:p>
    <w:p w14:paraId="633615E6" w14:textId="77777777" w:rsidR="003530BF" w:rsidRDefault="003530BF" w:rsidP="003530BF">
      <w:pPr>
        <w:pStyle w:val="Blanc"/>
      </w:pPr>
    </w:p>
    <w:p w14:paraId="2CF2F564" w14:textId="77777777" w:rsidR="00014369" w:rsidRPr="00014369" w:rsidRDefault="00014369" w:rsidP="00014369">
      <w:pPr>
        <w:rPr>
          <w:lang w:val="en-US"/>
        </w:rPr>
      </w:pPr>
      <w:r w:rsidRPr="00014369">
        <w:rPr>
          <w:lang w:val="en-US"/>
        </w:rPr>
        <w:t>where:</w:t>
      </w:r>
    </w:p>
    <w:p w14:paraId="7FBCD930" w14:textId="77777777" w:rsidR="00014369" w:rsidRPr="0067409F" w:rsidRDefault="00014369" w:rsidP="00014369">
      <w:pPr>
        <w:pStyle w:val="Equationlegend"/>
      </w:pPr>
      <w:r w:rsidRPr="0067409F">
        <w:tab/>
      </w:r>
      <w:r w:rsidRPr="0067409F">
        <w:rPr>
          <w:i/>
        </w:rPr>
        <w:t>I</w:t>
      </w:r>
      <w:r w:rsidRPr="0067409F">
        <w:rPr>
          <w:vertAlign w:val="subscript"/>
        </w:rPr>
        <w:t>0</w:t>
      </w:r>
      <w:r w:rsidRPr="0067409F">
        <w:t>/</w:t>
      </w:r>
      <w:r w:rsidRPr="0067409F">
        <w:rPr>
          <w:i/>
        </w:rPr>
        <w:t>N</w:t>
      </w:r>
      <w:proofErr w:type="gramStart"/>
      <w:r w:rsidRPr="0067409F">
        <w:rPr>
          <w:vertAlign w:val="subscript"/>
        </w:rPr>
        <w:t>0</w:t>
      </w:r>
      <w:r w:rsidRPr="0067409F">
        <w:rPr>
          <w:rFonts w:ascii="Times" w:hAnsi="Times"/>
          <w:i/>
          <w:sz w:val="12"/>
        </w:rPr>
        <w:t> </w:t>
      </w:r>
      <w:r w:rsidRPr="0067409F">
        <w:t>:</w:t>
      </w:r>
      <w:proofErr w:type="gramEnd"/>
      <w:r w:rsidRPr="0067409F">
        <w:tab/>
        <w:t>ratio of interference noise spectral density to receiver noise spectral density</w:t>
      </w:r>
    </w:p>
    <w:p w14:paraId="0AE4FACE" w14:textId="77777777" w:rsidR="00014369" w:rsidRPr="0067409F" w:rsidRDefault="00014369" w:rsidP="00014369">
      <w:pPr>
        <w:pStyle w:val="Equationlegend"/>
      </w:pPr>
      <w:r w:rsidRPr="0067409F">
        <w:tab/>
      </w:r>
      <w:r w:rsidRPr="0067409F">
        <w:rPr>
          <w:i/>
        </w:rPr>
        <w:t>CM</w:t>
      </w:r>
      <w:proofErr w:type="gramStart"/>
      <w:r w:rsidRPr="0067409F">
        <w:rPr>
          <w:position w:val="-4"/>
          <w:sz w:val="16"/>
        </w:rPr>
        <w:t>0</w:t>
      </w:r>
      <w:r w:rsidRPr="0067409F">
        <w:rPr>
          <w:position w:val="-4"/>
          <w:sz w:val="12"/>
        </w:rPr>
        <w:t> </w:t>
      </w:r>
      <w:r w:rsidRPr="0067409F">
        <w:t>:</w:t>
      </w:r>
      <w:proofErr w:type="gramEnd"/>
      <w:r w:rsidRPr="0067409F">
        <w:tab/>
        <w:t>carrier margin (dB) without interference</w:t>
      </w:r>
    </w:p>
    <w:p w14:paraId="0D7667C3" w14:textId="77777777" w:rsidR="00014369" w:rsidRPr="0067409F" w:rsidRDefault="00014369" w:rsidP="00014369">
      <w:pPr>
        <w:pStyle w:val="Equationlegend"/>
      </w:pPr>
      <w:r w:rsidRPr="0067409F">
        <w:tab/>
      </w:r>
      <w:proofErr w:type="gramStart"/>
      <w:r w:rsidRPr="0067409F">
        <w:rPr>
          <w:i/>
        </w:rPr>
        <w:t>CM</w:t>
      </w:r>
      <w:proofErr w:type="spellStart"/>
      <w:r w:rsidRPr="0067409F">
        <w:rPr>
          <w:i/>
          <w:position w:val="-4"/>
          <w:sz w:val="16"/>
        </w:rPr>
        <w:t>i</w:t>
      </w:r>
      <w:proofErr w:type="spellEnd"/>
      <w:r w:rsidRPr="0067409F">
        <w:rPr>
          <w:rFonts w:ascii="Times" w:hAnsi="Times"/>
          <w:i/>
          <w:sz w:val="12"/>
        </w:rPr>
        <w:t> </w:t>
      </w:r>
      <w:r w:rsidRPr="0067409F">
        <w:t>:</w:t>
      </w:r>
      <w:proofErr w:type="gramEnd"/>
      <w:r w:rsidRPr="0067409F">
        <w:tab/>
        <w:t>carrier margin (dB) with interference.</w:t>
      </w:r>
    </w:p>
    <w:p w14:paraId="12775CCA" w14:textId="77777777" w:rsidR="00014369" w:rsidRPr="00014369" w:rsidRDefault="00014369" w:rsidP="003530BF">
      <w:pPr>
        <w:rPr>
          <w:lang w:val="en-US"/>
        </w:rPr>
      </w:pPr>
      <w:r w:rsidRPr="00014369">
        <w:rPr>
          <w:lang w:val="en-US"/>
        </w:rPr>
        <w:t>and carrier margin is the ratio of carrier-power-to-noise-power in the carrier tracking loop.</w:t>
      </w:r>
    </w:p>
    <w:p w14:paraId="082F66A9" w14:textId="77777777" w:rsidR="00014369" w:rsidRPr="00014369" w:rsidRDefault="00014369" w:rsidP="00014369">
      <w:pPr>
        <w:rPr>
          <w:lang w:val="en-US"/>
        </w:rPr>
      </w:pPr>
      <w:r w:rsidRPr="00014369">
        <w:rPr>
          <w:lang w:val="en-US"/>
        </w:rPr>
        <w:t xml:space="preserve">For noise-like interference to the telemetry and ranging subsystems, the allowable </w:t>
      </w:r>
      <w:r w:rsidR="00150C4D">
        <w:rPr>
          <w:i/>
          <w:lang w:val="en-US"/>
        </w:rPr>
        <w:t>I</w:t>
      </w:r>
      <w:r w:rsidR="00150C4D">
        <w:rPr>
          <w:lang w:val="en-US"/>
        </w:rPr>
        <w:t>/</w:t>
      </w:r>
      <w:r w:rsidR="00150C4D">
        <w:rPr>
          <w:i/>
          <w:lang w:val="en-US"/>
        </w:rPr>
        <w:t>N</w:t>
      </w:r>
      <w:r w:rsidRPr="00014369">
        <w:rPr>
          <w:lang w:val="en-US"/>
        </w:rPr>
        <w:t xml:space="preserve"> is given by:</w:t>
      </w:r>
    </w:p>
    <w:p w14:paraId="1D821A7E" w14:textId="77777777" w:rsidR="003530BF" w:rsidRDefault="003530BF" w:rsidP="003530BF">
      <w:pPr>
        <w:pStyle w:val="Blanc"/>
      </w:pPr>
    </w:p>
    <w:p w14:paraId="233F16FC" w14:textId="77777777" w:rsidR="00014369" w:rsidRPr="00014369" w:rsidRDefault="00014369" w:rsidP="00014369">
      <w:pPr>
        <w:pStyle w:val="Equation"/>
        <w:rPr>
          <w:lang w:val="en-US"/>
        </w:rPr>
      </w:pPr>
      <w:r w:rsidRPr="00014369">
        <w:rPr>
          <w:lang w:val="en-US"/>
        </w:rPr>
        <w:tab/>
      </w:r>
      <w:r w:rsidRPr="00014369">
        <w:rPr>
          <w:lang w:val="en-US"/>
        </w:rPr>
        <w:tab/>
      </w:r>
      <w:r w:rsidRPr="0067409F">
        <w:fldChar w:fldCharType="begin"/>
      </w:r>
      <w:r w:rsidRPr="00014369">
        <w:rPr>
          <w:lang w:val="en-US"/>
        </w:rPr>
        <w:instrText xml:space="preserve">eq </w:instrText>
      </w:r>
      <w:r w:rsidRPr="00014369">
        <w:rPr>
          <w:i/>
          <w:lang w:val="en-US"/>
        </w:rPr>
        <w:instrText>I</w:instrText>
      </w:r>
      <w:r w:rsidRPr="00014369">
        <w:rPr>
          <w:position w:val="-4"/>
          <w:sz w:val="18"/>
          <w:lang w:val="en-US"/>
        </w:rPr>
        <w:instrText>0</w:instrText>
      </w:r>
      <w:r w:rsidRPr="00014369">
        <w:rPr>
          <w:position w:val="-4"/>
          <w:sz w:val="12"/>
          <w:lang w:val="en-US"/>
        </w:rPr>
        <w:instrText> </w:instrText>
      </w:r>
      <w:r w:rsidRPr="00014369">
        <w:rPr>
          <w:lang w:val="en-US"/>
        </w:rPr>
        <w:instrText>/</w:instrText>
      </w:r>
      <w:r w:rsidRPr="00014369">
        <w:rPr>
          <w:i/>
          <w:lang w:val="en-US"/>
        </w:rPr>
        <w:instrText>N</w:instrText>
      </w:r>
      <w:r w:rsidRPr="00014369">
        <w:rPr>
          <w:position w:val="-4"/>
          <w:sz w:val="18"/>
          <w:lang w:val="en-US"/>
        </w:rPr>
        <w:instrText>0</w:instrText>
      </w:r>
      <w:r w:rsidRPr="00014369">
        <w:rPr>
          <w:lang w:val="en-US"/>
        </w:rPr>
        <w:instrText xml:space="preserve">  </w:instrText>
      </w:r>
      <w:r w:rsidRPr="00014369">
        <w:rPr>
          <w:rFonts w:ascii="Symbol" w:hAnsi="Symbol"/>
          <w:lang w:val="en-US"/>
        </w:rPr>
        <w:instrText>=</w:instrText>
      </w:r>
      <w:r w:rsidRPr="00014369">
        <w:rPr>
          <w:lang w:val="en-US"/>
        </w:rPr>
        <w:instrText xml:space="preserve">  10 log (10\s\up3(</w:instrText>
      </w:r>
      <w:r w:rsidRPr="00014369">
        <w:rPr>
          <w:position w:val="6"/>
          <w:sz w:val="18"/>
          <w:lang w:val="en-US"/>
        </w:rPr>
        <w:instrText>(</w:instrText>
      </w:r>
      <w:r w:rsidRPr="00014369">
        <w:rPr>
          <w:rFonts w:ascii="Symbol" w:hAnsi="Symbol"/>
          <w:position w:val="6"/>
          <w:sz w:val="18"/>
          <w:lang w:val="en-US"/>
        </w:rPr>
        <w:instrText>D</w:instrText>
      </w:r>
      <w:r w:rsidRPr="00014369">
        <w:rPr>
          <w:i/>
          <w:position w:val="6"/>
          <w:sz w:val="18"/>
          <w:lang w:val="en-US"/>
        </w:rPr>
        <w:instrText>E</w:instrText>
      </w:r>
      <w:r w:rsidRPr="00014369">
        <w:rPr>
          <w:position w:val="6"/>
          <w:sz w:val="18"/>
          <w:lang w:val="en-US"/>
        </w:rPr>
        <w:instrText>/</w:instrText>
      </w:r>
      <w:r w:rsidRPr="00014369">
        <w:rPr>
          <w:i/>
          <w:position w:val="6"/>
          <w:sz w:val="18"/>
          <w:lang w:val="en-US"/>
        </w:rPr>
        <w:instrText>N\s\do2(</w:instrText>
      </w:r>
      <w:r w:rsidRPr="00014369">
        <w:rPr>
          <w:position w:val="6"/>
          <w:sz w:val="14"/>
          <w:lang w:val="en-US"/>
        </w:rPr>
        <w:instrText>0</w:instrText>
      </w:r>
      <w:r w:rsidRPr="00014369">
        <w:rPr>
          <w:position w:val="6"/>
          <w:sz w:val="18"/>
          <w:lang w:val="en-US"/>
        </w:rPr>
        <w:instrText>)) / 10)</w:instrText>
      </w:r>
      <w:r w:rsidRPr="00014369">
        <w:rPr>
          <w:lang w:val="en-US"/>
        </w:rPr>
        <w:instrText xml:space="preserve">  –  1)</w:instrText>
      </w:r>
      <w:r w:rsidRPr="0067409F">
        <w:fldChar w:fldCharType="end"/>
      </w:r>
      <w:r w:rsidRPr="00014369">
        <w:rPr>
          <w:lang w:val="en-US"/>
        </w:rPr>
        <w:t>               </w:t>
      </w:r>
      <w:r w:rsidR="000E5383">
        <w:rPr>
          <w:lang w:val="en-US"/>
        </w:rPr>
        <w:t> </w:t>
      </w:r>
      <w:r w:rsidRPr="00014369">
        <w:rPr>
          <w:lang w:val="en-US"/>
        </w:rPr>
        <w:t>dB</w:t>
      </w:r>
    </w:p>
    <w:p w14:paraId="466198C3" w14:textId="77777777" w:rsidR="003530BF" w:rsidRDefault="003530BF" w:rsidP="003530BF">
      <w:pPr>
        <w:pStyle w:val="Blanc"/>
      </w:pPr>
    </w:p>
    <w:p w14:paraId="292E5B2A" w14:textId="77777777" w:rsidR="00014369" w:rsidRPr="00014369" w:rsidRDefault="00014369" w:rsidP="00014369">
      <w:pPr>
        <w:rPr>
          <w:lang w:val="en-US"/>
        </w:rPr>
      </w:pPr>
      <w:r w:rsidRPr="00014369">
        <w:rPr>
          <w:lang w:val="en-US"/>
        </w:rPr>
        <w:t>where:</w:t>
      </w:r>
    </w:p>
    <w:p w14:paraId="726C2A6E" w14:textId="77777777" w:rsidR="00014369" w:rsidRPr="0067409F" w:rsidRDefault="00014369" w:rsidP="00014369">
      <w:pPr>
        <w:pStyle w:val="Equationlegend"/>
      </w:pPr>
      <w:r w:rsidRPr="0067409F">
        <w:tab/>
      </w:r>
      <w:r w:rsidRPr="0067409F">
        <w:rPr>
          <w:i/>
        </w:rPr>
        <w:t>I</w:t>
      </w:r>
      <w:r w:rsidRPr="0067409F">
        <w:rPr>
          <w:position w:val="-4"/>
          <w:sz w:val="16"/>
        </w:rPr>
        <w:t>0</w:t>
      </w:r>
      <w:r w:rsidRPr="0067409F">
        <w:t>/</w:t>
      </w:r>
      <w:r w:rsidRPr="0067409F">
        <w:rPr>
          <w:i/>
        </w:rPr>
        <w:t>N</w:t>
      </w:r>
      <w:proofErr w:type="gramStart"/>
      <w:r w:rsidRPr="0067409F">
        <w:rPr>
          <w:position w:val="-4"/>
          <w:sz w:val="16"/>
        </w:rPr>
        <w:t>0</w:t>
      </w:r>
      <w:r w:rsidRPr="0067409F">
        <w:rPr>
          <w:position w:val="-4"/>
          <w:sz w:val="12"/>
        </w:rPr>
        <w:t> </w:t>
      </w:r>
      <w:r w:rsidRPr="0067409F">
        <w:t>:</w:t>
      </w:r>
      <w:proofErr w:type="gramEnd"/>
      <w:r w:rsidRPr="0067409F">
        <w:tab/>
        <w:t>ratio of interference noise spectral density to receiver noise spectral density</w:t>
      </w:r>
    </w:p>
    <w:p w14:paraId="3AA4A570" w14:textId="77777777" w:rsidR="00014369" w:rsidRPr="0067409F" w:rsidRDefault="00014369" w:rsidP="00014369">
      <w:pPr>
        <w:pStyle w:val="Equationlegend"/>
      </w:pPr>
      <w:r w:rsidRPr="0067409F">
        <w:tab/>
      </w:r>
      <w:r w:rsidRPr="0067409F">
        <w:rPr>
          <w:rFonts w:ascii="Symbol" w:hAnsi="Symbol"/>
        </w:rPr>
        <w:t></w:t>
      </w:r>
      <w:r w:rsidRPr="0067409F">
        <w:rPr>
          <w:i/>
        </w:rPr>
        <w:t>E</w:t>
      </w:r>
      <w:r w:rsidRPr="0067409F">
        <w:t>/</w:t>
      </w:r>
      <w:r w:rsidRPr="0067409F">
        <w:rPr>
          <w:i/>
        </w:rPr>
        <w:t>N</w:t>
      </w:r>
      <w:proofErr w:type="gramStart"/>
      <w:r w:rsidRPr="0067409F">
        <w:rPr>
          <w:position w:val="-4"/>
          <w:sz w:val="16"/>
        </w:rPr>
        <w:t>0</w:t>
      </w:r>
      <w:r w:rsidRPr="0067409F">
        <w:rPr>
          <w:position w:val="-4"/>
          <w:sz w:val="12"/>
        </w:rPr>
        <w:t> </w:t>
      </w:r>
      <w:r w:rsidRPr="0067409F">
        <w:t>:</w:t>
      </w:r>
      <w:proofErr w:type="gramEnd"/>
      <w:r w:rsidRPr="0067409F">
        <w:tab/>
        <w:t>criterion given in Table 1 and the reduction in equivalent symbol energy</w:t>
      </w:r>
      <w:r w:rsidRPr="0067409F">
        <w:noBreakHyphen/>
        <w:t>to</w:t>
      </w:r>
      <w:r w:rsidRPr="0067409F">
        <w:noBreakHyphen/>
        <w:t>noise spectral density ratio or signal</w:t>
      </w:r>
      <w:r w:rsidRPr="0067409F">
        <w:noBreakHyphen/>
        <w:t>to</w:t>
      </w:r>
      <w:r w:rsidRPr="0067409F">
        <w:noBreakHyphen/>
        <w:t>noise ratio.</w:t>
      </w:r>
    </w:p>
    <w:p w14:paraId="596B8DAE" w14:textId="77777777" w:rsidR="00014369" w:rsidRPr="00014369" w:rsidRDefault="00014369" w:rsidP="00014369">
      <w:pPr>
        <w:pStyle w:val="TableNo"/>
        <w:rPr>
          <w:lang w:val="en-US"/>
        </w:rPr>
      </w:pPr>
      <w:r w:rsidRPr="00014369">
        <w:rPr>
          <w:lang w:val="en-US"/>
        </w:rPr>
        <w:lastRenderedPageBreak/>
        <w:t>TABLE 3</w:t>
      </w:r>
    </w:p>
    <w:p w14:paraId="0E273DCE" w14:textId="77777777" w:rsidR="00014369" w:rsidRPr="00014369" w:rsidRDefault="00014369" w:rsidP="00014369">
      <w:pPr>
        <w:pStyle w:val="Tabletitle"/>
        <w:rPr>
          <w:lang w:val="en-US"/>
        </w:rPr>
      </w:pPr>
      <w:r w:rsidRPr="00014369">
        <w:rPr>
          <w:lang w:val="en-US"/>
        </w:rPr>
        <w:t xml:space="preserve">Maximum allowable </w:t>
      </w:r>
      <w:r w:rsidRPr="00014369">
        <w:rPr>
          <w:i/>
          <w:lang w:val="en-US"/>
        </w:rPr>
        <w:t>I</w:t>
      </w:r>
      <w:r w:rsidRPr="00014369">
        <w:rPr>
          <w:lang w:val="en-US"/>
        </w:rPr>
        <w:t>/</w:t>
      </w:r>
      <w:r w:rsidRPr="00014369">
        <w:rPr>
          <w:i/>
          <w:lang w:val="en-US"/>
        </w:rPr>
        <w:t>C</w:t>
      </w:r>
      <w:r w:rsidRPr="00014369">
        <w:rPr>
          <w:lang w:val="en-US"/>
        </w:rPr>
        <w:t xml:space="preserve">, </w:t>
      </w:r>
      <w:r w:rsidRPr="00014369">
        <w:rPr>
          <w:i/>
          <w:lang w:val="en-US"/>
        </w:rPr>
        <w:t>I</w:t>
      </w:r>
      <w:r w:rsidRPr="00014369">
        <w:rPr>
          <w:lang w:val="en-US"/>
        </w:rPr>
        <w:t>/</w:t>
      </w:r>
      <w:r w:rsidRPr="00014369">
        <w:rPr>
          <w:i/>
          <w:lang w:val="en-US"/>
        </w:rPr>
        <w:t>S</w:t>
      </w:r>
      <w:r w:rsidRPr="00014369">
        <w:rPr>
          <w:lang w:val="en-US"/>
        </w:rPr>
        <w:t xml:space="preserve"> or </w:t>
      </w:r>
      <w:r w:rsidRPr="00014369">
        <w:rPr>
          <w:i/>
          <w:lang w:val="en-US"/>
        </w:rPr>
        <w:t>I</w:t>
      </w:r>
      <w:r w:rsidRPr="00014369">
        <w:rPr>
          <w:lang w:val="en-US"/>
        </w:rPr>
        <w:t>/</w:t>
      </w:r>
      <w:r w:rsidRPr="00014369">
        <w:rPr>
          <w:i/>
          <w:lang w:val="en-US"/>
        </w:rPr>
        <w:t>N</w:t>
      </w:r>
      <w:r w:rsidRPr="00014369">
        <w:rPr>
          <w:lang w:val="en-US"/>
        </w:rPr>
        <w:t xml:space="preserve"> for CW and noise-like interference</w:t>
      </w:r>
    </w:p>
    <w:tbl>
      <w:tblPr>
        <w:tblW w:w="0" w:type="auto"/>
        <w:jc w:val="center"/>
        <w:tblLayout w:type="fixed"/>
        <w:tblLook w:val="0000" w:firstRow="0" w:lastRow="0" w:firstColumn="0" w:lastColumn="0" w:noHBand="0" w:noVBand="0"/>
      </w:tblPr>
      <w:tblGrid>
        <w:gridCol w:w="4536"/>
        <w:gridCol w:w="1701"/>
        <w:gridCol w:w="1701"/>
        <w:gridCol w:w="1701"/>
      </w:tblGrid>
      <w:tr w:rsidR="00014369" w:rsidRPr="0067409F" w14:paraId="08029463" w14:textId="77777777">
        <w:tblPrEx>
          <w:tblCellMar>
            <w:top w:w="0" w:type="dxa"/>
            <w:bottom w:w="0" w:type="dxa"/>
          </w:tblCellMar>
        </w:tblPrEx>
        <w:trPr>
          <w:cantSplit/>
          <w:jc w:val="center"/>
        </w:trPr>
        <w:tc>
          <w:tcPr>
            <w:tcW w:w="4536" w:type="dxa"/>
            <w:tcBorders>
              <w:top w:val="single" w:sz="6" w:space="0" w:color="auto"/>
              <w:left w:val="single" w:sz="6" w:space="0" w:color="auto"/>
              <w:right w:val="single" w:sz="6" w:space="0" w:color="auto"/>
            </w:tcBorders>
            <w:vAlign w:val="center"/>
          </w:tcPr>
          <w:p w14:paraId="127AC967" w14:textId="77777777" w:rsidR="00014369" w:rsidRPr="0067409F" w:rsidRDefault="00014369" w:rsidP="00014369">
            <w:pPr>
              <w:pStyle w:val="Tablehead"/>
            </w:pPr>
            <w:proofErr w:type="spellStart"/>
            <w:r w:rsidRPr="0067409F">
              <w:t>Subsystem</w:t>
            </w:r>
            <w:proofErr w:type="spellEnd"/>
            <w:r w:rsidRPr="0067409F">
              <w:t xml:space="preserve"> (</w:t>
            </w:r>
            <w:proofErr w:type="spellStart"/>
            <w:r w:rsidRPr="0067409F">
              <w:t>criterion</w:t>
            </w:r>
            <w:proofErr w:type="spellEnd"/>
            <w:r w:rsidRPr="0067409F">
              <w:t>)</w:t>
            </w:r>
          </w:p>
        </w:tc>
        <w:tc>
          <w:tcPr>
            <w:tcW w:w="1701" w:type="dxa"/>
            <w:tcBorders>
              <w:top w:val="single" w:sz="6" w:space="0" w:color="auto"/>
              <w:bottom w:val="single" w:sz="6" w:space="0" w:color="auto"/>
              <w:right w:val="single" w:sz="6" w:space="0" w:color="auto"/>
            </w:tcBorders>
            <w:vAlign w:val="center"/>
          </w:tcPr>
          <w:p w14:paraId="0B8D256D" w14:textId="77777777" w:rsidR="00014369" w:rsidRPr="0067409F" w:rsidRDefault="00014369" w:rsidP="00014369">
            <w:pPr>
              <w:pStyle w:val="Tablehead"/>
            </w:pPr>
            <w:proofErr w:type="spellStart"/>
            <w:r w:rsidRPr="0067409F">
              <w:t>Interference</w:t>
            </w:r>
            <w:proofErr w:type="spellEnd"/>
            <w:r w:rsidRPr="0067409F">
              <w:t xml:space="preserve"> type</w:t>
            </w:r>
          </w:p>
        </w:tc>
        <w:tc>
          <w:tcPr>
            <w:tcW w:w="1701" w:type="dxa"/>
            <w:tcBorders>
              <w:top w:val="single" w:sz="6" w:space="0" w:color="auto"/>
              <w:left w:val="single" w:sz="6" w:space="0" w:color="auto"/>
              <w:bottom w:val="single" w:sz="6" w:space="0" w:color="auto"/>
              <w:right w:val="single" w:sz="6" w:space="0" w:color="auto"/>
            </w:tcBorders>
            <w:vAlign w:val="center"/>
          </w:tcPr>
          <w:p w14:paraId="40E17222" w14:textId="77777777" w:rsidR="00014369" w:rsidRPr="0067409F" w:rsidRDefault="00014369" w:rsidP="00014369">
            <w:pPr>
              <w:pStyle w:val="Tablehead"/>
            </w:pPr>
            <w:r w:rsidRPr="0067409F">
              <w:t>Data source</w:t>
            </w:r>
          </w:p>
        </w:tc>
        <w:tc>
          <w:tcPr>
            <w:tcW w:w="1701" w:type="dxa"/>
            <w:tcBorders>
              <w:top w:val="single" w:sz="6" w:space="0" w:color="auto"/>
              <w:left w:val="single" w:sz="6" w:space="0" w:color="auto"/>
              <w:bottom w:val="single" w:sz="6" w:space="0" w:color="auto"/>
              <w:right w:val="single" w:sz="6" w:space="0" w:color="auto"/>
            </w:tcBorders>
            <w:vAlign w:val="center"/>
          </w:tcPr>
          <w:p w14:paraId="23E44A49" w14:textId="77777777" w:rsidR="00014369" w:rsidRPr="0067409F" w:rsidRDefault="00014369" w:rsidP="00014369">
            <w:pPr>
              <w:pStyle w:val="Tablehead"/>
            </w:pPr>
            <w:r w:rsidRPr="0067409F">
              <w:t xml:space="preserve">Maximum </w:t>
            </w:r>
            <w:proofErr w:type="spellStart"/>
            <w:r w:rsidRPr="0067409F">
              <w:t>interference</w:t>
            </w:r>
            <w:proofErr w:type="spellEnd"/>
            <w:r w:rsidRPr="0067409F">
              <w:t xml:space="preserve"> ratio</w:t>
            </w:r>
          </w:p>
        </w:tc>
      </w:tr>
      <w:tr w:rsidR="00150C4D" w:rsidRPr="0067409F" w14:paraId="411D741E" w14:textId="77777777">
        <w:tblPrEx>
          <w:tblCellMar>
            <w:top w:w="0" w:type="dxa"/>
            <w:bottom w:w="0" w:type="dxa"/>
          </w:tblCellMar>
        </w:tblPrEx>
        <w:trPr>
          <w:cantSplit/>
          <w:jc w:val="center"/>
        </w:trPr>
        <w:tc>
          <w:tcPr>
            <w:tcW w:w="4536" w:type="dxa"/>
            <w:vMerge w:val="restart"/>
            <w:tcBorders>
              <w:top w:val="single" w:sz="6" w:space="0" w:color="auto"/>
              <w:left w:val="single" w:sz="6" w:space="0" w:color="auto"/>
              <w:right w:val="single" w:sz="6" w:space="0" w:color="auto"/>
            </w:tcBorders>
          </w:tcPr>
          <w:p w14:paraId="6603407A" w14:textId="77777777" w:rsidR="00150C4D" w:rsidRPr="00150C4D" w:rsidRDefault="00150C4D" w:rsidP="003530BF">
            <w:pPr>
              <w:pStyle w:val="Tabletext"/>
              <w:keepNext/>
              <w:jc w:val="left"/>
              <w:rPr>
                <w:lang w:val="en-US"/>
              </w:rPr>
            </w:pPr>
            <w:r w:rsidRPr="00150C4D">
              <w:rPr>
                <w:i/>
                <w:lang w:val="en-US"/>
              </w:rPr>
              <w:t>Carrier tracking</w:t>
            </w:r>
            <w:r w:rsidRPr="00150C4D">
              <w:rPr>
                <w:lang w:val="en-US"/>
              </w:rPr>
              <w:t xml:space="preserve"> </w:t>
            </w:r>
            <w:r>
              <w:rPr>
                <w:lang w:val="en-US"/>
              </w:rPr>
              <w:br/>
            </w:r>
            <w:r w:rsidRPr="00150C4D">
              <w:rPr>
                <w:lang w:val="en-US"/>
              </w:rPr>
              <w:t>(10° added peak phase jitter)</w:t>
            </w:r>
          </w:p>
        </w:tc>
        <w:tc>
          <w:tcPr>
            <w:tcW w:w="1701" w:type="dxa"/>
            <w:tcBorders>
              <w:top w:val="single" w:sz="6" w:space="0" w:color="auto"/>
              <w:bottom w:val="single" w:sz="6" w:space="0" w:color="auto"/>
              <w:right w:val="single" w:sz="6" w:space="0" w:color="auto"/>
            </w:tcBorders>
          </w:tcPr>
          <w:p w14:paraId="25CD7019" w14:textId="77777777" w:rsidR="00150C4D" w:rsidRPr="0067409F" w:rsidRDefault="00150C4D" w:rsidP="003530BF">
            <w:pPr>
              <w:pStyle w:val="Tabletext"/>
              <w:keepNext/>
            </w:pPr>
            <w:r w:rsidRPr="0067409F">
              <w:t>CW</w:t>
            </w:r>
          </w:p>
        </w:tc>
        <w:tc>
          <w:tcPr>
            <w:tcW w:w="1701" w:type="dxa"/>
            <w:tcBorders>
              <w:top w:val="single" w:sz="6" w:space="0" w:color="auto"/>
              <w:left w:val="single" w:sz="6" w:space="0" w:color="auto"/>
              <w:bottom w:val="single" w:sz="6" w:space="0" w:color="auto"/>
              <w:right w:val="single" w:sz="6" w:space="0" w:color="auto"/>
            </w:tcBorders>
          </w:tcPr>
          <w:p w14:paraId="55523883" w14:textId="77777777" w:rsidR="00150C4D" w:rsidRPr="0067409F" w:rsidRDefault="00150C4D" w:rsidP="003530BF">
            <w:pPr>
              <w:pStyle w:val="Tabletext"/>
              <w:keepNext/>
              <w:jc w:val="left"/>
            </w:pPr>
            <w:r w:rsidRPr="0067409F">
              <w:t>Fig. 3</w:t>
            </w:r>
          </w:p>
        </w:tc>
        <w:tc>
          <w:tcPr>
            <w:tcW w:w="1701" w:type="dxa"/>
            <w:tcBorders>
              <w:top w:val="single" w:sz="6" w:space="0" w:color="auto"/>
              <w:left w:val="single" w:sz="6" w:space="0" w:color="auto"/>
              <w:bottom w:val="single" w:sz="6" w:space="0" w:color="auto"/>
              <w:right w:val="single" w:sz="6" w:space="0" w:color="auto"/>
            </w:tcBorders>
          </w:tcPr>
          <w:p w14:paraId="4E4ED3BA" w14:textId="77777777" w:rsidR="00150C4D" w:rsidRPr="0067409F" w:rsidRDefault="00150C4D" w:rsidP="003530BF">
            <w:pPr>
              <w:pStyle w:val="Tabletext"/>
              <w:keepNext/>
              <w:jc w:val="left"/>
            </w:pPr>
            <w:r w:rsidRPr="0067409F">
              <w:rPr>
                <w:i/>
              </w:rPr>
              <w:t>I</w:t>
            </w:r>
            <w:r w:rsidRPr="0067409F">
              <w:t>/</w:t>
            </w:r>
            <w:r w:rsidRPr="0067409F">
              <w:rPr>
                <w:i/>
              </w:rPr>
              <w:t>C</w:t>
            </w:r>
            <w:r w:rsidRPr="0067409F">
              <w:t xml:space="preserve"> </w:t>
            </w:r>
            <w:r w:rsidRPr="0067409F">
              <w:rPr>
                <w:rFonts w:ascii="Symbol" w:hAnsi="Symbol"/>
              </w:rPr>
              <w:t></w:t>
            </w:r>
            <w:r w:rsidRPr="0067409F">
              <w:t xml:space="preserve"> –15 dB</w:t>
            </w:r>
          </w:p>
        </w:tc>
      </w:tr>
      <w:tr w:rsidR="00150C4D" w:rsidRPr="0067409F" w14:paraId="49CAEE7A" w14:textId="77777777">
        <w:tblPrEx>
          <w:tblCellMar>
            <w:top w:w="0" w:type="dxa"/>
            <w:bottom w:w="0" w:type="dxa"/>
          </w:tblCellMar>
        </w:tblPrEx>
        <w:trPr>
          <w:cantSplit/>
          <w:jc w:val="center"/>
        </w:trPr>
        <w:tc>
          <w:tcPr>
            <w:tcW w:w="4536" w:type="dxa"/>
            <w:vMerge/>
            <w:tcBorders>
              <w:left w:val="single" w:sz="6" w:space="0" w:color="auto"/>
              <w:right w:val="single" w:sz="6" w:space="0" w:color="auto"/>
            </w:tcBorders>
          </w:tcPr>
          <w:p w14:paraId="21FC6BCE" w14:textId="77777777" w:rsidR="00150C4D" w:rsidRPr="0067409F" w:rsidRDefault="00150C4D" w:rsidP="003530BF">
            <w:pPr>
              <w:pStyle w:val="Tabletext"/>
              <w:keepNext/>
              <w:jc w:val="left"/>
            </w:pPr>
          </w:p>
        </w:tc>
        <w:tc>
          <w:tcPr>
            <w:tcW w:w="1701" w:type="dxa"/>
            <w:tcBorders>
              <w:top w:val="single" w:sz="6" w:space="0" w:color="auto"/>
              <w:bottom w:val="single" w:sz="6" w:space="0" w:color="auto"/>
              <w:right w:val="single" w:sz="6" w:space="0" w:color="auto"/>
            </w:tcBorders>
          </w:tcPr>
          <w:p w14:paraId="6BC08D8F" w14:textId="77777777" w:rsidR="00150C4D" w:rsidRPr="0067409F" w:rsidRDefault="00150C4D" w:rsidP="003530BF">
            <w:pPr>
              <w:pStyle w:val="Tabletext"/>
              <w:keepNext/>
            </w:pPr>
            <w:r w:rsidRPr="0067409F">
              <w:t>Noise-like</w:t>
            </w:r>
          </w:p>
        </w:tc>
        <w:tc>
          <w:tcPr>
            <w:tcW w:w="1701" w:type="dxa"/>
            <w:tcBorders>
              <w:top w:val="single" w:sz="6" w:space="0" w:color="auto"/>
              <w:left w:val="single" w:sz="6" w:space="0" w:color="auto"/>
              <w:bottom w:val="single" w:sz="6" w:space="0" w:color="auto"/>
              <w:right w:val="single" w:sz="6" w:space="0" w:color="auto"/>
            </w:tcBorders>
          </w:tcPr>
          <w:p w14:paraId="55038AFA" w14:textId="77777777" w:rsidR="00150C4D" w:rsidRPr="0067409F" w:rsidRDefault="00150C4D" w:rsidP="003530BF">
            <w:pPr>
              <w:pStyle w:val="Tabletext"/>
              <w:keepNext/>
              <w:jc w:val="left"/>
            </w:pPr>
            <w:r w:rsidRPr="0067409F">
              <w:t xml:space="preserve">Fig. 8 and </w:t>
            </w:r>
            <w:proofErr w:type="spellStart"/>
            <w:r w:rsidRPr="0067409F">
              <w:t>calculation</w:t>
            </w:r>
            <w:proofErr w:type="spellEnd"/>
          </w:p>
        </w:tc>
        <w:tc>
          <w:tcPr>
            <w:tcW w:w="1701" w:type="dxa"/>
            <w:tcBorders>
              <w:top w:val="single" w:sz="6" w:space="0" w:color="auto"/>
              <w:left w:val="single" w:sz="6" w:space="0" w:color="auto"/>
              <w:bottom w:val="single" w:sz="6" w:space="0" w:color="auto"/>
              <w:right w:val="single" w:sz="6" w:space="0" w:color="auto"/>
            </w:tcBorders>
          </w:tcPr>
          <w:p w14:paraId="03F7858C" w14:textId="77777777" w:rsidR="00150C4D" w:rsidRPr="0067409F" w:rsidRDefault="00150C4D" w:rsidP="003530BF">
            <w:pPr>
              <w:pStyle w:val="Tabletext"/>
              <w:keepNext/>
              <w:jc w:val="left"/>
            </w:pPr>
            <w:r w:rsidRPr="0067409F">
              <w:rPr>
                <w:i/>
              </w:rPr>
              <w:t>I</w:t>
            </w:r>
            <w:r w:rsidRPr="0067409F">
              <w:rPr>
                <w:vertAlign w:val="subscript"/>
              </w:rPr>
              <w:t>0</w:t>
            </w:r>
            <w:r w:rsidRPr="0067409F">
              <w:t>/</w:t>
            </w:r>
            <w:r w:rsidRPr="0067409F">
              <w:rPr>
                <w:i/>
              </w:rPr>
              <w:t>N</w:t>
            </w:r>
            <w:r w:rsidRPr="0067409F">
              <w:rPr>
                <w:vertAlign w:val="subscript"/>
              </w:rPr>
              <w:t>0</w:t>
            </w:r>
            <w:r w:rsidRPr="0067409F">
              <w:t xml:space="preserve"> </w:t>
            </w:r>
            <w:r w:rsidRPr="0067409F">
              <w:rPr>
                <w:rFonts w:ascii="Symbol" w:hAnsi="Symbol"/>
              </w:rPr>
              <w:t></w:t>
            </w:r>
            <w:r w:rsidRPr="0067409F">
              <w:t xml:space="preserve"> </w:t>
            </w:r>
            <w:r w:rsidRPr="0067409F">
              <w:rPr>
                <w:rFonts w:ascii="Symbol" w:hAnsi="Symbol"/>
              </w:rPr>
              <w:t></w:t>
            </w:r>
            <w:r w:rsidRPr="0067409F">
              <w:t>2.6 dB</w:t>
            </w:r>
          </w:p>
        </w:tc>
      </w:tr>
      <w:tr w:rsidR="00014369" w:rsidRPr="0067409F" w14:paraId="0260B1D4" w14:textId="77777777">
        <w:tblPrEx>
          <w:tblCellMar>
            <w:top w:w="0" w:type="dxa"/>
            <w:bottom w:w="0" w:type="dxa"/>
          </w:tblCellMar>
        </w:tblPrEx>
        <w:trPr>
          <w:cantSplit/>
          <w:jc w:val="center"/>
        </w:trPr>
        <w:tc>
          <w:tcPr>
            <w:tcW w:w="4536" w:type="dxa"/>
            <w:tcBorders>
              <w:top w:val="single" w:sz="6" w:space="0" w:color="auto"/>
              <w:left w:val="single" w:sz="6" w:space="0" w:color="auto"/>
              <w:right w:val="single" w:sz="6" w:space="0" w:color="auto"/>
            </w:tcBorders>
          </w:tcPr>
          <w:p w14:paraId="092B9504" w14:textId="77777777" w:rsidR="00014369" w:rsidRPr="00014369" w:rsidRDefault="00014369" w:rsidP="000E5383">
            <w:pPr>
              <w:pStyle w:val="Tabletext"/>
              <w:jc w:val="left"/>
              <w:rPr>
                <w:sz w:val="18"/>
                <w:lang w:val="en-US"/>
              </w:rPr>
            </w:pPr>
            <w:r w:rsidRPr="00014369">
              <w:rPr>
                <w:i/>
                <w:lang w:val="en-US"/>
              </w:rPr>
              <w:t>Telemetry</w:t>
            </w:r>
            <w:r w:rsidR="00150C4D">
              <w:rPr>
                <w:i/>
                <w:lang w:val="en-US"/>
              </w:rPr>
              <w:br/>
            </w:r>
            <w:r w:rsidRPr="00014369">
              <w:rPr>
                <w:lang w:val="en-US"/>
              </w:rPr>
              <w:t xml:space="preserve">(1 dB reduction in </w:t>
            </w:r>
            <w:r w:rsidRPr="00014369">
              <w:rPr>
                <w:i/>
                <w:lang w:val="en-US"/>
              </w:rPr>
              <w:t>E</w:t>
            </w:r>
            <w:r w:rsidRPr="00014369">
              <w:rPr>
                <w:iCs/>
                <w:lang w:val="en-US"/>
              </w:rPr>
              <w:t>/</w:t>
            </w:r>
            <w:r w:rsidRPr="00014369">
              <w:rPr>
                <w:i/>
                <w:lang w:val="en-US"/>
              </w:rPr>
              <w:t>N</w:t>
            </w:r>
            <w:r w:rsidRPr="00014369">
              <w:rPr>
                <w:vertAlign w:val="subscript"/>
                <w:lang w:val="en-US"/>
              </w:rPr>
              <w:t>0</w:t>
            </w:r>
            <w:r w:rsidRPr="00014369">
              <w:rPr>
                <w:lang w:val="en-US"/>
              </w:rPr>
              <w:t xml:space="preserve"> from interference in carrier tracking loop)</w:t>
            </w:r>
          </w:p>
        </w:tc>
        <w:tc>
          <w:tcPr>
            <w:tcW w:w="1701" w:type="dxa"/>
            <w:tcBorders>
              <w:top w:val="single" w:sz="6" w:space="0" w:color="auto"/>
              <w:bottom w:val="single" w:sz="6" w:space="0" w:color="auto"/>
              <w:right w:val="single" w:sz="6" w:space="0" w:color="auto"/>
            </w:tcBorders>
          </w:tcPr>
          <w:p w14:paraId="680073FF" w14:textId="77777777" w:rsidR="00014369" w:rsidRPr="0067409F" w:rsidRDefault="00014369" w:rsidP="00014369">
            <w:pPr>
              <w:pStyle w:val="Tabletext"/>
            </w:pPr>
            <w:r w:rsidRPr="0067409F">
              <w:t>CW</w:t>
            </w:r>
          </w:p>
        </w:tc>
        <w:tc>
          <w:tcPr>
            <w:tcW w:w="1701" w:type="dxa"/>
            <w:tcBorders>
              <w:top w:val="single" w:sz="6" w:space="0" w:color="auto"/>
              <w:left w:val="single" w:sz="6" w:space="0" w:color="auto"/>
              <w:bottom w:val="single" w:sz="6" w:space="0" w:color="auto"/>
              <w:right w:val="single" w:sz="6" w:space="0" w:color="auto"/>
            </w:tcBorders>
          </w:tcPr>
          <w:p w14:paraId="746EEAA8" w14:textId="77777777" w:rsidR="00014369" w:rsidRPr="0067409F" w:rsidRDefault="00014369" w:rsidP="003530BF">
            <w:pPr>
              <w:pStyle w:val="Tabletext"/>
              <w:jc w:val="left"/>
            </w:pPr>
            <w:r w:rsidRPr="0067409F">
              <w:t>Fig. 5</w:t>
            </w:r>
          </w:p>
        </w:tc>
        <w:tc>
          <w:tcPr>
            <w:tcW w:w="1701" w:type="dxa"/>
            <w:tcBorders>
              <w:top w:val="single" w:sz="6" w:space="0" w:color="auto"/>
              <w:left w:val="single" w:sz="6" w:space="0" w:color="auto"/>
              <w:bottom w:val="single" w:sz="6" w:space="0" w:color="auto"/>
              <w:right w:val="single" w:sz="6" w:space="0" w:color="auto"/>
            </w:tcBorders>
          </w:tcPr>
          <w:p w14:paraId="5E2D13E2" w14:textId="77777777" w:rsidR="00014369" w:rsidRPr="0067409F" w:rsidRDefault="00014369" w:rsidP="003530BF">
            <w:pPr>
              <w:pStyle w:val="Tabletext"/>
              <w:jc w:val="left"/>
            </w:pPr>
            <w:r w:rsidRPr="0067409F">
              <w:rPr>
                <w:i/>
              </w:rPr>
              <w:t>I</w:t>
            </w:r>
            <w:r w:rsidRPr="0067409F">
              <w:t>/</w:t>
            </w:r>
            <w:r w:rsidRPr="0067409F">
              <w:rPr>
                <w:i/>
              </w:rPr>
              <w:t>C</w:t>
            </w:r>
            <w:r w:rsidRPr="0067409F">
              <w:t xml:space="preserve"> </w:t>
            </w:r>
            <w:r w:rsidRPr="0067409F">
              <w:rPr>
                <w:rFonts w:ascii="Symbol" w:hAnsi="Symbol"/>
              </w:rPr>
              <w:t></w:t>
            </w:r>
            <w:r w:rsidRPr="0067409F">
              <w:t xml:space="preserve"> –1.5 dB</w:t>
            </w:r>
          </w:p>
        </w:tc>
      </w:tr>
      <w:tr w:rsidR="00150C4D" w:rsidRPr="0067409F" w14:paraId="4170EEFA" w14:textId="77777777">
        <w:tblPrEx>
          <w:tblCellMar>
            <w:top w:w="0" w:type="dxa"/>
            <w:bottom w:w="0" w:type="dxa"/>
          </w:tblCellMar>
        </w:tblPrEx>
        <w:trPr>
          <w:cantSplit/>
          <w:jc w:val="center"/>
        </w:trPr>
        <w:tc>
          <w:tcPr>
            <w:tcW w:w="4536" w:type="dxa"/>
            <w:vMerge w:val="restart"/>
            <w:tcBorders>
              <w:top w:val="single" w:sz="6" w:space="0" w:color="auto"/>
              <w:left w:val="single" w:sz="6" w:space="0" w:color="auto"/>
              <w:right w:val="single" w:sz="6" w:space="0" w:color="auto"/>
            </w:tcBorders>
          </w:tcPr>
          <w:p w14:paraId="5292B4A2" w14:textId="77777777" w:rsidR="00150C4D" w:rsidRPr="00150C4D" w:rsidRDefault="00150C4D" w:rsidP="000E5383">
            <w:pPr>
              <w:pStyle w:val="Tabletext"/>
              <w:jc w:val="left"/>
              <w:rPr>
                <w:lang w:val="en-US"/>
              </w:rPr>
            </w:pPr>
            <w:r w:rsidRPr="00150C4D">
              <w:rPr>
                <w:i/>
                <w:lang w:val="en-US"/>
              </w:rPr>
              <w:t>Telemetry</w:t>
            </w:r>
            <w:r>
              <w:rPr>
                <w:i/>
                <w:lang w:val="en-US"/>
              </w:rPr>
              <w:br/>
            </w:r>
            <w:r w:rsidRPr="00014369">
              <w:rPr>
                <w:lang w:val="en-US"/>
              </w:rPr>
              <w:t xml:space="preserve">(1 dB reduction in </w:t>
            </w:r>
            <w:r w:rsidRPr="00014369">
              <w:rPr>
                <w:i/>
                <w:lang w:val="en-US"/>
              </w:rPr>
              <w:t>E</w:t>
            </w:r>
            <w:r w:rsidRPr="00014369">
              <w:rPr>
                <w:iCs/>
                <w:lang w:val="en-US"/>
              </w:rPr>
              <w:t>/</w:t>
            </w:r>
            <w:r w:rsidRPr="00014369">
              <w:rPr>
                <w:i/>
                <w:lang w:val="en-US"/>
              </w:rPr>
              <w:t>N</w:t>
            </w:r>
            <w:r w:rsidRPr="00014369">
              <w:rPr>
                <w:position w:val="-3"/>
                <w:sz w:val="14"/>
                <w:lang w:val="en-US"/>
              </w:rPr>
              <w:t>0</w:t>
            </w:r>
            <w:r w:rsidRPr="00014369">
              <w:rPr>
                <w:lang w:val="en-US"/>
              </w:rPr>
              <w:t xml:space="preserve"> from interference in telemetry detection bandwidth)</w:t>
            </w:r>
          </w:p>
        </w:tc>
        <w:tc>
          <w:tcPr>
            <w:tcW w:w="1701" w:type="dxa"/>
            <w:tcBorders>
              <w:top w:val="single" w:sz="6" w:space="0" w:color="auto"/>
              <w:bottom w:val="single" w:sz="6" w:space="0" w:color="auto"/>
              <w:right w:val="single" w:sz="6" w:space="0" w:color="auto"/>
            </w:tcBorders>
          </w:tcPr>
          <w:p w14:paraId="6128818B" w14:textId="77777777" w:rsidR="00150C4D" w:rsidRPr="0067409F" w:rsidRDefault="00150C4D" w:rsidP="00014369">
            <w:pPr>
              <w:pStyle w:val="Tabletext"/>
            </w:pPr>
            <w:r w:rsidRPr="0067409F">
              <w:t>CW</w:t>
            </w:r>
          </w:p>
        </w:tc>
        <w:tc>
          <w:tcPr>
            <w:tcW w:w="1701" w:type="dxa"/>
            <w:tcBorders>
              <w:top w:val="single" w:sz="6" w:space="0" w:color="auto"/>
              <w:left w:val="single" w:sz="6" w:space="0" w:color="auto"/>
              <w:bottom w:val="single" w:sz="6" w:space="0" w:color="auto"/>
              <w:right w:val="single" w:sz="6" w:space="0" w:color="auto"/>
            </w:tcBorders>
          </w:tcPr>
          <w:p w14:paraId="69FEA868" w14:textId="77777777" w:rsidR="00150C4D" w:rsidRPr="0067409F" w:rsidRDefault="00150C4D" w:rsidP="003530BF">
            <w:pPr>
              <w:pStyle w:val="Tabletext"/>
              <w:jc w:val="left"/>
            </w:pPr>
            <w:r w:rsidRPr="0067409F">
              <w:t>Fig. 4</w:t>
            </w:r>
          </w:p>
        </w:tc>
        <w:tc>
          <w:tcPr>
            <w:tcW w:w="1701" w:type="dxa"/>
            <w:tcBorders>
              <w:top w:val="single" w:sz="6" w:space="0" w:color="auto"/>
              <w:left w:val="single" w:sz="6" w:space="0" w:color="auto"/>
              <w:bottom w:val="single" w:sz="6" w:space="0" w:color="auto"/>
              <w:right w:val="single" w:sz="6" w:space="0" w:color="auto"/>
            </w:tcBorders>
          </w:tcPr>
          <w:p w14:paraId="698F81BC" w14:textId="77777777" w:rsidR="00150C4D" w:rsidRPr="0067409F" w:rsidRDefault="00150C4D" w:rsidP="003530BF">
            <w:pPr>
              <w:pStyle w:val="Tabletext"/>
              <w:jc w:val="left"/>
            </w:pPr>
            <w:r w:rsidRPr="0067409F">
              <w:rPr>
                <w:i/>
              </w:rPr>
              <w:t>I</w:t>
            </w:r>
            <w:r w:rsidRPr="0067409F">
              <w:t>/</w:t>
            </w:r>
            <w:r w:rsidRPr="0067409F">
              <w:rPr>
                <w:i/>
              </w:rPr>
              <w:t>S</w:t>
            </w:r>
            <w:r w:rsidRPr="0067409F">
              <w:t xml:space="preserve"> </w:t>
            </w:r>
            <w:r w:rsidRPr="0067409F">
              <w:rPr>
                <w:rFonts w:ascii="Symbol" w:hAnsi="Symbol"/>
              </w:rPr>
              <w:t></w:t>
            </w:r>
            <w:r w:rsidRPr="0067409F">
              <w:t xml:space="preserve"> –11 dB</w:t>
            </w:r>
          </w:p>
        </w:tc>
      </w:tr>
      <w:tr w:rsidR="00150C4D" w:rsidRPr="0067409F" w14:paraId="4D933BA0" w14:textId="77777777">
        <w:tblPrEx>
          <w:tblCellMar>
            <w:top w:w="0" w:type="dxa"/>
            <w:bottom w:w="0" w:type="dxa"/>
          </w:tblCellMar>
        </w:tblPrEx>
        <w:trPr>
          <w:cantSplit/>
          <w:jc w:val="center"/>
        </w:trPr>
        <w:tc>
          <w:tcPr>
            <w:tcW w:w="4536" w:type="dxa"/>
            <w:vMerge/>
            <w:tcBorders>
              <w:left w:val="single" w:sz="6" w:space="0" w:color="auto"/>
              <w:right w:val="single" w:sz="6" w:space="0" w:color="auto"/>
            </w:tcBorders>
          </w:tcPr>
          <w:p w14:paraId="248CB2F5" w14:textId="77777777" w:rsidR="00150C4D" w:rsidRPr="00014369" w:rsidRDefault="00150C4D" w:rsidP="000E5383">
            <w:pPr>
              <w:pStyle w:val="Tabletext"/>
              <w:jc w:val="left"/>
              <w:rPr>
                <w:lang w:val="en-US"/>
              </w:rPr>
            </w:pPr>
          </w:p>
        </w:tc>
        <w:tc>
          <w:tcPr>
            <w:tcW w:w="1701" w:type="dxa"/>
            <w:tcBorders>
              <w:top w:val="single" w:sz="6" w:space="0" w:color="auto"/>
              <w:bottom w:val="single" w:sz="6" w:space="0" w:color="auto"/>
              <w:right w:val="single" w:sz="6" w:space="0" w:color="auto"/>
            </w:tcBorders>
          </w:tcPr>
          <w:p w14:paraId="44BA1514" w14:textId="77777777" w:rsidR="00150C4D" w:rsidRPr="0067409F" w:rsidRDefault="00150C4D" w:rsidP="00014369">
            <w:pPr>
              <w:pStyle w:val="Tabletext"/>
            </w:pPr>
            <w:r w:rsidRPr="0067409F">
              <w:t>Noise-like</w:t>
            </w:r>
          </w:p>
        </w:tc>
        <w:tc>
          <w:tcPr>
            <w:tcW w:w="1701" w:type="dxa"/>
            <w:tcBorders>
              <w:top w:val="single" w:sz="6" w:space="0" w:color="auto"/>
              <w:left w:val="single" w:sz="6" w:space="0" w:color="auto"/>
              <w:bottom w:val="single" w:sz="6" w:space="0" w:color="auto"/>
              <w:right w:val="single" w:sz="6" w:space="0" w:color="auto"/>
            </w:tcBorders>
          </w:tcPr>
          <w:p w14:paraId="31C78352" w14:textId="77777777" w:rsidR="00150C4D" w:rsidRPr="0067409F" w:rsidRDefault="00150C4D" w:rsidP="003530BF">
            <w:pPr>
              <w:pStyle w:val="Tabletext"/>
              <w:jc w:val="left"/>
            </w:pPr>
            <w:proofErr w:type="spellStart"/>
            <w:r w:rsidRPr="0067409F">
              <w:t>Calculated</w:t>
            </w:r>
            <w:proofErr w:type="spellEnd"/>
          </w:p>
        </w:tc>
        <w:tc>
          <w:tcPr>
            <w:tcW w:w="1701" w:type="dxa"/>
            <w:tcBorders>
              <w:top w:val="single" w:sz="6" w:space="0" w:color="auto"/>
              <w:left w:val="single" w:sz="6" w:space="0" w:color="auto"/>
              <w:bottom w:val="single" w:sz="6" w:space="0" w:color="auto"/>
              <w:right w:val="single" w:sz="6" w:space="0" w:color="auto"/>
            </w:tcBorders>
          </w:tcPr>
          <w:p w14:paraId="4E05BF93" w14:textId="77777777" w:rsidR="00150C4D" w:rsidRPr="0067409F" w:rsidRDefault="00150C4D" w:rsidP="003530BF">
            <w:pPr>
              <w:pStyle w:val="Tabletext"/>
              <w:jc w:val="left"/>
            </w:pPr>
            <w:r w:rsidRPr="0067409F">
              <w:rPr>
                <w:i/>
              </w:rPr>
              <w:t>I</w:t>
            </w:r>
            <w:r w:rsidRPr="0067409F">
              <w:rPr>
                <w:vertAlign w:val="subscript"/>
              </w:rPr>
              <w:t>0</w:t>
            </w:r>
            <w:r w:rsidRPr="0067409F">
              <w:t>/</w:t>
            </w:r>
            <w:r w:rsidRPr="0067409F">
              <w:rPr>
                <w:i/>
              </w:rPr>
              <w:t>N</w:t>
            </w:r>
            <w:r w:rsidRPr="0067409F">
              <w:rPr>
                <w:vertAlign w:val="subscript"/>
              </w:rPr>
              <w:t>0</w:t>
            </w:r>
            <w:r w:rsidRPr="0067409F">
              <w:t xml:space="preserve"> </w:t>
            </w:r>
            <w:r w:rsidRPr="0067409F">
              <w:rPr>
                <w:rFonts w:ascii="Symbol" w:hAnsi="Symbol"/>
              </w:rPr>
              <w:t></w:t>
            </w:r>
            <w:r w:rsidRPr="0067409F">
              <w:t xml:space="preserve"> –5.9 dB</w:t>
            </w:r>
          </w:p>
        </w:tc>
      </w:tr>
      <w:tr w:rsidR="00014369" w:rsidRPr="0067409F" w14:paraId="6F039C29" w14:textId="77777777">
        <w:tblPrEx>
          <w:tblCellMar>
            <w:top w:w="0" w:type="dxa"/>
            <w:bottom w:w="0" w:type="dxa"/>
          </w:tblCellMar>
        </w:tblPrEx>
        <w:trPr>
          <w:cantSplit/>
          <w:jc w:val="center"/>
        </w:trPr>
        <w:tc>
          <w:tcPr>
            <w:tcW w:w="4536" w:type="dxa"/>
            <w:tcBorders>
              <w:top w:val="single" w:sz="6" w:space="0" w:color="auto"/>
              <w:left w:val="single" w:sz="6" w:space="0" w:color="auto"/>
              <w:bottom w:val="single" w:sz="6" w:space="0" w:color="auto"/>
              <w:right w:val="single" w:sz="6" w:space="0" w:color="auto"/>
            </w:tcBorders>
          </w:tcPr>
          <w:p w14:paraId="24633F12" w14:textId="77777777" w:rsidR="00014369" w:rsidRPr="00014369" w:rsidRDefault="00014369" w:rsidP="000E5383">
            <w:pPr>
              <w:pStyle w:val="Tabletext"/>
              <w:jc w:val="left"/>
              <w:rPr>
                <w:lang w:val="en-US"/>
              </w:rPr>
            </w:pPr>
            <w:r w:rsidRPr="00014369">
              <w:rPr>
                <w:i/>
                <w:lang w:val="en-US"/>
              </w:rPr>
              <w:t>Ranging</w:t>
            </w:r>
            <w:r w:rsidR="00150C4D">
              <w:rPr>
                <w:i/>
                <w:lang w:val="en-US"/>
              </w:rPr>
              <w:br/>
            </w:r>
            <w:r w:rsidRPr="00014369">
              <w:rPr>
                <w:lang w:val="en-US"/>
              </w:rPr>
              <w:t xml:space="preserve">(1 dB reduction in </w:t>
            </w:r>
            <w:r w:rsidRPr="00014369">
              <w:rPr>
                <w:i/>
                <w:lang w:val="en-US"/>
              </w:rPr>
              <w:t>E</w:t>
            </w:r>
            <w:r w:rsidRPr="00014369">
              <w:rPr>
                <w:iCs/>
                <w:lang w:val="en-US"/>
              </w:rPr>
              <w:t>/</w:t>
            </w:r>
            <w:r w:rsidRPr="00014369">
              <w:rPr>
                <w:i/>
                <w:lang w:val="en-US"/>
              </w:rPr>
              <w:t>N</w:t>
            </w:r>
            <w:r w:rsidRPr="00014369">
              <w:rPr>
                <w:position w:val="-3"/>
                <w:sz w:val="14"/>
                <w:lang w:val="en-US"/>
              </w:rPr>
              <w:t>0</w:t>
            </w:r>
            <w:r w:rsidRPr="00014369">
              <w:rPr>
                <w:lang w:val="en-US"/>
              </w:rPr>
              <w:t xml:space="preserve"> from interference in carrier tracking loop)</w:t>
            </w:r>
          </w:p>
        </w:tc>
        <w:tc>
          <w:tcPr>
            <w:tcW w:w="1701" w:type="dxa"/>
            <w:tcBorders>
              <w:top w:val="single" w:sz="6" w:space="0" w:color="auto"/>
              <w:bottom w:val="single" w:sz="6" w:space="0" w:color="auto"/>
              <w:right w:val="single" w:sz="6" w:space="0" w:color="auto"/>
            </w:tcBorders>
          </w:tcPr>
          <w:p w14:paraId="0E775621" w14:textId="77777777" w:rsidR="00014369" w:rsidRPr="0067409F" w:rsidRDefault="00014369" w:rsidP="00014369">
            <w:pPr>
              <w:pStyle w:val="Tabletext"/>
            </w:pPr>
            <w:r w:rsidRPr="0067409F">
              <w:t>CW</w:t>
            </w:r>
          </w:p>
        </w:tc>
        <w:tc>
          <w:tcPr>
            <w:tcW w:w="1701" w:type="dxa"/>
            <w:tcBorders>
              <w:top w:val="single" w:sz="6" w:space="0" w:color="auto"/>
              <w:left w:val="single" w:sz="6" w:space="0" w:color="auto"/>
              <w:bottom w:val="single" w:sz="6" w:space="0" w:color="auto"/>
              <w:right w:val="single" w:sz="6" w:space="0" w:color="auto"/>
            </w:tcBorders>
          </w:tcPr>
          <w:p w14:paraId="132FF97F" w14:textId="77777777" w:rsidR="00014369" w:rsidRPr="0067409F" w:rsidRDefault="00014369" w:rsidP="003530BF">
            <w:pPr>
              <w:pStyle w:val="Tabletext"/>
              <w:jc w:val="left"/>
            </w:pPr>
            <w:r w:rsidRPr="0067409F">
              <w:t>Fig. 6</w:t>
            </w:r>
          </w:p>
        </w:tc>
        <w:tc>
          <w:tcPr>
            <w:tcW w:w="1701" w:type="dxa"/>
            <w:tcBorders>
              <w:top w:val="single" w:sz="6" w:space="0" w:color="auto"/>
              <w:left w:val="single" w:sz="6" w:space="0" w:color="auto"/>
              <w:bottom w:val="single" w:sz="6" w:space="0" w:color="auto"/>
              <w:right w:val="single" w:sz="6" w:space="0" w:color="auto"/>
            </w:tcBorders>
          </w:tcPr>
          <w:p w14:paraId="328337E2" w14:textId="77777777" w:rsidR="00014369" w:rsidRPr="0067409F" w:rsidRDefault="00014369" w:rsidP="003530BF">
            <w:pPr>
              <w:pStyle w:val="Tabletext"/>
              <w:jc w:val="left"/>
            </w:pPr>
            <w:r w:rsidRPr="0067409F">
              <w:rPr>
                <w:i/>
              </w:rPr>
              <w:t>I</w:t>
            </w:r>
            <w:r w:rsidRPr="0067409F">
              <w:t>/</w:t>
            </w:r>
            <w:r w:rsidRPr="0067409F">
              <w:rPr>
                <w:i/>
              </w:rPr>
              <w:t>C</w:t>
            </w:r>
            <w:r w:rsidRPr="0067409F">
              <w:t xml:space="preserve"> </w:t>
            </w:r>
            <w:r w:rsidRPr="0067409F">
              <w:rPr>
                <w:rFonts w:ascii="Symbol" w:hAnsi="Symbol"/>
              </w:rPr>
              <w:t></w:t>
            </w:r>
            <w:r w:rsidRPr="0067409F">
              <w:t xml:space="preserve"> –5 dB</w:t>
            </w:r>
          </w:p>
        </w:tc>
      </w:tr>
      <w:tr w:rsidR="00150C4D" w:rsidRPr="0067409F" w14:paraId="277210BB" w14:textId="77777777">
        <w:tblPrEx>
          <w:tblCellMar>
            <w:top w:w="0" w:type="dxa"/>
            <w:bottom w:w="0" w:type="dxa"/>
          </w:tblCellMar>
        </w:tblPrEx>
        <w:trPr>
          <w:cantSplit/>
          <w:jc w:val="center"/>
        </w:trPr>
        <w:tc>
          <w:tcPr>
            <w:tcW w:w="4536" w:type="dxa"/>
            <w:vMerge w:val="restart"/>
            <w:tcBorders>
              <w:left w:val="single" w:sz="6" w:space="0" w:color="auto"/>
              <w:right w:val="single" w:sz="6" w:space="0" w:color="auto"/>
            </w:tcBorders>
          </w:tcPr>
          <w:p w14:paraId="788AC089" w14:textId="77777777" w:rsidR="00150C4D" w:rsidRPr="00150C4D" w:rsidRDefault="00150C4D" w:rsidP="000E5383">
            <w:pPr>
              <w:pStyle w:val="Tabletext"/>
              <w:jc w:val="left"/>
              <w:rPr>
                <w:lang w:val="en-US"/>
              </w:rPr>
            </w:pPr>
            <w:r w:rsidRPr="00150C4D">
              <w:rPr>
                <w:i/>
                <w:lang w:val="en-US"/>
              </w:rPr>
              <w:t>Ranging</w:t>
            </w:r>
            <w:r>
              <w:rPr>
                <w:i/>
                <w:lang w:val="en-US"/>
              </w:rPr>
              <w:br/>
            </w:r>
            <w:r w:rsidRPr="00014369">
              <w:rPr>
                <w:lang w:val="en-US"/>
              </w:rPr>
              <w:t xml:space="preserve">(1 dB reduction in </w:t>
            </w:r>
            <w:r w:rsidRPr="00014369">
              <w:rPr>
                <w:i/>
                <w:lang w:val="en-US"/>
              </w:rPr>
              <w:t>E</w:t>
            </w:r>
            <w:r w:rsidRPr="00014369">
              <w:rPr>
                <w:iCs/>
                <w:lang w:val="en-US"/>
              </w:rPr>
              <w:t>/</w:t>
            </w:r>
            <w:r w:rsidRPr="00014369">
              <w:rPr>
                <w:i/>
                <w:lang w:val="en-US"/>
              </w:rPr>
              <w:t>N</w:t>
            </w:r>
            <w:r w:rsidRPr="00014369">
              <w:rPr>
                <w:position w:val="-3"/>
                <w:sz w:val="14"/>
                <w:lang w:val="en-US"/>
              </w:rPr>
              <w:t>0</w:t>
            </w:r>
            <w:r w:rsidRPr="00014369">
              <w:rPr>
                <w:lang w:val="en-US"/>
              </w:rPr>
              <w:t xml:space="preserve"> from interference in range estimator bandwidth)</w:t>
            </w:r>
          </w:p>
        </w:tc>
        <w:tc>
          <w:tcPr>
            <w:tcW w:w="1701" w:type="dxa"/>
            <w:tcBorders>
              <w:top w:val="single" w:sz="6" w:space="0" w:color="auto"/>
              <w:bottom w:val="single" w:sz="6" w:space="0" w:color="auto"/>
              <w:right w:val="single" w:sz="6" w:space="0" w:color="auto"/>
            </w:tcBorders>
          </w:tcPr>
          <w:p w14:paraId="7E093A7B" w14:textId="77777777" w:rsidR="00150C4D" w:rsidRPr="0067409F" w:rsidRDefault="00150C4D" w:rsidP="00014369">
            <w:pPr>
              <w:pStyle w:val="Tabletext"/>
              <w:rPr>
                <w:sz w:val="18"/>
              </w:rPr>
            </w:pPr>
            <w:r w:rsidRPr="0067409F">
              <w:rPr>
                <w:sz w:val="18"/>
              </w:rPr>
              <w:t>CW</w:t>
            </w:r>
          </w:p>
        </w:tc>
        <w:tc>
          <w:tcPr>
            <w:tcW w:w="1701" w:type="dxa"/>
            <w:tcBorders>
              <w:top w:val="single" w:sz="6" w:space="0" w:color="auto"/>
              <w:left w:val="single" w:sz="6" w:space="0" w:color="auto"/>
              <w:bottom w:val="single" w:sz="6" w:space="0" w:color="auto"/>
              <w:right w:val="single" w:sz="6" w:space="0" w:color="auto"/>
            </w:tcBorders>
          </w:tcPr>
          <w:p w14:paraId="4315847C" w14:textId="77777777" w:rsidR="00150C4D" w:rsidRPr="0067409F" w:rsidRDefault="00150C4D" w:rsidP="003530BF">
            <w:pPr>
              <w:pStyle w:val="Tabletext"/>
              <w:jc w:val="left"/>
            </w:pPr>
            <w:r w:rsidRPr="0067409F">
              <w:t>Fig. 7</w:t>
            </w:r>
          </w:p>
        </w:tc>
        <w:tc>
          <w:tcPr>
            <w:tcW w:w="1701" w:type="dxa"/>
            <w:tcBorders>
              <w:top w:val="single" w:sz="6" w:space="0" w:color="auto"/>
              <w:left w:val="single" w:sz="6" w:space="0" w:color="auto"/>
              <w:bottom w:val="single" w:sz="6" w:space="0" w:color="auto"/>
              <w:right w:val="single" w:sz="6" w:space="0" w:color="auto"/>
            </w:tcBorders>
          </w:tcPr>
          <w:p w14:paraId="2B885001" w14:textId="77777777" w:rsidR="00150C4D" w:rsidRPr="0067409F" w:rsidRDefault="00150C4D" w:rsidP="003530BF">
            <w:pPr>
              <w:pStyle w:val="Tabletext"/>
              <w:jc w:val="left"/>
            </w:pPr>
            <w:r w:rsidRPr="0067409F">
              <w:rPr>
                <w:i/>
              </w:rPr>
              <w:t>I</w:t>
            </w:r>
            <w:r w:rsidRPr="0067409F">
              <w:t>/</w:t>
            </w:r>
            <w:r w:rsidRPr="0067409F">
              <w:rPr>
                <w:i/>
              </w:rPr>
              <w:t>S</w:t>
            </w:r>
            <w:r w:rsidRPr="0067409F">
              <w:t xml:space="preserve"> </w:t>
            </w:r>
            <w:r w:rsidRPr="0067409F">
              <w:rPr>
                <w:rFonts w:ascii="Symbol" w:hAnsi="Symbol"/>
              </w:rPr>
              <w:t></w:t>
            </w:r>
            <w:r w:rsidRPr="0067409F">
              <w:t xml:space="preserve"> –7.1 dB</w:t>
            </w:r>
          </w:p>
        </w:tc>
      </w:tr>
      <w:tr w:rsidR="00150C4D" w:rsidRPr="0067409F" w14:paraId="57FEF97D" w14:textId="77777777">
        <w:tblPrEx>
          <w:tblCellMar>
            <w:top w:w="0" w:type="dxa"/>
            <w:bottom w:w="0" w:type="dxa"/>
          </w:tblCellMar>
        </w:tblPrEx>
        <w:trPr>
          <w:cantSplit/>
          <w:jc w:val="center"/>
        </w:trPr>
        <w:tc>
          <w:tcPr>
            <w:tcW w:w="4536" w:type="dxa"/>
            <w:vMerge/>
            <w:tcBorders>
              <w:left w:val="single" w:sz="6" w:space="0" w:color="auto"/>
              <w:bottom w:val="single" w:sz="6" w:space="0" w:color="auto"/>
              <w:right w:val="single" w:sz="6" w:space="0" w:color="auto"/>
            </w:tcBorders>
          </w:tcPr>
          <w:p w14:paraId="5DF88BA8" w14:textId="77777777" w:rsidR="00150C4D" w:rsidRPr="00014369" w:rsidRDefault="00150C4D" w:rsidP="000E5383">
            <w:pPr>
              <w:pStyle w:val="Tabletext"/>
              <w:jc w:val="left"/>
              <w:rPr>
                <w:lang w:val="en-US"/>
              </w:rPr>
            </w:pPr>
          </w:p>
        </w:tc>
        <w:tc>
          <w:tcPr>
            <w:tcW w:w="1701" w:type="dxa"/>
            <w:tcBorders>
              <w:top w:val="single" w:sz="6" w:space="0" w:color="auto"/>
              <w:bottom w:val="single" w:sz="6" w:space="0" w:color="auto"/>
              <w:right w:val="single" w:sz="6" w:space="0" w:color="auto"/>
            </w:tcBorders>
          </w:tcPr>
          <w:p w14:paraId="23128EF0" w14:textId="77777777" w:rsidR="00150C4D" w:rsidRPr="0067409F" w:rsidRDefault="00150C4D" w:rsidP="00014369">
            <w:pPr>
              <w:pStyle w:val="Tabletext"/>
            </w:pPr>
            <w:r w:rsidRPr="0067409F">
              <w:t>Noise-like</w:t>
            </w:r>
          </w:p>
        </w:tc>
        <w:tc>
          <w:tcPr>
            <w:tcW w:w="1701" w:type="dxa"/>
            <w:tcBorders>
              <w:top w:val="single" w:sz="6" w:space="0" w:color="auto"/>
              <w:left w:val="single" w:sz="6" w:space="0" w:color="auto"/>
              <w:bottom w:val="single" w:sz="6" w:space="0" w:color="auto"/>
              <w:right w:val="single" w:sz="6" w:space="0" w:color="auto"/>
            </w:tcBorders>
          </w:tcPr>
          <w:p w14:paraId="1A025E0A" w14:textId="77777777" w:rsidR="00150C4D" w:rsidRPr="0067409F" w:rsidRDefault="00150C4D" w:rsidP="003530BF">
            <w:pPr>
              <w:pStyle w:val="Tabletext"/>
              <w:jc w:val="left"/>
            </w:pPr>
            <w:proofErr w:type="spellStart"/>
            <w:r w:rsidRPr="0067409F">
              <w:t>Calculated</w:t>
            </w:r>
            <w:proofErr w:type="spellEnd"/>
          </w:p>
        </w:tc>
        <w:tc>
          <w:tcPr>
            <w:tcW w:w="1701" w:type="dxa"/>
            <w:tcBorders>
              <w:top w:val="single" w:sz="6" w:space="0" w:color="auto"/>
              <w:left w:val="single" w:sz="6" w:space="0" w:color="auto"/>
              <w:bottom w:val="single" w:sz="6" w:space="0" w:color="auto"/>
              <w:right w:val="single" w:sz="6" w:space="0" w:color="auto"/>
            </w:tcBorders>
          </w:tcPr>
          <w:p w14:paraId="67DE58BB" w14:textId="77777777" w:rsidR="00150C4D" w:rsidRPr="0067409F" w:rsidRDefault="00150C4D" w:rsidP="003530BF">
            <w:pPr>
              <w:pStyle w:val="Tabletext"/>
              <w:jc w:val="left"/>
            </w:pPr>
            <w:r w:rsidRPr="0067409F">
              <w:rPr>
                <w:i/>
              </w:rPr>
              <w:t>I</w:t>
            </w:r>
            <w:r w:rsidRPr="0067409F">
              <w:rPr>
                <w:vertAlign w:val="subscript"/>
              </w:rPr>
              <w:t>0</w:t>
            </w:r>
            <w:r w:rsidRPr="0067409F">
              <w:t>/</w:t>
            </w:r>
            <w:r w:rsidRPr="0067409F">
              <w:rPr>
                <w:i/>
              </w:rPr>
              <w:t>N</w:t>
            </w:r>
            <w:r w:rsidRPr="0067409F">
              <w:rPr>
                <w:vertAlign w:val="subscript"/>
              </w:rPr>
              <w:t>0</w:t>
            </w:r>
            <w:r w:rsidRPr="0067409F">
              <w:t xml:space="preserve"> </w:t>
            </w:r>
            <w:r w:rsidRPr="0067409F">
              <w:rPr>
                <w:rFonts w:ascii="Symbol" w:hAnsi="Symbol"/>
              </w:rPr>
              <w:t></w:t>
            </w:r>
            <w:r w:rsidRPr="0067409F">
              <w:t xml:space="preserve"> –5.9 dB</w:t>
            </w:r>
          </w:p>
        </w:tc>
      </w:tr>
    </w:tbl>
    <w:p w14:paraId="6BB61E67" w14:textId="77777777" w:rsidR="00014369" w:rsidRPr="0067409F" w:rsidRDefault="00014369" w:rsidP="003530BF">
      <w:pPr>
        <w:pStyle w:val="Tablefin"/>
      </w:pPr>
    </w:p>
    <w:p w14:paraId="44B94822" w14:textId="77777777" w:rsidR="00150C4D" w:rsidRDefault="00150C4D" w:rsidP="00150C4D">
      <w:pPr>
        <w:rPr>
          <w:lang w:val="en-US"/>
        </w:rPr>
      </w:pPr>
    </w:p>
    <w:p w14:paraId="13111DCA" w14:textId="77777777" w:rsidR="00014369" w:rsidRPr="00014369" w:rsidRDefault="00014369" w:rsidP="00014369">
      <w:pPr>
        <w:pStyle w:val="Heading4"/>
        <w:rPr>
          <w:lang w:val="en-US"/>
        </w:rPr>
      </w:pPr>
      <w:r w:rsidRPr="00014369">
        <w:rPr>
          <w:lang w:val="en-US"/>
        </w:rPr>
        <w:t>2.2.2.2</w:t>
      </w:r>
      <w:r w:rsidRPr="00014369">
        <w:rPr>
          <w:lang w:val="en-US"/>
        </w:rPr>
        <w:tab/>
        <w:t xml:space="preserve">Maximum allowable interference for carrier tracking, telemetry and </w:t>
      </w:r>
      <w:proofErr w:type="gramStart"/>
      <w:r w:rsidRPr="00014369">
        <w:rPr>
          <w:lang w:val="en-US"/>
        </w:rPr>
        <w:t>ranging</w:t>
      </w:r>
      <w:proofErr w:type="gramEnd"/>
    </w:p>
    <w:p w14:paraId="12B09545" w14:textId="77777777" w:rsidR="00014369" w:rsidRPr="00014369" w:rsidRDefault="00014369" w:rsidP="00014369">
      <w:pPr>
        <w:rPr>
          <w:lang w:val="en-US"/>
        </w:rPr>
      </w:pPr>
      <w:r w:rsidRPr="00014369">
        <w:rPr>
          <w:lang w:val="en-US"/>
        </w:rPr>
        <w:t xml:space="preserve">For CW interference, the maximum allowable interference depends upon the </w:t>
      </w:r>
      <w:r w:rsidRPr="00014369">
        <w:rPr>
          <w:i/>
          <w:lang w:val="en-US"/>
        </w:rPr>
        <w:t>I</w:t>
      </w:r>
      <w:r w:rsidRPr="00014369">
        <w:rPr>
          <w:lang w:val="en-US"/>
        </w:rPr>
        <w:t>/</w:t>
      </w:r>
      <w:r w:rsidRPr="00014369">
        <w:rPr>
          <w:i/>
          <w:lang w:val="en-US"/>
        </w:rPr>
        <w:t>C</w:t>
      </w:r>
      <w:r w:rsidRPr="00014369">
        <w:rPr>
          <w:lang w:val="en-US"/>
        </w:rPr>
        <w:t xml:space="preserve"> (</w:t>
      </w:r>
      <w:r w:rsidRPr="00014369">
        <w:rPr>
          <w:i/>
          <w:lang w:val="en-US"/>
        </w:rPr>
        <w:t>I</w:t>
      </w:r>
      <w:r w:rsidRPr="00014369">
        <w:rPr>
          <w:lang w:val="en-US"/>
        </w:rPr>
        <w:t>/</w:t>
      </w:r>
      <w:r w:rsidRPr="00014369">
        <w:rPr>
          <w:i/>
          <w:lang w:val="en-US"/>
        </w:rPr>
        <w:t>S</w:t>
      </w:r>
      <w:r w:rsidRPr="00014369">
        <w:rPr>
          <w:lang w:val="en-US"/>
        </w:rPr>
        <w:t xml:space="preserve">) and the minimum carrier (signal) level determined by the receiver design point. If it is assumed that the carrier, </w:t>
      </w:r>
      <w:proofErr w:type="gramStart"/>
      <w:r w:rsidRPr="00014369">
        <w:rPr>
          <w:lang w:val="en-US"/>
        </w:rPr>
        <w:t>telemetry</w:t>
      </w:r>
      <w:proofErr w:type="gramEnd"/>
      <w:r w:rsidRPr="00014369">
        <w:rPr>
          <w:lang w:val="en-US"/>
        </w:rPr>
        <w:t xml:space="preserve"> and ranging signal powers are equal, Table 3 shows that the maximum allowable CW interference is dictated by the carrier tracking loop because it requires the smallest </w:t>
      </w:r>
      <w:r w:rsidRPr="00014369">
        <w:rPr>
          <w:i/>
          <w:lang w:val="en-US"/>
        </w:rPr>
        <w:t>I</w:t>
      </w:r>
      <w:r w:rsidRPr="00014369">
        <w:rPr>
          <w:lang w:val="en-US"/>
        </w:rPr>
        <w:t>/</w:t>
      </w:r>
      <w:r w:rsidRPr="00014369">
        <w:rPr>
          <w:i/>
          <w:lang w:val="en-US"/>
        </w:rPr>
        <w:t>C</w:t>
      </w:r>
      <w:r w:rsidRPr="00014369">
        <w:rPr>
          <w:lang w:val="en-US"/>
        </w:rPr>
        <w:t>.</w:t>
      </w:r>
    </w:p>
    <w:p w14:paraId="1B5B251A" w14:textId="77777777" w:rsidR="00014369" w:rsidRPr="00014369" w:rsidRDefault="00014369" w:rsidP="00014369">
      <w:pPr>
        <w:rPr>
          <w:lang w:val="en-US"/>
        </w:rPr>
      </w:pPr>
      <w:r w:rsidRPr="00014369">
        <w:rPr>
          <w:lang w:val="en-US"/>
        </w:rPr>
        <w:t>For carrier tracking, the minimum carrier</w:t>
      </w:r>
      <w:r w:rsidRPr="00014369">
        <w:rPr>
          <w:lang w:val="en-US"/>
        </w:rPr>
        <w:noBreakHyphen/>
        <w:t>to</w:t>
      </w:r>
      <w:r w:rsidRPr="00014369">
        <w:rPr>
          <w:lang w:val="en-US"/>
        </w:rPr>
        <w:noBreakHyphen/>
        <w:t xml:space="preserve">noise ratio is 10 </w:t>
      </w:r>
      <w:proofErr w:type="spellStart"/>
      <w:r w:rsidRPr="00014369">
        <w:rPr>
          <w:lang w:val="en-US"/>
        </w:rPr>
        <w:t>dB.</w:t>
      </w:r>
      <w:proofErr w:type="spellEnd"/>
      <w:r w:rsidRPr="00014369">
        <w:rPr>
          <w:lang w:val="en-US"/>
        </w:rPr>
        <w:t xml:space="preserve"> The corresponding maximum allowable interference power for noise</w:t>
      </w:r>
      <w:r w:rsidRPr="00014369">
        <w:rPr>
          <w:lang w:val="en-US"/>
        </w:rPr>
        <w:noBreakHyphen/>
        <w:t>like interference is:</w:t>
      </w:r>
    </w:p>
    <w:p w14:paraId="12AB104B" w14:textId="77777777" w:rsidR="003530BF" w:rsidRDefault="003530BF" w:rsidP="003530BF">
      <w:pPr>
        <w:pStyle w:val="Blanc"/>
      </w:pPr>
    </w:p>
    <w:p w14:paraId="479CC96A" w14:textId="77777777" w:rsidR="00014369" w:rsidRPr="00014369" w:rsidRDefault="00014369" w:rsidP="00014369">
      <w:pPr>
        <w:pStyle w:val="Equation"/>
        <w:rPr>
          <w:lang w:val="en-US"/>
        </w:rPr>
      </w:pPr>
      <w:r w:rsidRPr="00014369">
        <w:rPr>
          <w:lang w:val="en-US"/>
        </w:rPr>
        <w:tab/>
      </w:r>
      <w:r w:rsidRPr="00014369">
        <w:rPr>
          <w:lang w:val="en-US"/>
        </w:rPr>
        <w:tab/>
      </w:r>
      <w:proofErr w:type="gramStart"/>
      <w:r w:rsidRPr="00014369">
        <w:rPr>
          <w:i/>
          <w:lang w:val="en-US"/>
        </w:rPr>
        <w:t>P</w:t>
      </w:r>
      <w:proofErr w:type="spellStart"/>
      <w:r w:rsidRPr="00014369">
        <w:rPr>
          <w:i/>
          <w:position w:val="-4"/>
          <w:sz w:val="18"/>
          <w:lang w:val="en-US"/>
        </w:rPr>
        <w:t>i</w:t>
      </w:r>
      <w:proofErr w:type="spellEnd"/>
      <w:r w:rsidRPr="00014369">
        <w:rPr>
          <w:lang w:val="en-US"/>
        </w:rPr>
        <w:t xml:space="preserve">  </w:t>
      </w:r>
      <w:r w:rsidRPr="0067409F">
        <w:rPr>
          <w:rFonts w:ascii="Symbol" w:hAnsi="Symbol"/>
        </w:rPr>
        <w:t></w:t>
      </w:r>
      <w:proofErr w:type="gramEnd"/>
      <w:r w:rsidRPr="00014369">
        <w:rPr>
          <w:lang w:val="en-US"/>
        </w:rPr>
        <w:t xml:space="preserve">  </w:t>
      </w:r>
      <w:r w:rsidRPr="00014369">
        <w:rPr>
          <w:i/>
          <w:lang w:val="en-US"/>
        </w:rPr>
        <w:t>N</w:t>
      </w:r>
      <w:r w:rsidRPr="00014369">
        <w:rPr>
          <w:position w:val="-4"/>
          <w:sz w:val="18"/>
          <w:lang w:val="en-US"/>
        </w:rPr>
        <w:t>0</w:t>
      </w:r>
      <w:r w:rsidRPr="00014369">
        <w:rPr>
          <w:lang w:val="en-US"/>
        </w:rPr>
        <w:t xml:space="preserve">  </w:t>
      </w:r>
      <w:r w:rsidRPr="0067409F">
        <w:rPr>
          <w:rFonts w:ascii="Symbol" w:hAnsi="Symbol"/>
        </w:rPr>
        <w:t></w:t>
      </w:r>
      <w:r w:rsidRPr="00014369">
        <w:rPr>
          <w:lang w:val="en-US"/>
        </w:rPr>
        <w:t xml:space="preserve">  10 log </w:t>
      </w:r>
      <w:r w:rsidRPr="00014369">
        <w:rPr>
          <w:i/>
          <w:lang w:val="en-US"/>
        </w:rPr>
        <w:t>B</w:t>
      </w:r>
      <w:r w:rsidRPr="00014369">
        <w:rPr>
          <w:lang w:val="en-US"/>
        </w:rPr>
        <w:t xml:space="preserve">  </w:t>
      </w:r>
      <w:r w:rsidRPr="0067409F">
        <w:rPr>
          <w:rFonts w:ascii="Symbol" w:hAnsi="Symbol"/>
        </w:rPr>
        <w:t></w:t>
      </w:r>
      <w:r w:rsidRPr="00014369">
        <w:rPr>
          <w:lang w:val="en-US"/>
        </w:rPr>
        <w:t xml:space="preserve">  10  </w:t>
      </w:r>
      <w:r w:rsidRPr="0067409F">
        <w:rPr>
          <w:rFonts w:ascii="Symbol" w:hAnsi="Symbol"/>
        </w:rPr>
        <w:t></w:t>
      </w:r>
      <w:r w:rsidRPr="00014369">
        <w:rPr>
          <w:lang w:val="en-US"/>
        </w:rPr>
        <w:t xml:space="preserve">  </w:t>
      </w:r>
      <w:r w:rsidRPr="00014369">
        <w:rPr>
          <w:i/>
          <w:lang w:val="en-US"/>
        </w:rPr>
        <w:t>I</w:t>
      </w:r>
      <w:r w:rsidRPr="00014369">
        <w:rPr>
          <w:lang w:val="en-US"/>
        </w:rPr>
        <w:t>/</w:t>
      </w:r>
      <w:r w:rsidRPr="00014369">
        <w:rPr>
          <w:i/>
          <w:lang w:val="en-US"/>
        </w:rPr>
        <w:t>C</w:t>
      </w:r>
    </w:p>
    <w:p w14:paraId="64E7BBE0" w14:textId="77777777" w:rsidR="003530BF" w:rsidRDefault="003530BF" w:rsidP="003530BF">
      <w:pPr>
        <w:pStyle w:val="Blanc"/>
      </w:pPr>
    </w:p>
    <w:p w14:paraId="291F6E72" w14:textId="77777777" w:rsidR="00014369" w:rsidRPr="00014369" w:rsidRDefault="00014369" w:rsidP="00014369">
      <w:pPr>
        <w:rPr>
          <w:lang w:val="en-US"/>
        </w:rPr>
      </w:pPr>
      <w:r w:rsidRPr="00014369">
        <w:rPr>
          <w:lang w:val="en-US"/>
        </w:rPr>
        <w:t>where:</w:t>
      </w:r>
    </w:p>
    <w:p w14:paraId="35DCDEBC" w14:textId="77777777" w:rsidR="00014369" w:rsidRPr="0067409F" w:rsidRDefault="00014369" w:rsidP="00014369">
      <w:pPr>
        <w:pStyle w:val="Equationlegend"/>
      </w:pPr>
      <w:r w:rsidRPr="0067409F">
        <w:tab/>
      </w:r>
      <w:proofErr w:type="gramStart"/>
      <w:r w:rsidRPr="0067409F">
        <w:rPr>
          <w:i/>
        </w:rPr>
        <w:t>P</w:t>
      </w:r>
      <w:proofErr w:type="spellStart"/>
      <w:r w:rsidRPr="0067409F">
        <w:rPr>
          <w:i/>
          <w:position w:val="-4"/>
          <w:sz w:val="16"/>
        </w:rPr>
        <w:t>i</w:t>
      </w:r>
      <w:proofErr w:type="spellEnd"/>
      <w:r w:rsidRPr="0067409F">
        <w:rPr>
          <w:i/>
          <w:position w:val="-4"/>
          <w:sz w:val="12"/>
        </w:rPr>
        <w:t> </w:t>
      </w:r>
      <w:r w:rsidRPr="0067409F">
        <w:t>:</w:t>
      </w:r>
      <w:proofErr w:type="gramEnd"/>
      <w:r w:rsidRPr="0067409F">
        <w:tab/>
        <w:t>maximum allowable interference power for carrier tracking (</w:t>
      </w:r>
      <w:proofErr w:type="spellStart"/>
      <w:r w:rsidRPr="0067409F">
        <w:t>dBW</w:t>
      </w:r>
      <w:proofErr w:type="spellEnd"/>
      <w:r w:rsidRPr="0067409F">
        <w:t>)</w:t>
      </w:r>
    </w:p>
    <w:p w14:paraId="7559AB89" w14:textId="77777777" w:rsidR="00014369" w:rsidRPr="0067409F" w:rsidRDefault="00014369" w:rsidP="00014369">
      <w:pPr>
        <w:pStyle w:val="Equationlegend"/>
      </w:pPr>
      <w:r w:rsidRPr="0067409F">
        <w:tab/>
      </w:r>
      <w:r w:rsidRPr="0067409F">
        <w:rPr>
          <w:i/>
        </w:rPr>
        <w:t>N</w:t>
      </w:r>
      <w:proofErr w:type="gramStart"/>
      <w:r w:rsidRPr="0067409F">
        <w:rPr>
          <w:position w:val="-4"/>
          <w:sz w:val="16"/>
        </w:rPr>
        <w:t>0</w:t>
      </w:r>
      <w:r w:rsidRPr="0067409F">
        <w:rPr>
          <w:position w:val="-4"/>
          <w:sz w:val="12"/>
        </w:rPr>
        <w:t> </w:t>
      </w:r>
      <w:r w:rsidRPr="0067409F">
        <w:t>:</w:t>
      </w:r>
      <w:proofErr w:type="gramEnd"/>
      <w:r w:rsidRPr="0067409F">
        <w:tab/>
        <w:t>receiver noise spectral density, given in Table 4 (dB(W/Hz))</w:t>
      </w:r>
    </w:p>
    <w:p w14:paraId="0C168D6D" w14:textId="77777777" w:rsidR="00014369" w:rsidRPr="0067409F" w:rsidRDefault="00014369" w:rsidP="00014369">
      <w:pPr>
        <w:pStyle w:val="Equationlegend"/>
      </w:pPr>
      <w:r w:rsidRPr="0067409F">
        <w:tab/>
      </w:r>
      <w:proofErr w:type="gramStart"/>
      <w:r w:rsidRPr="0067409F">
        <w:rPr>
          <w:i/>
        </w:rPr>
        <w:t>B</w:t>
      </w:r>
      <w:r w:rsidRPr="0067409F">
        <w:rPr>
          <w:i/>
          <w:sz w:val="12"/>
        </w:rPr>
        <w:t> </w:t>
      </w:r>
      <w:r w:rsidRPr="0067409F">
        <w:t>:</w:t>
      </w:r>
      <w:proofErr w:type="gramEnd"/>
      <w:r w:rsidRPr="0067409F">
        <w:tab/>
        <w:t>carrier tracking loop bandwidth, taken as 1 Hz</w:t>
      </w:r>
    </w:p>
    <w:p w14:paraId="583C3C61" w14:textId="77777777" w:rsidR="00014369" w:rsidRPr="0067409F" w:rsidRDefault="00014369" w:rsidP="00014369">
      <w:pPr>
        <w:pStyle w:val="Equationlegend"/>
      </w:pPr>
      <w:r w:rsidRPr="0067409F">
        <w:tab/>
      </w:r>
      <w:r w:rsidRPr="0067409F">
        <w:rPr>
          <w:i/>
        </w:rPr>
        <w:t>I</w:t>
      </w:r>
      <w:r w:rsidRPr="0067409F">
        <w:t>/</w:t>
      </w:r>
      <w:proofErr w:type="gramStart"/>
      <w:r w:rsidRPr="0067409F">
        <w:rPr>
          <w:i/>
        </w:rPr>
        <w:t>C</w:t>
      </w:r>
      <w:r w:rsidRPr="0067409F">
        <w:rPr>
          <w:i/>
          <w:sz w:val="12"/>
        </w:rPr>
        <w:t> </w:t>
      </w:r>
      <w:r w:rsidRPr="0067409F">
        <w:t>:</w:t>
      </w:r>
      <w:proofErr w:type="gramEnd"/>
      <w:r w:rsidRPr="0067409F">
        <w:tab/>
        <w:t>interference</w:t>
      </w:r>
      <w:r w:rsidRPr="0067409F">
        <w:noBreakHyphen/>
        <w:t>to</w:t>
      </w:r>
      <w:r w:rsidRPr="0067409F">
        <w:noBreakHyphen/>
        <w:t>carrier ratio as given in Table 3 (dB).</w:t>
      </w:r>
    </w:p>
    <w:p w14:paraId="19E52E68" w14:textId="77777777" w:rsidR="00014369" w:rsidRPr="00014369" w:rsidRDefault="00014369" w:rsidP="00014369">
      <w:pPr>
        <w:rPr>
          <w:lang w:val="en-US"/>
        </w:rPr>
      </w:pPr>
      <w:r w:rsidRPr="00014369">
        <w:rPr>
          <w:lang w:val="en-US"/>
        </w:rPr>
        <w:t>The results of these calculations are summarized in Table 4.</w:t>
      </w:r>
    </w:p>
    <w:p w14:paraId="0832051B" w14:textId="77777777" w:rsidR="00014369" w:rsidRPr="00014369" w:rsidRDefault="00014369" w:rsidP="00014369">
      <w:pPr>
        <w:pStyle w:val="TableNo"/>
        <w:rPr>
          <w:lang w:val="en-US"/>
        </w:rPr>
      </w:pPr>
      <w:r w:rsidRPr="00014369">
        <w:rPr>
          <w:lang w:val="en-US"/>
        </w:rPr>
        <w:lastRenderedPageBreak/>
        <w:t>TABLE 4</w:t>
      </w:r>
    </w:p>
    <w:p w14:paraId="01FA8E91" w14:textId="77777777" w:rsidR="00014369" w:rsidRPr="0067409F" w:rsidRDefault="00014369" w:rsidP="000E5383">
      <w:pPr>
        <w:pStyle w:val="Tabletitle"/>
      </w:pPr>
      <w:r w:rsidRPr="0067409F">
        <w:t xml:space="preserve">Maximum </w:t>
      </w:r>
      <w:proofErr w:type="spellStart"/>
      <w:r w:rsidRPr="0067409F">
        <w:t>allowable</w:t>
      </w:r>
      <w:proofErr w:type="spellEnd"/>
      <w:r w:rsidRPr="0067409F">
        <w:t xml:space="preserve"> </w:t>
      </w:r>
      <w:proofErr w:type="spellStart"/>
      <w:r w:rsidRPr="0067409F">
        <w:t>interference</w:t>
      </w:r>
      <w:proofErr w:type="spellEnd"/>
      <w:r w:rsidRPr="0067409F">
        <w:t xml:space="preserve"> power to </w:t>
      </w:r>
      <w:proofErr w:type="spellStart"/>
      <w:r w:rsidRPr="0067409F">
        <w:t>earth</w:t>
      </w:r>
      <w:proofErr w:type="spellEnd"/>
      <w:r w:rsidRPr="0067409F">
        <w:t xml:space="preserve">-station </w:t>
      </w:r>
      <w:proofErr w:type="spellStart"/>
      <w:r w:rsidRPr="0067409F">
        <w:t>receivers</w:t>
      </w:r>
      <w:proofErr w:type="spellEnd"/>
    </w:p>
    <w:tbl>
      <w:tblPr>
        <w:tblW w:w="0" w:type="auto"/>
        <w:jc w:val="center"/>
        <w:tblLayout w:type="fixed"/>
        <w:tblLook w:val="0000" w:firstRow="0" w:lastRow="0" w:firstColumn="0" w:lastColumn="0" w:noHBand="0" w:noVBand="0"/>
      </w:tblPr>
      <w:tblGrid>
        <w:gridCol w:w="2410"/>
        <w:gridCol w:w="2410"/>
        <w:gridCol w:w="2410"/>
        <w:gridCol w:w="2410"/>
      </w:tblGrid>
      <w:tr w:rsidR="00014369" w:rsidRPr="00014369" w14:paraId="7E5F50F1" w14:textId="77777777">
        <w:tblPrEx>
          <w:tblCellMar>
            <w:top w:w="0" w:type="dxa"/>
            <w:bottom w:w="0" w:type="dxa"/>
          </w:tblCellMar>
        </w:tblPrEx>
        <w:trPr>
          <w:cantSplit/>
          <w:jc w:val="center"/>
        </w:trPr>
        <w:tc>
          <w:tcPr>
            <w:tcW w:w="2410" w:type="dxa"/>
            <w:tcBorders>
              <w:top w:val="single" w:sz="6" w:space="0" w:color="auto"/>
              <w:left w:val="single" w:sz="6" w:space="0" w:color="auto"/>
              <w:bottom w:val="single" w:sz="6" w:space="0" w:color="auto"/>
              <w:right w:val="single" w:sz="6" w:space="0" w:color="auto"/>
            </w:tcBorders>
            <w:vAlign w:val="center"/>
          </w:tcPr>
          <w:p w14:paraId="043BF52B" w14:textId="77777777" w:rsidR="00014369" w:rsidRPr="0067409F" w:rsidRDefault="00014369" w:rsidP="00014369">
            <w:pPr>
              <w:pStyle w:val="Tablehead"/>
            </w:pPr>
            <w:r w:rsidRPr="0067409F">
              <w:t>Band</w:t>
            </w:r>
            <w:r w:rsidRPr="0067409F">
              <w:br/>
              <w:t>(GHz)</w:t>
            </w:r>
          </w:p>
        </w:tc>
        <w:tc>
          <w:tcPr>
            <w:tcW w:w="2410" w:type="dxa"/>
            <w:tcBorders>
              <w:top w:val="single" w:sz="6" w:space="0" w:color="auto"/>
              <w:left w:val="single" w:sz="6" w:space="0" w:color="auto"/>
              <w:bottom w:val="single" w:sz="6" w:space="0" w:color="auto"/>
              <w:right w:val="single" w:sz="6" w:space="0" w:color="auto"/>
            </w:tcBorders>
            <w:vAlign w:val="center"/>
          </w:tcPr>
          <w:p w14:paraId="0B3937B6" w14:textId="77777777" w:rsidR="00014369" w:rsidRPr="00014369" w:rsidRDefault="00014369" w:rsidP="00014369">
            <w:pPr>
              <w:pStyle w:val="Tablehead"/>
              <w:rPr>
                <w:lang w:val="en-US"/>
              </w:rPr>
            </w:pPr>
            <w:r w:rsidRPr="00014369">
              <w:rPr>
                <w:lang w:val="en-US"/>
              </w:rPr>
              <w:t>Receiver noise spectral density</w:t>
            </w:r>
            <w:r w:rsidR="001B5FCF">
              <w:rPr>
                <w:lang w:val="en-US"/>
              </w:rPr>
              <w:br/>
            </w:r>
            <w:r w:rsidRPr="00014369">
              <w:rPr>
                <w:lang w:val="en-US"/>
              </w:rPr>
              <w:t>(dB(W/Hz))</w:t>
            </w:r>
          </w:p>
        </w:tc>
        <w:tc>
          <w:tcPr>
            <w:tcW w:w="2410" w:type="dxa"/>
            <w:tcBorders>
              <w:top w:val="single" w:sz="6" w:space="0" w:color="auto"/>
              <w:left w:val="single" w:sz="6" w:space="0" w:color="auto"/>
              <w:bottom w:val="single" w:sz="6" w:space="0" w:color="auto"/>
              <w:right w:val="single" w:sz="6" w:space="0" w:color="auto"/>
            </w:tcBorders>
            <w:vAlign w:val="center"/>
          </w:tcPr>
          <w:p w14:paraId="2D1AF75B" w14:textId="77777777" w:rsidR="00014369" w:rsidRPr="00014369" w:rsidRDefault="00014369" w:rsidP="00014369">
            <w:pPr>
              <w:pStyle w:val="Tablehead"/>
              <w:rPr>
                <w:lang w:val="en-US"/>
              </w:rPr>
            </w:pPr>
            <w:r w:rsidRPr="00014369">
              <w:rPr>
                <w:lang w:val="en-US"/>
              </w:rPr>
              <w:t>Maximum CW</w:t>
            </w:r>
            <w:r w:rsidRPr="00014369">
              <w:rPr>
                <w:lang w:val="en-US"/>
              </w:rPr>
              <w:br/>
              <w:t>interference power</w:t>
            </w:r>
            <w:r w:rsidRPr="00014369">
              <w:rPr>
                <w:lang w:val="en-US"/>
              </w:rPr>
              <w:br/>
              <w:t>(</w:t>
            </w:r>
            <w:proofErr w:type="spellStart"/>
            <w:r w:rsidRPr="00014369">
              <w:rPr>
                <w:lang w:val="en-US"/>
              </w:rPr>
              <w:t>dBW</w:t>
            </w:r>
            <w:proofErr w:type="spellEnd"/>
            <w:r w:rsidRPr="00014369">
              <w:rPr>
                <w:lang w:val="en-US"/>
              </w:rPr>
              <w:t>)</w:t>
            </w:r>
          </w:p>
        </w:tc>
        <w:tc>
          <w:tcPr>
            <w:tcW w:w="2410" w:type="dxa"/>
            <w:tcBorders>
              <w:top w:val="single" w:sz="6" w:space="0" w:color="auto"/>
              <w:left w:val="single" w:sz="6" w:space="0" w:color="auto"/>
              <w:bottom w:val="single" w:sz="6" w:space="0" w:color="auto"/>
              <w:right w:val="single" w:sz="6" w:space="0" w:color="auto"/>
            </w:tcBorders>
            <w:vAlign w:val="center"/>
          </w:tcPr>
          <w:p w14:paraId="7E903C1E" w14:textId="77777777" w:rsidR="00014369" w:rsidRPr="00014369" w:rsidRDefault="00014369" w:rsidP="00014369">
            <w:pPr>
              <w:pStyle w:val="Tablehead"/>
              <w:rPr>
                <w:lang w:val="en-US"/>
              </w:rPr>
            </w:pPr>
            <w:r w:rsidRPr="00014369">
              <w:rPr>
                <w:lang w:val="en-US"/>
              </w:rPr>
              <w:t xml:space="preserve">Maximum noise-like interference power </w:t>
            </w:r>
            <w:r w:rsidRPr="00014369">
              <w:rPr>
                <w:lang w:val="en-US"/>
              </w:rPr>
              <w:br/>
              <w:t>spectral density</w:t>
            </w:r>
            <w:r w:rsidRPr="00014369">
              <w:rPr>
                <w:lang w:val="en-US"/>
              </w:rPr>
              <w:br/>
              <w:t>(dB(W/Hz))</w:t>
            </w:r>
          </w:p>
        </w:tc>
      </w:tr>
      <w:tr w:rsidR="00014369" w:rsidRPr="0067409F" w14:paraId="157D1E5A" w14:textId="77777777">
        <w:tblPrEx>
          <w:tblCellMar>
            <w:top w:w="0" w:type="dxa"/>
            <w:bottom w:w="0" w:type="dxa"/>
          </w:tblCellMar>
        </w:tblPrEx>
        <w:trPr>
          <w:cantSplit/>
          <w:jc w:val="center"/>
        </w:trPr>
        <w:tc>
          <w:tcPr>
            <w:tcW w:w="2410" w:type="dxa"/>
            <w:tcBorders>
              <w:top w:val="single" w:sz="6" w:space="0" w:color="auto"/>
              <w:left w:val="single" w:sz="6" w:space="0" w:color="auto"/>
              <w:bottom w:val="single" w:sz="6" w:space="0" w:color="auto"/>
              <w:right w:val="single" w:sz="6" w:space="0" w:color="auto"/>
            </w:tcBorders>
          </w:tcPr>
          <w:p w14:paraId="29B12C1B" w14:textId="77777777" w:rsidR="00014369" w:rsidRPr="003530BF" w:rsidRDefault="00014369" w:rsidP="00014369">
            <w:pPr>
              <w:pStyle w:val="Tabletext"/>
              <w:jc w:val="center"/>
              <w:rPr>
                <w:szCs w:val="22"/>
              </w:rPr>
            </w:pPr>
            <w:r w:rsidRPr="001B5FCF">
              <w:rPr>
                <w:szCs w:val="22"/>
                <w:lang w:val="en-US"/>
              </w:rPr>
              <w:t>2.29-2.30</w:t>
            </w:r>
            <w:r w:rsidRPr="001B5FCF">
              <w:rPr>
                <w:szCs w:val="22"/>
                <w:lang w:val="en-US"/>
              </w:rPr>
              <w:br/>
              <w:t>8.40-8.45.</w:t>
            </w:r>
            <w:r w:rsidRPr="001B5FCF">
              <w:rPr>
                <w:szCs w:val="22"/>
                <w:lang w:val="en-US"/>
              </w:rPr>
              <w:br/>
              <w:t>12</w:t>
            </w:r>
            <w:r w:rsidRPr="003530BF">
              <w:rPr>
                <w:szCs w:val="22"/>
              </w:rPr>
              <w:t>.75-13.25</w:t>
            </w:r>
            <w:r w:rsidRPr="003530BF">
              <w:rPr>
                <w:szCs w:val="22"/>
              </w:rPr>
              <w:br/>
              <w:t>31.8-32.3</w:t>
            </w:r>
          </w:p>
        </w:tc>
        <w:tc>
          <w:tcPr>
            <w:tcW w:w="2410" w:type="dxa"/>
            <w:tcBorders>
              <w:top w:val="single" w:sz="6" w:space="0" w:color="auto"/>
              <w:left w:val="single" w:sz="6" w:space="0" w:color="auto"/>
              <w:bottom w:val="single" w:sz="6" w:space="0" w:color="auto"/>
              <w:right w:val="single" w:sz="6" w:space="0" w:color="auto"/>
            </w:tcBorders>
          </w:tcPr>
          <w:p w14:paraId="0CF5D9B5" w14:textId="77777777" w:rsidR="00014369" w:rsidRPr="0067409F" w:rsidRDefault="00014369" w:rsidP="00014369">
            <w:pPr>
              <w:pStyle w:val="Tabletext"/>
              <w:jc w:val="center"/>
            </w:pPr>
            <w:r w:rsidRPr="0067409F">
              <w:t>–216.6</w:t>
            </w:r>
            <w:r w:rsidRPr="0067409F">
              <w:br/>
              <w:t>–215.0</w:t>
            </w:r>
            <w:r w:rsidRPr="0067409F">
              <w:br/>
              <w:t>–214.6</w:t>
            </w:r>
            <w:r w:rsidRPr="0067409F">
              <w:br/>
              <w:t>–211.4</w:t>
            </w:r>
          </w:p>
        </w:tc>
        <w:tc>
          <w:tcPr>
            <w:tcW w:w="2410" w:type="dxa"/>
            <w:tcBorders>
              <w:top w:val="single" w:sz="6" w:space="0" w:color="auto"/>
              <w:left w:val="single" w:sz="6" w:space="0" w:color="auto"/>
              <w:bottom w:val="single" w:sz="6" w:space="0" w:color="auto"/>
              <w:right w:val="single" w:sz="6" w:space="0" w:color="auto"/>
            </w:tcBorders>
          </w:tcPr>
          <w:p w14:paraId="4EADBCAF" w14:textId="77777777" w:rsidR="00014369" w:rsidRPr="0067409F" w:rsidRDefault="00014369" w:rsidP="00014369">
            <w:pPr>
              <w:pStyle w:val="Tabletext"/>
              <w:jc w:val="center"/>
            </w:pPr>
            <w:r w:rsidRPr="0067409F">
              <w:t>–221.6</w:t>
            </w:r>
            <w:r w:rsidRPr="0067409F">
              <w:br/>
              <w:t>–220.0</w:t>
            </w:r>
            <w:r w:rsidRPr="0067409F">
              <w:br/>
              <w:t>–219.6</w:t>
            </w:r>
            <w:r w:rsidRPr="0067409F">
              <w:br/>
              <w:t>–216.4</w:t>
            </w:r>
          </w:p>
        </w:tc>
        <w:tc>
          <w:tcPr>
            <w:tcW w:w="2410" w:type="dxa"/>
            <w:tcBorders>
              <w:top w:val="single" w:sz="6" w:space="0" w:color="auto"/>
              <w:left w:val="single" w:sz="6" w:space="0" w:color="auto"/>
              <w:bottom w:val="single" w:sz="6" w:space="0" w:color="auto"/>
              <w:right w:val="single" w:sz="6" w:space="0" w:color="auto"/>
            </w:tcBorders>
          </w:tcPr>
          <w:p w14:paraId="7A2C6DCC" w14:textId="77777777" w:rsidR="00014369" w:rsidRPr="0067409F" w:rsidRDefault="00014369" w:rsidP="00014369">
            <w:pPr>
              <w:pStyle w:val="Tabletext"/>
              <w:jc w:val="center"/>
            </w:pPr>
            <w:r w:rsidRPr="0067409F">
              <w:t>–222.5</w:t>
            </w:r>
            <w:r w:rsidRPr="0067409F">
              <w:br/>
              <w:t>–220.9</w:t>
            </w:r>
            <w:r w:rsidRPr="0067409F">
              <w:br/>
              <w:t>–220.5</w:t>
            </w:r>
            <w:r w:rsidRPr="0067409F">
              <w:br/>
              <w:t>–217.3</w:t>
            </w:r>
          </w:p>
        </w:tc>
      </w:tr>
    </w:tbl>
    <w:p w14:paraId="7C022441" w14:textId="77777777" w:rsidR="000E5383" w:rsidRDefault="000E5383" w:rsidP="000E5383">
      <w:pPr>
        <w:pStyle w:val="Tablefin"/>
      </w:pPr>
    </w:p>
    <w:p w14:paraId="7935CF57" w14:textId="77777777" w:rsidR="00014369" w:rsidRPr="00014369" w:rsidRDefault="00014369" w:rsidP="00014369">
      <w:pPr>
        <w:pStyle w:val="Heading2"/>
        <w:rPr>
          <w:lang w:val="en-US"/>
        </w:rPr>
      </w:pPr>
      <w:r w:rsidRPr="00014369">
        <w:rPr>
          <w:lang w:val="en-US"/>
        </w:rPr>
        <w:t>2.3</w:t>
      </w:r>
      <w:r w:rsidRPr="00014369">
        <w:rPr>
          <w:lang w:val="en-US"/>
        </w:rPr>
        <w:tab/>
        <w:t>Protection criteria for deep</w:t>
      </w:r>
      <w:r w:rsidRPr="00014369">
        <w:rPr>
          <w:lang w:val="en-US"/>
        </w:rPr>
        <w:noBreakHyphen/>
        <w:t>space earth-station receivers</w:t>
      </w:r>
    </w:p>
    <w:p w14:paraId="20603504" w14:textId="77777777" w:rsidR="00014369" w:rsidRPr="00014369" w:rsidRDefault="00014369" w:rsidP="00014369">
      <w:pPr>
        <w:rPr>
          <w:lang w:val="en-US"/>
        </w:rPr>
      </w:pPr>
      <w:r w:rsidRPr="00014369">
        <w:rPr>
          <w:lang w:val="en-US"/>
        </w:rPr>
        <w:t>Table 5 gives the maximum allowable interference that will not cause more than the acceptable degradation of earth</w:t>
      </w:r>
      <w:r w:rsidRPr="00014369">
        <w:rPr>
          <w:lang w:val="en-US"/>
        </w:rPr>
        <w:noBreakHyphen/>
        <w:t>station receiver performance. These values are the protection criteria for a deep</w:t>
      </w:r>
      <w:r w:rsidRPr="00014369">
        <w:rPr>
          <w:lang w:val="en-US"/>
        </w:rPr>
        <w:noBreakHyphen/>
        <w:t>space earth-station receiver at the receiver input terminals: greater interference is harmful. Also shown is the corresponding power spectral flux-density at the aperture of a 70 m diameter reflector antenna. The antenna has approximately 70% area efficiency for the lower bands and 40% at 32 GHz.</w:t>
      </w:r>
    </w:p>
    <w:p w14:paraId="25DEB066" w14:textId="77777777" w:rsidR="00014369" w:rsidRPr="00014369" w:rsidRDefault="00014369" w:rsidP="00014369">
      <w:pPr>
        <w:pStyle w:val="TableNo"/>
        <w:rPr>
          <w:lang w:val="en-US"/>
        </w:rPr>
      </w:pPr>
      <w:r w:rsidRPr="00014369">
        <w:rPr>
          <w:lang w:val="en-US"/>
        </w:rPr>
        <w:t>TABLE 5</w:t>
      </w:r>
    </w:p>
    <w:p w14:paraId="6B21F9A4" w14:textId="77777777" w:rsidR="00014369" w:rsidRPr="00014369" w:rsidRDefault="00014369" w:rsidP="00014369">
      <w:pPr>
        <w:pStyle w:val="Tabletitle"/>
        <w:rPr>
          <w:lang w:val="en-US"/>
        </w:rPr>
      </w:pPr>
      <w:r w:rsidRPr="00014369">
        <w:rPr>
          <w:lang w:val="en-US"/>
        </w:rPr>
        <w:t>Interference protection for deep-space earth-stations</w:t>
      </w:r>
    </w:p>
    <w:tbl>
      <w:tblPr>
        <w:tblW w:w="0" w:type="auto"/>
        <w:jc w:val="center"/>
        <w:tblLayout w:type="fixed"/>
        <w:tblLook w:val="0000" w:firstRow="0" w:lastRow="0" w:firstColumn="0" w:lastColumn="0" w:noHBand="0" w:noVBand="0"/>
      </w:tblPr>
      <w:tblGrid>
        <w:gridCol w:w="1701"/>
        <w:gridCol w:w="3686"/>
        <w:gridCol w:w="3686"/>
      </w:tblGrid>
      <w:tr w:rsidR="00014369" w:rsidRPr="00014369" w14:paraId="486AC532" w14:textId="77777777">
        <w:tblPrEx>
          <w:tblCellMar>
            <w:top w:w="0" w:type="dxa"/>
            <w:bottom w:w="0" w:type="dxa"/>
          </w:tblCellMar>
        </w:tblPrEx>
        <w:trPr>
          <w:cantSplit/>
          <w:jc w:val="center"/>
        </w:trPr>
        <w:tc>
          <w:tcPr>
            <w:tcW w:w="1701" w:type="dxa"/>
            <w:tcBorders>
              <w:top w:val="single" w:sz="6" w:space="0" w:color="auto"/>
              <w:left w:val="single" w:sz="6" w:space="0" w:color="auto"/>
              <w:bottom w:val="single" w:sz="6" w:space="0" w:color="auto"/>
              <w:right w:val="single" w:sz="6" w:space="0" w:color="auto"/>
            </w:tcBorders>
            <w:vAlign w:val="center"/>
          </w:tcPr>
          <w:p w14:paraId="1172F873" w14:textId="77777777" w:rsidR="00014369" w:rsidRPr="0067409F" w:rsidRDefault="00014369" w:rsidP="00014369">
            <w:pPr>
              <w:pStyle w:val="Tablehead"/>
            </w:pPr>
            <w:r w:rsidRPr="0067409F">
              <w:t>Band</w:t>
            </w:r>
            <w:r w:rsidRPr="0067409F">
              <w:br/>
              <w:t>(GHz)</w:t>
            </w:r>
          </w:p>
        </w:tc>
        <w:tc>
          <w:tcPr>
            <w:tcW w:w="3686" w:type="dxa"/>
            <w:tcBorders>
              <w:top w:val="single" w:sz="6" w:space="0" w:color="auto"/>
              <w:left w:val="single" w:sz="6" w:space="0" w:color="auto"/>
              <w:bottom w:val="single" w:sz="6" w:space="0" w:color="auto"/>
              <w:right w:val="single" w:sz="6" w:space="0" w:color="auto"/>
            </w:tcBorders>
            <w:vAlign w:val="center"/>
          </w:tcPr>
          <w:p w14:paraId="02B20E9A" w14:textId="77777777" w:rsidR="00014369" w:rsidRPr="00014369" w:rsidRDefault="00014369" w:rsidP="00014369">
            <w:pPr>
              <w:pStyle w:val="Tablehead"/>
              <w:rPr>
                <w:lang w:val="en-US"/>
              </w:rPr>
            </w:pPr>
            <w:r w:rsidRPr="00014369">
              <w:rPr>
                <w:lang w:val="en-US"/>
              </w:rPr>
              <w:t xml:space="preserve">Maximum allowable interference power spectral density </w:t>
            </w:r>
            <w:r w:rsidRPr="00014369">
              <w:rPr>
                <w:lang w:val="en-US"/>
              </w:rPr>
              <w:br/>
              <w:t>(dB(W/Hz))</w:t>
            </w:r>
          </w:p>
        </w:tc>
        <w:tc>
          <w:tcPr>
            <w:tcW w:w="3686" w:type="dxa"/>
            <w:tcBorders>
              <w:top w:val="single" w:sz="6" w:space="0" w:color="auto"/>
              <w:left w:val="single" w:sz="6" w:space="0" w:color="auto"/>
              <w:bottom w:val="single" w:sz="6" w:space="0" w:color="auto"/>
              <w:right w:val="single" w:sz="6" w:space="0" w:color="auto"/>
            </w:tcBorders>
            <w:vAlign w:val="center"/>
          </w:tcPr>
          <w:p w14:paraId="03E6CD9D" w14:textId="77777777" w:rsidR="00014369" w:rsidRPr="00014369" w:rsidRDefault="00014369" w:rsidP="00014369">
            <w:pPr>
              <w:pStyle w:val="Tablehead"/>
              <w:rPr>
                <w:lang w:val="en-US"/>
              </w:rPr>
            </w:pPr>
            <w:r w:rsidRPr="00014369">
              <w:rPr>
                <w:lang w:val="en-US"/>
              </w:rPr>
              <w:t xml:space="preserve">Maximum allowable interference power spectral flux-density </w:t>
            </w:r>
            <w:r w:rsidRPr="00014369">
              <w:rPr>
                <w:lang w:val="en-US"/>
              </w:rPr>
              <w:br/>
              <w:t>(</w:t>
            </w:r>
            <w:proofErr w:type="gramStart"/>
            <w:r w:rsidRPr="00014369">
              <w:rPr>
                <w:lang w:val="en-US"/>
              </w:rPr>
              <w:t>dB(</w:t>
            </w:r>
            <w:proofErr w:type="gramEnd"/>
            <w:r w:rsidRPr="00014369">
              <w:rPr>
                <w:lang w:val="en-US"/>
              </w:rPr>
              <w:t>W/m</w:t>
            </w:r>
            <w:r w:rsidRPr="00014369">
              <w:rPr>
                <w:position w:val="6"/>
                <w:sz w:val="14"/>
                <w:lang w:val="en-US"/>
              </w:rPr>
              <w:t>2</w:t>
            </w:r>
            <w:r w:rsidRPr="00014369">
              <w:rPr>
                <w:lang w:val="en-US"/>
              </w:rPr>
              <w:t xml:space="preserve"> · Hz))</w:t>
            </w:r>
          </w:p>
        </w:tc>
      </w:tr>
      <w:tr w:rsidR="00014369" w:rsidRPr="0067409F" w14:paraId="3E91593F" w14:textId="77777777">
        <w:tblPrEx>
          <w:tblCellMar>
            <w:top w:w="0" w:type="dxa"/>
            <w:bottom w:w="0" w:type="dxa"/>
          </w:tblCellMar>
        </w:tblPrEx>
        <w:trPr>
          <w:cantSplit/>
          <w:jc w:val="center"/>
        </w:trPr>
        <w:tc>
          <w:tcPr>
            <w:tcW w:w="1701" w:type="dxa"/>
            <w:tcBorders>
              <w:top w:val="single" w:sz="6" w:space="0" w:color="auto"/>
              <w:left w:val="single" w:sz="6" w:space="0" w:color="auto"/>
              <w:bottom w:val="single" w:sz="6" w:space="0" w:color="auto"/>
              <w:right w:val="single" w:sz="6" w:space="0" w:color="auto"/>
            </w:tcBorders>
          </w:tcPr>
          <w:p w14:paraId="431BF2BC" w14:textId="77777777" w:rsidR="00014369" w:rsidRPr="0067409F" w:rsidRDefault="00014369" w:rsidP="00014369">
            <w:pPr>
              <w:pStyle w:val="Tabletext"/>
              <w:jc w:val="center"/>
            </w:pPr>
            <w:r w:rsidRPr="0067409F">
              <w:t>2.29-2.30</w:t>
            </w:r>
            <w:r w:rsidRPr="0067409F">
              <w:br/>
              <w:t>8.40-8.45</w:t>
            </w:r>
            <w:r w:rsidRPr="0067409F">
              <w:br/>
              <w:t>12.75-13.25</w:t>
            </w:r>
            <w:r w:rsidRPr="0067409F">
              <w:br/>
              <w:t>31.8-32.3</w:t>
            </w:r>
            <w:r w:rsidRPr="0067409F">
              <w:rPr>
                <w:color w:val="FFFFFF"/>
              </w:rPr>
              <w:t>0</w:t>
            </w:r>
          </w:p>
        </w:tc>
        <w:tc>
          <w:tcPr>
            <w:tcW w:w="3686" w:type="dxa"/>
            <w:tcBorders>
              <w:top w:val="single" w:sz="6" w:space="0" w:color="auto"/>
              <w:left w:val="single" w:sz="6" w:space="0" w:color="auto"/>
              <w:bottom w:val="single" w:sz="6" w:space="0" w:color="auto"/>
              <w:right w:val="single" w:sz="6" w:space="0" w:color="auto"/>
            </w:tcBorders>
          </w:tcPr>
          <w:p w14:paraId="223BF037" w14:textId="77777777" w:rsidR="00014369" w:rsidRPr="0067409F" w:rsidRDefault="00014369" w:rsidP="00014369">
            <w:pPr>
              <w:pStyle w:val="Tabletext"/>
              <w:jc w:val="center"/>
            </w:pPr>
            <w:r w:rsidRPr="0067409F">
              <w:t>–222.5</w:t>
            </w:r>
            <w:r w:rsidRPr="0067409F">
              <w:br/>
              <w:t>–220.9</w:t>
            </w:r>
            <w:r w:rsidRPr="0067409F">
              <w:br/>
              <w:t>–220.5</w:t>
            </w:r>
            <w:r w:rsidRPr="0067409F">
              <w:br/>
              <w:t>–217.3</w:t>
            </w:r>
          </w:p>
        </w:tc>
        <w:tc>
          <w:tcPr>
            <w:tcW w:w="3686" w:type="dxa"/>
            <w:tcBorders>
              <w:top w:val="single" w:sz="6" w:space="0" w:color="auto"/>
              <w:left w:val="single" w:sz="6" w:space="0" w:color="auto"/>
              <w:bottom w:val="single" w:sz="6" w:space="0" w:color="auto"/>
              <w:right w:val="single" w:sz="6" w:space="0" w:color="auto"/>
            </w:tcBorders>
          </w:tcPr>
          <w:p w14:paraId="707B2041" w14:textId="77777777" w:rsidR="00014369" w:rsidRPr="0067409F" w:rsidRDefault="00014369" w:rsidP="00014369">
            <w:pPr>
              <w:pStyle w:val="Tabletext"/>
              <w:jc w:val="center"/>
            </w:pPr>
            <w:r w:rsidRPr="0067409F">
              <w:t>–257.0</w:t>
            </w:r>
            <w:r w:rsidRPr="0067409F">
              <w:br/>
              <w:t>–255.1</w:t>
            </w:r>
            <w:r w:rsidRPr="0067409F">
              <w:br/>
              <w:t>–254.3</w:t>
            </w:r>
            <w:r w:rsidRPr="0067409F">
              <w:br/>
              <w:t>–249.3</w:t>
            </w:r>
          </w:p>
        </w:tc>
      </w:tr>
    </w:tbl>
    <w:p w14:paraId="691994A2" w14:textId="77777777" w:rsidR="000E5383" w:rsidRDefault="000E5383" w:rsidP="000E5383">
      <w:pPr>
        <w:pStyle w:val="Tablefin"/>
      </w:pPr>
    </w:p>
    <w:p w14:paraId="15680763" w14:textId="77777777" w:rsidR="00014369" w:rsidRPr="00014369" w:rsidRDefault="00014369" w:rsidP="000E5383">
      <w:pPr>
        <w:rPr>
          <w:lang w:val="en-US"/>
        </w:rPr>
      </w:pPr>
      <w:r w:rsidRPr="00014369">
        <w:rPr>
          <w:lang w:val="en-US"/>
        </w:rPr>
        <w:t>To protect earth-station receivers, the power spectral density of noise</w:t>
      </w:r>
      <w:r w:rsidRPr="00014369">
        <w:rPr>
          <w:lang w:val="en-US"/>
        </w:rPr>
        <w:noBreakHyphen/>
        <w:t>like interference, or the total power of CW interference, should not be greater than the amount shown in Table 5.</w:t>
      </w:r>
    </w:p>
    <w:p w14:paraId="52F01018" w14:textId="77777777" w:rsidR="00014369" w:rsidRPr="00014369" w:rsidRDefault="00014369" w:rsidP="00014369">
      <w:pPr>
        <w:rPr>
          <w:lang w:val="en-US"/>
        </w:rPr>
      </w:pPr>
      <w:r w:rsidRPr="00014369">
        <w:rPr>
          <w:lang w:val="en-US"/>
        </w:rPr>
        <w:t>To obtain the coordination area surrounding an earth station, propagation due to fluctuating weather conditions must be considered. To limit service outage due to enhanced trans-horizon propagation to less than 5 min during any day of the year, it is necessary to allow for propagation during the worst weather hour in the year and the worst 5 min within that hour. This condition is taken as 0.001% of the time.</w:t>
      </w:r>
    </w:p>
    <w:p w14:paraId="5EA64C39" w14:textId="77777777" w:rsidR="00014369" w:rsidRPr="00014369" w:rsidRDefault="00014369" w:rsidP="00014369">
      <w:pPr>
        <w:rPr>
          <w:lang w:val="en-US"/>
        </w:rPr>
      </w:pPr>
      <w:r w:rsidRPr="00014369">
        <w:rPr>
          <w:lang w:val="en-US"/>
        </w:rPr>
        <w:t>Appendix 7 to the ITU Radio Regulations shows application of the 0.001% weather condition leads to a slightly increased coordination distance compared to that necessary for a service able to tolerate greater service outage.</w:t>
      </w:r>
    </w:p>
    <w:p w14:paraId="2CC708F1" w14:textId="77777777" w:rsidR="00014369" w:rsidRPr="00014369" w:rsidRDefault="00014369" w:rsidP="00014369">
      <w:pPr>
        <w:pStyle w:val="Heading1"/>
        <w:rPr>
          <w:lang w:val="en-US"/>
        </w:rPr>
      </w:pPr>
      <w:r w:rsidRPr="00014369">
        <w:rPr>
          <w:lang w:val="en-US"/>
        </w:rPr>
        <w:t>3</w:t>
      </w:r>
      <w:r w:rsidRPr="00014369">
        <w:rPr>
          <w:lang w:val="en-US"/>
        </w:rPr>
        <w:tab/>
        <w:t>Protection criteria for space stations in deep space</w:t>
      </w:r>
    </w:p>
    <w:p w14:paraId="6AAEBE0B" w14:textId="77777777" w:rsidR="00014369" w:rsidRPr="00014369" w:rsidRDefault="00014369" w:rsidP="00014369">
      <w:pPr>
        <w:rPr>
          <w:lang w:val="en-US"/>
        </w:rPr>
      </w:pPr>
      <w:r w:rsidRPr="00014369">
        <w:rPr>
          <w:lang w:val="en-US"/>
        </w:rPr>
        <w:t>Space station and earth-station receivers for deep</w:t>
      </w:r>
      <w:r w:rsidRPr="00014369">
        <w:rPr>
          <w:lang w:val="en-US"/>
        </w:rPr>
        <w:noBreakHyphen/>
        <w:t xml:space="preserve">space research function in a similar manner, except that the space station does not include a maser. Space stations are susceptible to interference in ways </w:t>
      </w:r>
      <w:proofErr w:type="gramStart"/>
      <w:r w:rsidRPr="00014369">
        <w:rPr>
          <w:lang w:val="en-US"/>
        </w:rPr>
        <w:t>similar to</w:t>
      </w:r>
      <w:proofErr w:type="gramEnd"/>
      <w:r w:rsidRPr="00014369">
        <w:rPr>
          <w:lang w:val="en-US"/>
        </w:rPr>
        <w:t xml:space="preserve"> those described earlier for earth stations.</w:t>
      </w:r>
    </w:p>
    <w:p w14:paraId="4CBDAA8D" w14:textId="77777777" w:rsidR="00014369" w:rsidRPr="00014369" w:rsidRDefault="00014369" w:rsidP="00014369">
      <w:pPr>
        <w:rPr>
          <w:lang w:val="en-US"/>
        </w:rPr>
      </w:pPr>
      <w:r w:rsidRPr="00014369">
        <w:rPr>
          <w:lang w:val="en-US"/>
        </w:rPr>
        <w:lastRenderedPageBreak/>
        <w:t>The criterion for protection of deep</w:t>
      </w:r>
      <w:r w:rsidRPr="00014369">
        <w:rPr>
          <w:lang w:val="en-US"/>
        </w:rPr>
        <w:noBreakHyphen/>
        <w:t>space station receivers is that interference power must be no stronger than receiver noise power. Compared to deep</w:t>
      </w:r>
      <w:r w:rsidRPr="00014369">
        <w:rPr>
          <w:lang w:val="en-US"/>
        </w:rPr>
        <w:noBreakHyphen/>
        <w:t>space earth station criteria, this is less severe and is a consequence of generally larger performance margins on the Earth-to-space link. For protection of stations on spacecraft in deep space, the power spectral density of wideband interference, or the total power of CW interference in any 20 Hz band should be no larger than the amount shown in Table 6, at the receiver input terminals: greater interference is harmful. The 20 Hz bandwidth specification is the carrier tracking loop bandwidth of the spacecraft transponder operated with threshold signal strength. The values of noise temperature shown in Table 6 are estimates of currently practical systems that could be used in deep space.</w:t>
      </w:r>
    </w:p>
    <w:p w14:paraId="2344B50C" w14:textId="77777777" w:rsidR="00014369" w:rsidRPr="00014369" w:rsidRDefault="00014369" w:rsidP="00014369">
      <w:pPr>
        <w:pStyle w:val="TableNo"/>
        <w:rPr>
          <w:lang w:val="en-US"/>
        </w:rPr>
      </w:pPr>
      <w:r w:rsidRPr="00014369">
        <w:rPr>
          <w:lang w:val="en-US"/>
        </w:rPr>
        <w:t>TABLE 6</w:t>
      </w:r>
    </w:p>
    <w:p w14:paraId="1DE24E53" w14:textId="77777777" w:rsidR="00014369" w:rsidRPr="00014369" w:rsidRDefault="00014369" w:rsidP="00014369">
      <w:pPr>
        <w:pStyle w:val="Tabletitle"/>
        <w:rPr>
          <w:lang w:val="en-US"/>
        </w:rPr>
      </w:pPr>
      <w:r w:rsidRPr="00014369">
        <w:rPr>
          <w:lang w:val="en-US"/>
        </w:rPr>
        <w:t>Interference protection for receivers on spacecraft in deep space</w:t>
      </w:r>
    </w:p>
    <w:tbl>
      <w:tblPr>
        <w:tblW w:w="0" w:type="auto"/>
        <w:jc w:val="center"/>
        <w:tblLayout w:type="fixed"/>
        <w:tblLook w:val="0000" w:firstRow="0" w:lastRow="0" w:firstColumn="0" w:lastColumn="0" w:noHBand="0" w:noVBand="0"/>
      </w:tblPr>
      <w:tblGrid>
        <w:gridCol w:w="1701"/>
        <w:gridCol w:w="3686"/>
        <w:gridCol w:w="3686"/>
      </w:tblGrid>
      <w:tr w:rsidR="00014369" w:rsidRPr="00014369" w14:paraId="4CF8C5D4" w14:textId="77777777">
        <w:tblPrEx>
          <w:tblCellMar>
            <w:top w:w="0" w:type="dxa"/>
            <w:bottom w:w="0" w:type="dxa"/>
          </w:tblCellMar>
        </w:tblPrEx>
        <w:trPr>
          <w:cantSplit/>
          <w:jc w:val="center"/>
        </w:trPr>
        <w:tc>
          <w:tcPr>
            <w:tcW w:w="1701" w:type="dxa"/>
            <w:tcBorders>
              <w:top w:val="single" w:sz="6" w:space="0" w:color="auto"/>
              <w:left w:val="single" w:sz="6" w:space="0" w:color="auto"/>
              <w:bottom w:val="single" w:sz="6" w:space="0" w:color="auto"/>
              <w:right w:val="single" w:sz="6" w:space="0" w:color="auto"/>
            </w:tcBorders>
            <w:vAlign w:val="center"/>
          </w:tcPr>
          <w:p w14:paraId="0DE38C24" w14:textId="77777777" w:rsidR="00014369" w:rsidRPr="0067409F" w:rsidRDefault="00014369" w:rsidP="00014369">
            <w:pPr>
              <w:pStyle w:val="Tablehead"/>
            </w:pPr>
            <w:r w:rsidRPr="0067409F">
              <w:t>Band</w:t>
            </w:r>
            <w:r w:rsidRPr="0067409F">
              <w:br/>
              <w:t>(GHz)</w:t>
            </w:r>
          </w:p>
        </w:tc>
        <w:tc>
          <w:tcPr>
            <w:tcW w:w="3686" w:type="dxa"/>
            <w:tcBorders>
              <w:top w:val="single" w:sz="6" w:space="0" w:color="auto"/>
              <w:left w:val="single" w:sz="6" w:space="0" w:color="auto"/>
              <w:bottom w:val="single" w:sz="6" w:space="0" w:color="auto"/>
              <w:right w:val="single" w:sz="6" w:space="0" w:color="auto"/>
            </w:tcBorders>
            <w:vAlign w:val="center"/>
          </w:tcPr>
          <w:p w14:paraId="6D83E737" w14:textId="77777777" w:rsidR="00014369" w:rsidRPr="00014369" w:rsidRDefault="00014369" w:rsidP="00014369">
            <w:pPr>
              <w:pStyle w:val="Tablehead"/>
              <w:rPr>
                <w:lang w:val="en-US"/>
              </w:rPr>
            </w:pPr>
            <w:r w:rsidRPr="00014369">
              <w:rPr>
                <w:lang w:val="en-US"/>
              </w:rPr>
              <w:t>Receiver noise</w:t>
            </w:r>
            <w:r w:rsidR="00150C4D">
              <w:rPr>
                <w:lang w:val="en-US"/>
              </w:rPr>
              <w:t xml:space="preserve"> </w:t>
            </w:r>
            <w:r w:rsidRPr="00014369">
              <w:rPr>
                <w:lang w:val="en-US"/>
              </w:rPr>
              <w:t>temperature</w:t>
            </w:r>
            <w:r w:rsidRPr="00014369">
              <w:rPr>
                <w:lang w:val="en-US"/>
              </w:rPr>
              <w:br/>
              <w:t>(K)</w:t>
            </w:r>
          </w:p>
        </w:tc>
        <w:tc>
          <w:tcPr>
            <w:tcW w:w="3686" w:type="dxa"/>
            <w:tcBorders>
              <w:top w:val="single" w:sz="6" w:space="0" w:color="auto"/>
              <w:left w:val="single" w:sz="6" w:space="0" w:color="auto"/>
              <w:bottom w:val="single" w:sz="6" w:space="0" w:color="auto"/>
              <w:right w:val="single" w:sz="6" w:space="0" w:color="auto"/>
            </w:tcBorders>
            <w:vAlign w:val="center"/>
          </w:tcPr>
          <w:p w14:paraId="784A1446" w14:textId="77777777" w:rsidR="00014369" w:rsidRPr="00014369" w:rsidRDefault="00014369" w:rsidP="00014369">
            <w:pPr>
              <w:pStyle w:val="Tablehead"/>
              <w:rPr>
                <w:lang w:val="en-US"/>
              </w:rPr>
            </w:pPr>
            <w:r w:rsidRPr="00014369">
              <w:rPr>
                <w:lang w:val="en-US"/>
              </w:rPr>
              <w:t xml:space="preserve">Maximum allowable interference power spectral density </w:t>
            </w:r>
            <w:r w:rsidRPr="00014369">
              <w:rPr>
                <w:lang w:val="en-US"/>
              </w:rPr>
              <w:br/>
              <w:t>(</w:t>
            </w:r>
            <w:proofErr w:type="gramStart"/>
            <w:r w:rsidRPr="00014369">
              <w:rPr>
                <w:lang w:val="en-US"/>
              </w:rPr>
              <w:t>dB(</w:t>
            </w:r>
            <w:proofErr w:type="gramEnd"/>
            <w:r w:rsidRPr="00014369">
              <w:rPr>
                <w:lang w:val="en-US"/>
              </w:rPr>
              <w:t>W/20 Hz))</w:t>
            </w:r>
          </w:p>
        </w:tc>
      </w:tr>
      <w:tr w:rsidR="00014369" w:rsidRPr="0067409F" w14:paraId="3913BE90" w14:textId="77777777">
        <w:tblPrEx>
          <w:tblCellMar>
            <w:top w:w="0" w:type="dxa"/>
            <w:bottom w:w="0" w:type="dxa"/>
          </w:tblCellMar>
        </w:tblPrEx>
        <w:trPr>
          <w:cantSplit/>
          <w:jc w:val="center"/>
        </w:trPr>
        <w:tc>
          <w:tcPr>
            <w:tcW w:w="1701" w:type="dxa"/>
            <w:tcBorders>
              <w:top w:val="single" w:sz="6" w:space="0" w:color="auto"/>
              <w:left w:val="single" w:sz="6" w:space="0" w:color="auto"/>
              <w:bottom w:val="single" w:sz="6" w:space="0" w:color="auto"/>
              <w:right w:val="single" w:sz="6" w:space="0" w:color="auto"/>
            </w:tcBorders>
          </w:tcPr>
          <w:p w14:paraId="7ECA2E5A" w14:textId="77777777" w:rsidR="00014369" w:rsidRPr="003530BF" w:rsidRDefault="00014369" w:rsidP="00014369">
            <w:pPr>
              <w:pStyle w:val="Tabletext"/>
              <w:jc w:val="center"/>
              <w:rPr>
                <w:szCs w:val="22"/>
                <w:lang w:val="en-US"/>
              </w:rPr>
            </w:pPr>
            <w:r w:rsidRPr="003530BF">
              <w:rPr>
                <w:szCs w:val="22"/>
                <w:lang w:val="en-US"/>
              </w:rPr>
              <w:t>2.11-2.12</w:t>
            </w:r>
            <w:r w:rsidRPr="003530BF">
              <w:rPr>
                <w:szCs w:val="22"/>
                <w:lang w:val="en-US"/>
              </w:rPr>
              <w:br/>
              <w:t>7.145-7.190</w:t>
            </w:r>
            <w:r w:rsidRPr="003530BF">
              <w:rPr>
                <w:szCs w:val="22"/>
                <w:lang w:val="en-US"/>
              </w:rPr>
              <w:br/>
              <w:t>16.6-17.1</w:t>
            </w:r>
            <w:r w:rsidRPr="003530BF">
              <w:rPr>
                <w:szCs w:val="22"/>
                <w:lang w:val="en-US"/>
              </w:rPr>
              <w:br/>
              <w:t>34.2-34.7</w:t>
            </w:r>
          </w:p>
        </w:tc>
        <w:tc>
          <w:tcPr>
            <w:tcW w:w="3686" w:type="dxa"/>
            <w:tcBorders>
              <w:top w:val="single" w:sz="6" w:space="0" w:color="auto"/>
              <w:left w:val="single" w:sz="6" w:space="0" w:color="auto"/>
              <w:bottom w:val="single" w:sz="6" w:space="0" w:color="auto"/>
              <w:right w:val="single" w:sz="6" w:space="0" w:color="auto"/>
            </w:tcBorders>
          </w:tcPr>
          <w:p w14:paraId="2D6138D2" w14:textId="77777777" w:rsidR="00014369" w:rsidRPr="0067409F" w:rsidRDefault="00014369" w:rsidP="00014369">
            <w:pPr>
              <w:pStyle w:val="Tabletext"/>
              <w:jc w:val="center"/>
            </w:pPr>
            <w:r w:rsidRPr="000E5383">
              <w:rPr>
                <w:lang w:val="en-US"/>
              </w:rPr>
              <w:t>2</w:t>
            </w:r>
            <w:r w:rsidRPr="0067409F">
              <w:t>00</w:t>
            </w:r>
            <w:r w:rsidRPr="0067409F">
              <w:br/>
              <w:t>330</w:t>
            </w:r>
            <w:r w:rsidRPr="0067409F">
              <w:br/>
              <w:t>910</w:t>
            </w:r>
            <w:r w:rsidRPr="0067409F">
              <w:br/>
              <w:t>2 000</w:t>
            </w:r>
          </w:p>
        </w:tc>
        <w:tc>
          <w:tcPr>
            <w:tcW w:w="3686" w:type="dxa"/>
            <w:tcBorders>
              <w:top w:val="single" w:sz="6" w:space="0" w:color="auto"/>
              <w:left w:val="single" w:sz="6" w:space="0" w:color="auto"/>
              <w:bottom w:val="single" w:sz="6" w:space="0" w:color="auto"/>
              <w:right w:val="single" w:sz="6" w:space="0" w:color="auto"/>
            </w:tcBorders>
          </w:tcPr>
          <w:p w14:paraId="05CD892A" w14:textId="77777777" w:rsidR="00014369" w:rsidRPr="0067409F" w:rsidRDefault="00014369" w:rsidP="00014369">
            <w:pPr>
              <w:pStyle w:val="Tabletext"/>
              <w:jc w:val="center"/>
            </w:pPr>
            <w:r w:rsidRPr="0067409F">
              <w:t>–192.6</w:t>
            </w:r>
            <w:r w:rsidRPr="0067409F">
              <w:br/>
              <w:t>–190.4</w:t>
            </w:r>
            <w:r w:rsidRPr="0067409F">
              <w:br/>
              <w:t>–186.0</w:t>
            </w:r>
            <w:r w:rsidRPr="0067409F">
              <w:br/>
              <w:t>–182.6</w:t>
            </w:r>
          </w:p>
        </w:tc>
      </w:tr>
    </w:tbl>
    <w:p w14:paraId="45827DE4" w14:textId="77777777" w:rsidR="00014369" w:rsidRPr="0067409F" w:rsidRDefault="00014369" w:rsidP="000E5383">
      <w:pPr>
        <w:pStyle w:val="Tablefin"/>
      </w:pPr>
    </w:p>
    <w:p w14:paraId="3A247D07" w14:textId="77777777" w:rsidR="00014369" w:rsidRDefault="00014369" w:rsidP="00014369"/>
    <w:p w14:paraId="24DD5048" w14:textId="77777777" w:rsidR="000E5383" w:rsidRDefault="000E5383" w:rsidP="00014369"/>
    <w:p w14:paraId="595DB2B8" w14:textId="77777777" w:rsidR="003530BF" w:rsidRDefault="003530BF" w:rsidP="00014369"/>
    <w:p w14:paraId="7A9E3181" w14:textId="77777777" w:rsidR="003530BF" w:rsidRPr="0067409F" w:rsidRDefault="003530BF" w:rsidP="00014369"/>
    <w:p w14:paraId="21DE1AF3" w14:textId="77777777" w:rsidR="00014369" w:rsidRPr="00014369" w:rsidRDefault="00014369" w:rsidP="00014369">
      <w:pPr>
        <w:pStyle w:val="AnnexNoTitle"/>
        <w:rPr>
          <w:lang w:val="en-US"/>
        </w:rPr>
      </w:pPr>
      <w:r w:rsidRPr="00014369">
        <w:rPr>
          <w:lang w:val="en-US"/>
        </w:rPr>
        <w:t>Annex 2</w:t>
      </w:r>
      <w:r w:rsidRPr="00014369">
        <w:rPr>
          <w:lang w:val="en-US"/>
        </w:rPr>
        <w:br/>
      </w:r>
      <w:r w:rsidRPr="00014369">
        <w:rPr>
          <w:lang w:val="en-US"/>
        </w:rPr>
        <w:br/>
        <w:t>Interference susceptibility of receiving</w:t>
      </w:r>
      <w:r w:rsidRPr="00014369">
        <w:rPr>
          <w:lang w:val="en-US"/>
        </w:rPr>
        <w:br/>
        <w:t>systems for deep</w:t>
      </w:r>
      <w:r w:rsidRPr="00014369">
        <w:rPr>
          <w:lang w:val="en-US"/>
        </w:rPr>
        <w:noBreakHyphen/>
        <w:t xml:space="preserve">space </w:t>
      </w:r>
      <w:proofErr w:type="gramStart"/>
      <w:r w:rsidRPr="00014369">
        <w:rPr>
          <w:lang w:val="en-US"/>
        </w:rPr>
        <w:t>research</w:t>
      </w:r>
      <w:proofErr w:type="gramEnd"/>
    </w:p>
    <w:p w14:paraId="60BCA422" w14:textId="77777777" w:rsidR="00014369" w:rsidRPr="00014369" w:rsidRDefault="00014369" w:rsidP="00014369">
      <w:pPr>
        <w:pStyle w:val="Heading1"/>
        <w:rPr>
          <w:lang w:val="en-US"/>
        </w:rPr>
      </w:pPr>
      <w:r w:rsidRPr="00014369">
        <w:rPr>
          <w:lang w:val="en-US"/>
        </w:rPr>
        <w:t>1</w:t>
      </w:r>
      <w:r w:rsidRPr="00014369">
        <w:rPr>
          <w:lang w:val="en-US"/>
        </w:rPr>
        <w:tab/>
        <w:t>Introduction</w:t>
      </w:r>
    </w:p>
    <w:p w14:paraId="3FF18D9C" w14:textId="77777777" w:rsidR="00014369" w:rsidRPr="00014369" w:rsidRDefault="00014369" w:rsidP="00014369">
      <w:pPr>
        <w:rPr>
          <w:lang w:val="en-US"/>
        </w:rPr>
      </w:pPr>
      <w:r w:rsidRPr="00014369">
        <w:rPr>
          <w:lang w:val="en-US"/>
        </w:rPr>
        <w:t>This Annex presents information on the interference susceptibility of receiving systems used for radiocommunications associated with deep</w:t>
      </w:r>
      <w:r w:rsidRPr="00014369">
        <w:rPr>
          <w:lang w:val="en-US"/>
        </w:rPr>
        <w:noBreakHyphen/>
        <w:t>space research. Two classes of interference are considered: CW and noise</w:t>
      </w:r>
      <w:r w:rsidRPr="00014369">
        <w:rPr>
          <w:lang w:val="en-US"/>
        </w:rPr>
        <w:noBreakHyphen/>
        <w:t xml:space="preserve">like interference. The </w:t>
      </w:r>
      <w:proofErr w:type="gramStart"/>
      <w:r w:rsidRPr="00014369">
        <w:rPr>
          <w:lang w:val="en-US"/>
        </w:rPr>
        <w:t>particular receiving</w:t>
      </w:r>
      <w:proofErr w:type="gramEnd"/>
      <w:r w:rsidRPr="00014369">
        <w:rPr>
          <w:lang w:val="en-US"/>
        </w:rPr>
        <w:t xml:space="preserve"> systems that have been </w:t>
      </w:r>
      <w:proofErr w:type="spellStart"/>
      <w:r w:rsidRPr="00014369">
        <w:rPr>
          <w:lang w:val="en-US"/>
        </w:rPr>
        <w:t>analysed</w:t>
      </w:r>
      <w:proofErr w:type="spellEnd"/>
      <w:r w:rsidRPr="00014369">
        <w:rPr>
          <w:lang w:val="en-US"/>
        </w:rPr>
        <w:t xml:space="preserve"> are those of the Deep Space Network (DSN) operated by the United States of America.</w:t>
      </w:r>
    </w:p>
    <w:p w14:paraId="30D26AAC" w14:textId="77777777" w:rsidR="00014369" w:rsidRPr="00014369" w:rsidRDefault="00014369" w:rsidP="00014369">
      <w:pPr>
        <w:pStyle w:val="Heading1"/>
        <w:rPr>
          <w:lang w:val="en-US"/>
        </w:rPr>
      </w:pPr>
      <w:r w:rsidRPr="00014369">
        <w:rPr>
          <w:lang w:val="en-US"/>
        </w:rPr>
        <w:t>2</w:t>
      </w:r>
      <w:r w:rsidRPr="00014369">
        <w:rPr>
          <w:lang w:val="en-US"/>
        </w:rPr>
        <w:tab/>
        <w:t>The receiving system</w:t>
      </w:r>
    </w:p>
    <w:p w14:paraId="13530986" w14:textId="77777777" w:rsidR="00014369" w:rsidRPr="00014369" w:rsidRDefault="00014369" w:rsidP="00014369">
      <w:pPr>
        <w:rPr>
          <w:lang w:val="en-US"/>
        </w:rPr>
      </w:pPr>
      <w:r w:rsidRPr="00014369">
        <w:rPr>
          <w:lang w:val="en-US"/>
        </w:rPr>
        <w:t>The receiving system includes four major elements, each of which must be protected from interference: the maser pre</w:t>
      </w:r>
      <w:r w:rsidRPr="00014369">
        <w:rPr>
          <w:lang w:val="en-US"/>
        </w:rPr>
        <w:noBreakHyphen/>
        <w:t>amplifier, the carrier tracking loop, the telemetry subsystem, and the ranging subsystem. The interference susceptibility of each of these will be discussed in § 4 below. A simplified block diagram of the receiving system is shown in Fig. 1.</w:t>
      </w:r>
    </w:p>
    <w:p w14:paraId="73A126A1" w14:textId="77777777" w:rsidR="00014369" w:rsidRPr="0067409F" w:rsidRDefault="00150C4D" w:rsidP="000E5383">
      <w:pPr>
        <w:pStyle w:val="FigureNo"/>
      </w:pPr>
      <w:r>
        <w:object w:dxaOrig="9007" w:dyaOrig="6651" w14:anchorId="1BA61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331.2pt" o:ole="" o:allowoverlap="f">
            <v:imagedata r:id="rId7" o:title=""/>
          </v:shape>
          <o:OLEObject Type="Embed" ProgID="CorelDRAW.Graphic.12" ShapeID="_x0000_i1025" DrawAspect="Content" ObjectID="_1760428572" r:id="rId8"/>
        </w:object>
      </w:r>
    </w:p>
    <w:p w14:paraId="0853DD3C" w14:textId="77777777" w:rsidR="003530BF" w:rsidRDefault="003530BF" w:rsidP="003530BF">
      <w:pPr>
        <w:rPr>
          <w:lang w:val="en-US"/>
        </w:rPr>
      </w:pPr>
    </w:p>
    <w:p w14:paraId="145B0C42" w14:textId="77777777" w:rsidR="00014369" w:rsidRPr="00014369" w:rsidRDefault="00014369" w:rsidP="00014369">
      <w:pPr>
        <w:pStyle w:val="Heading1"/>
        <w:rPr>
          <w:lang w:val="en-US"/>
        </w:rPr>
      </w:pPr>
      <w:r w:rsidRPr="00014369">
        <w:rPr>
          <w:lang w:val="en-US"/>
        </w:rPr>
        <w:t>3</w:t>
      </w:r>
      <w:r w:rsidRPr="00014369">
        <w:rPr>
          <w:lang w:val="en-US"/>
        </w:rPr>
        <w:tab/>
        <w:t>Results of interference</w:t>
      </w:r>
    </w:p>
    <w:p w14:paraId="03F20211" w14:textId="77777777" w:rsidR="00014369" w:rsidRPr="00014369" w:rsidRDefault="00014369" w:rsidP="00014369">
      <w:pPr>
        <w:rPr>
          <w:lang w:val="en-US"/>
        </w:rPr>
      </w:pPr>
      <w:r w:rsidRPr="00014369">
        <w:rPr>
          <w:lang w:val="en-US"/>
        </w:rPr>
        <w:t>Interference can result in performance degradation, non</w:t>
      </w:r>
      <w:r w:rsidRPr="00014369">
        <w:rPr>
          <w:lang w:val="en-US"/>
        </w:rPr>
        <w:noBreakHyphen/>
        <w:t xml:space="preserve">linear </w:t>
      </w:r>
      <w:proofErr w:type="gramStart"/>
      <w:r w:rsidRPr="00014369">
        <w:rPr>
          <w:lang w:val="en-US"/>
        </w:rPr>
        <w:t>operation</w:t>
      </w:r>
      <w:proofErr w:type="gramEnd"/>
      <w:r w:rsidRPr="00014369">
        <w:rPr>
          <w:lang w:val="en-US"/>
        </w:rPr>
        <w:t xml:space="preserve"> or loss of data. The effect of the interference depends on its strength and separation in frequency from the wanted signal.</w:t>
      </w:r>
    </w:p>
    <w:p w14:paraId="76460197" w14:textId="77777777" w:rsidR="00014369" w:rsidRPr="00014369" w:rsidRDefault="00014369" w:rsidP="00014369">
      <w:pPr>
        <w:rPr>
          <w:lang w:val="en-US"/>
        </w:rPr>
      </w:pPr>
      <w:r w:rsidRPr="00014369">
        <w:rPr>
          <w:lang w:val="en-US"/>
        </w:rPr>
        <w:t>At weak</w:t>
      </w:r>
      <w:r w:rsidRPr="00014369">
        <w:rPr>
          <w:lang w:val="en-US"/>
        </w:rPr>
        <w:noBreakHyphen/>
        <w:t>to</w:t>
      </w:r>
      <w:r w:rsidRPr="00014369">
        <w:rPr>
          <w:lang w:val="en-US"/>
        </w:rPr>
        <w:noBreakHyphen/>
        <w:t>moderate power levels, co</w:t>
      </w:r>
      <w:r w:rsidRPr="00014369">
        <w:rPr>
          <w:lang w:val="en-US"/>
        </w:rPr>
        <w:noBreakHyphen/>
        <w:t>channel interference can increase the static phase error and phase jitter of the carrier tracking loop, increase the telemetry bit error ratio, or reduce the accuracy of the range estimate. This performance degradation can generally be expressed as an equivalent reduction in signal</w:t>
      </w:r>
      <w:r w:rsidRPr="00014369">
        <w:rPr>
          <w:lang w:val="en-US"/>
        </w:rPr>
        <w:noBreakHyphen/>
        <w:t>to</w:t>
      </w:r>
      <w:r w:rsidRPr="00014369">
        <w:rPr>
          <w:lang w:val="en-US"/>
        </w:rPr>
        <w:noBreakHyphen/>
        <w:t>noise ratio and can, in theory, be compensated by increasing the power level of the wanted signal. In practice, the power of the wanted signal is usually not adjustable.</w:t>
      </w:r>
    </w:p>
    <w:p w14:paraId="76B7FFA1" w14:textId="77777777" w:rsidR="00014369" w:rsidRPr="00014369" w:rsidRDefault="00014369" w:rsidP="00014369">
      <w:pPr>
        <w:rPr>
          <w:lang w:val="en-US"/>
        </w:rPr>
      </w:pPr>
      <w:r w:rsidRPr="00014369">
        <w:rPr>
          <w:lang w:val="en-US"/>
        </w:rPr>
        <w:t>Strong interference having a large frequency separation from the wanted signal can result in a performance degradation and simultaneously drive one or more of the receiver components into a non</w:t>
      </w:r>
      <w:r w:rsidRPr="00014369">
        <w:rPr>
          <w:lang w:val="en-US"/>
        </w:rPr>
        <w:noBreakHyphen/>
        <w:t>linear region, resulting in gain compression and the generation of harmonics, spurious signals, and intermodulation products. These non</w:t>
      </w:r>
      <w:r w:rsidRPr="00014369">
        <w:rPr>
          <w:lang w:val="en-US"/>
        </w:rPr>
        <w:noBreakHyphen/>
        <w:t>linear effects are collectively referred to as saturation effects. Unlike performance degradation, saturation effects generally cannot be compensated even if the power level of the wanted signal is increased.</w:t>
      </w:r>
    </w:p>
    <w:p w14:paraId="0BD6B469" w14:textId="77777777" w:rsidR="00014369" w:rsidRPr="00014369" w:rsidRDefault="00014369" w:rsidP="00014369">
      <w:pPr>
        <w:rPr>
          <w:lang w:val="en-US"/>
        </w:rPr>
      </w:pPr>
      <w:r w:rsidRPr="00014369">
        <w:rPr>
          <w:lang w:val="en-US"/>
        </w:rPr>
        <w:t>Strong interference having a small frequency separation from the wanted signal can cause the receiving system to lose lock or synchronization, resulting in a total loss of data.</w:t>
      </w:r>
    </w:p>
    <w:p w14:paraId="46D3C96E" w14:textId="77777777" w:rsidR="00014369" w:rsidRPr="00014369" w:rsidRDefault="00014369" w:rsidP="00014369">
      <w:pPr>
        <w:pStyle w:val="Heading1"/>
        <w:rPr>
          <w:lang w:val="en-US"/>
        </w:rPr>
      </w:pPr>
      <w:r w:rsidRPr="00014369">
        <w:rPr>
          <w:lang w:val="en-US"/>
        </w:rPr>
        <w:t>4</w:t>
      </w:r>
      <w:r w:rsidRPr="00014369">
        <w:rPr>
          <w:lang w:val="en-US"/>
        </w:rPr>
        <w:tab/>
        <w:t>Effects of CW interference</w:t>
      </w:r>
    </w:p>
    <w:p w14:paraId="45E35E06" w14:textId="77777777" w:rsidR="00014369" w:rsidRPr="00014369" w:rsidRDefault="00014369" w:rsidP="00014369">
      <w:pPr>
        <w:rPr>
          <w:lang w:val="en-US"/>
        </w:rPr>
      </w:pPr>
      <w:r w:rsidRPr="00014369">
        <w:rPr>
          <w:lang w:val="en-US"/>
        </w:rPr>
        <w:t>The specific interference effects are to be discussed in the following subsections for each of the four receiving subsystems. Although the receiving system is most sensitive to co</w:t>
      </w:r>
      <w:r w:rsidRPr="00014369">
        <w:rPr>
          <w:lang w:val="en-US"/>
        </w:rPr>
        <w:noBreakHyphen/>
        <w:t>channel interference, adjacent</w:t>
      </w:r>
      <w:r w:rsidRPr="00014369">
        <w:rPr>
          <w:lang w:val="en-US"/>
        </w:rPr>
        <w:noBreakHyphen/>
        <w:t>channel interference and even out</w:t>
      </w:r>
      <w:r w:rsidRPr="00014369">
        <w:rPr>
          <w:lang w:val="en-US"/>
        </w:rPr>
        <w:noBreakHyphen/>
        <w:t>of</w:t>
      </w:r>
      <w:r w:rsidRPr="00014369">
        <w:rPr>
          <w:lang w:val="en-US"/>
        </w:rPr>
        <w:noBreakHyphen/>
        <w:t xml:space="preserve">band interference can sometimes cause detrimental </w:t>
      </w:r>
      <w:r w:rsidRPr="00014369">
        <w:rPr>
          <w:lang w:val="en-US"/>
        </w:rPr>
        <w:lastRenderedPageBreak/>
        <w:t>effects. A co</w:t>
      </w:r>
      <w:r w:rsidRPr="00014369">
        <w:rPr>
          <w:lang w:val="en-US"/>
        </w:rPr>
        <w:noBreakHyphen/>
        <w:t>channel interference is one whose frequency is in the passband of the subsystem. The frequency of the interference signal is assumed to be fixed unless specified otherwise.</w:t>
      </w:r>
    </w:p>
    <w:p w14:paraId="3E9AD695" w14:textId="77777777" w:rsidR="00014369" w:rsidRPr="00014369" w:rsidRDefault="00014369" w:rsidP="00014369">
      <w:pPr>
        <w:pStyle w:val="Heading2"/>
        <w:rPr>
          <w:lang w:val="en-US"/>
        </w:rPr>
      </w:pPr>
      <w:r w:rsidRPr="00014369">
        <w:rPr>
          <w:lang w:val="en-US"/>
        </w:rPr>
        <w:t>4.1</w:t>
      </w:r>
      <w:r w:rsidRPr="00014369">
        <w:rPr>
          <w:lang w:val="en-US"/>
        </w:rPr>
        <w:tab/>
        <w:t>Interference susceptibility of the maser pre</w:t>
      </w:r>
      <w:r w:rsidRPr="00014369">
        <w:rPr>
          <w:lang w:val="en-US"/>
        </w:rPr>
        <w:noBreakHyphen/>
        <w:t>amplifier</w:t>
      </w:r>
    </w:p>
    <w:p w14:paraId="5526FA21" w14:textId="77777777" w:rsidR="00014369" w:rsidRDefault="00014369" w:rsidP="00014369">
      <w:pPr>
        <w:rPr>
          <w:lang w:val="en-US"/>
        </w:rPr>
      </w:pPr>
      <w:r w:rsidRPr="00014369">
        <w:rPr>
          <w:lang w:val="en-US"/>
        </w:rPr>
        <w:t>The principal interference susceptibility of a maser is saturation (gain compression) by strong signals. The maser is most sensitive to interference that has a frequency in or near the maser passband, or the maser idle frequencies. Interference power that causes 1 dB maser gain compression is shown in Fig. 2 for a typical maser operating in the 8.4 GHz band.</w:t>
      </w:r>
    </w:p>
    <w:p w14:paraId="5356A252" w14:textId="77777777" w:rsidR="003530BF" w:rsidRPr="00014369" w:rsidRDefault="003530BF" w:rsidP="00014369">
      <w:pPr>
        <w:rPr>
          <w:lang w:val="en-US"/>
        </w:rPr>
      </w:pPr>
    </w:p>
    <w:p w14:paraId="3D9E17EE" w14:textId="77777777" w:rsidR="00014369" w:rsidRPr="0067409F" w:rsidRDefault="000E5383" w:rsidP="000E5383">
      <w:pPr>
        <w:pStyle w:val="FigureNo"/>
      </w:pPr>
      <w:r>
        <w:object w:dxaOrig="8730" w:dyaOrig="5716" w14:anchorId="4D8D18FF">
          <v:shape id="_x0000_i1026" type="#_x0000_t75" style="width:439.2pt;height:4in" o:ole="" o:allowoverlap="f">
            <v:imagedata r:id="rId9" o:title=""/>
          </v:shape>
          <o:OLEObject Type="Embed" ProgID="CorelDRAW.Graphic.12" ShapeID="_x0000_i1026" DrawAspect="Content" ObjectID="_1760428573" r:id="rId10"/>
        </w:object>
      </w:r>
    </w:p>
    <w:p w14:paraId="7508CDC4" w14:textId="77777777" w:rsidR="00014369" w:rsidRPr="00014369" w:rsidRDefault="00014369" w:rsidP="00014369">
      <w:pPr>
        <w:pStyle w:val="Heading2"/>
        <w:rPr>
          <w:lang w:val="en-US"/>
        </w:rPr>
      </w:pPr>
      <w:r w:rsidRPr="00014369">
        <w:rPr>
          <w:lang w:val="en-US"/>
        </w:rPr>
        <w:t>4.2</w:t>
      </w:r>
      <w:r w:rsidRPr="00014369">
        <w:rPr>
          <w:lang w:val="en-US"/>
        </w:rPr>
        <w:tab/>
        <w:t>CW RFI susceptibility of the carrier tracking loop</w:t>
      </w:r>
    </w:p>
    <w:p w14:paraId="6DCABCE7" w14:textId="77777777" w:rsidR="00014369" w:rsidRPr="00014369" w:rsidRDefault="00014369" w:rsidP="00014369">
      <w:pPr>
        <w:rPr>
          <w:lang w:val="en-US"/>
        </w:rPr>
      </w:pPr>
      <w:r w:rsidRPr="00014369">
        <w:rPr>
          <w:lang w:val="en-US"/>
        </w:rPr>
        <w:t>The carrier tracking loop is a double heterodyne tracking loop which incorporates a synchronous</w:t>
      </w:r>
      <w:r w:rsidRPr="00014369">
        <w:rPr>
          <w:lang w:val="en-US"/>
        </w:rPr>
        <w:noBreakHyphen/>
        <w:t xml:space="preserve">detector </w:t>
      </w:r>
      <w:r w:rsidR="00150C4D" w:rsidRPr="00014369">
        <w:rPr>
          <w:lang w:val="en-US"/>
        </w:rPr>
        <w:t>automatic gain control</w:t>
      </w:r>
      <w:r w:rsidR="00150C4D">
        <w:rPr>
          <w:lang w:val="en-US"/>
        </w:rPr>
        <w:t xml:space="preserve"> </w:t>
      </w:r>
      <w:r w:rsidRPr="00014369">
        <w:rPr>
          <w:lang w:val="en-US"/>
        </w:rPr>
        <w:t>(</w:t>
      </w:r>
      <w:r w:rsidR="00150C4D" w:rsidRPr="00014369">
        <w:rPr>
          <w:lang w:val="en-US"/>
        </w:rPr>
        <w:t>AGC</w:t>
      </w:r>
      <w:r w:rsidRPr="00014369">
        <w:rPr>
          <w:lang w:val="en-US"/>
        </w:rPr>
        <w:t>) loop and second</w:t>
      </w:r>
      <w:r w:rsidRPr="00014369">
        <w:rPr>
          <w:lang w:val="en-US"/>
        </w:rPr>
        <w:noBreakHyphen/>
        <w:t>order phase</w:t>
      </w:r>
      <w:r w:rsidRPr="00014369">
        <w:rPr>
          <w:lang w:val="en-US"/>
        </w:rPr>
        <w:noBreakHyphen/>
        <w:t>locked loop preceded by a bandpass limiter.</w:t>
      </w:r>
    </w:p>
    <w:p w14:paraId="15BDEEEB" w14:textId="77777777" w:rsidR="00014369" w:rsidRPr="00014369" w:rsidRDefault="00014369" w:rsidP="00014369">
      <w:pPr>
        <w:rPr>
          <w:lang w:val="en-US"/>
        </w:rPr>
      </w:pPr>
      <w:r w:rsidRPr="00014369">
        <w:rPr>
          <w:lang w:val="en-US"/>
        </w:rPr>
        <w:t>Strong interference can cause the loop to lose lock to the wanted signal, and the loop may lock to the interference. Both fixed frequency and sweeping (changing frequency) CW interference can result in this effect. If the interference is changing in frequency, the loop may first lose lock to the wanted signal and then lock to the interference as it moves close to the frequency of the wanted signal. As the interference moves through and away from that frequency, the loop then loses lock to the interference and may later re</w:t>
      </w:r>
      <w:r w:rsidRPr="00014369">
        <w:rPr>
          <w:lang w:val="en-US"/>
        </w:rPr>
        <w:noBreakHyphen/>
        <w:t>lock to the wanted signal. The time it takes for the loop to re</w:t>
      </w:r>
      <w:r w:rsidRPr="00014369">
        <w:rPr>
          <w:lang w:val="en-US"/>
        </w:rPr>
        <w:noBreakHyphen/>
        <w:t xml:space="preserve">lock to the wanted signal depends on the signal strength, the interference </w:t>
      </w:r>
      <w:proofErr w:type="gramStart"/>
      <w:r w:rsidRPr="00014369">
        <w:rPr>
          <w:lang w:val="en-US"/>
        </w:rPr>
        <w:t>strength</w:t>
      </w:r>
      <w:proofErr w:type="gramEnd"/>
      <w:r w:rsidRPr="00014369">
        <w:rPr>
          <w:lang w:val="en-US"/>
        </w:rPr>
        <w:t xml:space="preserve"> and the sweep rate. It may vary from seconds to minutes. If the interference is fixed in frequency, re</w:t>
      </w:r>
      <w:r w:rsidRPr="00014369">
        <w:rPr>
          <w:lang w:val="en-US"/>
        </w:rPr>
        <w:noBreakHyphen/>
        <w:t>locking to the wanted signal may not be possible.</w:t>
      </w:r>
    </w:p>
    <w:p w14:paraId="328370BC" w14:textId="77777777" w:rsidR="00014369" w:rsidRPr="00014369" w:rsidRDefault="00014369" w:rsidP="00014369">
      <w:pPr>
        <w:rPr>
          <w:lang w:val="en-US"/>
        </w:rPr>
      </w:pPr>
      <w:r w:rsidRPr="00014369">
        <w:rPr>
          <w:lang w:val="en-US"/>
        </w:rPr>
        <w:t>At a weaker level, interference can increase the static phase error and the phase jitter in the loop. This is true for both fixed and sweeping interference.</w:t>
      </w:r>
    </w:p>
    <w:p w14:paraId="77889B15" w14:textId="77777777" w:rsidR="00014369" w:rsidRDefault="00014369" w:rsidP="00014369">
      <w:pPr>
        <w:rPr>
          <w:lang w:val="en-US"/>
        </w:rPr>
      </w:pPr>
      <w:r w:rsidRPr="00014369">
        <w:rPr>
          <w:lang w:val="en-US"/>
        </w:rPr>
        <w:t xml:space="preserve">Figure 3 shows peak jitter as a function of CW </w:t>
      </w:r>
      <w:r w:rsidR="00150C4D">
        <w:rPr>
          <w:i/>
          <w:lang w:val="en-US"/>
        </w:rPr>
        <w:t>I</w:t>
      </w:r>
      <w:r w:rsidR="00150C4D">
        <w:rPr>
          <w:lang w:val="en-US"/>
        </w:rPr>
        <w:t>/</w:t>
      </w:r>
      <w:r w:rsidR="00150C4D">
        <w:rPr>
          <w:i/>
          <w:lang w:val="en-US"/>
        </w:rPr>
        <w:t>C</w:t>
      </w:r>
      <w:r w:rsidRPr="00014369">
        <w:rPr>
          <w:lang w:val="en-US"/>
        </w:rPr>
        <w:t>.</w:t>
      </w:r>
    </w:p>
    <w:p w14:paraId="4EB27D13" w14:textId="77777777" w:rsidR="00150C4D" w:rsidRDefault="00150C4D" w:rsidP="00150C4D">
      <w:pPr>
        <w:pStyle w:val="FigureNo"/>
        <w:rPr>
          <w:lang w:val="en-US"/>
        </w:rPr>
      </w:pPr>
      <w:r>
        <w:rPr>
          <w:lang w:val="en-US"/>
        </w:rPr>
        <w:lastRenderedPageBreak/>
        <w:t>FIGURE 3</w:t>
      </w:r>
    </w:p>
    <w:p w14:paraId="307512E7" w14:textId="77777777" w:rsidR="00150C4D" w:rsidRPr="00150C4D" w:rsidRDefault="00150C4D" w:rsidP="00150C4D">
      <w:pPr>
        <w:pStyle w:val="Figuretitle"/>
        <w:rPr>
          <w:lang w:val="en-US"/>
        </w:rPr>
      </w:pPr>
      <w:r>
        <w:rPr>
          <w:lang w:val="en-US"/>
        </w:rPr>
        <w:t xml:space="preserve">Peak phase jitter </w:t>
      </w:r>
      <w:r>
        <w:rPr>
          <w:i/>
          <w:lang w:val="en-US"/>
        </w:rPr>
        <w:t>I</w:t>
      </w:r>
      <w:r>
        <w:rPr>
          <w:lang w:val="en-US"/>
        </w:rPr>
        <w:t>/</w:t>
      </w:r>
      <w:r>
        <w:rPr>
          <w:i/>
          <w:lang w:val="en-US"/>
        </w:rPr>
        <w:t>C</w:t>
      </w:r>
      <w:r>
        <w:rPr>
          <w:lang w:val="en-US"/>
        </w:rPr>
        <w:t xml:space="preserve"> ratio</w:t>
      </w:r>
    </w:p>
    <w:p w14:paraId="1662E8F5" w14:textId="77777777" w:rsidR="00014369" w:rsidRPr="0067409F" w:rsidRDefault="00150C4D" w:rsidP="00150C4D">
      <w:pPr>
        <w:pStyle w:val="Figure"/>
      </w:pPr>
      <w:r>
        <w:object w:dxaOrig="4264" w:dyaOrig="7258" w14:anchorId="3904D48A">
          <v:shape id="_x0000_i1027" type="#_x0000_t75" style="width:3in;height:5in" o:ole="" o:allowoverlap="f">
            <v:imagedata r:id="rId11" o:title=""/>
          </v:shape>
          <o:OLEObject Type="Embed" ProgID="CorelDRAW.Graphic.12" ShapeID="_x0000_i1027" DrawAspect="Content" ObjectID="_1760428574" r:id="rId12"/>
        </w:object>
      </w:r>
    </w:p>
    <w:p w14:paraId="6B8FCBF4" w14:textId="77777777" w:rsidR="003530BF" w:rsidRDefault="003530BF" w:rsidP="003530BF">
      <w:pPr>
        <w:rPr>
          <w:lang w:val="en-US"/>
        </w:rPr>
      </w:pPr>
    </w:p>
    <w:p w14:paraId="06903E63" w14:textId="77777777" w:rsidR="003530BF" w:rsidRDefault="003530BF" w:rsidP="003530BF">
      <w:pPr>
        <w:rPr>
          <w:lang w:val="en-US"/>
        </w:rPr>
      </w:pPr>
    </w:p>
    <w:p w14:paraId="66B6216C" w14:textId="77777777" w:rsidR="00014369" w:rsidRPr="00014369" w:rsidRDefault="00014369" w:rsidP="00014369">
      <w:pPr>
        <w:pStyle w:val="Heading2"/>
        <w:rPr>
          <w:lang w:val="en-US"/>
        </w:rPr>
      </w:pPr>
      <w:r w:rsidRPr="00014369">
        <w:rPr>
          <w:lang w:val="en-US"/>
        </w:rPr>
        <w:t>4.3</w:t>
      </w:r>
      <w:r w:rsidRPr="00014369">
        <w:rPr>
          <w:lang w:val="en-US"/>
        </w:rPr>
        <w:tab/>
        <w:t>CW RFI susceptibility of the telemetry subsystem</w:t>
      </w:r>
    </w:p>
    <w:p w14:paraId="742D14AE" w14:textId="77777777" w:rsidR="00014369" w:rsidRPr="00014369" w:rsidRDefault="00014369" w:rsidP="00014369">
      <w:pPr>
        <w:rPr>
          <w:lang w:val="en-US"/>
        </w:rPr>
      </w:pPr>
      <w:r w:rsidRPr="00014369">
        <w:rPr>
          <w:lang w:val="en-US"/>
        </w:rPr>
        <w:t>Telemetry degradation can be expressed as an equivalent reduction in symbol energy</w:t>
      </w:r>
      <w:r w:rsidRPr="00014369">
        <w:rPr>
          <w:lang w:val="en-US"/>
        </w:rPr>
        <w:noBreakHyphen/>
        <w:t>to</w:t>
      </w:r>
      <w:r w:rsidRPr="00014369">
        <w:rPr>
          <w:lang w:val="en-US"/>
        </w:rPr>
        <w:noBreakHyphen/>
        <w:t>noise spectral density ratio</w:t>
      </w:r>
      <w:r w:rsidR="00EC4B51">
        <w:rPr>
          <w:lang w:val="en-US"/>
        </w:rPr>
        <w:t>,</w:t>
      </w:r>
      <w:r w:rsidRPr="00014369">
        <w:rPr>
          <w:lang w:val="en-US"/>
        </w:rPr>
        <w:t> </w:t>
      </w:r>
      <w:r w:rsidRPr="0067409F">
        <w:rPr>
          <w:rFonts w:ascii="Symbol" w:hAnsi="Symbol"/>
        </w:rPr>
        <w:t></w:t>
      </w:r>
      <w:r w:rsidRPr="00014369">
        <w:rPr>
          <w:i/>
          <w:lang w:val="en-US"/>
        </w:rPr>
        <w:t>E</w:t>
      </w:r>
      <w:r w:rsidRPr="00014369">
        <w:rPr>
          <w:lang w:val="en-US"/>
        </w:rPr>
        <w:t>/</w:t>
      </w:r>
      <w:r w:rsidRPr="00014369">
        <w:rPr>
          <w:i/>
          <w:lang w:val="en-US"/>
        </w:rPr>
        <w:t>N</w:t>
      </w:r>
      <w:r w:rsidRPr="00014369">
        <w:rPr>
          <w:position w:val="-4"/>
          <w:sz w:val="16"/>
          <w:lang w:val="en-US"/>
        </w:rPr>
        <w:t>0</w:t>
      </w:r>
      <w:r w:rsidRPr="00014369">
        <w:rPr>
          <w:lang w:val="en-US"/>
        </w:rPr>
        <w:t xml:space="preserve">, which is defined as the amount by which the </w:t>
      </w:r>
      <w:r w:rsidR="00EC4B51">
        <w:rPr>
          <w:i/>
          <w:lang w:val="en-US"/>
        </w:rPr>
        <w:t>E</w:t>
      </w:r>
      <w:r w:rsidR="00EC4B51">
        <w:rPr>
          <w:lang w:val="en-US"/>
        </w:rPr>
        <w:t>/</w:t>
      </w:r>
      <w:r w:rsidR="00EC4B51">
        <w:rPr>
          <w:i/>
          <w:lang w:val="en-US"/>
        </w:rPr>
        <w:t>N</w:t>
      </w:r>
      <w:r w:rsidR="00EC4B51" w:rsidRPr="00EC4B51">
        <w:rPr>
          <w:vertAlign w:val="subscript"/>
          <w:lang w:val="en-US"/>
        </w:rPr>
        <w:t>0</w:t>
      </w:r>
      <w:r w:rsidRPr="00014369">
        <w:rPr>
          <w:lang w:val="en-US"/>
        </w:rPr>
        <w:t xml:space="preserve"> spectral density ratio would have to be reduced in the case of no interference </w:t>
      </w:r>
      <w:proofErr w:type="gramStart"/>
      <w:r w:rsidRPr="00014369">
        <w:rPr>
          <w:lang w:val="en-US"/>
        </w:rPr>
        <w:t>in order to</w:t>
      </w:r>
      <w:proofErr w:type="gramEnd"/>
      <w:r w:rsidRPr="00014369">
        <w:rPr>
          <w:lang w:val="en-US"/>
        </w:rPr>
        <w:t xml:space="preserve"> obtain a symbol error ratio equal to that in the presence of interference.</w:t>
      </w:r>
    </w:p>
    <w:p w14:paraId="007F5F5C" w14:textId="77777777" w:rsidR="00014369" w:rsidRPr="00014369" w:rsidRDefault="00014369" w:rsidP="00014369">
      <w:pPr>
        <w:rPr>
          <w:lang w:val="en-US"/>
        </w:rPr>
      </w:pPr>
      <w:r w:rsidRPr="00014369">
        <w:rPr>
          <w:lang w:val="en-US"/>
        </w:rPr>
        <w:t xml:space="preserve">The </w:t>
      </w:r>
      <w:r w:rsidRPr="0067409F">
        <w:rPr>
          <w:rFonts w:ascii="Symbol" w:hAnsi="Symbol"/>
        </w:rPr>
        <w:t></w:t>
      </w:r>
      <w:r w:rsidRPr="00014369">
        <w:rPr>
          <w:i/>
          <w:lang w:val="en-US"/>
        </w:rPr>
        <w:t>E</w:t>
      </w:r>
      <w:r w:rsidRPr="00014369">
        <w:rPr>
          <w:lang w:val="en-US"/>
        </w:rPr>
        <w:t>/</w:t>
      </w:r>
      <w:r w:rsidRPr="00014369">
        <w:rPr>
          <w:i/>
          <w:lang w:val="en-US"/>
        </w:rPr>
        <w:t>N</w:t>
      </w:r>
      <w:r w:rsidRPr="00014369">
        <w:rPr>
          <w:position w:val="-4"/>
          <w:sz w:val="16"/>
          <w:lang w:val="en-US"/>
        </w:rPr>
        <w:t>0</w:t>
      </w:r>
      <w:r w:rsidRPr="00014369">
        <w:rPr>
          <w:lang w:val="en-US"/>
        </w:rPr>
        <w:t xml:space="preserve"> ratio resulting from CW interference that is within the telemetry detection bandwidth is given in Fig. 4.</w:t>
      </w:r>
    </w:p>
    <w:p w14:paraId="317A018C" w14:textId="77777777" w:rsidR="00014369" w:rsidRDefault="00014369" w:rsidP="00014369">
      <w:pPr>
        <w:rPr>
          <w:lang w:val="en-US"/>
        </w:rPr>
      </w:pPr>
      <w:r w:rsidRPr="00014369">
        <w:rPr>
          <w:lang w:val="en-US"/>
        </w:rPr>
        <w:t xml:space="preserve">Telemetry performance can also be degraded by CW interference that falls within the carrier loop bandwidth. Figure 5 shows </w:t>
      </w:r>
      <w:r w:rsidRPr="0067409F">
        <w:rPr>
          <w:rFonts w:ascii="Symbol" w:hAnsi="Symbol"/>
        </w:rPr>
        <w:t></w:t>
      </w:r>
      <w:r w:rsidRPr="00014369">
        <w:rPr>
          <w:i/>
          <w:lang w:val="en-US"/>
        </w:rPr>
        <w:t>E</w:t>
      </w:r>
      <w:r w:rsidRPr="00014369">
        <w:rPr>
          <w:lang w:val="en-US"/>
        </w:rPr>
        <w:t>/</w:t>
      </w:r>
      <w:r w:rsidRPr="00014369">
        <w:rPr>
          <w:i/>
          <w:lang w:val="en-US"/>
        </w:rPr>
        <w:t>N</w:t>
      </w:r>
      <w:r w:rsidRPr="00014369">
        <w:rPr>
          <w:position w:val="-4"/>
          <w:sz w:val="16"/>
          <w:lang w:val="en-US"/>
        </w:rPr>
        <w:t>0</w:t>
      </w:r>
      <w:r w:rsidRPr="00014369">
        <w:rPr>
          <w:lang w:val="en-US"/>
        </w:rPr>
        <w:t xml:space="preserve"> ratio </w:t>
      </w:r>
      <w:proofErr w:type="gramStart"/>
      <w:r w:rsidRPr="00014369">
        <w:rPr>
          <w:lang w:val="en-US"/>
        </w:rPr>
        <w:t>as a result of</w:t>
      </w:r>
      <w:proofErr w:type="gramEnd"/>
      <w:r w:rsidRPr="00014369">
        <w:rPr>
          <w:lang w:val="en-US"/>
        </w:rPr>
        <w:t xml:space="preserve"> carrier loop phase jitter versus </w:t>
      </w:r>
      <w:r w:rsidR="00EC4B51">
        <w:rPr>
          <w:i/>
          <w:lang w:val="en-US"/>
        </w:rPr>
        <w:t>I</w:t>
      </w:r>
      <w:r w:rsidR="00EC4B51">
        <w:rPr>
          <w:lang w:val="en-US"/>
        </w:rPr>
        <w:t>/</w:t>
      </w:r>
      <w:r w:rsidR="00EC4B51">
        <w:rPr>
          <w:i/>
          <w:lang w:val="en-US"/>
        </w:rPr>
        <w:t>C</w:t>
      </w:r>
      <w:r w:rsidRPr="00014369">
        <w:rPr>
          <w:lang w:val="en-US"/>
        </w:rPr>
        <w:t>, for a 10 Hz frequency offset and for a typical receiving mode operating in the 8.4 GHz band.</w:t>
      </w:r>
    </w:p>
    <w:p w14:paraId="309A2962" w14:textId="77777777" w:rsidR="000E5383" w:rsidRDefault="000E5383" w:rsidP="000E5383">
      <w:pPr>
        <w:pStyle w:val="FigureNo"/>
        <w:keepNext/>
        <w:rPr>
          <w:lang w:val="en-US"/>
        </w:rPr>
      </w:pPr>
      <w:r>
        <w:rPr>
          <w:lang w:val="en-US"/>
        </w:rPr>
        <w:lastRenderedPageBreak/>
        <w:t>FIGURE 4</w:t>
      </w:r>
    </w:p>
    <w:p w14:paraId="25326B8F" w14:textId="77777777" w:rsidR="000E5383" w:rsidRPr="000E5383" w:rsidRDefault="000E5383" w:rsidP="003530BF">
      <w:pPr>
        <w:pStyle w:val="Figuretitle"/>
        <w:keepLines/>
        <w:rPr>
          <w:lang w:val="en-US"/>
        </w:rPr>
      </w:pPr>
      <w:r>
        <w:rPr>
          <w:lang w:val="en-US"/>
        </w:rPr>
        <w:t xml:space="preserve">Equivalent reduction in </w:t>
      </w:r>
      <w:proofErr w:type="gramStart"/>
      <w:r>
        <w:rPr>
          <w:lang w:val="en-US"/>
        </w:rPr>
        <w:t xml:space="preserve">telemetering  </w:t>
      </w:r>
      <w:r w:rsidRPr="000E5383">
        <w:rPr>
          <w:i/>
          <w:lang w:val="en-US"/>
        </w:rPr>
        <w:t>E</w:t>
      </w:r>
      <w:proofErr w:type="gramEnd"/>
      <w:r>
        <w:rPr>
          <w:lang w:val="en-US"/>
        </w:rPr>
        <w:t>/</w:t>
      </w:r>
      <w:r w:rsidRPr="000E5383">
        <w:rPr>
          <w:i/>
          <w:lang w:val="en-US"/>
        </w:rPr>
        <w:t>N</w:t>
      </w:r>
      <w:r w:rsidRPr="000E5383">
        <w:rPr>
          <w:szCs w:val="18"/>
          <w:vertAlign w:val="subscript"/>
          <w:lang w:val="en-US"/>
        </w:rPr>
        <w:t>0</w:t>
      </w:r>
      <w:r w:rsidR="00EC4B51">
        <w:rPr>
          <w:szCs w:val="18"/>
          <w:vertAlign w:val="subscript"/>
          <w:lang w:val="en-US"/>
        </w:rPr>
        <w:t xml:space="preserve"> </w:t>
      </w:r>
      <w:r>
        <w:rPr>
          <w:lang w:val="en-US"/>
        </w:rPr>
        <w:t xml:space="preserve">as a result of interference in the </w:t>
      </w:r>
      <w:r w:rsidR="00EC4B51">
        <w:rPr>
          <w:lang w:val="en-US"/>
        </w:rPr>
        <w:br/>
      </w:r>
      <w:r>
        <w:rPr>
          <w:lang w:val="en-US"/>
        </w:rPr>
        <w:t>telemetering channel, versus</w:t>
      </w:r>
      <w:r w:rsidR="00EC4B51">
        <w:rPr>
          <w:lang w:val="en-US"/>
        </w:rPr>
        <w:t xml:space="preserve"> </w:t>
      </w:r>
      <w:r w:rsidR="00EC4B51">
        <w:rPr>
          <w:i/>
          <w:lang w:val="en-US"/>
        </w:rPr>
        <w:t>I</w:t>
      </w:r>
      <w:r w:rsidR="00EC4B51">
        <w:rPr>
          <w:lang w:val="en-US"/>
        </w:rPr>
        <w:t>/</w:t>
      </w:r>
      <w:r w:rsidR="00EC4B51">
        <w:rPr>
          <w:i/>
          <w:lang w:val="en-US"/>
        </w:rPr>
        <w:t>S</w:t>
      </w:r>
      <w:r>
        <w:rPr>
          <w:lang w:val="en-US"/>
        </w:rPr>
        <w:t>, for selected values of</w:t>
      </w:r>
      <w:r>
        <w:rPr>
          <w:lang w:val="en-US"/>
        </w:rPr>
        <w:br/>
        <w:t xml:space="preserve">probability of symbol error, </w:t>
      </w:r>
      <w:r w:rsidRPr="000E5383">
        <w:rPr>
          <w:i/>
          <w:lang w:val="en-US"/>
        </w:rPr>
        <w:t>P</w:t>
      </w:r>
      <w:r w:rsidRPr="000E5383">
        <w:rPr>
          <w:szCs w:val="18"/>
          <w:vertAlign w:val="subscript"/>
          <w:lang w:val="en-US"/>
        </w:rPr>
        <w:t>0</w:t>
      </w:r>
    </w:p>
    <w:p w14:paraId="1A550BB4" w14:textId="77777777" w:rsidR="00014369" w:rsidRPr="0067409F" w:rsidRDefault="00EC4B51" w:rsidP="000E5383">
      <w:pPr>
        <w:pStyle w:val="Figure"/>
      </w:pPr>
      <w:r>
        <w:object w:dxaOrig="5220" w:dyaOrig="5806" w14:anchorId="095A8D2D">
          <v:shape id="_x0000_i1028" type="#_x0000_t75" style="width:259.2pt;height:4in" o:ole="" o:allowoverlap="f">
            <v:imagedata r:id="rId13" o:title=""/>
          </v:shape>
          <o:OLEObject Type="Embed" ProgID="CorelDRAW.Graphic.12" ShapeID="_x0000_i1028" DrawAspect="Content" ObjectID="_1760428575" r:id="rId14"/>
        </w:object>
      </w:r>
    </w:p>
    <w:p w14:paraId="4BAEC3CE" w14:textId="77777777" w:rsidR="000E5383" w:rsidRDefault="000E5383" w:rsidP="000E5383">
      <w:pPr>
        <w:pStyle w:val="FigureNo"/>
        <w:keepNext/>
        <w:rPr>
          <w:lang w:val="en-US"/>
        </w:rPr>
      </w:pPr>
      <w:r>
        <w:rPr>
          <w:lang w:val="en-US"/>
        </w:rPr>
        <w:t>FIGURE 5</w:t>
      </w:r>
    </w:p>
    <w:p w14:paraId="0A9A9C01" w14:textId="77777777" w:rsidR="000E5383" w:rsidRPr="00EC4B51" w:rsidRDefault="000E5383" w:rsidP="000E5383">
      <w:pPr>
        <w:pStyle w:val="Figuretitle"/>
        <w:rPr>
          <w:i/>
          <w:lang w:val="en-US"/>
        </w:rPr>
      </w:pPr>
      <w:r>
        <w:rPr>
          <w:lang w:val="en-US"/>
        </w:rPr>
        <w:t xml:space="preserve">Equivalent reduction in </w:t>
      </w:r>
      <w:proofErr w:type="gramStart"/>
      <w:r>
        <w:rPr>
          <w:lang w:val="en-US"/>
        </w:rPr>
        <w:t xml:space="preserve">telemetering  </w:t>
      </w:r>
      <w:r w:rsidRPr="000E5383">
        <w:rPr>
          <w:i/>
          <w:lang w:val="en-US"/>
        </w:rPr>
        <w:t>E</w:t>
      </w:r>
      <w:proofErr w:type="gramEnd"/>
      <w:r>
        <w:rPr>
          <w:lang w:val="en-US"/>
        </w:rPr>
        <w:t>/</w:t>
      </w:r>
      <w:r w:rsidRPr="000E5383">
        <w:rPr>
          <w:i/>
          <w:lang w:val="en-US"/>
        </w:rPr>
        <w:t>N</w:t>
      </w:r>
      <w:r w:rsidRPr="000E5383">
        <w:rPr>
          <w:szCs w:val="18"/>
          <w:vertAlign w:val="subscript"/>
          <w:lang w:val="en-US"/>
        </w:rPr>
        <w:t>0</w:t>
      </w:r>
      <w:r>
        <w:rPr>
          <w:lang w:val="en-US"/>
        </w:rPr>
        <w:br/>
        <w:t>as a result of carrier loop phase error and jitter, versus</w:t>
      </w:r>
      <w:r w:rsidR="00EC4B51">
        <w:rPr>
          <w:lang w:val="en-US"/>
        </w:rPr>
        <w:t xml:space="preserve"> </w:t>
      </w:r>
      <w:r w:rsidR="00EC4B51">
        <w:rPr>
          <w:i/>
          <w:lang w:val="en-US"/>
        </w:rPr>
        <w:t>I</w:t>
      </w:r>
      <w:r w:rsidR="00EC4B51">
        <w:rPr>
          <w:lang w:val="en-US"/>
        </w:rPr>
        <w:t>/</w:t>
      </w:r>
      <w:r w:rsidR="00EC4B51">
        <w:rPr>
          <w:i/>
          <w:lang w:val="en-US"/>
        </w:rPr>
        <w:t>N</w:t>
      </w:r>
    </w:p>
    <w:p w14:paraId="685F8C35" w14:textId="77777777" w:rsidR="00014369" w:rsidRPr="000E5383" w:rsidRDefault="00EC4B51" w:rsidP="000E5383">
      <w:pPr>
        <w:pStyle w:val="Figure"/>
        <w:rPr>
          <w:lang w:val="en-US"/>
        </w:rPr>
      </w:pPr>
      <w:r>
        <w:object w:dxaOrig="5322" w:dyaOrig="5401" w14:anchorId="71E69F0F">
          <v:shape id="_x0000_i1029" type="#_x0000_t75" style="width:266.4pt;height:273.6pt" o:ole="" o:allowoverlap="f">
            <v:imagedata r:id="rId15" o:title=""/>
          </v:shape>
          <o:OLEObject Type="Embed" ProgID="CorelDRAW.Graphic.12" ShapeID="_x0000_i1029" DrawAspect="Content" ObjectID="_1760428576" r:id="rId16"/>
        </w:object>
      </w:r>
    </w:p>
    <w:p w14:paraId="3492AFC9" w14:textId="77777777" w:rsidR="00014369" w:rsidRPr="00014369" w:rsidRDefault="00014369" w:rsidP="00014369">
      <w:pPr>
        <w:pStyle w:val="Heading2"/>
        <w:rPr>
          <w:lang w:val="en-US"/>
        </w:rPr>
      </w:pPr>
      <w:r w:rsidRPr="00014369">
        <w:rPr>
          <w:lang w:val="en-US"/>
        </w:rPr>
        <w:lastRenderedPageBreak/>
        <w:t>4.4</w:t>
      </w:r>
      <w:r w:rsidRPr="00014369">
        <w:rPr>
          <w:lang w:val="en-US"/>
        </w:rPr>
        <w:tab/>
        <w:t>CW RFI susceptibility of the ranging subsystem</w:t>
      </w:r>
    </w:p>
    <w:p w14:paraId="7A6E8663" w14:textId="77777777" w:rsidR="00014369" w:rsidRPr="00014369" w:rsidRDefault="00014369" w:rsidP="00014369">
      <w:pPr>
        <w:rPr>
          <w:lang w:val="en-US"/>
        </w:rPr>
      </w:pPr>
      <w:r w:rsidRPr="00014369">
        <w:rPr>
          <w:lang w:val="en-US"/>
        </w:rPr>
        <w:t>Interference can degrade the performance of the ranging subsystem by increasing the variance of the range delay estimates. The degradation can be expressed in terms of an equivalent reduction in the effective ranging signal</w:t>
      </w:r>
      <w:r w:rsidRPr="00014369">
        <w:rPr>
          <w:lang w:val="en-US"/>
        </w:rPr>
        <w:noBreakHyphen/>
        <w:t>to</w:t>
      </w:r>
      <w:r w:rsidRPr="00014369">
        <w:rPr>
          <w:lang w:val="en-US"/>
        </w:rPr>
        <w:noBreakHyphen/>
        <w:t>noise ratio.</w:t>
      </w:r>
    </w:p>
    <w:p w14:paraId="7D267208" w14:textId="77777777" w:rsidR="00014369" w:rsidRDefault="00014369" w:rsidP="00014369">
      <w:pPr>
        <w:rPr>
          <w:lang w:val="en-US"/>
        </w:rPr>
      </w:pPr>
      <w:r w:rsidRPr="00014369">
        <w:rPr>
          <w:lang w:val="en-US"/>
        </w:rPr>
        <w:t xml:space="preserve">CW interference in the carrier tracking loop bandwidth affects the </w:t>
      </w:r>
      <w:proofErr w:type="spellStart"/>
      <w:r w:rsidRPr="00014369">
        <w:rPr>
          <w:lang w:val="en-US"/>
        </w:rPr>
        <w:t>ranging</w:t>
      </w:r>
      <w:proofErr w:type="spellEnd"/>
      <w:r w:rsidRPr="00014369">
        <w:rPr>
          <w:lang w:val="en-US"/>
        </w:rPr>
        <w:t xml:space="preserve"> system performance, as shown in Fig. 6. The effect of CW interference in the ranging signal bandwidth is shown in Fig. 7. The </w:t>
      </w:r>
      <w:r w:rsidRPr="00014369">
        <w:rPr>
          <w:i/>
          <w:lang w:val="en-US"/>
        </w:rPr>
        <w:t>I</w:t>
      </w:r>
      <w:r w:rsidRPr="00014369">
        <w:rPr>
          <w:lang w:val="en-US"/>
        </w:rPr>
        <w:t>/</w:t>
      </w:r>
      <w:r w:rsidRPr="00014369">
        <w:rPr>
          <w:i/>
          <w:lang w:val="en-US"/>
        </w:rPr>
        <w:t>S</w:t>
      </w:r>
      <w:r w:rsidRPr="00014369">
        <w:rPr>
          <w:lang w:val="en-US"/>
        </w:rPr>
        <w:t xml:space="preserve"> ratio refers to the ratio of the interference power to the ranging signal power.</w:t>
      </w:r>
    </w:p>
    <w:p w14:paraId="46F196AA" w14:textId="77777777" w:rsidR="003530BF" w:rsidRDefault="003530BF" w:rsidP="00014369">
      <w:pPr>
        <w:rPr>
          <w:lang w:val="en-US"/>
        </w:rPr>
      </w:pPr>
    </w:p>
    <w:p w14:paraId="3D2DD80B" w14:textId="77777777" w:rsidR="003530BF" w:rsidRPr="00014369" w:rsidRDefault="003530BF" w:rsidP="00014369">
      <w:pPr>
        <w:rPr>
          <w:lang w:val="en-US"/>
        </w:rPr>
      </w:pPr>
    </w:p>
    <w:p w14:paraId="22C5E122" w14:textId="77777777" w:rsidR="00014369" w:rsidRPr="0067409F" w:rsidRDefault="00EC4B51" w:rsidP="000E5383">
      <w:pPr>
        <w:pStyle w:val="FigureNo"/>
      </w:pPr>
      <w:r>
        <w:object w:dxaOrig="6431" w:dyaOrig="9294" w14:anchorId="3770E6A1">
          <v:shape id="_x0000_i1030" type="#_x0000_t75" style="width:324pt;height:468pt" o:ole="" o:allowoverlap="f">
            <v:imagedata r:id="rId17" o:title=""/>
          </v:shape>
          <o:OLEObject Type="Embed" ProgID="CorelDRAW.Graphic.12" ShapeID="_x0000_i1030" DrawAspect="Content" ObjectID="_1760428577" r:id="rId18"/>
        </w:object>
      </w:r>
    </w:p>
    <w:p w14:paraId="1C5AA59A" w14:textId="77777777" w:rsidR="00014369" w:rsidRPr="0067409F" w:rsidRDefault="00EC4B51" w:rsidP="000E5383">
      <w:pPr>
        <w:pStyle w:val="FigureNo"/>
      </w:pPr>
      <w:r>
        <w:object w:dxaOrig="5229" w:dyaOrig="10007" w14:anchorId="014C82C9">
          <v:shape id="_x0000_i1031" type="#_x0000_t75" style="width:259.2pt;height:496.8pt" o:ole="" o:allowoverlap="f">
            <v:imagedata r:id="rId19" o:title=""/>
          </v:shape>
          <o:OLEObject Type="Embed" ProgID="CorelDRAW.Graphic.12" ShapeID="_x0000_i1031" DrawAspect="Content" ObjectID="_1760428578" r:id="rId20"/>
        </w:object>
      </w:r>
    </w:p>
    <w:p w14:paraId="5C8FCD06" w14:textId="77777777" w:rsidR="00014369" w:rsidRPr="00014369" w:rsidRDefault="00014369" w:rsidP="00014369">
      <w:pPr>
        <w:pStyle w:val="Heading1"/>
        <w:rPr>
          <w:lang w:val="en-US"/>
        </w:rPr>
      </w:pPr>
      <w:r w:rsidRPr="00014369">
        <w:rPr>
          <w:lang w:val="en-US"/>
        </w:rPr>
        <w:t>5</w:t>
      </w:r>
      <w:r w:rsidRPr="00014369">
        <w:rPr>
          <w:lang w:val="en-US"/>
        </w:rPr>
        <w:tab/>
        <w:t>Effects of noise</w:t>
      </w:r>
      <w:r w:rsidRPr="00014369">
        <w:rPr>
          <w:lang w:val="en-US"/>
        </w:rPr>
        <w:noBreakHyphen/>
        <w:t>like interference</w:t>
      </w:r>
    </w:p>
    <w:p w14:paraId="13B95558" w14:textId="77777777" w:rsidR="00014369" w:rsidRPr="00014369" w:rsidRDefault="00014369" w:rsidP="00014369">
      <w:pPr>
        <w:rPr>
          <w:lang w:val="en-US"/>
        </w:rPr>
      </w:pPr>
      <w:r w:rsidRPr="00014369">
        <w:rPr>
          <w:lang w:val="en-US"/>
        </w:rPr>
        <w:t>Noise</w:t>
      </w:r>
      <w:r w:rsidRPr="00014369">
        <w:rPr>
          <w:lang w:val="en-US"/>
        </w:rPr>
        <w:noBreakHyphen/>
        <w:t>like interference can saturate the maser pre</w:t>
      </w:r>
      <w:r w:rsidRPr="00014369">
        <w:rPr>
          <w:lang w:val="en-US"/>
        </w:rPr>
        <w:noBreakHyphen/>
        <w:t xml:space="preserve">amplifier and can degrade the performance of the carrier tracking loop, the telemetry </w:t>
      </w:r>
      <w:proofErr w:type="gramStart"/>
      <w:r w:rsidRPr="00014369">
        <w:rPr>
          <w:lang w:val="en-US"/>
        </w:rPr>
        <w:t>subsystem</w:t>
      </w:r>
      <w:proofErr w:type="gramEnd"/>
      <w:r w:rsidRPr="00014369">
        <w:rPr>
          <w:lang w:val="en-US"/>
        </w:rPr>
        <w:t xml:space="preserve"> and the ranging subsystem. To cause a maser gain compression of 1 dB, the power spectral density of the noise</w:t>
      </w:r>
      <w:r w:rsidRPr="00014369">
        <w:rPr>
          <w:lang w:val="en-US"/>
        </w:rPr>
        <w:noBreakHyphen/>
        <w:t xml:space="preserve">like interference, </w:t>
      </w:r>
      <w:r w:rsidRPr="00014369">
        <w:rPr>
          <w:i/>
          <w:lang w:val="en-US"/>
        </w:rPr>
        <w:t>I</w:t>
      </w:r>
      <w:r w:rsidRPr="00014369">
        <w:rPr>
          <w:position w:val="-4"/>
          <w:sz w:val="16"/>
          <w:lang w:val="en-US"/>
        </w:rPr>
        <w:t>0</w:t>
      </w:r>
      <w:r w:rsidRPr="00014369">
        <w:rPr>
          <w:lang w:val="en-US"/>
        </w:rPr>
        <w:t>, would have to be –190 dB(W/Hz), assuming a maser bandwidth of 40 </w:t>
      </w:r>
      <w:proofErr w:type="spellStart"/>
      <w:r w:rsidRPr="00014369">
        <w:rPr>
          <w:lang w:val="en-US"/>
        </w:rPr>
        <w:t>MHz.</w:t>
      </w:r>
      <w:proofErr w:type="spellEnd"/>
    </w:p>
    <w:p w14:paraId="480BD59A" w14:textId="77777777" w:rsidR="00014369" w:rsidRPr="00014369" w:rsidRDefault="00014369" w:rsidP="00014369">
      <w:pPr>
        <w:rPr>
          <w:lang w:val="en-US"/>
        </w:rPr>
      </w:pPr>
      <w:r w:rsidRPr="00014369">
        <w:rPr>
          <w:lang w:val="en-US"/>
        </w:rPr>
        <w:t>For the carrier tracking loop, the peak phase jitter depends on the carrier margin, as shown in Fig. 8. Noise</w:t>
      </w:r>
      <w:r w:rsidRPr="00014369">
        <w:rPr>
          <w:lang w:val="en-US"/>
        </w:rPr>
        <w:noBreakHyphen/>
        <w:t xml:space="preserve">like interference reduces the carrier margin and hence increases the phase jitter. The carrier margin is related to </w:t>
      </w:r>
      <w:r w:rsidRPr="00014369">
        <w:rPr>
          <w:i/>
          <w:lang w:val="en-US"/>
        </w:rPr>
        <w:t>I</w:t>
      </w:r>
      <w:r w:rsidRPr="00014369">
        <w:rPr>
          <w:position w:val="-4"/>
          <w:sz w:val="16"/>
          <w:lang w:val="en-US"/>
        </w:rPr>
        <w:t>0</w:t>
      </w:r>
      <w:r w:rsidRPr="00014369">
        <w:rPr>
          <w:lang w:val="en-US"/>
        </w:rPr>
        <w:t>/</w:t>
      </w:r>
      <w:r w:rsidRPr="00014369">
        <w:rPr>
          <w:i/>
          <w:lang w:val="en-US"/>
        </w:rPr>
        <w:t>N</w:t>
      </w:r>
      <w:r w:rsidRPr="00014369">
        <w:rPr>
          <w:position w:val="-4"/>
          <w:sz w:val="16"/>
          <w:lang w:val="en-US"/>
        </w:rPr>
        <w:t>0</w:t>
      </w:r>
      <w:r w:rsidRPr="00014369">
        <w:rPr>
          <w:lang w:val="en-US"/>
        </w:rPr>
        <w:t xml:space="preserve"> by the expression:</w:t>
      </w:r>
    </w:p>
    <w:p w14:paraId="090E5D79" w14:textId="77777777" w:rsidR="003530BF" w:rsidRDefault="003530BF" w:rsidP="003530BF">
      <w:pPr>
        <w:pStyle w:val="Blanc"/>
      </w:pPr>
    </w:p>
    <w:p w14:paraId="0724AD59" w14:textId="77777777" w:rsidR="00014369" w:rsidRPr="00014369" w:rsidRDefault="00014369" w:rsidP="00014369">
      <w:pPr>
        <w:pStyle w:val="Equation"/>
        <w:rPr>
          <w:lang w:val="en-US"/>
        </w:rPr>
      </w:pPr>
      <w:r w:rsidRPr="00014369">
        <w:rPr>
          <w:lang w:val="en-US"/>
        </w:rPr>
        <w:tab/>
      </w:r>
      <w:r w:rsidRPr="00014369">
        <w:rPr>
          <w:lang w:val="en-US"/>
        </w:rPr>
        <w:tab/>
      </w:r>
      <w:proofErr w:type="gramStart"/>
      <w:r w:rsidRPr="00014369">
        <w:rPr>
          <w:i/>
          <w:lang w:val="en-US"/>
        </w:rPr>
        <w:t>CM</w:t>
      </w:r>
      <w:proofErr w:type="spellStart"/>
      <w:r w:rsidRPr="00014369">
        <w:rPr>
          <w:i/>
          <w:position w:val="-4"/>
          <w:sz w:val="18"/>
          <w:lang w:val="en-US"/>
        </w:rPr>
        <w:t>i</w:t>
      </w:r>
      <w:proofErr w:type="spellEnd"/>
      <w:r w:rsidRPr="00014369">
        <w:rPr>
          <w:lang w:val="en-US"/>
        </w:rPr>
        <w:t xml:space="preserve">  =</w:t>
      </w:r>
      <w:proofErr w:type="gramEnd"/>
      <w:r w:rsidRPr="00014369">
        <w:rPr>
          <w:lang w:val="en-US"/>
        </w:rPr>
        <w:t xml:space="preserve">  </w:t>
      </w:r>
      <w:r w:rsidRPr="00014369">
        <w:rPr>
          <w:i/>
          <w:lang w:val="en-US"/>
        </w:rPr>
        <w:t>CM</w:t>
      </w:r>
      <w:r w:rsidRPr="00014369">
        <w:rPr>
          <w:position w:val="-4"/>
          <w:sz w:val="18"/>
          <w:lang w:val="en-US"/>
        </w:rPr>
        <w:t>0</w:t>
      </w:r>
      <w:r w:rsidRPr="00014369">
        <w:rPr>
          <w:lang w:val="en-US"/>
        </w:rPr>
        <w:t xml:space="preserve">  </w:t>
      </w:r>
      <w:r w:rsidRPr="0067409F">
        <w:rPr>
          <w:rFonts w:ascii="Symbol" w:hAnsi="Symbol"/>
        </w:rPr>
        <w:t></w:t>
      </w:r>
      <w:r w:rsidRPr="00014369">
        <w:rPr>
          <w:lang w:val="en-US"/>
        </w:rPr>
        <w:t xml:space="preserve">  10 log (1  </w:t>
      </w:r>
      <w:r w:rsidRPr="0067409F">
        <w:rPr>
          <w:rFonts w:ascii="Symbol" w:hAnsi="Symbol"/>
        </w:rPr>
        <w:t></w:t>
      </w:r>
      <w:r w:rsidRPr="00014369">
        <w:rPr>
          <w:lang w:val="en-US"/>
        </w:rPr>
        <w:t xml:space="preserve">  </w:t>
      </w:r>
      <w:r w:rsidRPr="00014369">
        <w:rPr>
          <w:i/>
          <w:lang w:val="en-US"/>
        </w:rPr>
        <w:t>I</w:t>
      </w:r>
      <w:r w:rsidRPr="00014369">
        <w:rPr>
          <w:position w:val="-4"/>
          <w:sz w:val="18"/>
          <w:lang w:val="en-US"/>
        </w:rPr>
        <w:t>0</w:t>
      </w:r>
      <w:r w:rsidRPr="00014369">
        <w:rPr>
          <w:rFonts w:ascii="Tms Rmn" w:hAnsi="Tms Rmn"/>
          <w:position w:val="-4"/>
          <w:sz w:val="12"/>
          <w:lang w:val="en-US"/>
        </w:rPr>
        <w:t> </w:t>
      </w:r>
      <w:r w:rsidRPr="00014369">
        <w:rPr>
          <w:lang w:val="en-US"/>
        </w:rPr>
        <w:t>/</w:t>
      </w:r>
      <w:r w:rsidRPr="00014369">
        <w:rPr>
          <w:i/>
          <w:lang w:val="en-US"/>
        </w:rPr>
        <w:t>N</w:t>
      </w:r>
      <w:r w:rsidRPr="00014369">
        <w:rPr>
          <w:position w:val="-4"/>
          <w:sz w:val="18"/>
          <w:lang w:val="en-US"/>
        </w:rPr>
        <w:t>0</w:t>
      </w:r>
      <w:r w:rsidRPr="00014369">
        <w:rPr>
          <w:lang w:val="en-US"/>
        </w:rPr>
        <w:t>)</w:t>
      </w:r>
      <w:r w:rsidRPr="00014369">
        <w:rPr>
          <w:vertAlign w:val="superscript"/>
          <w:lang w:val="en-US"/>
        </w:rPr>
        <w:t>–1</w:t>
      </w:r>
    </w:p>
    <w:p w14:paraId="251AE043" w14:textId="77777777" w:rsidR="00014369" w:rsidRPr="00014369" w:rsidRDefault="00014369" w:rsidP="000E5383">
      <w:pPr>
        <w:keepNext/>
        <w:rPr>
          <w:lang w:val="en-US"/>
        </w:rPr>
      </w:pPr>
      <w:r w:rsidRPr="00014369">
        <w:rPr>
          <w:lang w:val="en-US"/>
        </w:rPr>
        <w:lastRenderedPageBreak/>
        <w:t>where:</w:t>
      </w:r>
    </w:p>
    <w:p w14:paraId="131A3545" w14:textId="77777777" w:rsidR="00014369" w:rsidRPr="0067409F" w:rsidRDefault="00014369" w:rsidP="00014369">
      <w:pPr>
        <w:pStyle w:val="Equationlegend"/>
      </w:pPr>
      <w:r w:rsidRPr="0067409F">
        <w:tab/>
      </w:r>
      <w:proofErr w:type="gramStart"/>
      <w:r w:rsidRPr="0067409F">
        <w:rPr>
          <w:i/>
        </w:rPr>
        <w:t>CM</w:t>
      </w:r>
      <w:proofErr w:type="spellStart"/>
      <w:r w:rsidRPr="0067409F">
        <w:rPr>
          <w:i/>
          <w:position w:val="-4"/>
          <w:sz w:val="16"/>
        </w:rPr>
        <w:t>i</w:t>
      </w:r>
      <w:proofErr w:type="spellEnd"/>
      <w:r w:rsidRPr="0067409F">
        <w:rPr>
          <w:i/>
          <w:position w:val="-4"/>
          <w:sz w:val="12"/>
        </w:rPr>
        <w:t> </w:t>
      </w:r>
      <w:r w:rsidRPr="0067409F">
        <w:t>:</w:t>
      </w:r>
      <w:proofErr w:type="gramEnd"/>
      <w:r w:rsidRPr="0067409F">
        <w:tab/>
        <w:t>carrier margin (dB) in the presence of interference</w:t>
      </w:r>
    </w:p>
    <w:p w14:paraId="6F7A641E" w14:textId="77777777" w:rsidR="00014369" w:rsidRPr="0067409F" w:rsidRDefault="00014369" w:rsidP="00014369">
      <w:pPr>
        <w:pStyle w:val="Equationlegend"/>
      </w:pPr>
      <w:r w:rsidRPr="0067409F">
        <w:tab/>
      </w:r>
      <w:r w:rsidRPr="0067409F">
        <w:rPr>
          <w:i/>
        </w:rPr>
        <w:t>CM</w:t>
      </w:r>
      <w:proofErr w:type="gramStart"/>
      <w:r w:rsidRPr="0067409F">
        <w:rPr>
          <w:position w:val="-4"/>
          <w:sz w:val="16"/>
        </w:rPr>
        <w:t>0</w:t>
      </w:r>
      <w:r w:rsidRPr="0067409F">
        <w:rPr>
          <w:position w:val="-4"/>
          <w:sz w:val="12"/>
        </w:rPr>
        <w:t> </w:t>
      </w:r>
      <w:r w:rsidRPr="0067409F">
        <w:t>:</w:t>
      </w:r>
      <w:proofErr w:type="gramEnd"/>
      <w:r w:rsidRPr="0067409F">
        <w:tab/>
        <w:t>margin (dB) without interference</w:t>
      </w:r>
    </w:p>
    <w:p w14:paraId="455FBAC0" w14:textId="77777777" w:rsidR="00014369" w:rsidRPr="0067409F" w:rsidRDefault="00014369" w:rsidP="00014369">
      <w:pPr>
        <w:pStyle w:val="Equationlegend"/>
      </w:pPr>
      <w:r w:rsidRPr="0067409F">
        <w:tab/>
      </w:r>
      <w:r w:rsidRPr="0067409F">
        <w:rPr>
          <w:i/>
        </w:rPr>
        <w:t>I</w:t>
      </w:r>
      <w:r w:rsidRPr="0067409F">
        <w:rPr>
          <w:position w:val="-4"/>
          <w:sz w:val="16"/>
        </w:rPr>
        <w:t>0</w:t>
      </w:r>
      <w:r w:rsidRPr="0067409F">
        <w:t>/</w:t>
      </w:r>
      <w:r w:rsidRPr="0067409F">
        <w:rPr>
          <w:i/>
        </w:rPr>
        <w:t>N</w:t>
      </w:r>
      <w:proofErr w:type="gramStart"/>
      <w:r w:rsidRPr="0067409F">
        <w:rPr>
          <w:position w:val="-4"/>
          <w:sz w:val="16"/>
        </w:rPr>
        <w:t>0</w:t>
      </w:r>
      <w:r w:rsidRPr="0067409F">
        <w:rPr>
          <w:position w:val="-4"/>
          <w:sz w:val="12"/>
        </w:rPr>
        <w:t> </w:t>
      </w:r>
      <w:r w:rsidRPr="0067409F">
        <w:t>:</w:t>
      </w:r>
      <w:proofErr w:type="gramEnd"/>
      <w:r w:rsidRPr="0067409F">
        <w:tab/>
        <w:t>ratio of interference noise-spectral density to receiver noise-spectral density.</w:t>
      </w:r>
    </w:p>
    <w:p w14:paraId="048C284D" w14:textId="77777777" w:rsidR="00014369" w:rsidRPr="0067409F" w:rsidRDefault="00014369" w:rsidP="00014369">
      <w:r w:rsidRPr="00014369">
        <w:rPr>
          <w:lang w:val="en-US"/>
        </w:rPr>
        <w:t xml:space="preserve">Given a particular carrier margin without interference, and the acceptable increase in phase jitter, Fig. 8 and the foregoing expression allow the </w:t>
      </w:r>
      <w:r w:rsidRPr="00014369">
        <w:rPr>
          <w:i/>
          <w:lang w:val="en-US"/>
        </w:rPr>
        <w:t>I</w:t>
      </w:r>
      <w:r w:rsidRPr="00014369">
        <w:rPr>
          <w:position w:val="-4"/>
          <w:sz w:val="16"/>
          <w:lang w:val="en-US"/>
        </w:rPr>
        <w:t>0</w:t>
      </w:r>
      <w:r w:rsidRPr="00014369">
        <w:rPr>
          <w:lang w:val="en-US"/>
        </w:rPr>
        <w:t>/</w:t>
      </w:r>
      <w:r w:rsidRPr="00014369">
        <w:rPr>
          <w:i/>
          <w:lang w:val="en-US"/>
        </w:rPr>
        <w:t>N</w:t>
      </w:r>
      <w:r w:rsidRPr="00014369">
        <w:rPr>
          <w:position w:val="-4"/>
          <w:sz w:val="16"/>
          <w:lang w:val="en-US"/>
        </w:rPr>
        <w:t>0</w:t>
      </w:r>
      <w:r w:rsidRPr="00014369">
        <w:rPr>
          <w:lang w:val="en-US"/>
        </w:rPr>
        <w:t xml:space="preserve"> to be calculated. For example, at a typical margin of 10 dB, an increase of 10° in peak phase jitter will be caused by interference that reduces the margin to 5.5 </w:t>
      </w:r>
      <w:proofErr w:type="spellStart"/>
      <w:r w:rsidRPr="00014369">
        <w:rPr>
          <w:lang w:val="en-US"/>
        </w:rPr>
        <w:t>dB.</w:t>
      </w:r>
      <w:proofErr w:type="spellEnd"/>
      <w:r w:rsidRPr="00014369">
        <w:rPr>
          <w:lang w:val="en-US"/>
        </w:rPr>
        <w:t xml:space="preserve"> </w:t>
      </w:r>
      <w:r w:rsidRPr="0067409F">
        <w:t xml:space="preserve">The </w:t>
      </w:r>
      <w:r w:rsidRPr="0067409F">
        <w:rPr>
          <w:i/>
        </w:rPr>
        <w:t>I</w:t>
      </w:r>
      <w:r w:rsidRPr="0067409F">
        <w:rPr>
          <w:position w:val="-4"/>
          <w:sz w:val="16"/>
        </w:rPr>
        <w:t>0</w:t>
      </w:r>
      <w:r w:rsidRPr="0067409F">
        <w:t>/</w:t>
      </w:r>
      <w:r w:rsidRPr="0067409F">
        <w:rPr>
          <w:i/>
        </w:rPr>
        <w:t>N</w:t>
      </w:r>
      <w:r w:rsidRPr="0067409F">
        <w:rPr>
          <w:position w:val="-4"/>
          <w:sz w:val="16"/>
        </w:rPr>
        <w:t>0</w:t>
      </w:r>
      <w:r w:rsidRPr="0067409F">
        <w:t xml:space="preserve"> for this </w:t>
      </w:r>
      <w:proofErr w:type="spellStart"/>
      <w:r w:rsidRPr="0067409F">
        <w:t>circumstance</w:t>
      </w:r>
      <w:proofErr w:type="spellEnd"/>
      <w:r w:rsidRPr="0067409F">
        <w:t xml:space="preserve"> </w:t>
      </w:r>
      <w:proofErr w:type="spellStart"/>
      <w:r w:rsidRPr="0067409F">
        <w:t>is</w:t>
      </w:r>
      <w:proofErr w:type="spellEnd"/>
      <w:r w:rsidRPr="0067409F">
        <w:t xml:space="preserve"> 2.6 dB.</w:t>
      </w:r>
    </w:p>
    <w:p w14:paraId="0FF2CF91" w14:textId="77777777" w:rsidR="00014369" w:rsidRPr="0067409F" w:rsidRDefault="000E5383" w:rsidP="000E5383">
      <w:pPr>
        <w:pStyle w:val="FigureNo"/>
      </w:pPr>
      <w:r>
        <w:object w:dxaOrig="5302" w:dyaOrig="7676" w14:anchorId="6F4219C1">
          <v:shape id="_x0000_i1032" type="#_x0000_t75" style="width:266.4pt;height:381.6pt" o:ole="" o:allowoverlap="f">
            <v:imagedata r:id="rId21" o:title=""/>
          </v:shape>
          <o:OLEObject Type="Embed" ProgID="CorelDRAW.Graphic.12" ShapeID="_x0000_i1032" DrawAspect="Content" ObjectID="_1760428579" r:id="rId22"/>
        </w:object>
      </w:r>
    </w:p>
    <w:p w14:paraId="7111ACFD" w14:textId="77777777" w:rsidR="00014369" w:rsidRPr="00014369" w:rsidRDefault="00014369" w:rsidP="00014369">
      <w:pPr>
        <w:rPr>
          <w:lang w:val="en-US"/>
        </w:rPr>
      </w:pPr>
      <w:r w:rsidRPr="00014369">
        <w:rPr>
          <w:lang w:val="en-US"/>
        </w:rPr>
        <w:t>The effect of a noise</w:t>
      </w:r>
      <w:r w:rsidRPr="00014369">
        <w:rPr>
          <w:lang w:val="en-US"/>
        </w:rPr>
        <w:noBreakHyphen/>
        <w:t xml:space="preserve">like interference on the telemetry and ranging subsystems is to reduce the effective </w:t>
      </w:r>
      <w:r w:rsidR="00EC4B51">
        <w:rPr>
          <w:i/>
          <w:lang w:val="en-US"/>
        </w:rPr>
        <w:t>E</w:t>
      </w:r>
      <w:r w:rsidR="00EC4B51">
        <w:rPr>
          <w:lang w:val="en-US"/>
        </w:rPr>
        <w:t>/</w:t>
      </w:r>
      <w:r w:rsidR="00EC4B51">
        <w:rPr>
          <w:i/>
          <w:lang w:val="en-US"/>
        </w:rPr>
        <w:t>N</w:t>
      </w:r>
      <w:r w:rsidR="00EC4B51">
        <w:rPr>
          <w:vertAlign w:val="subscript"/>
          <w:lang w:val="en-US"/>
        </w:rPr>
        <w:t>0</w:t>
      </w:r>
      <w:r w:rsidRPr="00014369">
        <w:rPr>
          <w:lang w:val="en-US"/>
        </w:rPr>
        <w:t xml:space="preserve"> and thereby increase the telemetry error ratio and the range delay estimate variance.</w:t>
      </w:r>
    </w:p>
    <w:p w14:paraId="4E265268" w14:textId="77777777" w:rsidR="00014369" w:rsidRPr="00014369" w:rsidRDefault="00014369" w:rsidP="00014369">
      <w:pPr>
        <w:rPr>
          <w:lang w:val="en-US"/>
        </w:rPr>
      </w:pPr>
      <w:r w:rsidRPr="00014369">
        <w:rPr>
          <w:lang w:val="en-US"/>
        </w:rPr>
        <w:t xml:space="preserve">The reduction in equivalent </w:t>
      </w:r>
      <w:r w:rsidRPr="0067409F">
        <w:rPr>
          <w:rFonts w:ascii="Symbol" w:hAnsi="Symbol"/>
        </w:rPr>
        <w:t></w:t>
      </w:r>
      <w:r w:rsidRPr="00014369">
        <w:rPr>
          <w:i/>
          <w:lang w:val="en-US"/>
        </w:rPr>
        <w:t>E</w:t>
      </w:r>
      <w:r w:rsidRPr="00014369">
        <w:rPr>
          <w:lang w:val="en-US"/>
        </w:rPr>
        <w:t>/</w:t>
      </w:r>
      <w:r w:rsidRPr="00014369">
        <w:rPr>
          <w:i/>
          <w:lang w:val="en-US"/>
        </w:rPr>
        <w:t>N</w:t>
      </w:r>
      <w:r w:rsidRPr="00014369">
        <w:rPr>
          <w:position w:val="-4"/>
          <w:sz w:val="16"/>
          <w:lang w:val="en-US"/>
        </w:rPr>
        <w:t>0</w:t>
      </w:r>
      <w:r w:rsidRPr="00014369">
        <w:rPr>
          <w:lang w:val="en-US"/>
        </w:rPr>
        <w:t xml:space="preserve"> can be expressed as:</w:t>
      </w:r>
    </w:p>
    <w:p w14:paraId="2F343A39" w14:textId="77777777" w:rsidR="00014369" w:rsidRPr="00014369" w:rsidRDefault="00014369" w:rsidP="00014369">
      <w:pPr>
        <w:pStyle w:val="Equation"/>
        <w:rPr>
          <w:lang w:val="en-US"/>
        </w:rPr>
      </w:pPr>
      <w:r w:rsidRPr="00014369">
        <w:rPr>
          <w:lang w:val="en-US"/>
        </w:rPr>
        <w:tab/>
      </w:r>
      <w:r w:rsidRPr="00014369">
        <w:rPr>
          <w:lang w:val="en-US"/>
        </w:rPr>
        <w:tab/>
      </w:r>
      <w:r w:rsidRPr="0067409F">
        <w:rPr>
          <w:rFonts w:ascii="Symbol" w:hAnsi="Symbol"/>
        </w:rPr>
        <w:t></w:t>
      </w:r>
      <w:r w:rsidRPr="00014369">
        <w:rPr>
          <w:i/>
          <w:lang w:val="en-US"/>
        </w:rPr>
        <w:t>E</w:t>
      </w:r>
      <w:r w:rsidRPr="00014369">
        <w:rPr>
          <w:rFonts w:ascii="Tms Rmn" w:hAnsi="Tms Rmn"/>
          <w:lang w:val="en-US"/>
        </w:rPr>
        <w:t>/</w:t>
      </w:r>
      <w:r w:rsidRPr="00014369">
        <w:rPr>
          <w:rFonts w:ascii="Tms Rmn" w:hAnsi="Tms Rmn"/>
          <w:i/>
          <w:lang w:val="en-US"/>
        </w:rPr>
        <w:t>N</w:t>
      </w:r>
      <w:proofErr w:type="gramStart"/>
      <w:r w:rsidRPr="00014369">
        <w:rPr>
          <w:rFonts w:ascii="Tms Rmn" w:hAnsi="Tms Rmn"/>
          <w:position w:val="-4"/>
          <w:sz w:val="18"/>
          <w:lang w:val="en-US"/>
        </w:rPr>
        <w:t>0</w:t>
      </w:r>
      <w:r w:rsidRPr="00014369">
        <w:rPr>
          <w:rFonts w:ascii="Tms Rmn" w:hAnsi="Tms Rmn"/>
          <w:lang w:val="en-US"/>
        </w:rPr>
        <w:t xml:space="preserve">  </w:t>
      </w:r>
      <w:r w:rsidRPr="0067409F">
        <w:rPr>
          <w:rFonts w:ascii="Symbol" w:hAnsi="Symbol"/>
        </w:rPr>
        <w:t></w:t>
      </w:r>
      <w:proofErr w:type="gramEnd"/>
      <w:r w:rsidRPr="00014369">
        <w:rPr>
          <w:rFonts w:ascii="Tms Rmn" w:hAnsi="Tms Rmn"/>
          <w:lang w:val="en-US"/>
        </w:rPr>
        <w:t xml:space="preserve">  10 log (1  </w:t>
      </w:r>
      <w:r w:rsidRPr="0067409F">
        <w:rPr>
          <w:rFonts w:ascii="Symbol" w:hAnsi="Symbol"/>
        </w:rPr>
        <w:t></w:t>
      </w:r>
      <w:r w:rsidRPr="00014369">
        <w:rPr>
          <w:rFonts w:ascii="Tms Rmn" w:hAnsi="Tms Rmn"/>
          <w:lang w:val="en-US"/>
        </w:rPr>
        <w:t xml:space="preserve">  </w:t>
      </w:r>
      <w:r w:rsidRPr="00014369">
        <w:rPr>
          <w:rFonts w:ascii="Tms Rmn" w:hAnsi="Tms Rmn"/>
          <w:i/>
          <w:lang w:val="en-US"/>
        </w:rPr>
        <w:t>I</w:t>
      </w:r>
      <w:r w:rsidRPr="00014369">
        <w:rPr>
          <w:rFonts w:ascii="Tms Rmn" w:hAnsi="Tms Rmn"/>
          <w:position w:val="-4"/>
          <w:sz w:val="18"/>
          <w:lang w:val="en-US"/>
        </w:rPr>
        <w:t>0</w:t>
      </w:r>
      <w:r w:rsidRPr="00014369">
        <w:rPr>
          <w:rFonts w:ascii="Tms Rmn" w:hAnsi="Tms Rmn"/>
          <w:position w:val="-4"/>
          <w:sz w:val="12"/>
          <w:lang w:val="en-US"/>
        </w:rPr>
        <w:t> </w:t>
      </w:r>
      <w:r w:rsidRPr="00014369">
        <w:rPr>
          <w:rFonts w:ascii="Tms Rmn" w:hAnsi="Tms Rmn"/>
          <w:lang w:val="en-US"/>
        </w:rPr>
        <w:t>/</w:t>
      </w:r>
      <w:r w:rsidRPr="00014369">
        <w:rPr>
          <w:rFonts w:ascii="Tms Rmn" w:hAnsi="Tms Rmn"/>
          <w:i/>
          <w:lang w:val="en-US"/>
        </w:rPr>
        <w:t>N</w:t>
      </w:r>
      <w:r w:rsidRPr="00014369">
        <w:rPr>
          <w:rFonts w:ascii="Tms Rmn" w:hAnsi="Tms Rmn"/>
          <w:position w:val="-4"/>
          <w:sz w:val="18"/>
          <w:lang w:val="en-US"/>
        </w:rPr>
        <w:t>0</w:t>
      </w:r>
      <w:r w:rsidRPr="00014369">
        <w:rPr>
          <w:rFonts w:ascii="Tms Rmn" w:hAnsi="Tms Rmn"/>
          <w:lang w:val="en-US"/>
        </w:rPr>
        <w:t>)</w:t>
      </w:r>
      <w:r w:rsidRPr="00014369">
        <w:rPr>
          <w:lang w:val="en-US"/>
        </w:rPr>
        <w:t>               </w:t>
      </w:r>
      <w:r w:rsidRPr="00014369">
        <w:rPr>
          <w:rFonts w:ascii="Tms Rmn" w:hAnsi="Tms Rmn"/>
          <w:lang w:val="en-US"/>
        </w:rPr>
        <w:t>dB</w:t>
      </w:r>
    </w:p>
    <w:p w14:paraId="01AA5967" w14:textId="77777777" w:rsidR="00014369" w:rsidRPr="00014369" w:rsidRDefault="00014369" w:rsidP="00014369">
      <w:pPr>
        <w:rPr>
          <w:lang w:val="en-US"/>
        </w:rPr>
      </w:pPr>
      <w:r w:rsidRPr="00014369">
        <w:rPr>
          <w:lang w:val="en-US"/>
        </w:rPr>
        <w:t xml:space="preserve">where </w:t>
      </w:r>
      <w:r w:rsidRPr="00014369">
        <w:rPr>
          <w:i/>
          <w:lang w:val="en-US"/>
        </w:rPr>
        <w:t>I</w:t>
      </w:r>
      <w:r w:rsidRPr="00014369">
        <w:rPr>
          <w:position w:val="-4"/>
          <w:sz w:val="16"/>
          <w:lang w:val="en-US"/>
        </w:rPr>
        <w:t>0</w:t>
      </w:r>
      <w:r w:rsidRPr="00014369">
        <w:rPr>
          <w:lang w:val="en-US"/>
        </w:rPr>
        <w:t>/</w:t>
      </w:r>
      <w:r w:rsidRPr="00014369">
        <w:rPr>
          <w:i/>
          <w:lang w:val="en-US"/>
        </w:rPr>
        <w:t>N</w:t>
      </w:r>
      <w:r w:rsidRPr="00014369">
        <w:rPr>
          <w:position w:val="-4"/>
          <w:sz w:val="16"/>
          <w:lang w:val="en-US"/>
        </w:rPr>
        <w:t>0</w:t>
      </w:r>
      <w:r w:rsidRPr="00014369">
        <w:rPr>
          <w:lang w:val="en-US"/>
        </w:rPr>
        <w:t xml:space="preserve"> is the interference noise-spectral density to receiver noise-spectral density ratio. Knowing the acceptable reduction of </w:t>
      </w:r>
      <w:r w:rsidRPr="00014369">
        <w:rPr>
          <w:i/>
          <w:lang w:val="en-US"/>
        </w:rPr>
        <w:t>E</w:t>
      </w:r>
      <w:r w:rsidRPr="00014369">
        <w:rPr>
          <w:lang w:val="en-US"/>
        </w:rPr>
        <w:t>/</w:t>
      </w:r>
      <w:r w:rsidRPr="00014369">
        <w:rPr>
          <w:i/>
          <w:lang w:val="en-US"/>
        </w:rPr>
        <w:t>N</w:t>
      </w:r>
      <w:r w:rsidRPr="00014369">
        <w:rPr>
          <w:position w:val="-4"/>
          <w:sz w:val="16"/>
          <w:lang w:val="en-US"/>
        </w:rPr>
        <w:t>0</w:t>
      </w:r>
      <w:r w:rsidRPr="00014369">
        <w:rPr>
          <w:lang w:val="en-US"/>
        </w:rPr>
        <w:t xml:space="preserve">, the corresponding </w:t>
      </w:r>
      <w:r w:rsidRPr="00014369">
        <w:rPr>
          <w:i/>
          <w:lang w:val="en-US"/>
        </w:rPr>
        <w:t>I</w:t>
      </w:r>
      <w:r w:rsidRPr="00014369">
        <w:rPr>
          <w:position w:val="-4"/>
          <w:sz w:val="16"/>
          <w:lang w:val="en-US"/>
        </w:rPr>
        <w:t>0</w:t>
      </w:r>
      <w:r w:rsidRPr="00014369">
        <w:rPr>
          <w:lang w:val="en-US"/>
        </w:rPr>
        <w:t>/</w:t>
      </w:r>
      <w:r w:rsidRPr="00014369">
        <w:rPr>
          <w:i/>
          <w:lang w:val="en-US"/>
        </w:rPr>
        <w:t>N</w:t>
      </w:r>
      <w:r w:rsidRPr="00014369">
        <w:rPr>
          <w:position w:val="-4"/>
          <w:sz w:val="16"/>
          <w:lang w:val="en-US"/>
        </w:rPr>
        <w:t>0</w:t>
      </w:r>
      <w:r w:rsidRPr="00014369">
        <w:rPr>
          <w:lang w:val="en-US"/>
        </w:rPr>
        <w:t xml:space="preserve"> may be calculated.</w:t>
      </w:r>
    </w:p>
    <w:p w14:paraId="7F347CD6" w14:textId="77777777" w:rsidR="000E5383" w:rsidRDefault="000E5383" w:rsidP="003530BF">
      <w:pPr>
        <w:pStyle w:val="Line"/>
        <w:spacing w:before="480"/>
      </w:pPr>
    </w:p>
    <w:sectPr w:rsidR="000E5383">
      <w:headerReference w:type="even" r:id="rId23"/>
      <w:headerReference w:type="default" r:id="rId24"/>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AAD6" w14:textId="77777777" w:rsidR="00CD5959" w:rsidRDefault="00CD5959" w:rsidP="00014369">
      <w:pPr/>
      <w:r>
        <w:separator/>
      </w:r>
    </w:p>
  </w:endnote>
  <w:endnote w:type="continuationSeparator" w:id="0">
    <w:p w14:paraId="6346E1B8" w14:textId="77777777" w:rsidR="00CD5959" w:rsidRDefault="00CD5959" w:rsidP="0001436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FEEB" w14:textId="77777777" w:rsidR="00CD5959" w:rsidRDefault="00CD5959" w:rsidP="00014369">
      <w:pPr/>
      <w:r>
        <w:separator/>
      </w:r>
    </w:p>
  </w:footnote>
  <w:footnote w:type="continuationSeparator" w:id="0">
    <w:p w14:paraId="2668B1ED" w14:textId="77777777" w:rsidR="00CD5959" w:rsidRDefault="00CD5959" w:rsidP="00014369">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70C4" w14:textId="347F3123" w:rsidR="00014369" w:rsidRDefault="00014369">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1B5FCF">
      <w:rPr>
        <w:rStyle w:val="PageNumber"/>
        <w:b/>
        <w:bCs/>
        <w:noProof/>
        <w:lang w:val="en-US"/>
      </w:rPr>
      <w:t>10</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1B5FCF">
      <w:rPr>
        <w:b/>
        <w:bCs/>
        <w:lang w:val="en-US"/>
      </w:rPr>
      <w:t xml:space="preserve">Rec. </w:t>
    </w:r>
    <w:r>
      <w:rPr>
        <w:b/>
        <w:bCs/>
      </w:rPr>
      <w:fldChar w:fldCharType="end"/>
    </w:r>
    <w:r>
      <w:rPr>
        <w:b/>
        <w:bCs/>
      </w:rPr>
      <w:fldChar w:fldCharType="begin"/>
    </w:r>
    <w:r>
      <w:rPr>
        <w:b/>
        <w:bCs/>
        <w:lang w:val="en-US"/>
      </w:rPr>
      <w:instrText>styleref href</w:instrText>
    </w:r>
    <w:r>
      <w:rPr>
        <w:b/>
        <w:bCs/>
      </w:rPr>
      <w:fldChar w:fldCharType="separate"/>
    </w:r>
    <w:r w:rsidR="0062667F">
      <w:rPr>
        <w:b/>
        <w:bCs/>
        <w:noProof/>
        <w:lang w:val="en-US"/>
      </w:rPr>
      <w:t>ITU-R  SA.1157-1</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8335" w14:textId="408DB717" w:rsidR="00014369" w:rsidRDefault="00014369">
    <w:pPr>
      <w:pStyle w:val="Header"/>
    </w:pPr>
    <w:r>
      <w:tab/>
    </w:r>
    <w:r>
      <w:rPr>
        <w:b/>
        <w:bCs/>
      </w:rPr>
      <w:fldChar w:fldCharType="begin"/>
    </w:r>
    <w:r>
      <w:rPr>
        <w:b/>
        <w:bCs/>
      </w:rPr>
      <w:instrText xml:space="preserve"> DOCPROPERTY "Header" \* MERGEFORMAT </w:instrText>
    </w:r>
    <w:r>
      <w:rPr>
        <w:b/>
        <w:bCs/>
      </w:rPr>
      <w:fldChar w:fldCharType="separate"/>
    </w:r>
    <w:r w:rsidR="001B5FCF">
      <w:rPr>
        <w:b/>
        <w:bCs/>
      </w:rPr>
      <w:t xml:space="preserve">Rec. </w:t>
    </w:r>
    <w:r>
      <w:rPr>
        <w:b/>
        <w:bCs/>
      </w:rPr>
      <w:fldChar w:fldCharType="end"/>
    </w:r>
    <w:r>
      <w:rPr>
        <w:b/>
        <w:bCs/>
      </w:rPr>
      <w:fldChar w:fldCharType="begin"/>
    </w:r>
    <w:r>
      <w:rPr>
        <w:b/>
        <w:bCs/>
      </w:rPr>
      <w:instrText>styleref href</w:instrText>
    </w:r>
    <w:r>
      <w:rPr>
        <w:b/>
        <w:bCs/>
      </w:rPr>
      <w:fldChar w:fldCharType="separate"/>
    </w:r>
    <w:r w:rsidR="0062667F">
      <w:rPr>
        <w:b/>
        <w:bCs/>
        <w:noProof/>
      </w:rPr>
      <w:t>ITU-R  SA.1157-1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1B5FCF">
      <w:rPr>
        <w:rStyle w:val="PageNumber"/>
        <w:b/>
        <w:bCs/>
        <w:noProof/>
      </w:rPr>
      <w:t>9</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activeWritingStyle w:appName="MSWord" w:lang="en-US" w:vendorID="64" w:dllVersion="131077"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83"/>
    <w:rsid w:val="00014369"/>
    <w:rsid w:val="000E5383"/>
    <w:rsid w:val="00150C4D"/>
    <w:rsid w:val="001B5FCF"/>
    <w:rsid w:val="003530BF"/>
    <w:rsid w:val="00497405"/>
    <w:rsid w:val="0062667F"/>
    <w:rsid w:val="00670922"/>
    <w:rsid w:val="007D35E7"/>
    <w:rsid w:val="00807B9C"/>
    <w:rsid w:val="00CD5959"/>
    <w:rsid w:val="00EC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77E612"/>
  <w15:chartTrackingRefBased/>
  <w15:docId w15:val="{AC013434-8653-4F66-B37B-603876BD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0E5383"/>
    <w:pPr>
      <w:keepNext/>
      <w:keepLines/>
      <w:spacing w:before="480"/>
      <w:ind w:left="794" w:hanging="794"/>
      <w:outlineLvl w:val="0"/>
    </w:pPr>
    <w:rPr>
      <w:b/>
    </w:rPr>
  </w:style>
  <w:style w:type="paragraph" w:styleId="Heading2">
    <w:name w:val="heading 2"/>
    <w:basedOn w:val="Heading1"/>
    <w:next w:val="Normal"/>
    <w:qFormat/>
    <w:rsid w:val="000E5383"/>
    <w:pPr>
      <w:spacing w:before="320"/>
      <w:outlineLvl w:val="1"/>
    </w:pPr>
  </w:style>
  <w:style w:type="paragraph" w:styleId="Heading3">
    <w:name w:val="heading 3"/>
    <w:basedOn w:val="Heading1"/>
    <w:next w:val="Normal"/>
    <w:qFormat/>
    <w:rsid w:val="000E5383"/>
    <w:pPr>
      <w:spacing w:before="200"/>
      <w:outlineLvl w:val="2"/>
    </w:pPr>
  </w:style>
  <w:style w:type="paragraph" w:styleId="Heading4">
    <w:name w:val="heading 4"/>
    <w:basedOn w:val="Heading3"/>
    <w:next w:val="Normal"/>
    <w:qFormat/>
    <w:rsid w:val="000E5383"/>
    <w:pPr>
      <w:tabs>
        <w:tab w:val="clear" w:pos="794"/>
        <w:tab w:val="left" w:pos="992"/>
      </w:tabs>
      <w:ind w:left="992" w:hanging="992"/>
      <w:outlineLvl w:val="3"/>
    </w:pPr>
  </w:style>
  <w:style w:type="paragraph" w:styleId="Heading5">
    <w:name w:val="heading 5"/>
    <w:basedOn w:val="Heading4"/>
    <w:next w:val="Normal"/>
    <w:qFormat/>
    <w:rsid w:val="000E5383"/>
    <w:pPr>
      <w:outlineLvl w:val="4"/>
    </w:pPr>
  </w:style>
  <w:style w:type="paragraph" w:styleId="Heading6">
    <w:name w:val="heading 6"/>
    <w:basedOn w:val="Heading4"/>
    <w:next w:val="Normal"/>
    <w:qFormat/>
    <w:rsid w:val="000E5383"/>
    <w:pPr>
      <w:tabs>
        <w:tab w:val="clear" w:pos="992"/>
        <w:tab w:val="clear" w:pos="1191"/>
      </w:tabs>
      <w:ind w:left="1588" w:hanging="1588"/>
      <w:outlineLvl w:val="5"/>
    </w:pPr>
  </w:style>
  <w:style w:type="paragraph" w:styleId="Heading7">
    <w:name w:val="heading 7"/>
    <w:basedOn w:val="Heading6"/>
    <w:next w:val="Normal"/>
    <w:qFormat/>
    <w:rsid w:val="000E5383"/>
    <w:pPr>
      <w:outlineLvl w:val="6"/>
    </w:pPr>
  </w:style>
  <w:style w:type="paragraph" w:styleId="Heading8">
    <w:name w:val="heading 8"/>
    <w:basedOn w:val="Heading6"/>
    <w:next w:val="Normal"/>
    <w:qFormat/>
    <w:rsid w:val="000E5383"/>
    <w:pPr>
      <w:outlineLvl w:val="7"/>
    </w:pPr>
  </w:style>
  <w:style w:type="paragraph" w:styleId="Heading9">
    <w:name w:val="heading 9"/>
    <w:basedOn w:val="Heading6"/>
    <w:next w:val="Normal"/>
    <w:qFormat/>
    <w:rsid w:val="000E5383"/>
    <w:pPr>
      <w:jc w:val="lef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rsid w:val="000E5383"/>
    <w:pPr>
      <w:spacing w:before="160"/>
      <w:ind w:left="0" w:firstLine="0"/>
      <w:outlineLvl w:val="9"/>
    </w:pPr>
  </w:style>
  <w:style w:type="paragraph" w:customStyle="1" w:styleId="Headingi">
    <w:name w:val="Heading_i"/>
    <w:basedOn w:val="Heading3"/>
    <w:next w:val="Normal"/>
    <w:rsid w:val="000E5383"/>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0E5383"/>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rsid w:val="0062667F"/>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Figure">
    <w:name w:val="Figure"/>
    <w:basedOn w:val="FigureNo"/>
    <w:next w:val="Figuretitle"/>
    <w:pPr>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3</TotalTime>
  <Pages>14</Pages>
  <Words>3539</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SA.1157-1 - Protection criteria for deep-space research</dc:title>
  <dc:subject/>
  <dc:creator>POOL</dc:creator>
  <cp:keywords/>
  <dc:description>Edition                          24.01.06      SP_x000d_
1ère épreuve               25.01.06      SP_x000d_
2ème épreuve: 26.04.06/MCJ_x000d_
Corr. BAT                     10.05.06      SP</dc:description>
  <cp:lastModifiedBy>Gachet, Christelle</cp:lastModifiedBy>
  <cp:revision>3</cp:revision>
  <cp:lastPrinted>2005-02-10T15:54:00Z</cp:lastPrinted>
  <dcterms:created xsi:type="dcterms:W3CDTF">2023-11-02T10:02:00Z</dcterms:created>
  <dcterms:modified xsi:type="dcterms:W3CDTF">2023-11-02T10:08:00Z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