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AC4" w:rsidRDefault="00185AC4" w:rsidP="00A6617B">
      <w:pPr>
        <w:rPr>
          <w:lang w:val="en-US"/>
        </w:rPr>
      </w:pPr>
    </w:p>
    <w:p w:rsidR="00185AC4" w:rsidRDefault="00185AC4" w:rsidP="00185AC4"/>
    <w:p w:rsidR="00185AC4" w:rsidRDefault="00185AC4" w:rsidP="00185AC4"/>
    <w:p w:rsidR="00185AC4" w:rsidRDefault="00185AC4" w:rsidP="00185AC4"/>
    <w:p w:rsidR="00185AC4" w:rsidRDefault="00185AC4" w:rsidP="00185AC4"/>
    <w:p w:rsidR="00185AC4" w:rsidRDefault="00185AC4" w:rsidP="00185AC4"/>
    <w:p w:rsidR="00185AC4" w:rsidRDefault="00185AC4" w:rsidP="00185AC4"/>
    <w:p w:rsidR="00185AC4" w:rsidRDefault="00185AC4" w:rsidP="00185AC4"/>
    <w:p w:rsidR="00185AC4" w:rsidRDefault="00185AC4" w:rsidP="00185AC4"/>
    <w:p w:rsidR="00185AC4" w:rsidRDefault="00185AC4" w:rsidP="00185AC4"/>
    <w:p w:rsidR="00185AC4" w:rsidRDefault="00185AC4" w:rsidP="00185AC4"/>
    <w:p w:rsidR="00185AC4" w:rsidRDefault="00185AC4" w:rsidP="00185AC4"/>
    <w:p w:rsidR="00185AC4" w:rsidRDefault="00185AC4" w:rsidP="00185AC4"/>
    <w:tbl>
      <w:tblPr>
        <w:tblW w:w="10089" w:type="dxa"/>
        <w:tblLook w:val="01E0" w:firstRow="1" w:lastRow="1" w:firstColumn="1" w:lastColumn="1" w:noHBand="0" w:noVBand="0"/>
      </w:tblPr>
      <w:tblGrid>
        <w:gridCol w:w="10089"/>
      </w:tblGrid>
      <w:tr w:rsidR="00185AC4" w:rsidRPr="00A443C2" w:rsidTr="008B5D54">
        <w:tc>
          <w:tcPr>
            <w:tcW w:w="10089" w:type="dxa"/>
          </w:tcPr>
          <w:p w:rsidR="00185AC4" w:rsidRPr="00B033C8" w:rsidRDefault="00185AC4" w:rsidP="008B5D54">
            <w:pPr>
              <w:spacing w:before="380" w:line="280" w:lineRule="exact"/>
              <w:jc w:val="right"/>
              <w:rPr>
                <w:rFonts w:ascii="Tahoma" w:hAnsi="Tahoma" w:cs="Tahoma"/>
                <w:b/>
                <w:bCs/>
                <w:iCs/>
                <w:color w:val="243285"/>
                <w:sz w:val="32"/>
                <w:szCs w:val="32"/>
                <w:lang w:val="en-US"/>
              </w:rPr>
            </w:pPr>
          </w:p>
          <w:p w:rsidR="00185AC4" w:rsidRPr="00A443C2" w:rsidRDefault="00185AC4" w:rsidP="009840D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8B5D54">
              <w:rPr>
                <w:rFonts w:ascii="Tahoma" w:hAnsi="Tahoma" w:cs="Tahoma"/>
                <w:b/>
                <w:bCs/>
                <w:iCs/>
                <w:color w:val="243285"/>
                <w:sz w:val="36"/>
                <w:szCs w:val="36"/>
              </w:rPr>
              <w:t>1276-</w:t>
            </w:r>
            <w:r w:rsidR="009840D5">
              <w:rPr>
                <w:rFonts w:ascii="Tahoma" w:hAnsi="Tahoma" w:cs="Tahoma"/>
                <w:b/>
                <w:bCs/>
                <w:iCs/>
                <w:color w:val="243285"/>
                <w:sz w:val="36"/>
                <w:szCs w:val="36"/>
              </w:rPr>
              <w:t>3</w:t>
            </w:r>
          </w:p>
          <w:p w:rsidR="00185AC4" w:rsidRPr="00A443C2" w:rsidRDefault="00185AC4" w:rsidP="008B5D5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B5D54">
              <w:rPr>
                <w:rFonts w:ascii="Tahoma" w:hAnsi="Tahoma" w:cs="Tahoma"/>
                <w:b/>
                <w:bCs/>
                <w:iCs/>
                <w:color w:val="243285"/>
                <w:szCs w:val="24"/>
              </w:rPr>
              <w:t>02</w:t>
            </w:r>
            <w:r w:rsidRPr="00A443C2">
              <w:rPr>
                <w:rFonts w:ascii="Tahoma" w:hAnsi="Tahoma" w:cs="Tahoma"/>
                <w:b/>
                <w:bCs/>
                <w:iCs/>
                <w:color w:val="243285"/>
                <w:szCs w:val="24"/>
              </w:rPr>
              <w:t>/</w:t>
            </w:r>
            <w:r w:rsidR="008B5D54">
              <w:rPr>
                <w:rFonts w:ascii="Tahoma" w:hAnsi="Tahoma" w:cs="Tahoma"/>
                <w:b/>
                <w:bCs/>
                <w:iCs/>
                <w:color w:val="243285"/>
                <w:szCs w:val="24"/>
              </w:rPr>
              <w:t>2011</w:t>
            </w:r>
            <w:r w:rsidRPr="00A443C2">
              <w:rPr>
                <w:rFonts w:ascii="Tahoma" w:hAnsi="Tahoma" w:cs="Tahoma"/>
                <w:b/>
                <w:bCs/>
                <w:iCs/>
                <w:color w:val="243285"/>
                <w:szCs w:val="24"/>
              </w:rPr>
              <w:t>)</w:t>
            </w:r>
          </w:p>
        </w:tc>
      </w:tr>
      <w:tr w:rsidR="00185AC4" w:rsidRPr="00F54FBD" w:rsidTr="008B5D54">
        <w:tc>
          <w:tcPr>
            <w:tcW w:w="10089" w:type="dxa"/>
          </w:tcPr>
          <w:p w:rsidR="00185AC4" w:rsidRDefault="00185AC4" w:rsidP="008B5D54">
            <w:pPr>
              <w:spacing w:before="80" w:line="500" w:lineRule="exact"/>
              <w:jc w:val="right"/>
              <w:rPr>
                <w:rFonts w:ascii="Tahoma" w:hAnsi="Tahoma" w:cs="Tahoma"/>
                <w:b/>
                <w:bCs/>
                <w:iCs/>
                <w:color w:val="243285"/>
                <w:sz w:val="44"/>
                <w:szCs w:val="44"/>
              </w:rPr>
            </w:pPr>
          </w:p>
          <w:p w:rsidR="00185AC4" w:rsidRPr="008B5D54" w:rsidRDefault="008B5D54" w:rsidP="008B5D54">
            <w:pPr>
              <w:spacing w:before="80" w:line="500" w:lineRule="exact"/>
              <w:jc w:val="right"/>
              <w:rPr>
                <w:rFonts w:ascii="Tahoma" w:hAnsi="Tahoma" w:cs="Tahoma"/>
                <w:b/>
                <w:bCs/>
                <w:iCs/>
                <w:color w:val="243285"/>
                <w:sz w:val="44"/>
                <w:szCs w:val="44"/>
              </w:rPr>
            </w:pPr>
            <w:r w:rsidRPr="008B5D54">
              <w:rPr>
                <w:rFonts w:ascii="Tahoma" w:hAnsi="Tahoma" w:cs="Tahoma"/>
                <w:b/>
                <w:bCs/>
                <w:sz w:val="44"/>
                <w:szCs w:val="44"/>
              </w:rPr>
              <w:t>Positions orbitales des satellites relais de données devant être protégées</w:t>
            </w:r>
            <w:r>
              <w:rPr>
                <w:rFonts w:ascii="Tahoma" w:hAnsi="Tahoma" w:cs="Tahoma"/>
                <w:b/>
                <w:bCs/>
                <w:sz w:val="44"/>
                <w:szCs w:val="44"/>
              </w:rPr>
              <w:t xml:space="preserve"> </w:t>
            </w:r>
            <w:r w:rsidRPr="008B5D54">
              <w:rPr>
                <w:rFonts w:ascii="Tahoma" w:hAnsi="Tahoma" w:cs="Tahoma"/>
                <w:b/>
                <w:bCs/>
                <w:sz w:val="44"/>
                <w:szCs w:val="44"/>
              </w:rPr>
              <w:t>contre les émissions des systèmes du service fixe</w:t>
            </w:r>
            <w:r>
              <w:rPr>
                <w:rFonts w:ascii="Tahoma" w:hAnsi="Tahoma" w:cs="Tahoma"/>
                <w:b/>
                <w:bCs/>
                <w:sz w:val="44"/>
                <w:szCs w:val="44"/>
              </w:rPr>
              <w:t xml:space="preserve"> </w:t>
            </w:r>
            <w:r w:rsidRPr="008B5D54">
              <w:rPr>
                <w:rFonts w:ascii="Tahoma" w:hAnsi="Tahoma" w:cs="Tahoma"/>
                <w:b/>
                <w:bCs/>
                <w:sz w:val="44"/>
                <w:szCs w:val="44"/>
              </w:rPr>
              <w:t>fonctionnant</w:t>
            </w:r>
            <w:r>
              <w:rPr>
                <w:rFonts w:ascii="Tahoma" w:hAnsi="Tahoma" w:cs="Tahoma"/>
                <w:b/>
                <w:bCs/>
                <w:sz w:val="44"/>
                <w:szCs w:val="44"/>
              </w:rPr>
              <w:t xml:space="preserve"> </w:t>
            </w:r>
            <w:r w:rsidRPr="008B5D54">
              <w:rPr>
                <w:rFonts w:ascii="Tahoma" w:hAnsi="Tahoma" w:cs="Tahoma"/>
                <w:b/>
                <w:bCs/>
                <w:sz w:val="44"/>
                <w:szCs w:val="44"/>
              </w:rPr>
              <w:t>dans la bande 25,25-27,5 GHz</w:t>
            </w:r>
          </w:p>
          <w:p w:rsidR="00185AC4" w:rsidRPr="00F54FBD" w:rsidRDefault="00185AC4" w:rsidP="008B5D54">
            <w:pPr>
              <w:spacing w:before="80" w:line="500" w:lineRule="exact"/>
              <w:jc w:val="right"/>
              <w:rPr>
                <w:rFonts w:ascii="Tahoma" w:hAnsi="Tahoma" w:cs="Tahoma"/>
                <w:b/>
                <w:bCs/>
                <w:iCs/>
                <w:color w:val="243285"/>
                <w:sz w:val="44"/>
                <w:szCs w:val="44"/>
              </w:rPr>
            </w:pPr>
          </w:p>
        </w:tc>
      </w:tr>
      <w:tr w:rsidR="00185AC4" w:rsidRPr="00F54FBD" w:rsidTr="008B5D54">
        <w:tc>
          <w:tcPr>
            <w:tcW w:w="10089" w:type="dxa"/>
          </w:tcPr>
          <w:p w:rsidR="00185AC4" w:rsidRPr="00F54FBD" w:rsidRDefault="00185AC4" w:rsidP="008B5D54">
            <w:pPr>
              <w:spacing w:before="80" w:line="280" w:lineRule="exact"/>
              <w:ind w:right="640"/>
              <w:rPr>
                <w:rFonts w:ascii="Tahoma" w:hAnsi="Tahoma" w:cs="Tahoma"/>
                <w:b/>
                <w:bCs/>
                <w:iCs/>
                <w:color w:val="243285"/>
                <w:sz w:val="32"/>
                <w:szCs w:val="32"/>
              </w:rPr>
            </w:pPr>
          </w:p>
          <w:p w:rsidR="00185AC4" w:rsidRPr="00F54FBD" w:rsidRDefault="00185AC4" w:rsidP="008B5D54">
            <w:pPr>
              <w:spacing w:before="80" w:line="280" w:lineRule="exact"/>
              <w:ind w:right="640"/>
              <w:rPr>
                <w:rFonts w:ascii="Tahoma" w:hAnsi="Tahoma" w:cs="Tahoma"/>
                <w:b/>
                <w:bCs/>
                <w:iCs/>
                <w:color w:val="243285"/>
                <w:sz w:val="32"/>
                <w:szCs w:val="32"/>
              </w:rPr>
            </w:pPr>
          </w:p>
          <w:p w:rsidR="00185AC4" w:rsidRPr="00F54FBD" w:rsidRDefault="00185AC4" w:rsidP="008B5D54">
            <w:pPr>
              <w:spacing w:before="80" w:after="180" w:line="360" w:lineRule="exact"/>
              <w:ind w:right="720"/>
              <w:rPr>
                <w:rFonts w:ascii="Tahoma" w:hAnsi="Tahoma" w:cs="Tahoma"/>
                <w:b/>
                <w:bCs/>
                <w:iCs/>
                <w:color w:val="243285"/>
                <w:sz w:val="36"/>
                <w:szCs w:val="36"/>
              </w:rPr>
            </w:pPr>
          </w:p>
          <w:p w:rsidR="00185AC4" w:rsidRPr="00F54FBD" w:rsidRDefault="00185AC4" w:rsidP="008B5D5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185AC4" w:rsidRPr="00F54FBD" w:rsidRDefault="00185AC4" w:rsidP="008B5D5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185AC4" w:rsidRPr="00F54FBD" w:rsidRDefault="00185AC4" w:rsidP="00185AC4">
      <w:pPr>
        <w:spacing w:before="80"/>
        <w:rPr>
          <w:i/>
          <w:sz w:val="22"/>
        </w:rPr>
      </w:pPr>
    </w:p>
    <w:p w:rsidR="00185AC4" w:rsidRPr="00F54FBD" w:rsidRDefault="00185AC4" w:rsidP="00185AC4">
      <w:pPr>
        <w:spacing w:before="80"/>
        <w:rPr>
          <w:i/>
          <w:sz w:val="22"/>
        </w:rPr>
      </w:pPr>
    </w:p>
    <w:p w:rsidR="00185AC4" w:rsidRPr="00F54FBD" w:rsidRDefault="00185AC4" w:rsidP="00185AC4">
      <w:pPr>
        <w:spacing w:before="80"/>
        <w:rPr>
          <w:i/>
          <w:sz w:val="22"/>
        </w:rPr>
      </w:pPr>
    </w:p>
    <w:p w:rsidR="00185AC4" w:rsidRPr="00F54FBD" w:rsidRDefault="00185AC4" w:rsidP="00185AC4">
      <w:pPr>
        <w:spacing w:before="80"/>
        <w:rPr>
          <w:i/>
          <w:sz w:val="22"/>
        </w:rPr>
      </w:pPr>
    </w:p>
    <w:p w:rsidR="00185AC4" w:rsidRPr="00F54FBD" w:rsidRDefault="00185AC4" w:rsidP="00185AC4">
      <w:pPr>
        <w:spacing w:before="80"/>
        <w:rPr>
          <w:i/>
          <w:sz w:val="22"/>
        </w:rPr>
      </w:pPr>
    </w:p>
    <w:p w:rsidR="00185AC4" w:rsidRPr="00F54FBD" w:rsidRDefault="00185AC4" w:rsidP="00185AC4">
      <w:pPr>
        <w:spacing w:before="80"/>
        <w:rPr>
          <w:i/>
          <w:sz w:val="22"/>
        </w:rPr>
      </w:pPr>
    </w:p>
    <w:p w:rsidR="00185AC4" w:rsidRPr="00F54FBD" w:rsidRDefault="00185AC4" w:rsidP="00185AC4">
      <w:pPr>
        <w:pStyle w:val="Equation"/>
        <w:tabs>
          <w:tab w:val="clear" w:pos="4820"/>
          <w:tab w:val="clear" w:pos="9639"/>
          <w:tab w:val="left" w:pos="1191"/>
          <w:tab w:val="left" w:pos="1588"/>
          <w:tab w:val="left" w:pos="1985"/>
        </w:tabs>
        <w:rPr>
          <w:rFonts w:ascii="Palatino Linotype" w:hAnsi="Palatino Linotype"/>
        </w:rPr>
        <w:sectPr w:rsidR="00185AC4" w:rsidRPr="00F54FBD">
          <w:headerReference w:type="even" r:id="rId8"/>
          <w:headerReference w:type="default" r:id="rId9"/>
          <w:pgSz w:w="11907" w:h="16840" w:code="9"/>
          <w:pgMar w:top="1089" w:right="1089" w:bottom="284" w:left="1089" w:header="567" w:footer="284" w:gutter="0"/>
          <w:pgNumType w:start="1"/>
          <w:cols w:space="720"/>
        </w:sectPr>
      </w:pPr>
    </w:p>
    <w:p w:rsidR="00185AC4" w:rsidRPr="00F54FBD" w:rsidRDefault="00185AC4" w:rsidP="00185A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85AC4" w:rsidRPr="00F54FBD" w:rsidRDefault="00185AC4" w:rsidP="00185AC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85AC4" w:rsidRPr="00F54FBD" w:rsidRDefault="00185AC4" w:rsidP="00185AC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85AC4" w:rsidRPr="00E44CBB" w:rsidRDefault="00185AC4" w:rsidP="00185AC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85AC4" w:rsidRPr="00E44CBB" w:rsidRDefault="00185AC4" w:rsidP="00185AC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85AC4" w:rsidRPr="00185AC4" w:rsidRDefault="00185AC4" w:rsidP="00185AC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85AC4" w:rsidRPr="009454F8" w:rsidTr="008B5D54">
        <w:tc>
          <w:tcPr>
            <w:tcW w:w="9360" w:type="dxa"/>
            <w:gridSpan w:val="2"/>
          </w:tcPr>
          <w:p w:rsidR="00185AC4" w:rsidRPr="009454F8" w:rsidRDefault="00185AC4" w:rsidP="008B5D54">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185AC4" w:rsidRPr="009454F8" w:rsidRDefault="00185AC4" w:rsidP="008B5D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185AC4" w:rsidRPr="00036EE3" w:rsidTr="008B5D54">
        <w:tc>
          <w:tcPr>
            <w:tcW w:w="1140" w:type="dxa"/>
            <w:tcBorders>
              <w:bottom w:val="nil"/>
            </w:tcBorders>
          </w:tcPr>
          <w:p w:rsidR="00185AC4" w:rsidRPr="00614CC6" w:rsidRDefault="00185AC4" w:rsidP="008B5D54">
            <w:pPr>
              <w:spacing w:before="90" w:after="100"/>
              <w:ind w:left="57"/>
              <w:rPr>
                <w:b/>
                <w:bCs/>
                <w:sz w:val="20"/>
                <w:lang w:val="en-US"/>
              </w:rPr>
            </w:pPr>
            <w:r w:rsidRPr="00614CC6">
              <w:rPr>
                <w:b/>
                <w:bCs/>
                <w:sz w:val="20"/>
                <w:lang w:val="en-US"/>
              </w:rPr>
              <w:t>Séries</w:t>
            </w:r>
          </w:p>
        </w:tc>
        <w:tc>
          <w:tcPr>
            <w:tcW w:w="8220" w:type="dxa"/>
            <w:tcBorders>
              <w:bottom w:val="nil"/>
            </w:tcBorders>
          </w:tcPr>
          <w:p w:rsidR="00185AC4" w:rsidRPr="00614CC6" w:rsidRDefault="00185AC4" w:rsidP="008B5D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85AC4" w:rsidRPr="005E427C" w:rsidTr="008B5D54">
        <w:tc>
          <w:tcPr>
            <w:tcW w:w="1140" w:type="dxa"/>
            <w:tcBorders>
              <w:top w:val="nil"/>
              <w:bottom w:val="nil"/>
            </w:tcBorders>
            <w:shd w:val="clear" w:color="auto" w:fill="auto"/>
          </w:tcPr>
          <w:p w:rsidR="00185AC4" w:rsidRPr="005E427C" w:rsidRDefault="00185AC4" w:rsidP="008B5D5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85AC4" w:rsidRPr="005E427C" w:rsidRDefault="00185AC4" w:rsidP="008B5D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85AC4" w:rsidRPr="009454F8" w:rsidTr="008B5D54">
        <w:tc>
          <w:tcPr>
            <w:tcW w:w="1140" w:type="dxa"/>
            <w:tcBorders>
              <w:top w:val="nil"/>
              <w:bottom w:val="nil"/>
            </w:tcBorders>
          </w:tcPr>
          <w:p w:rsidR="00185AC4" w:rsidRPr="00614CC6" w:rsidRDefault="00185AC4" w:rsidP="008B5D5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85AC4" w:rsidRPr="00614CC6" w:rsidRDefault="00185AC4" w:rsidP="008B5D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85AC4" w:rsidRPr="00E80F1D" w:rsidTr="008B5D54">
        <w:tc>
          <w:tcPr>
            <w:tcW w:w="1140" w:type="dxa"/>
            <w:tcBorders>
              <w:top w:val="nil"/>
              <w:bottom w:val="nil"/>
            </w:tcBorders>
            <w:shd w:val="clear" w:color="auto" w:fill="auto"/>
          </w:tcPr>
          <w:p w:rsidR="00185AC4" w:rsidRPr="00E80F1D" w:rsidRDefault="00185AC4" w:rsidP="008B5D5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85AC4" w:rsidRPr="00E80F1D" w:rsidRDefault="00185AC4" w:rsidP="008B5D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85AC4" w:rsidRPr="00ED2695" w:rsidTr="008B5D54">
        <w:tc>
          <w:tcPr>
            <w:tcW w:w="1140" w:type="dxa"/>
            <w:tcBorders>
              <w:top w:val="nil"/>
              <w:bottom w:val="nil"/>
            </w:tcBorders>
            <w:shd w:val="clear" w:color="auto" w:fill="auto"/>
          </w:tcPr>
          <w:p w:rsidR="00185AC4" w:rsidRPr="00614CC6" w:rsidRDefault="00185AC4" w:rsidP="008B5D5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85AC4" w:rsidRPr="00614CC6" w:rsidRDefault="00185AC4" w:rsidP="008B5D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85AC4" w:rsidRPr="00DE5EA2" w:rsidTr="008B5D54">
        <w:tc>
          <w:tcPr>
            <w:tcW w:w="1140" w:type="dxa"/>
            <w:tcBorders>
              <w:top w:val="nil"/>
              <w:bottom w:val="nil"/>
            </w:tcBorders>
            <w:shd w:val="clear" w:color="auto" w:fill="auto"/>
          </w:tcPr>
          <w:p w:rsidR="00185AC4" w:rsidRPr="00DE5EA2" w:rsidRDefault="00185AC4" w:rsidP="008B5D54">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85AC4" w:rsidRPr="00DE5EA2" w:rsidRDefault="00185AC4" w:rsidP="008B5D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85AC4" w:rsidRPr="00B21066" w:rsidTr="008B5D54">
        <w:tc>
          <w:tcPr>
            <w:tcW w:w="1140" w:type="dxa"/>
            <w:tcBorders>
              <w:top w:val="nil"/>
              <w:bottom w:val="nil"/>
            </w:tcBorders>
            <w:shd w:val="clear" w:color="auto" w:fill="auto"/>
          </w:tcPr>
          <w:p w:rsidR="00185AC4" w:rsidRPr="00B21066" w:rsidRDefault="00185AC4" w:rsidP="008B5D5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85AC4" w:rsidRPr="00B21066" w:rsidRDefault="00185AC4" w:rsidP="008B5D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85AC4" w:rsidRPr="00EC361D" w:rsidTr="008B5D54">
        <w:tc>
          <w:tcPr>
            <w:tcW w:w="1140" w:type="dxa"/>
            <w:tcBorders>
              <w:top w:val="nil"/>
              <w:bottom w:val="nil"/>
            </w:tcBorders>
            <w:shd w:val="clear" w:color="auto" w:fill="auto"/>
          </w:tcPr>
          <w:p w:rsidR="00185AC4" w:rsidRPr="00EC361D" w:rsidRDefault="00185AC4" w:rsidP="008B5D54">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185AC4" w:rsidRPr="00EC361D" w:rsidRDefault="00185AC4" w:rsidP="008B5D54">
            <w:pPr>
              <w:spacing w:before="30" w:after="30"/>
              <w:jc w:val="left"/>
              <w:rPr>
                <w:sz w:val="20"/>
                <w:lang w:val="fr-CH"/>
              </w:rPr>
            </w:pPr>
            <w:r w:rsidRPr="00EC361D">
              <w:rPr>
                <w:sz w:val="20"/>
              </w:rPr>
              <w:t>Propagation des ondes radioélectriques</w:t>
            </w:r>
          </w:p>
        </w:tc>
      </w:tr>
      <w:tr w:rsidR="00185AC4" w:rsidRPr="004822EF" w:rsidTr="008B5D54">
        <w:tc>
          <w:tcPr>
            <w:tcW w:w="1140" w:type="dxa"/>
            <w:tcBorders>
              <w:top w:val="nil"/>
              <w:bottom w:val="nil"/>
            </w:tcBorders>
            <w:shd w:val="clear" w:color="auto" w:fill="auto"/>
          </w:tcPr>
          <w:p w:rsidR="00185AC4" w:rsidRPr="004822EF" w:rsidRDefault="00185AC4" w:rsidP="008B5D54">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185AC4" w:rsidRPr="004822EF" w:rsidRDefault="00185AC4" w:rsidP="008B5D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185AC4" w:rsidRPr="00326525" w:rsidTr="008B5D54">
        <w:tc>
          <w:tcPr>
            <w:tcW w:w="1140" w:type="dxa"/>
            <w:tcBorders>
              <w:top w:val="nil"/>
              <w:bottom w:val="nil"/>
            </w:tcBorders>
            <w:shd w:val="clear" w:color="auto" w:fill="auto"/>
          </w:tcPr>
          <w:p w:rsidR="00185AC4" w:rsidRPr="00326525" w:rsidRDefault="00185AC4" w:rsidP="008B5D54">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185AC4" w:rsidRPr="00326525" w:rsidRDefault="00185AC4" w:rsidP="008B5D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185AC4" w:rsidRPr="00C40D3E" w:rsidTr="008B5D54">
        <w:tc>
          <w:tcPr>
            <w:tcW w:w="1140" w:type="dxa"/>
            <w:tcBorders>
              <w:top w:val="nil"/>
              <w:bottom w:val="nil"/>
            </w:tcBorders>
            <w:shd w:val="clear" w:color="auto" w:fill="auto"/>
          </w:tcPr>
          <w:p w:rsidR="00185AC4" w:rsidRPr="00C40D3E" w:rsidRDefault="00185AC4" w:rsidP="008B5D54">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185AC4" w:rsidRPr="00C40D3E" w:rsidRDefault="00185AC4" w:rsidP="008B5D54">
            <w:pPr>
              <w:spacing w:before="30" w:after="30"/>
              <w:jc w:val="left"/>
              <w:rPr>
                <w:sz w:val="20"/>
                <w:lang w:val="en-US"/>
              </w:rPr>
            </w:pPr>
            <w:r w:rsidRPr="00C40D3E">
              <w:rPr>
                <w:sz w:val="20"/>
              </w:rPr>
              <w:t>Service fixe par satellite</w:t>
            </w:r>
          </w:p>
        </w:tc>
      </w:tr>
      <w:tr w:rsidR="00185AC4" w:rsidRPr="00C40D3E" w:rsidTr="008B5D54">
        <w:tc>
          <w:tcPr>
            <w:tcW w:w="1140" w:type="dxa"/>
            <w:tcBorders>
              <w:top w:val="nil"/>
              <w:bottom w:val="nil"/>
            </w:tcBorders>
            <w:shd w:val="clear" w:color="auto" w:fill="F3F3F3"/>
          </w:tcPr>
          <w:p w:rsidR="00185AC4" w:rsidRPr="00C40D3E" w:rsidRDefault="00185AC4" w:rsidP="008B5D54">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185AC4" w:rsidRPr="00C40D3E" w:rsidRDefault="00185AC4" w:rsidP="008B5D54">
            <w:pPr>
              <w:spacing w:before="30" w:after="30"/>
              <w:jc w:val="left"/>
              <w:rPr>
                <w:b/>
                <w:bCs/>
                <w:color w:val="000080"/>
                <w:sz w:val="20"/>
                <w:lang w:val="en-US"/>
              </w:rPr>
            </w:pPr>
            <w:r w:rsidRPr="00C40D3E">
              <w:rPr>
                <w:b/>
                <w:bCs/>
                <w:color w:val="000080"/>
                <w:sz w:val="20"/>
              </w:rPr>
              <w:t>Applications spatiales et météorologie</w:t>
            </w:r>
          </w:p>
        </w:tc>
      </w:tr>
      <w:tr w:rsidR="00185AC4" w:rsidRPr="00614CC6" w:rsidTr="008B5D54">
        <w:tc>
          <w:tcPr>
            <w:tcW w:w="1140" w:type="dxa"/>
            <w:tcBorders>
              <w:top w:val="nil"/>
            </w:tcBorders>
          </w:tcPr>
          <w:p w:rsidR="00185AC4" w:rsidRPr="00614CC6" w:rsidRDefault="00185AC4" w:rsidP="008B5D54">
            <w:pPr>
              <w:spacing w:before="30" w:after="30"/>
              <w:ind w:left="57"/>
              <w:jc w:val="left"/>
              <w:rPr>
                <w:b/>
                <w:bCs/>
                <w:sz w:val="20"/>
                <w:lang w:val="en-US"/>
              </w:rPr>
            </w:pPr>
            <w:r w:rsidRPr="00614CC6">
              <w:rPr>
                <w:b/>
                <w:bCs/>
                <w:sz w:val="20"/>
                <w:lang w:val="en-US"/>
              </w:rPr>
              <w:t>SF</w:t>
            </w:r>
          </w:p>
        </w:tc>
        <w:tc>
          <w:tcPr>
            <w:tcW w:w="8220" w:type="dxa"/>
            <w:tcBorders>
              <w:top w:val="nil"/>
            </w:tcBorders>
          </w:tcPr>
          <w:p w:rsidR="00185AC4" w:rsidRPr="00614CC6" w:rsidRDefault="00185AC4" w:rsidP="008B5D54">
            <w:pPr>
              <w:spacing w:before="30" w:after="30"/>
              <w:jc w:val="left"/>
              <w:rPr>
                <w:sz w:val="20"/>
              </w:rPr>
            </w:pPr>
            <w:r w:rsidRPr="00614CC6">
              <w:rPr>
                <w:sz w:val="20"/>
              </w:rPr>
              <w:t>Partage des fréquences et coordination entre les systèmes du service fixe par satellite et du service fixe</w:t>
            </w:r>
          </w:p>
        </w:tc>
      </w:tr>
      <w:tr w:rsidR="00185AC4" w:rsidRPr="00036EE3" w:rsidTr="008B5D54">
        <w:tc>
          <w:tcPr>
            <w:tcW w:w="1140" w:type="dxa"/>
            <w:shd w:val="clear" w:color="auto" w:fill="auto"/>
          </w:tcPr>
          <w:p w:rsidR="00185AC4" w:rsidRPr="00592F9F" w:rsidRDefault="00185AC4" w:rsidP="008B5D54">
            <w:pPr>
              <w:spacing w:before="30" w:after="30"/>
              <w:ind w:left="57"/>
              <w:jc w:val="left"/>
              <w:rPr>
                <w:b/>
                <w:bCs/>
                <w:sz w:val="20"/>
                <w:lang w:val="en-US"/>
              </w:rPr>
            </w:pPr>
            <w:r w:rsidRPr="00592F9F">
              <w:rPr>
                <w:b/>
                <w:bCs/>
                <w:sz w:val="20"/>
                <w:lang w:val="en-US"/>
              </w:rPr>
              <w:t>SM</w:t>
            </w:r>
          </w:p>
        </w:tc>
        <w:tc>
          <w:tcPr>
            <w:tcW w:w="8220" w:type="dxa"/>
            <w:shd w:val="clear" w:color="auto" w:fill="auto"/>
          </w:tcPr>
          <w:p w:rsidR="00185AC4" w:rsidRPr="00592F9F" w:rsidRDefault="00185AC4" w:rsidP="008B5D54">
            <w:pPr>
              <w:spacing w:before="30" w:after="30"/>
              <w:jc w:val="left"/>
              <w:rPr>
                <w:sz w:val="20"/>
                <w:lang w:val="en-US"/>
              </w:rPr>
            </w:pPr>
            <w:r w:rsidRPr="00592F9F">
              <w:rPr>
                <w:sz w:val="20"/>
              </w:rPr>
              <w:t>Gestion du spectre</w:t>
            </w:r>
          </w:p>
        </w:tc>
      </w:tr>
      <w:tr w:rsidR="00185AC4" w:rsidRPr="00036EE3" w:rsidTr="008B5D54">
        <w:tc>
          <w:tcPr>
            <w:tcW w:w="1140" w:type="dxa"/>
          </w:tcPr>
          <w:p w:rsidR="00185AC4" w:rsidRPr="00614CC6" w:rsidRDefault="00185AC4" w:rsidP="008B5D54">
            <w:pPr>
              <w:spacing w:before="30" w:after="30"/>
              <w:ind w:left="57"/>
              <w:jc w:val="left"/>
              <w:rPr>
                <w:b/>
                <w:bCs/>
                <w:sz w:val="20"/>
                <w:lang w:val="en-US"/>
              </w:rPr>
            </w:pPr>
            <w:r w:rsidRPr="00614CC6">
              <w:rPr>
                <w:b/>
                <w:bCs/>
                <w:sz w:val="20"/>
                <w:lang w:val="en-US"/>
              </w:rPr>
              <w:t>SNG</w:t>
            </w:r>
          </w:p>
        </w:tc>
        <w:tc>
          <w:tcPr>
            <w:tcW w:w="8220" w:type="dxa"/>
          </w:tcPr>
          <w:p w:rsidR="00185AC4" w:rsidRPr="00614CC6" w:rsidRDefault="00185AC4" w:rsidP="008B5D54">
            <w:pPr>
              <w:spacing w:before="30" w:after="30"/>
              <w:jc w:val="left"/>
              <w:rPr>
                <w:sz w:val="20"/>
                <w:lang w:val="en-US"/>
              </w:rPr>
            </w:pPr>
            <w:r w:rsidRPr="00614CC6">
              <w:rPr>
                <w:sz w:val="20"/>
              </w:rPr>
              <w:t>Reportage d'actualités par satellite</w:t>
            </w:r>
          </w:p>
        </w:tc>
      </w:tr>
      <w:tr w:rsidR="00185AC4" w:rsidRPr="00614CC6" w:rsidTr="008B5D54">
        <w:tc>
          <w:tcPr>
            <w:tcW w:w="1140" w:type="dxa"/>
          </w:tcPr>
          <w:p w:rsidR="00185AC4" w:rsidRPr="00614CC6" w:rsidRDefault="00185AC4" w:rsidP="008B5D54">
            <w:pPr>
              <w:spacing w:before="30" w:after="30"/>
              <w:ind w:left="57"/>
              <w:jc w:val="left"/>
              <w:rPr>
                <w:b/>
                <w:bCs/>
                <w:sz w:val="20"/>
                <w:lang w:val="en-US"/>
              </w:rPr>
            </w:pPr>
            <w:r w:rsidRPr="00614CC6">
              <w:rPr>
                <w:b/>
                <w:bCs/>
                <w:sz w:val="20"/>
                <w:lang w:val="en-US"/>
              </w:rPr>
              <w:t>TF</w:t>
            </w:r>
          </w:p>
        </w:tc>
        <w:tc>
          <w:tcPr>
            <w:tcW w:w="8220" w:type="dxa"/>
          </w:tcPr>
          <w:p w:rsidR="00185AC4" w:rsidRPr="00614CC6" w:rsidRDefault="00185AC4" w:rsidP="008B5D54">
            <w:pPr>
              <w:spacing w:before="30" w:after="30"/>
              <w:jc w:val="left"/>
              <w:rPr>
                <w:sz w:val="20"/>
              </w:rPr>
            </w:pPr>
            <w:r w:rsidRPr="00614CC6">
              <w:rPr>
                <w:sz w:val="20"/>
              </w:rPr>
              <w:t>Emissions de fréquences étalon et de signaux horaires</w:t>
            </w:r>
          </w:p>
        </w:tc>
      </w:tr>
      <w:tr w:rsidR="00185AC4" w:rsidRPr="00036EE3" w:rsidTr="008B5D54">
        <w:tc>
          <w:tcPr>
            <w:tcW w:w="1140" w:type="dxa"/>
          </w:tcPr>
          <w:p w:rsidR="00185AC4" w:rsidRPr="00614CC6" w:rsidRDefault="00185AC4" w:rsidP="008B5D54">
            <w:pPr>
              <w:spacing w:before="30" w:after="30"/>
              <w:ind w:left="57"/>
              <w:jc w:val="left"/>
              <w:rPr>
                <w:b/>
                <w:bCs/>
                <w:sz w:val="20"/>
                <w:lang w:val="en-US"/>
              </w:rPr>
            </w:pPr>
            <w:r w:rsidRPr="00614CC6">
              <w:rPr>
                <w:b/>
                <w:bCs/>
                <w:sz w:val="20"/>
                <w:lang w:val="en-US"/>
              </w:rPr>
              <w:t>V</w:t>
            </w:r>
          </w:p>
        </w:tc>
        <w:tc>
          <w:tcPr>
            <w:tcW w:w="8220" w:type="dxa"/>
          </w:tcPr>
          <w:p w:rsidR="00185AC4" w:rsidRPr="00614CC6" w:rsidRDefault="00185AC4" w:rsidP="008B5D54">
            <w:pPr>
              <w:spacing w:before="30" w:after="140"/>
              <w:jc w:val="left"/>
              <w:rPr>
                <w:sz w:val="20"/>
                <w:lang w:val="en-US"/>
              </w:rPr>
            </w:pPr>
            <w:r w:rsidRPr="00614CC6">
              <w:rPr>
                <w:sz w:val="20"/>
              </w:rPr>
              <w:t>Vocabulaire et sujets associés</w:t>
            </w:r>
          </w:p>
        </w:tc>
      </w:tr>
    </w:tbl>
    <w:p w:rsidR="00185AC4" w:rsidRPr="00036EE3" w:rsidRDefault="00185AC4" w:rsidP="00185AC4">
      <w:pPr>
        <w:spacing w:before="0"/>
        <w:jc w:val="center"/>
        <w:rPr>
          <w:sz w:val="20"/>
          <w:lang w:val="en-US"/>
        </w:rPr>
      </w:pPr>
    </w:p>
    <w:p w:rsidR="00185AC4" w:rsidRPr="00036EE3" w:rsidRDefault="00185AC4" w:rsidP="00185AC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85AC4" w:rsidRPr="00756B4D" w:rsidTr="008B5D54">
        <w:tc>
          <w:tcPr>
            <w:tcW w:w="9360" w:type="dxa"/>
          </w:tcPr>
          <w:p w:rsidR="00185AC4" w:rsidRPr="00756B4D" w:rsidRDefault="00185AC4" w:rsidP="008B5D54">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85AC4" w:rsidRPr="00756B4D" w:rsidRDefault="00185AC4" w:rsidP="00185AC4">
      <w:pPr>
        <w:spacing w:before="0"/>
        <w:jc w:val="center"/>
        <w:rPr>
          <w:sz w:val="22"/>
        </w:rPr>
      </w:pPr>
    </w:p>
    <w:p w:rsidR="00185AC4" w:rsidRPr="00614CC6" w:rsidRDefault="00185AC4" w:rsidP="00185AC4">
      <w:pPr>
        <w:spacing w:before="100"/>
        <w:jc w:val="right"/>
        <w:rPr>
          <w:i/>
          <w:iCs/>
          <w:sz w:val="20"/>
        </w:rPr>
      </w:pPr>
      <w:r w:rsidRPr="00614CC6">
        <w:rPr>
          <w:i/>
          <w:iCs/>
          <w:sz w:val="20"/>
        </w:rPr>
        <w:t>Publication électronique</w:t>
      </w:r>
    </w:p>
    <w:p w:rsidR="00185AC4" w:rsidRPr="00614CC6" w:rsidRDefault="00185AC4" w:rsidP="008B5D54">
      <w:pPr>
        <w:spacing w:before="0"/>
        <w:jc w:val="right"/>
        <w:rPr>
          <w:sz w:val="20"/>
        </w:rPr>
      </w:pPr>
      <w:r w:rsidRPr="00614CC6">
        <w:rPr>
          <w:sz w:val="20"/>
        </w:rPr>
        <w:t>Genève, 20</w:t>
      </w:r>
      <w:r>
        <w:rPr>
          <w:sz w:val="20"/>
        </w:rPr>
        <w:t>1</w:t>
      </w:r>
      <w:r w:rsidR="008B5D54">
        <w:rPr>
          <w:sz w:val="20"/>
        </w:rPr>
        <w:t>1</w:t>
      </w:r>
    </w:p>
    <w:p w:rsidR="00185AC4" w:rsidRPr="00614CC6" w:rsidRDefault="00185AC4" w:rsidP="008B5D5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8B5D54">
        <w:rPr>
          <w:sz w:val="20"/>
        </w:rPr>
        <w:t>1</w:t>
      </w:r>
    </w:p>
    <w:p w:rsidR="00185AC4" w:rsidRPr="00614CC6" w:rsidRDefault="00185AC4" w:rsidP="00185AC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 xml:space="preserve">Aucune partie de cette publication ne peut être reproduite, par quelque procédé que ce soit, sans l’accord écrit </w:t>
      </w:r>
      <w:proofErr w:type="gramStart"/>
      <w:r>
        <w:rPr>
          <w:sz w:val="18"/>
          <w:szCs w:val="18"/>
        </w:rPr>
        <w:t>préalable</w:t>
      </w:r>
      <w:proofErr w:type="gramEnd"/>
      <w:r>
        <w:rPr>
          <w:sz w:val="18"/>
          <w:szCs w:val="18"/>
        </w:rPr>
        <w:t xml:space="preserve"> de l’UIT</w:t>
      </w:r>
      <w:r w:rsidRPr="00614CC6">
        <w:rPr>
          <w:sz w:val="18"/>
          <w:szCs w:val="18"/>
        </w:rPr>
        <w:t>.</w:t>
      </w:r>
    </w:p>
    <w:p w:rsidR="00185AC4" w:rsidRPr="00614CC6" w:rsidRDefault="00185AC4" w:rsidP="00185AC4">
      <w:pPr>
        <w:spacing w:before="160"/>
        <w:rPr>
          <w:i/>
          <w:sz w:val="20"/>
          <w:highlight w:val="yellow"/>
        </w:rPr>
        <w:sectPr w:rsidR="00185AC4" w:rsidRPr="00614CC6" w:rsidSect="008B5D54">
          <w:headerReference w:type="even" r:id="rId12"/>
          <w:headerReference w:type="default" r:id="rId13"/>
          <w:pgSz w:w="11907" w:h="16834" w:code="9"/>
          <w:pgMar w:top="1418" w:right="1134" w:bottom="1134" w:left="1134" w:header="720" w:footer="482" w:gutter="0"/>
          <w:pgNumType w:fmt="lowerRoman" w:start="2"/>
          <w:cols w:space="720"/>
        </w:sectPr>
      </w:pPr>
    </w:p>
    <w:p w:rsidR="00185AC4" w:rsidRPr="00756B4D" w:rsidRDefault="00185AC4" w:rsidP="008B5D5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8B5D54">
        <w:rPr>
          <w:rStyle w:val="href"/>
        </w:rPr>
        <w:t>1276-3</w:t>
      </w:r>
      <w:r w:rsidR="009840D5" w:rsidRPr="00AE3674">
        <w:rPr>
          <w:rStyle w:val="FootnoteReference"/>
        </w:rPr>
        <w:footnoteReference w:customMarkFollows="1" w:id="1"/>
        <w:sym w:font="Symbol" w:char="F02A"/>
      </w:r>
    </w:p>
    <w:p w:rsidR="005345A3" w:rsidRDefault="005345A3" w:rsidP="005345A3">
      <w:pPr>
        <w:pStyle w:val="Rectitle"/>
      </w:pPr>
      <w:r>
        <w:t xml:space="preserve">Positions orbitales des satellites relais de données devant être protégées </w:t>
      </w:r>
      <w:r>
        <w:br/>
        <w:t xml:space="preserve">contre les émissions des systèmes du service fixe fonctionnant </w:t>
      </w:r>
      <w:r>
        <w:br/>
        <w:t>dans la bande 25,25-27,5 GHz</w:t>
      </w:r>
    </w:p>
    <w:p w:rsidR="005345A3" w:rsidRDefault="005345A3" w:rsidP="005345A3">
      <w:pPr>
        <w:pStyle w:val="Recref"/>
      </w:pPr>
      <w:r>
        <w:t>(Question UIT-R 118/7)</w:t>
      </w:r>
    </w:p>
    <w:p w:rsidR="005345A3" w:rsidRDefault="005345A3" w:rsidP="005345A3">
      <w:pPr>
        <w:pStyle w:val="Recdate"/>
        <w:spacing w:before="40"/>
      </w:pPr>
    </w:p>
    <w:p w:rsidR="005345A3" w:rsidRDefault="005345A3" w:rsidP="005345A3">
      <w:pPr>
        <w:pStyle w:val="Recdate"/>
        <w:spacing w:before="40"/>
      </w:pPr>
      <w:r>
        <w:t>(1997-2003-2009-2011)</w:t>
      </w:r>
    </w:p>
    <w:p w:rsidR="005345A3" w:rsidRPr="009840D5" w:rsidRDefault="005345A3" w:rsidP="008B5D54">
      <w:pPr>
        <w:pStyle w:val="HeadingSum"/>
        <w:rPr>
          <w:lang w:val="fr-CH"/>
        </w:rPr>
      </w:pPr>
      <w:r w:rsidRPr="009840D5">
        <w:rPr>
          <w:lang w:val="fr-CH"/>
        </w:rPr>
        <w:t>Domaine d'applicat</w:t>
      </w:r>
      <w:bookmarkStart w:id="3" w:name="_GoBack"/>
      <w:bookmarkEnd w:id="3"/>
      <w:r w:rsidRPr="009840D5">
        <w:rPr>
          <w:lang w:val="fr-CH"/>
        </w:rPr>
        <w:t>ion</w:t>
      </w:r>
    </w:p>
    <w:p w:rsidR="005345A3" w:rsidRPr="000A42E7" w:rsidRDefault="005345A3" w:rsidP="0034143A">
      <w:pPr>
        <w:pStyle w:val="Summary"/>
        <w:rPr>
          <w:lang w:val="fr-CH"/>
        </w:rPr>
      </w:pPr>
      <w:r w:rsidRPr="000A42E7">
        <w:rPr>
          <w:lang w:val="fr-CH"/>
        </w:rPr>
        <w:t>La présente Recommandation indique les positions orbitales précises des satellites relais de données (SRD) devant être protégées contre les émissions des systèmes du service fixe fonctionnant dans la bande</w:t>
      </w:r>
      <w:r w:rsidR="0034143A">
        <w:rPr>
          <w:lang w:val="fr-CH"/>
        </w:rPr>
        <w:t xml:space="preserve"> </w:t>
      </w:r>
      <w:r w:rsidRPr="000A42E7">
        <w:rPr>
          <w:lang w:val="fr-CH"/>
        </w:rPr>
        <w:t>25,25</w:t>
      </w:r>
      <w:r w:rsidR="0034143A">
        <w:rPr>
          <w:lang w:val="fr-CH"/>
        </w:rPr>
        <w:noBreakHyphen/>
      </w:r>
      <w:r w:rsidRPr="000A42E7">
        <w:rPr>
          <w:lang w:val="fr-CH"/>
        </w:rPr>
        <w:t>27,5 GHz, compte tenu des limites de p.i.r.e. et de densité spectrale de p.i.r.e. et des dispositions spécifiées dans la Recommandation UIT-R F.1249.</w:t>
      </w:r>
    </w:p>
    <w:p w:rsidR="005345A3" w:rsidRDefault="005345A3" w:rsidP="008B5D54">
      <w:pPr>
        <w:pStyle w:val="Normalaftertitle"/>
      </w:pPr>
      <w:r>
        <w:t>L'Assemblée des radiocommunications de l'UIT,</w:t>
      </w:r>
    </w:p>
    <w:p w:rsidR="005345A3" w:rsidRDefault="005345A3" w:rsidP="008B5D54">
      <w:pPr>
        <w:pStyle w:val="Call"/>
      </w:pPr>
      <w:proofErr w:type="gramStart"/>
      <w:r>
        <w:t>considérant</w:t>
      </w:r>
      <w:proofErr w:type="gramEnd"/>
    </w:p>
    <w:p w:rsidR="005345A3" w:rsidRDefault="005345A3" w:rsidP="008B5D54">
      <w:r>
        <w:t>a)</w:t>
      </w:r>
      <w:r>
        <w:tab/>
        <w:t>que la bande 25,25-27,5 GHz est utilisée notamment par le service inter</w:t>
      </w:r>
      <w:r>
        <w:noBreakHyphen/>
        <w:t>satellites pour les émissions des satellites en orbite basse à destination des récepteurs installés à bord des satellites relais de données (SRD) en orbite géostationnaire;</w:t>
      </w:r>
    </w:p>
    <w:p w:rsidR="005345A3" w:rsidRDefault="005345A3" w:rsidP="008B5D54">
      <w:r>
        <w:t>b)</w:t>
      </w:r>
      <w:r>
        <w:tab/>
        <w:t xml:space="preserve">que cette bande de fréquences est utilisée en partage, entre autres, avec le service fixe (SF) à titre primaire; </w:t>
      </w:r>
    </w:p>
    <w:p w:rsidR="005345A3" w:rsidRDefault="005345A3" w:rsidP="008B5D54">
      <w:r>
        <w:t>c)</w:t>
      </w:r>
      <w:r>
        <w:tab/>
        <w:t>qu'il ressort des études effectuées que les stations du service fixe dont les émissions à proximité du point de visée sont dirigées vers la position orbitale d'un SRD peuvent causer au récepteur de ce satellite des brouillages dont les valeurs dépassent celles qui sont stipulées dans la Recommandation UIT-R SA.1155;</w:t>
      </w:r>
    </w:p>
    <w:p w:rsidR="005345A3" w:rsidRDefault="005345A3" w:rsidP="008B5D54">
      <w:r>
        <w:t>d)</w:t>
      </w:r>
      <w:r>
        <w:tab/>
        <w:t>que la possibilité de causer du brouillage à un récepteur de SRD dépend de la densité de p.i.r.e. des émissions des stations du service fixe qui sont rayonnées vers la position orbitale du SRD;</w:t>
      </w:r>
    </w:p>
    <w:p w:rsidR="005345A3" w:rsidRDefault="005345A3" w:rsidP="008B5D54">
      <w:r>
        <w:t>e)</w:t>
      </w:r>
      <w:r>
        <w:tab/>
        <w:t xml:space="preserve">que la Recommandation UIT-R F.1249 énonce les limites effectives de p.i.r.e. et de densité spectrale de p.i.r.e. rayonnées par les stations du service fixe en direction des SRD en orbite géostationnaire; </w:t>
      </w:r>
    </w:p>
    <w:p w:rsidR="005345A3" w:rsidRDefault="005345A3" w:rsidP="008B5D54">
      <w:r>
        <w:t>f)</w:t>
      </w:r>
      <w:r>
        <w:tab/>
        <w:t>qu'un nombre limité de réseaux à SRD sont déjà exploités ou sont en passe de l'être et n'ont pas été équipés des moyens appropriés de réduction des brouillages;</w:t>
      </w:r>
    </w:p>
    <w:p w:rsidR="005345A3" w:rsidRDefault="005345A3" w:rsidP="008B5D54">
      <w:r>
        <w:t>g)</w:t>
      </w:r>
      <w:r>
        <w:tab/>
        <w:t>qu'il est souhaitable de spécifier certaines positions orbitales précises à protéger sur l'orbite géostationnaire, afin d'offrir aux administrations une souplesse maximale pour la mise en oeuvre de stations du service fixe dans ces bandes de fréquences,</w:t>
      </w:r>
    </w:p>
    <w:p w:rsidR="005345A3" w:rsidRDefault="005345A3" w:rsidP="008B5D54">
      <w:pPr>
        <w:pStyle w:val="Call"/>
      </w:pPr>
      <w:proofErr w:type="gramStart"/>
      <w:r>
        <w:lastRenderedPageBreak/>
        <w:t>recommande</w:t>
      </w:r>
      <w:proofErr w:type="gramEnd"/>
    </w:p>
    <w:p w:rsidR="005345A3" w:rsidRDefault="005345A3" w:rsidP="008B5D54">
      <w:pPr>
        <w:keepNext/>
        <w:keepLines/>
      </w:pPr>
      <w:r>
        <w:rPr>
          <w:b/>
        </w:rPr>
        <w:t>1</w:t>
      </w:r>
      <w:r>
        <w:tab/>
        <w:t>que les récepteurs installés à bord des SRD fonctionnant dans la bande 25,25-27,5 GHz, qu'il convient de protéger conformément aux dispositions de la Recommandation UIT-R F.1249, soient situés aux positions suivantes sur l'orbite géostationnaire (données dans la direction est): 10,6°; 16,4°; 16,8°; 21,5°; 47°; 59°; 77°; 80°; 85°; 89°; 90,75°; 95°; 113°; 121°; 133°; 160°; 171°; 176,8°; 177,5°; 186°; 189°; 190°; 200°; 221°; 298°; 311°; 314°; 316°; 319°; 328°; 344°; 348°.</w:t>
      </w:r>
    </w:p>
    <w:p w:rsidR="005345A3" w:rsidRDefault="005345A3" w:rsidP="008B5D54">
      <w:pPr>
        <w:keepNext/>
        <w:keepLines/>
      </w:pPr>
    </w:p>
    <w:p w:rsidR="005345A3" w:rsidRDefault="005345A3" w:rsidP="008B5D54">
      <w:pPr>
        <w:keepNext/>
        <w:keepLines/>
      </w:pPr>
    </w:p>
    <w:p w:rsidR="005345A3" w:rsidRDefault="005345A3" w:rsidP="008B5D54">
      <w:pPr>
        <w:keepNext/>
        <w:keepLines/>
        <w:jc w:val="center"/>
      </w:pPr>
      <w:r>
        <w:t>______________</w:t>
      </w:r>
    </w:p>
    <w:p w:rsidR="00A6617B" w:rsidRPr="00A6617B" w:rsidRDefault="00A6617B" w:rsidP="00A6617B">
      <w:pPr>
        <w:rPr>
          <w:lang w:val="en-US"/>
        </w:rPr>
      </w:pPr>
    </w:p>
    <w:sectPr w:rsidR="00A6617B" w:rsidRPr="00A6617B" w:rsidSect="008B5D54">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D54" w:rsidRDefault="008B5D54">
      <w:r>
        <w:separator/>
      </w:r>
    </w:p>
  </w:endnote>
  <w:endnote w:type="continuationSeparator" w:id="0">
    <w:p w:rsidR="008B5D54" w:rsidRDefault="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D54" w:rsidRDefault="008B5D54">
      <w:r>
        <w:separator/>
      </w:r>
    </w:p>
  </w:footnote>
  <w:footnote w:type="continuationSeparator" w:id="0">
    <w:p w:rsidR="008B5D54" w:rsidRDefault="008B5D54">
      <w:r>
        <w:continuationSeparator/>
      </w:r>
    </w:p>
  </w:footnote>
  <w:footnote w:id="1">
    <w:p w:rsidR="009840D5" w:rsidRPr="00AE3674" w:rsidRDefault="009840D5" w:rsidP="009840D5">
      <w:pPr>
        <w:pStyle w:val="FootnoteText"/>
        <w:rPr>
          <w:lang w:val="fr-CH"/>
        </w:rPr>
      </w:pPr>
      <w:r w:rsidRPr="00AE3674">
        <w:rPr>
          <w:rStyle w:val="FootnoteReference"/>
        </w:rPr>
        <w:sym w:font="Symbol" w:char="F02A"/>
      </w:r>
      <w:r>
        <w:rPr>
          <w:lang w:val="fr-CH"/>
        </w:rPr>
        <w:tab/>
        <w:t>Il convient de porter cette Recommandation à l'attention de la Commission d'études 5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54" w:rsidRDefault="008B5D5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54" w:rsidRDefault="008B5D54" w:rsidP="008B5D54">
    <w:pPr>
      <w:pStyle w:val="Header"/>
      <w:ind w:right="360" w:firstLine="360"/>
    </w:pPr>
    <w:r>
      <w:rPr>
        <w:noProof/>
        <w:lang w:val="en-US" w:eastAsia="zh-CN"/>
      </w:rPr>
      <w:drawing>
        <wp:anchor distT="0" distB="0" distL="114300" distR="114300" simplePos="0" relativeHeight="251659264" behindDoc="1" locked="0" layoutInCell="1" allowOverlap="1" wp14:anchorId="30FEBF0F" wp14:editId="37F4762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54" w:rsidRPr="00837CB5" w:rsidRDefault="008B5D5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4143A">
      <w:rPr>
        <w:rStyle w:val="PageNumber"/>
        <w:b/>
        <w:bCs/>
        <w:noProof/>
      </w:rPr>
      <w:t>ii</w:t>
    </w:r>
    <w:r>
      <w:rPr>
        <w:rStyle w:val="PageNumber"/>
        <w:b/>
        <w:bCs/>
      </w:rPr>
      <w:fldChar w:fldCharType="end"/>
    </w:r>
    <w:r w:rsidRPr="00837CB5">
      <w:tab/>
    </w:r>
    <w:fldSimple w:instr=" DOCPROPERTY &quot;Header&quot; \* MERGEFORMAT ">
      <w:r w:rsidR="0034143A" w:rsidRPr="0034143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4143A">
      <w:rPr>
        <w:b/>
        <w:bCs/>
        <w:noProof/>
      </w:rPr>
      <w:t>UIT-R  SA.1276-3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54" w:rsidRDefault="008B5D54">
    <w:pPr>
      <w:pStyle w:val="Header"/>
    </w:pPr>
    <w:r>
      <w:tab/>
    </w:r>
    <w:fldSimple w:instr=" DOCPROPERTY &quot;Header&quot; \* MERGEFORMAT ">
      <w:r w:rsidR="0034143A" w:rsidRPr="003414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143A">
      <w:rPr>
        <w:b/>
        <w:bCs/>
        <w:noProof/>
      </w:rPr>
      <w:t>UIT-R  SA.1276-3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54" w:rsidRDefault="008B5D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143A">
      <w:rPr>
        <w:rStyle w:val="PageNumber"/>
        <w:b/>
        <w:bCs/>
        <w:noProof/>
        <w:lang w:val="en-US"/>
      </w:rPr>
      <w:t>2</w:t>
    </w:r>
    <w:r>
      <w:rPr>
        <w:rStyle w:val="PageNumber"/>
        <w:b/>
        <w:bCs/>
      </w:rPr>
      <w:fldChar w:fldCharType="end"/>
    </w:r>
    <w:r>
      <w:rPr>
        <w:lang w:val="en-US"/>
      </w:rPr>
      <w:tab/>
    </w:r>
    <w:fldSimple w:instr=" DOCPROPERTY &quot;Header&quot; \* MERGEFORMAT ">
      <w:r w:rsidR="0034143A" w:rsidRPr="0034143A">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34143A">
      <w:rPr>
        <w:b/>
        <w:bCs/>
        <w:noProof/>
      </w:rPr>
      <w:t>UIT-R  SA.1276-3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54" w:rsidRDefault="008B5D54">
    <w:pPr>
      <w:pStyle w:val="Header"/>
    </w:pPr>
    <w:r>
      <w:tab/>
    </w:r>
    <w:fldSimple w:instr=" DOCPROPERTY &quot;Header&quot; \* MERGEFORMAT ">
      <w:r w:rsidR="0034143A" w:rsidRPr="003414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143A">
      <w:rPr>
        <w:b/>
        <w:bCs/>
        <w:noProof/>
      </w:rPr>
      <w:t>UIT-R  SA.1276-3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143A">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EC1"/>
    <w:rsid w:val="00185AC4"/>
    <w:rsid w:val="00217EBF"/>
    <w:rsid w:val="002D76C4"/>
    <w:rsid w:val="0034143A"/>
    <w:rsid w:val="00503EC1"/>
    <w:rsid w:val="005345A3"/>
    <w:rsid w:val="00607D68"/>
    <w:rsid w:val="007468DA"/>
    <w:rsid w:val="008B5D54"/>
    <w:rsid w:val="009840D5"/>
    <w:rsid w:val="00A6617B"/>
    <w:rsid w:val="00AB0DC8"/>
    <w:rsid w:val="00B44E24"/>
    <w:rsid w:val="00C25E65"/>
    <w:rsid w:val="00D52DCD"/>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85A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85A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F0450-724B-4FAC-AC07-F4AB7164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4</Pages>
  <Words>801</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7</cp:revision>
  <cp:lastPrinted>2005-02-10T15:54:00Z</cp:lastPrinted>
  <dcterms:created xsi:type="dcterms:W3CDTF">2011-04-20T14:04:00Z</dcterms:created>
  <dcterms:modified xsi:type="dcterms:W3CDTF">2011-05-19T08:29:00Z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