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27406B"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7406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27406B">
              <w:rPr>
                <w:rFonts w:ascii="Tahoma" w:hAnsi="Tahoma" w:cs="Tahoma"/>
                <w:b/>
                <w:bCs/>
                <w:iCs/>
                <w:color w:val="243285"/>
                <w:sz w:val="36"/>
                <w:szCs w:val="36"/>
                <w:lang w:val="es-ES_tradnl"/>
              </w:rPr>
              <w:t>1276-3</w:t>
            </w:r>
          </w:p>
          <w:p w:rsidR="00B1717A" w:rsidRPr="0010336F" w:rsidRDefault="00B1717A" w:rsidP="0027406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7406B">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27406B">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B1717A" w:rsidRPr="0027406B"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7406B" w:rsidP="00E128BF">
            <w:pPr>
              <w:spacing w:before="80" w:line="500" w:lineRule="exact"/>
              <w:jc w:val="right"/>
              <w:rPr>
                <w:rFonts w:ascii="Tahoma" w:hAnsi="Tahoma" w:cs="Tahoma"/>
                <w:b/>
                <w:bCs/>
                <w:color w:val="243285"/>
                <w:sz w:val="44"/>
                <w:szCs w:val="44"/>
                <w:lang w:val="es-ES_tradnl"/>
              </w:rPr>
            </w:pPr>
            <w:r w:rsidRPr="008C24BC">
              <w:rPr>
                <w:rFonts w:ascii="Tahoma" w:hAnsi="Tahoma" w:cs="Tahoma"/>
                <w:b/>
                <w:bCs/>
                <w:color w:val="243285"/>
                <w:sz w:val="44"/>
                <w:szCs w:val="44"/>
                <w:lang w:val="es-ES"/>
              </w:rPr>
              <w:t>Posiciones orbitales de los satélites</w:t>
            </w:r>
            <w:r>
              <w:rPr>
                <w:rFonts w:ascii="Tahoma" w:hAnsi="Tahoma" w:cs="Tahoma"/>
                <w:b/>
                <w:bCs/>
                <w:color w:val="243285"/>
                <w:sz w:val="44"/>
                <w:szCs w:val="44"/>
                <w:lang w:val="es-ES"/>
              </w:rPr>
              <w:br/>
            </w:r>
            <w:r w:rsidRPr="008C24BC">
              <w:rPr>
                <w:rFonts w:ascii="Tahoma" w:hAnsi="Tahoma" w:cs="Tahoma"/>
                <w:b/>
                <w:bCs/>
                <w:color w:val="243285"/>
                <w:sz w:val="44"/>
                <w:szCs w:val="44"/>
                <w:lang w:val="es-ES"/>
              </w:rPr>
              <w:t>de retransmisión de datos que</w:t>
            </w:r>
            <w:r>
              <w:rPr>
                <w:rFonts w:ascii="Tahoma" w:hAnsi="Tahoma" w:cs="Tahoma"/>
                <w:b/>
                <w:bCs/>
                <w:color w:val="243285"/>
                <w:sz w:val="44"/>
                <w:szCs w:val="44"/>
                <w:lang w:val="es-ES"/>
              </w:rPr>
              <w:t xml:space="preserve"> </w:t>
            </w:r>
            <w:r w:rsidRPr="008C24BC">
              <w:rPr>
                <w:rFonts w:ascii="Tahoma" w:hAnsi="Tahoma" w:cs="Tahoma"/>
                <w:b/>
                <w:bCs/>
                <w:color w:val="243285"/>
                <w:sz w:val="44"/>
                <w:szCs w:val="44"/>
                <w:lang w:val="es-ES"/>
              </w:rPr>
              <w:t>han</w:t>
            </w:r>
            <w:r>
              <w:rPr>
                <w:rFonts w:ascii="Tahoma" w:hAnsi="Tahoma" w:cs="Tahoma"/>
                <w:b/>
                <w:bCs/>
                <w:color w:val="243285"/>
                <w:sz w:val="44"/>
                <w:szCs w:val="44"/>
                <w:lang w:val="es-ES"/>
              </w:rPr>
              <w:br/>
            </w:r>
            <w:r w:rsidRPr="008C24BC">
              <w:rPr>
                <w:rFonts w:ascii="Tahoma" w:hAnsi="Tahoma" w:cs="Tahoma"/>
                <w:b/>
                <w:bCs/>
                <w:color w:val="243285"/>
                <w:sz w:val="44"/>
                <w:szCs w:val="44"/>
                <w:lang w:val="es-ES"/>
              </w:rPr>
              <w:t>de protegerse contra las emisiones</w:t>
            </w:r>
            <w:r>
              <w:rPr>
                <w:rFonts w:ascii="Tahoma" w:hAnsi="Tahoma" w:cs="Tahoma"/>
                <w:b/>
                <w:bCs/>
                <w:color w:val="243285"/>
                <w:sz w:val="44"/>
                <w:szCs w:val="44"/>
                <w:lang w:val="es-ES"/>
              </w:rPr>
              <w:br/>
            </w:r>
            <w:r w:rsidRPr="008C24BC">
              <w:rPr>
                <w:rFonts w:ascii="Tahoma" w:hAnsi="Tahoma" w:cs="Tahoma"/>
                <w:b/>
                <w:bCs/>
                <w:color w:val="243285"/>
                <w:sz w:val="44"/>
                <w:szCs w:val="44"/>
                <w:lang w:val="es-ES"/>
              </w:rPr>
              <w:t>de los</w:t>
            </w:r>
            <w:r>
              <w:rPr>
                <w:rFonts w:ascii="Tahoma" w:hAnsi="Tahoma" w:cs="Tahoma"/>
                <w:b/>
                <w:bCs/>
                <w:color w:val="243285"/>
                <w:sz w:val="44"/>
                <w:szCs w:val="44"/>
                <w:lang w:val="es-ES"/>
              </w:rPr>
              <w:t xml:space="preserve"> </w:t>
            </w:r>
            <w:r w:rsidRPr="008C24BC">
              <w:rPr>
                <w:rFonts w:ascii="Tahoma" w:hAnsi="Tahoma" w:cs="Tahoma"/>
                <w:b/>
                <w:bCs/>
                <w:color w:val="243285"/>
                <w:sz w:val="44"/>
                <w:szCs w:val="44"/>
                <w:lang w:val="es-ES"/>
              </w:rPr>
              <w:t>sistemas del</w:t>
            </w:r>
            <w:r>
              <w:rPr>
                <w:rFonts w:ascii="Tahoma" w:hAnsi="Tahoma" w:cs="Tahoma"/>
                <w:b/>
                <w:bCs/>
                <w:color w:val="243285"/>
                <w:sz w:val="44"/>
                <w:szCs w:val="44"/>
                <w:lang w:val="es-ES"/>
              </w:rPr>
              <w:t xml:space="preserve"> </w:t>
            </w:r>
            <w:r w:rsidRPr="008C24BC">
              <w:rPr>
                <w:rFonts w:ascii="Tahoma" w:hAnsi="Tahoma" w:cs="Tahoma"/>
                <w:b/>
                <w:bCs/>
                <w:color w:val="243285"/>
                <w:sz w:val="44"/>
                <w:szCs w:val="44"/>
                <w:lang w:val="es-ES"/>
              </w:rPr>
              <w:t>servicio fijo</w:t>
            </w:r>
            <w:r w:rsidR="00E128BF">
              <w:rPr>
                <w:rFonts w:ascii="Tahoma" w:hAnsi="Tahoma" w:cs="Tahoma"/>
                <w:b/>
                <w:bCs/>
                <w:color w:val="243285"/>
                <w:sz w:val="44"/>
                <w:szCs w:val="44"/>
                <w:lang w:val="es-ES"/>
              </w:rPr>
              <w:br/>
            </w:r>
            <w:r w:rsidRPr="008C24BC">
              <w:rPr>
                <w:rFonts w:ascii="Tahoma" w:hAnsi="Tahoma" w:cs="Tahoma"/>
                <w:b/>
                <w:bCs/>
                <w:color w:val="243285"/>
                <w:sz w:val="44"/>
                <w:szCs w:val="44"/>
                <w:lang w:val="es-ES"/>
              </w:rPr>
              <w:t>que funcionan en la banda</w:t>
            </w:r>
            <w:r w:rsidR="00E128BF">
              <w:rPr>
                <w:rFonts w:ascii="Tahoma" w:hAnsi="Tahoma" w:cs="Tahoma"/>
                <w:b/>
                <w:bCs/>
                <w:color w:val="243285"/>
                <w:sz w:val="44"/>
                <w:szCs w:val="44"/>
                <w:lang w:val="es-ES"/>
              </w:rPr>
              <w:br/>
            </w:r>
            <w:r w:rsidRPr="008C24BC">
              <w:rPr>
                <w:rFonts w:ascii="Tahoma" w:hAnsi="Tahoma" w:cs="Tahoma"/>
                <w:b/>
                <w:bCs/>
                <w:color w:val="243285"/>
                <w:sz w:val="44"/>
                <w:szCs w:val="44"/>
                <w:lang w:val="es-ES"/>
              </w:rPr>
              <w:t>25,25-27,5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7406B"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27406B"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27406B"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27406B"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27406B"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27406B"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27406B"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27406B"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717A" w:rsidRPr="0027406B"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3223EB">
      <w:pPr>
        <w:spacing w:before="0" w:after="40"/>
        <w:jc w:val="right"/>
        <w:rPr>
          <w:sz w:val="20"/>
          <w:lang w:val="es-ES_tradnl"/>
        </w:rPr>
      </w:pPr>
      <w:r w:rsidRPr="00763D08">
        <w:rPr>
          <w:sz w:val="20"/>
          <w:lang w:val="es-ES_tradnl"/>
        </w:rPr>
        <w:t>Ginebra, 20</w:t>
      </w:r>
      <w:r w:rsidR="00EB1589">
        <w:rPr>
          <w:sz w:val="20"/>
          <w:lang w:val="es-ES_tradnl"/>
        </w:rPr>
        <w:t>1</w:t>
      </w:r>
      <w:r w:rsidR="003223EB">
        <w:rPr>
          <w:sz w:val="20"/>
          <w:lang w:val="es-ES_tradnl"/>
        </w:rPr>
        <w:t>1</w:t>
      </w:r>
    </w:p>
    <w:p w:rsidR="00B1717A" w:rsidRPr="00763D08" w:rsidRDefault="00B1717A" w:rsidP="00B1717A">
      <w:pPr>
        <w:spacing w:before="0"/>
        <w:jc w:val="center"/>
        <w:rPr>
          <w:sz w:val="22"/>
          <w:lang w:val="es-ES_tradnl"/>
        </w:rPr>
      </w:pPr>
    </w:p>
    <w:p w:rsidR="00B1717A" w:rsidRPr="00763D08" w:rsidRDefault="00B1717A" w:rsidP="003223E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3223EB">
        <w:rPr>
          <w:sz w:val="20"/>
          <w:lang w:val="es-ES_tradnl"/>
        </w:rPr>
        <w:t>1</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B1717A" w:rsidRDefault="0027406B" w:rsidP="0027406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.1</w:t>
      </w:r>
      <w:r>
        <w:rPr>
          <w:rStyle w:val="href"/>
          <w:lang w:val="es-ES_tradnl"/>
        </w:rPr>
        <w:t>276-3</w:t>
      </w:r>
      <w:r>
        <w:rPr>
          <w:rStyle w:val="FootnoteReference"/>
          <w:lang w:val="es-ES_tradnl"/>
        </w:rPr>
        <w:footnoteReference w:customMarkFollows="1" w:id="1"/>
        <w:t>*</w:t>
      </w:r>
    </w:p>
    <w:p w:rsidR="0027406B" w:rsidRPr="00B17F42" w:rsidRDefault="0027406B" w:rsidP="00E128BF">
      <w:pPr>
        <w:pStyle w:val="Rectitle"/>
        <w:rPr>
          <w:lang w:val="es-ES_tradnl"/>
        </w:rPr>
      </w:pPr>
      <w:r w:rsidRPr="00B17F42">
        <w:rPr>
          <w:lang w:val="es-ES_tradnl"/>
        </w:rPr>
        <w:t>Posiciones orbitales de los satélites de retransmisión de datos</w:t>
      </w:r>
      <w:r w:rsidR="00E128BF">
        <w:rPr>
          <w:lang w:val="es-ES_tradnl"/>
        </w:rPr>
        <w:t xml:space="preserve"> </w:t>
      </w:r>
      <w:r w:rsidR="00E128BF">
        <w:rPr>
          <w:lang w:val="es-ES_tradnl"/>
        </w:rPr>
        <w:br/>
      </w:r>
      <w:r w:rsidR="00E128BF" w:rsidRPr="00B17F42">
        <w:rPr>
          <w:lang w:val="es-ES_tradnl"/>
        </w:rPr>
        <w:t>que</w:t>
      </w:r>
      <w:r w:rsidR="00E128BF" w:rsidRPr="00B17F42">
        <w:rPr>
          <w:lang w:val="es-ES_tradnl"/>
        </w:rPr>
        <w:t xml:space="preserve"> </w:t>
      </w:r>
      <w:r w:rsidRPr="00B17F42">
        <w:rPr>
          <w:lang w:val="es-ES_tradnl"/>
        </w:rPr>
        <w:t>han</w:t>
      </w:r>
      <w:r w:rsidR="00E128BF">
        <w:rPr>
          <w:lang w:val="es-ES_tradnl"/>
        </w:rPr>
        <w:t xml:space="preserve"> </w:t>
      </w:r>
      <w:r w:rsidRPr="00B17F42">
        <w:rPr>
          <w:lang w:val="es-ES_tradnl"/>
        </w:rPr>
        <w:t>de protegerse contra las emisiones de los sistemas</w:t>
      </w:r>
      <w:r w:rsidR="00E128BF">
        <w:rPr>
          <w:lang w:val="es-ES_tradnl"/>
        </w:rPr>
        <w:t xml:space="preserve"> </w:t>
      </w:r>
      <w:r w:rsidR="00E128BF">
        <w:rPr>
          <w:lang w:val="es-ES_tradnl"/>
        </w:rPr>
        <w:br/>
        <w:t xml:space="preserve">del </w:t>
      </w:r>
      <w:r w:rsidRPr="00B17F42">
        <w:rPr>
          <w:lang w:val="es-ES_tradnl"/>
        </w:rPr>
        <w:t>servicio fijo</w:t>
      </w:r>
      <w:r w:rsidR="00E128BF">
        <w:rPr>
          <w:lang w:val="es-ES_tradnl"/>
        </w:rPr>
        <w:t xml:space="preserve"> </w:t>
      </w:r>
      <w:r w:rsidRPr="00B17F42">
        <w:rPr>
          <w:lang w:val="es-ES_tradnl"/>
        </w:rPr>
        <w:t>que funcionan en</w:t>
      </w:r>
      <w:r w:rsidR="00E128BF">
        <w:rPr>
          <w:lang w:val="es-ES_tradnl"/>
        </w:rPr>
        <w:br/>
      </w:r>
      <w:r w:rsidRPr="00B17F42">
        <w:rPr>
          <w:lang w:val="es-ES_tradnl"/>
        </w:rPr>
        <w:t>la banda 25,25-27,5 GHz</w:t>
      </w:r>
    </w:p>
    <w:p w:rsidR="0027406B" w:rsidRPr="00B17F42" w:rsidRDefault="0027406B" w:rsidP="0027406B">
      <w:pPr>
        <w:pStyle w:val="Recref"/>
        <w:rPr>
          <w:lang w:val="es-ES_tradnl"/>
        </w:rPr>
      </w:pPr>
      <w:r w:rsidRPr="00B17F42">
        <w:rPr>
          <w:lang w:val="es-ES_tradnl"/>
        </w:rPr>
        <w:t>(Cuestión UIT-R 118/7)</w:t>
      </w:r>
    </w:p>
    <w:p w:rsidR="008B4538" w:rsidRDefault="008B4538" w:rsidP="0027406B">
      <w:pPr>
        <w:pStyle w:val="Recdate"/>
        <w:rPr>
          <w:lang w:val="es-ES_tradnl"/>
        </w:rPr>
      </w:pPr>
    </w:p>
    <w:p w:rsidR="0027406B" w:rsidRPr="00B17F42" w:rsidRDefault="0027406B" w:rsidP="0027406B">
      <w:pPr>
        <w:pStyle w:val="Recdate"/>
        <w:rPr>
          <w:lang w:val="es-ES_tradnl"/>
        </w:rPr>
      </w:pPr>
      <w:r w:rsidRPr="00B17F42">
        <w:rPr>
          <w:lang w:val="es-ES_tradnl"/>
        </w:rPr>
        <w:t>(1997-2003-2009</w:t>
      </w:r>
      <w:r>
        <w:rPr>
          <w:lang w:val="es-ES_tradnl"/>
        </w:rPr>
        <w:t>-2011</w:t>
      </w:r>
      <w:r w:rsidRPr="00B17F42">
        <w:rPr>
          <w:lang w:val="es-ES_tradnl"/>
        </w:rPr>
        <w:t>)</w:t>
      </w:r>
    </w:p>
    <w:p w:rsidR="0027406B" w:rsidRPr="008B4538" w:rsidRDefault="008B4538" w:rsidP="008B4538">
      <w:pPr>
        <w:pStyle w:val="HeadingSum"/>
        <w:rPr>
          <w:sz w:val="24"/>
        </w:rPr>
      </w:pPr>
      <w:r w:rsidRPr="008B4538">
        <w:rPr>
          <w:sz w:val="24"/>
        </w:rPr>
        <w:t>Cometido</w:t>
      </w:r>
    </w:p>
    <w:p w:rsidR="0027406B" w:rsidRPr="008B4538" w:rsidRDefault="0027406B" w:rsidP="00F20E15">
      <w:pPr>
        <w:pStyle w:val="Summary"/>
        <w:rPr>
          <w:sz w:val="24"/>
        </w:rPr>
      </w:pPr>
      <w:r w:rsidRPr="008B4538">
        <w:rPr>
          <w:sz w:val="24"/>
        </w:rPr>
        <w:t>En la presente Recomendación se especifican las posiciones orbitales de los satélites de retransmisión de datos (DRS) que han de protegerse de las emisiones de los sistemas del servicio fijo que funcionan en la banda</w:t>
      </w:r>
      <w:r w:rsidR="00F20E15">
        <w:rPr>
          <w:sz w:val="24"/>
        </w:rPr>
        <w:t xml:space="preserve"> </w:t>
      </w:r>
      <w:bookmarkStart w:id="4" w:name="_GoBack"/>
      <w:bookmarkEnd w:id="4"/>
      <w:r w:rsidRPr="008B4538">
        <w:rPr>
          <w:sz w:val="24"/>
        </w:rPr>
        <w:t>25,25-27,5 GHz, sobre la base de los límites de la p.i.r.e. y de la densidad espectral de p.i.r.e. indicados en la Recomendación UIT-R F.1249.</w:t>
      </w:r>
    </w:p>
    <w:p w:rsidR="0027406B" w:rsidRPr="00B17F42" w:rsidRDefault="0027406B" w:rsidP="0027406B">
      <w:pPr>
        <w:pStyle w:val="Normalaftertitle"/>
        <w:spacing w:before="160"/>
        <w:rPr>
          <w:lang w:val="es-ES_tradnl"/>
        </w:rPr>
      </w:pPr>
      <w:r w:rsidRPr="00B17F42">
        <w:rPr>
          <w:lang w:val="es-ES_tradnl"/>
        </w:rPr>
        <w:t>La Asamblea de Radiocomunicaciones de la UIT,</w:t>
      </w:r>
    </w:p>
    <w:p w:rsidR="0027406B" w:rsidRPr="00B17F42" w:rsidRDefault="0027406B" w:rsidP="0027406B">
      <w:pPr>
        <w:pStyle w:val="Call"/>
        <w:rPr>
          <w:lang w:val="es-ES_tradnl"/>
        </w:rPr>
      </w:pPr>
      <w:r w:rsidRPr="00B17F42">
        <w:rPr>
          <w:lang w:val="es-ES_tradnl"/>
        </w:rPr>
        <w:t>considerando</w:t>
      </w:r>
    </w:p>
    <w:p w:rsidR="0027406B" w:rsidRPr="00B17F42" w:rsidRDefault="0027406B" w:rsidP="0027406B">
      <w:pPr>
        <w:spacing w:line="0" w:lineRule="atLeast"/>
        <w:rPr>
          <w:lang w:val="es-ES_tradnl"/>
        </w:rPr>
      </w:pPr>
      <w:r w:rsidRPr="00B17F42">
        <w:rPr>
          <w:lang w:val="es-ES_tradnl"/>
        </w:rPr>
        <w:t>a)</w:t>
      </w:r>
      <w:r w:rsidRPr="00B17F42">
        <w:rPr>
          <w:lang w:val="es-ES_tradnl"/>
        </w:rPr>
        <w:tab/>
        <w:t>que la banda 25,25-27,5 GHz es utilizada, entre otras, por el servicio entre satélites para transmisiones desde satélites de órbita terrestre baja (LEO) a receptores a bordo de satélites de retransmisión de datos (SRD) en órbita geoestacionaria;</w:t>
      </w:r>
    </w:p>
    <w:p w:rsidR="0027406B" w:rsidRPr="00B17F42" w:rsidRDefault="0027406B" w:rsidP="0027406B">
      <w:pPr>
        <w:spacing w:line="0" w:lineRule="atLeast"/>
        <w:rPr>
          <w:lang w:val="es-ES_tradnl"/>
        </w:rPr>
      </w:pPr>
      <w:r w:rsidRPr="00B17F42">
        <w:rPr>
          <w:lang w:val="es-ES_tradnl"/>
        </w:rPr>
        <w:t>b)</w:t>
      </w:r>
      <w:r w:rsidRPr="00B17F42">
        <w:rPr>
          <w:lang w:val="es-ES_tradnl"/>
        </w:rPr>
        <w:tab/>
        <w:t>que esta banda de frecuencias es compartida a título primario</w:t>
      </w:r>
      <w:r>
        <w:rPr>
          <w:lang w:val="es-ES_tradnl"/>
        </w:rPr>
        <w:t>, entre otros</w:t>
      </w:r>
      <w:r w:rsidRPr="00B17F42">
        <w:rPr>
          <w:lang w:val="es-ES_tradnl"/>
        </w:rPr>
        <w:t xml:space="preserve"> con el servicio fijo;</w:t>
      </w:r>
    </w:p>
    <w:p w:rsidR="0027406B" w:rsidRPr="00B17F42" w:rsidRDefault="0027406B" w:rsidP="0027406B">
      <w:pPr>
        <w:spacing w:line="0" w:lineRule="atLeast"/>
        <w:rPr>
          <w:lang w:val="es-ES_tradnl"/>
        </w:rPr>
      </w:pPr>
      <w:r w:rsidRPr="00B17F42">
        <w:rPr>
          <w:lang w:val="es-ES_tradnl"/>
        </w:rPr>
        <w:t>c)</w:t>
      </w:r>
      <w:r w:rsidRPr="00B17F42">
        <w:rPr>
          <w:lang w:val="es-ES_tradnl"/>
        </w:rPr>
        <w:tab/>
        <w:t>que los estudios han mostrado que las estaciones del servicio fijo que tienen emisiones cerca del eje de puntería dirigidas hacia la ubicación orbital de un SRD pueden producir interferencias en el receptor del SRD con niveles que sobrepasan los valores indicados en la Recomendación UIT-R SA.1155;</w:t>
      </w:r>
    </w:p>
    <w:p w:rsidR="0027406B" w:rsidRPr="00B17F42" w:rsidRDefault="0027406B" w:rsidP="0027406B">
      <w:pPr>
        <w:spacing w:line="0" w:lineRule="atLeast"/>
        <w:rPr>
          <w:lang w:val="es-ES_tradnl"/>
        </w:rPr>
      </w:pPr>
      <w:r w:rsidRPr="00B17F42">
        <w:rPr>
          <w:lang w:val="es-ES_tradnl"/>
        </w:rPr>
        <w:t>d)</w:t>
      </w:r>
      <w:r w:rsidRPr="00B17F42">
        <w:rPr>
          <w:lang w:val="es-ES_tradnl"/>
        </w:rPr>
        <w:tab/>
        <w:t>que la posibilidad de interferencia a un receptor de SRD depende de la densidad de p.i.r.e. de las emisiones de estaciones del servicio fijo radiadas hacia la ubicación orbital del SRD;</w:t>
      </w:r>
    </w:p>
    <w:p w:rsidR="0027406B" w:rsidRPr="00B17F42" w:rsidRDefault="0027406B" w:rsidP="0027406B">
      <w:pPr>
        <w:spacing w:line="0" w:lineRule="atLeast"/>
        <w:rPr>
          <w:lang w:val="es-ES_tradnl"/>
        </w:rPr>
      </w:pPr>
      <w:r w:rsidRPr="00B17F42">
        <w:rPr>
          <w:lang w:val="es-ES_tradnl"/>
        </w:rPr>
        <w:t>e)</w:t>
      </w:r>
      <w:r w:rsidRPr="00B17F42">
        <w:rPr>
          <w:lang w:val="es-ES_tradnl"/>
        </w:rPr>
        <w:tab/>
        <w:t>que la Recomendación UIT-R F.1249 establece los límites prácticos de la p.i.r.e. y de la densidad espectral de p.i.r.e. radiada por las estaciones del servicio fijo en la dirección de los SRD en órbita geoestacionaria;</w:t>
      </w:r>
    </w:p>
    <w:p w:rsidR="0027406B" w:rsidRPr="00B17F42" w:rsidRDefault="0027406B" w:rsidP="0027406B">
      <w:pPr>
        <w:spacing w:line="0" w:lineRule="atLeast"/>
        <w:rPr>
          <w:lang w:val="es-ES_tradnl"/>
        </w:rPr>
      </w:pPr>
      <w:r w:rsidRPr="00B17F42">
        <w:rPr>
          <w:lang w:val="es-ES_tradnl"/>
        </w:rPr>
        <w:t>f)</w:t>
      </w:r>
      <w:r w:rsidRPr="00B17F42">
        <w:rPr>
          <w:lang w:val="es-ES_tradnl"/>
        </w:rPr>
        <w:tab/>
        <w:t>que un número reducido de redes de SRD han sido instaladas o están en fase de instalación y no han sido dotadas de las capacidades adecuadas de atenuación de interferencias;</w:t>
      </w:r>
    </w:p>
    <w:p w:rsidR="0027406B" w:rsidRPr="00B17F42" w:rsidRDefault="0027406B" w:rsidP="0027406B">
      <w:pPr>
        <w:spacing w:line="0" w:lineRule="atLeast"/>
        <w:rPr>
          <w:lang w:val="es-ES_tradnl"/>
        </w:rPr>
      </w:pPr>
      <w:r w:rsidRPr="00B17F42">
        <w:rPr>
          <w:lang w:val="es-ES_tradnl"/>
        </w:rPr>
        <w:t>g)</w:t>
      </w:r>
      <w:r w:rsidRPr="00B17F42">
        <w:rPr>
          <w:lang w:val="es-ES_tradnl"/>
        </w:rPr>
        <w:tab/>
        <w:t>que conviene especificar cuáles son las ubicaciones orbitales geoestacionarias que se han de proteger para que las administraciones dispongan del máximo grado de flexibilidad al instalar las estaciones del servicio fijo en estas bandas de frecuencias,</w:t>
      </w:r>
    </w:p>
    <w:p w:rsidR="0027406B" w:rsidRPr="00B17F42" w:rsidRDefault="0027406B" w:rsidP="0027406B">
      <w:pPr>
        <w:pStyle w:val="Call"/>
        <w:rPr>
          <w:lang w:val="es-ES_tradnl"/>
        </w:rPr>
      </w:pPr>
      <w:r w:rsidRPr="00B17F42">
        <w:rPr>
          <w:lang w:val="es-ES_tradnl"/>
        </w:rPr>
        <w:lastRenderedPageBreak/>
        <w:t>recomienda</w:t>
      </w:r>
    </w:p>
    <w:p w:rsidR="0027406B" w:rsidRDefault="0027406B" w:rsidP="00E128BF">
      <w:pPr>
        <w:keepNext/>
        <w:keepLines/>
        <w:rPr>
          <w:lang w:val="es-ES_tradnl"/>
        </w:rPr>
      </w:pPr>
      <w:r w:rsidRPr="009960B4">
        <w:rPr>
          <w:b/>
          <w:bCs/>
          <w:lang w:val="es-ES_tradnl"/>
        </w:rPr>
        <w:t>1</w:t>
      </w:r>
      <w:r w:rsidRPr="00B17F42">
        <w:rPr>
          <w:lang w:val="es-ES_tradnl"/>
        </w:rPr>
        <w:tab/>
        <w:t>que los receptores a bordo de SRD que funcionan en la banda 25,25-27,5 GHz que han de ser protegidos de acuerdo con las disposiciones de la Recomendación</w:t>
      </w:r>
      <w:r w:rsidR="00E128BF">
        <w:rPr>
          <w:lang w:val="es-ES_tradnl"/>
        </w:rPr>
        <w:t xml:space="preserve"> </w:t>
      </w:r>
      <w:r w:rsidRPr="00B17F42">
        <w:rPr>
          <w:lang w:val="es-ES_tradnl"/>
        </w:rPr>
        <w:t xml:space="preserve">UIT-R F.1249 se sitúen en las siguientes posiciones de la órbita geoestacionaria (en dirección Este): </w:t>
      </w:r>
      <w:r>
        <w:rPr>
          <w:lang w:val="es-ES_tradnl"/>
        </w:rPr>
        <w:t>10</w:t>
      </w:r>
      <w:r w:rsidRPr="00B17F42">
        <w:rPr>
          <w:lang w:val="es-ES_tradnl"/>
        </w:rPr>
        <w:t>,</w:t>
      </w:r>
      <w:r>
        <w:rPr>
          <w:lang w:val="es-ES_tradnl"/>
        </w:rPr>
        <w:t>6</w:t>
      </w:r>
      <w:r w:rsidR="00E128BF">
        <w:rPr>
          <w:lang w:val="es-ES_tradnl"/>
        </w:rPr>
        <w:t>°</w:t>
      </w:r>
      <w:r w:rsidRPr="00B17F42">
        <w:rPr>
          <w:lang w:val="es-ES_tradnl"/>
        </w:rPr>
        <w:t>; 16,4</w:t>
      </w:r>
      <w:r w:rsidR="00E128BF">
        <w:rPr>
          <w:lang w:val="es-ES_tradnl"/>
        </w:rPr>
        <w:t>°</w:t>
      </w:r>
      <w:r w:rsidRPr="00B17F42">
        <w:rPr>
          <w:lang w:val="es-ES_tradnl"/>
        </w:rPr>
        <w:t>;</w:t>
      </w:r>
      <w:r>
        <w:rPr>
          <w:lang w:val="es-ES_tradnl"/>
        </w:rPr>
        <w:t xml:space="preserve"> </w:t>
      </w:r>
      <w:r w:rsidRPr="00B17F42">
        <w:rPr>
          <w:lang w:val="es-ES_tradnl"/>
        </w:rPr>
        <w:t>16,</w:t>
      </w:r>
      <w:r>
        <w:rPr>
          <w:lang w:val="es-ES_tradnl"/>
        </w:rPr>
        <w:t>8</w:t>
      </w:r>
      <w:r w:rsidR="00E128BF">
        <w:rPr>
          <w:lang w:val="es-ES_tradnl"/>
        </w:rPr>
        <w:t>°</w:t>
      </w:r>
      <w:r w:rsidRPr="00B17F42">
        <w:rPr>
          <w:lang w:val="es-ES_tradnl"/>
        </w:rPr>
        <w:t>; 21,5</w:t>
      </w:r>
      <w:r w:rsidR="00E128BF">
        <w:rPr>
          <w:lang w:val="es-ES_tradnl"/>
        </w:rPr>
        <w:t>°</w:t>
      </w:r>
      <w:r w:rsidRPr="00B17F42">
        <w:rPr>
          <w:lang w:val="es-ES_tradnl"/>
        </w:rPr>
        <w:t>; 47</w:t>
      </w:r>
      <w:r w:rsidR="00E128BF">
        <w:rPr>
          <w:lang w:val="es-ES_tradnl"/>
        </w:rPr>
        <w:t>°</w:t>
      </w:r>
      <w:r w:rsidRPr="00B17F42">
        <w:rPr>
          <w:lang w:val="es-ES_tradnl"/>
        </w:rPr>
        <w:t>; 59</w:t>
      </w:r>
      <w:r w:rsidR="00E128BF">
        <w:rPr>
          <w:lang w:val="es-ES_tradnl"/>
        </w:rPr>
        <w:t>°</w:t>
      </w:r>
      <w:r w:rsidRPr="00B17F42">
        <w:rPr>
          <w:lang w:val="es-ES_tradnl"/>
        </w:rPr>
        <w:t xml:space="preserve">; </w:t>
      </w:r>
      <w:r>
        <w:rPr>
          <w:lang w:val="es-ES_tradnl"/>
        </w:rPr>
        <w:t>77</w:t>
      </w:r>
      <w:r w:rsidR="00E128BF">
        <w:rPr>
          <w:lang w:val="es-ES_tradnl"/>
        </w:rPr>
        <w:t>°</w:t>
      </w:r>
      <w:r w:rsidRPr="00B17F42">
        <w:rPr>
          <w:lang w:val="es-ES_tradnl"/>
        </w:rPr>
        <w:t xml:space="preserve">; </w:t>
      </w:r>
      <w:r>
        <w:rPr>
          <w:lang w:val="es-ES_tradnl"/>
        </w:rPr>
        <w:t>80</w:t>
      </w:r>
      <w:r w:rsidR="00E128BF">
        <w:rPr>
          <w:lang w:val="es-ES_tradnl"/>
        </w:rPr>
        <w:t>°</w:t>
      </w:r>
      <w:r w:rsidRPr="00B17F42">
        <w:rPr>
          <w:lang w:val="es-ES_tradnl"/>
        </w:rPr>
        <w:t>; 85</w:t>
      </w:r>
      <w:r w:rsidR="00E128BF">
        <w:rPr>
          <w:lang w:val="es-ES_tradnl"/>
        </w:rPr>
        <w:t>°</w:t>
      </w:r>
      <w:r w:rsidRPr="00B17F42">
        <w:rPr>
          <w:lang w:val="es-ES_tradnl"/>
        </w:rPr>
        <w:t>; 89</w:t>
      </w:r>
      <w:r w:rsidR="00E128BF">
        <w:rPr>
          <w:lang w:val="es-ES_tradnl"/>
        </w:rPr>
        <w:t>°</w:t>
      </w:r>
      <w:r w:rsidRPr="00B17F42">
        <w:rPr>
          <w:lang w:val="es-ES_tradnl"/>
        </w:rPr>
        <w:t>, 90,75</w:t>
      </w:r>
      <w:r w:rsidR="00E128BF">
        <w:rPr>
          <w:lang w:val="es-ES_tradnl"/>
        </w:rPr>
        <w:t>°</w:t>
      </w:r>
      <w:r w:rsidRPr="00B17F42">
        <w:rPr>
          <w:lang w:val="es-ES_tradnl"/>
        </w:rPr>
        <w:t>; 95</w:t>
      </w:r>
      <w:r w:rsidR="00E128BF">
        <w:rPr>
          <w:lang w:val="es-ES_tradnl"/>
        </w:rPr>
        <w:t>°</w:t>
      </w:r>
      <w:r w:rsidRPr="00B17F42">
        <w:rPr>
          <w:lang w:val="es-ES_tradnl"/>
        </w:rPr>
        <w:t>; 113</w:t>
      </w:r>
      <w:r w:rsidR="00E128BF">
        <w:rPr>
          <w:lang w:val="es-ES_tradnl"/>
        </w:rPr>
        <w:t>°</w:t>
      </w:r>
      <w:r w:rsidRPr="00B17F42">
        <w:rPr>
          <w:lang w:val="es-ES_tradnl"/>
        </w:rPr>
        <w:t>; 121</w:t>
      </w:r>
      <w:r w:rsidR="00E128BF">
        <w:rPr>
          <w:lang w:val="es-ES_tradnl"/>
        </w:rPr>
        <w:t>°</w:t>
      </w:r>
      <w:r w:rsidRPr="00B17F42">
        <w:rPr>
          <w:lang w:val="es-ES_tradnl"/>
        </w:rPr>
        <w:t>; 133</w:t>
      </w:r>
      <w:r w:rsidR="00E128BF">
        <w:rPr>
          <w:lang w:val="es-ES_tradnl"/>
        </w:rPr>
        <w:t>°</w:t>
      </w:r>
      <w:r w:rsidRPr="00B17F42">
        <w:rPr>
          <w:lang w:val="es-ES_tradnl"/>
        </w:rPr>
        <w:t>; 160</w:t>
      </w:r>
      <w:r w:rsidR="00E128BF">
        <w:rPr>
          <w:lang w:val="es-ES_tradnl"/>
        </w:rPr>
        <w:t>°</w:t>
      </w:r>
      <w:r w:rsidRPr="00B17F42">
        <w:rPr>
          <w:lang w:val="es-ES_tradnl"/>
        </w:rPr>
        <w:t xml:space="preserve">; </w:t>
      </w:r>
      <w:r>
        <w:rPr>
          <w:lang w:val="es-ES_tradnl"/>
        </w:rPr>
        <w:t>171</w:t>
      </w:r>
      <w:r w:rsidR="00E128BF">
        <w:rPr>
          <w:lang w:val="es-ES_tradnl"/>
        </w:rPr>
        <w:t>°</w:t>
      </w:r>
      <w:r w:rsidRPr="00B17F42">
        <w:rPr>
          <w:lang w:val="es-ES_tradnl"/>
        </w:rPr>
        <w:t xml:space="preserve">; </w:t>
      </w:r>
      <w:r>
        <w:rPr>
          <w:lang w:val="es-ES_tradnl"/>
        </w:rPr>
        <w:t>176,8</w:t>
      </w:r>
      <w:r w:rsidR="00E128BF">
        <w:rPr>
          <w:lang w:val="es-ES_tradnl"/>
        </w:rPr>
        <w:t>°</w:t>
      </w:r>
      <w:r w:rsidRPr="00B17F42">
        <w:rPr>
          <w:lang w:val="es-ES_tradnl"/>
        </w:rPr>
        <w:t xml:space="preserve"> 177,5</w:t>
      </w:r>
      <w:r w:rsidR="00E128BF">
        <w:rPr>
          <w:lang w:val="es-ES_tradnl"/>
        </w:rPr>
        <w:t>°</w:t>
      </w:r>
      <w:r w:rsidRPr="00B17F42">
        <w:rPr>
          <w:lang w:val="es-ES_tradnl"/>
        </w:rPr>
        <w:t>; 186</w:t>
      </w:r>
      <w:r w:rsidR="00E128BF">
        <w:rPr>
          <w:lang w:val="es-ES_tradnl"/>
        </w:rPr>
        <w:t>°</w:t>
      </w:r>
      <w:r w:rsidRPr="00B17F42">
        <w:rPr>
          <w:lang w:val="es-ES_tradnl"/>
        </w:rPr>
        <w:t>; 189</w:t>
      </w:r>
      <w:r w:rsidR="00E128BF">
        <w:rPr>
          <w:lang w:val="es-ES_tradnl"/>
        </w:rPr>
        <w:t>°</w:t>
      </w:r>
      <w:r w:rsidRPr="00B17F42">
        <w:rPr>
          <w:lang w:val="es-ES_tradnl"/>
        </w:rPr>
        <w:t>; 190</w:t>
      </w:r>
      <w:r w:rsidR="00E128BF">
        <w:rPr>
          <w:lang w:val="es-ES_tradnl"/>
        </w:rPr>
        <w:t>°</w:t>
      </w:r>
      <w:r w:rsidRPr="00B17F42">
        <w:rPr>
          <w:lang w:val="es-ES_tradnl"/>
        </w:rPr>
        <w:t>; 200</w:t>
      </w:r>
      <w:r w:rsidR="00E128BF">
        <w:rPr>
          <w:lang w:val="es-ES_tradnl"/>
        </w:rPr>
        <w:t>°</w:t>
      </w:r>
      <w:r w:rsidRPr="00B17F42">
        <w:rPr>
          <w:lang w:val="es-ES_tradnl"/>
        </w:rPr>
        <w:t>; 221</w:t>
      </w:r>
      <w:r w:rsidR="00E128BF">
        <w:rPr>
          <w:lang w:val="es-ES_tradnl"/>
        </w:rPr>
        <w:t>°</w:t>
      </w:r>
      <w:r w:rsidRPr="00B17F42">
        <w:rPr>
          <w:lang w:val="es-ES_tradnl"/>
        </w:rPr>
        <w:t>; 298</w:t>
      </w:r>
      <w:r w:rsidR="00E128BF">
        <w:rPr>
          <w:lang w:val="es-ES_tradnl"/>
        </w:rPr>
        <w:t>°</w:t>
      </w:r>
      <w:r w:rsidRPr="00B17F42">
        <w:rPr>
          <w:lang w:val="es-ES_tradnl"/>
        </w:rPr>
        <w:t>; 311</w:t>
      </w:r>
      <w:r w:rsidR="00E128BF">
        <w:rPr>
          <w:lang w:val="es-ES_tradnl"/>
        </w:rPr>
        <w:t>°</w:t>
      </w:r>
      <w:r w:rsidRPr="00B17F42">
        <w:rPr>
          <w:lang w:val="es-ES_tradnl"/>
        </w:rPr>
        <w:t>; 314</w:t>
      </w:r>
      <w:r w:rsidR="00E128BF">
        <w:rPr>
          <w:lang w:val="es-ES_tradnl"/>
        </w:rPr>
        <w:t>°</w:t>
      </w:r>
      <w:r w:rsidRPr="00B17F42">
        <w:rPr>
          <w:lang w:val="es-ES_tradnl"/>
        </w:rPr>
        <w:t>; 316</w:t>
      </w:r>
      <w:r w:rsidR="00E128BF">
        <w:rPr>
          <w:lang w:val="es-ES_tradnl"/>
        </w:rPr>
        <w:t>°</w:t>
      </w:r>
      <w:r w:rsidRPr="00B17F42">
        <w:rPr>
          <w:lang w:val="es-ES_tradnl"/>
        </w:rPr>
        <w:t>; 319</w:t>
      </w:r>
      <w:r w:rsidR="00E128BF">
        <w:rPr>
          <w:lang w:val="es-ES_tradnl"/>
        </w:rPr>
        <w:t>°</w:t>
      </w:r>
      <w:r w:rsidRPr="00B17F42">
        <w:rPr>
          <w:lang w:val="es-ES_tradnl"/>
        </w:rPr>
        <w:t>; 328</w:t>
      </w:r>
      <w:r w:rsidR="00E128BF">
        <w:rPr>
          <w:lang w:val="es-ES_tradnl"/>
        </w:rPr>
        <w:t>°</w:t>
      </w:r>
      <w:r w:rsidRPr="00B17F42">
        <w:rPr>
          <w:lang w:val="es-ES_tradnl"/>
        </w:rPr>
        <w:t>; 344</w:t>
      </w:r>
      <w:r w:rsidR="00E128BF">
        <w:rPr>
          <w:lang w:val="es-ES_tradnl"/>
        </w:rPr>
        <w:t>°</w:t>
      </w:r>
      <w:r w:rsidRPr="00B17F42">
        <w:rPr>
          <w:rFonts w:ascii="Symbol" w:hAnsi="Symbol"/>
          <w:lang w:val="es-ES_tradnl"/>
        </w:rPr>
        <w:t></w:t>
      </w:r>
      <w:r w:rsidRPr="00B17F42">
        <w:rPr>
          <w:lang w:val="es-ES_tradnl"/>
        </w:rPr>
        <w:t>y 348</w:t>
      </w:r>
      <w:r w:rsidR="00E128BF">
        <w:rPr>
          <w:lang w:val="es-ES_tradnl"/>
        </w:rPr>
        <w:t>°</w:t>
      </w:r>
      <w:r w:rsidRPr="00B17F42">
        <w:rPr>
          <w:lang w:val="es-ES_tradnl"/>
        </w:rPr>
        <w:t>.</w:t>
      </w:r>
    </w:p>
    <w:p w:rsidR="0027406B" w:rsidRDefault="0027406B" w:rsidP="0027406B">
      <w:pPr>
        <w:rPr>
          <w:lang w:val="es-ES_tradnl"/>
        </w:rPr>
      </w:pPr>
    </w:p>
    <w:p w:rsidR="0027406B" w:rsidRDefault="0027406B" w:rsidP="0027406B">
      <w:pPr>
        <w:rPr>
          <w:lang w:val="es-ES_tradnl"/>
        </w:rPr>
      </w:pPr>
    </w:p>
    <w:p w:rsidR="0027406B" w:rsidRPr="0027406B" w:rsidRDefault="0027406B" w:rsidP="0027406B">
      <w:pPr>
        <w:pStyle w:val="Line"/>
        <w:rPr>
          <w:lang w:val="es-ES_tradnl"/>
        </w:rPr>
      </w:pPr>
    </w:p>
    <w:sectPr w:rsidR="0027406B" w:rsidRPr="0027406B"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3A6" w:rsidRDefault="00F263A6">
      <w:r>
        <w:separator/>
      </w:r>
    </w:p>
  </w:footnote>
  <w:footnote w:type="continuationSeparator" w:id="0">
    <w:p w:rsidR="00F263A6" w:rsidRDefault="00F263A6">
      <w:r>
        <w:continuationSeparator/>
      </w:r>
    </w:p>
  </w:footnote>
  <w:footnote w:id="1">
    <w:p w:rsidR="0027406B" w:rsidRPr="0027406B" w:rsidRDefault="0027406B">
      <w:pPr>
        <w:pStyle w:val="FootnoteText"/>
        <w:rPr>
          <w:lang w:val="es-ES_tradnl"/>
        </w:rPr>
      </w:pPr>
      <w:r w:rsidRPr="0027406B">
        <w:rPr>
          <w:rStyle w:val="FootnoteReference"/>
          <w:lang w:val="es-ES_tradnl"/>
        </w:rPr>
        <w:t>*</w:t>
      </w:r>
      <w:r w:rsidRPr="0027406B">
        <w:rPr>
          <w:lang w:val="es-ES_tradnl"/>
        </w:rPr>
        <w:tab/>
      </w:r>
      <w:r>
        <w:rPr>
          <w:lang w:val="es-ES"/>
        </w:rPr>
        <w:t>La presente Recomendación debe señalarse a la atención de la Comisión de Estudio 5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0253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087C9D" w:rsidP="00D62884">
    <w:pPr>
      <w:pStyle w:val="Header"/>
      <w:ind w:right="360" w:firstLine="360"/>
    </w:pPr>
    <w:r>
      <w:rPr>
        <w:noProof/>
        <w:lang w:val="es-ES_tradnl" w:eastAsia="zh-CN"/>
      </w:rPr>
      <w:drawing>
        <wp:anchor distT="0" distB="0" distL="114300" distR="114300" simplePos="0" relativeHeight="251657728" behindDoc="1" locked="0" layoutInCell="1" allowOverlap="1" wp14:anchorId="55545911" wp14:editId="1FE9B88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F20E15">
      <w:rPr>
        <w:rStyle w:val="PageNumber"/>
        <w:b/>
        <w:bCs/>
        <w:noProof/>
      </w:rPr>
      <w:t>ii</w:t>
    </w:r>
    <w:r>
      <w:rPr>
        <w:rStyle w:val="PageNumber"/>
        <w:b/>
        <w:bCs/>
      </w:rPr>
      <w:fldChar w:fldCharType="end"/>
    </w:r>
    <w:r w:rsidR="00025336">
      <w:tab/>
    </w:r>
    <w:fldSimple w:instr=" DOCPROPERTY &quot;Header&quot; \* MERGEFORMAT ">
      <w:r w:rsidR="00E128BF" w:rsidRPr="00E128BF">
        <w:rPr>
          <w:b/>
          <w:bCs/>
          <w:lang w:val="en-US"/>
        </w:rPr>
        <w:t xml:space="preserve">Rec. </w:t>
      </w:r>
    </w:fldSimple>
    <w:r w:rsidR="00025336">
      <w:rPr>
        <w:b/>
        <w:bCs/>
      </w:rPr>
      <w:t xml:space="preserve"> </w:t>
    </w:r>
    <w:r>
      <w:rPr>
        <w:b/>
        <w:bCs/>
      </w:rPr>
      <w:fldChar w:fldCharType="begin"/>
    </w:r>
    <w:r w:rsidR="00025336">
      <w:rPr>
        <w:b/>
        <w:bCs/>
      </w:rPr>
      <w:instrText>styleref href</w:instrText>
    </w:r>
    <w:r>
      <w:rPr>
        <w:b/>
        <w:bCs/>
      </w:rPr>
      <w:fldChar w:fldCharType="separate"/>
    </w:r>
    <w:r w:rsidR="00F20E15">
      <w:rPr>
        <w:b/>
        <w:bCs/>
        <w:noProof/>
      </w:rPr>
      <w:t>UIT-R  SA.1276-3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025336">
    <w:pPr>
      <w:pStyle w:val="Header"/>
    </w:pPr>
    <w:r>
      <w:tab/>
    </w:r>
    <w:fldSimple w:instr=" DOCPROPERTY &quot;Header&quot; \* MERGEFORMAT ">
      <w:r w:rsidR="00E128BF" w:rsidRPr="00E128BF">
        <w:rPr>
          <w:lang w:val="en-U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E128BF">
      <w:rPr>
        <w:b/>
        <w:bCs/>
        <w:noProof/>
      </w:rPr>
      <w:t>UIT-R  SA.1276-3</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Pr>
        <w:rStyle w:val="PageNumber"/>
        <w:b/>
        <w:bCs/>
        <w:noProof/>
      </w:rPr>
      <w:t>1</w:t>
    </w:r>
    <w:r w:rsidR="00D12AD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E128BF">
      <w:rPr>
        <w:rStyle w:val="PageNumber"/>
        <w:b/>
        <w:bCs/>
        <w:noProof/>
        <w:lang w:val="en-US"/>
      </w:rPr>
      <w:t>2</w:t>
    </w:r>
    <w:r>
      <w:rPr>
        <w:rStyle w:val="PageNumber"/>
        <w:b/>
        <w:bCs/>
      </w:rPr>
      <w:fldChar w:fldCharType="end"/>
    </w:r>
    <w:r w:rsidR="00025336">
      <w:rPr>
        <w:lang w:val="en-US"/>
      </w:rPr>
      <w:tab/>
    </w:r>
    <w:fldSimple w:instr=" DOCPROPERTY &quot;Header&quot; \* MERGEFORMAT ">
      <w:r w:rsidR="00E128BF" w:rsidRPr="00E128BF">
        <w:rPr>
          <w:b/>
          <w:bCs/>
          <w:lang w:val="en-US"/>
        </w:rPr>
        <w:t xml:space="preserve">Rec. </w:t>
      </w:r>
    </w:fldSimple>
    <w:r w:rsidR="00025336">
      <w:rPr>
        <w:b/>
        <w:bCs/>
      </w:rPr>
      <w:t xml:space="preserve"> </w:t>
    </w:r>
    <w:r>
      <w:rPr>
        <w:b/>
        <w:bCs/>
      </w:rPr>
      <w:fldChar w:fldCharType="begin"/>
    </w:r>
    <w:r w:rsidR="00025336">
      <w:rPr>
        <w:b/>
        <w:bCs/>
        <w:lang w:val="en-US"/>
      </w:rPr>
      <w:instrText>styleref href</w:instrText>
    </w:r>
    <w:r>
      <w:rPr>
        <w:b/>
        <w:bCs/>
      </w:rPr>
      <w:fldChar w:fldCharType="separate"/>
    </w:r>
    <w:r w:rsidR="00E128BF">
      <w:rPr>
        <w:b/>
        <w:bCs/>
        <w:noProof/>
      </w:rPr>
      <w:t>UIT-R  SA.1276-3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6" w:rsidRDefault="00025336">
    <w:pPr>
      <w:pStyle w:val="Header"/>
    </w:pPr>
    <w:r>
      <w:tab/>
    </w:r>
    <w:fldSimple w:instr=" DOCPROPERTY &quot;Header&quot; \* MERGEFORMAT ">
      <w:r w:rsidR="00E128BF" w:rsidRPr="00E128BF">
        <w:rPr>
          <w:b/>
          <w:bC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F20E15">
      <w:rPr>
        <w:b/>
        <w:bCs/>
        <w:noProof/>
      </w:rPr>
      <w:t>UIT-R  SA.1276-3</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F20E15">
      <w:rPr>
        <w:rStyle w:val="PageNumber"/>
        <w:b/>
        <w:bCs/>
        <w:noProof/>
      </w:rPr>
      <w:t>1</w:t>
    </w:r>
    <w:r w:rsidR="00D12AD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7A"/>
    <w:rsid w:val="00025336"/>
    <w:rsid w:val="00087C9D"/>
    <w:rsid w:val="00236E9D"/>
    <w:rsid w:val="00265C56"/>
    <w:rsid w:val="00266EDC"/>
    <w:rsid w:val="0027406B"/>
    <w:rsid w:val="002D76C4"/>
    <w:rsid w:val="003223EB"/>
    <w:rsid w:val="00363835"/>
    <w:rsid w:val="00366CEE"/>
    <w:rsid w:val="004532F7"/>
    <w:rsid w:val="005A6102"/>
    <w:rsid w:val="00607D68"/>
    <w:rsid w:val="006B22C3"/>
    <w:rsid w:val="00847DD5"/>
    <w:rsid w:val="00880680"/>
    <w:rsid w:val="008B4538"/>
    <w:rsid w:val="00A6617B"/>
    <w:rsid w:val="00AB0DC8"/>
    <w:rsid w:val="00B1717A"/>
    <w:rsid w:val="00B44E24"/>
    <w:rsid w:val="00B87252"/>
    <w:rsid w:val="00BB77E9"/>
    <w:rsid w:val="00BF7841"/>
    <w:rsid w:val="00C55575"/>
    <w:rsid w:val="00D12388"/>
    <w:rsid w:val="00D12AD9"/>
    <w:rsid w:val="00D62884"/>
    <w:rsid w:val="00DE71F7"/>
    <w:rsid w:val="00DF4176"/>
    <w:rsid w:val="00E128BF"/>
    <w:rsid w:val="00EB1589"/>
    <w:rsid w:val="00F20E15"/>
    <w:rsid w:val="00F263A6"/>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C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87C9D"/>
    <w:pPr>
      <w:keepNext/>
      <w:keepLines/>
      <w:spacing w:before="480"/>
      <w:ind w:left="794" w:hanging="794"/>
      <w:outlineLvl w:val="0"/>
    </w:pPr>
    <w:rPr>
      <w:b/>
    </w:rPr>
  </w:style>
  <w:style w:type="paragraph" w:styleId="Heading2">
    <w:name w:val="heading 2"/>
    <w:basedOn w:val="Heading1"/>
    <w:next w:val="Normal"/>
    <w:qFormat/>
    <w:rsid w:val="00087C9D"/>
    <w:pPr>
      <w:spacing w:before="320"/>
      <w:outlineLvl w:val="1"/>
    </w:pPr>
  </w:style>
  <w:style w:type="paragraph" w:styleId="Heading3">
    <w:name w:val="heading 3"/>
    <w:basedOn w:val="Heading1"/>
    <w:next w:val="Normal"/>
    <w:qFormat/>
    <w:rsid w:val="00087C9D"/>
    <w:pPr>
      <w:spacing w:before="200"/>
      <w:outlineLvl w:val="2"/>
    </w:pPr>
  </w:style>
  <w:style w:type="paragraph" w:styleId="Heading4">
    <w:name w:val="heading 4"/>
    <w:basedOn w:val="Heading3"/>
    <w:next w:val="Normal"/>
    <w:qFormat/>
    <w:rsid w:val="00087C9D"/>
    <w:pPr>
      <w:tabs>
        <w:tab w:val="clear" w:pos="794"/>
        <w:tab w:val="left" w:pos="992"/>
      </w:tabs>
      <w:ind w:left="992" w:hanging="992"/>
      <w:outlineLvl w:val="3"/>
    </w:pPr>
  </w:style>
  <w:style w:type="paragraph" w:styleId="Heading5">
    <w:name w:val="heading 5"/>
    <w:basedOn w:val="Heading4"/>
    <w:next w:val="Normal"/>
    <w:qFormat/>
    <w:rsid w:val="00087C9D"/>
    <w:pPr>
      <w:outlineLvl w:val="4"/>
    </w:pPr>
  </w:style>
  <w:style w:type="paragraph" w:styleId="Heading6">
    <w:name w:val="heading 6"/>
    <w:basedOn w:val="Heading4"/>
    <w:next w:val="Normal"/>
    <w:qFormat/>
    <w:rsid w:val="00087C9D"/>
    <w:pPr>
      <w:tabs>
        <w:tab w:val="clear" w:pos="992"/>
        <w:tab w:val="clear" w:pos="1191"/>
      </w:tabs>
      <w:ind w:left="1588" w:hanging="1588"/>
      <w:outlineLvl w:val="5"/>
    </w:pPr>
  </w:style>
  <w:style w:type="paragraph" w:styleId="Heading7">
    <w:name w:val="heading 7"/>
    <w:basedOn w:val="Heading6"/>
    <w:next w:val="Normal"/>
    <w:qFormat/>
    <w:rsid w:val="00087C9D"/>
    <w:pPr>
      <w:outlineLvl w:val="6"/>
    </w:pPr>
  </w:style>
  <w:style w:type="paragraph" w:styleId="Heading8">
    <w:name w:val="heading 8"/>
    <w:basedOn w:val="Heading6"/>
    <w:next w:val="Normal"/>
    <w:qFormat/>
    <w:rsid w:val="00087C9D"/>
    <w:pPr>
      <w:outlineLvl w:val="7"/>
    </w:pPr>
  </w:style>
  <w:style w:type="paragraph" w:styleId="Heading9">
    <w:name w:val="heading 9"/>
    <w:basedOn w:val="Heading6"/>
    <w:next w:val="Normal"/>
    <w:qFormat/>
    <w:rsid w:val="00087C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7C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87C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87C9D"/>
  </w:style>
  <w:style w:type="paragraph" w:customStyle="1" w:styleId="Headingb">
    <w:name w:val="Heading_b"/>
    <w:basedOn w:val="Heading3"/>
    <w:next w:val="Normal"/>
    <w:rsid w:val="00087C9D"/>
    <w:pPr>
      <w:spacing w:before="160"/>
      <w:ind w:left="0" w:firstLine="0"/>
      <w:outlineLvl w:val="9"/>
    </w:pPr>
  </w:style>
  <w:style w:type="paragraph" w:customStyle="1" w:styleId="Headingi">
    <w:name w:val="Heading_i"/>
    <w:basedOn w:val="Heading3"/>
    <w:next w:val="Normal"/>
    <w:rsid w:val="00087C9D"/>
    <w:pPr>
      <w:spacing w:before="160"/>
      <w:ind w:left="0" w:firstLine="0"/>
    </w:pPr>
    <w:rPr>
      <w:b w:val="0"/>
      <w:i/>
    </w:rPr>
  </w:style>
  <w:style w:type="character" w:customStyle="1" w:styleId="href">
    <w:name w:val="href"/>
    <w:basedOn w:val="DefaultParagraphFont"/>
    <w:rsid w:val="00087C9D"/>
  </w:style>
  <w:style w:type="paragraph" w:customStyle="1" w:styleId="enumlev1">
    <w:name w:val="enumlev1"/>
    <w:basedOn w:val="Normal"/>
    <w:rsid w:val="00087C9D"/>
    <w:pPr>
      <w:spacing w:before="80"/>
      <w:ind w:left="794" w:hanging="794"/>
    </w:pPr>
  </w:style>
  <w:style w:type="paragraph" w:customStyle="1" w:styleId="enumlev2">
    <w:name w:val="enumlev2"/>
    <w:basedOn w:val="enumlev1"/>
    <w:rsid w:val="00087C9D"/>
    <w:pPr>
      <w:ind w:left="1191" w:hanging="397"/>
    </w:pPr>
  </w:style>
  <w:style w:type="paragraph" w:customStyle="1" w:styleId="enumlev3">
    <w:name w:val="enumlev3"/>
    <w:basedOn w:val="enumlev2"/>
    <w:rsid w:val="00087C9D"/>
    <w:pPr>
      <w:ind w:left="1588"/>
    </w:pPr>
  </w:style>
  <w:style w:type="paragraph" w:customStyle="1" w:styleId="Normalaftertitle">
    <w:name w:val="Normal_after_title"/>
    <w:basedOn w:val="Normal"/>
    <w:next w:val="Normal"/>
    <w:rsid w:val="00087C9D"/>
    <w:pPr>
      <w:spacing w:before="320"/>
    </w:pPr>
  </w:style>
  <w:style w:type="paragraph" w:customStyle="1" w:styleId="Note">
    <w:name w:val="Note"/>
    <w:basedOn w:val="Normal"/>
    <w:rsid w:val="00087C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87C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87C9D"/>
    <w:pPr>
      <w:spacing w:before="240"/>
    </w:pPr>
    <w:rPr>
      <w:sz w:val="22"/>
      <w:lang w:val="es-ES_tradnl"/>
    </w:rPr>
  </w:style>
  <w:style w:type="paragraph" w:customStyle="1" w:styleId="Recref">
    <w:name w:val="Rec_ref"/>
    <w:basedOn w:val="Normal"/>
    <w:next w:val="Recdate"/>
    <w:rsid w:val="00087C9D"/>
    <w:pPr>
      <w:jc w:val="center"/>
    </w:pPr>
  </w:style>
  <w:style w:type="paragraph" w:customStyle="1" w:styleId="Recdate">
    <w:name w:val="Rec_date"/>
    <w:basedOn w:val="Recref"/>
    <w:next w:val="Normalaftertitle"/>
    <w:rsid w:val="00087C9D"/>
    <w:pPr>
      <w:jc w:val="right"/>
    </w:pPr>
  </w:style>
  <w:style w:type="paragraph" w:customStyle="1" w:styleId="AnnexNoTitle">
    <w:name w:val="Annex_NoTitle"/>
    <w:basedOn w:val="Normal"/>
    <w:next w:val="Normalaftertitle"/>
    <w:rsid w:val="00087C9D"/>
    <w:pPr>
      <w:keepNext/>
      <w:keepLines/>
      <w:spacing w:before="480" w:after="80"/>
      <w:jc w:val="center"/>
    </w:pPr>
    <w:rPr>
      <w:b/>
      <w:sz w:val="28"/>
    </w:rPr>
  </w:style>
  <w:style w:type="paragraph" w:customStyle="1" w:styleId="AppendixNoTitle">
    <w:name w:val="Appendix_NoTitle"/>
    <w:basedOn w:val="AnnexNoTitle"/>
    <w:next w:val="Normal"/>
    <w:rsid w:val="00087C9D"/>
  </w:style>
  <w:style w:type="paragraph" w:customStyle="1" w:styleId="Tablefin">
    <w:name w:val="Table_fin"/>
    <w:basedOn w:val="Normal"/>
    <w:next w:val="Normal"/>
    <w:rsid w:val="00087C9D"/>
    <w:pPr>
      <w:spacing w:before="0"/>
    </w:pPr>
    <w:rPr>
      <w:sz w:val="20"/>
      <w:lang w:val="en-GB"/>
    </w:rPr>
  </w:style>
  <w:style w:type="paragraph" w:customStyle="1" w:styleId="Tablehead">
    <w:name w:val="Table_head"/>
    <w:basedOn w:val="Normal"/>
    <w:next w:val="Normal"/>
    <w:rsid w:val="00087C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87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87C9D"/>
    <w:pPr>
      <w:keepNext/>
      <w:spacing w:before="360" w:after="120"/>
      <w:jc w:val="center"/>
    </w:pPr>
  </w:style>
  <w:style w:type="paragraph" w:customStyle="1" w:styleId="Tabletext">
    <w:name w:val="Table_text"/>
    <w:basedOn w:val="Normal"/>
    <w:rsid w:val="00087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87C9D"/>
    <w:pPr>
      <w:tabs>
        <w:tab w:val="clear" w:pos="1191"/>
        <w:tab w:val="clear" w:pos="1588"/>
        <w:tab w:val="clear" w:pos="1985"/>
        <w:tab w:val="center" w:pos="4820"/>
        <w:tab w:val="right" w:pos="9639"/>
      </w:tabs>
    </w:pPr>
  </w:style>
  <w:style w:type="paragraph" w:customStyle="1" w:styleId="Equationlegend">
    <w:name w:val="Equation_legend"/>
    <w:basedOn w:val="NormalIndent"/>
    <w:rsid w:val="00087C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7C9D"/>
    <w:pPr>
      <w:ind w:left="794"/>
    </w:pPr>
  </w:style>
  <w:style w:type="paragraph" w:customStyle="1" w:styleId="Figurelegend">
    <w:name w:val="Figure_legend"/>
    <w:basedOn w:val="Normal"/>
    <w:rsid w:val="00087C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87C9D"/>
    <w:pPr>
      <w:keepNext/>
      <w:keepLines/>
      <w:spacing w:before="480" w:after="80"/>
      <w:jc w:val="center"/>
    </w:pPr>
    <w:rPr>
      <w:caps/>
      <w:sz w:val="18"/>
    </w:rPr>
  </w:style>
  <w:style w:type="paragraph" w:customStyle="1" w:styleId="tocpart">
    <w:name w:val="tocpart"/>
    <w:basedOn w:val="Normal"/>
    <w:rsid w:val="00087C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7C9D"/>
    <w:pPr>
      <w:keepNext/>
      <w:keepLines/>
      <w:spacing w:before="480"/>
      <w:jc w:val="center"/>
    </w:pPr>
    <w:rPr>
      <w:sz w:val="28"/>
    </w:rPr>
  </w:style>
  <w:style w:type="paragraph" w:customStyle="1" w:styleId="Arttitle">
    <w:name w:val="Art_title"/>
    <w:basedOn w:val="Normal"/>
    <w:next w:val="Normalaftertitle"/>
    <w:rsid w:val="00087C9D"/>
    <w:pPr>
      <w:keepNext/>
      <w:keepLines/>
      <w:spacing w:before="240"/>
      <w:jc w:val="center"/>
    </w:pPr>
    <w:rPr>
      <w:b/>
      <w:sz w:val="28"/>
    </w:rPr>
  </w:style>
  <w:style w:type="paragraph" w:customStyle="1" w:styleId="Blanc">
    <w:name w:val="Blanc"/>
    <w:basedOn w:val="Normal"/>
    <w:next w:val="Tabletext"/>
    <w:rsid w:val="00087C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7C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87C9D"/>
    <w:pPr>
      <w:keepNext/>
      <w:keepLines/>
      <w:spacing w:before="160"/>
      <w:ind w:left="794"/>
    </w:pPr>
    <w:rPr>
      <w:i/>
    </w:rPr>
  </w:style>
  <w:style w:type="paragraph" w:customStyle="1" w:styleId="ChapNo">
    <w:name w:val="Chap_No"/>
    <w:basedOn w:val="ArtNo"/>
    <w:next w:val="Chaptitle"/>
    <w:rsid w:val="00087C9D"/>
    <w:rPr>
      <w:b/>
    </w:rPr>
  </w:style>
  <w:style w:type="paragraph" w:customStyle="1" w:styleId="Chaptitle">
    <w:name w:val="Chap_title"/>
    <w:basedOn w:val="Arttitle"/>
    <w:next w:val="Normalaftertitle"/>
    <w:rsid w:val="00087C9D"/>
  </w:style>
  <w:style w:type="character" w:styleId="FootnoteReference">
    <w:name w:val="footnote reference"/>
    <w:basedOn w:val="DefaultParagraphFont"/>
    <w:semiHidden/>
    <w:rsid w:val="00087C9D"/>
    <w:rPr>
      <w:position w:val="6"/>
      <w:sz w:val="18"/>
    </w:rPr>
  </w:style>
  <w:style w:type="paragraph" w:styleId="FootnoteText">
    <w:name w:val="footnote text"/>
    <w:basedOn w:val="Normal"/>
    <w:semiHidden/>
    <w:rsid w:val="00087C9D"/>
    <w:pPr>
      <w:keepLines/>
      <w:tabs>
        <w:tab w:val="left" w:pos="255"/>
      </w:tabs>
      <w:ind w:left="255" w:hanging="255"/>
    </w:pPr>
    <w:rPr>
      <w:sz w:val="22"/>
    </w:rPr>
  </w:style>
  <w:style w:type="paragraph" w:styleId="Index1">
    <w:name w:val="index 1"/>
    <w:basedOn w:val="Normal"/>
    <w:next w:val="Normal"/>
    <w:semiHidden/>
    <w:rsid w:val="00087C9D"/>
  </w:style>
  <w:style w:type="paragraph" w:styleId="Index2">
    <w:name w:val="index 2"/>
    <w:basedOn w:val="Normal"/>
    <w:next w:val="Normal"/>
    <w:semiHidden/>
    <w:rsid w:val="00087C9D"/>
    <w:pPr>
      <w:ind w:left="283"/>
    </w:pPr>
  </w:style>
  <w:style w:type="paragraph" w:styleId="Index3">
    <w:name w:val="index 3"/>
    <w:basedOn w:val="Normal"/>
    <w:next w:val="Normal"/>
    <w:semiHidden/>
    <w:rsid w:val="00087C9D"/>
    <w:pPr>
      <w:ind w:left="566"/>
    </w:pPr>
  </w:style>
  <w:style w:type="paragraph" w:styleId="IndexHeading">
    <w:name w:val="index heading"/>
    <w:basedOn w:val="Normal"/>
    <w:next w:val="Index1"/>
    <w:semiHidden/>
    <w:rsid w:val="00087C9D"/>
  </w:style>
  <w:style w:type="paragraph" w:customStyle="1" w:styleId="Line">
    <w:name w:val="Line"/>
    <w:basedOn w:val="Normal"/>
    <w:next w:val="Normal"/>
    <w:rsid w:val="00087C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7C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7C9D"/>
  </w:style>
  <w:style w:type="paragraph" w:customStyle="1" w:styleId="Partref">
    <w:name w:val="Part_ref"/>
    <w:basedOn w:val="Normal"/>
    <w:next w:val="Normal"/>
    <w:rsid w:val="00087C9D"/>
    <w:pPr>
      <w:keepNext/>
      <w:keepLines/>
      <w:spacing w:after="280"/>
      <w:jc w:val="center"/>
    </w:pPr>
  </w:style>
  <w:style w:type="paragraph" w:customStyle="1" w:styleId="Parttitle">
    <w:name w:val="Part_title"/>
    <w:basedOn w:val="Normal"/>
    <w:next w:val="Normalaftertitle"/>
    <w:rsid w:val="00087C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87C9D"/>
  </w:style>
  <w:style w:type="paragraph" w:customStyle="1" w:styleId="QuestionNo">
    <w:name w:val="Question_No"/>
    <w:basedOn w:val="RecNo"/>
    <w:next w:val="Normal"/>
    <w:rsid w:val="00087C9D"/>
  </w:style>
  <w:style w:type="paragraph" w:customStyle="1" w:styleId="Questionref">
    <w:name w:val="Question_ref"/>
    <w:basedOn w:val="Recref"/>
    <w:next w:val="Questiondate"/>
    <w:rsid w:val="00087C9D"/>
  </w:style>
  <w:style w:type="paragraph" w:customStyle="1" w:styleId="Questiontitle">
    <w:name w:val="Question_title"/>
    <w:basedOn w:val="Normal"/>
    <w:next w:val="Questionref"/>
    <w:rsid w:val="00087C9D"/>
  </w:style>
  <w:style w:type="paragraph" w:customStyle="1" w:styleId="Reftext">
    <w:name w:val="Ref_text"/>
    <w:basedOn w:val="Normal"/>
    <w:rsid w:val="00087C9D"/>
    <w:pPr>
      <w:ind w:left="794" w:hanging="794"/>
    </w:pPr>
    <w:rPr>
      <w:sz w:val="22"/>
    </w:rPr>
  </w:style>
  <w:style w:type="paragraph" w:customStyle="1" w:styleId="Reftitle">
    <w:name w:val="Ref_title"/>
    <w:basedOn w:val="Normal"/>
    <w:next w:val="Reftext"/>
    <w:rsid w:val="00087C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87C9D"/>
  </w:style>
  <w:style w:type="paragraph" w:customStyle="1" w:styleId="RepNo">
    <w:name w:val="Rep_No"/>
    <w:basedOn w:val="RecNo"/>
    <w:next w:val="Reptitle"/>
    <w:rsid w:val="00087C9D"/>
  </w:style>
  <w:style w:type="paragraph" w:customStyle="1" w:styleId="Repref">
    <w:name w:val="Rep_ref"/>
    <w:basedOn w:val="Recref"/>
    <w:next w:val="Repdate"/>
    <w:rsid w:val="00087C9D"/>
  </w:style>
  <w:style w:type="paragraph" w:customStyle="1" w:styleId="Reptitle">
    <w:name w:val="Rep_title"/>
    <w:basedOn w:val="Rectitle"/>
    <w:next w:val="Repref"/>
    <w:rsid w:val="00087C9D"/>
  </w:style>
  <w:style w:type="paragraph" w:customStyle="1" w:styleId="Resdate">
    <w:name w:val="Res_date"/>
    <w:basedOn w:val="Recdate"/>
    <w:next w:val="Normalaftertitle"/>
    <w:rsid w:val="00087C9D"/>
  </w:style>
  <w:style w:type="paragraph" w:customStyle="1" w:styleId="ResNo">
    <w:name w:val="Res_No"/>
    <w:basedOn w:val="RecNo"/>
    <w:next w:val="Restitle"/>
    <w:rsid w:val="00087C9D"/>
  </w:style>
  <w:style w:type="paragraph" w:customStyle="1" w:styleId="Resref">
    <w:name w:val="Res_ref"/>
    <w:basedOn w:val="Recref"/>
    <w:next w:val="Resdate"/>
    <w:rsid w:val="00087C9D"/>
  </w:style>
  <w:style w:type="paragraph" w:customStyle="1" w:styleId="Restitle">
    <w:name w:val="Res_title"/>
    <w:basedOn w:val="Normal"/>
    <w:next w:val="Resref"/>
    <w:rsid w:val="00087C9D"/>
    <w:pPr>
      <w:spacing w:before="240"/>
      <w:jc w:val="center"/>
    </w:pPr>
    <w:rPr>
      <w:b/>
      <w:sz w:val="28"/>
    </w:rPr>
  </w:style>
  <w:style w:type="paragraph" w:customStyle="1" w:styleId="SectionNo">
    <w:name w:val="Section_No"/>
    <w:basedOn w:val="Normal"/>
    <w:next w:val="Normal"/>
    <w:rsid w:val="00087C9D"/>
  </w:style>
  <w:style w:type="paragraph" w:customStyle="1" w:styleId="Sectiontitle">
    <w:name w:val="Section_title"/>
    <w:basedOn w:val="Normal"/>
    <w:next w:val="Normalaftertitle"/>
    <w:rsid w:val="00087C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87C9D"/>
    <w:pPr>
      <w:tabs>
        <w:tab w:val="clear" w:pos="794"/>
        <w:tab w:val="clear" w:pos="1191"/>
        <w:tab w:val="clear" w:pos="1588"/>
        <w:tab w:val="clear" w:pos="1985"/>
        <w:tab w:val="right" w:pos="9611"/>
      </w:tabs>
    </w:pPr>
    <w:rPr>
      <w:i/>
    </w:rPr>
  </w:style>
  <w:style w:type="paragraph" w:styleId="TOC1">
    <w:name w:val="toc 1"/>
    <w:basedOn w:val="Normal"/>
    <w:semiHidden/>
    <w:rsid w:val="00087C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87C9D"/>
    <w:pPr>
      <w:tabs>
        <w:tab w:val="clear" w:pos="567"/>
        <w:tab w:val="left" w:pos="1276"/>
      </w:tabs>
      <w:spacing w:before="160"/>
      <w:ind w:left="1276" w:hanging="709"/>
    </w:pPr>
  </w:style>
  <w:style w:type="paragraph" w:styleId="TOC3">
    <w:name w:val="toc 3"/>
    <w:basedOn w:val="TOC2"/>
    <w:semiHidden/>
    <w:rsid w:val="00087C9D"/>
    <w:pPr>
      <w:tabs>
        <w:tab w:val="clear" w:pos="1276"/>
        <w:tab w:val="left" w:pos="2155"/>
      </w:tabs>
      <w:ind w:left="2155" w:hanging="879"/>
    </w:pPr>
  </w:style>
  <w:style w:type="paragraph" w:styleId="TOC4">
    <w:name w:val="toc 4"/>
    <w:basedOn w:val="TOC3"/>
    <w:semiHidden/>
    <w:rsid w:val="00087C9D"/>
    <w:pPr>
      <w:tabs>
        <w:tab w:val="left" w:pos="3261"/>
      </w:tabs>
      <w:spacing w:before="80"/>
      <w:ind w:left="3261" w:hanging="993"/>
    </w:pPr>
  </w:style>
  <w:style w:type="paragraph" w:styleId="TOC5">
    <w:name w:val="toc 5"/>
    <w:basedOn w:val="TOC4"/>
    <w:semiHidden/>
    <w:rsid w:val="00087C9D"/>
  </w:style>
  <w:style w:type="paragraph" w:styleId="TOC6">
    <w:name w:val="toc 6"/>
    <w:basedOn w:val="TOC4"/>
    <w:semiHidden/>
    <w:rsid w:val="00087C9D"/>
  </w:style>
  <w:style w:type="paragraph" w:styleId="TOC7">
    <w:name w:val="toc 7"/>
    <w:basedOn w:val="TOC4"/>
    <w:semiHidden/>
    <w:rsid w:val="00087C9D"/>
  </w:style>
  <w:style w:type="paragraph" w:styleId="TOC8">
    <w:name w:val="toc 8"/>
    <w:basedOn w:val="TOC4"/>
    <w:semiHidden/>
    <w:rsid w:val="00087C9D"/>
  </w:style>
  <w:style w:type="paragraph" w:customStyle="1" w:styleId="Rectitle">
    <w:name w:val="Rec_title"/>
    <w:basedOn w:val="Normal"/>
    <w:next w:val="Recref"/>
    <w:link w:val="RectitleChar"/>
    <w:rsid w:val="00087C9D"/>
    <w:pPr>
      <w:keepNext/>
      <w:keepLines/>
      <w:spacing w:before="240"/>
      <w:jc w:val="center"/>
    </w:pPr>
    <w:rPr>
      <w:b/>
      <w:sz w:val="28"/>
    </w:rPr>
  </w:style>
  <w:style w:type="paragraph" w:customStyle="1" w:styleId="Annexref">
    <w:name w:val="Annex_ref"/>
    <w:basedOn w:val="Normal"/>
    <w:next w:val="Normalaftertitle"/>
    <w:rsid w:val="00087C9D"/>
    <w:pPr>
      <w:keepNext/>
      <w:keepLines/>
      <w:spacing w:after="280"/>
      <w:jc w:val="center"/>
    </w:pPr>
  </w:style>
  <w:style w:type="paragraph" w:customStyle="1" w:styleId="Appendixref">
    <w:name w:val="Appendix_ref"/>
    <w:basedOn w:val="Annexref"/>
    <w:next w:val="Normalaftertitle"/>
    <w:rsid w:val="00087C9D"/>
  </w:style>
  <w:style w:type="paragraph" w:customStyle="1" w:styleId="Figuretitle">
    <w:name w:val="Figure_title"/>
    <w:basedOn w:val="Normal"/>
    <w:next w:val="Figure"/>
    <w:rsid w:val="00087C9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87C9D"/>
    <w:pPr>
      <w:keepNext/>
      <w:spacing w:before="0" w:after="120"/>
      <w:jc w:val="center"/>
    </w:pPr>
    <w:rPr>
      <w:b/>
    </w:rPr>
  </w:style>
  <w:style w:type="paragraph" w:customStyle="1" w:styleId="Summary">
    <w:name w:val="Summary"/>
    <w:basedOn w:val="Normal"/>
    <w:next w:val="Normalaftertitle"/>
    <w:rsid w:val="00087C9D"/>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87C9D"/>
    <w:pPr>
      <w:keepNext w:val="0"/>
      <w:spacing w:before="0" w:after="240"/>
    </w:pPr>
  </w:style>
  <w:style w:type="paragraph" w:customStyle="1" w:styleId="TableLegendNote">
    <w:name w:val="Table_Legend_Note"/>
    <w:basedOn w:val="Tablelegend"/>
    <w:next w:val="Tablelegend"/>
    <w:rsid w:val="00087C9D"/>
    <w:pPr>
      <w:ind w:left="-85" w:firstLine="0"/>
    </w:pPr>
    <w:rPr>
      <w:lang w:val="en-US"/>
    </w:rPr>
  </w:style>
  <w:style w:type="character" w:customStyle="1" w:styleId="RectitleChar">
    <w:name w:val="Rec_title Char"/>
    <w:basedOn w:val="DefaultParagraphFont"/>
    <w:link w:val="Rectitle"/>
    <w:rsid w:val="0027406B"/>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C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87C9D"/>
    <w:pPr>
      <w:keepNext/>
      <w:keepLines/>
      <w:spacing w:before="480"/>
      <w:ind w:left="794" w:hanging="794"/>
      <w:outlineLvl w:val="0"/>
    </w:pPr>
    <w:rPr>
      <w:b/>
    </w:rPr>
  </w:style>
  <w:style w:type="paragraph" w:styleId="Heading2">
    <w:name w:val="heading 2"/>
    <w:basedOn w:val="Heading1"/>
    <w:next w:val="Normal"/>
    <w:qFormat/>
    <w:rsid w:val="00087C9D"/>
    <w:pPr>
      <w:spacing w:before="320"/>
      <w:outlineLvl w:val="1"/>
    </w:pPr>
  </w:style>
  <w:style w:type="paragraph" w:styleId="Heading3">
    <w:name w:val="heading 3"/>
    <w:basedOn w:val="Heading1"/>
    <w:next w:val="Normal"/>
    <w:qFormat/>
    <w:rsid w:val="00087C9D"/>
    <w:pPr>
      <w:spacing w:before="200"/>
      <w:outlineLvl w:val="2"/>
    </w:pPr>
  </w:style>
  <w:style w:type="paragraph" w:styleId="Heading4">
    <w:name w:val="heading 4"/>
    <w:basedOn w:val="Heading3"/>
    <w:next w:val="Normal"/>
    <w:qFormat/>
    <w:rsid w:val="00087C9D"/>
    <w:pPr>
      <w:tabs>
        <w:tab w:val="clear" w:pos="794"/>
        <w:tab w:val="left" w:pos="992"/>
      </w:tabs>
      <w:ind w:left="992" w:hanging="992"/>
      <w:outlineLvl w:val="3"/>
    </w:pPr>
  </w:style>
  <w:style w:type="paragraph" w:styleId="Heading5">
    <w:name w:val="heading 5"/>
    <w:basedOn w:val="Heading4"/>
    <w:next w:val="Normal"/>
    <w:qFormat/>
    <w:rsid w:val="00087C9D"/>
    <w:pPr>
      <w:outlineLvl w:val="4"/>
    </w:pPr>
  </w:style>
  <w:style w:type="paragraph" w:styleId="Heading6">
    <w:name w:val="heading 6"/>
    <w:basedOn w:val="Heading4"/>
    <w:next w:val="Normal"/>
    <w:qFormat/>
    <w:rsid w:val="00087C9D"/>
    <w:pPr>
      <w:tabs>
        <w:tab w:val="clear" w:pos="992"/>
        <w:tab w:val="clear" w:pos="1191"/>
      </w:tabs>
      <w:ind w:left="1588" w:hanging="1588"/>
      <w:outlineLvl w:val="5"/>
    </w:pPr>
  </w:style>
  <w:style w:type="paragraph" w:styleId="Heading7">
    <w:name w:val="heading 7"/>
    <w:basedOn w:val="Heading6"/>
    <w:next w:val="Normal"/>
    <w:qFormat/>
    <w:rsid w:val="00087C9D"/>
    <w:pPr>
      <w:outlineLvl w:val="6"/>
    </w:pPr>
  </w:style>
  <w:style w:type="paragraph" w:styleId="Heading8">
    <w:name w:val="heading 8"/>
    <w:basedOn w:val="Heading6"/>
    <w:next w:val="Normal"/>
    <w:qFormat/>
    <w:rsid w:val="00087C9D"/>
    <w:pPr>
      <w:outlineLvl w:val="7"/>
    </w:pPr>
  </w:style>
  <w:style w:type="paragraph" w:styleId="Heading9">
    <w:name w:val="heading 9"/>
    <w:basedOn w:val="Heading6"/>
    <w:next w:val="Normal"/>
    <w:qFormat/>
    <w:rsid w:val="00087C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7C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87C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87C9D"/>
  </w:style>
  <w:style w:type="paragraph" w:customStyle="1" w:styleId="Headingb">
    <w:name w:val="Heading_b"/>
    <w:basedOn w:val="Heading3"/>
    <w:next w:val="Normal"/>
    <w:rsid w:val="00087C9D"/>
    <w:pPr>
      <w:spacing w:before="160"/>
      <w:ind w:left="0" w:firstLine="0"/>
      <w:outlineLvl w:val="9"/>
    </w:pPr>
  </w:style>
  <w:style w:type="paragraph" w:customStyle="1" w:styleId="Headingi">
    <w:name w:val="Heading_i"/>
    <w:basedOn w:val="Heading3"/>
    <w:next w:val="Normal"/>
    <w:rsid w:val="00087C9D"/>
    <w:pPr>
      <w:spacing w:before="160"/>
      <w:ind w:left="0" w:firstLine="0"/>
    </w:pPr>
    <w:rPr>
      <w:b w:val="0"/>
      <w:i/>
    </w:rPr>
  </w:style>
  <w:style w:type="character" w:customStyle="1" w:styleId="href">
    <w:name w:val="href"/>
    <w:basedOn w:val="DefaultParagraphFont"/>
    <w:rsid w:val="00087C9D"/>
  </w:style>
  <w:style w:type="paragraph" w:customStyle="1" w:styleId="enumlev1">
    <w:name w:val="enumlev1"/>
    <w:basedOn w:val="Normal"/>
    <w:rsid w:val="00087C9D"/>
    <w:pPr>
      <w:spacing w:before="80"/>
      <w:ind w:left="794" w:hanging="794"/>
    </w:pPr>
  </w:style>
  <w:style w:type="paragraph" w:customStyle="1" w:styleId="enumlev2">
    <w:name w:val="enumlev2"/>
    <w:basedOn w:val="enumlev1"/>
    <w:rsid w:val="00087C9D"/>
    <w:pPr>
      <w:ind w:left="1191" w:hanging="397"/>
    </w:pPr>
  </w:style>
  <w:style w:type="paragraph" w:customStyle="1" w:styleId="enumlev3">
    <w:name w:val="enumlev3"/>
    <w:basedOn w:val="enumlev2"/>
    <w:rsid w:val="00087C9D"/>
    <w:pPr>
      <w:ind w:left="1588"/>
    </w:pPr>
  </w:style>
  <w:style w:type="paragraph" w:customStyle="1" w:styleId="Normalaftertitle">
    <w:name w:val="Normal_after_title"/>
    <w:basedOn w:val="Normal"/>
    <w:next w:val="Normal"/>
    <w:rsid w:val="00087C9D"/>
    <w:pPr>
      <w:spacing w:before="320"/>
    </w:pPr>
  </w:style>
  <w:style w:type="paragraph" w:customStyle="1" w:styleId="Note">
    <w:name w:val="Note"/>
    <w:basedOn w:val="Normal"/>
    <w:rsid w:val="00087C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87C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87C9D"/>
    <w:pPr>
      <w:spacing w:before="240"/>
    </w:pPr>
    <w:rPr>
      <w:sz w:val="22"/>
      <w:lang w:val="es-ES_tradnl"/>
    </w:rPr>
  </w:style>
  <w:style w:type="paragraph" w:customStyle="1" w:styleId="Recref">
    <w:name w:val="Rec_ref"/>
    <w:basedOn w:val="Normal"/>
    <w:next w:val="Recdate"/>
    <w:rsid w:val="00087C9D"/>
    <w:pPr>
      <w:jc w:val="center"/>
    </w:pPr>
  </w:style>
  <w:style w:type="paragraph" w:customStyle="1" w:styleId="Recdate">
    <w:name w:val="Rec_date"/>
    <w:basedOn w:val="Recref"/>
    <w:next w:val="Normalaftertitle"/>
    <w:rsid w:val="00087C9D"/>
    <w:pPr>
      <w:jc w:val="right"/>
    </w:pPr>
  </w:style>
  <w:style w:type="paragraph" w:customStyle="1" w:styleId="AnnexNoTitle">
    <w:name w:val="Annex_NoTitle"/>
    <w:basedOn w:val="Normal"/>
    <w:next w:val="Normalaftertitle"/>
    <w:rsid w:val="00087C9D"/>
    <w:pPr>
      <w:keepNext/>
      <w:keepLines/>
      <w:spacing w:before="480" w:after="80"/>
      <w:jc w:val="center"/>
    </w:pPr>
    <w:rPr>
      <w:b/>
      <w:sz w:val="28"/>
    </w:rPr>
  </w:style>
  <w:style w:type="paragraph" w:customStyle="1" w:styleId="AppendixNoTitle">
    <w:name w:val="Appendix_NoTitle"/>
    <w:basedOn w:val="AnnexNoTitle"/>
    <w:next w:val="Normal"/>
    <w:rsid w:val="00087C9D"/>
  </w:style>
  <w:style w:type="paragraph" w:customStyle="1" w:styleId="Tablefin">
    <w:name w:val="Table_fin"/>
    <w:basedOn w:val="Normal"/>
    <w:next w:val="Normal"/>
    <w:rsid w:val="00087C9D"/>
    <w:pPr>
      <w:spacing w:before="0"/>
    </w:pPr>
    <w:rPr>
      <w:sz w:val="20"/>
      <w:lang w:val="en-GB"/>
    </w:rPr>
  </w:style>
  <w:style w:type="paragraph" w:customStyle="1" w:styleId="Tablehead">
    <w:name w:val="Table_head"/>
    <w:basedOn w:val="Normal"/>
    <w:next w:val="Normal"/>
    <w:rsid w:val="00087C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87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87C9D"/>
    <w:pPr>
      <w:keepNext/>
      <w:spacing w:before="360" w:after="120"/>
      <w:jc w:val="center"/>
    </w:pPr>
  </w:style>
  <w:style w:type="paragraph" w:customStyle="1" w:styleId="Tabletext">
    <w:name w:val="Table_text"/>
    <w:basedOn w:val="Normal"/>
    <w:rsid w:val="00087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87C9D"/>
    <w:pPr>
      <w:tabs>
        <w:tab w:val="clear" w:pos="1191"/>
        <w:tab w:val="clear" w:pos="1588"/>
        <w:tab w:val="clear" w:pos="1985"/>
        <w:tab w:val="center" w:pos="4820"/>
        <w:tab w:val="right" w:pos="9639"/>
      </w:tabs>
    </w:pPr>
  </w:style>
  <w:style w:type="paragraph" w:customStyle="1" w:styleId="Equationlegend">
    <w:name w:val="Equation_legend"/>
    <w:basedOn w:val="NormalIndent"/>
    <w:rsid w:val="00087C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7C9D"/>
    <w:pPr>
      <w:ind w:left="794"/>
    </w:pPr>
  </w:style>
  <w:style w:type="paragraph" w:customStyle="1" w:styleId="Figurelegend">
    <w:name w:val="Figure_legend"/>
    <w:basedOn w:val="Normal"/>
    <w:rsid w:val="00087C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87C9D"/>
    <w:pPr>
      <w:keepNext/>
      <w:keepLines/>
      <w:spacing w:before="480" w:after="80"/>
      <w:jc w:val="center"/>
    </w:pPr>
    <w:rPr>
      <w:caps/>
      <w:sz w:val="18"/>
    </w:rPr>
  </w:style>
  <w:style w:type="paragraph" w:customStyle="1" w:styleId="tocpart">
    <w:name w:val="tocpart"/>
    <w:basedOn w:val="Normal"/>
    <w:rsid w:val="00087C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7C9D"/>
    <w:pPr>
      <w:keepNext/>
      <w:keepLines/>
      <w:spacing w:before="480"/>
      <w:jc w:val="center"/>
    </w:pPr>
    <w:rPr>
      <w:sz w:val="28"/>
    </w:rPr>
  </w:style>
  <w:style w:type="paragraph" w:customStyle="1" w:styleId="Arttitle">
    <w:name w:val="Art_title"/>
    <w:basedOn w:val="Normal"/>
    <w:next w:val="Normalaftertitle"/>
    <w:rsid w:val="00087C9D"/>
    <w:pPr>
      <w:keepNext/>
      <w:keepLines/>
      <w:spacing w:before="240"/>
      <w:jc w:val="center"/>
    </w:pPr>
    <w:rPr>
      <w:b/>
      <w:sz w:val="28"/>
    </w:rPr>
  </w:style>
  <w:style w:type="paragraph" w:customStyle="1" w:styleId="Blanc">
    <w:name w:val="Blanc"/>
    <w:basedOn w:val="Normal"/>
    <w:next w:val="Tabletext"/>
    <w:rsid w:val="00087C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7C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87C9D"/>
    <w:pPr>
      <w:keepNext/>
      <w:keepLines/>
      <w:spacing w:before="160"/>
      <w:ind w:left="794"/>
    </w:pPr>
    <w:rPr>
      <w:i/>
    </w:rPr>
  </w:style>
  <w:style w:type="paragraph" w:customStyle="1" w:styleId="ChapNo">
    <w:name w:val="Chap_No"/>
    <w:basedOn w:val="ArtNo"/>
    <w:next w:val="Chaptitle"/>
    <w:rsid w:val="00087C9D"/>
    <w:rPr>
      <w:b/>
    </w:rPr>
  </w:style>
  <w:style w:type="paragraph" w:customStyle="1" w:styleId="Chaptitle">
    <w:name w:val="Chap_title"/>
    <w:basedOn w:val="Arttitle"/>
    <w:next w:val="Normalaftertitle"/>
    <w:rsid w:val="00087C9D"/>
  </w:style>
  <w:style w:type="character" w:styleId="FootnoteReference">
    <w:name w:val="footnote reference"/>
    <w:basedOn w:val="DefaultParagraphFont"/>
    <w:semiHidden/>
    <w:rsid w:val="00087C9D"/>
    <w:rPr>
      <w:position w:val="6"/>
      <w:sz w:val="18"/>
    </w:rPr>
  </w:style>
  <w:style w:type="paragraph" w:styleId="FootnoteText">
    <w:name w:val="footnote text"/>
    <w:basedOn w:val="Normal"/>
    <w:semiHidden/>
    <w:rsid w:val="00087C9D"/>
    <w:pPr>
      <w:keepLines/>
      <w:tabs>
        <w:tab w:val="left" w:pos="255"/>
      </w:tabs>
      <w:ind w:left="255" w:hanging="255"/>
    </w:pPr>
    <w:rPr>
      <w:sz w:val="22"/>
    </w:rPr>
  </w:style>
  <w:style w:type="paragraph" w:styleId="Index1">
    <w:name w:val="index 1"/>
    <w:basedOn w:val="Normal"/>
    <w:next w:val="Normal"/>
    <w:semiHidden/>
    <w:rsid w:val="00087C9D"/>
  </w:style>
  <w:style w:type="paragraph" w:styleId="Index2">
    <w:name w:val="index 2"/>
    <w:basedOn w:val="Normal"/>
    <w:next w:val="Normal"/>
    <w:semiHidden/>
    <w:rsid w:val="00087C9D"/>
    <w:pPr>
      <w:ind w:left="283"/>
    </w:pPr>
  </w:style>
  <w:style w:type="paragraph" w:styleId="Index3">
    <w:name w:val="index 3"/>
    <w:basedOn w:val="Normal"/>
    <w:next w:val="Normal"/>
    <w:semiHidden/>
    <w:rsid w:val="00087C9D"/>
    <w:pPr>
      <w:ind w:left="566"/>
    </w:pPr>
  </w:style>
  <w:style w:type="paragraph" w:styleId="IndexHeading">
    <w:name w:val="index heading"/>
    <w:basedOn w:val="Normal"/>
    <w:next w:val="Index1"/>
    <w:semiHidden/>
    <w:rsid w:val="00087C9D"/>
  </w:style>
  <w:style w:type="paragraph" w:customStyle="1" w:styleId="Line">
    <w:name w:val="Line"/>
    <w:basedOn w:val="Normal"/>
    <w:next w:val="Normal"/>
    <w:rsid w:val="00087C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7C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7C9D"/>
  </w:style>
  <w:style w:type="paragraph" w:customStyle="1" w:styleId="Partref">
    <w:name w:val="Part_ref"/>
    <w:basedOn w:val="Normal"/>
    <w:next w:val="Normal"/>
    <w:rsid w:val="00087C9D"/>
    <w:pPr>
      <w:keepNext/>
      <w:keepLines/>
      <w:spacing w:after="280"/>
      <w:jc w:val="center"/>
    </w:pPr>
  </w:style>
  <w:style w:type="paragraph" w:customStyle="1" w:styleId="Parttitle">
    <w:name w:val="Part_title"/>
    <w:basedOn w:val="Normal"/>
    <w:next w:val="Normalaftertitle"/>
    <w:rsid w:val="00087C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87C9D"/>
  </w:style>
  <w:style w:type="paragraph" w:customStyle="1" w:styleId="QuestionNo">
    <w:name w:val="Question_No"/>
    <w:basedOn w:val="RecNo"/>
    <w:next w:val="Normal"/>
    <w:rsid w:val="00087C9D"/>
  </w:style>
  <w:style w:type="paragraph" w:customStyle="1" w:styleId="Questionref">
    <w:name w:val="Question_ref"/>
    <w:basedOn w:val="Recref"/>
    <w:next w:val="Questiondate"/>
    <w:rsid w:val="00087C9D"/>
  </w:style>
  <w:style w:type="paragraph" w:customStyle="1" w:styleId="Questiontitle">
    <w:name w:val="Question_title"/>
    <w:basedOn w:val="Normal"/>
    <w:next w:val="Questionref"/>
    <w:rsid w:val="00087C9D"/>
  </w:style>
  <w:style w:type="paragraph" w:customStyle="1" w:styleId="Reftext">
    <w:name w:val="Ref_text"/>
    <w:basedOn w:val="Normal"/>
    <w:rsid w:val="00087C9D"/>
    <w:pPr>
      <w:ind w:left="794" w:hanging="794"/>
    </w:pPr>
    <w:rPr>
      <w:sz w:val="22"/>
    </w:rPr>
  </w:style>
  <w:style w:type="paragraph" w:customStyle="1" w:styleId="Reftitle">
    <w:name w:val="Ref_title"/>
    <w:basedOn w:val="Normal"/>
    <w:next w:val="Reftext"/>
    <w:rsid w:val="00087C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87C9D"/>
  </w:style>
  <w:style w:type="paragraph" w:customStyle="1" w:styleId="RepNo">
    <w:name w:val="Rep_No"/>
    <w:basedOn w:val="RecNo"/>
    <w:next w:val="Reptitle"/>
    <w:rsid w:val="00087C9D"/>
  </w:style>
  <w:style w:type="paragraph" w:customStyle="1" w:styleId="Repref">
    <w:name w:val="Rep_ref"/>
    <w:basedOn w:val="Recref"/>
    <w:next w:val="Repdate"/>
    <w:rsid w:val="00087C9D"/>
  </w:style>
  <w:style w:type="paragraph" w:customStyle="1" w:styleId="Reptitle">
    <w:name w:val="Rep_title"/>
    <w:basedOn w:val="Rectitle"/>
    <w:next w:val="Repref"/>
    <w:rsid w:val="00087C9D"/>
  </w:style>
  <w:style w:type="paragraph" w:customStyle="1" w:styleId="Resdate">
    <w:name w:val="Res_date"/>
    <w:basedOn w:val="Recdate"/>
    <w:next w:val="Normalaftertitle"/>
    <w:rsid w:val="00087C9D"/>
  </w:style>
  <w:style w:type="paragraph" w:customStyle="1" w:styleId="ResNo">
    <w:name w:val="Res_No"/>
    <w:basedOn w:val="RecNo"/>
    <w:next w:val="Restitle"/>
    <w:rsid w:val="00087C9D"/>
  </w:style>
  <w:style w:type="paragraph" w:customStyle="1" w:styleId="Resref">
    <w:name w:val="Res_ref"/>
    <w:basedOn w:val="Recref"/>
    <w:next w:val="Resdate"/>
    <w:rsid w:val="00087C9D"/>
  </w:style>
  <w:style w:type="paragraph" w:customStyle="1" w:styleId="Restitle">
    <w:name w:val="Res_title"/>
    <w:basedOn w:val="Normal"/>
    <w:next w:val="Resref"/>
    <w:rsid w:val="00087C9D"/>
    <w:pPr>
      <w:spacing w:before="240"/>
      <w:jc w:val="center"/>
    </w:pPr>
    <w:rPr>
      <w:b/>
      <w:sz w:val="28"/>
    </w:rPr>
  </w:style>
  <w:style w:type="paragraph" w:customStyle="1" w:styleId="SectionNo">
    <w:name w:val="Section_No"/>
    <w:basedOn w:val="Normal"/>
    <w:next w:val="Normal"/>
    <w:rsid w:val="00087C9D"/>
  </w:style>
  <w:style w:type="paragraph" w:customStyle="1" w:styleId="Sectiontitle">
    <w:name w:val="Section_title"/>
    <w:basedOn w:val="Normal"/>
    <w:next w:val="Normalaftertitle"/>
    <w:rsid w:val="00087C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87C9D"/>
    <w:pPr>
      <w:tabs>
        <w:tab w:val="clear" w:pos="794"/>
        <w:tab w:val="clear" w:pos="1191"/>
        <w:tab w:val="clear" w:pos="1588"/>
        <w:tab w:val="clear" w:pos="1985"/>
        <w:tab w:val="right" w:pos="9611"/>
      </w:tabs>
    </w:pPr>
    <w:rPr>
      <w:i/>
    </w:rPr>
  </w:style>
  <w:style w:type="paragraph" w:styleId="TOC1">
    <w:name w:val="toc 1"/>
    <w:basedOn w:val="Normal"/>
    <w:semiHidden/>
    <w:rsid w:val="00087C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87C9D"/>
    <w:pPr>
      <w:tabs>
        <w:tab w:val="clear" w:pos="567"/>
        <w:tab w:val="left" w:pos="1276"/>
      </w:tabs>
      <w:spacing w:before="160"/>
      <w:ind w:left="1276" w:hanging="709"/>
    </w:pPr>
  </w:style>
  <w:style w:type="paragraph" w:styleId="TOC3">
    <w:name w:val="toc 3"/>
    <w:basedOn w:val="TOC2"/>
    <w:semiHidden/>
    <w:rsid w:val="00087C9D"/>
    <w:pPr>
      <w:tabs>
        <w:tab w:val="clear" w:pos="1276"/>
        <w:tab w:val="left" w:pos="2155"/>
      </w:tabs>
      <w:ind w:left="2155" w:hanging="879"/>
    </w:pPr>
  </w:style>
  <w:style w:type="paragraph" w:styleId="TOC4">
    <w:name w:val="toc 4"/>
    <w:basedOn w:val="TOC3"/>
    <w:semiHidden/>
    <w:rsid w:val="00087C9D"/>
    <w:pPr>
      <w:tabs>
        <w:tab w:val="left" w:pos="3261"/>
      </w:tabs>
      <w:spacing w:before="80"/>
      <w:ind w:left="3261" w:hanging="993"/>
    </w:pPr>
  </w:style>
  <w:style w:type="paragraph" w:styleId="TOC5">
    <w:name w:val="toc 5"/>
    <w:basedOn w:val="TOC4"/>
    <w:semiHidden/>
    <w:rsid w:val="00087C9D"/>
  </w:style>
  <w:style w:type="paragraph" w:styleId="TOC6">
    <w:name w:val="toc 6"/>
    <w:basedOn w:val="TOC4"/>
    <w:semiHidden/>
    <w:rsid w:val="00087C9D"/>
  </w:style>
  <w:style w:type="paragraph" w:styleId="TOC7">
    <w:name w:val="toc 7"/>
    <w:basedOn w:val="TOC4"/>
    <w:semiHidden/>
    <w:rsid w:val="00087C9D"/>
  </w:style>
  <w:style w:type="paragraph" w:styleId="TOC8">
    <w:name w:val="toc 8"/>
    <w:basedOn w:val="TOC4"/>
    <w:semiHidden/>
    <w:rsid w:val="00087C9D"/>
  </w:style>
  <w:style w:type="paragraph" w:customStyle="1" w:styleId="Rectitle">
    <w:name w:val="Rec_title"/>
    <w:basedOn w:val="Normal"/>
    <w:next w:val="Recref"/>
    <w:link w:val="RectitleChar"/>
    <w:rsid w:val="00087C9D"/>
    <w:pPr>
      <w:keepNext/>
      <w:keepLines/>
      <w:spacing w:before="240"/>
      <w:jc w:val="center"/>
    </w:pPr>
    <w:rPr>
      <w:b/>
      <w:sz w:val="28"/>
    </w:rPr>
  </w:style>
  <w:style w:type="paragraph" w:customStyle="1" w:styleId="Annexref">
    <w:name w:val="Annex_ref"/>
    <w:basedOn w:val="Normal"/>
    <w:next w:val="Normalaftertitle"/>
    <w:rsid w:val="00087C9D"/>
    <w:pPr>
      <w:keepNext/>
      <w:keepLines/>
      <w:spacing w:after="280"/>
      <w:jc w:val="center"/>
    </w:pPr>
  </w:style>
  <w:style w:type="paragraph" w:customStyle="1" w:styleId="Appendixref">
    <w:name w:val="Appendix_ref"/>
    <w:basedOn w:val="Annexref"/>
    <w:next w:val="Normalaftertitle"/>
    <w:rsid w:val="00087C9D"/>
  </w:style>
  <w:style w:type="paragraph" w:customStyle="1" w:styleId="Figuretitle">
    <w:name w:val="Figure_title"/>
    <w:basedOn w:val="Normal"/>
    <w:next w:val="Figure"/>
    <w:rsid w:val="00087C9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87C9D"/>
    <w:pPr>
      <w:keepNext/>
      <w:spacing w:before="0" w:after="120"/>
      <w:jc w:val="center"/>
    </w:pPr>
    <w:rPr>
      <w:b/>
    </w:rPr>
  </w:style>
  <w:style w:type="paragraph" w:customStyle="1" w:styleId="Summary">
    <w:name w:val="Summary"/>
    <w:basedOn w:val="Normal"/>
    <w:next w:val="Normalaftertitle"/>
    <w:rsid w:val="00087C9D"/>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87C9D"/>
    <w:pPr>
      <w:keepNext w:val="0"/>
      <w:spacing w:before="0" w:after="240"/>
    </w:pPr>
  </w:style>
  <w:style w:type="paragraph" w:customStyle="1" w:styleId="TableLegendNote">
    <w:name w:val="Table_Legend_Note"/>
    <w:basedOn w:val="Tablelegend"/>
    <w:next w:val="Tablelegend"/>
    <w:rsid w:val="00087C9D"/>
    <w:pPr>
      <w:ind w:left="-85" w:firstLine="0"/>
    </w:pPr>
    <w:rPr>
      <w:lang w:val="en-US"/>
    </w:rPr>
  </w:style>
  <w:style w:type="character" w:customStyle="1" w:styleId="RectitleChar">
    <w:name w:val="Rec_title Char"/>
    <w:basedOn w:val="DefaultParagraphFont"/>
    <w:link w:val="Rectitle"/>
    <w:rsid w:val="0027406B"/>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26ECF-5F68-4A3E-A60A-32C01199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4</Pages>
  <Words>800</Words>
  <Characters>4740</Characters>
  <Application>Microsoft Office Word</Application>
  <DocSecurity>0</DocSecurity>
  <Lines>163</Lines>
  <Paragraphs>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5531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5</cp:revision>
  <cp:lastPrinted>2005-02-10T14:54:00Z</cp:lastPrinted>
  <dcterms:created xsi:type="dcterms:W3CDTF">2011-06-22T12:28:00Z</dcterms:created>
  <dcterms:modified xsi:type="dcterms:W3CDTF">2011-06-27T13:22:00Z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