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FE79FE" w:rsidP="00CC44AA">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 xml:space="preserve">Recommendation  ITU-R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CC44AA">
              <w:rPr>
                <w:rFonts w:ascii="Tahoma" w:hAnsi="Tahoma" w:cs="Tahoma"/>
                <w:b/>
                <w:bCs/>
                <w:iCs/>
                <w:color w:val="243285"/>
                <w:sz w:val="36"/>
                <w:szCs w:val="36"/>
                <w:lang w:val="fr-CH"/>
              </w:rPr>
              <w:t>2044</w:t>
            </w:r>
            <w:r w:rsidR="000F5D85">
              <w:rPr>
                <w:rFonts w:ascii="Tahoma" w:hAnsi="Tahoma" w:cs="Tahoma"/>
                <w:b/>
                <w:bCs/>
                <w:iCs/>
                <w:color w:val="243285"/>
                <w:sz w:val="36"/>
                <w:szCs w:val="36"/>
                <w:lang w:val="fr-CH"/>
              </w:rPr>
              <w:t>-0</w:t>
            </w:r>
          </w:p>
          <w:p w:rsidR="00FE79FE" w:rsidRPr="0081070A" w:rsidRDefault="00FE79FE" w:rsidP="00CC44AA">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F47853">
              <w:rPr>
                <w:rFonts w:ascii="Tahoma" w:hAnsi="Tahoma" w:cs="Tahoma"/>
                <w:b/>
                <w:bCs/>
                <w:iCs/>
                <w:color w:val="243285"/>
                <w:szCs w:val="24"/>
                <w:lang w:val="fr-CH"/>
              </w:rPr>
              <w:t>12/</w:t>
            </w:r>
            <w:r w:rsidR="00CC44AA">
              <w:rPr>
                <w:rFonts w:ascii="Tahoma" w:hAnsi="Tahoma" w:cs="Tahoma"/>
                <w:b/>
                <w:bCs/>
                <w:iCs/>
                <w:color w:val="243285"/>
                <w:szCs w:val="24"/>
                <w:lang w:val="fr-CH"/>
              </w:rPr>
              <w:t>2013</w:t>
            </w:r>
            <w:r w:rsidRPr="0081070A">
              <w:rPr>
                <w:rFonts w:ascii="Tahoma" w:hAnsi="Tahoma" w:cs="Tahoma"/>
                <w:b/>
                <w:bCs/>
                <w:iCs/>
                <w:color w:val="243285"/>
                <w:szCs w:val="24"/>
                <w:lang w:val="fr-CH"/>
              </w:rPr>
              <w:t>)</w:t>
            </w:r>
          </w:p>
        </w:tc>
      </w:tr>
      <w:tr w:rsidR="00FE79FE" w:rsidRPr="00456BDA">
        <w:tc>
          <w:tcPr>
            <w:tcW w:w="10089" w:type="dxa"/>
          </w:tcPr>
          <w:p w:rsidR="00013002" w:rsidRPr="00CC44AA"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C44AA" w:rsidP="00CC44AA">
            <w:pPr>
              <w:spacing w:before="80" w:line="500" w:lineRule="exact"/>
              <w:jc w:val="right"/>
              <w:rPr>
                <w:rFonts w:ascii="Tahoma" w:hAnsi="Tahoma" w:cs="Tahoma"/>
                <w:b/>
                <w:bCs/>
                <w:iCs/>
                <w:color w:val="243285"/>
                <w:sz w:val="44"/>
                <w:szCs w:val="44"/>
                <w:lang w:val="en-US"/>
              </w:rPr>
            </w:pPr>
            <w:r w:rsidRPr="00CC44AA">
              <w:rPr>
                <w:rFonts w:ascii="Tahoma" w:hAnsi="Tahoma" w:cs="Tahoma"/>
                <w:b/>
                <w:bCs/>
                <w:iCs/>
                <w:color w:val="243285"/>
                <w:sz w:val="44"/>
                <w:szCs w:val="44"/>
                <w:lang w:val="en-US"/>
              </w:rPr>
              <w:t xml:space="preserve">Protection criteria for non-GSO data collection platforms </w:t>
            </w:r>
            <w:r w:rsidRPr="00CC44AA">
              <w:rPr>
                <w:rFonts w:ascii="Tahoma" w:hAnsi="Tahoma" w:cs="Tahoma"/>
                <w:b/>
                <w:bCs/>
                <w:iCs/>
                <w:color w:val="243285"/>
                <w:sz w:val="44"/>
                <w:szCs w:val="44"/>
                <w:lang w:val="en-US"/>
              </w:rPr>
              <w:br/>
              <w:t>in the band 401-403 MHz</w:t>
            </w:r>
          </w:p>
          <w:p w:rsidR="00A62A14" w:rsidRPr="00CC44AA" w:rsidRDefault="00A62A14" w:rsidP="00FE79FE">
            <w:pPr>
              <w:spacing w:before="80" w:line="500" w:lineRule="exact"/>
              <w:jc w:val="right"/>
              <w:rPr>
                <w:rFonts w:ascii="Tahoma" w:hAnsi="Tahoma" w:cs="Tahoma"/>
                <w:b/>
                <w:bCs/>
                <w:iCs/>
                <w:color w:val="243285"/>
                <w:sz w:val="44"/>
                <w:szCs w:val="44"/>
                <w:lang w:val="en-US"/>
              </w:rPr>
            </w:pPr>
          </w:p>
        </w:tc>
      </w:tr>
      <w:tr w:rsidR="00FE79FE">
        <w:tc>
          <w:tcPr>
            <w:tcW w:w="10089" w:type="dxa"/>
          </w:tcPr>
          <w:p w:rsidR="001F38BB" w:rsidRPr="00CC44AA" w:rsidRDefault="001F38BB" w:rsidP="001F38BB">
            <w:pPr>
              <w:spacing w:before="80" w:line="280" w:lineRule="exact"/>
              <w:ind w:right="640"/>
              <w:rPr>
                <w:rFonts w:ascii="Tahoma" w:hAnsi="Tahoma" w:cs="Tahoma"/>
                <w:b/>
                <w:bCs/>
                <w:iCs/>
                <w:color w:val="243285"/>
                <w:sz w:val="32"/>
                <w:szCs w:val="32"/>
                <w:lang w:val="en-US"/>
              </w:rPr>
            </w:pPr>
          </w:p>
          <w:p w:rsidR="001F38BB" w:rsidRPr="00CC44AA" w:rsidRDefault="001F38BB" w:rsidP="001F38BB">
            <w:pPr>
              <w:spacing w:before="80" w:line="280" w:lineRule="exact"/>
              <w:ind w:right="640"/>
              <w:rPr>
                <w:rFonts w:ascii="Tahoma" w:hAnsi="Tahoma" w:cs="Tahoma"/>
                <w:b/>
                <w:bCs/>
                <w:iCs/>
                <w:color w:val="243285"/>
                <w:sz w:val="32"/>
                <w:szCs w:val="32"/>
                <w:lang w:val="en-US"/>
              </w:rPr>
            </w:pPr>
          </w:p>
          <w:p w:rsidR="001F38BB" w:rsidRPr="00CC44AA" w:rsidRDefault="001F38BB" w:rsidP="001F38BB">
            <w:pPr>
              <w:spacing w:before="80" w:after="180" w:line="360" w:lineRule="exact"/>
              <w:ind w:right="720"/>
              <w:rPr>
                <w:rFonts w:ascii="Tahoma" w:hAnsi="Tahoma" w:cs="Tahoma"/>
                <w:b/>
                <w:bCs/>
                <w:iCs/>
                <w:color w:val="243285"/>
                <w:sz w:val="36"/>
                <w:szCs w:val="36"/>
                <w:lang w:val="en-US"/>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56BDA">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456BDA"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456BDA"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56BDA">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56BDA">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115E1E">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115E1E">
        <w:rPr>
          <w:sz w:val="20"/>
          <w:lang w:val="en-US"/>
        </w:rPr>
        <w:t>4</w:t>
      </w:r>
    </w:p>
    <w:p w:rsidR="00470E28" w:rsidRDefault="00470E28" w:rsidP="00906589">
      <w:pPr>
        <w:jc w:val="center"/>
        <w:rPr>
          <w:sz w:val="22"/>
          <w:lang w:val="en-US"/>
        </w:rPr>
      </w:pPr>
    </w:p>
    <w:p w:rsidR="00586EF8" w:rsidRPr="00470E28" w:rsidRDefault="00586EF8" w:rsidP="00115E1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w:t>
      </w:r>
      <w:r w:rsidR="00115E1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4467C" w:rsidRPr="00F47853" w:rsidRDefault="00934ED7" w:rsidP="0064467C">
      <w:pPr>
        <w:pStyle w:val="RecNo"/>
        <w:spacing w:before="0"/>
        <w:rPr>
          <w:lang w:val="en-US"/>
        </w:rPr>
      </w:pPr>
      <w:bookmarkStart w:id="2" w:name="irecnoe"/>
      <w:bookmarkEnd w:id="2"/>
      <w:r w:rsidRPr="00BF487A">
        <w:rPr>
          <w:lang w:val="en-US"/>
        </w:rPr>
        <w:lastRenderedPageBreak/>
        <w:t>RECOMMENDATI</w:t>
      </w:r>
      <w:bookmarkStart w:id="3" w:name="_GoBack"/>
      <w:bookmarkEnd w:id="3"/>
      <w:r w:rsidRPr="00BF487A">
        <w:rPr>
          <w:lang w:val="en-US"/>
        </w:rPr>
        <w:t xml:space="preserve">ON  </w:t>
      </w:r>
      <w:r w:rsidRPr="00BF487A">
        <w:rPr>
          <w:rStyle w:val="href"/>
          <w:lang w:val="en-US"/>
        </w:rPr>
        <w:t xml:space="preserve">ITU-R  </w:t>
      </w:r>
      <w:r w:rsidR="00A4173A">
        <w:rPr>
          <w:rStyle w:val="href"/>
          <w:lang w:val="en-US"/>
        </w:rPr>
        <w:t>SA</w:t>
      </w:r>
      <w:r w:rsidRPr="00BF487A">
        <w:rPr>
          <w:rStyle w:val="href"/>
          <w:lang w:val="en-US"/>
        </w:rPr>
        <w:t>.</w:t>
      </w:r>
      <w:r w:rsidR="0064467C">
        <w:rPr>
          <w:rStyle w:val="href"/>
          <w:lang w:val="en-US"/>
        </w:rPr>
        <w:t>2044</w:t>
      </w:r>
      <w:r w:rsidR="00456BDA">
        <w:rPr>
          <w:rStyle w:val="href"/>
          <w:lang w:val="en-US"/>
        </w:rPr>
        <w:t>-0</w:t>
      </w:r>
    </w:p>
    <w:p w:rsidR="00934ED7" w:rsidRDefault="0064467C" w:rsidP="00CC44AA">
      <w:pPr>
        <w:pStyle w:val="Rectitle"/>
        <w:rPr>
          <w:lang w:val="en-US" w:eastAsia="zh-CN"/>
        </w:rPr>
      </w:pPr>
      <w:r w:rsidRPr="0064467C">
        <w:rPr>
          <w:lang w:val="en-US" w:eastAsia="zh-CN"/>
        </w:rPr>
        <w:t xml:space="preserve">Protection criteria for </w:t>
      </w:r>
      <w:r w:rsidRPr="0064467C">
        <w:rPr>
          <w:lang w:val="en-US"/>
        </w:rPr>
        <w:t>non</w:t>
      </w:r>
      <w:r w:rsidRPr="0064467C">
        <w:rPr>
          <w:lang w:val="en-US" w:eastAsia="zh-CN"/>
        </w:rPr>
        <w:t xml:space="preserve">-GSO data collection platforms </w:t>
      </w:r>
      <w:r w:rsidRPr="0064467C">
        <w:rPr>
          <w:lang w:val="en-US" w:eastAsia="zh-CN"/>
        </w:rPr>
        <w:br/>
        <w:t xml:space="preserve">in </w:t>
      </w:r>
      <w:r w:rsidRPr="0064467C">
        <w:rPr>
          <w:lang w:val="en-US"/>
        </w:rPr>
        <w:t>the</w:t>
      </w:r>
      <w:r w:rsidRPr="0064467C">
        <w:rPr>
          <w:lang w:val="en-US" w:eastAsia="zh-CN"/>
        </w:rPr>
        <w:t xml:space="preserve"> band 401-403 MHz</w:t>
      </w:r>
    </w:p>
    <w:p w:rsidR="00CC44AA" w:rsidRPr="00F47853" w:rsidRDefault="00CC44AA" w:rsidP="00CC44AA">
      <w:pPr>
        <w:pStyle w:val="Recref"/>
        <w:rPr>
          <w:lang w:val="en-US"/>
        </w:rPr>
      </w:pPr>
      <w:r w:rsidRPr="00F47853">
        <w:rPr>
          <w:lang w:val="en-US"/>
        </w:rPr>
        <w:t>(Questions ITU-R 139/7 and ITU-R 141/7)</w:t>
      </w:r>
    </w:p>
    <w:p w:rsidR="00CC44AA" w:rsidRDefault="00CC44AA" w:rsidP="00CC44AA">
      <w:pPr>
        <w:pStyle w:val="Recdate"/>
        <w:rPr>
          <w:lang w:val="en-US" w:eastAsia="zh-CN"/>
        </w:rPr>
      </w:pPr>
      <w:r>
        <w:rPr>
          <w:lang w:val="en-US" w:eastAsia="zh-CN"/>
        </w:rPr>
        <w:t>(2013)</w:t>
      </w:r>
    </w:p>
    <w:p w:rsidR="00CC44AA" w:rsidRPr="006037C2" w:rsidRDefault="00CC44AA" w:rsidP="005101AA">
      <w:pPr>
        <w:pStyle w:val="HeadingSum"/>
        <w:rPr>
          <w:sz w:val="22"/>
          <w:szCs w:val="22"/>
          <w:lang w:val="en-US" w:eastAsia="zh-CN"/>
        </w:rPr>
      </w:pPr>
      <w:r w:rsidRPr="006037C2">
        <w:rPr>
          <w:sz w:val="22"/>
          <w:szCs w:val="22"/>
          <w:lang w:val="en-US" w:eastAsia="zh-CN"/>
        </w:rPr>
        <w:t>Scope</w:t>
      </w:r>
    </w:p>
    <w:p w:rsidR="00CC44AA" w:rsidRPr="006037C2" w:rsidRDefault="000F5D85" w:rsidP="000F5D85">
      <w:pPr>
        <w:pStyle w:val="Summary"/>
        <w:rPr>
          <w:sz w:val="22"/>
          <w:lang w:eastAsia="zh-CN"/>
        </w:rPr>
      </w:pPr>
      <w:r w:rsidRPr="000F5D85">
        <w:rPr>
          <w:sz w:val="22"/>
          <w:lang w:val="en-GB"/>
        </w:rPr>
        <w:t>This Recommendation provides information on the performance and interference criteria for non-GSO Data Collection Systems (DCS) in the 401-403 MHz.</w:t>
      </w:r>
    </w:p>
    <w:p w:rsidR="00CC44AA" w:rsidRPr="00CC44AA" w:rsidRDefault="00CC44AA" w:rsidP="005101AA">
      <w:pPr>
        <w:pStyle w:val="Normalaftertitle"/>
        <w:rPr>
          <w:lang w:val="en-US" w:eastAsia="zh-CN"/>
        </w:rPr>
      </w:pPr>
      <w:r w:rsidRPr="00CC44AA">
        <w:rPr>
          <w:lang w:val="en-US" w:eastAsia="zh-CN"/>
        </w:rPr>
        <w:t>The ITU Radiocommunication Assembly,</w:t>
      </w:r>
    </w:p>
    <w:p w:rsidR="00CC44AA" w:rsidRPr="00CC44AA" w:rsidRDefault="00CC44AA" w:rsidP="005101AA">
      <w:pPr>
        <w:pStyle w:val="Call"/>
        <w:rPr>
          <w:lang w:val="en-US" w:eastAsia="zh-CN"/>
        </w:rPr>
      </w:pPr>
      <w:r w:rsidRPr="00CC44AA">
        <w:rPr>
          <w:lang w:val="en-US" w:eastAsia="zh-CN"/>
        </w:rPr>
        <w:t>considering</w:t>
      </w:r>
    </w:p>
    <w:p w:rsidR="00CC44AA" w:rsidRPr="00CC44AA" w:rsidRDefault="00115E1E" w:rsidP="00CC44AA">
      <w:pPr>
        <w:rPr>
          <w:lang w:val="en-US" w:eastAsia="zh-CN"/>
        </w:rPr>
      </w:pPr>
      <w:r>
        <w:rPr>
          <w:lang w:val="en-US" w:eastAsia="zh-CN"/>
        </w:rPr>
        <w:t>a</w:t>
      </w:r>
      <w:r w:rsidR="00CC44AA" w:rsidRPr="005101AA">
        <w:rPr>
          <w:lang w:val="en-US" w:eastAsia="zh-CN"/>
        </w:rPr>
        <w:t>)</w:t>
      </w:r>
      <w:r w:rsidR="00CC44AA" w:rsidRPr="00CC44AA">
        <w:rPr>
          <w:lang w:val="en-US" w:eastAsia="zh-CN"/>
        </w:rPr>
        <w:tab/>
        <w:t>that system designers require performance objectives in the presence of interference for their systems;</w:t>
      </w:r>
    </w:p>
    <w:p w:rsidR="00CC44AA" w:rsidRPr="00CC44AA" w:rsidRDefault="00115E1E" w:rsidP="00052EF8">
      <w:pPr>
        <w:rPr>
          <w:lang w:val="en-US" w:eastAsia="zh-CN"/>
        </w:rPr>
      </w:pPr>
      <w:r>
        <w:rPr>
          <w:lang w:val="en-US" w:eastAsia="zh-CN"/>
        </w:rPr>
        <w:t>b</w:t>
      </w:r>
      <w:r w:rsidR="00CC44AA" w:rsidRPr="005101AA">
        <w:rPr>
          <w:lang w:val="en-US" w:eastAsia="zh-CN"/>
        </w:rPr>
        <w:t>)</w:t>
      </w:r>
      <w:r w:rsidR="00CC44AA" w:rsidRPr="00CC44AA">
        <w:rPr>
          <w:lang w:val="en-US" w:eastAsia="zh-CN"/>
        </w:rPr>
        <w:tab/>
        <w:t xml:space="preserve">that performance objectives for representative systems operating in the </w:t>
      </w:r>
      <w:r w:rsidR="00E362E8">
        <w:rPr>
          <w:lang w:val="en-US" w:eastAsia="zh-CN"/>
        </w:rPr>
        <w:t>EE</w:t>
      </w:r>
      <w:r w:rsidR="00052EF8">
        <w:rPr>
          <w:lang w:val="en-US" w:eastAsia="zh-CN"/>
        </w:rPr>
        <w:t>S</w:t>
      </w:r>
      <w:r w:rsidR="00E362E8">
        <w:rPr>
          <w:lang w:val="en-US" w:eastAsia="zh-CN"/>
        </w:rPr>
        <w:t xml:space="preserve">S </w:t>
      </w:r>
      <w:r w:rsidR="00CC44AA" w:rsidRPr="00CC44AA">
        <w:rPr>
          <w:lang w:val="en-US" w:eastAsia="zh-CN"/>
        </w:rPr>
        <w:t xml:space="preserve">and </w:t>
      </w:r>
      <w:r w:rsidR="00E362E8">
        <w:rPr>
          <w:lang w:val="en-US" w:eastAsia="zh-CN"/>
        </w:rPr>
        <w:t>MetSat</w:t>
      </w:r>
      <w:r w:rsidR="00CC44AA" w:rsidRPr="00CC44AA">
        <w:rPr>
          <w:lang w:val="en-US" w:eastAsia="zh-CN"/>
        </w:rPr>
        <w:t xml:space="preserve"> </w:t>
      </w:r>
      <w:r w:rsidR="00E362E8" w:rsidRPr="00CC44AA">
        <w:rPr>
          <w:lang w:val="en-US" w:eastAsia="zh-CN"/>
        </w:rPr>
        <w:t xml:space="preserve">services </w:t>
      </w:r>
      <w:r w:rsidR="00CC44AA" w:rsidRPr="00CC44AA">
        <w:rPr>
          <w:lang w:val="en-US" w:eastAsia="zh-CN"/>
        </w:rPr>
        <w:t>are intended to provide guidelines for the development of actual systems;</w:t>
      </w:r>
    </w:p>
    <w:p w:rsidR="00CC44AA" w:rsidRPr="00CC44AA" w:rsidRDefault="00115E1E" w:rsidP="00052EF8">
      <w:pPr>
        <w:rPr>
          <w:lang w:val="en-US" w:eastAsia="zh-CN"/>
        </w:rPr>
      </w:pPr>
      <w:r>
        <w:rPr>
          <w:lang w:val="en-US" w:eastAsia="zh-CN"/>
        </w:rPr>
        <w:t>c</w:t>
      </w:r>
      <w:r w:rsidR="00CC44AA" w:rsidRPr="005101AA">
        <w:rPr>
          <w:lang w:val="en-US" w:eastAsia="zh-CN"/>
        </w:rPr>
        <w:t>)</w:t>
      </w:r>
      <w:r w:rsidR="00CC44AA" w:rsidRPr="00CC44AA">
        <w:rPr>
          <w:lang w:val="en-US" w:eastAsia="zh-CN"/>
        </w:rPr>
        <w:tab/>
        <w:t xml:space="preserve">that performance objectives for </w:t>
      </w:r>
      <w:r w:rsidR="00E362E8">
        <w:rPr>
          <w:lang w:val="en-US" w:eastAsia="zh-CN"/>
        </w:rPr>
        <w:t>EE</w:t>
      </w:r>
      <w:r w:rsidR="00052EF8">
        <w:rPr>
          <w:lang w:val="en-US" w:eastAsia="zh-CN"/>
        </w:rPr>
        <w:t>S</w:t>
      </w:r>
      <w:r w:rsidR="00E362E8">
        <w:rPr>
          <w:lang w:val="en-US" w:eastAsia="zh-CN"/>
        </w:rPr>
        <w:t xml:space="preserve">S </w:t>
      </w:r>
      <w:r w:rsidR="00E362E8" w:rsidRPr="00CC44AA">
        <w:rPr>
          <w:lang w:val="en-US" w:eastAsia="zh-CN"/>
        </w:rPr>
        <w:t xml:space="preserve">and </w:t>
      </w:r>
      <w:r w:rsidR="00E362E8">
        <w:rPr>
          <w:lang w:val="en-US" w:eastAsia="zh-CN"/>
        </w:rPr>
        <w:t>MetSat</w:t>
      </w:r>
      <w:r w:rsidR="00E362E8" w:rsidRPr="00CC44AA">
        <w:rPr>
          <w:lang w:val="en-US" w:eastAsia="zh-CN"/>
        </w:rPr>
        <w:t xml:space="preserve"> services </w:t>
      </w:r>
      <w:r w:rsidR="00CC44AA" w:rsidRPr="00CC44AA">
        <w:rPr>
          <w:lang w:val="en-US" w:eastAsia="zh-CN"/>
        </w:rPr>
        <w:t>are a prerequisite for conducting interference assessments;</w:t>
      </w:r>
    </w:p>
    <w:p w:rsidR="00CC44AA" w:rsidRPr="00CC44AA" w:rsidRDefault="00115E1E" w:rsidP="00CC44AA">
      <w:pPr>
        <w:rPr>
          <w:lang w:val="en-US" w:eastAsia="zh-CN"/>
        </w:rPr>
      </w:pPr>
      <w:r>
        <w:rPr>
          <w:lang w:val="en-US" w:eastAsia="zh-CN"/>
        </w:rPr>
        <w:t>d</w:t>
      </w:r>
      <w:r w:rsidR="00CC44AA" w:rsidRPr="005101AA">
        <w:rPr>
          <w:lang w:val="en-US" w:eastAsia="zh-CN"/>
        </w:rPr>
        <w:t>)</w:t>
      </w:r>
      <w:r w:rsidR="00CC44AA" w:rsidRPr="00CC44AA">
        <w:rPr>
          <w:lang w:val="en-US" w:eastAsia="zh-CN"/>
        </w:rPr>
        <w:tab/>
        <w:t>that protection criteria are required to meet the desirable performance objectives in the presence of interference,</w:t>
      </w:r>
    </w:p>
    <w:p w:rsidR="00CC44AA" w:rsidRPr="00CC44AA" w:rsidRDefault="00CC44AA" w:rsidP="005101AA">
      <w:pPr>
        <w:pStyle w:val="Call"/>
        <w:rPr>
          <w:lang w:val="en-US" w:eastAsia="zh-CN"/>
        </w:rPr>
      </w:pPr>
      <w:r w:rsidRPr="00CC44AA">
        <w:rPr>
          <w:lang w:val="en-US" w:eastAsia="zh-CN"/>
        </w:rPr>
        <w:t>recommends</w:t>
      </w:r>
    </w:p>
    <w:p w:rsidR="00CC44AA" w:rsidRDefault="00CC44AA" w:rsidP="00CC44AA">
      <w:pPr>
        <w:rPr>
          <w:lang w:val="en-US"/>
        </w:rPr>
      </w:pPr>
      <w:r w:rsidRPr="005101AA">
        <w:rPr>
          <w:b/>
          <w:bCs/>
          <w:lang w:val="en-US"/>
        </w:rPr>
        <w:t>1</w:t>
      </w:r>
      <w:r>
        <w:rPr>
          <w:lang w:val="en-US"/>
        </w:rPr>
        <w:tab/>
        <w:t>that the analysis to determine the effect on non-GSO DCS systems in the 401-403 MHz should be based on the following protection criteria:</w:t>
      </w:r>
    </w:p>
    <w:p w:rsidR="00CC44AA" w:rsidRDefault="00CC44AA" w:rsidP="006037C2">
      <w:pPr>
        <w:pStyle w:val="enumlev1"/>
        <w:rPr>
          <w:lang w:val="en-US"/>
        </w:rPr>
      </w:pPr>
      <w:r>
        <w:rPr>
          <w:lang w:val="en-US"/>
        </w:rPr>
        <w:t>–</w:t>
      </w:r>
      <w:r>
        <w:rPr>
          <w:lang w:val="en-US"/>
        </w:rPr>
        <w:tab/>
      </w:r>
      <w:r w:rsidR="005101AA" w:rsidRPr="005101AA">
        <w:rPr>
          <w:rFonts w:hint="eastAsia"/>
          <w:lang w:val="en-US"/>
        </w:rPr>
        <w:t>–</w:t>
      </w:r>
      <w:r>
        <w:rPr>
          <w:lang w:val="en-US"/>
        </w:rPr>
        <w:t>197.9 dB(W/(m</w:t>
      </w:r>
      <w:r>
        <w:rPr>
          <w:vertAlign w:val="superscript"/>
          <w:lang w:val="en-US"/>
        </w:rPr>
        <w:t>2</w:t>
      </w:r>
      <w:r>
        <w:rPr>
          <w:lang w:val="en-US"/>
        </w:rPr>
        <w:t xml:space="preserve"> · Hz)) maximum aggregate acceptable </w:t>
      </w:r>
      <w:r w:rsidR="00E332F9">
        <w:rPr>
          <w:lang w:val="en-US"/>
        </w:rPr>
        <w:t>spectral power flux</w:t>
      </w:r>
      <w:r w:rsidR="006037C2">
        <w:rPr>
          <w:lang w:val="en-US"/>
        </w:rPr>
        <w:t>-</w:t>
      </w:r>
      <w:r w:rsidR="00E332F9">
        <w:rPr>
          <w:lang w:val="en-US"/>
        </w:rPr>
        <w:t xml:space="preserve">density </w:t>
      </w:r>
      <w:r>
        <w:rPr>
          <w:lang w:val="en-US"/>
        </w:rPr>
        <w:t>(</w:t>
      </w:r>
      <w:r w:rsidR="00E332F9">
        <w:rPr>
          <w:lang w:val="en-US"/>
        </w:rPr>
        <w:t>spfd</w:t>
      </w:r>
      <w:r>
        <w:rPr>
          <w:lang w:val="en-US"/>
        </w:rPr>
        <w:t>) at the antenna of a non-GSO DCS instrument for broadban</w:t>
      </w:r>
      <w:r w:rsidR="005101AA">
        <w:rPr>
          <w:lang w:val="en-US"/>
        </w:rPr>
        <w:t>d noise interference (see Annex </w:t>
      </w:r>
      <w:r>
        <w:rPr>
          <w:lang w:val="en-US"/>
        </w:rPr>
        <w:t>1);</w:t>
      </w:r>
    </w:p>
    <w:p w:rsidR="00CC44AA" w:rsidRDefault="00CC44AA" w:rsidP="006037C2">
      <w:pPr>
        <w:pStyle w:val="enumlev1"/>
        <w:rPr>
          <w:lang w:val="en-US"/>
        </w:rPr>
      </w:pPr>
      <w:r>
        <w:rPr>
          <w:lang w:val="en-US"/>
        </w:rPr>
        <w:t>–</w:t>
      </w:r>
      <w:r>
        <w:rPr>
          <w:lang w:val="en-US"/>
        </w:rPr>
        <w:tab/>
      </w:r>
      <w:r w:rsidR="005101AA">
        <w:rPr>
          <w:lang w:val="en-US"/>
        </w:rPr>
        <w:t>–</w:t>
      </w:r>
      <w:r>
        <w:rPr>
          <w:lang w:val="en-US"/>
        </w:rPr>
        <w:t>165.4 dB(W/m</w:t>
      </w:r>
      <w:r>
        <w:rPr>
          <w:vertAlign w:val="superscript"/>
          <w:lang w:val="en-US"/>
        </w:rPr>
        <w:t>2</w:t>
      </w:r>
      <w:r>
        <w:rPr>
          <w:lang w:val="en-US"/>
        </w:rPr>
        <w:t xml:space="preserve">) maximum </w:t>
      </w:r>
      <w:r w:rsidR="00E332F9">
        <w:rPr>
          <w:lang w:val="en-US"/>
        </w:rPr>
        <w:t>power flux</w:t>
      </w:r>
      <w:r w:rsidR="006037C2">
        <w:rPr>
          <w:lang w:val="en-US"/>
        </w:rPr>
        <w:t>-</w:t>
      </w:r>
      <w:r w:rsidR="00E332F9">
        <w:rPr>
          <w:lang w:val="en-US"/>
        </w:rPr>
        <w:t xml:space="preserve">density </w:t>
      </w:r>
      <w:r>
        <w:rPr>
          <w:lang w:val="en-US"/>
        </w:rPr>
        <w:t>(</w:t>
      </w:r>
      <w:r w:rsidR="00E332F9">
        <w:rPr>
          <w:lang w:val="en-US"/>
        </w:rPr>
        <w:t>pfd</w:t>
      </w:r>
      <w:r>
        <w:rPr>
          <w:lang w:val="en-US"/>
        </w:rPr>
        <w:t>) within a resolution bandwidth of 19 Hz at the antenna of a non-GSO DCS instrument for each narrow-band spectral line interference (see Annex 2);</w:t>
      </w:r>
    </w:p>
    <w:p w:rsidR="00CC44AA" w:rsidRDefault="00CC44AA" w:rsidP="0066250F">
      <w:pPr>
        <w:rPr>
          <w:lang w:val="en-US"/>
        </w:rPr>
      </w:pPr>
      <w:r w:rsidRPr="005101AA">
        <w:rPr>
          <w:b/>
          <w:lang w:val="en-US"/>
        </w:rPr>
        <w:t>2</w:t>
      </w:r>
      <w:r>
        <w:rPr>
          <w:lang w:val="en-US"/>
        </w:rPr>
        <w:tab/>
        <w:t xml:space="preserve">that protection criteria defined in </w:t>
      </w:r>
      <w:r>
        <w:rPr>
          <w:i/>
          <w:iCs/>
          <w:lang w:val="en-US"/>
        </w:rPr>
        <w:t>recommends</w:t>
      </w:r>
      <w:r>
        <w:rPr>
          <w:lang w:val="en-US"/>
        </w:rPr>
        <w:t xml:space="preserve"> </w:t>
      </w:r>
      <w:r w:rsidRPr="00115E1E">
        <w:rPr>
          <w:b/>
          <w:bCs/>
          <w:lang w:val="en-US"/>
        </w:rPr>
        <w:t>1</w:t>
      </w:r>
      <w:r>
        <w:rPr>
          <w:lang w:val="en-US"/>
        </w:rPr>
        <w:t xml:space="preserve"> should not be exceeded for more than </w:t>
      </w:r>
      <w:r w:rsidR="0066250F">
        <w:rPr>
          <w:lang w:val="en-US"/>
        </w:rPr>
        <w:t>a </w:t>
      </w:r>
      <w:r>
        <w:rPr>
          <w:lang w:val="en-US"/>
        </w:rPr>
        <w:t>percentage of 1% of time in the field of view of the satellite.</w:t>
      </w:r>
    </w:p>
    <w:p w:rsidR="00CC44AA" w:rsidRPr="002C7567" w:rsidRDefault="00CC44AA" w:rsidP="002C7567">
      <w:pPr>
        <w:pStyle w:val="AnnexNoTitle"/>
        <w:rPr>
          <w:lang w:val="en-US"/>
        </w:rPr>
      </w:pPr>
      <w:r w:rsidRPr="002C7567">
        <w:rPr>
          <w:lang w:val="en-US"/>
        </w:rPr>
        <w:t>Annex 1</w:t>
      </w:r>
      <w:r w:rsidR="002C7567" w:rsidRPr="002C7567">
        <w:rPr>
          <w:lang w:val="en-US"/>
        </w:rPr>
        <w:br/>
      </w:r>
      <w:r w:rsidR="002C7567">
        <w:rPr>
          <w:lang w:val="en-US"/>
        </w:rPr>
        <w:br/>
      </w:r>
      <w:r w:rsidRPr="002C7567">
        <w:rPr>
          <w:lang w:val="en-US"/>
        </w:rPr>
        <w:t>Protection criteria for non-GSO DCS instruments in the ba</w:t>
      </w:r>
      <w:r w:rsidR="006037C2">
        <w:rPr>
          <w:lang w:val="en-US"/>
        </w:rPr>
        <w:t>nd 401-401.69 MHz against broad</w:t>
      </w:r>
      <w:r w:rsidRPr="002C7567">
        <w:rPr>
          <w:lang w:val="en-US"/>
        </w:rPr>
        <w:t>band noise interference emissions</w:t>
      </w:r>
    </w:p>
    <w:p w:rsidR="00CC44AA" w:rsidRDefault="00CC44AA" w:rsidP="005101AA">
      <w:pPr>
        <w:pStyle w:val="Heading1"/>
        <w:rPr>
          <w:lang w:val="en-US"/>
        </w:rPr>
      </w:pPr>
      <w:r>
        <w:rPr>
          <w:lang w:val="en-US"/>
        </w:rPr>
        <w:t>1</w:t>
      </w:r>
      <w:r>
        <w:rPr>
          <w:lang w:val="en-US"/>
        </w:rPr>
        <w:tab/>
      </w:r>
      <w:r w:rsidRPr="00F47853">
        <w:rPr>
          <w:lang w:val="en-US"/>
        </w:rPr>
        <w:t>Introduction</w:t>
      </w:r>
    </w:p>
    <w:p w:rsidR="00CC44AA" w:rsidRDefault="00CC44AA" w:rsidP="00CC44AA">
      <w:pPr>
        <w:rPr>
          <w:lang w:val="en-US"/>
        </w:rPr>
      </w:pPr>
      <w:r>
        <w:rPr>
          <w:lang w:val="en-US"/>
        </w:rPr>
        <w:t xml:space="preserve">This Annex provides information relating to an existing typical non-GSO DCS system in operation so called </w:t>
      </w:r>
      <w:smartTag w:uri="urn:schemas-microsoft-com:office:smarttags" w:element="place">
        <w:smartTag w:uri="urn:schemas-microsoft-com:office:smarttags" w:element="City">
          <w:r>
            <w:rPr>
              <w:lang w:val="en-US"/>
            </w:rPr>
            <w:t>ARGOS</w:t>
          </w:r>
        </w:smartTag>
      </w:smartTag>
      <w:r>
        <w:rPr>
          <w:lang w:val="en-US"/>
        </w:rPr>
        <w:t xml:space="preserve"> and therefore to its protection requirements from broadband noise interference emissions.</w:t>
      </w:r>
    </w:p>
    <w:p w:rsidR="00CC44AA" w:rsidRDefault="00CC44AA" w:rsidP="00E332F9">
      <w:pPr>
        <w:pStyle w:val="Heading1"/>
        <w:rPr>
          <w:lang w:val="en-US"/>
        </w:rPr>
      </w:pPr>
      <w:r>
        <w:rPr>
          <w:lang w:val="en-US"/>
        </w:rPr>
        <w:lastRenderedPageBreak/>
        <w:t>2</w:t>
      </w:r>
      <w:r>
        <w:rPr>
          <w:lang w:val="en-US"/>
        </w:rPr>
        <w:tab/>
      </w:r>
      <w:r w:rsidR="006037C2">
        <w:rPr>
          <w:lang w:val="en-US"/>
        </w:rPr>
        <w:t>Spectral power flux-</w:t>
      </w:r>
      <w:r w:rsidR="00E332F9">
        <w:rPr>
          <w:lang w:val="en-US"/>
        </w:rPr>
        <w:t>density</w:t>
      </w:r>
      <w:r>
        <w:rPr>
          <w:lang w:val="en-US"/>
        </w:rPr>
        <w:t xml:space="preserve"> threshold level of interference</w:t>
      </w:r>
    </w:p>
    <w:p w:rsidR="00CC44AA" w:rsidRDefault="00CC44AA" w:rsidP="0066250F">
      <w:pPr>
        <w:rPr>
          <w:lang w:val="en-US"/>
        </w:rPr>
      </w:pPr>
      <w:r>
        <w:rPr>
          <w:lang w:val="en-US"/>
        </w:rPr>
        <w:t xml:space="preserve">The addition of broadband noise to the </w:t>
      </w:r>
      <w:smartTag w:uri="urn:schemas-microsoft-com:office:smarttags" w:element="place">
        <w:smartTag w:uri="urn:schemas-microsoft-com:office:smarttags" w:element="City">
          <w:r>
            <w:rPr>
              <w:lang w:val="en-US"/>
            </w:rPr>
            <w:t>ARGOS</w:t>
          </w:r>
        </w:smartTag>
      </w:smartTag>
      <w:r>
        <w:rPr>
          <w:lang w:val="en-US"/>
        </w:rPr>
        <w:t xml:space="preserve"> instrument will have the effect of increasing the system bit-error ratio (BER), and therefore adversely affect its performance requirement. </w:t>
      </w:r>
      <w:r w:rsidR="0066250F">
        <w:rPr>
          <w:lang w:val="en-US"/>
        </w:rPr>
        <w:t>This </w:t>
      </w:r>
      <w:r>
        <w:rPr>
          <w:lang w:val="en-US"/>
        </w:rPr>
        <w:t>analysis identifies the maximum acceptable pfd associated with broadband noise in the ARGOS uplink channel.</w:t>
      </w:r>
    </w:p>
    <w:p w:rsidR="00CC44AA" w:rsidRDefault="00CC44AA" w:rsidP="0066250F">
      <w:pPr>
        <w:rPr>
          <w:lang w:val="en-US"/>
        </w:rPr>
      </w:pPr>
      <w:r>
        <w:rPr>
          <w:lang w:val="en-US"/>
        </w:rPr>
        <w:t xml:space="preserve">Figure 1 shows the main hardware elements on board the NOAA satellites. This general principle </w:t>
      </w:r>
      <w:r w:rsidR="0066250F">
        <w:rPr>
          <w:lang w:val="en-US"/>
        </w:rPr>
        <w:t>is </w:t>
      </w:r>
      <w:r>
        <w:rPr>
          <w:lang w:val="en-US"/>
        </w:rPr>
        <w:t>applicable to METOP and NOAA satellites.</w:t>
      </w:r>
    </w:p>
    <w:p w:rsidR="00CC44AA" w:rsidRDefault="00CC44AA" w:rsidP="005101AA">
      <w:pPr>
        <w:pStyle w:val="FigureNo"/>
        <w:rPr>
          <w:lang w:val="en-US"/>
        </w:rPr>
      </w:pPr>
      <w:r w:rsidRPr="0066250F">
        <w:rPr>
          <w:lang w:val="en-US"/>
        </w:rPr>
        <w:t>FIGURE</w:t>
      </w:r>
      <w:r>
        <w:rPr>
          <w:lang w:val="en-US"/>
        </w:rPr>
        <w:t xml:space="preserve"> 1</w:t>
      </w:r>
    </w:p>
    <w:p w:rsidR="00CC44AA" w:rsidRDefault="00CC44AA" w:rsidP="005101AA">
      <w:pPr>
        <w:pStyle w:val="Figuretitle"/>
        <w:rPr>
          <w:lang w:val="en-US"/>
        </w:rPr>
      </w:pPr>
      <w:r>
        <w:rPr>
          <w:lang w:val="en-US"/>
        </w:rPr>
        <w:t xml:space="preserve">On-board </w:t>
      </w:r>
      <w:r w:rsidRPr="0066250F">
        <w:rPr>
          <w:lang w:val="en-US"/>
        </w:rPr>
        <w:t>hardware</w:t>
      </w:r>
      <w:r>
        <w:rPr>
          <w:lang w:val="en-US"/>
        </w:rPr>
        <w:t xml:space="preserve"> equipment</w:t>
      </w:r>
    </w:p>
    <w:bookmarkStart w:id="4" w:name="_MON_1408952221"/>
    <w:bookmarkStart w:id="5" w:name="_MON_1408952231"/>
    <w:bookmarkStart w:id="6" w:name="_MON_1408966074"/>
    <w:bookmarkStart w:id="7" w:name="_MON_1408952238"/>
    <w:bookmarkStart w:id="8" w:name="_MON_1408952257"/>
    <w:bookmarkEnd w:id="4"/>
    <w:bookmarkEnd w:id="5"/>
    <w:bookmarkEnd w:id="6"/>
    <w:bookmarkEnd w:id="7"/>
    <w:bookmarkEnd w:id="8"/>
    <w:bookmarkStart w:id="9" w:name="_MON_1408952331"/>
    <w:bookmarkEnd w:id="9"/>
    <w:p w:rsidR="00CC44AA" w:rsidRDefault="00331CF4" w:rsidP="005101AA">
      <w:pPr>
        <w:pStyle w:val="Figure"/>
      </w:pPr>
      <w:r>
        <w:object w:dxaOrig="7966" w:dyaOrig="2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21.5pt" o:ole="">
            <v:imagedata r:id="rId13" o:title=""/>
          </v:shape>
          <o:OLEObject Type="Embed" ProgID="CorelDRAW.Graphic.14" ShapeID="_x0000_i1025" DrawAspect="Content" ObjectID="_1598445406" r:id="rId14"/>
        </w:object>
      </w:r>
    </w:p>
    <w:p w:rsidR="00CC44AA" w:rsidRDefault="00CC44AA" w:rsidP="005101AA">
      <w:pPr>
        <w:rPr>
          <w:lang w:val="en-US"/>
        </w:rPr>
      </w:pPr>
      <w:r>
        <w:rPr>
          <w:lang w:val="en-US"/>
        </w:rPr>
        <w:t>The UDA antenna gain pattern specification is expressed according to the nadir angle in Table 1:</w:t>
      </w:r>
    </w:p>
    <w:p w:rsidR="00CC44AA" w:rsidRPr="00CC44AA" w:rsidRDefault="00CC44AA" w:rsidP="005101AA">
      <w:pPr>
        <w:pStyle w:val="TableNo"/>
        <w:rPr>
          <w:lang w:val="en-US"/>
        </w:rPr>
      </w:pPr>
      <w:r w:rsidRPr="00F47853">
        <w:rPr>
          <w:lang w:val="en-US"/>
        </w:rPr>
        <w:t>TABLE</w:t>
      </w:r>
      <w:r w:rsidRPr="00CC44AA">
        <w:rPr>
          <w:lang w:val="en-US"/>
        </w:rPr>
        <w:t xml:space="preserve"> 1</w:t>
      </w:r>
    </w:p>
    <w:p w:rsidR="00CC44AA" w:rsidRPr="00CC44AA" w:rsidRDefault="00CC44AA" w:rsidP="005101AA">
      <w:pPr>
        <w:pStyle w:val="Tabletitle"/>
        <w:rPr>
          <w:lang w:val="en-US"/>
        </w:rPr>
      </w:pPr>
      <w:r w:rsidRPr="00CC44AA">
        <w:rPr>
          <w:lang w:val="en-US"/>
        </w:rPr>
        <w:t xml:space="preserve">SARP/ARGOS receive antenna (UDA) gain </w:t>
      </w:r>
      <w:r w:rsidRPr="00F47853">
        <w:rPr>
          <w:lang w:val="en-US"/>
        </w:rPr>
        <w:t>pattern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03"/>
        <w:gridCol w:w="814"/>
        <w:gridCol w:w="814"/>
        <w:gridCol w:w="814"/>
        <w:gridCol w:w="813"/>
        <w:gridCol w:w="814"/>
        <w:gridCol w:w="813"/>
        <w:gridCol w:w="813"/>
        <w:gridCol w:w="814"/>
        <w:gridCol w:w="813"/>
        <w:gridCol w:w="814"/>
      </w:tblGrid>
      <w:tr w:rsidR="00CC44AA" w:rsidRPr="006037C2" w:rsidTr="006037C2">
        <w:trPr>
          <w:jc w:val="center"/>
        </w:trPr>
        <w:tc>
          <w:tcPr>
            <w:tcW w:w="1515" w:type="dxa"/>
            <w:vAlign w:val="center"/>
          </w:tcPr>
          <w:p w:rsidR="00CC44AA" w:rsidRPr="006037C2" w:rsidRDefault="00CC44AA" w:rsidP="0066250F">
            <w:pPr>
              <w:pStyle w:val="Tablehead"/>
              <w:rPr>
                <w:noProof/>
                <w:sz w:val="20"/>
                <w:lang w:val="en-US"/>
              </w:rPr>
            </w:pPr>
            <w:r w:rsidRPr="006037C2">
              <w:rPr>
                <w:noProof/>
                <w:sz w:val="20"/>
                <w:lang w:val="en-US"/>
              </w:rPr>
              <w:t>Nadir satellite angle</w:t>
            </w:r>
          </w:p>
        </w:tc>
        <w:tc>
          <w:tcPr>
            <w:tcW w:w="819" w:type="dxa"/>
            <w:vAlign w:val="center"/>
          </w:tcPr>
          <w:p w:rsidR="00CC44AA" w:rsidRPr="006037C2" w:rsidRDefault="00CC44AA" w:rsidP="0066250F">
            <w:pPr>
              <w:pStyle w:val="Tablehead"/>
              <w:rPr>
                <w:noProof/>
                <w:sz w:val="20"/>
                <w:lang w:val="en-US"/>
              </w:rPr>
            </w:pPr>
            <w:r w:rsidRPr="006037C2">
              <w:rPr>
                <w:noProof/>
                <w:sz w:val="20"/>
                <w:lang w:val="en-US"/>
              </w:rPr>
              <w:t>62</w:t>
            </w:r>
          </w:p>
        </w:tc>
        <w:tc>
          <w:tcPr>
            <w:tcW w:w="819" w:type="dxa"/>
            <w:vAlign w:val="center"/>
          </w:tcPr>
          <w:p w:rsidR="00CC44AA" w:rsidRPr="006037C2" w:rsidRDefault="00CC44AA" w:rsidP="0066250F">
            <w:pPr>
              <w:pStyle w:val="Tablehead"/>
              <w:rPr>
                <w:noProof/>
                <w:sz w:val="20"/>
                <w:lang w:val="en-US"/>
              </w:rPr>
            </w:pPr>
            <w:r w:rsidRPr="006037C2">
              <w:rPr>
                <w:noProof/>
                <w:sz w:val="20"/>
                <w:lang w:val="en-US"/>
              </w:rPr>
              <w:t>59</w:t>
            </w:r>
          </w:p>
        </w:tc>
        <w:tc>
          <w:tcPr>
            <w:tcW w:w="820" w:type="dxa"/>
            <w:vAlign w:val="center"/>
          </w:tcPr>
          <w:p w:rsidR="00CC44AA" w:rsidRPr="006037C2" w:rsidRDefault="00CC44AA" w:rsidP="0066250F">
            <w:pPr>
              <w:pStyle w:val="Tablehead"/>
              <w:rPr>
                <w:noProof/>
                <w:sz w:val="20"/>
                <w:lang w:val="en-US"/>
              </w:rPr>
            </w:pPr>
            <w:r w:rsidRPr="006037C2">
              <w:rPr>
                <w:noProof/>
                <w:sz w:val="20"/>
                <w:lang w:val="en-US"/>
              </w:rPr>
              <w:t>54</w:t>
            </w:r>
          </w:p>
        </w:tc>
        <w:tc>
          <w:tcPr>
            <w:tcW w:w="819" w:type="dxa"/>
            <w:vAlign w:val="center"/>
          </w:tcPr>
          <w:p w:rsidR="00CC44AA" w:rsidRPr="006037C2" w:rsidRDefault="00CC44AA" w:rsidP="0066250F">
            <w:pPr>
              <w:pStyle w:val="Tablehead"/>
              <w:rPr>
                <w:noProof/>
                <w:sz w:val="20"/>
                <w:lang w:val="en-US"/>
              </w:rPr>
            </w:pPr>
            <w:r w:rsidRPr="006037C2">
              <w:rPr>
                <w:noProof/>
                <w:sz w:val="20"/>
                <w:lang w:val="en-US"/>
              </w:rPr>
              <w:t>47</w:t>
            </w:r>
          </w:p>
        </w:tc>
        <w:tc>
          <w:tcPr>
            <w:tcW w:w="820" w:type="dxa"/>
            <w:vAlign w:val="center"/>
          </w:tcPr>
          <w:p w:rsidR="00CC44AA" w:rsidRPr="006037C2" w:rsidRDefault="00CC44AA" w:rsidP="0066250F">
            <w:pPr>
              <w:pStyle w:val="Tablehead"/>
              <w:rPr>
                <w:noProof/>
                <w:sz w:val="20"/>
                <w:lang w:val="en-US"/>
              </w:rPr>
            </w:pPr>
            <w:r w:rsidRPr="006037C2">
              <w:rPr>
                <w:noProof/>
                <w:sz w:val="20"/>
                <w:lang w:val="en-US"/>
              </w:rPr>
              <w:t>39</w:t>
            </w:r>
          </w:p>
        </w:tc>
        <w:tc>
          <w:tcPr>
            <w:tcW w:w="819" w:type="dxa"/>
            <w:vAlign w:val="center"/>
          </w:tcPr>
          <w:p w:rsidR="00CC44AA" w:rsidRPr="006037C2" w:rsidRDefault="00CC44AA" w:rsidP="0066250F">
            <w:pPr>
              <w:pStyle w:val="Tablehead"/>
              <w:rPr>
                <w:noProof/>
                <w:sz w:val="20"/>
                <w:lang w:val="en-US"/>
              </w:rPr>
            </w:pPr>
            <w:r w:rsidRPr="006037C2">
              <w:rPr>
                <w:noProof/>
                <w:sz w:val="20"/>
                <w:lang w:val="en-US"/>
              </w:rPr>
              <w:t>31</w:t>
            </w:r>
          </w:p>
        </w:tc>
        <w:tc>
          <w:tcPr>
            <w:tcW w:w="819" w:type="dxa"/>
            <w:vAlign w:val="center"/>
          </w:tcPr>
          <w:p w:rsidR="00CC44AA" w:rsidRPr="006037C2" w:rsidRDefault="00CC44AA" w:rsidP="0066250F">
            <w:pPr>
              <w:pStyle w:val="Tablehead"/>
              <w:rPr>
                <w:noProof/>
                <w:sz w:val="20"/>
                <w:lang w:val="en-US"/>
              </w:rPr>
            </w:pPr>
            <w:r w:rsidRPr="006037C2">
              <w:rPr>
                <w:noProof/>
                <w:sz w:val="20"/>
                <w:lang w:val="en-US"/>
              </w:rPr>
              <w:t>22</w:t>
            </w:r>
          </w:p>
        </w:tc>
        <w:tc>
          <w:tcPr>
            <w:tcW w:w="820" w:type="dxa"/>
            <w:vAlign w:val="center"/>
          </w:tcPr>
          <w:p w:rsidR="00CC44AA" w:rsidRPr="006037C2" w:rsidRDefault="00CC44AA" w:rsidP="0066250F">
            <w:pPr>
              <w:pStyle w:val="Tablehead"/>
              <w:rPr>
                <w:noProof/>
                <w:sz w:val="20"/>
                <w:lang w:val="en-US"/>
              </w:rPr>
            </w:pPr>
            <w:r w:rsidRPr="006037C2">
              <w:rPr>
                <w:noProof/>
                <w:sz w:val="20"/>
                <w:lang w:val="en-US"/>
              </w:rPr>
              <w:t>13</w:t>
            </w:r>
          </w:p>
        </w:tc>
        <w:tc>
          <w:tcPr>
            <w:tcW w:w="819" w:type="dxa"/>
            <w:vAlign w:val="center"/>
          </w:tcPr>
          <w:p w:rsidR="00CC44AA" w:rsidRPr="006037C2" w:rsidRDefault="00CC44AA" w:rsidP="0066250F">
            <w:pPr>
              <w:pStyle w:val="Tablehead"/>
              <w:rPr>
                <w:noProof/>
                <w:sz w:val="20"/>
                <w:lang w:val="en-US"/>
              </w:rPr>
            </w:pPr>
            <w:r w:rsidRPr="006037C2">
              <w:rPr>
                <w:noProof/>
                <w:sz w:val="20"/>
                <w:lang w:val="en-US"/>
              </w:rPr>
              <w:t>5</w:t>
            </w:r>
          </w:p>
        </w:tc>
        <w:tc>
          <w:tcPr>
            <w:tcW w:w="820" w:type="dxa"/>
            <w:vAlign w:val="center"/>
          </w:tcPr>
          <w:p w:rsidR="00CC44AA" w:rsidRPr="006037C2" w:rsidRDefault="00CC44AA" w:rsidP="0066250F">
            <w:pPr>
              <w:pStyle w:val="Tablehead"/>
              <w:rPr>
                <w:noProof/>
                <w:sz w:val="20"/>
                <w:lang w:val="en-US"/>
              </w:rPr>
            </w:pPr>
            <w:r w:rsidRPr="006037C2">
              <w:rPr>
                <w:noProof/>
                <w:sz w:val="20"/>
                <w:lang w:val="en-US"/>
              </w:rPr>
              <w:t>0</w:t>
            </w:r>
          </w:p>
        </w:tc>
      </w:tr>
      <w:tr w:rsidR="00CC44AA" w:rsidRPr="006037C2" w:rsidTr="006037C2">
        <w:trPr>
          <w:jc w:val="center"/>
        </w:trPr>
        <w:tc>
          <w:tcPr>
            <w:tcW w:w="1515" w:type="dxa"/>
          </w:tcPr>
          <w:p w:rsidR="00CC44AA" w:rsidRPr="006037C2" w:rsidRDefault="00CC44AA" w:rsidP="005101AA">
            <w:pPr>
              <w:pStyle w:val="Tabletext"/>
              <w:rPr>
                <w:noProof/>
                <w:sz w:val="20"/>
                <w:lang w:val="en-US"/>
              </w:rPr>
            </w:pPr>
            <w:r w:rsidRPr="006037C2">
              <w:rPr>
                <w:noProof/>
                <w:sz w:val="20"/>
                <w:lang w:val="en-US"/>
              </w:rPr>
              <w:t>Gain in RHCP</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3.85</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3.54</w:t>
            </w:r>
          </w:p>
        </w:tc>
        <w:tc>
          <w:tcPr>
            <w:tcW w:w="820" w:type="dxa"/>
          </w:tcPr>
          <w:p w:rsidR="00CC44AA" w:rsidRPr="006037C2" w:rsidRDefault="00CC44AA" w:rsidP="0066250F">
            <w:pPr>
              <w:pStyle w:val="Tabletext"/>
              <w:jc w:val="center"/>
              <w:rPr>
                <w:noProof/>
                <w:sz w:val="20"/>
                <w:lang w:val="en-US"/>
              </w:rPr>
            </w:pPr>
            <w:r w:rsidRPr="006037C2">
              <w:rPr>
                <w:noProof/>
                <w:sz w:val="20"/>
                <w:lang w:val="en-US"/>
              </w:rPr>
              <w:t>2.62</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1.24</w:t>
            </w:r>
          </w:p>
        </w:tc>
        <w:tc>
          <w:tcPr>
            <w:tcW w:w="820" w:type="dxa"/>
          </w:tcPr>
          <w:p w:rsidR="00CC44AA" w:rsidRPr="006037C2" w:rsidRDefault="00CC44AA" w:rsidP="0066250F">
            <w:pPr>
              <w:pStyle w:val="Tabletext"/>
              <w:jc w:val="center"/>
              <w:rPr>
                <w:noProof/>
                <w:sz w:val="20"/>
                <w:lang w:val="en-US"/>
              </w:rPr>
            </w:pPr>
            <w:r w:rsidRPr="006037C2">
              <w:rPr>
                <w:noProof/>
                <w:sz w:val="20"/>
                <w:lang w:val="en-US"/>
              </w:rPr>
              <w:t>–0.17</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–1.33</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–2.24</w:t>
            </w:r>
          </w:p>
        </w:tc>
        <w:tc>
          <w:tcPr>
            <w:tcW w:w="820" w:type="dxa"/>
          </w:tcPr>
          <w:p w:rsidR="00CC44AA" w:rsidRPr="006037C2" w:rsidRDefault="00CC44AA" w:rsidP="0066250F">
            <w:pPr>
              <w:pStyle w:val="Tabletext"/>
              <w:jc w:val="center"/>
              <w:rPr>
                <w:noProof/>
                <w:sz w:val="20"/>
                <w:lang w:val="en-US"/>
              </w:rPr>
            </w:pPr>
            <w:r w:rsidRPr="006037C2">
              <w:rPr>
                <w:noProof/>
                <w:sz w:val="20"/>
                <w:lang w:val="en-US"/>
              </w:rPr>
              <w:t>–3.08</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–3.80</w:t>
            </w:r>
          </w:p>
        </w:tc>
        <w:tc>
          <w:tcPr>
            <w:tcW w:w="820" w:type="dxa"/>
          </w:tcPr>
          <w:p w:rsidR="00CC44AA" w:rsidRPr="006037C2" w:rsidRDefault="00CC44AA" w:rsidP="0066250F">
            <w:pPr>
              <w:pStyle w:val="Tabletext"/>
              <w:jc w:val="center"/>
              <w:rPr>
                <w:noProof/>
                <w:sz w:val="20"/>
                <w:lang w:val="en-US"/>
              </w:rPr>
            </w:pPr>
            <w:r w:rsidRPr="006037C2">
              <w:rPr>
                <w:noProof/>
                <w:sz w:val="20"/>
                <w:lang w:val="en-US"/>
              </w:rPr>
              <w:t>–3.96</w:t>
            </w:r>
          </w:p>
        </w:tc>
      </w:tr>
      <w:tr w:rsidR="00CC44AA" w:rsidRPr="006037C2" w:rsidTr="006037C2">
        <w:trPr>
          <w:jc w:val="center"/>
        </w:trPr>
        <w:tc>
          <w:tcPr>
            <w:tcW w:w="1515" w:type="dxa"/>
          </w:tcPr>
          <w:p w:rsidR="00CC44AA" w:rsidRPr="006037C2" w:rsidRDefault="00CC44AA" w:rsidP="005101AA">
            <w:pPr>
              <w:pStyle w:val="Tabletext"/>
              <w:rPr>
                <w:noProof/>
                <w:sz w:val="20"/>
                <w:lang w:val="en-US"/>
              </w:rPr>
            </w:pPr>
            <w:r w:rsidRPr="006037C2">
              <w:rPr>
                <w:noProof/>
                <w:sz w:val="20"/>
                <w:lang w:val="en-US"/>
              </w:rPr>
              <w:t>Gain in LHCP</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–5.69</w:t>
            </w:r>
          </w:p>
        </w:tc>
        <w:tc>
          <w:tcPr>
            <w:tcW w:w="819" w:type="dxa"/>
          </w:tcPr>
          <w:p w:rsidR="00CC44AA" w:rsidRPr="006037C2" w:rsidRDefault="00CC44AA" w:rsidP="0066250F">
            <w:pPr>
              <w:pStyle w:val="Tabletext"/>
              <w:jc w:val="center"/>
              <w:rPr>
                <w:noProof/>
                <w:sz w:val="20"/>
                <w:lang w:val="en-US"/>
              </w:rPr>
            </w:pPr>
            <w:r w:rsidRPr="006037C2">
              <w:rPr>
                <w:noProof/>
                <w:sz w:val="20"/>
                <w:lang w:val="en-US"/>
              </w:rPr>
              <w:t>–6.23</w:t>
            </w:r>
          </w:p>
        </w:tc>
        <w:tc>
          <w:tcPr>
            <w:tcW w:w="820" w:type="dxa"/>
          </w:tcPr>
          <w:p w:rsidR="00CC44AA" w:rsidRPr="006037C2" w:rsidRDefault="00CC44AA" w:rsidP="0066250F">
            <w:pPr>
              <w:pStyle w:val="Tabletext"/>
              <w:jc w:val="center"/>
              <w:rPr>
                <w:noProof/>
                <w:sz w:val="20"/>
              </w:rPr>
            </w:pPr>
            <w:r w:rsidRPr="006037C2">
              <w:rPr>
                <w:noProof/>
                <w:sz w:val="20"/>
                <w:lang w:val="en-US"/>
              </w:rPr>
              <w:t>–7.</w:t>
            </w:r>
            <w:r w:rsidRPr="006037C2">
              <w:rPr>
                <w:noProof/>
                <w:sz w:val="20"/>
              </w:rPr>
              <w:t>52</w:t>
            </w:r>
          </w:p>
        </w:tc>
        <w:tc>
          <w:tcPr>
            <w:tcW w:w="819" w:type="dxa"/>
          </w:tcPr>
          <w:p w:rsidR="00CC44AA" w:rsidRPr="006037C2" w:rsidRDefault="00CC44AA" w:rsidP="0066250F">
            <w:pPr>
              <w:pStyle w:val="Tabletext"/>
              <w:jc w:val="center"/>
              <w:rPr>
                <w:noProof/>
                <w:sz w:val="20"/>
              </w:rPr>
            </w:pPr>
            <w:r w:rsidRPr="006037C2">
              <w:rPr>
                <w:noProof/>
                <w:sz w:val="20"/>
              </w:rPr>
              <w:t>–9.39</w:t>
            </w:r>
          </w:p>
        </w:tc>
        <w:tc>
          <w:tcPr>
            <w:tcW w:w="820" w:type="dxa"/>
          </w:tcPr>
          <w:p w:rsidR="00CC44AA" w:rsidRPr="006037C2" w:rsidRDefault="00CC44AA" w:rsidP="0066250F">
            <w:pPr>
              <w:pStyle w:val="Tabletext"/>
              <w:jc w:val="center"/>
              <w:rPr>
                <w:noProof/>
                <w:sz w:val="20"/>
              </w:rPr>
            </w:pPr>
            <w:r w:rsidRPr="006037C2">
              <w:rPr>
                <w:noProof/>
                <w:sz w:val="20"/>
              </w:rPr>
              <w:t>–11.39</w:t>
            </w:r>
          </w:p>
        </w:tc>
        <w:tc>
          <w:tcPr>
            <w:tcW w:w="819" w:type="dxa"/>
          </w:tcPr>
          <w:p w:rsidR="00CC44AA" w:rsidRPr="006037C2" w:rsidRDefault="00CC44AA" w:rsidP="0066250F">
            <w:pPr>
              <w:pStyle w:val="Tabletext"/>
              <w:jc w:val="center"/>
              <w:rPr>
                <w:noProof/>
                <w:sz w:val="20"/>
              </w:rPr>
            </w:pPr>
            <w:r w:rsidRPr="006037C2">
              <w:rPr>
                <w:noProof/>
                <w:sz w:val="20"/>
              </w:rPr>
              <w:t>–13.12</w:t>
            </w:r>
          </w:p>
        </w:tc>
        <w:tc>
          <w:tcPr>
            <w:tcW w:w="819" w:type="dxa"/>
          </w:tcPr>
          <w:p w:rsidR="00CC44AA" w:rsidRPr="006037C2" w:rsidRDefault="00CC44AA" w:rsidP="0066250F">
            <w:pPr>
              <w:pStyle w:val="Tabletext"/>
              <w:jc w:val="center"/>
              <w:rPr>
                <w:noProof/>
                <w:sz w:val="20"/>
              </w:rPr>
            </w:pPr>
            <w:r w:rsidRPr="006037C2">
              <w:rPr>
                <w:noProof/>
                <w:sz w:val="20"/>
              </w:rPr>
              <w:t>–14.52</w:t>
            </w:r>
          </w:p>
        </w:tc>
        <w:tc>
          <w:tcPr>
            <w:tcW w:w="820" w:type="dxa"/>
          </w:tcPr>
          <w:p w:rsidR="00CC44AA" w:rsidRPr="006037C2" w:rsidRDefault="00CC44AA" w:rsidP="0066250F">
            <w:pPr>
              <w:pStyle w:val="Tabletext"/>
              <w:jc w:val="center"/>
              <w:rPr>
                <w:noProof/>
                <w:sz w:val="20"/>
              </w:rPr>
            </w:pPr>
            <w:r w:rsidRPr="006037C2">
              <w:rPr>
                <w:noProof/>
                <w:sz w:val="20"/>
              </w:rPr>
              <w:t>–15.77</w:t>
            </w:r>
          </w:p>
        </w:tc>
        <w:tc>
          <w:tcPr>
            <w:tcW w:w="819" w:type="dxa"/>
          </w:tcPr>
          <w:p w:rsidR="00CC44AA" w:rsidRPr="006037C2" w:rsidRDefault="00CC44AA" w:rsidP="0066250F">
            <w:pPr>
              <w:pStyle w:val="Tabletext"/>
              <w:jc w:val="center"/>
              <w:rPr>
                <w:noProof/>
                <w:sz w:val="20"/>
              </w:rPr>
            </w:pPr>
            <w:r w:rsidRPr="006037C2">
              <w:rPr>
                <w:noProof/>
                <w:sz w:val="20"/>
              </w:rPr>
              <w:t>–17.17</w:t>
            </w:r>
          </w:p>
        </w:tc>
        <w:tc>
          <w:tcPr>
            <w:tcW w:w="820" w:type="dxa"/>
          </w:tcPr>
          <w:p w:rsidR="00CC44AA" w:rsidRPr="006037C2" w:rsidRDefault="00CC44AA" w:rsidP="0066250F">
            <w:pPr>
              <w:pStyle w:val="Tabletext"/>
              <w:jc w:val="center"/>
              <w:rPr>
                <w:noProof/>
                <w:sz w:val="20"/>
              </w:rPr>
            </w:pPr>
            <w:r w:rsidRPr="006037C2">
              <w:rPr>
                <w:noProof/>
                <w:sz w:val="20"/>
              </w:rPr>
              <w:t>–18.00</w:t>
            </w:r>
          </w:p>
        </w:tc>
      </w:tr>
      <w:tr w:rsidR="00CC44AA" w:rsidRPr="006037C2" w:rsidTr="006037C2">
        <w:trPr>
          <w:jc w:val="center"/>
        </w:trPr>
        <w:tc>
          <w:tcPr>
            <w:tcW w:w="1515" w:type="dxa"/>
          </w:tcPr>
          <w:p w:rsidR="00CC44AA" w:rsidRPr="006037C2" w:rsidRDefault="00CC44AA" w:rsidP="005101AA">
            <w:pPr>
              <w:pStyle w:val="Tabletext"/>
              <w:rPr>
                <w:noProof/>
                <w:sz w:val="20"/>
              </w:rPr>
            </w:pPr>
            <w:r w:rsidRPr="006037C2">
              <w:rPr>
                <w:noProof/>
                <w:sz w:val="20"/>
              </w:rPr>
              <w:t>Axial ratio</w:t>
            </w:r>
          </w:p>
        </w:tc>
        <w:tc>
          <w:tcPr>
            <w:tcW w:w="819" w:type="dxa"/>
          </w:tcPr>
          <w:p w:rsidR="00CC44AA" w:rsidRPr="006037C2" w:rsidRDefault="00CC44AA" w:rsidP="0066250F">
            <w:pPr>
              <w:pStyle w:val="Tabletext"/>
              <w:jc w:val="center"/>
              <w:rPr>
                <w:noProof/>
                <w:sz w:val="20"/>
              </w:rPr>
            </w:pPr>
            <w:r w:rsidRPr="006037C2">
              <w:rPr>
                <w:noProof/>
                <w:sz w:val="20"/>
              </w:rPr>
              <w:t>6.02</w:t>
            </w:r>
          </w:p>
        </w:tc>
        <w:tc>
          <w:tcPr>
            <w:tcW w:w="819" w:type="dxa"/>
          </w:tcPr>
          <w:p w:rsidR="00CC44AA" w:rsidRPr="006037C2" w:rsidRDefault="00CC44AA" w:rsidP="0066250F">
            <w:pPr>
              <w:pStyle w:val="Tabletext"/>
              <w:jc w:val="center"/>
              <w:rPr>
                <w:noProof/>
                <w:sz w:val="20"/>
              </w:rPr>
            </w:pPr>
            <w:r w:rsidRPr="006037C2">
              <w:rPr>
                <w:noProof/>
                <w:sz w:val="20"/>
              </w:rPr>
              <w:t>5.85</w:t>
            </w:r>
          </w:p>
        </w:tc>
        <w:tc>
          <w:tcPr>
            <w:tcW w:w="820" w:type="dxa"/>
          </w:tcPr>
          <w:p w:rsidR="00CC44AA" w:rsidRPr="006037C2" w:rsidRDefault="00CC44AA" w:rsidP="0066250F">
            <w:pPr>
              <w:pStyle w:val="Tabletext"/>
              <w:jc w:val="center"/>
              <w:rPr>
                <w:noProof/>
                <w:sz w:val="20"/>
              </w:rPr>
            </w:pPr>
            <w:r w:rsidRPr="006037C2">
              <w:rPr>
                <w:noProof/>
                <w:sz w:val="20"/>
              </w:rPr>
              <w:t>5.59</w:t>
            </w:r>
          </w:p>
        </w:tc>
        <w:tc>
          <w:tcPr>
            <w:tcW w:w="819" w:type="dxa"/>
          </w:tcPr>
          <w:p w:rsidR="00CC44AA" w:rsidRPr="006037C2" w:rsidRDefault="00CC44AA" w:rsidP="0066250F">
            <w:pPr>
              <w:pStyle w:val="Tabletext"/>
              <w:jc w:val="center"/>
              <w:rPr>
                <w:noProof/>
                <w:sz w:val="20"/>
              </w:rPr>
            </w:pPr>
            <w:r w:rsidRPr="006037C2">
              <w:rPr>
                <w:noProof/>
                <w:sz w:val="20"/>
              </w:rPr>
              <w:t>5.26</w:t>
            </w:r>
          </w:p>
        </w:tc>
        <w:tc>
          <w:tcPr>
            <w:tcW w:w="820" w:type="dxa"/>
          </w:tcPr>
          <w:p w:rsidR="00CC44AA" w:rsidRPr="006037C2" w:rsidRDefault="00CC44AA" w:rsidP="0066250F">
            <w:pPr>
              <w:pStyle w:val="Tabletext"/>
              <w:jc w:val="center"/>
              <w:rPr>
                <w:noProof/>
                <w:sz w:val="20"/>
              </w:rPr>
            </w:pPr>
            <w:r w:rsidRPr="006037C2">
              <w:rPr>
                <w:noProof/>
                <w:sz w:val="20"/>
              </w:rPr>
              <w:t>4.90</w:t>
            </w:r>
          </w:p>
        </w:tc>
        <w:tc>
          <w:tcPr>
            <w:tcW w:w="819" w:type="dxa"/>
          </w:tcPr>
          <w:p w:rsidR="00CC44AA" w:rsidRPr="006037C2" w:rsidRDefault="00CC44AA" w:rsidP="0066250F">
            <w:pPr>
              <w:pStyle w:val="Tabletext"/>
              <w:jc w:val="center"/>
              <w:rPr>
                <w:noProof/>
                <w:sz w:val="20"/>
              </w:rPr>
            </w:pPr>
            <w:r w:rsidRPr="006037C2">
              <w:rPr>
                <w:noProof/>
                <w:sz w:val="20"/>
              </w:rPr>
              <w:t>4.57</w:t>
            </w:r>
          </w:p>
        </w:tc>
        <w:tc>
          <w:tcPr>
            <w:tcW w:w="819" w:type="dxa"/>
          </w:tcPr>
          <w:p w:rsidR="00CC44AA" w:rsidRPr="006037C2" w:rsidRDefault="00CC44AA" w:rsidP="0066250F">
            <w:pPr>
              <w:pStyle w:val="Tabletext"/>
              <w:jc w:val="center"/>
              <w:rPr>
                <w:noProof/>
                <w:sz w:val="20"/>
              </w:rPr>
            </w:pPr>
            <w:r w:rsidRPr="006037C2">
              <w:rPr>
                <w:noProof/>
                <w:sz w:val="20"/>
              </w:rPr>
              <w:t>4.31</w:t>
            </w:r>
          </w:p>
        </w:tc>
        <w:tc>
          <w:tcPr>
            <w:tcW w:w="820" w:type="dxa"/>
          </w:tcPr>
          <w:p w:rsidR="00CC44AA" w:rsidRPr="006037C2" w:rsidRDefault="00CC44AA" w:rsidP="0066250F">
            <w:pPr>
              <w:pStyle w:val="Tabletext"/>
              <w:jc w:val="center"/>
              <w:rPr>
                <w:noProof/>
                <w:sz w:val="20"/>
              </w:rPr>
            </w:pPr>
            <w:r w:rsidRPr="006037C2">
              <w:rPr>
                <w:noProof/>
                <w:sz w:val="20"/>
              </w:rPr>
              <w:t>4.11</w:t>
            </w:r>
          </w:p>
        </w:tc>
        <w:tc>
          <w:tcPr>
            <w:tcW w:w="819" w:type="dxa"/>
          </w:tcPr>
          <w:p w:rsidR="00CC44AA" w:rsidRPr="006037C2" w:rsidRDefault="00CC44AA" w:rsidP="0066250F">
            <w:pPr>
              <w:pStyle w:val="Tabletext"/>
              <w:jc w:val="center"/>
              <w:rPr>
                <w:noProof/>
                <w:sz w:val="20"/>
              </w:rPr>
            </w:pPr>
            <w:r w:rsidRPr="006037C2">
              <w:rPr>
                <w:noProof/>
                <w:sz w:val="20"/>
              </w:rPr>
              <w:t>3.78</w:t>
            </w:r>
          </w:p>
        </w:tc>
        <w:tc>
          <w:tcPr>
            <w:tcW w:w="820" w:type="dxa"/>
          </w:tcPr>
          <w:p w:rsidR="00CC44AA" w:rsidRPr="006037C2" w:rsidRDefault="00CC44AA" w:rsidP="0066250F">
            <w:pPr>
              <w:pStyle w:val="Tabletext"/>
              <w:jc w:val="center"/>
              <w:rPr>
                <w:noProof/>
                <w:sz w:val="20"/>
              </w:rPr>
            </w:pPr>
            <w:r w:rsidRPr="006037C2">
              <w:rPr>
                <w:noProof/>
                <w:sz w:val="20"/>
              </w:rPr>
              <w:t>3.49</w:t>
            </w:r>
          </w:p>
        </w:tc>
      </w:tr>
    </w:tbl>
    <w:p w:rsidR="006037C2" w:rsidRDefault="006037C2" w:rsidP="006037C2">
      <w:pPr>
        <w:pStyle w:val="Tablefin"/>
      </w:pPr>
    </w:p>
    <w:p w:rsidR="00CC44AA" w:rsidRDefault="00CC44AA" w:rsidP="0066250F">
      <w:pPr>
        <w:rPr>
          <w:lang w:val="en-US"/>
        </w:rPr>
      </w:pPr>
      <w:r>
        <w:rPr>
          <w:lang w:val="en-US"/>
        </w:rPr>
        <w:t>The specified figures in Table 1 are of the receive antenna pattern shared between the SARP and ARGOS instruments, as they should be for the NOAA and METOP satellites.</w:t>
      </w:r>
    </w:p>
    <w:p w:rsidR="00CC44AA" w:rsidRDefault="00CC44AA" w:rsidP="006037C2">
      <w:pPr>
        <w:rPr>
          <w:lang w:val="en-US"/>
        </w:rPr>
      </w:pPr>
      <w:r>
        <w:rPr>
          <w:lang w:val="en-US"/>
        </w:rPr>
        <w:t xml:space="preserve">The ARGOS typical figures are: noise figure </w:t>
      </w:r>
      <w:r w:rsidR="000D3CEE" w:rsidRPr="000D3CEE">
        <w:rPr>
          <w:lang w:val="en-US"/>
        </w:rPr>
        <w:t>=</w:t>
      </w:r>
      <w:r w:rsidRPr="000D3CEE">
        <w:rPr>
          <w:lang w:val="en-US"/>
        </w:rPr>
        <w:t xml:space="preserve"> </w:t>
      </w:r>
      <w:r>
        <w:rPr>
          <w:lang w:val="en-US"/>
        </w:rPr>
        <w:t>3 dB (ARGOS input parameter), worst</w:t>
      </w:r>
      <w:r w:rsidR="006037C2">
        <w:rPr>
          <w:lang w:val="en-US"/>
        </w:rPr>
        <w:t>-</w:t>
      </w:r>
      <w:r>
        <w:rPr>
          <w:lang w:val="en-US"/>
        </w:rPr>
        <w:t xml:space="preserve">case background noise temperature </w:t>
      </w:r>
      <w:r w:rsidR="006037C2">
        <w:rPr>
          <w:lang w:val="en-US"/>
        </w:rPr>
        <w:t>=</w:t>
      </w:r>
      <w:r>
        <w:rPr>
          <w:lang w:val="en-US"/>
        </w:rPr>
        <w:t xml:space="preserve"> 1</w:t>
      </w:r>
      <w:r>
        <w:rPr>
          <w:rFonts w:ascii="Tms Rmn" w:hAnsi="Tms Rmn"/>
          <w:sz w:val="12"/>
          <w:lang w:val="en-US"/>
        </w:rPr>
        <w:t> </w:t>
      </w:r>
      <w:r>
        <w:rPr>
          <w:lang w:val="en-US"/>
        </w:rPr>
        <w:t xml:space="preserve">200 K (measured value taking into account the industrial noise in Europe), attenuation between the antenna and the ARGOS receiver </w:t>
      </w:r>
      <w:r w:rsidR="000D3CEE">
        <w:rPr>
          <w:lang w:val="en-US"/>
        </w:rPr>
        <w:t>=</w:t>
      </w:r>
      <w:r>
        <w:rPr>
          <w:lang w:val="en-US"/>
        </w:rPr>
        <w:t xml:space="preserve"> 1.6 dB. Thus, the system noise temperature at the input of the </w:t>
      </w:r>
      <w:smartTag w:uri="urn:schemas-microsoft-com:office:smarttags" w:element="place">
        <w:smartTag w:uri="urn:schemas-microsoft-com:office:smarttags" w:element="City">
          <w:r>
            <w:rPr>
              <w:lang w:val="en-US"/>
            </w:rPr>
            <w:t>ARGOS</w:t>
          </w:r>
        </w:smartTag>
      </w:smartTag>
      <w:r>
        <w:rPr>
          <w:lang w:val="en-US"/>
        </w:rPr>
        <w:t xml:space="preserve"> receiver (point B on Fig. 1) equals 1</w:t>
      </w:r>
      <w:r>
        <w:rPr>
          <w:rFonts w:ascii="Tms Rmn" w:hAnsi="Tms Rmn"/>
          <w:sz w:val="12"/>
          <w:lang w:val="en-US"/>
        </w:rPr>
        <w:t> </w:t>
      </w:r>
      <w:r>
        <w:rPr>
          <w:lang w:val="en-US"/>
        </w:rPr>
        <w:t xml:space="preserve">214 K and therefore, the noise spectral density equals </w:t>
      </w:r>
      <w:r>
        <w:rPr>
          <w:i/>
          <w:iCs/>
          <w:lang w:val="en-US"/>
        </w:rPr>
        <w:t>N</w:t>
      </w:r>
      <w:r>
        <w:rPr>
          <w:position w:val="-4"/>
          <w:sz w:val="16"/>
          <w:lang w:val="en-US"/>
        </w:rPr>
        <w:t>0</w:t>
      </w:r>
      <w:r>
        <w:rPr>
          <w:lang w:val="en-US"/>
        </w:rPr>
        <w:t> </w:t>
      </w:r>
      <w:r w:rsidR="006037C2">
        <w:rPr>
          <w:lang w:val="en-US"/>
        </w:rPr>
        <w:t>=</w:t>
      </w:r>
      <w:r>
        <w:rPr>
          <w:lang w:val="en-US"/>
        </w:rPr>
        <w:t> </w:t>
      </w:r>
      <w:r w:rsidR="000D3CEE">
        <w:rPr>
          <w:lang w:val="en-US"/>
        </w:rPr>
        <w:t>–</w:t>
      </w:r>
      <w:r>
        <w:rPr>
          <w:lang w:val="en-US"/>
        </w:rPr>
        <w:t>197.8 dB(W/Hz).</w:t>
      </w:r>
    </w:p>
    <w:p w:rsidR="00CC44AA" w:rsidRDefault="00CC44AA" w:rsidP="000D3CEE">
      <w:pPr>
        <w:rPr>
          <w:lang w:val="en-US"/>
        </w:rPr>
      </w:pPr>
      <w:r>
        <w:rPr>
          <w:lang w:val="en-US"/>
        </w:rPr>
        <w:t xml:space="preserve">The worst-case specification states that the ARGOS is designed to operate correctly when the received signal has a power </w:t>
      </w:r>
      <w:r>
        <w:rPr>
          <w:i/>
          <w:iCs/>
          <w:lang w:val="en-US"/>
        </w:rPr>
        <w:t>C</w:t>
      </w:r>
      <w:r>
        <w:rPr>
          <w:lang w:val="en-US"/>
        </w:rPr>
        <w:t> </w:t>
      </w:r>
      <w:r w:rsidR="000D3CEE">
        <w:rPr>
          <w:lang w:val="en-US"/>
        </w:rPr>
        <w:t>=</w:t>
      </w:r>
      <w:r>
        <w:rPr>
          <w:lang w:val="en-US"/>
        </w:rPr>
        <w:t> </w:t>
      </w:r>
      <w:r w:rsidR="000D3CEE">
        <w:rPr>
          <w:lang w:val="en-US"/>
        </w:rPr>
        <w:t>−</w:t>
      </w:r>
      <w:r>
        <w:rPr>
          <w:lang w:val="en-US"/>
        </w:rPr>
        <w:t xml:space="preserve">160 dBW (minimum level of the received signal) at the input of the receiver, which provides an effective </w:t>
      </w:r>
      <w:r>
        <w:rPr>
          <w:i/>
          <w:iCs/>
          <w:lang w:val="en-US"/>
        </w:rPr>
        <w:t>E</w:t>
      </w:r>
      <w:r w:rsidRPr="00CC44AA">
        <w:rPr>
          <w:i/>
          <w:iCs/>
          <w:vertAlign w:val="subscript"/>
          <w:lang w:val="en-US"/>
        </w:rPr>
        <w:t>b</w:t>
      </w:r>
      <w:r>
        <w:rPr>
          <w:lang w:val="en-US"/>
        </w:rPr>
        <w:t>/</w:t>
      </w:r>
      <w:r>
        <w:rPr>
          <w:i/>
          <w:iCs/>
          <w:lang w:val="en-US"/>
        </w:rPr>
        <w:t>N</w:t>
      </w:r>
      <w:r w:rsidRPr="00CC44AA">
        <w:rPr>
          <w:vertAlign w:val="subscript"/>
          <w:lang w:val="en-US"/>
        </w:rPr>
        <w:t>0</w:t>
      </w:r>
      <w:r>
        <w:rPr>
          <w:lang w:val="en-US"/>
        </w:rPr>
        <w:t> </w:t>
      </w:r>
      <w:r w:rsidR="000D3CEE">
        <w:rPr>
          <w:lang w:val="en-US"/>
        </w:rPr>
        <w:t>=</w:t>
      </w:r>
      <w:r>
        <w:rPr>
          <w:lang w:val="en-US"/>
        </w:rPr>
        <w:t> 8.3 dB in the bit detector of the ARGOS if we take into account the beacon waveform and the various losses.</w:t>
      </w:r>
    </w:p>
    <w:p w:rsidR="00CC44AA" w:rsidRDefault="00CC44AA" w:rsidP="003B3AD6">
      <w:pPr>
        <w:rPr>
          <w:lang w:val="en-US"/>
        </w:rPr>
      </w:pPr>
      <w:r>
        <w:rPr>
          <w:lang w:val="en-US"/>
        </w:rPr>
        <w:t>Therefore, in order to achieve a BER of 2 </w:t>
      </w:r>
      <w:r w:rsidR="000D3CEE" w:rsidRPr="000D3CEE">
        <w:rPr>
          <w:lang w:val="en-US"/>
        </w:rPr>
        <w:t>×</w:t>
      </w:r>
      <w:r>
        <w:rPr>
          <w:lang w:val="en-US"/>
        </w:rPr>
        <w:t> 10</w:t>
      </w:r>
      <w:r>
        <w:rPr>
          <w:vertAlign w:val="superscript"/>
          <w:lang w:val="en-US"/>
        </w:rPr>
        <w:t>–4</w:t>
      </w:r>
      <w:r>
        <w:rPr>
          <w:lang w:val="en-US"/>
        </w:rPr>
        <w:t xml:space="preserve"> that corresponds to a minimum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3B3AD6">
        <w:rPr>
          <w:lang w:val="en-US"/>
        </w:rPr>
        <w:t xml:space="preserve"> </w:t>
      </w:r>
      <w:r w:rsidRPr="00CC44AA">
        <w:rPr>
          <w:lang w:val="en-US"/>
        </w:rPr>
        <w:t>of</w:t>
      </w:r>
      <w:r>
        <w:rPr>
          <w:lang w:val="en-US"/>
        </w:rPr>
        <w:t xml:space="preserve"> 8 dB, </w:t>
      </w:r>
      <w:r w:rsidR="0066250F">
        <w:rPr>
          <w:lang w:val="en-US"/>
        </w:rPr>
        <w:t>the </w:t>
      </w:r>
      <w:r>
        <w:rPr>
          <w:lang w:val="en-US"/>
        </w:rPr>
        <w:t>maximum acceptable degradation is 0.3 dB.</w:t>
      </w:r>
    </w:p>
    <w:p w:rsidR="00CC44AA" w:rsidRDefault="00CC44AA" w:rsidP="00CC44AA">
      <w:pPr>
        <w:rPr>
          <w:lang w:val="en-US"/>
        </w:rPr>
      </w:pPr>
      <w:r>
        <w:rPr>
          <w:lang w:val="en-US"/>
        </w:rPr>
        <w:t xml:space="preserve">Hereunder, the additive noise corresponding to the 0.3 dB degradation for the </w:t>
      </w:r>
      <w:r>
        <w:rPr>
          <w:i/>
          <w:iCs/>
          <w:lang w:val="en-US"/>
        </w:rPr>
        <w:t>C</w:t>
      </w:r>
      <w:r>
        <w:rPr>
          <w:lang w:val="en-US"/>
        </w:rPr>
        <w:t>/</w:t>
      </w:r>
      <w:r>
        <w:rPr>
          <w:i/>
          <w:iCs/>
          <w:lang w:val="en-US"/>
        </w:rPr>
        <w:t>N</w:t>
      </w:r>
      <w:r w:rsidRPr="00CC44AA">
        <w:rPr>
          <w:vertAlign w:val="subscript"/>
          <w:lang w:val="en-US"/>
        </w:rPr>
        <w:t>0</w:t>
      </w:r>
      <w:r>
        <w:rPr>
          <w:lang w:val="en-US"/>
        </w:rPr>
        <w:t xml:space="preserve"> is calculated.</w:t>
      </w:r>
    </w:p>
    <w:p w:rsidR="00CC44AA" w:rsidRDefault="00CC44AA" w:rsidP="000D3CEE">
      <w:pPr>
        <w:rPr>
          <w:lang w:val="en-US"/>
        </w:rPr>
      </w:pPr>
      <w:r>
        <w:rPr>
          <w:lang w:val="en-US"/>
        </w:rPr>
        <w:t xml:space="preserve">Let </w:t>
      </w:r>
      <w:r>
        <w:rPr>
          <w:i/>
          <w:iCs/>
          <w:lang w:val="en-US"/>
        </w:rPr>
        <w:t>I</w:t>
      </w:r>
      <w:r>
        <w:rPr>
          <w:position w:val="-4"/>
          <w:sz w:val="16"/>
          <w:lang w:val="en-US"/>
        </w:rPr>
        <w:t>0</w:t>
      </w:r>
      <w:r>
        <w:rPr>
          <w:lang w:val="en-US"/>
        </w:rPr>
        <w:t xml:space="preserve"> represent the additive noise power density. Therefore, the initial </w:t>
      </w:r>
      <w:r>
        <w:rPr>
          <w:i/>
          <w:iCs/>
          <w:lang w:val="en-US"/>
        </w:rPr>
        <w:t>N</w:t>
      </w:r>
      <w:r w:rsidRPr="00CC44AA">
        <w:rPr>
          <w:vertAlign w:val="subscript"/>
          <w:lang w:val="en-US"/>
        </w:rPr>
        <w:t>0</w:t>
      </w:r>
      <w:r>
        <w:rPr>
          <w:lang w:val="en-US"/>
        </w:rPr>
        <w:t xml:space="preserve"> noise becomes </w:t>
      </w:r>
      <w:r>
        <w:rPr>
          <w:i/>
          <w:iCs/>
          <w:lang w:val="en-US"/>
        </w:rPr>
        <w:t>N</w:t>
      </w:r>
      <w:r>
        <w:rPr>
          <w:vertAlign w:val="subscript"/>
          <w:lang w:val="en-US"/>
        </w:rPr>
        <w:t>0</w:t>
      </w:r>
      <w:r>
        <w:rPr>
          <w:lang w:val="en-US"/>
        </w:rPr>
        <w:t> </w:t>
      </w:r>
      <w:r w:rsidR="000D3CEE">
        <w:rPr>
          <w:lang w:val="en-US"/>
        </w:rPr>
        <w:t>+</w:t>
      </w:r>
      <w:r>
        <w:rPr>
          <w:lang w:val="en-US"/>
        </w:rPr>
        <w:t> </w:t>
      </w:r>
      <w:r>
        <w:rPr>
          <w:i/>
          <w:iCs/>
          <w:lang w:val="en-US"/>
        </w:rPr>
        <w:t>I</w:t>
      </w:r>
      <w:r>
        <w:rPr>
          <w:vertAlign w:val="subscript"/>
          <w:lang w:val="en-US"/>
        </w:rPr>
        <w:t>0</w:t>
      </w:r>
      <w:r>
        <w:rPr>
          <w:lang w:val="en-US"/>
        </w:rPr>
        <w:t>.</w:t>
      </w:r>
    </w:p>
    <w:p w:rsidR="00CC44AA" w:rsidRDefault="00CC44AA" w:rsidP="000D3CEE">
      <w:pPr>
        <w:rPr>
          <w:lang w:val="en-US"/>
        </w:rPr>
      </w:pPr>
      <w:r>
        <w:rPr>
          <w:lang w:val="en-US"/>
        </w:rPr>
        <w:lastRenderedPageBreak/>
        <w:t xml:space="preserve">The signal-to-noise ratio </w:t>
      </w:r>
      <w:r>
        <w:rPr>
          <w:i/>
          <w:iCs/>
          <w:lang w:val="en-US"/>
        </w:rPr>
        <w:t>C</w:t>
      </w:r>
      <w:r>
        <w:rPr>
          <w:lang w:val="en-US"/>
        </w:rPr>
        <w:t>/</w:t>
      </w:r>
      <w:r>
        <w:rPr>
          <w:i/>
          <w:iCs/>
          <w:lang w:val="en-US"/>
        </w:rPr>
        <w:t>N</w:t>
      </w:r>
      <w:r>
        <w:rPr>
          <w:vertAlign w:val="subscript"/>
          <w:lang w:val="en-US"/>
        </w:rPr>
        <w:t>0</w:t>
      </w:r>
      <w:r>
        <w:rPr>
          <w:lang w:val="en-US"/>
        </w:rPr>
        <w:t xml:space="preserve"> becomes </w:t>
      </w:r>
      <w:r>
        <w:rPr>
          <w:i/>
          <w:iCs/>
          <w:lang w:val="en-US"/>
        </w:rPr>
        <w:t>C</w:t>
      </w:r>
      <w:r>
        <w:rPr>
          <w:lang w:val="en-US"/>
        </w:rPr>
        <w:t>/(</w:t>
      </w:r>
      <w:r>
        <w:rPr>
          <w:i/>
          <w:iCs/>
          <w:lang w:val="en-US"/>
        </w:rPr>
        <w:t>N</w:t>
      </w:r>
      <w:r>
        <w:rPr>
          <w:vertAlign w:val="subscript"/>
          <w:lang w:val="en-US"/>
        </w:rPr>
        <w:t>0</w:t>
      </w:r>
      <w:r>
        <w:rPr>
          <w:lang w:val="en-US"/>
        </w:rPr>
        <w:t> </w:t>
      </w:r>
      <w:r w:rsidR="000D3CEE">
        <w:rPr>
          <w:lang w:val="en-US"/>
        </w:rPr>
        <w:t>+</w:t>
      </w:r>
      <w:r>
        <w:rPr>
          <w:lang w:val="en-US"/>
        </w:rPr>
        <w:t> </w:t>
      </w:r>
      <w:r>
        <w:rPr>
          <w:i/>
          <w:iCs/>
          <w:lang w:val="en-US"/>
        </w:rPr>
        <w:t>I</w:t>
      </w:r>
      <w:r>
        <w:rPr>
          <w:vertAlign w:val="subscript"/>
          <w:lang w:val="en-US"/>
        </w:rPr>
        <w:t>0</w:t>
      </w:r>
      <w:r>
        <w:rPr>
          <w:lang w:val="en-US"/>
        </w:rPr>
        <w:t>).</w:t>
      </w:r>
    </w:p>
    <w:p w:rsidR="00CC44AA" w:rsidRDefault="00CC44AA" w:rsidP="00A34BB4">
      <w:pPr>
        <w:rPr>
          <w:lang w:val="en-US"/>
        </w:rPr>
      </w:pPr>
      <w:r>
        <w:rPr>
          <w:lang w:val="en-US"/>
        </w:rPr>
        <w:t>The degradation is 0.3  dB </w:t>
      </w:r>
      <w:r w:rsidRPr="000D3CEE">
        <w:rPr>
          <w:lang w:val="en-US"/>
        </w:rPr>
        <w:t> </w:t>
      </w:r>
      <w:r w:rsidR="000D3CEE" w:rsidRPr="000D3CEE">
        <w:rPr>
          <w:lang w:val="en-US"/>
        </w:rPr>
        <w:t>=</w:t>
      </w:r>
      <w:r w:rsidRPr="000D3CEE">
        <w:rPr>
          <w:lang w:val="en-US"/>
        </w:rPr>
        <w:t>  10  </w:t>
      </w:r>
      <w:r>
        <w:rPr>
          <w:lang w:val="en-US"/>
        </w:rPr>
        <w:t>log ((</w:t>
      </w:r>
      <w:r>
        <w:rPr>
          <w:i/>
          <w:iCs/>
          <w:lang w:val="en-US"/>
        </w:rPr>
        <w:t>C</w:t>
      </w:r>
      <w:r>
        <w:rPr>
          <w:lang w:val="en-US"/>
        </w:rPr>
        <w:t>/</w:t>
      </w:r>
      <w:r>
        <w:rPr>
          <w:i/>
          <w:iCs/>
          <w:lang w:val="en-US"/>
        </w:rPr>
        <w:t>N</w:t>
      </w:r>
      <w:r>
        <w:rPr>
          <w:vertAlign w:val="subscript"/>
          <w:lang w:val="en-US"/>
        </w:rPr>
        <w:t>0</w:t>
      </w:r>
      <w:r>
        <w:rPr>
          <w:lang w:val="en-US"/>
        </w:rPr>
        <w:t>)/(</w:t>
      </w:r>
      <w:r>
        <w:rPr>
          <w:i/>
          <w:iCs/>
          <w:lang w:val="en-US"/>
        </w:rPr>
        <w:t>C</w:t>
      </w:r>
      <w:r>
        <w:rPr>
          <w:lang w:val="en-US"/>
        </w:rPr>
        <w:t>/(</w:t>
      </w:r>
      <w:r>
        <w:rPr>
          <w:i/>
          <w:iCs/>
          <w:lang w:val="en-US"/>
        </w:rPr>
        <w:t>N</w:t>
      </w:r>
      <w:r>
        <w:rPr>
          <w:vertAlign w:val="subscript"/>
          <w:lang w:val="en-US"/>
        </w:rPr>
        <w:t>0</w:t>
      </w:r>
      <w:r w:rsidR="001922D2" w:rsidRPr="001922D2">
        <w:rPr>
          <w:lang w:val="en-US"/>
        </w:rPr>
        <w:t> </w:t>
      </w:r>
      <w:r w:rsidR="001922D2">
        <w:rPr>
          <w:lang w:val="en-US"/>
        </w:rPr>
        <w:t> </w:t>
      </w:r>
      <w:r w:rsidR="00A34BB4" w:rsidRPr="001922D2">
        <w:rPr>
          <w:lang w:val="en-US"/>
        </w:rPr>
        <w:t>+</w:t>
      </w:r>
      <w:r w:rsidR="001922D2">
        <w:rPr>
          <w:lang w:val="en-US"/>
        </w:rPr>
        <w:t> </w:t>
      </w:r>
      <w:r w:rsidR="001922D2" w:rsidRPr="001922D2">
        <w:rPr>
          <w:lang w:val="en-US"/>
        </w:rPr>
        <w:t> </w:t>
      </w:r>
      <w:r>
        <w:rPr>
          <w:i/>
          <w:iCs/>
          <w:lang w:val="en-US"/>
        </w:rPr>
        <w:t>I</w:t>
      </w:r>
      <w:r>
        <w:rPr>
          <w:vertAlign w:val="subscript"/>
          <w:lang w:val="en-US"/>
        </w:rPr>
        <w:t>0</w:t>
      </w:r>
      <w:r>
        <w:rPr>
          <w:lang w:val="en-US"/>
        </w:rPr>
        <w:t xml:space="preserve">))), thus </w:t>
      </w:r>
      <w:r>
        <w:rPr>
          <w:i/>
          <w:iCs/>
          <w:lang w:val="en-US"/>
        </w:rPr>
        <w:t>I</w:t>
      </w:r>
      <w:r>
        <w:rPr>
          <w:vertAlign w:val="subscript"/>
          <w:lang w:val="en-US"/>
        </w:rPr>
        <w:t>0</w:t>
      </w:r>
      <w:r>
        <w:rPr>
          <w:rFonts w:ascii="Tms Rmn" w:hAnsi="Tms Rmn"/>
          <w:position w:val="-4"/>
          <w:sz w:val="4"/>
          <w:lang w:val="en-US"/>
        </w:rPr>
        <w:t> </w:t>
      </w:r>
      <w:r>
        <w:rPr>
          <w:lang w:val="en-US"/>
        </w:rPr>
        <w:t>/</w:t>
      </w:r>
      <w:r>
        <w:rPr>
          <w:i/>
          <w:iCs/>
          <w:lang w:val="en-US"/>
        </w:rPr>
        <w:t>N</w:t>
      </w:r>
      <w:r>
        <w:rPr>
          <w:vertAlign w:val="subscript"/>
          <w:lang w:val="en-US"/>
        </w:rPr>
        <w:t>0</w:t>
      </w:r>
      <w:r w:rsidRPr="000D3CEE">
        <w:rPr>
          <w:lang w:val="en-US"/>
        </w:rPr>
        <w:t> </w:t>
      </w:r>
      <w:r w:rsidR="001922D2">
        <w:rPr>
          <w:lang w:val="en-US"/>
        </w:rPr>
        <w:t> </w:t>
      </w:r>
      <w:r w:rsidR="000D3CEE" w:rsidRPr="000D3CEE">
        <w:rPr>
          <w:lang w:val="en-US"/>
        </w:rPr>
        <w:t>=</w:t>
      </w:r>
      <w:r w:rsidR="001922D2">
        <w:rPr>
          <w:lang w:val="en-US"/>
        </w:rPr>
        <w:t>  </w:t>
      </w:r>
      <w:r w:rsidR="00A34BB4">
        <w:rPr>
          <w:lang w:val="en-US"/>
        </w:rPr>
        <w:t>−</w:t>
      </w:r>
      <w:r>
        <w:rPr>
          <w:lang w:val="en-US"/>
        </w:rPr>
        <w:t xml:space="preserve">11.5  dB and </w:t>
      </w:r>
      <w:r>
        <w:rPr>
          <w:i/>
          <w:iCs/>
          <w:lang w:val="en-US"/>
        </w:rPr>
        <w:t>I</w:t>
      </w:r>
      <w:r>
        <w:rPr>
          <w:vertAlign w:val="subscript"/>
          <w:lang w:val="en-US"/>
        </w:rPr>
        <w:t>0</w:t>
      </w:r>
      <w:r>
        <w:rPr>
          <w:lang w:val="en-US"/>
        </w:rPr>
        <w:t> </w:t>
      </w:r>
      <w:r w:rsidR="000D3CEE">
        <w:rPr>
          <w:lang w:val="en-US"/>
        </w:rPr>
        <w:t>=</w:t>
      </w:r>
      <w:r>
        <w:rPr>
          <w:lang w:val="en-US"/>
        </w:rPr>
        <w:t> </w:t>
      </w:r>
      <w:r w:rsidR="000D3CEE" w:rsidRPr="000D3CEE">
        <w:rPr>
          <w:lang w:val="en-US"/>
        </w:rPr>
        <w:t>−</w:t>
      </w:r>
      <w:r>
        <w:rPr>
          <w:lang w:val="en-US"/>
        </w:rPr>
        <w:t>209.3 dB(W/Hz) which corresponds to a temperature of 86 K, and therefore an increase of 7% of the system noise temperature at the input of the  receiver.</w:t>
      </w:r>
    </w:p>
    <w:p w:rsidR="00CC44AA" w:rsidRDefault="00CC44AA" w:rsidP="000D3CEE">
      <w:pPr>
        <w:rPr>
          <w:lang w:val="en-US"/>
        </w:rPr>
      </w:pPr>
      <w:r>
        <w:rPr>
          <w:lang w:val="en-US"/>
        </w:rPr>
        <w:t xml:space="preserve">Therefore, the maximum admissible level of noise density is </w:t>
      </w:r>
      <w:r>
        <w:rPr>
          <w:i/>
          <w:iCs/>
          <w:lang w:val="en-US"/>
        </w:rPr>
        <w:t>I</w:t>
      </w:r>
      <w:r>
        <w:rPr>
          <w:position w:val="-4"/>
          <w:sz w:val="16"/>
          <w:lang w:val="en-US"/>
        </w:rPr>
        <w:t>0</w:t>
      </w:r>
      <w:r>
        <w:rPr>
          <w:lang w:val="en-US"/>
        </w:rPr>
        <w:t> </w:t>
      </w:r>
      <w:r w:rsidR="000D3CEE">
        <w:rPr>
          <w:lang w:val="en-US"/>
        </w:rPr>
        <w:t>=</w:t>
      </w:r>
      <w:r>
        <w:rPr>
          <w:lang w:val="en-US"/>
        </w:rPr>
        <w:t> </w:t>
      </w:r>
      <w:r w:rsidR="000D3CEE">
        <w:rPr>
          <w:lang w:val="en-US"/>
        </w:rPr>
        <w:t>−</w:t>
      </w:r>
      <w:r>
        <w:rPr>
          <w:lang w:val="en-US"/>
        </w:rPr>
        <w:t>209.3 dB(W/Hz) (calculated for point B in Fig. 1).</w:t>
      </w:r>
    </w:p>
    <w:p w:rsidR="00CC44AA" w:rsidRDefault="00CC44AA" w:rsidP="000D3CEE">
      <w:pPr>
        <w:rPr>
          <w:lang w:val="en-US"/>
        </w:rPr>
      </w:pPr>
      <w:r>
        <w:rPr>
          <w:lang w:val="en-US"/>
        </w:rPr>
        <w:t xml:space="preserve">As shown in Fig. 1, the noise density, </w:t>
      </w:r>
      <w:r>
        <w:rPr>
          <w:i/>
          <w:iCs/>
          <w:lang w:val="en-US"/>
        </w:rPr>
        <w:t>I</w:t>
      </w:r>
      <w:r w:rsidRPr="00CC44AA">
        <w:rPr>
          <w:vertAlign w:val="subscript"/>
          <w:lang w:val="en-US"/>
        </w:rPr>
        <w:t>0</w:t>
      </w:r>
      <w:r>
        <w:rPr>
          <w:lang w:val="en-US"/>
        </w:rPr>
        <w:t>, takes into account the attenuation and the antenna gain. As</w:t>
      </w:r>
      <w:r w:rsidR="0066250F">
        <w:rPr>
          <w:lang w:val="en-US"/>
        </w:rPr>
        <w:t> </w:t>
      </w:r>
      <w:r>
        <w:rPr>
          <w:lang w:val="en-US"/>
        </w:rPr>
        <w:t>the spfd is required, it is necessary to transform this figure in dB(W/(m</w:t>
      </w:r>
      <w:r w:rsidRPr="00CC44AA">
        <w:rPr>
          <w:vertAlign w:val="superscript"/>
          <w:lang w:val="en-US"/>
        </w:rPr>
        <w:t>2</w:t>
      </w:r>
      <w:r>
        <w:rPr>
          <w:lang w:val="en-US"/>
        </w:rPr>
        <w:t xml:space="preserve"> · Hz)). The equivalent surface area of an antenna having a gain </w:t>
      </w:r>
      <w:r>
        <w:rPr>
          <w:i/>
          <w:iCs/>
          <w:lang w:val="en-US"/>
        </w:rPr>
        <w:t>G</w:t>
      </w:r>
      <w:r>
        <w:rPr>
          <w:lang w:val="en-US"/>
        </w:rPr>
        <w:t xml:space="preserve"> is</w:t>
      </w:r>
      <w:r w:rsidR="00A34BB4">
        <w:rPr>
          <w:lang w:val="en-US"/>
        </w:rPr>
        <w:t xml:space="preserve"> </w:t>
      </w:r>
      <w:r w:rsidR="000D3CEE" w:rsidRPr="00EF6E99">
        <w:rPr>
          <w:position w:val="-22"/>
          <w:lang w:val="en-US"/>
        </w:rPr>
        <w:object w:dxaOrig="880" w:dyaOrig="620">
          <v:shape id="_x0000_i1026" type="#_x0000_t75" style="width:43.5pt;height:30.75pt" o:ole="">
            <v:imagedata r:id="rId15" o:title=""/>
          </v:shape>
          <o:OLEObject Type="Embed" ProgID="Equation.3" ShapeID="_x0000_i1026" DrawAspect="Content" ObjectID="_1598445407" r:id="rId16"/>
        </w:object>
      </w:r>
      <w:r>
        <w:rPr>
          <w:lang w:val="en-US"/>
        </w:rPr>
        <w:t xml:space="preserve">. Therefore, the corresponding spfd equals </w:t>
      </w:r>
      <w:r w:rsidR="0066250F">
        <w:rPr>
          <w:lang w:val="en-US"/>
        </w:rPr>
        <w:t>−</w:t>
      </w:r>
      <w:r>
        <w:rPr>
          <w:lang w:val="en-US"/>
        </w:rPr>
        <w:t>209.3 </w:t>
      </w:r>
      <w:r w:rsidR="000D3CEE" w:rsidRPr="002C7567">
        <w:rPr>
          <w:lang w:val="en-US"/>
        </w:rPr>
        <w:t>+</w:t>
      </w:r>
      <w:r>
        <w:rPr>
          <w:lang w:val="en-US"/>
        </w:rPr>
        <w:t> 1.6 (losses) – 10 log</w:t>
      </w:r>
      <w:r>
        <w:rPr>
          <w:position w:val="-4"/>
          <w:sz w:val="16"/>
          <w:lang w:val="en-US"/>
        </w:rPr>
        <w:t>10</w:t>
      </w:r>
      <w:r>
        <w:rPr>
          <w:i/>
          <w:iCs/>
          <w:lang w:val="en-US"/>
        </w:rPr>
        <w:t>S</w:t>
      </w:r>
      <w:r>
        <w:rPr>
          <w:lang w:val="en-US"/>
        </w:rPr>
        <w:t> </w:t>
      </w:r>
      <w:r w:rsidR="000D3CEE">
        <w:rPr>
          <w:lang w:val="en-US"/>
        </w:rPr>
        <w:t>=</w:t>
      </w:r>
      <w:r>
        <w:rPr>
          <w:lang w:val="en-US"/>
        </w:rPr>
        <w:t> </w:t>
      </w:r>
      <w:r w:rsidR="000D3CEE">
        <w:rPr>
          <w:lang w:val="en-US"/>
        </w:rPr>
        <w:t>−</w:t>
      </w:r>
      <w:r>
        <w:rPr>
          <w:lang w:val="en-US"/>
        </w:rPr>
        <w:t>197.9 dB(W/(m</w:t>
      </w:r>
      <w:r w:rsidRPr="00CC44AA">
        <w:rPr>
          <w:vertAlign w:val="superscript"/>
          <w:lang w:val="en-US"/>
        </w:rPr>
        <w:t>2</w:t>
      </w:r>
      <w:r>
        <w:rPr>
          <w:lang w:val="en-US"/>
        </w:rPr>
        <w:t> · Hz)), taking into account the highest satellite nadir angle.</w:t>
      </w:r>
    </w:p>
    <w:p w:rsidR="006037C2" w:rsidRDefault="006037C2" w:rsidP="000D3CEE">
      <w:pPr>
        <w:rPr>
          <w:lang w:val="en-US"/>
        </w:rPr>
      </w:pPr>
    </w:p>
    <w:p w:rsidR="006037C2" w:rsidRDefault="006037C2" w:rsidP="000D3CEE">
      <w:pPr>
        <w:rPr>
          <w:lang w:val="en-US"/>
        </w:rPr>
      </w:pPr>
    </w:p>
    <w:p w:rsidR="00CC44AA" w:rsidRPr="002C7567" w:rsidRDefault="00CC44AA" w:rsidP="002C7567">
      <w:pPr>
        <w:pStyle w:val="AnnexNoTitle"/>
        <w:rPr>
          <w:lang w:val="en-US"/>
        </w:rPr>
      </w:pPr>
      <w:r w:rsidRPr="002C7567">
        <w:rPr>
          <w:lang w:val="en-US"/>
        </w:rPr>
        <w:t>Annex 2</w:t>
      </w:r>
      <w:r w:rsidR="002C7567" w:rsidRPr="002C7567">
        <w:rPr>
          <w:lang w:val="en-US"/>
        </w:rPr>
        <w:br/>
      </w:r>
      <w:r w:rsidR="002C7567" w:rsidRPr="002C7567">
        <w:rPr>
          <w:lang w:val="en-US"/>
        </w:rPr>
        <w:br/>
      </w:r>
      <w:r w:rsidRPr="002C7567">
        <w:rPr>
          <w:lang w:val="en-US"/>
        </w:rPr>
        <w:t>Protection criteria for non-GSO DCS instruments in the band 401-401.69 MHz</w:t>
      </w:r>
      <w:r w:rsidRPr="002C7567">
        <w:rPr>
          <w:lang w:val="en-US"/>
        </w:rPr>
        <w:br/>
        <w:t>against narrow-band spectral line interference emissions</w:t>
      </w:r>
    </w:p>
    <w:p w:rsidR="00CC44AA" w:rsidRPr="00CC44AA" w:rsidRDefault="00CC44AA" w:rsidP="00CC44AA">
      <w:pPr>
        <w:pStyle w:val="Heading1"/>
        <w:rPr>
          <w:lang w:val="en-US"/>
        </w:rPr>
      </w:pPr>
      <w:r w:rsidRPr="00CC44AA">
        <w:rPr>
          <w:lang w:val="en-US"/>
        </w:rPr>
        <w:t>1</w:t>
      </w:r>
      <w:r w:rsidRPr="00CC44AA">
        <w:rPr>
          <w:lang w:val="en-US"/>
        </w:rPr>
        <w:tab/>
        <w:t>Introduction</w:t>
      </w:r>
    </w:p>
    <w:p w:rsidR="00CC44AA" w:rsidRDefault="00CC44AA" w:rsidP="0066250F">
      <w:pPr>
        <w:rPr>
          <w:lang w:val="en-US"/>
        </w:rPr>
      </w:pPr>
      <w:r>
        <w:rPr>
          <w:lang w:val="en-US"/>
        </w:rPr>
        <w:t>This Annex provides information relating to an existing typical non-GSO DCS system in operation so called ARGOS and therefore to its protection requirements against narrow-band spectral line interference emissions.</w:t>
      </w:r>
    </w:p>
    <w:p w:rsidR="00CC44AA" w:rsidRPr="00CC44AA" w:rsidRDefault="00CC44AA" w:rsidP="00CC44AA">
      <w:pPr>
        <w:pStyle w:val="Heading1"/>
        <w:rPr>
          <w:lang w:val="en-US"/>
        </w:rPr>
      </w:pPr>
      <w:r w:rsidRPr="00CC44AA">
        <w:rPr>
          <w:lang w:val="en-US"/>
        </w:rPr>
        <w:t>2</w:t>
      </w:r>
      <w:r w:rsidRPr="00CC44AA">
        <w:rPr>
          <w:lang w:val="en-US"/>
        </w:rPr>
        <w:tab/>
        <w:t>Background</w:t>
      </w:r>
    </w:p>
    <w:p w:rsidR="00CC44AA" w:rsidRDefault="00CC44AA" w:rsidP="0066250F">
      <w:pPr>
        <w:rPr>
          <w:lang w:val="en-US"/>
        </w:rPr>
      </w:pPr>
      <w:r>
        <w:rPr>
          <w:lang w:val="en-US"/>
        </w:rPr>
        <w:t>Annex 1 contains the protection criteria for ARGOS in the ba</w:t>
      </w:r>
      <w:r w:rsidR="0066250F">
        <w:rPr>
          <w:lang w:val="en-US"/>
        </w:rPr>
        <w:t>nd 401-401.69 MHz to be used as </w:t>
      </w:r>
      <w:r>
        <w:rPr>
          <w:lang w:val="en-US"/>
        </w:rPr>
        <w:t>a</w:t>
      </w:r>
      <w:r w:rsidR="0066250F">
        <w:rPr>
          <w:lang w:val="en-US"/>
        </w:rPr>
        <w:t> </w:t>
      </w:r>
      <w:r>
        <w:rPr>
          <w:lang w:val="en-US"/>
        </w:rPr>
        <w:t>basis for anal</w:t>
      </w:r>
      <w:r w:rsidR="006037C2">
        <w:rPr>
          <w:lang w:val="en-US"/>
        </w:rPr>
        <w:t>ysis of interference from broad</w:t>
      </w:r>
      <w:r>
        <w:rPr>
          <w:lang w:val="en-US"/>
        </w:rPr>
        <w:t xml:space="preserve">band interference emissions. This Annex provides protection requirements for the </w:t>
      </w:r>
      <w:smartTag w:uri="urn:schemas-microsoft-com:office:smarttags" w:element="place">
        <w:smartTag w:uri="urn:schemas-microsoft-com:office:smarttags" w:element="City">
          <w:r>
            <w:rPr>
              <w:lang w:val="en-US"/>
            </w:rPr>
            <w:t>ARGOS</w:t>
          </w:r>
        </w:smartTag>
      </w:smartTag>
      <w:r>
        <w:rPr>
          <w:lang w:val="en-US"/>
        </w:rPr>
        <w:t xml:space="preserve"> instrument in respect of interference from narrow-band spectral line interference emissions.</w:t>
      </w:r>
    </w:p>
    <w:p w:rsidR="00CC44AA" w:rsidRPr="00CC44AA" w:rsidRDefault="00CC44AA" w:rsidP="0066250F">
      <w:pPr>
        <w:pStyle w:val="Heading1"/>
        <w:rPr>
          <w:lang w:val="en-US"/>
        </w:rPr>
      </w:pPr>
      <w:r w:rsidRPr="00CC44AA">
        <w:rPr>
          <w:lang w:val="en-US"/>
        </w:rPr>
        <w:t>3</w:t>
      </w:r>
      <w:r w:rsidRPr="00CC44AA">
        <w:rPr>
          <w:lang w:val="en-US"/>
        </w:rPr>
        <w:tab/>
        <w:t xml:space="preserve">Protection requirement </w:t>
      </w:r>
      <w:r w:rsidRPr="00F47853">
        <w:rPr>
          <w:lang w:val="en-US"/>
        </w:rPr>
        <w:t>from</w:t>
      </w:r>
      <w:r w:rsidRPr="00CC44AA">
        <w:rPr>
          <w:lang w:val="en-US"/>
        </w:rPr>
        <w:t xml:space="preserve"> narrow-band spectral line emissions</w:t>
      </w:r>
    </w:p>
    <w:p w:rsidR="00CC44AA" w:rsidRDefault="00CC44AA" w:rsidP="00CC44AA">
      <w:pPr>
        <w:rPr>
          <w:lang w:val="en-US"/>
        </w:rPr>
      </w:pPr>
      <w:r>
        <w:rPr>
          <w:lang w:val="en-US"/>
        </w:rPr>
        <w:t>Figure 1 shows the main ARGOS hardware elements.</w:t>
      </w:r>
    </w:p>
    <w:p w:rsidR="00CC44AA" w:rsidRDefault="00CC44AA" w:rsidP="00CC44AA">
      <w:pPr>
        <w:rPr>
          <w:lang w:val="en-US"/>
        </w:rPr>
      </w:pPr>
      <w:r>
        <w:rPr>
          <w:lang w:val="en-US"/>
        </w:rPr>
        <w:t>To better understand the rationale of this specification, it is necessary to briefly recall the behaviour of the instrument.</w:t>
      </w:r>
    </w:p>
    <w:p w:rsidR="00CC44AA" w:rsidRDefault="00CC44AA" w:rsidP="00CC44AA">
      <w:pPr>
        <w:rPr>
          <w:lang w:val="en-US"/>
        </w:rPr>
      </w:pPr>
      <w:smartTag w:uri="urn:schemas-microsoft-com:office:smarttags" w:element="place">
        <w:smartTag w:uri="urn:schemas-microsoft-com:office:smarttags" w:element="City">
          <w:r>
            <w:rPr>
              <w:lang w:val="en-US"/>
            </w:rPr>
            <w:t>ARGOS</w:t>
          </w:r>
        </w:smartTag>
      </w:smartTag>
      <w:r>
        <w:rPr>
          <w:lang w:val="en-US"/>
        </w:rPr>
        <w:t xml:space="preserve"> beacon transmissions begin with 160 ms of unmodulated carrier to allow a phase-locked loop to lock more easily on the carrier. Figure 2 represents the </w:t>
      </w:r>
      <w:smartTag w:uri="urn:schemas-microsoft-com:office:smarttags" w:element="place">
        <w:smartTag w:uri="urn:schemas-microsoft-com:office:smarttags" w:element="City">
          <w:r>
            <w:rPr>
              <w:lang w:val="en-US"/>
            </w:rPr>
            <w:t>ARGOS</w:t>
          </w:r>
        </w:smartTag>
      </w:smartTag>
      <w:r>
        <w:rPr>
          <w:lang w:val="en-US"/>
        </w:rPr>
        <w:t xml:space="preserve"> message format.</w:t>
      </w:r>
    </w:p>
    <w:p w:rsidR="00CC44AA" w:rsidRDefault="00CC44AA" w:rsidP="00CC44AA">
      <w:pPr>
        <w:pStyle w:val="FigureNo"/>
        <w:rPr>
          <w:lang w:val="en-US"/>
        </w:rPr>
      </w:pPr>
      <w:r>
        <w:rPr>
          <w:lang w:val="en-US"/>
        </w:rPr>
        <w:lastRenderedPageBreak/>
        <w:t>FIGURE 2</w:t>
      </w:r>
    </w:p>
    <w:p w:rsidR="00CC44AA" w:rsidRDefault="00CC44AA" w:rsidP="00CC44AA">
      <w:pPr>
        <w:pStyle w:val="Figuretitle"/>
        <w:rPr>
          <w:lang w:val="en-US"/>
        </w:rPr>
      </w:pPr>
      <w:r>
        <w:rPr>
          <w:lang w:val="en-US"/>
        </w:rPr>
        <w:t>DCS message format</w:t>
      </w:r>
    </w:p>
    <w:bookmarkStart w:id="10" w:name="_MON_1408966362"/>
    <w:bookmarkStart w:id="11" w:name="_MON_1408960969"/>
    <w:bookmarkStart w:id="12" w:name="_MON_1408960979"/>
    <w:bookmarkStart w:id="13" w:name="_MON_1408961005"/>
    <w:bookmarkStart w:id="14" w:name="_MON_1408961030"/>
    <w:bookmarkStart w:id="15" w:name="_MON_1408961055"/>
    <w:bookmarkStart w:id="16" w:name="_MON_1408961061"/>
    <w:bookmarkEnd w:id="10"/>
    <w:bookmarkEnd w:id="11"/>
    <w:bookmarkEnd w:id="12"/>
    <w:bookmarkEnd w:id="13"/>
    <w:bookmarkEnd w:id="14"/>
    <w:bookmarkEnd w:id="15"/>
    <w:bookmarkEnd w:id="16"/>
    <w:bookmarkStart w:id="17" w:name="_MON_1408952424"/>
    <w:bookmarkEnd w:id="17"/>
    <w:p w:rsidR="00CC44AA" w:rsidRDefault="00331CF4" w:rsidP="0066250F">
      <w:pPr>
        <w:pStyle w:val="Figure"/>
      </w:pPr>
      <w:r>
        <w:object w:dxaOrig="6409" w:dyaOrig="997">
          <v:shape id="_x0000_i1027" type="#_x0000_t75" style="width:275.25pt;height:42.75pt" o:ole="">
            <v:imagedata r:id="rId17" o:title=""/>
          </v:shape>
          <o:OLEObject Type="Embed" ProgID="CorelDRAW.Graphic.14" ShapeID="_x0000_i1027" DrawAspect="Content" ObjectID="_1598445408" r:id="rId18"/>
        </w:object>
      </w:r>
    </w:p>
    <w:p w:rsidR="00CC44AA" w:rsidRDefault="00CC44AA" w:rsidP="003B3AD6">
      <w:pPr>
        <w:rPr>
          <w:lang w:val="en-US"/>
        </w:rPr>
      </w:pPr>
      <w:r>
        <w:rPr>
          <w:lang w:val="en-US"/>
        </w:rPr>
        <w:t>A spectrum analy</w:t>
      </w:r>
      <w:r w:rsidR="006037C2">
        <w:rPr>
          <w:lang w:val="en-US"/>
        </w:rPr>
        <w:t>s</w:t>
      </w:r>
      <w:r>
        <w:rPr>
          <w:lang w:val="en-US"/>
        </w:rPr>
        <w:t>er in the instrument continuously monitors the full coverage bandwidth in search of the pure carrier portion of the DCS messages. When the spectrum analy</w:t>
      </w:r>
      <w:r w:rsidR="006037C2">
        <w:rPr>
          <w:lang w:val="en-US"/>
        </w:rPr>
        <w:t>s</w:t>
      </w:r>
      <w:r>
        <w:rPr>
          <w:lang w:val="en-US"/>
        </w:rPr>
        <w:t xml:space="preserve">er detects such a line, </w:t>
      </w:r>
      <w:r w:rsidR="0066250F">
        <w:rPr>
          <w:lang w:val="en-US"/>
        </w:rPr>
        <w:t>it </w:t>
      </w:r>
      <w:r>
        <w:rPr>
          <w:lang w:val="en-US"/>
        </w:rPr>
        <w:t>considers that it is the beginning of a DCS message. The theory is based on the detection of a pure carrier wave (sine wave) in a white, additive and Gaussian noise environment. The power spectral density of the received signal (pure carrier</w:t>
      </w:r>
      <w:r w:rsidR="003B3AD6">
        <w:rPr>
          <w:lang w:val="en-US"/>
        </w:rPr>
        <w:t xml:space="preserve"> + </w:t>
      </w:r>
      <w:r>
        <w:rPr>
          <w:lang w:val="en-US"/>
        </w:rPr>
        <w:t>noise) is computed using fast Fourier transform techniques, and each signal above the system threshold is processed as if it were a DCS beacon (see Fig. 3).</w:t>
      </w:r>
    </w:p>
    <w:p w:rsidR="00CC44AA" w:rsidRDefault="00CC44AA" w:rsidP="00CC44AA">
      <w:pPr>
        <w:pStyle w:val="FigureNo"/>
        <w:rPr>
          <w:lang w:val="en-US"/>
        </w:rPr>
      </w:pPr>
      <w:r>
        <w:rPr>
          <w:lang w:val="en-US"/>
        </w:rPr>
        <w:t>FIGURE 3</w:t>
      </w:r>
    </w:p>
    <w:p w:rsidR="00CC44AA" w:rsidRPr="00CC44AA" w:rsidRDefault="00CC44AA" w:rsidP="00CC44AA">
      <w:pPr>
        <w:pStyle w:val="Figuretitle"/>
        <w:rPr>
          <w:lang w:val="en-US"/>
        </w:rPr>
      </w:pPr>
      <w:r>
        <w:rPr>
          <w:lang w:val="en-US"/>
        </w:rPr>
        <w:t>Detection of a sine wave in white Gaussian noise</w:t>
      </w:r>
    </w:p>
    <w:bookmarkStart w:id="18" w:name="_MON_1408952658"/>
    <w:bookmarkStart w:id="19" w:name="_MON_1408952977"/>
    <w:bookmarkStart w:id="20" w:name="_MON_1408952526"/>
    <w:bookmarkStart w:id="21" w:name="_MON_1408952566"/>
    <w:bookmarkStart w:id="22" w:name="_MON_1408966496"/>
    <w:bookmarkStart w:id="23" w:name="_MON_1408966525"/>
    <w:bookmarkEnd w:id="18"/>
    <w:bookmarkEnd w:id="19"/>
    <w:bookmarkEnd w:id="20"/>
    <w:bookmarkEnd w:id="21"/>
    <w:bookmarkEnd w:id="22"/>
    <w:bookmarkEnd w:id="23"/>
    <w:bookmarkStart w:id="24" w:name="_MON_1408952635"/>
    <w:bookmarkEnd w:id="24"/>
    <w:p w:rsidR="00CC44AA" w:rsidRDefault="00331CF4" w:rsidP="0066250F">
      <w:pPr>
        <w:pStyle w:val="Figure"/>
      </w:pPr>
      <w:r>
        <w:object w:dxaOrig="7521" w:dyaOrig="3355">
          <v:shape id="_x0000_i1028" type="#_x0000_t75" style="width:350.25pt;height:156pt" o:ole="">
            <v:imagedata r:id="rId19" o:title=""/>
          </v:shape>
          <o:OLEObject Type="Embed" ProgID="CorelDRAW.Graphic.14" ShapeID="_x0000_i1028" DrawAspect="Content" ObjectID="_1598445409" r:id="rId20"/>
        </w:object>
      </w:r>
    </w:p>
    <w:p w:rsidR="00CC44AA" w:rsidRDefault="00CC44AA" w:rsidP="0066250F">
      <w:pPr>
        <w:keepNext/>
        <w:keepLines/>
        <w:rPr>
          <w:lang w:val="en-US"/>
        </w:rPr>
      </w:pPr>
      <w:r>
        <w:rPr>
          <w:lang w:val="en-US"/>
        </w:rPr>
        <w:t>The ARGOS receiver processors are therefore designed to detect discrete spectral components (unmodulated beacon carrier) and the corresponding resolution bandwidth is 19 Hz. Signals above the threshold level are assigned to an on-board data recovery unit (DRU) for further processing and transmission to the Earth on the mission telemetry channel.</w:t>
      </w:r>
    </w:p>
    <w:p w:rsidR="00CC44AA" w:rsidRDefault="00CC44AA" w:rsidP="006037C2">
      <w:pPr>
        <w:rPr>
          <w:lang w:val="en-US"/>
        </w:rPr>
      </w:pPr>
      <w:r>
        <w:rPr>
          <w:lang w:val="en-US"/>
        </w:rPr>
        <w:t xml:space="preserve">In order to satisfy </w:t>
      </w:r>
      <w:smartTag w:uri="urn:schemas-microsoft-com:office:smarttags" w:element="City">
        <w:r>
          <w:rPr>
            <w:lang w:val="en-US"/>
          </w:rPr>
          <w:t>ARGOS</w:t>
        </w:r>
      </w:smartTag>
      <w:r>
        <w:rPr>
          <w:lang w:val="en-US"/>
        </w:rPr>
        <w:t xml:space="preserve"> detection probability performances for a wide range of user applications (wild animal tracking, fishery, oceanography, </w:t>
      </w:r>
      <w:r w:rsidR="006037C2">
        <w:rPr>
          <w:lang w:val="en-US"/>
        </w:rPr>
        <w:t>etc.</w:t>
      </w:r>
      <w:r>
        <w:rPr>
          <w:lang w:val="en-US"/>
        </w:rPr>
        <w:t xml:space="preserve">), the </w:t>
      </w:r>
      <w:smartTag w:uri="urn:schemas-microsoft-com:office:smarttags" w:element="place">
        <w:smartTag w:uri="urn:schemas-microsoft-com:office:smarttags" w:element="City">
          <w:r>
            <w:rPr>
              <w:lang w:val="en-US"/>
            </w:rPr>
            <w:t>ARGOS</w:t>
          </w:r>
        </w:smartTag>
      </w:smartTag>
      <w:r>
        <w:rPr>
          <w:lang w:val="en-US"/>
        </w:rPr>
        <w:t xml:space="preserve"> instrument has been designed to detect and process extremely weak signals. Its performance is such that any signal, </w:t>
      </w:r>
      <w:r>
        <w:rPr>
          <w:i/>
          <w:iCs/>
          <w:lang w:val="en-US"/>
        </w:rPr>
        <w:t>C</w:t>
      </w:r>
      <w:r w:rsidRPr="00CC44AA">
        <w:rPr>
          <w:i/>
          <w:iCs/>
          <w:vertAlign w:val="subscript"/>
          <w:lang w:val="en-US"/>
        </w:rPr>
        <w:t>min</w:t>
      </w:r>
      <w:r>
        <w:rPr>
          <w:lang w:val="en-US"/>
        </w:rPr>
        <w:t>, which exceeds the local noise density level by 21 dB(Hz) (</w:t>
      </w:r>
      <w:r>
        <w:rPr>
          <w:i/>
          <w:iCs/>
          <w:lang w:val="en-US"/>
        </w:rPr>
        <w:t>C</w:t>
      </w:r>
      <w:r w:rsidRPr="00CC44AA">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sidRPr="00CC44AA">
        <w:rPr>
          <w:vertAlign w:val="subscript"/>
          <w:lang w:val="en-US"/>
        </w:rPr>
        <w:t>0</w:t>
      </w:r>
      <w:r>
        <w:rPr>
          <w:lang w:val="en-US"/>
        </w:rPr>
        <w:t> </w:t>
      </w:r>
      <w:r w:rsidR="000D3CEE">
        <w:rPr>
          <w:lang w:val="en-US"/>
        </w:rPr>
        <w:sym w:font="Symbol" w:char="F03E"/>
      </w:r>
      <w:r>
        <w:rPr>
          <w:lang w:val="en-US"/>
        </w:rPr>
        <w:t> 21 dB(Hz)) would be assigned to a DRU for additional processing. Consequently, narrow-band interfering signals meeting this criteria would cause a DRU to be assigned to it. The consequence would be that the performance of the ARGOS instrument, in terms of capacity (e.g. the number of simultaneous DCS messages that are able to be processed), would be seriously degraded.</w:t>
      </w:r>
    </w:p>
    <w:p w:rsidR="00CC44AA" w:rsidRDefault="00CC44AA" w:rsidP="000D3CEE">
      <w:pPr>
        <w:rPr>
          <w:lang w:val="en-US"/>
        </w:rPr>
      </w:pPr>
      <w:r>
        <w:rPr>
          <w:lang w:val="en-US"/>
        </w:rPr>
        <w:t xml:space="preserve">The ARGOS typical figures are: noise factor </w:t>
      </w:r>
      <w:r w:rsidR="000D3CEE">
        <w:rPr>
          <w:lang w:val="en-US"/>
        </w:rPr>
        <w:t>=</w:t>
      </w:r>
      <w:r>
        <w:rPr>
          <w:lang w:val="en-US"/>
        </w:rPr>
        <w:t xml:space="preserve"> 3 d</w:t>
      </w:r>
      <w:r w:rsidR="006037C2">
        <w:rPr>
          <w:lang w:val="en-US"/>
        </w:rPr>
        <w:t>B (ARGOS typical figure), worst-</w:t>
      </w:r>
      <w:r>
        <w:rPr>
          <w:lang w:val="en-US"/>
        </w:rPr>
        <w:t xml:space="preserve">case background noise temperature </w:t>
      </w:r>
      <w:r w:rsidR="000D3CEE">
        <w:rPr>
          <w:lang w:val="en-US"/>
        </w:rPr>
        <w:t>=</w:t>
      </w:r>
      <w:r>
        <w:rPr>
          <w:lang w:val="en-US"/>
        </w:rPr>
        <w:t xml:space="preserve"> 1</w:t>
      </w:r>
      <w:r>
        <w:rPr>
          <w:rFonts w:ascii="Tms Rmn" w:hAnsi="Tms Rmn"/>
          <w:sz w:val="12"/>
          <w:lang w:val="en-US"/>
        </w:rPr>
        <w:t> </w:t>
      </w:r>
      <w:r>
        <w:rPr>
          <w:lang w:val="en-US"/>
        </w:rPr>
        <w:t xml:space="preserve">200 K (ARGOS input parameter), attenuation between the antenna and the receiver </w:t>
      </w:r>
      <w:r w:rsidR="000D3CEE">
        <w:rPr>
          <w:lang w:val="en-US"/>
        </w:rPr>
        <w:t>=</w:t>
      </w:r>
      <w:r>
        <w:rPr>
          <w:lang w:val="en-US"/>
        </w:rPr>
        <w:t xml:space="preserve"> 1.6 dB. Thus, the system noise temperature at the input of the receiver (point B on Fig. 1) equals 1</w:t>
      </w:r>
      <w:r>
        <w:rPr>
          <w:rFonts w:ascii="Tms Rmn" w:hAnsi="Tms Rmn"/>
          <w:sz w:val="12"/>
          <w:lang w:val="en-US"/>
        </w:rPr>
        <w:t> </w:t>
      </w:r>
      <w:r>
        <w:rPr>
          <w:lang w:val="en-US"/>
        </w:rPr>
        <w:t xml:space="preserve">214 K and therefore, the noise spectral density equals </w:t>
      </w:r>
      <w:r>
        <w:rPr>
          <w:i/>
          <w:iCs/>
          <w:lang w:val="en-US"/>
        </w:rPr>
        <w:t>N</w:t>
      </w:r>
      <w:r>
        <w:rPr>
          <w:position w:val="-4"/>
          <w:sz w:val="16"/>
          <w:lang w:val="en-US"/>
        </w:rPr>
        <w:t>0</w:t>
      </w:r>
      <w:r>
        <w:rPr>
          <w:lang w:val="en-US"/>
        </w:rPr>
        <w:t> </w:t>
      </w:r>
      <w:r w:rsidR="000D3CEE">
        <w:rPr>
          <w:lang w:val="en-US"/>
        </w:rPr>
        <w:t>=</w:t>
      </w:r>
      <w:r>
        <w:rPr>
          <w:lang w:val="en-US"/>
        </w:rPr>
        <w:t> </w:t>
      </w:r>
      <w:r w:rsidR="000D3CEE">
        <w:rPr>
          <w:lang w:val="en-US"/>
        </w:rPr>
        <w:t>−</w:t>
      </w:r>
      <w:r>
        <w:rPr>
          <w:lang w:val="en-US"/>
        </w:rPr>
        <w:t>197.8 dB(W/Hz).</w:t>
      </w:r>
    </w:p>
    <w:p w:rsidR="00CC44AA" w:rsidRDefault="00CC44AA" w:rsidP="001922D2">
      <w:pPr>
        <w:rPr>
          <w:lang w:val="en-US"/>
        </w:rPr>
      </w:pPr>
      <w:r>
        <w:rPr>
          <w:lang w:val="en-US"/>
        </w:rPr>
        <w:t xml:space="preserve">As </w:t>
      </w:r>
      <w:r>
        <w:rPr>
          <w:i/>
          <w:iCs/>
          <w:lang w:val="en-US"/>
        </w:rPr>
        <w:t>C</w:t>
      </w:r>
      <w:r>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Pr>
          <w:vertAlign w:val="subscript"/>
          <w:lang w:val="en-US"/>
        </w:rPr>
        <w:t>0</w:t>
      </w:r>
      <w:r>
        <w:rPr>
          <w:lang w:val="en-US"/>
        </w:rPr>
        <w:t> </w:t>
      </w:r>
      <w:r w:rsidR="00E520C1">
        <w:rPr>
          <w:lang w:val="en-US"/>
        </w:rPr>
        <w:t>=</w:t>
      </w:r>
      <w:r>
        <w:rPr>
          <w:lang w:val="en-US"/>
        </w:rPr>
        <w:t xml:space="preserve"> 21 dB(Hz), </w:t>
      </w:r>
      <w:r>
        <w:rPr>
          <w:i/>
          <w:iCs/>
          <w:lang w:val="en-US"/>
        </w:rPr>
        <w:t>C</w:t>
      </w:r>
      <w:r>
        <w:rPr>
          <w:i/>
          <w:iCs/>
          <w:vertAlign w:val="subscript"/>
          <w:lang w:val="en-US"/>
        </w:rPr>
        <w:t>min</w:t>
      </w:r>
      <w:r>
        <w:rPr>
          <w:lang w:val="en-US"/>
        </w:rPr>
        <w:t> </w:t>
      </w:r>
      <w:r w:rsidR="00E520C1">
        <w:rPr>
          <w:lang w:val="en-US"/>
        </w:rPr>
        <w:t>=</w:t>
      </w:r>
      <w:r>
        <w:rPr>
          <w:lang w:val="en-US"/>
        </w:rPr>
        <w:t> </w:t>
      </w:r>
      <w:r w:rsidR="001922D2">
        <w:rPr>
          <w:lang w:val="en-US"/>
        </w:rPr>
        <w:t>−</w:t>
      </w:r>
      <w:r>
        <w:rPr>
          <w:lang w:val="en-US"/>
        </w:rPr>
        <w:t>176.8 dBW. Therefore, any narrow-band spurious emission greater than</w:t>
      </w:r>
      <w:r w:rsidRPr="00F47853">
        <w:rPr>
          <w:lang w:val="en-US"/>
        </w:rPr>
        <w:t xml:space="preserve"> </w:t>
      </w:r>
      <w:r w:rsidR="0066250F" w:rsidRPr="00F47853">
        <w:rPr>
          <w:lang w:val="en-US"/>
        </w:rPr>
        <w:t>−</w:t>
      </w:r>
      <w:r>
        <w:rPr>
          <w:lang w:val="en-US"/>
        </w:rPr>
        <w:t>176.8 dBW at the input of the ARGOS (point B of Fig. 1), would result in a degradation of the system capacity.</w:t>
      </w:r>
    </w:p>
    <w:p w:rsidR="00CC44AA" w:rsidRDefault="00CC44AA" w:rsidP="00CC44AA">
      <w:pPr>
        <w:rPr>
          <w:lang w:val="en-US"/>
        </w:rPr>
      </w:pPr>
      <w:r>
        <w:rPr>
          <w:lang w:val="en-US"/>
        </w:rPr>
        <w:lastRenderedPageBreak/>
        <w:t>It is then necessary to compute this maximum admissible level of spectral line at the input of the ARGOS antenna.</w:t>
      </w:r>
    </w:p>
    <w:p w:rsidR="00CC44AA" w:rsidRDefault="00CC44AA" w:rsidP="00CC44AA">
      <w:pPr>
        <w:rPr>
          <w:lang w:val="en-US"/>
        </w:rPr>
      </w:pPr>
      <w:r>
        <w:rPr>
          <w:lang w:val="en-US"/>
        </w:rPr>
        <w:t>The ARGOS receive antenna gain pattern specification is expressed according to the nadir angle in Table 2.</w:t>
      </w:r>
    </w:p>
    <w:p w:rsidR="00CC44AA" w:rsidRPr="00CC44AA" w:rsidRDefault="00CC44AA" w:rsidP="00CC44AA">
      <w:pPr>
        <w:pStyle w:val="TableNo"/>
        <w:rPr>
          <w:lang w:val="en-US"/>
        </w:rPr>
      </w:pPr>
      <w:r w:rsidRPr="00CC44AA">
        <w:rPr>
          <w:lang w:val="en-US"/>
        </w:rPr>
        <w:t>TABLE 2</w:t>
      </w:r>
    </w:p>
    <w:p w:rsidR="00CC44AA" w:rsidRPr="00CC44AA" w:rsidRDefault="00CC44AA" w:rsidP="00CC44AA">
      <w:pPr>
        <w:pStyle w:val="Tabletitle"/>
        <w:rPr>
          <w:lang w:val="en-US"/>
        </w:rPr>
      </w:pPr>
      <w:r w:rsidRPr="00CC44AA">
        <w:rPr>
          <w:lang w:val="en-US"/>
        </w:rPr>
        <w:t>Receive antenna (UDA) gain pattern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822"/>
        <w:gridCol w:w="822"/>
        <w:gridCol w:w="822"/>
        <w:gridCol w:w="822"/>
        <w:gridCol w:w="822"/>
        <w:gridCol w:w="822"/>
        <w:gridCol w:w="822"/>
        <w:gridCol w:w="822"/>
        <w:gridCol w:w="822"/>
        <w:gridCol w:w="823"/>
      </w:tblGrid>
      <w:tr w:rsidR="00CC44AA" w:rsidRPr="0066250F" w:rsidTr="0066250F">
        <w:trPr>
          <w:cantSplit/>
          <w:jc w:val="center"/>
        </w:trPr>
        <w:tc>
          <w:tcPr>
            <w:tcW w:w="1526" w:type="dxa"/>
            <w:vAlign w:val="center"/>
          </w:tcPr>
          <w:p w:rsidR="00CC44AA" w:rsidRPr="0066250F" w:rsidRDefault="00CC44AA" w:rsidP="0066250F">
            <w:pPr>
              <w:pStyle w:val="Tablehead"/>
              <w:rPr>
                <w:noProof/>
                <w:sz w:val="20"/>
                <w:lang w:val="fr-CH"/>
              </w:rPr>
            </w:pPr>
            <w:r w:rsidRPr="0066250F">
              <w:rPr>
                <w:noProof/>
                <w:sz w:val="20"/>
                <w:lang w:val="fr-CH"/>
              </w:rPr>
              <w:t>Nadir satellite angle</w:t>
            </w:r>
          </w:p>
        </w:tc>
        <w:tc>
          <w:tcPr>
            <w:tcW w:w="822" w:type="dxa"/>
            <w:vAlign w:val="center"/>
          </w:tcPr>
          <w:p w:rsidR="00CC44AA" w:rsidRPr="0066250F" w:rsidRDefault="00CC44AA" w:rsidP="0066250F">
            <w:pPr>
              <w:pStyle w:val="Tablehead"/>
              <w:rPr>
                <w:noProof/>
                <w:sz w:val="20"/>
              </w:rPr>
            </w:pPr>
            <w:r w:rsidRPr="0066250F">
              <w:rPr>
                <w:noProof/>
                <w:sz w:val="20"/>
              </w:rPr>
              <w:t>62</w:t>
            </w:r>
          </w:p>
        </w:tc>
        <w:tc>
          <w:tcPr>
            <w:tcW w:w="822" w:type="dxa"/>
            <w:vAlign w:val="center"/>
          </w:tcPr>
          <w:p w:rsidR="00CC44AA" w:rsidRPr="0066250F" w:rsidRDefault="00CC44AA" w:rsidP="0066250F">
            <w:pPr>
              <w:pStyle w:val="Tablehead"/>
              <w:rPr>
                <w:noProof/>
                <w:sz w:val="20"/>
              </w:rPr>
            </w:pPr>
            <w:r w:rsidRPr="0066250F">
              <w:rPr>
                <w:noProof/>
                <w:sz w:val="20"/>
              </w:rPr>
              <w:t>59</w:t>
            </w:r>
          </w:p>
        </w:tc>
        <w:tc>
          <w:tcPr>
            <w:tcW w:w="822" w:type="dxa"/>
            <w:vAlign w:val="center"/>
          </w:tcPr>
          <w:p w:rsidR="00CC44AA" w:rsidRPr="0066250F" w:rsidRDefault="00CC44AA" w:rsidP="0066250F">
            <w:pPr>
              <w:pStyle w:val="Tablehead"/>
              <w:rPr>
                <w:noProof/>
                <w:sz w:val="20"/>
              </w:rPr>
            </w:pPr>
            <w:r w:rsidRPr="0066250F">
              <w:rPr>
                <w:noProof/>
                <w:sz w:val="20"/>
              </w:rPr>
              <w:t>54</w:t>
            </w:r>
          </w:p>
        </w:tc>
        <w:tc>
          <w:tcPr>
            <w:tcW w:w="822" w:type="dxa"/>
            <w:vAlign w:val="center"/>
          </w:tcPr>
          <w:p w:rsidR="00CC44AA" w:rsidRPr="0066250F" w:rsidRDefault="00CC44AA" w:rsidP="0066250F">
            <w:pPr>
              <w:pStyle w:val="Tablehead"/>
              <w:rPr>
                <w:noProof/>
                <w:sz w:val="20"/>
              </w:rPr>
            </w:pPr>
            <w:r w:rsidRPr="0066250F">
              <w:rPr>
                <w:noProof/>
                <w:sz w:val="20"/>
              </w:rPr>
              <w:t>47</w:t>
            </w:r>
          </w:p>
        </w:tc>
        <w:tc>
          <w:tcPr>
            <w:tcW w:w="822" w:type="dxa"/>
            <w:vAlign w:val="center"/>
          </w:tcPr>
          <w:p w:rsidR="00CC44AA" w:rsidRPr="0066250F" w:rsidRDefault="00CC44AA" w:rsidP="0066250F">
            <w:pPr>
              <w:pStyle w:val="Tablehead"/>
              <w:rPr>
                <w:noProof/>
                <w:sz w:val="20"/>
              </w:rPr>
            </w:pPr>
            <w:r w:rsidRPr="0066250F">
              <w:rPr>
                <w:noProof/>
                <w:sz w:val="20"/>
              </w:rPr>
              <w:t>39</w:t>
            </w:r>
          </w:p>
        </w:tc>
        <w:tc>
          <w:tcPr>
            <w:tcW w:w="822" w:type="dxa"/>
            <w:vAlign w:val="center"/>
          </w:tcPr>
          <w:p w:rsidR="00CC44AA" w:rsidRPr="0066250F" w:rsidRDefault="00CC44AA" w:rsidP="0066250F">
            <w:pPr>
              <w:pStyle w:val="Tablehead"/>
              <w:rPr>
                <w:noProof/>
                <w:sz w:val="20"/>
              </w:rPr>
            </w:pPr>
            <w:r w:rsidRPr="0066250F">
              <w:rPr>
                <w:noProof/>
                <w:sz w:val="20"/>
              </w:rPr>
              <w:t>31</w:t>
            </w:r>
          </w:p>
        </w:tc>
        <w:tc>
          <w:tcPr>
            <w:tcW w:w="822" w:type="dxa"/>
            <w:vAlign w:val="center"/>
          </w:tcPr>
          <w:p w:rsidR="00CC44AA" w:rsidRPr="0066250F" w:rsidRDefault="00CC44AA" w:rsidP="0066250F">
            <w:pPr>
              <w:pStyle w:val="Tablehead"/>
              <w:rPr>
                <w:noProof/>
                <w:sz w:val="20"/>
              </w:rPr>
            </w:pPr>
            <w:r w:rsidRPr="0066250F">
              <w:rPr>
                <w:noProof/>
                <w:sz w:val="20"/>
              </w:rPr>
              <w:t>22</w:t>
            </w:r>
          </w:p>
        </w:tc>
        <w:tc>
          <w:tcPr>
            <w:tcW w:w="822" w:type="dxa"/>
            <w:vAlign w:val="center"/>
          </w:tcPr>
          <w:p w:rsidR="00CC44AA" w:rsidRPr="0066250F" w:rsidRDefault="00CC44AA" w:rsidP="0066250F">
            <w:pPr>
              <w:pStyle w:val="Tablehead"/>
              <w:rPr>
                <w:noProof/>
                <w:sz w:val="20"/>
              </w:rPr>
            </w:pPr>
            <w:r w:rsidRPr="0066250F">
              <w:rPr>
                <w:noProof/>
                <w:sz w:val="20"/>
              </w:rPr>
              <w:t>13</w:t>
            </w:r>
          </w:p>
        </w:tc>
        <w:tc>
          <w:tcPr>
            <w:tcW w:w="822" w:type="dxa"/>
            <w:vAlign w:val="center"/>
          </w:tcPr>
          <w:p w:rsidR="00CC44AA" w:rsidRPr="0066250F" w:rsidRDefault="00CC44AA" w:rsidP="0066250F">
            <w:pPr>
              <w:pStyle w:val="Tablehead"/>
              <w:rPr>
                <w:noProof/>
                <w:sz w:val="20"/>
              </w:rPr>
            </w:pPr>
            <w:r w:rsidRPr="0066250F">
              <w:rPr>
                <w:noProof/>
                <w:sz w:val="20"/>
              </w:rPr>
              <w:t>5</w:t>
            </w:r>
          </w:p>
        </w:tc>
        <w:tc>
          <w:tcPr>
            <w:tcW w:w="823" w:type="dxa"/>
            <w:vAlign w:val="center"/>
          </w:tcPr>
          <w:p w:rsidR="00CC44AA" w:rsidRPr="0066250F" w:rsidRDefault="00CC44AA" w:rsidP="0066250F">
            <w:pPr>
              <w:pStyle w:val="Tablehead"/>
              <w:rPr>
                <w:noProof/>
                <w:sz w:val="20"/>
              </w:rPr>
            </w:pPr>
            <w:r w:rsidRPr="0066250F">
              <w:rPr>
                <w:noProof/>
                <w:sz w:val="20"/>
              </w:rPr>
              <w:t>0</w:t>
            </w:r>
          </w:p>
        </w:tc>
      </w:tr>
      <w:tr w:rsidR="00CC44AA" w:rsidRPr="0066250F" w:rsidTr="0066250F">
        <w:trPr>
          <w:cantSplit/>
          <w:jc w:val="center"/>
        </w:trPr>
        <w:tc>
          <w:tcPr>
            <w:tcW w:w="1526" w:type="dxa"/>
          </w:tcPr>
          <w:p w:rsidR="00CC44AA" w:rsidRPr="0066250F" w:rsidRDefault="00CC44AA" w:rsidP="0066250F">
            <w:pPr>
              <w:pStyle w:val="Tabletext"/>
              <w:rPr>
                <w:noProof/>
                <w:sz w:val="20"/>
              </w:rPr>
            </w:pPr>
            <w:r w:rsidRPr="0066250F">
              <w:rPr>
                <w:noProof/>
                <w:sz w:val="20"/>
              </w:rPr>
              <w:t>Gain in RHCP</w:t>
            </w:r>
          </w:p>
        </w:tc>
        <w:tc>
          <w:tcPr>
            <w:tcW w:w="822" w:type="dxa"/>
          </w:tcPr>
          <w:p w:rsidR="00CC44AA" w:rsidRPr="0066250F" w:rsidRDefault="00CC44AA" w:rsidP="0066250F">
            <w:pPr>
              <w:pStyle w:val="Tabletext"/>
              <w:jc w:val="center"/>
              <w:rPr>
                <w:noProof/>
                <w:sz w:val="20"/>
              </w:rPr>
            </w:pPr>
            <w:r w:rsidRPr="0066250F">
              <w:rPr>
                <w:noProof/>
                <w:sz w:val="20"/>
              </w:rPr>
              <w:t>3.85</w:t>
            </w:r>
          </w:p>
        </w:tc>
        <w:tc>
          <w:tcPr>
            <w:tcW w:w="822" w:type="dxa"/>
          </w:tcPr>
          <w:p w:rsidR="00CC44AA" w:rsidRPr="0066250F" w:rsidRDefault="00CC44AA" w:rsidP="0066250F">
            <w:pPr>
              <w:pStyle w:val="Tabletext"/>
              <w:jc w:val="center"/>
              <w:rPr>
                <w:noProof/>
                <w:sz w:val="20"/>
              </w:rPr>
            </w:pPr>
            <w:r w:rsidRPr="0066250F">
              <w:rPr>
                <w:noProof/>
                <w:sz w:val="20"/>
              </w:rPr>
              <w:t>3.54</w:t>
            </w:r>
          </w:p>
        </w:tc>
        <w:tc>
          <w:tcPr>
            <w:tcW w:w="822" w:type="dxa"/>
          </w:tcPr>
          <w:p w:rsidR="00CC44AA" w:rsidRPr="0066250F" w:rsidRDefault="00CC44AA" w:rsidP="0066250F">
            <w:pPr>
              <w:pStyle w:val="Tabletext"/>
              <w:jc w:val="center"/>
              <w:rPr>
                <w:noProof/>
                <w:sz w:val="20"/>
              </w:rPr>
            </w:pPr>
            <w:r w:rsidRPr="0066250F">
              <w:rPr>
                <w:noProof/>
                <w:sz w:val="20"/>
              </w:rPr>
              <w:t>2.62</w:t>
            </w:r>
          </w:p>
        </w:tc>
        <w:tc>
          <w:tcPr>
            <w:tcW w:w="822" w:type="dxa"/>
          </w:tcPr>
          <w:p w:rsidR="00CC44AA" w:rsidRPr="0066250F" w:rsidRDefault="00CC44AA" w:rsidP="0066250F">
            <w:pPr>
              <w:pStyle w:val="Tabletext"/>
              <w:jc w:val="center"/>
              <w:rPr>
                <w:noProof/>
                <w:sz w:val="20"/>
              </w:rPr>
            </w:pPr>
            <w:r w:rsidRPr="0066250F">
              <w:rPr>
                <w:noProof/>
                <w:sz w:val="20"/>
              </w:rPr>
              <w:t>1.24</w:t>
            </w:r>
          </w:p>
        </w:tc>
        <w:tc>
          <w:tcPr>
            <w:tcW w:w="822" w:type="dxa"/>
          </w:tcPr>
          <w:p w:rsidR="00CC44AA" w:rsidRPr="0066250F" w:rsidRDefault="00CC44AA" w:rsidP="0066250F">
            <w:pPr>
              <w:pStyle w:val="Tabletext"/>
              <w:jc w:val="center"/>
              <w:rPr>
                <w:noProof/>
                <w:sz w:val="20"/>
              </w:rPr>
            </w:pPr>
            <w:r w:rsidRPr="0066250F">
              <w:rPr>
                <w:noProof/>
                <w:sz w:val="20"/>
              </w:rPr>
              <w:t>–0.17</w:t>
            </w:r>
          </w:p>
        </w:tc>
        <w:tc>
          <w:tcPr>
            <w:tcW w:w="822" w:type="dxa"/>
          </w:tcPr>
          <w:p w:rsidR="00CC44AA" w:rsidRPr="0066250F" w:rsidRDefault="00CC44AA" w:rsidP="0066250F">
            <w:pPr>
              <w:pStyle w:val="Tabletext"/>
              <w:jc w:val="center"/>
              <w:rPr>
                <w:noProof/>
                <w:sz w:val="20"/>
              </w:rPr>
            </w:pPr>
            <w:r w:rsidRPr="0066250F">
              <w:rPr>
                <w:noProof/>
                <w:sz w:val="20"/>
              </w:rPr>
              <w:t>–1.33</w:t>
            </w:r>
          </w:p>
        </w:tc>
        <w:tc>
          <w:tcPr>
            <w:tcW w:w="822" w:type="dxa"/>
          </w:tcPr>
          <w:p w:rsidR="00CC44AA" w:rsidRPr="0066250F" w:rsidRDefault="00CC44AA" w:rsidP="0066250F">
            <w:pPr>
              <w:pStyle w:val="Tabletext"/>
              <w:jc w:val="center"/>
              <w:rPr>
                <w:noProof/>
                <w:sz w:val="20"/>
              </w:rPr>
            </w:pPr>
            <w:r w:rsidRPr="0066250F">
              <w:rPr>
                <w:noProof/>
                <w:sz w:val="20"/>
              </w:rPr>
              <w:t>–2.24</w:t>
            </w:r>
          </w:p>
        </w:tc>
        <w:tc>
          <w:tcPr>
            <w:tcW w:w="822" w:type="dxa"/>
          </w:tcPr>
          <w:p w:rsidR="00CC44AA" w:rsidRPr="0066250F" w:rsidRDefault="00CC44AA" w:rsidP="0066250F">
            <w:pPr>
              <w:pStyle w:val="Tabletext"/>
              <w:jc w:val="center"/>
              <w:rPr>
                <w:noProof/>
                <w:sz w:val="20"/>
              </w:rPr>
            </w:pPr>
            <w:r w:rsidRPr="0066250F">
              <w:rPr>
                <w:noProof/>
                <w:sz w:val="20"/>
              </w:rPr>
              <w:t>–3.08</w:t>
            </w:r>
          </w:p>
        </w:tc>
        <w:tc>
          <w:tcPr>
            <w:tcW w:w="822" w:type="dxa"/>
          </w:tcPr>
          <w:p w:rsidR="00CC44AA" w:rsidRPr="0066250F" w:rsidRDefault="00CC44AA" w:rsidP="0066250F">
            <w:pPr>
              <w:pStyle w:val="Tabletext"/>
              <w:jc w:val="center"/>
              <w:rPr>
                <w:noProof/>
                <w:sz w:val="20"/>
              </w:rPr>
            </w:pPr>
            <w:r w:rsidRPr="0066250F">
              <w:rPr>
                <w:noProof/>
                <w:sz w:val="20"/>
              </w:rPr>
              <w:t>–3.80</w:t>
            </w:r>
          </w:p>
        </w:tc>
        <w:tc>
          <w:tcPr>
            <w:tcW w:w="823" w:type="dxa"/>
          </w:tcPr>
          <w:p w:rsidR="00CC44AA" w:rsidRPr="0066250F" w:rsidRDefault="00CC44AA" w:rsidP="0066250F">
            <w:pPr>
              <w:pStyle w:val="Tabletext"/>
              <w:jc w:val="center"/>
              <w:rPr>
                <w:noProof/>
                <w:sz w:val="20"/>
              </w:rPr>
            </w:pPr>
            <w:r w:rsidRPr="0066250F">
              <w:rPr>
                <w:noProof/>
                <w:sz w:val="20"/>
              </w:rPr>
              <w:t>–3.96</w:t>
            </w:r>
          </w:p>
        </w:tc>
      </w:tr>
      <w:tr w:rsidR="00CC44AA" w:rsidRPr="0066250F" w:rsidTr="0066250F">
        <w:trPr>
          <w:cantSplit/>
          <w:jc w:val="center"/>
        </w:trPr>
        <w:tc>
          <w:tcPr>
            <w:tcW w:w="1526" w:type="dxa"/>
          </w:tcPr>
          <w:p w:rsidR="00CC44AA" w:rsidRPr="0066250F" w:rsidRDefault="00CC44AA" w:rsidP="0066250F">
            <w:pPr>
              <w:pStyle w:val="Tabletext"/>
              <w:rPr>
                <w:noProof/>
                <w:sz w:val="20"/>
              </w:rPr>
            </w:pPr>
            <w:r w:rsidRPr="0066250F">
              <w:rPr>
                <w:noProof/>
                <w:sz w:val="20"/>
              </w:rPr>
              <w:t>Gain in LHCP</w:t>
            </w:r>
          </w:p>
        </w:tc>
        <w:tc>
          <w:tcPr>
            <w:tcW w:w="822" w:type="dxa"/>
          </w:tcPr>
          <w:p w:rsidR="00CC44AA" w:rsidRPr="0066250F" w:rsidRDefault="00CC44AA" w:rsidP="0066250F">
            <w:pPr>
              <w:pStyle w:val="Tabletext"/>
              <w:jc w:val="center"/>
              <w:rPr>
                <w:noProof/>
                <w:sz w:val="20"/>
              </w:rPr>
            </w:pPr>
            <w:r w:rsidRPr="0066250F">
              <w:rPr>
                <w:noProof/>
                <w:sz w:val="20"/>
              </w:rPr>
              <w:t>–5.69</w:t>
            </w:r>
          </w:p>
        </w:tc>
        <w:tc>
          <w:tcPr>
            <w:tcW w:w="822" w:type="dxa"/>
          </w:tcPr>
          <w:p w:rsidR="00CC44AA" w:rsidRPr="0066250F" w:rsidRDefault="00CC44AA" w:rsidP="0066250F">
            <w:pPr>
              <w:pStyle w:val="Tabletext"/>
              <w:jc w:val="center"/>
              <w:rPr>
                <w:noProof/>
                <w:sz w:val="20"/>
              </w:rPr>
            </w:pPr>
            <w:r w:rsidRPr="0066250F">
              <w:rPr>
                <w:noProof/>
                <w:sz w:val="20"/>
              </w:rPr>
              <w:t>–6.23</w:t>
            </w:r>
          </w:p>
        </w:tc>
        <w:tc>
          <w:tcPr>
            <w:tcW w:w="822" w:type="dxa"/>
          </w:tcPr>
          <w:p w:rsidR="00CC44AA" w:rsidRPr="0066250F" w:rsidRDefault="00CC44AA" w:rsidP="0066250F">
            <w:pPr>
              <w:pStyle w:val="Tabletext"/>
              <w:jc w:val="center"/>
              <w:rPr>
                <w:noProof/>
                <w:sz w:val="20"/>
              </w:rPr>
            </w:pPr>
            <w:r w:rsidRPr="0066250F">
              <w:rPr>
                <w:noProof/>
                <w:sz w:val="20"/>
              </w:rPr>
              <w:t>–7.52</w:t>
            </w:r>
          </w:p>
        </w:tc>
        <w:tc>
          <w:tcPr>
            <w:tcW w:w="822" w:type="dxa"/>
          </w:tcPr>
          <w:p w:rsidR="00CC44AA" w:rsidRPr="0066250F" w:rsidRDefault="00CC44AA" w:rsidP="0066250F">
            <w:pPr>
              <w:pStyle w:val="Tabletext"/>
              <w:jc w:val="center"/>
              <w:rPr>
                <w:noProof/>
                <w:sz w:val="20"/>
              </w:rPr>
            </w:pPr>
            <w:r w:rsidRPr="0066250F">
              <w:rPr>
                <w:noProof/>
                <w:sz w:val="20"/>
              </w:rPr>
              <w:t>–9.39</w:t>
            </w:r>
          </w:p>
        </w:tc>
        <w:tc>
          <w:tcPr>
            <w:tcW w:w="822" w:type="dxa"/>
          </w:tcPr>
          <w:p w:rsidR="00CC44AA" w:rsidRPr="0066250F" w:rsidRDefault="00CC44AA" w:rsidP="0066250F">
            <w:pPr>
              <w:pStyle w:val="Tabletext"/>
              <w:jc w:val="center"/>
              <w:rPr>
                <w:noProof/>
                <w:sz w:val="20"/>
              </w:rPr>
            </w:pPr>
            <w:r w:rsidRPr="0066250F">
              <w:rPr>
                <w:noProof/>
                <w:sz w:val="20"/>
              </w:rPr>
              <w:t>–11.39</w:t>
            </w:r>
          </w:p>
        </w:tc>
        <w:tc>
          <w:tcPr>
            <w:tcW w:w="822" w:type="dxa"/>
          </w:tcPr>
          <w:p w:rsidR="00CC44AA" w:rsidRPr="0066250F" w:rsidRDefault="00CC44AA" w:rsidP="0066250F">
            <w:pPr>
              <w:pStyle w:val="Tabletext"/>
              <w:jc w:val="center"/>
              <w:rPr>
                <w:noProof/>
                <w:sz w:val="20"/>
              </w:rPr>
            </w:pPr>
            <w:r w:rsidRPr="0066250F">
              <w:rPr>
                <w:noProof/>
                <w:sz w:val="20"/>
              </w:rPr>
              <w:t>–13.12</w:t>
            </w:r>
          </w:p>
        </w:tc>
        <w:tc>
          <w:tcPr>
            <w:tcW w:w="822" w:type="dxa"/>
          </w:tcPr>
          <w:p w:rsidR="00CC44AA" w:rsidRPr="0066250F" w:rsidRDefault="00CC44AA" w:rsidP="0066250F">
            <w:pPr>
              <w:pStyle w:val="Tabletext"/>
              <w:jc w:val="center"/>
              <w:rPr>
                <w:noProof/>
                <w:sz w:val="20"/>
              </w:rPr>
            </w:pPr>
            <w:r w:rsidRPr="0066250F">
              <w:rPr>
                <w:noProof/>
                <w:sz w:val="20"/>
              </w:rPr>
              <w:t>–14.52</w:t>
            </w:r>
          </w:p>
        </w:tc>
        <w:tc>
          <w:tcPr>
            <w:tcW w:w="822" w:type="dxa"/>
          </w:tcPr>
          <w:p w:rsidR="00CC44AA" w:rsidRPr="0066250F" w:rsidRDefault="00CC44AA" w:rsidP="0066250F">
            <w:pPr>
              <w:pStyle w:val="Tabletext"/>
              <w:jc w:val="center"/>
              <w:rPr>
                <w:noProof/>
                <w:sz w:val="20"/>
              </w:rPr>
            </w:pPr>
            <w:r w:rsidRPr="0066250F">
              <w:rPr>
                <w:noProof/>
                <w:sz w:val="20"/>
              </w:rPr>
              <w:t>–15.77</w:t>
            </w:r>
          </w:p>
        </w:tc>
        <w:tc>
          <w:tcPr>
            <w:tcW w:w="822" w:type="dxa"/>
          </w:tcPr>
          <w:p w:rsidR="00CC44AA" w:rsidRPr="0066250F" w:rsidRDefault="00CC44AA" w:rsidP="0066250F">
            <w:pPr>
              <w:pStyle w:val="Tabletext"/>
              <w:jc w:val="center"/>
              <w:rPr>
                <w:noProof/>
                <w:sz w:val="20"/>
              </w:rPr>
            </w:pPr>
            <w:r w:rsidRPr="0066250F">
              <w:rPr>
                <w:noProof/>
                <w:sz w:val="20"/>
              </w:rPr>
              <w:t>–17.17</w:t>
            </w:r>
          </w:p>
        </w:tc>
        <w:tc>
          <w:tcPr>
            <w:tcW w:w="823" w:type="dxa"/>
          </w:tcPr>
          <w:p w:rsidR="00CC44AA" w:rsidRPr="0066250F" w:rsidRDefault="00CC44AA" w:rsidP="0066250F">
            <w:pPr>
              <w:pStyle w:val="Tabletext"/>
              <w:jc w:val="center"/>
              <w:rPr>
                <w:noProof/>
                <w:sz w:val="20"/>
              </w:rPr>
            </w:pPr>
            <w:r w:rsidRPr="0066250F">
              <w:rPr>
                <w:noProof/>
                <w:sz w:val="20"/>
              </w:rPr>
              <w:t>–18.00</w:t>
            </w:r>
          </w:p>
        </w:tc>
      </w:tr>
      <w:tr w:rsidR="00CC44AA" w:rsidRPr="0066250F" w:rsidTr="0066250F">
        <w:trPr>
          <w:cantSplit/>
          <w:jc w:val="center"/>
        </w:trPr>
        <w:tc>
          <w:tcPr>
            <w:tcW w:w="1526" w:type="dxa"/>
          </w:tcPr>
          <w:p w:rsidR="00CC44AA" w:rsidRPr="0066250F" w:rsidRDefault="00CC44AA" w:rsidP="0066250F">
            <w:pPr>
              <w:pStyle w:val="Tabletext"/>
              <w:rPr>
                <w:noProof/>
                <w:sz w:val="20"/>
              </w:rPr>
            </w:pPr>
            <w:r w:rsidRPr="0066250F">
              <w:rPr>
                <w:noProof/>
                <w:sz w:val="20"/>
              </w:rPr>
              <w:t>Axial ratio</w:t>
            </w:r>
          </w:p>
        </w:tc>
        <w:tc>
          <w:tcPr>
            <w:tcW w:w="822" w:type="dxa"/>
          </w:tcPr>
          <w:p w:rsidR="00CC44AA" w:rsidRPr="0066250F" w:rsidRDefault="00CC44AA" w:rsidP="0066250F">
            <w:pPr>
              <w:pStyle w:val="Tabletext"/>
              <w:jc w:val="center"/>
              <w:rPr>
                <w:noProof/>
                <w:sz w:val="20"/>
              </w:rPr>
            </w:pPr>
            <w:r w:rsidRPr="0066250F">
              <w:rPr>
                <w:noProof/>
                <w:sz w:val="20"/>
              </w:rPr>
              <w:t>6.02</w:t>
            </w:r>
          </w:p>
        </w:tc>
        <w:tc>
          <w:tcPr>
            <w:tcW w:w="822" w:type="dxa"/>
          </w:tcPr>
          <w:p w:rsidR="00CC44AA" w:rsidRPr="0066250F" w:rsidRDefault="00CC44AA" w:rsidP="0066250F">
            <w:pPr>
              <w:pStyle w:val="Tabletext"/>
              <w:jc w:val="center"/>
              <w:rPr>
                <w:noProof/>
                <w:sz w:val="20"/>
              </w:rPr>
            </w:pPr>
            <w:r w:rsidRPr="0066250F">
              <w:rPr>
                <w:noProof/>
                <w:sz w:val="20"/>
              </w:rPr>
              <w:t>5.85</w:t>
            </w:r>
          </w:p>
        </w:tc>
        <w:tc>
          <w:tcPr>
            <w:tcW w:w="822" w:type="dxa"/>
          </w:tcPr>
          <w:p w:rsidR="00CC44AA" w:rsidRPr="0066250F" w:rsidRDefault="00CC44AA" w:rsidP="0066250F">
            <w:pPr>
              <w:pStyle w:val="Tabletext"/>
              <w:jc w:val="center"/>
              <w:rPr>
                <w:noProof/>
                <w:sz w:val="20"/>
              </w:rPr>
            </w:pPr>
            <w:r w:rsidRPr="0066250F">
              <w:rPr>
                <w:noProof/>
                <w:sz w:val="20"/>
              </w:rPr>
              <w:t>5.59</w:t>
            </w:r>
          </w:p>
        </w:tc>
        <w:tc>
          <w:tcPr>
            <w:tcW w:w="822" w:type="dxa"/>
          </w:tcPr>
          <w:p w:rsidR="00CC44AA" w:rsidRPr="0066250F" w:rsidRDefault="00CC44AA" w:rsidP="0066250F">
            <w:pPr>
              <w:pStyle w:val="Tabletext"/>
              <w:jc w:val="center"/>
              <w:rPr>
                <w:noProof/>
                <w:sz w:val="20"/>
              </w:rPr>
            </w:pPr>
            <w:r w:rsidRPr="0066250F">
              <w:rPr>
                <w:noProof/>
                <w:sz w:val="20"/>
              </w:rPr>
              <w:t>5.26</w:t>
            </w:r>
          </w:p>
        </w:tc>
        <w:tc>
          <w:tcPr>
            <w:tcW w:w="822" w:type="dxa"/>
          </w:tcPr>
          <w:p w:rsidR="00CC44AA" w:rsidRPr="0066250F" w:rsidRDefault="00CC44AA" w:rsidP="0066250F">
            <w:pPr>
              <w:pStyle w:val="Tabletext"/>
              <w:jc w:val="center"/>
              <w:rPr>
                <w:noProof/>
                <w:sz w:val="20"/>
              </w:rPr>
            </w:pPr>
            <w:r w:rsidRPr="0066250F">
              <w:rPr>
                <w:noProof/>
                <w:sz w:val="20"/>
              </w:rPr>
              <w:t>4.90</w:t>
            </w:r>
          </w:p>
        </w:tc>
        <w:tc>
          <w:tcPr>
            <w:tcW w:w="822" w:type="dxa"/>
          </w:tcPr>
          <w:p w:rsidR="00CC44AA" w:rsidRPr="0066250F" w:rsidRDefault="00CC44AA" w:rsidP="0066250F">
            <w:pPr>
              <w:pStyle w:val="Tabletext"/>
              <w:jc w:val="center"/>
              <w:rPr>
                <w:noProof/>
                <w:sz w:val="20"/>
              </w:rPr>
            </w:pPr>
            <w:r w:rsidRPr="0066250F">
              <w:rPr>
                <w:noProof/>
                <w:sz w:val="20"/>
              </w:rPr>
              <w:t>4.57</w:t>
            </w:r>
          </w:p>
        </w:tc>
        <w:tc>
          <w:tcPr>
            <w:tcW w:w="822" w:type="dxa"/>
          </w:tcPr>
          <w:p w:rsidR="00CC44AA" w:rsidRPr="0066250F" w:rsidRDefault="00CC44AA" w:rsidP="0066250F">
            <w:pPr>
              <w:pStyle w:val="Tabletext"/>
              <w:jc w:val="center"/>
              <w:rPr>
                <w:noProof/>
                <w:sz w:val="20"/>
              </w:rPr>
            </w:pPr>
            <w:r w:rsidRPr="0066250F">
              <w:rPr>
                <w:noProof/>
                <w:sz w:val="20"/>
              </w:rPr>
              <w:t>4.31</w:t>
            </w:r>
          </w:p>
        </w:tc>
        <w:tc>
          <w:tcPr>
            <w:tcW w:w="822" w:type="dxa"/>
          </w:tcPr>
          <w:p w:rsidR="00CC44AA" w:rsidRPr="0066250F" w:rsidRDefault="00CC44AA" w:rsidP="0066250F">
            <w:pPr>
              <w:pStyle w:val="Tabletext"/>
              <w:jc w:val="center"/>
              <w:rPr>
                <w:noProof/>
                <w:sz w:val="20"/>
              </w:rPr>
            </w:pPr>
            <w:r w:rsidRPr="0066250F">
              <w:rPr>
                <w:noProof/>
                <w:sz w:val="20"/>
              </w:rPr>
              <w:t>4.11</w:t>
            </w:r>
          </w:p>
        </w:tc>
        <w:tc>
          <w:tcPr>
            <w:tcW w:w="822" w:type="dxa"/>
          </w:tcPr>
          <w:p w:rsidR="00CC44AA" w:rsidRPr="0066250F" w:rsidRDefault="00CC44AA" w:rsidP="0066250F">
            <w:pPr>
              <w:pStyle w:val="Tabletext"/>
              <w:jc w:val="center"/>
              <w:rPr>
                <w:noProof/>
                <w:sz w:val="20"/>
              </w:rPr>
            </w:pPr>
            <w:r w:rsidRPr="0066250F">
              <w:rPr>
                <w:noProof/>
                <w:sz w:val="20"/>
              </w:rPr>
              <w:t>3.78</w:t>
            </w:r>
          </w:p>
        </w:tc>
        <w:tc>
          <w:tcPr>
            <w:tcW w:w="823" w:type="dxa"/>
          </w:tcPr>
          <w:p w:rsidR="00CC44AA" w:rsidRPr="0066250F" w:rsidRDefault="00CC44AA" w:rsidP="0066250F">
            <w:pPr>
              <w:pStyle w:val="Tabletext"/>
              <w:jc w:val="center"/>
              <w:rPr>
                <w:noProof/>
                <w:sz w:val="20"/>
              </w:rPr>
            </w:pPr>
            <w:r w:rsidRPr="0066250F">
              <w:rPr>
                <w:noProof/>
                <w:sz w:val="20"/>
              </w:rPr>
              <w:t>3.49</w:t>
            </w:r>
          </w:p>
        </w:tc>
      </w:tr>
    </w:tbl>
    <w:p w:rsidR="0066250F" w:rsidRDefault="0066250F" w:rsidP="0066250F">
      <w:pPr>
        <w:pStyle w:val="Tablefin"/>
      </w:pPr>
    </w:p>
    <w:p w:rsidR="00CC44AA" w:rsidRDefault="00CC44AA" w:rsidP="001C638E">
      <w:pPr>
        <w:rPr>
          <w:lang w:val="en-US"/>
        </w:rPr>
      </w:pPr>
      <w:r>
        <w:rPr>
          <w:lang w:val="en-US"/>
        </w:rPr>
        <w:t>Therefore, the maximum admissible power at point A of Fig</w:t>
      </w:r>
      <w:r w:rsidR="001C638E">
        <w:rPr>
          <w:lang w:val="en-US"/>
        </w:rPr>
        <w:t>.</w:t>
      </w:r>
      <w:r>
        <w:rPr>
          <w:lang w:val="en-US"/>
        </w:rPr>
        <w:t xml:space="preserve"> 1 equ</w:t>
      </w:r>
      <w:r w:rsidRPr="00911D32">
        <w:rPr>
          <w:lang w:val="en-US"/>
        </w:rPr>
        <w:t xml:space="preserve">als </w:t>
      </w:r>
      <w:r w:rsidR="000D3CEE">
        <w:rPr>
          <w:lang w:val="en-US"/>
        </w:rPr>
        <w:t>–</w:t>
      </w:r>
      <w:r>
        <w:rPr>
          <w:lang w:val="en-US"/>
        </w:rPr>
        <w:t xml:space="preserve">176.8 </w:t>
      </w:r>
      <w:r w:rsidR="000D3CEE">
        <w:rPr>
          <w:lang w:val="en-US"/>
        </w:rPr>
        <w:t>+</w:t>
      </w:r>
      <w:r>
        <w:rPr>
          <w:lang w:val="en-US"/>
        </w:rPr>
        <w:t xml:space="preserve"> 1.6 (losses) </w:t>
      </w:r>
      <w:r w:rsidR="00E520C1">
        <w:rPr>
          <w:lang w:val="en-US"/>
        </w:rPr>
        <w:t xml:space="preserve">= </w:t>
      </w:r>
      <w:r w:rsidR="0066250F" w:rsidRPr="0066250F">
        <w:rPr>
          <w:lang w:val="en-US"/>
        </w:rPr>
        <w:t>−</w:t>
      </w:r>
      <w:r>
        <w:rPr>
          <w:lang w:val="en-US"/>
        </w:rPr>
        <w:t>175.2 dBW, taking into account the highest satellite nadir angle. As the pfd is required,</w:t>
      </w:r>
      <w:r w:rsidR="0066250F">
        <w:rPr>
          <w:lang w:val="en-US"/>
        </w:rPr>
        <w:t xml:space="preserve"> it is </w:t>
      </w:r>
      <w:r>
        <w:rPr>
          <w:lang w:val="en-US"/>
        </w:rPr>
        <w:t>necessary to transform this figure in dB(W/m</w:t>
      </w:r>
      <w:r w:rsidRPr="00CC44AA">
        <w:rPr>
          <w:vertAlign w:val="superscript"/>
          <w:lang w:val="en-US"/>
        </w:rPr>
        <w:t>2</w:t>
      </w:r>
      <w:r>
        <w:rPr>
          <w:lang w:val="en-US"/>
        </w:rPr>
        <w:t xml:space="preserve">). The equivalent surface area of an antenna having a gain </w:t>
      </w:r>
      <w:r>
        <w:rPr>
          <w:i/>
          <w:iCs/>
          <w:lang w:val="en-US"/>
        </w:rPr>
        <w:t>G</w:t>
      </w:r>
      <w:r>
        <w:rPr>
          <w:lang w:val="en-US"/>
        </w:rPr>
        <w:t xml:space="preserve"> is </w:t>
      </w:r>
      <w:r w:rsidR="00E520C1" w:rsidRPr="0066250F">
        <w:rPr>
          <w:position w:val="-22"/>
          <w:lang w:val="en-US"/>
        </w:rPr>
        <w:object w:dxaOrig="940" w:dyaOrig="620">
          <v:shape id="_x0000_i1029" type="#_x0000_t75" style="width:46.5pt;height:30.75pt" o:ole="">
            <v:imagedata r:id="rId21" o:title=""/>
          </v:shape>
          <o:OLEObject Type="Embed" ProgID="Equation.3" ShapeID="_x0000_i1029" DrawAspect="Content" ObjectID="_1598445410" r:id="rId22"/>
        </w:object>
      </w:r>
      <w:r>
        <w:rPr>
          <w:lang w:val="en-US"/>
        </w:rPr>
        <w:t xml:space="preserve"> corresponding to the highest satellite nadir angle. Therefore, the corresponding pfd </w:t>
      </w:r>
      <w:r w:rsidRPr="00E520C1">
        <w:rPr>
          <w:lang w:val="en-US"/>
        </w:rPr>
        <w:t xml:space="preserve">equals </w:t>
      </w:r>
      <w:r w:rsidR="00911D32" w:rsidRPr="00E520C1">
        <w:rPr>
          <w:rFonts w:hint="eastAsia"/>
          <w:lang w:val="en-US"/>
        </w:rPr>
        <w:t>–</w:t>
      </w:r>
      <w:r>
        <w:rPr>
          <w:lang w:val="en-US"/>
        </w:rPr>
        <w:t>175.2 </w:t>
      </w:r>
      <w:r w:rsidR="00911D32">
        <w:rPr>
          <w:lang w:val="en-US"/>
        </w:rPr>
        <w:t>–</w:t>
      </w:r>
      <w:r>
        <w:rPr>
          <w:lang w:val="en-US"/>
        </w:rPr>
        <w:t> 10 log</w:t>
      </w:r>
      <w:r>
        <w:rPr>
          <w:position w:val="-4"/>
          <w:sz w:val="16"/>
          <w:lang w:val="en-US"/>
        </w:rPr>
        <w:t>10</w:t>
      </w:r>
      <w:r>
        <w:rPr>
          <w:i/>
          <w:iCs/>
          <w:lang w:val="en-US"/>
        </w:rPr>
        <w:t>S</w:t>
      </w:r>
      <w:r w:rsidRPr="00E520C1">
        <w:rPr>
          <w:lang w:val="en-US"/>
        </w:rPr>
        <w:t> </w:t>
      </w:r>
      <w:r w:rsidR="00911D32" w:rsidRPr="00E520C1">
        <w:rPr>
          <w:lang w:val="en-US"/>
        </w:rPr>
        <w:t>=</w:t>
      </w:r>
      <w:r w:rsidRPr="00E520C1">
        <w:rPr>
          <w:lang w:val="en-US"/>
        </w:rPr>
        <w:t> </w:t>
      </w:r>
      <w:r w:rsidR="00E520C1">
        <w:rPr>
          <w:lang w:val="en-US"/>
        </w:rPr>
        <w:t>−</w:t>
      </w:r>
      <w:r w:rsidRPr="00E520C1">
        <w:rPr>
          <w:lang w:val="en-US"/>
        </w:rPr>
        <w:t>165</w:t>
      </w:r>
      <w:r>
        <w:rPr>
          <w:lang w:val="en-US"/>
        </w:rPr>
        <w:t>.4 dB(W/m</w:t>
      </w:r>
      <w:r w:rsidRPr="00CC44AA">
        <w:rPr>
          <w:vertAlign w:val="superscript"/>
          <w:lang w:val="en-US"/>
        </w:rPr>
        <w:t>2</w:t>
      </w:r>
      <w:r>
        <w:rPr>
          <w:lang w:val="en-US"/>
        </w:rPr>
        <w:t>).</w:t>
      </w:r>
    </w:p>
    <w:p w:rsidR="00CC44AA" w:rsidRPr="00CC44AA" w:rsidRDefault="00CC44AA" w:rsidP="00EF6E99">
      <w:pPr>
        <w:pStyle w:val="Heading1"/>
        <w:rPr>
          <w:lang w:val="en-US"/>
        </w:rPr>
      </w:pPr>
      <w:r w:rsidRPr="00CC44AA">
        <w:rPr>
          <w:lang w:val="en-US"/>
        </w:rPr>
        <w:t>4</w:t>
      </w:r>
      <w:r w:rsidRPr="00CC44AA">
        <w:rPr>
          <w:lang w:val="en-US"/>
        </w:rPr>
        <w:tab/>
        <w:t>Conclusion</w:t>
      </w:r>
    </w:p>
    <w:p w:rsidR="00CC44AA" w:rsidRDefault="00CC44AA" w:rsidP="00E520C1">
      <w:pPr>
        <w:keepNext/>
        <w:keepLines/>
        <w:rPr>
          <w:lang w:val="en-US"/>
        </w:rPr>
      </w:pPr>
      <w:r>
        <w:rPr>
          <w:lang w:val="en-US"/>
        </w:rPr>
        <w:t>Following the above computations, the conclusions and recommendations regarding the impact of the aggregation of spectral narrow-band interference emissions, should not exceed</w:t>
      </w:r>
      <w:r w:rsidRPr="00EF6E99">
        <w:rPr>
          <w:lang w:val="en-US"/>
        </w:rPr>
        <w:t xml:space="preserve"> </w:t>
      </w:r>
      <w:r w:rsidR="00E520C1">
        <w:rPr>
          <w:lang w:val="en-US"/>
        </w:rPr>
        <w:t>−</w:t>
      </w:r>
      <w:r w:rsidR="00EF6E99">
        <w:rPr>
          <w:lang w:val="en-US"/>
        </w:rPr>
        <w:t>165.4 </w:t>
      </w:r>
      <w:r>
        <w:rPr>
          <w:lang w:val="en-US"/>
        </w:rPr>
        <w:t>dB(W/m</w:t>
      </w:r>
      <w:r>
        <w:rPr>
          <w:vertAlign w:val="superscript"/>
          <w:lang w:val="en-US"/>
        </w:rPr>
        <w:t>2</w:t>
      </w:r>
      <w:r>
        <w:rPr>
          <w:lang w:val="en-US"/>
        </w:rPr>
        <w:t>) at the input of the ARGOS antenna for the frequency band 401-401.69 MHz, within a resolution bandwidth of 19 Hz.</w:t>
      </w:r>
    </w:p>
    <w:p w:rsidR="00CC44AA" w:rsidRPr="00CC44AA" w:rsidRDefault="00CC44AA" w:rsidP="00CC44AA">
      <w:pPr>
        <w:spacing w:before="720"/>
        <w:jc w:val="center"/>
        <w:rPr>
          <w:lang w:val="en-US" w:eastAsia="zh-CN"/>
        </w:rPr>
      </w:pPr>
      <w:r>
        <w:rPr>
          <w:lang w:val="en-US" w:eastAsia="zh-CN"/>
        </w:rPr>
        <w:t>______________</w:t>
      </w:r>
    </w:p>
    <w:sectPr w:rsidR="00CC44AA" w:rsidRPr="00CC44A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0D1" w:rsidRDefault="007270D1">
      <w:r>
        <w:separator/>
      </w:r>
    </w:p>
  </w:footnote>
  <w:footnote w:type="continuationSeparator" w:id="0">
    <w:p w:rsidR="007270D1" w:rsidRDefault="00727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9C5417" w:rsidP="00B033C8">
    <w:pPr>
      <w:pStyle w:val="Header"/>
      <w:ind w:right="360" w:firstLine="360"/>
    </w:pPr>
    <w:r>
      <w:rPr>
        <w:noProof/>
        <w:lang w:val="en-GB"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E727E8">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030432">
      <w:rPr>
        <w:rStyle w:val="PageNumber"/>
        <w:b/>
        <w:bCs/>
        <w:noProof/>
        <w:lang w:val="en-US"/>
      </w:rPr>
      <w:t>4</w:t>
    </w:r>
    <w:r>
      <w:rPr>
        <w:rStyle w:val="PageNumber"/>
        <w:b/>
        <w:bCs/>
      </w:rPr>
      <w:fldChar w:fldCharType="end"/>
    </w:r>
    <w:r w:rsidR="001B164E">
      <w:rPr>
        <w:lang w:val="en-US"/>
      </w:rPr>
      <w:tab/>
    </w:r>
    <w:r w:rsidR="00030432">
      <w:rPr>
        <w:b/>
        <w:bCs/>
        <w:lang w:val="en-US"/>
      </w:rPr>
      <w:fldChar w:fldCharType="begin"/>
    </w:r>
    <w:r w:rsidR="00030432">
      <w:rPr>
        <w:b/>
        <w:bCs/>
        <w:lang w:val="en-US"/>
      </w:rPr>
      <w:instrText xml:space="preserve"> DOCPROPERTY "Header" \* MERGEFORMAT </w:instrText>
    </w:r>
    <w:r w:rsidR="00030432">
      <w:rPr>
        <w:b/>
        <w:bCs/>
        <w:lang w:val="en-US"/>
      </w:rPr>
      <w:fldChar w:fldCharType="separate"/>
    </w:r>
    <w:r w:rsidR="00030432">
      <w:rPr>
        <w:b/>
        <w:bCs/>
        <w:lang w:val="en-US"/>
      </w:rPr>
      <w:t xml:space="preserve">Rec. </w:t>
    </w:r>
    <w:r w:rsidR="00030432">
      <w:rPr>
        <w:b/>
        <w:bCs/>
        <w:lang w:val="en-US"/>
      </w:rPr>
      <w:fldChar w:fldCharType="end"/>
    </w:r>
    <w:r w:rsidR="001B164E">
      <w:rPr>
        <w:b/>
        <w:bCs/>
      </w:rPr>
      <w:t xml:space="preserve"> </w:t>
    </w:r>
    <w:r>
      <w:rPr>
        <w:b/>
        <w:bCs/>
      </w:rPr>
      <w:fldChar w:fldCharType="begin"/>
    </w:r>
    <w:r w:rsidR="001B164E">
      <w:rPr>
        <w:b/>
        <w:bCs/>
        <w:lang w:val="en-US"/>
      </w:rPr>
      <w:instrText>styleref href</w:instrText>
    </w:r>
    <w:r>
      <w:rPr>
        <w:b/>
        <w:bCs/>
      </w:rPr>
      <w:fldChar w:fldCharType="separate"/>
    </w:r>
    <w:r w:rsidR="00030432">
      <w:rPr>
        <w:b/>
        <w:bCs/>
        <w:noProof/>
      </w:rPr>
      <w:t>ITU-R  SA.2044-0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pPr>
    <w:r>
      <w:tab/>
    </w:r>
    <w:r w:rsidR="00030432">
      <w:rPr>
        <w:b/>
        <w:bCs/>
      </w:rPr>
      <w:fldChar w:fldCharType="begin"/>
    </w:r>
    <w:r w:rsidR="00030432">
      <w:rPr>
        <w:b/>
        <w:bCs/>
      </w:rPr>
      <w:instrText xml:space="preserve"> DOCPROPERTY "Header" \* MERGEFORMAT </w:instrText>
    </w:r>
    <w:r w:rsidR="00030432">
      <w:rPr>
        <w:b/>
        <w:bCs/>
      </w:rPr>
      <w:fldChar w:fldCharType="separate"/>
    </w:r>
    <w:r w:rsidR="00030432">
      <w:rPr>
        <w:b/>
        <w:bCs/>
      </w:rPr>
      <w:t xml:space="preserve">Rec. </w:t>
    </w:r>
    <w:r w:rsidR="00030432">
      <w:rPr>
        <w:b/>
        <w:bCs/>
      </w:rPr>
      <w:fldChar w:fldCharType="end"/>
    </w:r>
    <w:r>
      <w:rPr>
        <w:b/>
        <w:bCs/>
      </w:rPr>
      <w:t xml:space="preserve"> </w:t>
    </w:r>
    <w:r w:rsidR="00E727E8">
      <w:rPr>
        <w:b/>
        <w:bCs/>
      </w:rPr>
      <w:fldChar w:fldCharType="begin"/>
    </w:r>
    <w:r>
      <w:rPr>
        <w:b/>
        <w:bCs/>
      </w:rPr>
      <w:instrText>styleref href</w:instrText>
    </w:r>
    <w:r w:rsidR="00E727E8">
      <w:rPr>
        <w:b/>
        <w:bCs/>
      </w:rPr>
      <w:fldChar w:fldCharType="separate"/>
    </w:r>
    <w:r w:rsidR="00030432">
      <w:rPr>
        <w:b/>
        <w:bCs/>
        <w:noProof/>
      </w:rPr>
      <w:t>ITU-R  SA.2044-0</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030432">
      <w:rPr>
        <w:rStyle w:val="PageNumber"/>
        <w:b/>
        <w:bCs/>
        <w:noProof/>
      </w:rPr>
      <w:t>5</w:t>
    </w:r>
    <w:r w:rsidR="00E727E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0432"/>
    <w:rsid w:val="00036EE3"/>
    <w:rsid w:val="00052EF8"/>
    <w:rsid w:val="00072484"/>
    <w:rsid w:val="00095530"/>
    <w:rsid w:val="00096612"/>
    <w:rsid w:val="000B7683"/>
    <w:rsid w:val="000D0677"/>
    <w:rsid w:val="000D3CEE"/>
    <w:rsid w:val="000E6A6E"/>
    <w:rsid w:val="000F5D85"/>
    <w:rsid w:val="00102934"/>
    <w:rsid w:val="00115E1E"/>
    <w:rsid w:val="00147110"/>
    <w:rsid w:val="001511A6"/>
    <w:rsid w:val="001922D2"/>
    <w:rsid w:val="001B164E"/>
    <w:rsid w:val="001B7886"/>
    <w:rsid w:val="001C638E"/>
    <w:rsid w:val="001F38BB"/>
    <w:rsid w:val="002058CE"/>
    <w:rsid w:val="002165F1"/>
    <w:rsid w:val="00276D21"/>
    <w:rsid w:val="00296D7F"/>
    <w:rsid w:val="002B3CF6"/>
    <w:rsid w:val="002C7567"/>
    <w:rsid w:val="002C768A"/>
    <w:rsid w:val="002D76C4"/>
    <w:rsid w:val="002F5199"/>
    <w:rsid w:val="00331CF4"/>
    <w:rsid w:val="00356B5D"/>
    <w:rsid w:val="003831DE"/>
    <w:rsid w:val="00391D74"/>
    <w:rsid w:val="003B3AD6"/>
    <w:rsid w:val="003E3C5A"/>
    <w:rsid w:val="003E5917"/>
    <w:rsid w:val="00420DFD"/>
    <w:rsid w:val="00437A76"/>
    <w:rsid w:val="00456BDA"/>
    <w:rsid w:val="00470E28"/>
    <w:rsid w:val="004934C5"/>
    <w:rsid w:val="005101AA"/>
    <w:rsid w:val="00556548"/>
    <w:rsid w:val="00586EF8"/>
    <w:rsid w:val="005B49AB"/>
    <w:rsid w:val="005B50E7"/>
    <w:rsid w:val="005E7B4F"/>
    <w:rsid w:val="00601882"/>
    <w:rsid w:val="006037C2"/>
    <w:rsid w:val="00607D68"/>
    <w:rsid w:val="00613212"/>
    <w:rsid w:val="006149B1"/>
    <w:rsid w:val="0064467C"/>
    <w:rsid w:val="0066250F"/>
    <w:rsid w:val="00680D2B"/>
    <w:rsid w:val="00681B32"/>
    <w:rsid w:val="00693A32"/>
    <w:rsid w:val="006B1D2B"/>
    <w:rsid w:val="006E1131"/>
    <w:rsid w:val="006E2037"/>
    <w:rsid w:val="006E6199"/>
    <w:rsid w:val="00712870"/>
    <w:rsid w:val="007270D1"/>
    <w:rsid w:val="00743D85"/>
    <w:rsid w:val="00750FB8"/>
    <w:rsid w:val="00753CF4"/>
    <w:rsid w:val="007565CC"/>
    <w:rsid w:val="00763B9A"/>
    <w:rsid w:val="007A6AA8"/>
    <w:rsid w:val="007B1357"/>
    <w:rsid w:val="0081070A"/>
    <w:rsid w:val="008310C9"/>
    <w:rsid w:val="00853CC5"/>
    <w:rsid w:val="008C7848"/>
    <w:rsid w:val="00906589"/>
    <w:rsid w:val="00906AD6"/>
    <w:rsid w:val="00911D32"/>
    <w:rsid w:val="00917AF2"/>
    <w:rsid w:val="0092418A"/>
    <w:rsid w:val="00934ED7"/>
    <w:rsid w:val="0094147C"/>
    <w:rsid w:val="009543C3"/>
    <w:rsid w:val="009644FE"/>
    <w:rsid w:val="00966E1B"/>
    <w:rsid w:val="009947C0"/>
    <w:rsid w:val="009C5417"/>
    <w:rsid w:val="009F2D2C"/>
    <w:rsid w:val="00A31928"/>
    <w:rsid w:val="00A34BB4"/>
    <w:rsid w:val="00A4173A"/>
    <w:rsid w:val="00A62A14"/>
    <w:rsid w:val="00A6617B"/>
    <w:rsid w:val="00A71FE5"/>
    <w:rsid w:val="00A971A1"/>
    <w:rsid w:val="00AA3AD8"/>
    <w:rsid w:val="00AB0DC8"/>
    <w:rsid w:val="00B033C8"/>
    <w:rsid w:val="00B33425"/>
    <w:rsid w:val="00B44E24"/>
    <w:rsid w:val="00B54ECC"/>
    <w:rsid w:val="00B60AC0"/>
    <w:rsid w:val="00B714F3"/>
    <w:rsid w:val="00B848D8"/>
    <w:rsid w:val="00B87B6B"/>
    <w:rsid w:val="00BC5D77"/>
    <w:rsid w:val="00BF34E7"/>
    <w:rsid w:val="00BF487A"/>
    <w:rsid w:val="00C46BD9"/>
    <w:rsid w:val="00C55258"/>
    <w:rsid w:val="00C73560"/>
    <w:rsid w:val="00CB0F14"/>
    <w:rsid w:val="00CC44AA"/>
    <w:rsid w:val="00CD659B"/>
    <w:rsid w:val="00CE0A43"/>
    <w:rsid w:val="00D61962"/>
    <w:rsid w:val="00D83556"/>
    <w:rsid w:val="00DF4176"/>
    <w:rsid w:val="00E17240"/>
    <w:rsid w:val="00E332F9"/>
    <w:rsid w:val="00E362E8"/>
    <w:rsid w:val="00E520C1"/>
    <w:rsid w:val="00E727E8"/>
    <w:rsid w:val="00E74595"/>
    <w:rsid w:val="00EB7C57"/>
    <w:rsid w:val="00ED2695"/>
    <w:rsid w:val="00EE04BA"/>
    <w:rsid w:val="00EF6E99"/>
    <w:rsid w:val="00F30C9B"/>
    <w:rsid w:val="00F354B1"/>
    <w:rsid w:val="00F47853"/>
    <w:rsid w:val="00F92A4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31745">
      <o:colormru v:ext="edit" colors="#d62a47"/>
      <o:colormenu v:ext="edit" strokecolor="#d62a47"/>
    </o:shapedefaults>
    <o:shapelayout v:ext="edit">
      <o:idmap v:ext="edit" data="1"/>
    </o:shapelayout>
  </w:shapeDefaults>
  <w:decimalSymbol w:val="."/>
  <w:listSeparator w:val=","/>
  <w15:docId w15:val="{D033F9B7-F392-4489-A6C4-D340E4BCF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4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link w:val="enumlev1Char"/>
    <w:uiPriority w:val="99"/>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uiPriority w:val="99"/>
    <w:rsid w:val="00391D74"/>
    <w:pPr>
      <w:jc w:val="right"/>
    </w:pPr>
  </w:style>
  <w:style w:type="paragraph" w:customStyle="1" w:styleId="HeadingSum">
    <w:name w:val="Heading_Sum"/>
    <w:basedOn w:val="Headingb"/>
    <w:next w:val="Normal"/>
    <w:autoRedefine/>
    <w:rsid w:val="00391D74"/>
    <w:pPr>
      <w:spacing w:before="240"/>
    </w:pPr>
    <w:rPr>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91D74"/>
    <w:pPr>
      <w:keepNext/>
      <w:spacing w:before="360" w:after="120"/>
      <w:jc w:val="center"/>
    </w:p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391D74"/>
    <w:pPr>
      <w:keepNext/>
      <w:keepLines/>
      <w:spacing w:before="480" w:after="80"/>
      <w:jc w:val="center"/>
    </w:pPr>
    <w:rPr>
      <w:caps/>
      <w:sz w:val="18"/>
    </w:rPr>
  </w:style>
  <w:style w:type="paragraph" w:customStyle="1" w:styleId="Figuretitle">
    <w:name w:val="Figure_title"/>
    <w:basedOn w:val="Normal"/>
    <w:next w:val="Figure"/>
    <w:uiPriority w:val="99"/>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semiHidden/>
    <w:rsid w:val="00391D74"/>
    <w:rPr>
      <w:position w:val="6"/>
      <w:sz w:val="18"/>
    </w:rPr>
  </w:style>
  <w:style w:type="paragraph" w:styleId="FootnoteText">
    <w:name w:val="footnote text"/>
    <w:basedOn w:val="Normal"/>
    <w:semiHidden/>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link w:val="TabletitleChar"/>
    <w:uiPriority w:val="99"/>
    <w:rsid w:val="00391D74"/>
    <w:pPr>
      <w:keepNext/>
      <w:spacing w:before="0" w:after="120"/>
      <w:jc w:val="center"/>
    </w:pPr>
    <w:rPr>
      <w:b/>
    </w:rPr>
  </w:style>
  <w:style w:type="paragraph" w:customStyle="1" w:styleId="Summary">
    <w:name w:val="Summary"/>
    <w:basedOn w:val="Normal"/>
    <w:next w:val="Normalaftertitle"/>
    <w:autoRedefine/>
    <w:rsid w:val="005101AA"/>
    <w:pPr>
      <w:spacing w:after="480"/>
    </w:pPr>
    <w:rPr>
      <w:szCs w:val="22"/>
      <w:lang w:val="en-US"/>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AnnexNo">
    <w:name w:val="Annex_No"/>
    <w:basedOn w:val="Normal"/>
    <w:next w:val="Normal"/>
    <w:link w:val="AnnexNoChar"/>
    <w:uiPriority w:val="99"/>
    <w:rsid w:val="00CC44A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C44A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link w:val="enumlev1"/>
    <w:uiPriority w:val="99"/>
    <w:locked/>
    <w:rsid w:val="00CC44AA"/>
    <w:rPr>
      <w:sz w:val="24"/>
      <w:lang w:val="fr-FR" w:eastAsia="en-US"/>
    </w:rPr>
  </w:style>
  <w:style w:type="character" w:customStyle="1" w:styleId="TableNoChar">
    <w:name w:val="Table_No Char"/>
    <w:link w:val="TableNo"/>
    <w:uiPriority w:val="99"/>
    <w:locked/>
    <w:rsid w:val="00CC44AA"/>
    <w:rPr>
      <w:sz w:val="24"/>
      <w:lang w:val="fr-FR" w:eastAsia="en-US"/>
    </w:rPr>
  </w:style>
  <w:style w:type="character" w:customStyle="1" w:styleId="TabletitleChar">
    <w:name w:val="Table_title Char"/>
    <w:link w:val="Tabletitle"/>
    <w:uiPriority w:val="99"/>
    <w:locked/>
    <w:rsid w:val="00CC44AA"/>
    <w:rPr>
      <w:b/>
      <w:sz w:val="24"/>
      <w:lang w:val="fr-FR" w:eastAsia="en-US"/>
    </w:rPr>
  </w:style>
  <w:style w:type="character" w:customStyle="1" w:styleId="AnnexNoChar">
    <w:name w:val="Annex_No Char"/>
    <w:link w:val="AnnexNo"/>
    <w:uiPriority w:val="99"/>
    <w:locked/>
    <w:rsid w:val="00CC44AA"/>
    <w:rPr>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58</TotalTime>
  <Pages>7</Pages>
  <Words>1825</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Al-Yammouni, Hala</cp:lastModifiedBy>
  <cp:revision>25</cp:revision>
  <cp:lastPrinted>2018-09-14T13:46:00Z</cp:lastPrinted>
  <dcterms:created xsi:type="dcterms:W3CDTF">2013-11-26T16:16:00Z</dcterms:created>
  <dcterms:modified xsi:type="dcterms:W3CDTF">2018-09-14T13:47:00Z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