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tbl>
      <w:tblPr>
        <w:tblW w:w="10089" w:type="dxa"/>
        <w:tblLook w:val="01E0" w:firstRow="1" w:lastRow="1" w:firstColumn="1" w:lastColumn="1" w:noHBand="0" w:noVBand="0"/>
      </w:tblPr>
      <w:tblGrid>
        <w:gridCol w:w="10089"/>
      </w:tblGrid>
      <w:tr w:rsidR="00F43BC1" w:rsidRPr="00A443C2" w:rsidTr="002C14E3">
        <w:tc>
          <w:tcPr>
            <w:tcW w:w="10089" w:type="dxa"/>
          </w:tcPr>
          <w:p w:rsidR="00F43BC1" w:rsidRPr="00B033C8" w:rsidRDefault="00F43BC1" w:rsidP="002C14E3">
            <w:pPr>
              <w:spacing w:before="380" w:line="280" w:lineRule="exact"/>
              <w:jc w:val="right"/>
              <w:rPr>
                <w:rFonts w:ascii="Tahoma" w:hAnsi="Tahoma" w:cs="Tahoma"/>
                <w:b/>
                <w:bCs/>
                <w:iCs/>
                <w:color w:val="243285"/>
                <w:sz w:val="32"/>
                <w:szCs w:val="32"/>
                <w:lang w:val="en-US"/>
              </w:rPr>
            </w:pPr>
          </w:p>
          <w:p w:rsidR="00F43BC1" w:rsidRPr="00A443C2" w:rsidRDefault="00F43BC1" w:rsidP="009053A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9053AD">
              <w:rPr>
                <w:rFonts w:ascii="Tahoma" w:hAnsi="Tahoma" w:cs="Tahoma"/>
                <w:b/>
                <w:bCs/>
                <w:iCs/>
                <w:color w:val="243285"/>
                <w:sz w:val="36"/>
                <w:szCs w:val="36"/>
              </w:rPr>
              <w:t>2044</w:t>
            </w:r>
            <w:r w:rsidR="00125FBB">
              <w:rPr>
                <w:rFonts w:ascii="Tahoma" w:hAnsi="Tahoma" w:cs="Tahoma"/>
                <w:b/>
                <w:bCs/>
                <w:iCs/>
                <w:color w:val="243285"/>
                <w:sz w:val="36"/>
                <w:szCs w:val="36"/>
              </w:rPr>
              <w:t>-0</w:t>
            </w:r>
          </w:p>
          <w:p w:rsidR="00F43BC1" w:rsidRPr="00A443C2" w:rsidRDefault="00F43BC1" w:rsidP="0029088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751F87">
              <w:rPr>
                <w:rFonts w:ascii="Tahoma" w:hAnsi="Tahoma" w:cs="Tahoma"/>
                <w:b/>
                <w:bCs/>
                <w:iCs/>
                <w:color w:val="243285"/>
                <w:szCs w:val="24"/>
              </w:rPr>
              <w:t>12</w:t>
            </w:r>
            <w:r w:rsidRPr="00A443C2">
              <w:rPr>
                <w:rFonts w:ascii="Tahoma" w:hAnsi="Tahoma" w:cs="Tahoma"/>
                <w:b/>
                <w:bCs/>
                <w:iCs/>
                <w:color w:val="243285"/>
                <w:szCs w:val="24"/>
              </w:rPr>
              <w:t>/</w:t>
            </w:r>
            <w:r w:rsidR="00751F87">
              <w:rPr>
                <w:rFonts w:ascii="Tahoma" w:hAnsi="Tahoma" w:cs="Tahoma"/>
                <w:b/>
                <w:bCs/>
                <w:iCs/>
                <w:color w:val="243285"/>
                <w:szCs w:val="24"/>
              </w:rPr>
              <w:t>20</w:t>
            </w:r>
            <w:r w:rsidR="0029088D">
              <w:rPr>
                <w:rFonts w:ascii="Tahoma" w:hAnsi="Tahoma" w:cs="Tahoma"/>
                <w:b/>
                <w:bCs/>
                <w:iCs/>
                <w:color w:val="243285"/>
                <w:szCs w:val="24"/>
              </w:rPr>
              <w:t>1</w:t>
            </w:r>
            <w:bookmarkStart w:id="0" w:name="_GoBack"/>
            <w:bookmarkEnd w:id="0"/>
            <w:r w:rsidR="00751F87">
              <w:rPr>
                <w:rFonts w:ascii="Tahoma" w:hAnsi="Tahoma" w:cs="Tahoma"/>
                <w:b/>
                <w:bCs/>
                <w:iCs/>
                <w:color w:val="243285"/>
                <w:szCs w:val="24"/>
              </w:rPr>
              <w:t>3</w:t>
            </w:r>
            <w:r w:rsidRPr="00A443C2">
              <w:rPr>
                <w:rFonts w:ascii="Tahoma" w:hAnsi="Tahoma" w:cs="Tahoma"/>
                <w:b/>
                <w:bCs/>
                <w:iCs/>
                <w:color w:val="243285"/>
                <w:szCs w:val="24"/>
              </w:rPr>
              <w:t>)</w:t>
            </w:r>
          </w:p>
        </w:tc>
      </w:tr>
      <w:tr w:rsidR="00F43BC1" w:rsidRPr="00F54FBD" w:rsidTr="002C14E3">
        <w:tc>
          <w:tcPr>
            <w:tcW w:w="10089" w:type="dxa"/>
          </w:tcPr>
          <w:p w:rsidR="00F43BC1" w:rsidRDefault="00F43BC1" w:rsidP="002C14E3">
            <w:pPr>
              <w:spacing w:before="80" w:line="500" w:lineRule="exact"/>
              <w:jc w:val="right"/>
              <w:rPr>
                <w:rFonts w:ascii="Tahoma" w:hAnsi="Tahoma" w:cs="Tahoma"/>
                <w:b/>
                <w:bCs/>
                <w:iCs/>
                <w:color w:val="243285"/>
                <w:sz w:val="44"/>
                <w:szCs w:val="44"/>
              </w:rPr>
            </w:pPr>
          </w:p>
          <w:p w:rsidR="00F43BC1" w:rsidRDefault="0014121B" w:rsidP="0014121B">
            <w:pPr>
              <w:spacing w:before="80" w:line="500" w:lineRule="exact"/>
              <w:jc w:val="right"/>
              <w:rPr>
                <w:rFonts w:ascii="Tahoma" w:hAnsi="Tahoma" w:cs="Tahoma"/>
                <w:b/>
                <w:bCs/>
                <w:iCs/>
                <w:color w:val="243285"/>
                <w:sz w:val="44"/>
                <w:szCs w:val="44"/>
              </w:rPr>
            </w:pPr>
            <w:r w:rsidRPr="0014121B">
              <w:rPr>
                <w:rFonts w:ascii="Tahoma" w:hAnsi="Tahoma" w:cs="Tahoma"/>
                <w:b/>
                <w:bCs/>
                <w:iCs/>
                <w:color w:val="243285"/>
                <w:sz w:val="44"/>
                <w:szCs w:val="44"/>
              </w:rPr>
              <w:t xml:space="preserve">Critères de protection aux plates-formes </w:t>
            </w:r>
            <w:r>
              <w:rPr>
                <w:rFonts w:ascii="Tahoma" w:hAnsi="Tahoma" w:cs="Tahoma"/>
                <w:b/>
                <w:bCs/>
                <w:iCs/>
                <w:color w:val="243285"/>
                <w:sz w:val="44"/>
                <w:szCs w:val="44"/>
              </w:rPr>
              <w:br/>
            </w:r>
            <w:r w:rsidRPr="0014121B">
              <w:rPr>
                <w:rFonts w:ascii="Tahoma" w:hAnsi="Tahoma" w:cs="Tahoma"/>
                <w:b/>
                <w:bCs/>
                <w:iCs/>
                <w:color w:val="243285"/>
                <w:sz w:val="44"/>
                <w:szCs w:val="44"/>
              </w:rPr>
              <w:t xml:space="preserve">de collecte de données par satellite non géostationnaire dans </w:t>
            </w:r>
            <w:r>
              <w:rPr>
                <w:rFonts w:ascii="Tahoma" w:hAnsi="Tahoma" w:cs="Tahoma"/>
                <w:b/>
                <w:bCs/>
                <w:iCs/>
                <w:color w:val="243285"/>
                <w:sz w:val="44"/>
                <w:szCs w:val="44"/>
              </w:rPr>
              <w:br/>
            </w:r>
            <w:r w:rsidRPr="0014121B">
              <w:rPr>
                <w:rFonts w:ascii="Tahoma" w:hAnsi="Tahoma" w:cs="Tahoma"/>
                <w:b/>
                <w:bCs/>
                <w:iCs/>
                <w:color w:val="243285"/>
                <w:sz w:val="44"/>
                <w:szCs w:val="44"/>
              </w:rPr>
              <w:t>la bande 401-403 MHz</w:t>
            </w:r>
          </w:p>
          <w:p w:rsidR="00F43BC1" w:rsidRPr="00F54FBD" w:rsidRDefault="00F43BC1" w:rsidP="002C14E3">
            <w:pPr>
              <w:spacing w:before="80" w:line="500" w:lineRule="exact"/>
              <w:jc w:val="right"/>
              <w:rPr>
                <w:rFonts w:ascii="Tahoma" w:hAnsi="Tahoma" w:cs="Tahoma"/>
                <w:b/>
                <w:bCs/>
                <w:iCs/>
                <w:color w:val="243285"/>
                <w:sz w:val="44"/>
                <w:szCs w:val="44"/>
              </w:rPr>
            </w:pPr>
          </w:p>
        </w:tc>
      </w:tr>
      <w:tr w:rsidR="00F43BC1" w:rsidRPr="00F54FBD" w:rsidTr="002C14E3">
        <w:tc>
          <w:tcPr>
            <w:tcW w:w="10089" w:type="dxa"/>
          </w:tcPr>
          <w:p w:rsidR="00F43BC1" w:rsidRPr="00F54FBD" w:rsidRDefault="00F43BC1" w:rsidP="002C14E3">
            <w:pPr>
              <w:spacing w:before="80" w:line="280" w:lineRule="exact"/>
              <w:ind w:right="640"/>
              <w:rPr>
                <w:rFonts w:ascii="Tahoma" w:hAnsi="Tahoma" w:cs="Tahoma"/>
                <w:b/>
                <w:bCs/>
                <w:iCs/>
                <w:color w:val="243285"/>
                <w:sz w:val="32"/>
                <w:szCs w:val="32"/>
              </w:rPr>
            </w:pPr>
          </w:p>
          <w:p w:rsidR="00F43BC1" w:rsidRPr="00F54FBD" w:rsidRDefault="00F43BC1" w:rsidP="002C14E3">
            <w:pPr>
              <w:spacing w:before="80" w:line="280" w:lineRule="exact"/>
              <w:ind w:right="640"/>
              <w:rPr>
                <w:rFonts w:ascii="Tahoma" w:hAnsi="Tahoma" w:cs="Tahoma"/>
                <w:b/>
                <w:bCs/>
                <w:iCs/>
                <w:color w:val="243285"/>
                <w:sz w:val="32"/>
                <w:szCs w:val="32"/>
              </w:rPr>
            </w:pPr>
          </w:p>
          <w:p w:rsidR="00F43BC1" w:rsidRPr="00F54FBD" w:rsidRDefault="00F43BC1" w:rsidP="002C14E3">
            <w:pPr>
              <w:spacing w:before="80" w:after="180" w:line="360" w:lineRule="exact"/>
              <w:ind w:right="720"/>
              <w:rPr>
                <w:rFonts w:ascii="Tahoma" w:hAnsi="Tahoma" w:cs="Tahoma"/>
                <w:b/>
                <w:bCs/>
                <w:iCs/>
                <w:color w:val="243285"/>
                <w:sz w:val="36"/>
                <w:szCs w:val="36"/>
              </w:rPr>
            </w:pPr>
          </w:p>
          <w:p w:rsidR="00F43BC1" w:rsidRPr="00F54FBD" w:rsidRDefault="00F43BC1" w:rsidP="002C14E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F43BC1" w:rsidRPr="00F54FBD" w:rsidRDefault="00F43BC1" w:rsidP="002C14E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pStyle w:val="Equation"/>
        <w:tabs>
          <w:tab w:val="clear" w:pos="4820"/>
          <w:tab w:val="clear" w:pos="9639"/>
          <w:tab w:val="left" w:pos="1191"/>
          <w:tab w:val="left" w:pos="1588"/>
          <w:tab w:val="left" w:pos="1985"/>
        </w:tabs>
        <w:rPr>
          <w:rFonts w:ascii="Palatino Linotype" w:hAnsi="Palatino Linotype"/>
        </w:rPr>
        <w:sectPr w:rsidR="00F43BC1" w:rsidRPr="00F54FBD">
          <w:headerReference w:type="even" r:id="rId6"/>
          <w:headerReference w:type="default" r:id="rId7"/>
          <w:pgSz w:w="11907" w:h="16840" w:code="9"/>
          <w:pgMar w:top="1089" w:right="1089" w:bottom="284" w:left="1089" w:header="567" w:footer="284" w:gutter="0"/>
          <w:pgNumType w:start="1"/>
          <w:cols w:space="720"/>
        </w:sectPr>
      </w:pPr>
    </w:p>
    <w:p w:rsidR="00F43BC1" w:rsidRPr="00F54FBD" w:rsidRDefault="00F43BC1" w:rsidP="00F43B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43BC1" w:rsidRPr="00F54FBD" w:rsidRDefault="00F43BC1" w:rsidP="00F43BC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43BC1" w:rsidRPr="00F54FBD" w:rsidRDefault="00F43BC1" w:rsidP="00F43BC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43BC1" w:rsidRPr="00E44CBB" w:rsidRDefault="00F43BC1" w:rsidP="00F43BC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43BC1" w:rsidRPr="00E44CBB" w:rsidRDefault="00F43BC1" w:rsidP="00F43BC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43BC1" w:rsidRPr="0086089D" w:rsidRDefault="00F43BC1" w:rsidP="00F43BC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43BC1" w:rsidRPr="009454F8" w:rsidTr="002C14E3">
        <w:tc>
          <w:tcPr>
            <w:tcW w:w="9360" w:type="dxa"/>
            <w:gridSpan w:val="2"/>
          </w:tcPr>
          <w:p w:rsidR="00F43BC1" w:rsidRPr="009454F8" w:rsidRDefault="00F43BC1" w:rsidP="002C14E3">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F43BC1" w:rsidRPr="009454F8"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F43BC1" w:rsidRPr="00036EE3" w:rsidTr="002C14E3">
        <w:tc>
          <w:tcPr>
            <w:tcW w:w="1140" w:type="dxa"/>
            <w:tcBorders>
              <w:bottom w:val="nil"/>
            </w:tcBorders>
          </w:tcPr>
          <w:p w:rsidR="00F43BC1" w:rsidRPr="00614CC6" w:rsidRDefault="00F43BC1" w:rsidP="002C14E3">
            <w:pPr>
              <w:spacing w:before="90" w:after="100"/>
              <w:ind w:left="57"/>
              <w:rPr>
                <w:b/>
                <w:bCs/>
                <w:sz w:val="20"/>
                <w:lang w:val="en-US"/>
              </w:rPr>
            </w:pPr>
            <w:r w:rsidRPr="00614CC6">
              <w:rPr>
                <w:b/>
                <w:bCs/>
                <w:sz w:val="20"/>
                <w:lang w:val="en-US"/>
              </w:rPr>
              <w:t>Séries</w:t>
            </w:r>
          </w:p>
        </w:tc>
        <w:tc>
          <w:tcPr>
            <w:tcW w:w="8220" w:type="dxa"/>
            <w:tcBorders>
              <w:bottom w:val="nil"/>
            </w:tcBorders>
          </w:tcPr>
          <w:p w:rsidR="00F43BC1" w:rsidRPr="00614CC6"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43BC1" w:rsidRPr="005E427C" w:rsidTr="002C14E3">
        <w:tc>
          <w:tcPr>
            <w:tcW w:w="1140" w:type="dxa"/>
            <w:tcBorders>
              <w:top w:val="nil"/>
              <w:bottom w:val="nil"/>
            </w:tcBorders>
            <w:shd w:val="clear" w:color="auto" w:fill="auto"/>
          </w:tcPr>
          <w:p w:rsidR="00F43BC1" w:rsidRPr="005E427C" w:rsidRDefault="00F43BC1" w:rsidP="002C14E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43BC1" w:rsidRPr="005E427C"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43BC1" w:rsidRPr="009454F8" w:rsidTr="002C14E3">
        <w:tc>
          <w:tcPr>
            <w:tcW w:w="1140" w:type="dxa"/>
            <w:tcBorders>
              <w:top w:val="nil"/>
              <w:bottom w:val="nil"/>
            </w:tcBorders>
          </w:tcPr>
          <w:p w:rsidR="00F43BC1" w:rsidRPr="00614CC6" w:rsidRDefault="00F43BC1" w:rsidP="002C14E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43BC1" w:rsidRPr="00614CC6"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43BC1" w:rsidRPr="00E80F1D" w:rsidTr="002C14E3">
        <w:tc>
          <w:tcPr>
            <w:tcW w:w="1140" w:type="dxa"/>
            <w:tcBorders>
              <w:top w:val="nil"/>
              <w:bottom w:val="nil"/>
            </w:tcBorders>
            <w:shd w:val="clear" w:color="auto" w:fill="auto"/>
          </w:tcPr>
          <w:p w:rsidR="00F43BC1" w:rsidRPr="00E80F1D" w:rsidRDefault="00F43BC1" w:rsidP="002C14E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43BC1" w:rsidRPr="00E80F1D"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43BC1" w:rsidRPr="00ED2695" w:rsidTr="002C14E3">
        <w:tc>
          <w:tcPr>
            <w:tcW w:w="1140" w:type="dxa"/>
            <w:tcBorders>
              <w:top w:val="nil"/>
              <w:bottom w:val="nil"/>
            </w:tcBorders>
            <w:shd w:val="clear" w:color="auto" w:fill="auto"/>
          </w:tcPr>
          <w:p w:rsidR="00F43BC1" w:rsidRPr="00614CC6" w:rsidRDefault="00F43BC1" w:rsidP="002C14E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43BC1" w:rsidRPr="00614CC6"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43BC1" w:rsidRPr="00DE5EA2" w:rsidTr="002C14E3">
        <w:tc>
          <w:tcPr>
            <w:tcW w:w="1140" w:type="dxa"/>
            <w:tcBorders>
              <w:top w:val="nil"/>
              <w:bottom w:val="nil"/>
            </w:tcBorders>
            <w:shd w:val="clear" w:color="auto" w:fill="auto"/>
          </w:tcPr>
          <w:p w:rsidR="00F43BC1" w:rsidRPr="00DE5EA2" w:rsidRDefault="00F43BC1" w:rsidP="002C14E3">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43BC1" w:rsidRPr="00DE5EA2" w:rsidRDefault="00F43BC1" w:rsidP="002C14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43BC1" w:rsidRPr="00B21066" w:rsidTr="002C14E3">
        <w:tc>
          <w:tcPr>
            <w:tcW w:w="1140" w:type="dxa"/>
            <w:tcBorders>
              <w:top w:val="nil"/>
              <w:bottom w:val="nil"/>
            </w:tcBorders>
            <w:shd w:val="clear" w:color="auto" w:fill="auto"/>
          </w:tcPr>
          <w:p w:rsidR="00F43BC1" w:rsidRPr="00B21066" w:rsidRDefault="00F43BC1" w:rsidP="002C14E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43BC1" w:rsidRPr="00B21066"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43BC1" w:rsidRPr="00EC361D" w:rsidTr="002C14E3">
        <w:tc>
          <w:tcPr>
            <w:tcW w:w="1140" w:type="dxa"/>
            <w:tcBorders>
              <w:top w:val="nil"/>
              <w:bottom w:val="nil"/>
            </w:tcBorders>
            <w:shd w:val="clear" w:color="auto" w:fill="auto"/>
          </w:tcPr>
          <w:p w:rsidR="00F43BC1" w:rsidRPr="00EC361D" w:rsidRDefault="00F43BC1" w:rsidP="002C14E3">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43BC1" w:rsidRPr="00EC361D" w:rsidRDefault="00F43BC1" w:rsidP="002C14E3">
            <w:pPr>
              <w:spacing w:before="30" w:after="30"/>
              <w:jc w:val="left"/>
              <w:rPr>
                <w:sz w:val="20"/>
                <w:lang w:val="fr-CH"/>
              </w:rPr>
            </w:pPr>
            <w:r w:rsidRPr="00EC361D">
              <w:rPr>
                <w:sz w:val="20"/>
              </w:rPr>
              <w:t>Propagation des ondes radioélectriques</w:t>
            </w:r>
          </w:p>
        </w:tc>
      </w:tr>
      <w:tr w:rsidR="00F43BC1" w:rsidRPr="004822EF" w:rsidTr="002C14E3">
        <w:tc>
          <w:tcPr>
            <w:tcW w:w="1140" w:type="dxa"/>
            <w:tcBorders>
              <w:top w:val="nil"/>
              <w:bottom w:val="nil"/>
            </w:tcBorders>
            <w:shd w:val="clear" w:color="auto" w:fill="auto"/>
          </w:tcPr>
          <w:p w:rsidR="00F43BC1" w:rsidRPr="004822EF" w:rsidRDefault="00F43BC1" w:rsidP="002C14E3">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43BC1" w:rsidRPr="004822EF" w:rsidRDefault="00F43BC1" w:rsidP="002C14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43BC1" w:rsidRPr="00326525" w:rsidTr="002C14E3">
        <w:tc>
          <w:tcPr>
            <w:tcW w:w="1140" w:type="dxa"/>
            <w:tcBorders>
              <w:top w:val="nil"/>
              <w:bottom w:val="nil"/>
            </w:tcBorders>
            <w:shd w:val="clear" w:color="auto" w:fill="auto"/>
          </w:tcPr>
          <w:p w:rsidR="00F43BC1" w:rsidRPr="00326525" w:rsidRDefault="00F43BC1" w:rsidP="002C14E3">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43BC1" w:rsidRPr="00326525" w:rsidRDefault="00F43BC1" w:rsidP="002C14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43BC1" w:rsidRPr="00C40D3E" w:rsidTr="002C14E3">
        <w:tc>
          <w:tcPr>
            <w:tcW w:w="1140" w:type="dxa"/>
            <w:tcBorders>
              <w:top w:val="nil"/>
              <w:bottom w:val="nil"/>
            </w:tcBorders>
            <w:shd w:val="clear" w:color="auto" w:fill="auto"/>
          </w:tcPr>
          <w:p w:rsidR="00F43BC1" w:rsidRPr="00C40D3E" w:rsidRDefault="00F43BC1" w:rsidP="002C14E3">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43BC1" w:rsidRPr="00C40D3E" w:rsidRDefault="00F43BC1" w:rsidP="002C14E3">
            <w:pPr>
              <w:spacing w:before="30" w:after="30"/>
              <w:jc w:val="left"/>
              <w:rPr>
                <w:sz w:val="20"/>
                <w:lang w:val="en-US"/>
              </w:rPr>
            </w:pPr>
            <w:r w:rsidRPr="00C40D3E">
              <w:rPr>
                <w:sz w:val="20"/>
              </w:rPr>
              <w:t>Service fixe par satellite</w:t>
            </w:r>
          </w:p>
        </w:tc>
      </w:tr>
      <w:tr w:rsidR="00F43BC1" w:rsidRPr="00C40D3E" w:rsidTr="002C14E3">
        <w:tc>
          <w:tcPr>
            <w:tcW w:w="1140" w:type="dxa"/>
            <w:tcBorders>
              <w:top w:val="nil"/>
              <w:bottom w:val="nil"/>
            </w:tcBorders>
            <w:shd w:val="clear" w:color="auto" w:fill="F3F3F3"/>
          </w:tcPr>
          <w:p w:rsidR="00F43BC1" w:rsidRPr="00C40D3E" w:rsidRDefault="00F43BC1" w:rsidP="002C14E3">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F43BC1" w:rsidRPr="00C40D3E" w:rsidRDefault="00F43BC1" w:rsidP="002C14E3">
            <w:pPr>
              <w:spacing w:before="30" w:after="30"/>
              <w:jc w:val="left"/>
              <w:rPr>
                <w:b/>
                <w:bCs/>
                <w:color w:val="000080"/>
                <w:sz w:val="20"/>
                <w:lang w:val="en-US"/>
              </w:rPr>
            </w:pPr>
            <w:r w:rsidRPr="00C40D3E">
              <w:rPr>
                <w:b/>
                <w:bCs/>
                <w:color w:val="000080"/>
                <w:sz w:val="20"/>
              </w:rPr>
              <w:t>Applications spatiales et météorologie</w:t>
            </w:r>
          </w:p>
        </w:tc>
      </w:tr>
      <w:tr w:rsidR="00F43BC1" w:rsidRPr="00614CC6" w:rsidTr="002C14E3">
        <w:tc>
          <w:tcPr>
            <w:tcW w:w="1140" w:type="dxa"/>
            <w:tcBorders>
              <w:top w:val="nil"/>
            </w:tcBorders>
          </w:tcPr>
          <w:p w:rsidR="00F43BC1" w:rsidRPr="00614CC6" w:rsidRDefault="00F43BC1" w:rsidP="002C14E3">
            <w:pPr>
              <w:spacing w:before="30" w:after="30"/>
              <w:ind w:left="57"/>
              <w:jc w:val="left"/>
              <w:rPr>
                <w:b/>
                <w:bCs/>
                <w:sz w:val="20"/>
                <w:lang w:val="en-US"/>
              </w:rPr>
            </w:pPr>
            <w:r w:rsidRPr="00614CC6">
              <w:rPr>
                <w:b/>
                <w:bCs/>
                <w:sz w:val="20"/>
                <w:lang w:val="en-US"/>
              </w:rPr>
              <w:t>SF</w:t>
            </w:r>
          </w:p>
        </w:tc>
        <w:tc>
          <w:tcPr>
            <w:tcW w:w="8220" w:type="dxa"/>
            <w:tcBorders>
              <w:top w:val="nil"/>
            </w:tcBorders>
          </w:tcPr>
          <w:p w:rsidR="00F43BC1" w:rsidRPr="00614CC6" w:rsidRDefault="00F43BC1" w:rsidP="002C14E3">
            <w:pPr>
              <w:spacing w:before="30" w:after="30"/>
              <w:jc w:val="left"/>
              <w:rPr>
                <w:sz w:val="20"/>
              </w:rPr>
            </w:pPr>
            <w:r w:rsidRPr="00614CC6">
              <w:rPr>
                <w:sz w:val="20"/>
              </w:rPr>
              <w:t>Partage des fréquences et coordination entre les systèmes du service fixe par satellite et du service fixe</w:t>
            </w:r>
          </w:p>
        </w:tc>
      </w:tr>
      <w:tr w:rsidR="00F43BC1" w:rsidRPr="00036EE3" w:rsidTr="002C14E3">
        <w:tc>
          <w:tcPr>
            <w:tcW w:w="1140" w:type="dxa"/>
            <w:shd w:val="clear" w:color="auto" w:fill="auto"/>
          </w:tcPr>
          <w:p w:rsidR="00F43BC1" w:rsidRPr="00592F9F" w:rsidRDefault="00F43BC1" w:rsidP="002C14E3">
            <w:pPr>
              <w:spacing w:before="30" w:after="30"/>
              <w:ind w:left="57"/>
              <w:jc w:val="left"/>
              <w:rPr>
                <w:b/>
                <w:bCs/>
                <w:sz w:val="20"/>
                <w:lang w:val="en-US"/>
              </w:rPr>
            </w:pPr>
            <w:r w:rsidRPr="00592F9F">
              <w:rPr>
                <w:b/>
                <w:bCs/>
                <w:sz w:val="20"/>
                <w:lang w:val="en-US"/>
              </w:rPr>
              <w:t>SM</w:t>
            </w:r>
          </w:p>
        </w:tc>
        <w:tc>
          <w:tcPr>
            <w:tcW w:w="8220" w:type="dxa"/>
            <w:shd w:val="clear" w:color="auto" w:fill="auto"/>
          </w:tcPr>
          <w:p w:rsidR="00F43BC1" w:rsidRPr="00592F9F" w:rsidRDefault="00F43BC1" w:rsidP="002C14E3">
            <w:pPr>
              <w:spacing w:before="30" w:after="30"/>
              <w:jc w:val="left"/>
              <w:rPr>
                <w:sz w:val="20"/>
                <w:lang w:val="en-US"/>
              </w:rPr>
            </w:pPr>
            <w:r w:rsidRPr="00592F9F">
              <w:rPr>
                <w:sz w:val="20"/>
              </w:rPr>
              <w:t>Gestion du spectre</w:t>
            </w:r>
          </w:p>
        </w:tc>
      </w:tr>
      <w:tr w:rsidR="00F43BC1" w:rsidRPr="00036EE3" w:rsidTr="002C14E3">
        <w:tc>
          <w:tcPr>
            <w:tcW w:w="1140" w:type="dxa"/>
          </w:tcPr>
          <w:p w:rsidR="00F43BC1" w:rsidRPr="00614CC6" w:rsidRDefault="00F43BC1" w:rsidP="002C14E3">
            <w:pPr>
              <w:spacing w:before="30" w:after="30"/>
              <w:ind w:left="57"/>
              <w:jc w:val="left"/>
              <w:rPr>
                <w:b/>
                <w:bCs/>
                <w:sz w:val="20"/>
                <w:lang w:val="en-US"/>
              </w:rPr>
            </w:pPr>
            <w:r w:rsidRPr="00614CC6">
              <w:rPr>
                <w:b/>
                <w:bCs/>
                <w:sz w:val="20"/>
                <w:lang w:val="en-US"/>
              </w:rPr>
              <w:t>SNG</w:t>
            </w:r>
          </w:p>
        </w:tc>
        <w:tc>
          <w:tcPr>
            <w:tcW w:w="8220" w:type="dxa"/>
          </w:tcPr>
          <w:p w:rsidR="00F43BC1" w:rsidRPr="00614CC6" w:rsidRDefault="00F43BC1" w:rsidP="002C14E3">
            <w:pPr>
              <w:spacing w:before="30" w:after="30"/>
              <w:jc w:val="left"/>
              <w:rPr>
                <w:sz w:val="20"/>
                <w:lang w:val="en-US"/>
              </w:rPr>
            </w:pPr>
            <w:r w:rsidRPr="00614CC6">
              <w:rPr>
                <w:sz w:val="20"/>
              </w:rPr>
              <w:t>Reportage d'actualités par satellite</w:t>
            </w:r>
          </w:p>
        </w:tc>
      </w:tr>
      <w:tr w:rsidR="00F43BC1" w:rsidRPr="00614CC6" w:rsidTr="002C14E3">
        <w:tc>
          <w:tcPr>
            <w:tcW w:w="1140" w:type="dxa"/>
          </w:tcPr>
          <w:p w:rsidR="00F43BC1" w:rsidRPr="00614CC6" w:rsidRDefault="00F43BC1" w:rsidP="002C14E3">
            <w:pPr>
              <w:spacing w:before="30" w:after="30"/>
              <w:ind w:left="57"/>
              <w:jc w:val="left"/>
              <w:rPr>
                <w:b/>
                <w:bCs/>
                <w:sz w:val="20"/>
                <w:lang w:val="en-US"/>
              </w:rPr>
            </w:pPr>
            <w:r w:rsidRPr="00614CC6">
              <w:rPr>
                <w:b/>
                <w:bCs/>
                <w:sz w:val="20"/>
                <w:lang w:val="en-US"/>
              </w:rPr>
              <w:t>TF</w:t>
            </w:r>
          </w:p>
        </w:tc>
        <w:tc>
          <w:tcPr>
            <w:tcW w:w="8220" w:type="dxa"/>
          </w:tcPr>
          <w:p w:rsidR="00F43BC1" w:rsidRPr="00614CC6" w:rsidRDefault="00F43BC1" w:rsidP="002C14E3">
            <w:pPr>
              <w:spacing w:before="30" w:after="30"/>
              <w:jc w:val="left"/>
              <w:rPr>
                <w:sz w:val="20"/>
              </w:rPr>
            </w:pPr>
            <w:r w:rsidRPr="00614CC6">
              <w:rPr>
                <w:sz w:val="20"/>
              </w:rPr>
              <w:t>Emissions de fréquences étalon et de signaux horaires</w:t>
            </w:r>
          </w:p>
        </w:tc>
      </w:tr>
      <w:tr w:rsidR="00F43BC1" w:rsidRPr="00036EE3" w:rsidTr="002C14E3">
        <w:tc>
          <w:tcPr>
            <w:tcW w:w="1140" w:type="dxa"/>
          </w:tcPr>
          <w:p w:rsidR="00F43BC1" w:rsidRPr="00614CC6" w:rsidRDefault="00F43BC1" w:rsidP="002C14E3">
            <w:pPr>
              <w:spacing w:before="30" w:after="30"/>
              <w:ind w:left="57"/>
              <w:jc w:val="left"/>
              <w:rPr>
                <w:b/>
                <w:bCs/>
                <w:sz w:val="20"/>
                <w:lang w:val="en-US"/>
              </w:rPr>
            </w:pPr>
            <w:r w:rsidRPr="00614CC6">
              <w:rPr>
                <w:b/>
                <w:bCs/>
                <w:sz w:val="20"/>
                <w:lang w:val="en-US"/>
              </w:rPr>
              <w:t>V</w:t>
            </w:r>
          </w:p>
        </w:tc>
        <w:tc>
          <w:tcPr>
            <w:tcW w:w="8220" w:type="dxa"/>
          </w:tcPr>
          <w:p w:rsidR="00F43BC1" w:rsidRPr="00614CC6" w:rsidRDefault="00F43BC1" w:rsidP="002C14E3">
            <w:pPr>
              <w:spacing w:before="30" w:after="140"/>
              <w:jc w:val="left"/>
              <w:rPr>
                <w:sz w:val="20"/>
                <w:lang w:val="en-US"/>
              </w:rPr>
            </w:pPr>
            <w:r w:rsidRPr="00614CC6">
              <w:rPr>
                <w:sz w:val="20"/>
              </w:rPr>
              <w:t>Vocabulaire et sujets associés</w:t>
            </w:r>
          </w:p>
        </w:tc>
      </w:tr>
    </w:tbl>
    <w:p w:rsidR="00F43BC1" w:rsidRPr="00036EE3" w:rsidRDefault="00F43BC1" w:rsidP="00F43BC1">
      <w:pPr>
        <w:spacing w:before="0"/>
        <w:jc w:val="center"/>
        <w:rPr>
          <w:sz w:val="20"/>
          <w:lang w:val="en-US"/>
        </w:rPr>
      </w:pPr>
    </w:p>
    <w:p w:rsidR="00F43BC1" w:rsidRPr="00036EE3" w:rsidRDefault="00F43BC1" w:rsidP="00F43BC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43BC1" w:rsidRPr="00756B4D" w:rsidTr="002C14E3">
        <w:tc>
          <w:tcPr>
            <w:tcW w:w="9360" w:type="dxa"/>
          </w:tcPr>
          <w:p w:rsidR="00F43BC1" w:rsidRPr="00756B4D" w:rsidRDefault="00F43BC1" w:rsidP="002C14E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43BC1" w:rsidRPr="00756B4D" w:rsidRDefault="00F43BC1" w:rsidP="00F43BC1">
      <w:pPr>
        <w:spacing w:before="0"/>
        <w:jc w:val="center"/>
        <w:rPr>
          <w:sz w:val="22"/>
        </w:rPr>
      </w:pPr>
    </w:p>
    <w:p w:rsidR="00F43BC1" w:rsidRPr="00614CC6" w:rsidRDefault="00F43BC1" w:rsidP="00F43BC1">
      <w:pPr>
        <w:spacing w:before="100"/>
        <w:jc w:val="right"/>
        <w:rPr>
          <w:i/>
          <w:iCs/>
          <w:sz w:val="20"/>
        </w:rPr>
      </w:pPr>
      <w:r w:rsidRPr="00614CC6">
        <w:rPr>
          <w:i/>
          <w:iCs/>
          <w:sz w:val="20"/>
        </w:rPr>
        <w:t>Publication électronique</w:t>
      </w:r>
    </w:p>
    <w:p w:rsidR="00F43BC1" w:rsidRPr="00614CC6" w:rsidRDefault="00F43BC1" w:rsidP="00F43BC1">
      <w:pPr>
        <w:spacing w:before="0"/>
        <w:jc w:val="right"/>
        <w:rPr>
          <w:sz w:val="20"/>
        </w:rPr>
      </w:pPr>
      <w:r w:rsidRPr="00614CC6">
        <w:rPr>
          <w:sz w:val="20"/>
        </w:rPr>
        <w:t>Genève, 20</w:t>
      </w:r>
      <w:r>
        <w:rPr>
          <w:sz w:val="20"/>
        </w:rPr>
        <w:t>14</w:t>
      </w:r>
    </w:p>
    <w:p w:rsidR="00F43BC1" w:rsidRPr="00614CC6" w:rsidRDefault="00F43BC1" w:rsidP="00F43BC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F43BC1" w:rsidRPr="00614CC6" w:rsidRDefault="00F43BC1" w:rsidP="00F43BC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43BC1" w:rsidRPr="00614CC6" w:rsidRDefault="00F43BC1" w:rsidP="00F43BC1">
      <w:pPr>
        <w:spacing w:before="160"/>
        <w:rPr>
          <w:i/>
          <w:sz w:val="20"/>
          <w:highlight w:val="yellow"/>
        </w:rPr>
        <w:sectPr w:rsidR="00F43BC1"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F43BC1" w:rsidRPr="00756B4D" w:rsidRDefault="00F43BC1" w:rsidP="009053AD">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sidR="009053AD">
        <w:rPr>
          <w:rStyle w:val="href"/>
        </w:rPr>
        <w:t>2044</w:t>
      </w:r>
      <w:r w:rsidR="0029088D">
        <w:rPr>
          <w:rStyle w:val="href"/>
        </w:rPr>
        <w:t>-0</w:t>
      </w:r>
    </w:p>
    <w:p w:rsidR="00AE7DF5" w:rsidRDefault="00AE7DF5" w:rsidP="00AE7DF5">
      <w:pPr>
        <w:pStyle w:val="Rectitle"/>
      </w:pPr>
      <w:r w:rsidRPr="00E52BE9">
        <w:t>Critères de protection aux plates-formes de collecte de données par satellite non géostationnaire dans la bande 401-403 MHz</w:t>
      </w:r>
    </w:p>
    <w:p w:rsidR="00AE7DF5" w:rsidRPr="00E37784" w:rsidRDefault="00AE7DF5" w:rsidP="00AE7DF5">
      <w:pPr>
        <w:pStyle w:val="Questionref"/>
      </w:pPr>
      <w:r>
        <w:t>(Questions UIT-R 139/7 et UIT-R 141/7)</w:t>
      </w:r>
    </w:p>
    <w:p w:rsidR="00AE7DF5" w:rsidRPr="00E52BE9" w:rsidRDefault="00AE7DF5" w:rsidP="00C006D0">
      <w:pPr>
        <w:pStyle w:val="Recdate"/>
      </w:pPr>
      <w:r w:rsidRPr="00E52BE9">
        <w:t>(2013)</w:t>
      </w:r>
    </w:p>
    <w:p w:rsidR="00AE7DF5" w:rsidRPr="0075679A" w:rsidRDefault="00AE7DF5" w:rsidP="00C006D0">
      <w:pPr>
        <w:pStyle w:val="HeadingSum"/>
        <w:rPr>
          <w:lang w:val="fr-CH"/>
        </w:rPr>
      </w:pPr>
      <w:r w:rsidRPr="0075679A">
        <w:rPr>
          <w:lang w:val="fr-CH"/>
        </w:rPr>
        <w:t>Domaine d'application</w:t>
      </w:r>
    </w:p>
    <w:p w:rsidR="00AE7DF5" w:rsidRPr="00C006D0" w:rsidRDefault="00125FBB" w:rsidP="00125FBB">
      <w:pPr>
        <w:pStyle w:val="Summary"/>
        <w:rPr>
          <w:lang w:val="fr-CH"/>
        </w:rPr>
      </w:pPr>
      <w:r w:rsidRPr="00125FBB">
        <w:rPr>
          <w:lang w:val="fr-CH"/>
        </w:rPr>
        <w:t>La présente Recommandation donne des informations sur des critères de qualité de fonctionnement et de brouillage applicables aux systèmes de collecte de données (DCS) par satellite non OSG dans la bande 401</w:t>
      </w:r>
      <w:r w:rsidRPr="00125FBB">
        <w:rPr>
          <w:lang w:val="fr-CH"/>
        </w:rPr>
        <w:noBreakHyphen/>
        <w:t>403 MHz.</w:t>
      </w:r>
    </w:p>
    <w:p w:rsidR="00AE7DF5" w:rsidRPr="00E52BE9" w:rsidRDefault="00AE7DF5" w:rsidP="00751F87">
      <w:pPr>
        <w:pStyle w:val="Normalaftertitle"/>
      </w:pPr>
      <w:r w:rsidRPr="00E52BE9">
        <w:t>L'Assemblée des radiocommunications de l'UIT,</w:t>
      </w:r>
    </w:p>
    <w:p w:rsidR="00AE7DF5" w:rsidRPr="00E52BE9" w:rsidRDefault="00AE7DF5" w:rsidP="00AE7DF5">
      <w:pPr>
        <w:pStyle w:val="Call"/>
      </w:pPr>
      <w:proofErr w:type="gramStart"/>
      <w:r w:rsidRPr="00E52BE9">
        <w:t>considérant</w:t>
      </w:r>
      <w:proofErr w:type="gramEnd"/>
    </w:p>
    <w:p w:rsidR="00AE7DF5" w:rsidRPr="00E52BE9" w:rsidRDefault="00AE7DF5" w:rsidP="00AE7DF5">
      <w:r w:rsidRPr="00C006D0">
        <w:rPr>
          <w:i/>
          <w:iCs/>
        </w:rPr>
        <w:t>a)</w:t>
      </w:r>
      <w:r w:rsidRPr="00E52BE9">
        <w:tab/>
        <w:t>que les concepteurs de systèmes ont besoin d'objectifs de qualité de fonctionnement en présence de brouillage pour leurs systèmes;</w:t>
      </w:r>
    </w:p>
    <w:p w:rsidR="00AE7DF5" w:rsidRPr="00E52BE9" w:rsidRDefault="00AE7DF5" w:rsidP="00AE7DF5">
      <w:r w:rsidRPr="00C006D0">
        <w:rPr>
          <w:i/>
          <w:iCs/>
        </w:rPr>
        <w:t>b)</w:t>
      </w:r>
      <w:r w:rsidRPr="00E52BE9">
        <w:tab/>
        <w:t>que les objectifs de qualité de fonctionnement des systèmes représentatifs exploités dans le service d'exploration de la Terre par satellite et dans le service de météorologie par satellite ont valeur de directives pour la mise au point des systèmes;</w:t>
      </w:r>
    </w:p>
    <w:p w:rsidR="00AE7DF5" w:rsidRPr="00E52BE9" w:rsidRDefault="00AE7DF5" w:rsidP="00AE7DF5">
      <w:r w:rsidRPr="00C006D0">
        <w:rPr>
          <w:i/>
          <w:iCs/>
        </w:rPr>
        <w:t>c)</w:t>
      </w:r>
      <w:r w:rsidRPr="00E52BE9">
        <w:tab/>
        <w:t>qu'il faut définir des objectifs de qualité de fonctionnement pour le service d'exploration de la Terre par satellite et le service de météorologie par satellite pour être en mesure de réaliser des évaluations de brouillage;</w:t>
      </w:r>
    </w:p>
    <w:p w:rsidR="00AE7DF5" w:rsidRPr="00E52BE9" w:rsidRDefault="00AE7DF5" w:rsidP="00AE7DF5">
      <w:r w:rsidRPr="00C006D0">
        <w:rPr>
          <w:i/>
          <w:iCs/>
        </w:rPr>
        <w:t>d)</w:t>
      </w:r>
      <w:r w:rsidRPr="00E52BE9">
        <w:tab/>
        <w:t>qu'il faut des critères de protection pour atteindre les objectifs de qualité de fonctionnement souhaitée en présence de brouillage,</w:t>
      </w:r>
    </w:p>
    <w:p w:rsidR="00AE7DF5" w:rsidRPr="00E52BE9" w:rsidRDefault="00AE7DF5" w:rsidP="00AE7DF5">
      <w:pPr>
        <w:pStyle w:val="Call"/>
      </w:pPr>
      <w:proofErr w:type="gramStart"/>
      <w:r w:rsidRPr="00E52BE9">
        <w:t>recommande</w:t>
      </w:r>
      <w:proofErr w:type="gramEnd"/>
    </w:p>
    <w:p w:rsidR="00AE7DF5" w:rsidRPr="00E52BE9" w:rsidRDefault="00AE7DF5" w:rsidP="00AE7DF5">
      <w:r w:rsidRPr="00E52BE9">
        <w:rPr>
          <w:b/>
          <w:bCs/>
        </w:rPr>
        <w:t>1</w:t>
      </w:r>
      <w:r w:rsidRPr="00E52BE9">
        <w:tab/>
        <w:t>que l'analyse visant à déterminer l'incidence des systèmes de collecte de données (DCS) par satellite non OSG dans la bande 401-403 MHz soit fondée sur les critères de protection suivant</w:t>
      </w:r>
      <w:r>
        <w:t>s</w:t>
      </w:r>
      <w:r w:rsidRPr="00E52BE9">
        <w:t>:</w:t>
      </w:r>
    </w:p>
    <w:p w:rsidR="00AE7DF5" w:rsidRPr="00E52BE9" w:rsidRDefault="00AE7DF5" w:rsidP="00AE7DF5">
      <w:pPr>
        <w:pStyle w:val="enumlev1"/>
      </w:pPr>
      <w:r w:rsidRPr="00E52BE9">
        <w:t>–</w:t>
      </w:r>
      <w:r w:rsidRPr="00E52BE9">
        <w:tab/>
        <w:t xml:space="preserve">puissance surfacique spectrale cumulative </w:t>
      </w:r>
      <w:r>
        <w:t xml:space="preserve">acceptable maximale égale </w:t>
      </w:r>
      <w:r>
        <w:br/>
        <w:t>à –</w:t>
      </w:r>
      <w:r w:rsidRPr="00E52BE9">
        <w:t>197,9 </w:t>
      </w:r>
      <w:proofErr w:type="gramStart"/>
      <w:r w:rsidRPr="00E52BE9">
        <w:t>dB(</w:t>
      </w:r>
      <w:proofErr w:type="gramEnd"/>
      <w:r w:rsidRPr="00E52BE9">
        <w:t>W/(m</w:t>
      </w:r>
      <w:r w:rsidRPr="00E52BE9">
        <w:rPr>
          <w:vertAlign w:val="superscript"/>
        </w:rPr>
        <w:t>2</w:t>
      </w:r>
      <w:r w:rsidRPr="00E52BE9">
        <w:t xml:space="preserve"> · Hz)) au niveau de l'antenne d'un instrument DCS par </w:t>
      </w:r>
      <w:r>
        <w:t>un satellite non </w:t>
      </w:r>
      <w:r w:rsidRPr="00E52BE9">
        <w:t>OSG pour le brouillage dû au bruit large bande (voir l'Annexe 1);</w:t>
      </w:r>
    </w:p>
    <w:p w:rsidR="00AE7DF5" w:rsidRPr="00E52BE9" w:rsidRDefault="00AE7DF5" w:rsidP="00AE7DF5">
      <w:pPr>
        <w:pStyle w:val="enumlev1"/>
      </w:pPr>
      <w:r w:rsidRPr="00E52BE9">
        <w:t>–</w:t>
      </w:r>
      <w:r w:rsidRPr="00E52BE9">
        <w:tab/>
        <w:t>puissance surfacique maximale égale à –16</w:t>
      </w:r>
      <w:r>
        <w:t>5</w:t>
      </w:r>
      <w:r w:rsidRPr="00E52BE9">
        <w:t>,4 </w:t>
      </w:r>
      <w:proofErr w:type="gramStart"/>
      <w:r w:rsidRPr="00E52BE9">
        <w:t>dB(</w:t>
      </w:r>
      <w:proofErr w:type="gramEnd"/>
      <w:r w:rsidRPr="00E52BE9">
        <w:t>W/m</w:t>
      </w:r>
      <w:r w:rsidRPr="00E52BE9">
        <w:rPr>
          <w:vertAlign w:val="superscript"/>
        </w:rPr>
        <w:t>2</w:t>
      </w:r>
      <w:r w:rsidRPr="00E52BE9">
        <w:t>) au niveau de l'ante</w:t>
      </w:r>
      <w:r>
        <w:t>nne d'un </w:t>
      </w:r>
      <w:r w:rsidRPr="00E52BE9">
        <w:t>instrument DCS par un satellite non OSG, dans une largeur de bande de résolution de 19 Hz, pour les émissions brouilleuses en bande étroite dues aux raies spectrales (voir l'Annexe 2);</w:t>
      </w:r>
    </w:p>
    <w:p w:rsidR="00AE7DF5" w:rsidRPr="00E52BE9" w:rsidRDefault="00AE7DF5" w:rsidP="00AE7DF5">
      <w:r w:rsidRPr="00E52BE9">
        <w:rPr>
          <w:b/>
          <w:bCs/>
        </w:rPr>
        <w:t>2</w:t>
      </w:r>
      <w:r w:rsidRPr="00E52BE9">
        <w:tab/>
        <w:t xml:space="preserve">que les critères de protection définis au point </w:t>
      </w:r>
      <w:r w:rsidRPr="000E7FC3">
        <w:rPr>
          <w:b/>
          <w:bCs/>
        </w:rPr>
        <w:t>1</w:t>
      </w:r>
      <w:r w:rsidRPr="00E52BE9">
        <w:t xml:space="preserve"> du </w:t>
      </w:r>
      <w:r w:rsidRPr="00E52BE9">
        <w:rPr>
          <w:i/>
          <w:iCs/>
        </w:rPr>
        <w:t>recommande</w:t>
      </w:r>
      <w:r w:rsidRPr="00E52BE9">
        <w:t xml:space="preserve"> ci-dessus ne soient pas dépassés pendant plus de 1% du temps dans le champ de visibilité du satellite.</w:t>
      </w:r>
    </w:p>
    <w:p w:rsidR="00AE7DF5" w:rsidRPr="00E52BE9" w:rsidRDefault="00AE7DF5" w:rsidP="00AE7DF5">
      <w:r w:rsidRPr="00E52BE9">
        <w:br w:type="page"/>
      </w:r>
    </w:p>
    <w:p w:rsidR="00AE7DF5" w:rsidRPr="00E52BE9" w:rsidRDefault="00AE7DF5" w:rsidP="00751F87">
      <w:pPr>
        <w:pStyle w:val="AnnexNoTitle"/>
      </w:pPr>
      <w:r w:rsidRPr="00E52BE9">
        <w:lastRenderedPageBreak/>
        <w:t>Annexe 1</w:t>
      </w:r>
      <w:r>
        <w:br/>
      </w:r>
      <w:r>
        <w:br/>
      </w:r>
      <w:r w:rsidRPr="00E52BE9">
        <w:t xml:space="preserve">Critères de protection des instruments DCS par satellite non OSG </w:t>
      </w:r>
      <w:r w:rsidRPr="00E52BE9">
        <w:br/>
        <w:t xml:space="preserve">dans la bande 401-401,69 MHz contre les émissions brouilleuses </w:t>
      </w:r>
      <w:r w:rsidRPr="00E52BE9">
        <w:br/>
        <w:t>dues au bruit large bande</w:t>
      </w:r>
    </w:p>
    <w:p w:rsidR="00AE7DF5" w:rsidRPr="00E52BE9" w:rsidRDefault="00AE7DF5" w:rsidP="00AE7DF5">
      <w:pPr>
        <w:pStyle w:val="Heading1"/>
      </w:pPr>
      <w:r w:rsidRPr="00E52BE9">
        <w:t>1</w:t>
      </w:r>
      <w:r w:rsidRPr="00E52BE9">
        <w:tab/>
        <w:t>Introduction</w:t>
      </w:r>
    </w:p>
    <w:p w:rsidR="00AE7DF5" w:rsidRPr="00E52BE9" w:rsidRDefault="00AE7DF5" w:rsidP="00AE7DF5">
      <w:r w:rsidRPr="00E52BE9">
        <w:t xml:space="preserve">On trouvera dans la présente Annexe des renseignements sur le système ARGOS, qui </w:t>
      </w:r>
      <w:r>
        <w:t xml:space="preserve">est </w:t>
      </w:r>
      <w:r w:rsidRPr="00E52BE9">
        <w:t>un système DCS par satellite non OSG type actuellement utilisé, ainsi que sur les besoins de protection de ce système contre les émissions brouilleuses dues au bruit large bande.</w:t>
      </w:r>
    </w:p>
    <w:p w:rsidR="00AE7DF5" w:rsidRPr="00E52BE9" w:rsidRDefault="00AE7DF5" w:rsidP="00AE7DF5">
      <w:pPr>
        <w:pStyle w:val="Heading1"/>
      </w:pPr>
      <w:r w:rsidRPr="00E52BE9">
        <w:t>2</w:t>
      </w:r>
      <w:r w:rsidRPr="00E52BE9">
        <w:tab/>
        <w:t>Niveau seuil de la puissance surfacique spectrale (spfd) des brouillages</w:t>
      </w:r>
    </w:p>
    <w:p w:rsidR="00AE7DF5" w:rsidRPr="00E52BE9" w:rsidRDefault="00AE7DF5" w:rsidP="00AE7DF5">
      <w:r w:rsidRPr="00E52BE9">
        <w:t xml:space="preserve">Tout bruit large bande supplémentaire introduit dans l'instrument ARGOS aura pour effet d'augmenter le taux d'erreur sur les bits (TEB) du système, ce qui </w:t>
      </w:r>
      <w:r>
        <w:t>aura des conséquences négatives </w:t>
      </w:r>
      <w:r w:rsidRPr="00E52BE9">
        <w:t xml:space="preserve">sur la qualité de fonctionnement requise. La présente analyse permet de déterminer la puissance surfacique maximale acceptable associée au bruit large bande sur le canal de la liaison </w:t>
      </w:r>
      <w:r>
        <w:t xml:space="preserve">montante </w:t>
      </w:r>
      <w:r w:rsidRPr="00E52BE9">
        <w:t xml:space="preserve">ARGOS. </w:t>
      </w:r>
    </w:p>
    <w:p w:rsidR="00AE7DF5" w:rsidRPr="00E52BE9" w:rsidRDefault="00AE7DF5" w:rsidP="00AE7DF5">
      <w:r w:rsidRPr="00E52BE9">
        <w:t>La Fig</w:t>
      </w:r>
      <w:r>
        <w:t>ure</w:t>
      </w:r>
      <w:r w:rsidRPr="00E52BE9">
        <w:t xml:space="preserve"> 1 montre les principaux éléments matériels embarqués à bord des satellites NOAA. Ce schéma général s'applique aux satellites METOP et NOAA.</w:t>
      </w:r>
    </w:p>
    <w:p w:rsidR="00AE7DF5" w:rsidRPr="00E52BE9" w:rsidRDefault="00AE7DF5" w:rsidP="00AE7DF5">
      <w:pPr>
        <w:pStyle w:val="FigureNo"/>
      </w:pPr>
      <w:r w:rsidRPr="00E52BE9">
        <w:t>figure 1</w:t>
      </w:r>
    </w:p>
    <w:p w:rsidR="00AE7DF5" w:rsidRPr="00E52BE9" w:rsidRDefault="00AE7DF5" w:rsidP="00AE7DF5">
      <w:pPr>
        <w:pStyle w:val="Figuretitle"/>
      </w:pPr>
      <w:r w:rsidRPr="00E52BE9">
        <w:t>Eléments matériels embarqués</w:t>
      </w:r>
    </w:p>
    <w:bookmarkStart w:id="4" w:name="_MON_1408952257"/>
    <w:bookmarkEnd w:id="4"/>
    <w:p w:rsidR="00CD1742" w:rsidRDefault="00CD1742" w:rsidP="00CD1742">
      <w:pPr>
        <w:pStyle w:val="Figure"/>
      </w:pPr>
      <w:r>
        <w:object w:dxaOrig="4672"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124.5pt" o:ole="">
            <v:imagedata r:id="rId12" o:title=""/>
          </v:shape>
          <o:OLEObject Type="Embed" ProgID="CorelDRAW.Graphic.14" ShapeID="_x0000_i1025" DrawAspect="Content" ObjectID="_1598445565" r:id="rId13"/>
        </w:object>
      </w:r>
    </w:p>
    <w:p w:rsidR="00AE7DF5" w:rsidRPr="00E52BE9" w:rsidRDefault="00AE7DF5" w:rsidP="00751F87">
      <w:pPr>
        <w:pStyle w:val="Normalaftertitle"/>
      </w:pPr>
      <w:r w:rsidRPr="00E52BE9">
        <w:t>La spécification du diagramme du gain de l'antenne UDA est exprimée en fonction de l'angle par rapport au nadir dans le Tableau 1:</w:t>
      </w:r>
    </w:p>
    <w:p w:rsidR="00AE7DF5" w:rsidRPr="000E7FC3" w:rsidRDefault="00AE7DF5" w:rsidP="00AE7DF5">
      <w:pPr>
        <w:pStyle w:val="TableNo"/>
        <w:keepLines/>
        <w:rPr>
          <w:szCs w:val="24"/>
        </w:rPr>
      </w:pPr>
      <w:r w:rsidRPr="000E7FC3">
        <w:rPr>
          <w:szCs w:val="24"/>
        </w:rPr>
        <w:t>TABLEAU 1</w:t>
      </w:r>
    </w:p>
    <w:p w:rsidR="00AE7DF5" w:rsidRPr="000E7FC3" w:rsidRDefault="00AE7DF5" w:rsidP="00AE7DF5">
      <w:pPr>
        <w:pStyle w:val="Tabletitle"/>
        <w:rPr>
          <w:szCs w:val="24"/>
        </w:rPr>
      </w:pPr>
      <w:r w:rsidRPr="000E7FC3">
        <w:rPr>
          <w:szCs w:val="24"/>
        </w:rPr>
        <w:t>Diagramme du gain de l'antenne de réception de l'instrument SARP/ARGOS (UDA)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19"/>
        <w:gridCol w:w="708"/>
        <w:gridCol w:w="709"/>
        <w:gridCol w:w="709"/>
        <w:gridCol w:w="732"/>
        <w:gridCol w:w="777"/>
        <w:gridCol w:w="777"/>
        <w:gridCol w:w="777"/>
        <w:gridCol w:w="777"/>
        <w:gridCol w:w="777"/>
        <w:gridCol w:w="777"/>
      </w:tblGrid>
      <w:tr w:rsidR="00AE7DF5" w:rsidRPr="00302887" w:rsidTr="002C14E3">
        <w:trPr>
          <w:jc w:val="center"/>
        </w:trPr>
        <w:tc>
          <w:tcPr>
            <w:tcW w:w="2119" w:type="dxa"/>
          </w:tcPr>
          <w:p w:rsidR="00AE7DF5" w:rsidRPr="00302887" w:rsidRDefault="00AE7DF5" w:rsidP="00302887">
            <w:pPr>
              <w:pStyle w:val="Tablehead"/>
              <w:rPr>
                <w:sz w:val="20"/>
              </w:rPr>
            </w:pPr>
            <w:r w:rsidRPr="00302887">
              <w:rPr>
                <w:sz w:val="20"/>
              </w:rPr>
              <w:t>Angle du satellite par rapport au nadir</w:t>
            </w:r>
          </w:p>
        </w:tc>
        <w:tc>
          <w:tcPr>
            <w:tcW w:w="708" w:type="dxa"/>
            <w:vAlign w:val="center"/>
          </w:tcPr>
          <w:p w:rsidR="00AE7DF5" w:rsidRPr="00302887" w:rsidRDefault="00AE7DF5" w:rsidP="00302887">
            <w:pPr>
              <w:pStyle w:val="Tablehead"/>
              <w:rPr>
                <w:sz w:val="20"/>
              </w:rPr>
            </w:pPr>
            <w:r w:rsidRPr="00302887">
              <w:rPr>
                <w:sz w:val="20"/>
              </w:rPr>
              <w:t>62</w:t>
            </w:r>
          </w:p>
        </w:tc>
        <w:tc>
          <w:tcPr>
            <w:tcW w:w="709" w:type="dxa"/>
            <w:vAlign w:val="center"/>
          </w:tcPr>
          <w:p w:rsidR="00AE7DF5" w:rsidRPr="00302887" w:rsidRDefault="00AE7DF5" w:rsidP="00302887">
            <w:pPr>
              <w:pStyle w:val="Tablehead"/>
              <w:rPr>
                <w:sz w:val="20"/>
              </w:rPr>
            </w:pPr>
            <w:r w:rsidRPr="00302887">
              <w:rPr>
                <w:sz w:val="20"/>
              </w:rPr>
              <w:t>59</w:t>
            </w:r>
          </w:p>
        </w:tc>
        <w:tc>
          <w:tcPr>
            <w:tcW w:w="709" w:type="dxa"/>
            <w:vAlign w:val="center"/>
          </w:tcPr>
          <w:p w:rsidR="00AE7DF5" w:rsidRPr="00302887" w:rsidRDefault="00AE7DF5" w:rsidP="00302887">
            <w:pPr>
              <w:pStyle w:val="Tablehead"/>
              <w:rPr>
                <w:sz w:val="20"/>
              </w:rPr>
            </w:pPr>
            <w:r w:rsidRPr="00302887">
              <w:rPr>
                <w:sz w:val="20"/>
              </w:rPr>
              <w:t>54</w:t>
            </w:r>
          </w:p>
        </w:tc>
        <w:tc>
          <w:tcPr>
            <w:tcW w:w="732" w:type="dxa"/>
            <w:vAlign w:val="center"/>
          </w:tcPr>
          <w:p w:rsidR="00AE7DF5" w:rsidRPr="00302887" w:rsidRDefault="00AE7DF5" w:rsidP="00302887">
            <w:pPr>
              <w:pStyle w:val="Tablehead"/>
              <w:rPr>
                <w:sz w:val="20"/>
              </w:rPr>
            </w:pPr>
            <w:r w:rsidRPr="00302887">
              <w:rPr>
                <w:sz w:val="20"/>
              </w:rPr>
              <w:t>47</w:t>
            </w:r>
          </w:p>
        </w:tc>
        <w:tc>
          <w:tcPr>
            <w:tcW w:w="777" w:type="dxa"/>
            <w:vAlign w:val="center"/>
          </w:tcPr>
          <w:p w:rsidR="00AE7DF5" w:rsidRPr="00302887" w:rsidRDefault="00AE7DF5" w:rsidP="00302887">
            <w:pPr>
              <w:pStyle w:val="Tablehead"/>
              <w:rPr>
                <w:sz w:val="20"/>
              </w:rPr>
            </w:pPr>
            <w:r w:rsidRPr="00302887">
              <w:rPr>
                <w:sz w:val="20"/>
              </w:rPr>
              <w:t>39</w:t>
            </w:r>
          </w:p>
        </w:tc>
        <w:tc>
          <w:tcPr>
            <w:tcW w:w="777" w:type="dxa"/>
            <w:vAlign w:val="center"/>
          </w:tcPr>
          <w:p w:rsidR="00AE7DF5" w:rsidRPr="00302887" w:rsidRDefault="00AE7DF5" w:rsidP="00302887">
            <w:pPr>
              <w:pStyle w:val="Tablehead"/>
              <w:rPr>
                <w:sz w:val="20"/>
              </w:rPr>
            </w:pPr>
            <w:r w:rsidRPr="00302887">
              <w:rPr>
                <w:sz w:val="20"/>
              </w:rPr>
              <w:t>31</w:t>
            </w:r>
          </w:p>
        </w:tc>
        <w:tc>
          <w:tcPr>
            <w:tcW w:w="777" w:type="dxa"/>
            <w:vAlign w:val="center"/>
          </w:tcPr>
          <w:p w:rsidR="00AE7DF5" w:rsidRPr="00302887" w:rsidRDefault="00AE7DF5" w:rsidP="00302887">
            <w:pPr>
              <w:pStyle w:val="Tablehead"/>
              <w:rPr>
                <w:sz w:val="20"/>
              </w:rPr>
            </w:pPr>
            <w:r w:rsidRPr="00302887">
              <w:rPr>
                <w:sz w:val="20"/>
              </w:rPr>
              <w:t>22</w:t>
            </w:r>
          </w:p>
        </w:tc>
        <w:tc>
          <w:tcPr>
            <w:tcW w:w="777" w:type="dxa"/>
            <w:vAlign w:val="center"/>
          </w:tcPr>
          <w:p w:rsidR="00AE7DF5" w:rsidRPr="00302887" w:rsidRDefault="00AE7DF5" w:rsidP="00302887">
            <w:pPr>
              <w:pStyle w:val="Tablehead"/>
              <w:rPr>
                <w:sz w:val="20"/>
              </w:rPr>
            </w:pPr>
            <w:r w:rsidRPr="00302887">
              <w:rPr>
                <w:sz w:val="20"/>
              </w:rPr>
              <w:t>13</w:t>
            </w:r>
          </w:p>
        </w:tc>
        <w:tc>
          <w:tcPr>
            <w:tcW w:w="777" w:type="dxa"/>
            <w:vAlign w:val="center"/>
          </w:tcPr>
          <w:p w:rsidR="00AE7DF5" w:rsidRPr="00302887" w:rsidRDefault="00AE7DF5" w:rsidP="00302887">
            <w:pPr>
              <w:pStyle w:val="Tablehead"/>
              <w:rPr>
                <w:sz w:val="20"/>
              </w:rPr>
            </w:pPr>
            <w:r w:rsidRPr="00302887">
              <w:rPr>
                <w:sz w:val="20"/>
              </w:rPr>
              <w:t>5</w:t>
            </w:r>
          </w:p>
        </w:tc>
        <w:tc>
          <w:tcPr>
            <w:tcW w:w="777" w:type="dxa"/>
            <w:vAlign w:val="center"/>
          </w:tcPr>
          <w:p w:rsidR="00AE7DF5" w:rsidRPr="00302887" w:rsidRDefault="00AE7DF5" w:rsidP="00302887">
            <w:pPr>
              <w:pStyle w:val="Tablehead"/>
              <w:rPr>
                <w:sz w:val="20"/>
              </w:rPr>
            </w:pPr>
            <w:r w:rsidRPr="00302887">
              <w:rPr>
                <w:sz w:val="20"/>
              </w:rPr>
              <w:t>0</w:t>
            </w:r>
          </w:p>
        </w:tc>
      </w:tr>
      <w:tr w:rsidR="00AE7DF5" w:rsidRPr="00302887" w:rsidTr="002C14E3">
        <w:trPr>
          <w:jc w:val="center"/>
        </w:trPr>
        <w:tc>
          <w:tcPr>
            <w:tcW w:w="2119" w:type="dxa"/>
          </w:tcPr>
          <w:p w:rsidR="00AE7DF5" w:rsidRPr="00302887" w:rsidRDefault="00AE7DF5" w:rsidP="00302887">
            <w:pPr>
              <w:pStyle w:val="Tabletext"/>
              <w:keepNext/>
              <w:keepLines/>
              <w:jc w:val="left"/>
              <w:rPr>
                <w:sz w:val="20"/>
              </w:rPr>
            </w:pPr>
            <w:r w:rsidRPr="00302887">
              <w:rPr>
                <w:sz w:val="20"/>
              </w:rPr>
              <w:t>Gain en polarisation</w:t>
            </w:r>
            <w:r w:rsidRPr="00302887">
              <w:rPr>
                <w:sz w:val="20"/>
              </w:rPr>
              <w:br/>
              <w:t>circulaire dextrogyre</w:t>
            </w:r>
          </w:p>
        </w:tc>
        <w:tc>
          <w:tcPr>
            <w:tcW w:w="708" w:type="dxa"/>
          </w:tcPr>
          <w:p w:rsidR="00AE7DF5" w:rsidRPr="00302887" w:rsidRDefault="00AE7DF5" w:rsidP="002C14E3">
            <w:pPr>
              <w:pStyle w:val="Tabletext"/>
              <w:keepNext/>
              <w:keepLines/>
              <w:jc w:val="center"/>
              <w:rPr>
                <w:sz w:val="20"/>
              </w:rPr>
            </w:pPr>
            <w:r w:rsidRPr="00302887">
              <w:rPr>
                <w:sz w:val="20"/>
              </w:rPr>
              <w:t>3,85</w:t>
            </w:r>
          </w:p>
        </w:tc>
        <w:tc>
          <w:tcPr>
            <w:tcW w:w="709" w:type="dxa"/>
          </w:tcPr>
          <w:p w:rsidR="00AE7DF5" w:rsidRPr="00302887" w:rsidRDefault="00AE7DF5" w:rsidP="002C14E3">
            <w:pPr>
              <w:pStyle w:val="Tabletext"/>
              <w:keepNext/>
              <w:keepLines/>
              <w:jc w:val="center"/>
              <w:rPr>
                <w:sz w:val="20"/>
              </w:rPr>
            </w:pPr>
            <w:r w:rsidRPr="00302887">
              <w:rPr>
                <w:sz w:val="20"/>
              </w:rPr>
              <w:t>3,54</w:t>
            </w:r>
          </w:p>
        </w:tc>
        <w:tc>
          <w:tcPr>
            <w:tcW w:w="709" w:type="dxa"/>
          </w:tcPr>
          <w:p w:rsidR="00AE7DF5" w:rsidRPr="00302887" w:rsidRDefault="00AE7DF5" w:rsidP="002C14E3">
            <w:pPr>
              <w:pStyle w:val="Tabletext"/>
              <w:keepNext/>
              <w:keepLines/>
              <w:jc w:val="center"/>
              <w:rPr>
                <w:sz w:val="20"/>
              </w:rPr>
            </w:pPr>
            <w:r w:rsidRPr="00302887">
              <w:rPr>
                <w:sz w:val="20"/>
              </w:rPr>
              <w:t>2,62</w:t>
            </w:r>
          </w:p>
        </w:tc>
        <w:tc>
          <w:tcPr>
            <w:tcW w:w="732" w:type="dxa"/>
          </w:tcPr>
          <w:p w:rsidR="00AE7DF5" w:rsidRPr="00302887" w:rsidRDefault="00AE7DF5" w:rsidP="002C14E3">
            <w:pPr>
              <w:pStyle w:val="Tabletext"/>
              <w:keepNext/>
              <w:keepLines/>
              <w:jc w:val="center"/>
              <w:rPr>
                <w:sz w:val="20"/>
              </w:rPr>
            </w:pPr>
            <w:r w:rsidRPr="00302887">
              <w:rPr>
                <w:sz w:val="20"/>
              </w:rPr>
              <w:t>1,24</w:t>
            </w:r>
          </w:p>
        </w:tc>
        <w:tc>
          <w:tcPr>
            <w:tcW w:w="777" w:type="dxa"/>
          </w:tcPr>
          <w:p w:rsidR="00AE7DF5" w:rsidRPr="00302887" w:rsidRDefault="00AE7DF5" w:rsidP="002C14E3">
            <w:pPr>
              <w:pStyle w:val="Tabletext"/>
              <w:keepNext/>
              <w:keepLines/>
              <w:jc w:val="center"/>
              <w:rPr>
                <w:sz w:val="20"/>
              </w:rPr>
            </w:pPr>
            <w:r w:rsidRPr="00302887">
              <w:rPr>
                <w:sz w:val="20"/>
              </w:rPr>
              <w:t>–0,17</w:t>
            </w:r>
          </w:p>
        </w:tc>
        <w:tc>
          <w:tcPr>
            <w:tcW w:w="777" w:type="dxa"/>
          </w:tcPr>
          <w:p w:rsidR="00AE7DF5" w:rsidRPr="00302887" w:rsidRDefault="00AE7DF5" w:rsidP="002C14E3">
            <w:pPr>
              <w:pStyle w:val="Tabletext"/>
              <w:keepNext/>
              <w:keepLines/>
              <w:jc w:val="center"/>
              <w:rPr>
                <w:sz w:val="20"/>
              </w:rPr>
            </w:pPr>
            <w:r w:rsidRPr="00302887">
              <w:rPr>
                <w:sz w:val="20"/>
              </w:rPr>
              <w:t>–1,33</w:t>
            </w:r>
          </w:p>
        </w:tc>
        <w:tc>
          <w:tcPr>
            <w:tcW w:w="777" w:type="dxa"/>
          </w:tcPr>
          <w:p w:rsidR="00AE7DF5" w:rsidRPr="00302887" w:rsidRDefault="00AE7DF5" w:rsidP="002C14E3">
            <w:pPr>
              <w:pStyle w:val="Tabletext"/>
              <w:keepNext/>
              <w:keepLines/>
              <w:jc w:val="center"/>
              <w:rPr>
                <w:sz w:val="20"/>
              </w:rPr>
            </w:pPr>
            <w:r w:rsidRPr="00302887">
              <w:rPr>
                <w:sz w:val="20"/>
              </w:rPr>
              <w:t>–2,24</w:t>
            </w:r>
          </w:p>
        </w:tc>
        <w:tc>
          <w:tcPr>
            <w:tcW w:w="777" w:type="dxa"/>
          </w:tcPr>
          <w:p w:rsidR="00AE7DF5" w:rsidRPr="00302887" w:rsidRDefault="00AE7DF5" w:rsidP="002C14E3">
            <w:pPr>
              <w:pStyle w:val="Tabletext"/>
              <w:keepNext/>
              <w:keepLines/>
              <w:jc w:val="center"/>
              <w:rPr>
                <w:sz w:val="20"/>
              </w:rPr>
            </w:pPr>
            <w:r w:rsidRPr="00302887">
              <w:rPr>
                <w:sz w:val="20"/>
              </w:rPr>
              <w:t>–3,08</w:t>
            </w:r>
          </w:p>
        </w:tc>
        <w:tc>
          <w:tcPr>
            <w:tcW w:w="777" w:type="dxa"/>
          </w:tcPr>
          <w:p w:rsidR="00AE7DF5" w:rsidRPr="00302887" w:rsidRDefault="00AE7DF5" w:rsidP="002C14E3">
            <w:pPr>
              <w:pStyle w:val="Tabletext"/>
              <w:keepNext/>
              <w:keepLines/>
              <w:jc w:val="center"/>
              <w:rPr>
                <w:sz w:val="20"/>
              </w:rPr>
            </w:pPr>
            <w:r w:rsidRPr="00302887">
              <w:rPr>
                <w:sz w:val="20"/>
              </w:rPr>
              <w:t>–3,80</w:t>
            </w:r>
          </w:p>
        </w:tc>
        <w:tc>
          <w:tcPr>
            <w:tcW w:w="777" w:type="dxa"/>
          </w:tcPr>
          <w:p w:rsidR="00AE7DF5" w:rsidRPr="00302887" w:rsidRDefault="00AE7DF5" w:rsidP="002C14E3">
            <w:pPr>
              <w:pStyle w:val="Tabletext"/>
              <w:keepNext/>
              <w:keepLines/>
              <w:jc w:val="center"/>
              <w:rPr>
                <w:sz w:val="20"/>
              </w:rPr>
            </w:pPr>
            <w:r w:rsidRPr="00302887">
              <w:rPr>
                <w:sz w:val="20"/>
              </w:rPr>
              <w:t>–3,96</w:t>
            </w:r>
          </w:p>
        </w:tc>
      </w:tr>
      <w:tr w:rsidR="00AE7DF5" w:rsidRPr="00302887" w:rsidTr="002C14E3">
        <w:trPr>
          <w:jc w:val="center"/>
        </w:trPr>
        <w:tc>
          <w:tcPr>
            <w:tcW w:w="2119" w:type="dxa"/>
          </w:tcPr>
          <w:p w:rsidR="00AE7DF5" w:rsidRPr="00302887" w:rsidRDefault="00AE7DF5" w:rsidP="00302887">
            <w:pPr>
              <w:pStyle w:val="Tabletext"/>
              <w:keepNext/>
              <w:keepLines/>
              <w:jc w:val="left"/>
              <w:rPr>
                <w:sz w:val="20"/>
              </w:rPr>
            </w:pPr>
            <w:r w:rsidRPr="00302887">
              <w:rPr>
                <w:sz w:val="20"/>
              </w:rPr>
              <w:t>Gain en polarisation</w:t>
            </w:r>
            <w:r w:rsidRPr="00302887">
              <w:rPr>
                <w:sz w:val="20"/>
              </w:rPr>
              <w:br/>
              <w:t>circulaire lévogyre</w:t>
            </w:r>
          </w:p>
        </w:tc>
        <w:tc>
          <w:tcPr>
            <w:tcW w:w="708" w:type="dxa"/>
          </w:tcPr>
          <w:p w:rsidR="00AE7DF5" w:rsidRPr="00302887" w:rsidRDefault="00AE7DF5" w:rsidP="002C14E3">
            <w:pPr>
              <w:pStyle w:val="Tabletext"/>
              <w:keepNext/>
              <w:keepLines/>
              <w:jc w:val="center"/>
              <w:rPr>
                <w:sz w:val="20"/>
              </w:rPr>
            </w:pPr>
            <w:r w:rsidRPr="00302887">
              <w:rPr>
                <w:sz w:val="20"/>
              </w:rPr>
              <w:t>–5,69</w:t>
            </w:r>
          </w:p>
        </w:tc>
        <w:tc>
          <w:tcPr>
            <w:tcW w:w="709" w:type="dxa"/>
          </w:tcPr>
          <w:p w:rsidR="00AE7DF5" w:rsidRPr="00302887" w:rsidRDefault="00AE7DF5" w:rsidP="002C14E3">
            <w:pPr>
              <w:pStyle w:val="Tabletext"/>
              <w:keepNext/>
              <w:keepLines/>
              <w:jc w:val="center"/>
              <w:rPr>
                <w:sz w:val="20"/>
              </w:rPr>
            </w:pPr>
            <w:r w:rsidRPr="00302887">
              <w:rPr>
                <w:sz w:val="20"/>
              </w:rPr>
              <w:t>–6,23</w:t>
            </w:r>
          </w:p>
        </w:tc>
        <w:tc>
          <w:tcPr>
            <w:tcW w:w="709" w:type="dxa"/>
          </w:tcPr>
          <w:p w:rsidR="00AE7DF5" w:rsidRPr="00302887" w:rsidRDefault="00AE7DF5" w:rsidP="002C14E3">
            <w:pPr>
              <w:pStyle w:val="Tabletext"/>
              <w:keepNext/>
              <w:keepLines/>
              <w:jc w:val="center"/>
              <w:rPr>
                <w:sz w:val="20"/>
              </w:rPr>
            </w:pPr>
            <w:r w:rsidRPr="00302887">
              <w:rPr>
                <w:sz w:val="20"/>
              </w:rPr>
              <w:t>–7,52</w:t>
            </w:r>
          </w:p>
        </w:tc>
        <w:tc>
          <w:tcPr>
            <w:tcW w:w="732" w:type="dxa"/>
          </w:tcPr>
          <w:p w:rsidR="00AE7DF5" w:rsidRPr="00302887" w:rsidRDefault="00AE7DF5" w:rsidP="002C14E3">
            <w:pPr>
              <w:pStyle w:val="Tabletext"/>
              <w:keepNext/>
              <w:keepLines/>
              <w:jc w:val="center"/>
              <w:rPr>
                <w:sz w:val="20"/>
              </w:rPr>
            </w:pPr>
            <w:r w:rsidRPr="00302887">
              <w:rPr>
                <w:sz w:val="20"/>
              </w:rPr>
              <w:t>–9,39</w:t>
            </w:r>
          </w:p>
        </w:tc>
        <w:tc>
          <w:tcPr>
            <w:tcW w:w="777" w:type="dxa"/>
          </w:tcPr>
          <w:p w:rsidR="00AE7DF5" w:rsidRPr="00302887" w:rsidRDefault="00AE7DF5" w:rsidP="002C14E3">
            <w:pPr>
              <w:pStyle w:val="Tabletext"/>
              <w:keepNext/>
              <w:keepLines/>
              <w:jc w:val="center"/>
              <w:rPr>
                <w:sz w:val="20"/>
              </w:rPr>
            </w:pPr>
            <w:r w:rsidRPr="00302887">
              <w:rPr>
                <w:sz w:val="20"/>
              </w:rPr>
              <w:t>–11,39</w:t>
            </w:r>
          </w:p>
        </w:tc>
        <w:tc>
          <w:tcPr>
            <w:tcW w:w="777" w:type="dxa"/>
          </w:tcPr>
          <w:p w:rsidR="00AE7DF5" w:rsidRPr="00302887" w:rsidRDefault="00AE7DF5" w:rsidP="002C14E3">
            <w:pPr>
              <w:pStyle w:val="Tabletext"/>
              <w:keepNext/>
              <w:keepLines/>
              <w:jc w:val="center"/>
              <w:rPr>
                <w:sz w:val="20"/>
              </w:rPr>
            </w:pPr>
            <w:r w:rsidRPr="00302887">
              <w:rPr>
                <w:sz w:val="20"/>
              </w:rPr>
              <w:t>–13,12</w:t>
            </w:r>
          </w:p>
        </w:tc>
        <w:tc>
          <w:tcPr>
            <w:tcW w:w="777" w:type="dxa"/>
          </w:tcPr>
          <w:p w:rsidR="00AE7DF5" w:rsidRPr="00302887" w:rsidRDefault="00AE7DF5" w:rsidP="002C14E3">
            <w:pPr>
              <w:pStyle w:val="Tabletext"/>
              <w:keepNext/>
              <w:keepLines/>
              <w:jc w:val="center"/>
              <w:rPr>
                <w:sz w:val="20"/>
              </w:rPr>
            </w:pPr>
            <w:r w:rsidRPr="00302887">
              <w:rPr>
                <w:sz w:val="20"/>
              </w:rPr>
              <w:t>–14,52</w:t>
            </w:r>
          </w:p>
        </w:tc>
        <w:tc>
          <w:tcPr>
            <w:tcW w:w="777" w:type="dxa"/>
          </w:tcPr>
          <w:p w:rsidR="00AE7DF5" w:rsidRPr="00302887" w:rsidRDefault="00AE7DF5" w:rsidP="002C14E3">
            <w:pPr>
              <w:pStyle w:val="Tabletext"/>
              <w:keepNext/>
              <w:keepLines/>
              <w:jc w:val="center"/>
              <w:rPr>
                <w:sz w:val="20"/>
              </w:rPr>
            </w:pPr>
            <w:r w:rsidRPr="00302887">
              <w:rPr>
                <w:sz w:val="20"/>
              </w:rPr>
              <w:t>–15,77</w:t>
            </w:r>
          </w:p>
        </w:tc>
        <w:tc>
          <w:tcPr>
            <w:tcW w:w="777" w:type="dxa"/>
          </w:tcPr>
          <w:p w:rsidR="00AE7DF5" w:rsidRPr="00302887" w:rsidRDefault="00AE7DF5" w:rsidP="002C14E3">
            <w:pPr>
              <w:pStyle w:val="Tabletext"/>
              <w:keepNext/>
              <w:keepLines/>
              <w:jc w:val="center"/>
              <w:rPr>
                <w:sz w:val="20"/>
              </w:rPr>
            </w:pPr>
            <w:r w:rsidRPr="00302887">
              <w:rPr>
                <w:sz w:val="20"/>
              </w:rPr>
              <w:t>–17,17</w:t>
            </w:r>
          </w:p>
        </w:tc>
        <w:tc>
          <w:tcPr>
            <w:tcW w:w="777" w:type="dxa"/>
          </w:tcPr>
          <w:p w:rsidR="00AE7DF5" w:rsidRPr="00302887" w:rsidRDefault="00AE7DF5" w:rsidP="002C14E3">
            <w:pPr>
              <w:pStyle w:val="Tabletext"/>
              <w:keepNext/>
              <w:keepLines/>
              <w:jc w:val="center"/>
              <w:rPr>
                <w:sz w:val="20"/>
              </w:rPr>
            </w:pPr>
            <w:r w:rsidRPr="00302887">
              <w:rPr>
                <w:sz w:val="20"/>
              </w:rPr>
              <w:t>–18,00</w:t>
            </w:r>
          </w:p>
        </w:tc>
      </w:tr>
      <w:tr w:rsidR="00AE7DF5" w:rsidRPr="00302887" w:rsidTr="002C14E3">
        <w:trPr>
          <w:jc w:val="center"/>
        </w:trPr>
        <w:tc>
          <w:tcPr>
            <w:tcW w:w="2119" w:type="dxa"/>
          </w:tcPr>
          <w:p w:rsidR="00AE7DF5" w:rsidRPr="00302887" w:rsidRDefault="00AE7DF5" w:rsidP="00302887">
            <w:pPr>
              <w:pStyle w:val="Tabletext"/>
              <w:jc w:val="left"/>
              <w:rPr>
                <w:sz w:val="20"/>
              </w:rPr>
            </w:pPr>
            <w:r w:rsidRPr="00302887">
              <w:rPr>
                <w:sz w:val="20"/>
              </w:rPr>
              <w:t>Taux d'ellipticité</w:t>
            </w:r>
          </w:p>
        </w:tc>
        <w:tc>
          <w:tcPr>
            <w:tcW w:w="708" w:type="dxa"/>
          </w:tcPr>
          <w:p w:rsidR="00AE7DF5" w:rsidRPr="00302887" w:rsidRDefault="00AE7DF5" w:rsidP="002C14E3">
            <w:pPr>
              <w:pStyle w:val="Tabletext"/>
              <w:jc w:val="center"/>
              <w:rPr>
                <w:sz w:val="20"/>
              </w:rPr>
            </w:pPr>
            <w:r w:rsidRPr="00302887">
              <w:rPr>
                <w:sz w:val="20"/>
              </w:rPr>
              <w:t>6,02</w:t>
            </w:r>
          </w:p>
        </w:tc>
        <w:tc>
          <w:tcPr>
            <w:tcW w:w="709" w:type="dxa"/>
          </w:tcPr>
          <w:p w:rsidR="00AE7DF5" w:rsidRPr="00302887" w:rsidRDefault="00AE7DF5" w:rsidP="002C14E3">
            <w:pPr>
              <w:pStyle w:val="Tabletext"/>
              <w:jc w:val="center"/>
              <w:rPr>
                <w:sz w:val="20"/>
              </w:rPr>
            </w:pPr>
            <w:r w:rsidRPr="00302887">
              <w:rPr>
                <w:sz w:val="20"/>
              </w:rPr>
              <w:t>5,85</w:t>
            </w:r>
          </w:p>
        </w:tc>
        <w:tc>
          <w:tcPr>
            <w:tcW w:w="709" w:type="dxa"/>
          </w:tcPr>
          <w:p w:rsidR="00AE7DF5" w:rsidRPr="00302887" w:rsidRDefault="00AE7DF5" w:rsidP="002C14E3">
            <w:pPr>
              <w:pStyle w:val="Tabletext"/>
              <w:jc w:val="center"/>
              <w:rPr>
                <w:sz w:val="20"/>
              </w:rPr>
            </w:pPr>
            <w:r w:rsidRPr="00302887">
              <w:rPr>
                <w:sz w:val="20"/>
              </w:rPr>
              <w:t>5,59</w:t>
            </w:r>
          </w:p>
        </w:tc>
        <w:tc>
          <w:tcPr>
            <w:tcW w:w="732" w:type="dxa"/>
          </w:tcPr>
          <w:p w:rsidR="00AE7DF5" w:rsidRPr="00302887" w:rsidRDefault="00AE7DF5" w:rsidP="002C14E3">
            <w:pPr>
              <w:pStyle w:val="Tabletext"/>
              <w:jc w:val="center"/>
              <w:rPr>
                <w:sz w:val="20"/>
              </w:rPr>
            </w:pPr>
            <w:r w:rsidRPr="00302887">
              <w:rPr>
                <w:sz w:val="20"/>
              </w:rPr>
              <w:t>5,26</w:t>
            </w:r>
          </w:p>
        </w:tc>
        <w:tc>
          <w:tcPr>
            <w:tcW w:w="777" w:type="dxa"/>
          </w:tcPr>
          <w:p w:rsidR="00AE7DF5" w:rsidRPr="00302887" w:rsidRDefault="00AE7DF5" w:rsidP="002C14E3">
            <w:pPr>
              <w:pStyle w:val="Tabletext"/>
              <w:jc w:val="center"/>
              <w:rPr>
                <w:sz w:val="20"/>
              </w:rPr>
            </w:pPr>
            <w:r w:rsidRPr="00302887">
              <w:rPr>
                <w:sz w:val="20"/>
              </w:rPr>
              <w:t>4,90</w:t>
            </w:r>
          </w:p>
        </w:tc>
        <w:tc>
          <w:tcPr>
            <w:tcW w:w="777" w:type="dxa"/>
          </w:tcPr>
          <w:p w:rsidR="00AE7DF5" w:rsidRPr="00302887" w:rsidRDefault="00AE7DF5" w:rsidP="002C14E3">
            <w:pPr>
              <w:pStyle w:val="Tabletext"/>
              <w:jc w:val="center"/>
              <w:rPr>
                <w:sz w:val="20"/>
              </w:rPr>
            </w:pPr>
            <w:r w:rsidRPr="00302887">
              <w:rPr>
                <w:sz w:val="20"/>
              </w:rPr>
              <w:t>4,57</w:t>
            </w:r>
          </w:p>
        </w:tc>
        <w:tc>
          <w:tcPr>
            <w:tcW w:w="777" w:type="dxa"/>
          </w:tcPr>
          <w:p w:rsidR="00AE7DF5" w:rsidRPr="00302887" w:rsidRDefault="00AE7DF5" w:rsidP="002C14E3">
            <w:pPr>
              <w:pStyle w:val="Tabletext"/>
              <w:jc w:val="center"/>
              <w:rPr>
                <w:sz w:val="20"/>
              </w:rPr>
            </w:pPr>
            <w:r w:rsidRPr="00302887">
              <w:rPr>
                <w:sz w:val="20"/>
              </w:rPr>
              <w:t>4,31</w:t>
            </w:r>
          </w:p>
        </w:tc>
        <w:tc>
          <w:tcPr>
            <w:tcW w:w="777" w:type="dxa"/>
          </w:tcPr>
          <w:p w:rsidR="00AE7DF5" w:rsidRPr="00302887" w:rsidRDefault="00AE7DF5" w:rsidP="002C14E3">
            <w:pPr>
              <w:pStyle w:val="Tabletext"/>
              <w:jc w:val="center"/>
              <w:rPr>
                <w:sz w:val="20"/>
              </w:rPr>
            </w:pPr>
            <w:r w:rsidRPr="00302887">
              <w:rPr>
                <w:sz w:val="20"/>
              </w:rPr>
              <w:t>4,11</w:t>
            </w:r>
          </w:p>
        </w:tc>
        <w:tc>
          <w:tcPr>
            <w:tcW w:w="777" w:type="dxa"/>
          </w:tcPr>
          <w:p w:rsidR="00AE7DF5" w:rsidRPr="00302887" w:rsidRDefault="00AE7DF5" w:rsidP="002C14E3">
            <w:pPr>
              <w:pStyle w:val="Tabletext"/>
              <w:jc w:val="center"/>
              <w:rPr>
                <w:sz w:val="20"/>
              </w:rPr>
            </w:pPr>
            <w:r w:rsidRPr="00302887">
              <w:rPr>
                <w:sz w:val="20"/>
              </w:rPr>
              <w:t>3,78</w:t>
            </w:r>
          </w:p>
        </w:tc>
        <w:tc>
          <w:tcPr>
            <w:tcW w:w="777" w:type="dxa"/>
          </w:tcPr>
          <w:p w:rsidR="00AE7DF5" w:rsidRPr="00302887" w:rsidRDefault="00AE7DF5" w:rsidP="002C14E3">
            <w:pPr>
              <w:pStyle w:val="Tabletext"/>
              <w:jc w:val="center"/>
              <w:rPr>
                <w:sz w:val="20"/>
              </w:rPr>
            </w:pPr>
            <w:r w:rsidRPr="00302887">
              <w:rPr>
                <w:sz w:val="20"/>
              </w:rPr>
              <w:t>3,49</w:t>
            </w:r>
          </w:p>
        </w:tc>
      </w:tr>
    </w:tbl>
    <w:p w:rsidR="00AE7DF5" w:rsidRPr="00E52BE9" w:rsidRDefault="00AE7DF5" w:rsidP="00751F87">
      <w:pPr>
        <w:pStyle w:val="Normalaftertitle"/>
      </w:pPr>
      <w:r w:rsidRPr="00E52BE9">
        <w:lastRenderedPageBreak/>
        <w:t>Les valeurs du Tableau 1 correspondent à celles du diagramme d'une antenne de réception entre les instruments SARP et ARGOS et devraient s'appliquer aux satellites NOAA et METOP.</w:t>
      </w:r>
    </w:p>
    <w:p w:rsidR="00AE7DF5" w:rsidRPr="00E52BE9" w:rsidRDefault="00AE7DF5" w:rsidP="00AE7DF5">
      <w:r w:rsidRPr="00E52BE9">
        <w:t>Pour le système ARGOS, les valeurs types sont les suivantes: facteur de bruit = 3 dB (paramètre d'entrée ARGOS); température du bruit de fond dans le cas le plus défavorable = 1</w:t>
      </w:r>
      <w:r w:rsidRPr="00E52BE9">
        <w:rPr>
          <w:rFonts w:ascii="Tms Rmn" w:hAnsi="Tms Rmn"/>
          <w:sz w:val="12"/>
        </w:rPr>
        <w:t> </w:t>
      </w:r>
      <w:r w:rsidRPr="00E52BE9">
        <w:t>200 K (valeur mesurée compte tenu du bruit industriel en Europe); affaiblissement entre l'antenne et le récepteur ARGOS = 1,6 dB. En conséquence, la température de bruit du système à l'entrée du récepteur ARGOS (point B de la Fig. 1) est égale à 1</w:t>
      </w:r>
      <w:r w:rsidRPr="00E52BE9">
        <w:rPr>
          <w:rFonts w:ascii="Tms Rmn" w:hAnsi="Tms Rmn"/>
          <w:sz w:val="12"/>
        </w:rPr>
        <w:t> </w:t>
      </w:r>
      <w:r w:rsidRPr="00E52BE9">
        <w:t xml:space="preserve">214 K, de sorte que la densité spectrale de bruit est égale à </w:t>
      </w:r>
      <w:r w:rsidRPr="00E52BE9">
        <w:rPr>
          <w:i/>
          <w:iCs/>
        </w:rPr>
        <w:t>N</w:t>
      </w:r>
      <w:r w:rsidRPr="00E52BE9">
        <w:rPr>
          <w:vertAlign w:val="subscript"/>
        </w:rPr>
        <w:t>0</w:t>
      </w:r>
      <w:r w:rsidRPr="00E52BE9">
        <w:t> = –197,8 </w:t>
      </w:r>
      <w:proofErr w:type="gramStart"/>
      <w:r w:rsidRPr="00E52BE9">
        <w:t>dB(</w:t>
      </w:r>
      <w:proofErr w:type="gramEnd"/>
      <w:r w:rsidRPr="00E52BE9">
        <w:t>W/Hz).</w:t>
      </w:r>
    </w:p>
    <w:p w:rsidR="00AE7DF5" w:rsidRPr="00E52BE9" w:rsidRDefault="00AE7DF5" w:rsidP="00AE7DF5">
      <w:r w:rsidRPr="00E52BE9">
        <w:t xml:space="preserve">Dans le cas le plus défavorable, le système ARGOS est conçu pour fonctionner correctement lorsque le signal reçu a une puissance </w:t>
      </w:r>
      <w:r w:rsidRPr="00E52BE9">
        <w:rPr>
          <w:i/>
          <w:iCs/>
        </w:rPr>
        <w:t>C</w:t>
      </w:r>
      <w:r w:rsidRPr="00E52BE9">
        <w:t xml:space="preserve"> = –160 dBW (niveau minimal du signal reçu) à l'entrée du récepteur, ce qui donne un rapport équivalent </w:t>
      </w:r>
      <w:r w:rsidRPr="00E52BE9">
        <w:rPr>
          <w:i/>
          <w:iCs/>
        </w:rPr>
        <w:t>E</w:t>
      </w:r>
      <w:r w:rsidRPr="00E52BE9">
        <w:rPr>
          <w:i/>
          <w:iCs/>
          <w:position w:val="-4"/>
          <w:sz w:val="16"/>
        </w:rPr>
        <w:t>b</w:t>
      </w:r>
      <w:r w:rsidRPr="00E52BE9">
        <w:t>/</w:t>
      </w:r>
      <w:r w:rsidRPr="00E52BE9">
        <w:rPr>
          <w:i/>
          <w:iCs/>
        </w:rPr>
        <w:t>N</w:t>
      </w:r>
      <w:r w:rsidRPr="00E52BE9">
        <w:rPr>
          <w:position w:val="-4"/>
          <w:sz w:val="16"/>
        </w:rPr>
        <w:t>0</w:t>
      </w:r>
      <w:r w:rsidRPr="00E52BE9">
        <w:t> = 8,3 dB au niveau du détecteur de bits du système ARGOS si l'on tient compte de l'onde de forme de la balise et des différents affaiblissements de la balise.</w:t>
      </w:r>
    </w:p>
    <w:p w:rsidR="00AE7DF5" w:rsidRPr="00E52BE9" w:rsidRDefault="00AE7DF5" w:rsidP="00AE7DF5">
      <w:r w:rsidRPr="00E52BE9">
        <w:t xml:space="preserve">En conséquence, pour obtenir un TEB de </w:t>
      </w:r>
      <w:r>
        <w:t>2</w:t>
      </w:r>
      <w:r w:rsidRPr="00E52BE9">
        <w:t> </w:t>
      </w:r>
      <w:r w:rsidRPr="00E52BE9">
        <w:sym w:font="Symbol" w:char="F0B4"/>
      </w:r>
      <w:r w:rsidRPr="00E52BE9">
        <w:t> 10</w:t>
      </w:r>
      <w:r w:rsidRPr="00E52BE9">
        <w:rPr>
          <w:vertAlign w:val="superscript"/>
        </w:rPr>
        <w:t>–4</w:t>
      </w:r>
      <w:r w:rsidRPr="00E52BE9">
        <w:t xml:space="preserve"> (ce qui correspond à un rapport </w:t>
      </w:r>
      <w:r w:rsidRPr="00E52BE9">
        <w:rPr>
          <w:i/>
          <w:iCs/>
        </w:rPr>
        <w:t>E</w:t>
      </w:r>
      <w:r w:rsidRPr="00E52BE9">
        <w:rPr>
          <w:i/>
          <w:iCs/>
          <w:vertAlign w:val="subscript"/>
        </w:rPr>
        <w:t>b</w:t>
      </w:r>
      <w:r w:rsidRPr="00E52BE9">
        <w:t>/</w:t>
      </w:r>
      <w:r w:rsidRPr="00E52BE9">
        <w:rPr>
          <w:i/>
          <w:iCs/>
        </w:rPr>
        <w:t>N</w:t>
      </w:r>
      <w:r w:rsidRPr="00E52BE9">
        <w:rPr>
          <w:vertAlign w:val="subscript"/>
        </w:rPr>
        <w:t>0</w:t>
      </w:r>
      <w:r w:rsidRPr="00E52BE9">
        <w:t xml:space="preserve">  minimal de 8 dB), la dégradation maximale acceptable est de 0,3 dB. </w:t>
      </w:r>
    </w:p>
    <w:p w:rsidR="00AE7DF5" w:rsidRPr="00E52BE9" w:rsidRDefault="00AE7DF5" w:rsidP="00AE7DF5">
      <w:r w:rsidRPr="00E52BE9">
        <w:t>Nous calculons ensuite le supplément de bruit correspondant à la dégradation de 0,3 dB du rapport </w:t>
      </w:r>
      <w:r w:rsidRPr="00E52BE9">
        <w:rPr>
          <w:i/>
          <w:iCs/>
        </w:rPr>
        <w:t>C</w:t>
      </w:r>
      <w:r w:rsidRPr="00E52BE9">
        <w:t>/</w:t>
      </w:r>
      <w:r w:rsidRPr="00E52BE9">
        <w:rPr>
          <w:i/>
          <w:iCs/>
        </w:rPr>
        <w:t>N</w:t>
      </w:r>
      <w:r w:rsidRPr="00E52BE9">
        <w:rPr>
          <w:vertAlign w:val="subscript"/>
        </w:rPr>
        <w:t>0</w:t>
      </w:r>
      <w:r w:rsidRPr="00E52BE9">
        <w:t>.</w:t>
      </w:r>
    </w:p>
    <w:p w:rsidR="00AE7DF5" w:rsidRPr="00E52BE9" w:rsidRDefault="00AE7DF5" w:rsidP="00AE7DF5">
      <w:r w:rsidRPr="00E52BE9">
        <w:rPr>
          <w:i/>
          <w:iCs/>
        </w:rPr>
        <w:t>I</w:t>
      </w:r>
      <w:r w:rsidRPr="00E52BE9">
        <w:rPr>
          <w:vertAlign w:val="subscript"/>
        </w:rPr>
        <w:t>0</w:t>
      </w:r>
      <w:r w:rsidRPr="00E52BE9">
        <w:t xml:space="preserve"> représente la densité de puissance de bruit supplémentaire.</w:t>
      </w:r>
      <w:r>
        <w:t xml:space="preserve"> </w:t>
      </w:r>
      <w:r w:rsidRPr="00E52BE9">
        <w:t xml:space="preserve">Par conséquent, le bruit initial </w:t>
      </w:r>
      <w:r w:rsidRPr="00E52BE9">
        <w:rPr>
          <w:i/>
          <w:iCs/>
        </w:rPr>
        <w:t>N</w:t>
      </w:r>
      <w:r w:rsidRPr="00E52BE9">
        <w:rPr>
          <w:vertAlign w:val="subscript"/>
        </w:rPr>
        <w:t>0</w:t>
      </w:r>
      <w:r w:rsidRPr="00E52BE9">
        <w:t xml:space="preserve"> devient </w:t>
      </w:r>
      <w:r w:rsidRPr="00E52BE9">
        <w:rPr>
          <w:i/>
          <w:iCs/>
        </w:rPr>
        <w:t>N</w:t>
      </w:r>
      <w:r w:rsidRPr="00E52BE9">
        <w:rPr>
          <w:vertAlign w:val="subscript"/>
        </w:rPr>
        <w:t>0</w:t>
      </w:r>
      <w:r w:rsidRPr="00E52BE9">
        <w:t> + </w:t>
      </w:r>
      <w:r w:rsidRPr="00E52BE9">
        <w:rPr>
          <w:i/>
          <w:iCs/>
        </w:rPr>
        <w:t>I</w:t>
      </w:r>
      <w:r w:rsidRPr="00E52BE9">
        <w:rPr>
          <w:vertAlign w:val="subscript"/>
        </w:rPr>
        <w:t>0</w:t>
      </w:r>
      <w:r w:rsidRPr="00E52BE9">
        <w:t>.</w:t>
      </w:r>
    </w:p>
    <w:p w:rsidR="00AE7DF5" w:rsidRPr="00E52BE9" w:rsidRDefault="00AE7DF5" w:rsidP="00AE7DF5">
      <w:r w:rsidRPr="00E52BE9">
        <w:t xml:space="preserve">Le rapport signal/bruit </w:t>
      </w:r>
      <w:r w:rsidRPr="00E52BE9">
        <w:rPr>
          <w:i/>
          <w:iCs/>
        </w:rPr>
        <w:t>C</w:t>
      </w:r>
      <w:r w:rsidRPr="00E52BE9">
        <w:t>/</w:t>
      </w:r>
      <w:r w:rsidRPr="00E52BE9">
        <w:rPr>
          <w:i/>
          <w:iCs/>
        </w:rPr>
        <w:t>N</w:t>
      </w:r>
      <w:r w:rsidRPr="00E52BE9">
        <w:rPr>
          <w:vertAlign w:val="subscript"/>
        </w:rPr>
        <w:t>0</w:t>
      </w:r>
      <w:r w:rsidRPr="00E52BE9">
        <w:t xml:space="preserve"> devient </w:t>
      </w:r>
      <w:r w:rsidRPr="00E52BE9">
        <w:rPr>
          <w:i/>
          <w:iCs/>
        </w:rPr>
        <w:t>C</w:t>
      </w:r>
      <w:proofErr w:type="gramStart"/>
      <w:r w:rsidRPr="00E52BE9">
        <w:t>/(</w:t>
      </w:r>
      <w:proofErr w:type="gramEnd"/>
      <w:r w:rsidRPr="00E52BE9">
        <w:rPr>
          <w:i/>
          <w:iCs/>
        </w:rPr>
        <w:t>N</w:t>
      </w:r>
      <w:r w:rsidRPr="00E52BE9">
        <w:rPr>
          <w:vertAlign w:val="subscript"/>
        </w:rPr>
        <w:t>0</w:t>
      </w:r>
      <w:r w:rsidRPr="00E52BE9">
        <w:t> + </w:t>
      </w:r>
      <w:r w:rsidRPr="00E52BE9">
        <w:rPr>
          <w:i/>
          <w:iCs/>
        </w:rPr>
        <w:t>I</w:t>
      </w:r>
      <w:r w:rsidRPr="00E52BE9">
        <w:rPr>
          <w:vertAlign w:val="subscript"/>
        </w:rPr>
        <w:t>0</w:t>
      </w:r>
      <w:r w:rsidRPr="00E52BE9">
        <w:t>).</w:t>
      </w:r>
    </w:p>
    <w:p w:rsidR="00AE7DF5" w:rsidRPr="00E52BE9" w:rsidRDefault="00AE7DF5" w:rsidP="00AE7DF5">
      <w:r w:rsidRPr="00E52BE9">
        <w:t>La dégradation étant de 0,3 dB = 10 log ((</w:t>
      </w:r>
      <w:r w:rsidRPr="00E52BE9">
        <w:rPr>
          <w:i/>
          <w:iCs/>
        </w:rPr>
        <w:t>C</w:t>
      </w:r>
      <w:r w:rsidRPr="00E52BE9">
        <w:t>/</w:t>
      </w:r>
      <w:r w:rsidRPr="00E52BE9">
        <w:rPr>
          <w:i/>
          <w:iCs/>
        </w:rPr>
        <w:t>N</w:t>
      </w:r>
      <w:r w:rsidRPr="00E52BE9">
        <w:rPr>
          <w:vertAlign w:val="subscript"/>
        </w:rPr>
        <w:t>0</w:t>
      </w:r>
      <w:r w:rsidRPr="00E52BE9">
        <w:t>)/(</w:t>
      </w:r>
      <w:r w:rsidRPr="00E52BE9">
        <w:rPr>
          <w:i/>
          <w:iCs/>
        </w:rPr>
        <w:t>C</w:t>
      </w:r>
      <w:proofErr w:type="gramStart"/>
      <w:r w:rsidRPr="00E52BE9">
        <w:t>/(</w:t>
      </w:r>
      <w:proofErr w:type="gramEnd"/>
      <w:r w:rsidRPr="00E52BE9">
        <w:rPr>
          <w:i/>
          <w:iCs/>
        </w:rPr>
        <w:t>N</w:t>
      </w:r>
      <w:r w:rsidRPr="00E52BE9">
        <w:rPr>
          <w:vertAlign w:val="subscript"/>
        </w:rPr>
        <w:t>0</w:t>
      </w:r>
      <w:r w:rsidRPr="00E52BE9">
        <w:t> + </w:t>
      </w:r>
      <w:r w:rsidRPr="00E52BE9">
        <w:rPr>
          <w:i/>
          <w:iCs/>
        </w:rPr>
        <w:t>I</w:t>
      </w:r>
      <w:r w:rsidRPr="00E52BE9">
        <w:rPr>
          <w:vertAlign w:val="subscript"/>
        </w:rPr>
        <w:t>0</w:t>
      </w:r>
      <w:r w:rsidRPr="00E52BE9">
        <w:t xml:space="preserve">))), </w:t>
      </w:r>
      <w:r w:rsidRPr="00E52BE9">
        <w:rPr>
          <w:i/>
          <w:iCs/>
        </w:rPr>
        <w:t>I</w:t>
      </w:r>
      <w:r w:rsidRPr="00E52BE9">
        <w:rPr>
          <w:vertAlign w:val="subscript"/>
        </w:rPr>
        <w:t>0</w:t>
      </w:r>
      <w:r w:rsidRPr="00E52BE9">
        <w:rPr>
          <w:rFonts w:ascii="Tms Rmn" w:hAnsi="Tms Rmn"/>
          <w:position w:val="-4"/>
          <w:sz w:val="4"/>
        </w:rPr>
        <w:t> </w:t>
      </w:r>
      <w:r w:rsidRPr="00E52BE9">
        <w:t>/</w:t>
      </w:r>
      <w:r w:rsidRPr="00E52BE9">
        <w:rPr>
          <w:i/>
          <w:iCs/>
        </w:rPr>
        <w:t>N</w:t>
      </w:r>
      <w:r w:rsidRPr="00E52BE9">
        <w:rPr>
          <w:vertAlign w:val="subscript"/>
        </w:rPr>
        <w:t>0</w:t>
      </w:r>
      <w:r w:rsidRPr="00E52BE9">
        <w:t xml:space="preserve"> = –11,5 dB et </w:t>
      </w:r>
      <w:r w:rsidRPr="00E52BE9">
        <w:br/>
      </w:r>
      <w:r w:rsidRPr="00E52BE9">
        <w:rPr>
          <w:i/>
          <w:iCs/>
        </w:rPr>
        <w:t>I</w:t>
      </w:r>
      <w:r w:rsidRPr="00E52BE9">
        <w:rPr>
          <w:vertAlign w:val="subscript"/>
        </w:rPr>
        <w:t>0</w:t>
      </w:r>
      <w:r w:rsidRPr="00E52BE9">
        <w:t xml:space="preserve"> = –209,3 dB(W/Hz), ce qui correspond à une température de 86 K, soit une augmentation de 7% de la température de bruit du système à l'entrée du récepteur.</w:t>
      </w:r>
    </w:p>
    <w:p w:rsidR="00AE7DF5" w:rsidRPr="00E52BE9" w:rsidRDefault="00AE7DF5" w:rsidP="00AE7DF5">
      <w:r w:rsidRPr="00E52BE9">
        <w:t xml:space="preserve">En conséquence, le niveau maximal admissible de la densité de bruit est </w:t>
      </w:r>
      <w:r w:rsidRPr="00E52BE9">
        <w:rPr>
          <w:i/>
          <w:iCs/>
        </w:rPr>
        <w:t>I</w:t>
      </w:r>
      <w:r w:rsidRPr="00E52BE9">
        <w:rPr>
          <w:vertAlign w:val="subscript"/>
        </w:rPr>
        <w:t>0</w:t>
      </w:r>
      <w:r w:rsidRPr="00E52BE9">
        <w:t> = –209,3 </w:t>
      </w:r>
      <w:proofErr w:type="gramStart"/>
      <w:r w:rsidRPr="00E52BE9">
        <w:t>dB(</w:t>
      </w:r>
      <w:proofErr w:type="gramEnd"/>
      <w:r w:rsidRPr="00E52BE9">
        <w:t>W/Hz) (calculé pour le point B de la Fig. 1).</w:t>
      </w:r>
    </w:p>
    <w:p w:rsidR="00AE7DF5" w:rsidRPr="00E52BE9" w:rsidRDefault="00AE7DF5" w:rsidP="00AE7DF5">
      <w:r w:rsidRPr="00E52BE9">
        <w:t xml:space="preserve">Comme il ressort de la Fig. 1, la densité de bruit, </w:t>
      </w:r>
      <w:r w:rsidRPr="00E52BE9">
        <w:rPr>
          <w:i/>
          <w:iCs/>
        </w:rPr>
        <w:t>I</w:t>
      </w:r>
      <w:r w:rsidRPr="00E52BE9">
        <w:rPr>
          <w:vertAlign w:val="subscript"/>
        </w:rPr>
        <w:t>0</w:t>
      </w:r>
      <w:r w:rsidRPr="00E52BE9">
        <w:t xml:space="preserve">, tient compte de l'affaiblissement et du gain d'antenne. Etant donné que l'on doit connaître la spfd, il faut convertir cette valeur en </w:t>
      </w:r>
      <w:proofErr w:type="gramStart"/>
      <w:r w:rsidRPr="00E52BE9">
        <w:t>dB(</w:t>
      </w:r>
      <w:proofErr w:type="gramEnd"/>
      <w:r w:rsidRPr="00E52BE9">
        <w:t>W/(m</w:t>
      </w:r>
      <w:r w:rsidRPr="00E52BE9">
        <w:rPr>
          <w:vertAlign w:val="superscript"/>
        </w:rPr>
        <w:t>2</w:t>
      </w:r>
      <w:r w:rsidRPr="00E52BE9">
        <w:t xml:space="preserve"> · Hz)). La surface apparente d'une antenne ayant un gain </w:t>
      </w:r>
      <w:r w:rsidRPr="00E52BE9">
        <w:rPr>
          <w:i/>
          <w:iCs/>
        </w:rPr>
        <w:t>G</w:t>
      </w:r>
      <w:r w:rsidRPr="00E52BE9">
        <w:t xml:space="preserve"> </w:t>
      </w:r>
      <w:proofErr w:type="gramStart"/>
      <w:r w:rsidRPr="00E52BE9">
        <w:t xml:space="preserve">est </w:t>
      </w:r>
      <w:proofErr w:type="gramEnd"/>
      <w:r w:rsidRPr="00E52BE9">
        <w:rPr>
          <w:position w:val="-24"/>
        </w:rPr>
        <w:object w:dxaOrig="900" w:dyaOrig="680">
          <v:shape id="_x0000_i1026" type="#_x0000_t75" style="width:44.25pt;height:34.5pt" o:ole="">
            <v:imagedata r:id="rId14" o:title=""/>
          </v:shape>
          <o:OLEObject Type="Embed" ProgID="Equation.3" ShapeID="_x0000_i1026" DrawAspect="Content" ObjectID="_1598445566" r:id="rId15"/>
        </w:object>
      </w:r>
      <w:r w:rsidRPr="00E52BE9">
        <w:t>. La spfd correspondante est donc égale à –209,3 + 1,6 (affaiblissements) – 10 log</w:t>
      </w:r>
      <w:r w:rsidRPr="00E52BE9">
        <w:rPr>
          <w:vertAlign w:val="subscript"/>
        </w:rPr>
        <w:t>10</w:t>
      </w:r>
      <w:r w:rsidRPr="00E52BE9">
        <w:t> </w:t>
      </w:r>
      <w:r w:rsidRPr="00E52BE9">
        <w:rPr>
          <w:i/>
          <w:iCs/>
        </w:rPr>
        <w:t>S</w:t>
      </w:r>
      <w:r w:rsidRPr="00E52BE9">
        <w:t xml:space="preserve"> = </w:t>
      </w:r>
      <w:r>
        <w:br/>
        <w:t>–</w:t>
      </w:r>
      <w:r w:rsidRPr="00E52BE9">
        <w:t>197,9 </w:t>
      </w:r>
      <w:proofErr w:type="gramStart"/>
      <w:r w:rsidRPr="00E52BE9">
        <w:t>dB(</w:t>
      </w:r>
      <w:proofErr w:type="gramEnd"/>
      <w:r w:rsidRPr="00E52BE9">
        <w:t>W/(m</w:t>
      </w:r>
      <w:r w:rsidRPr="00E52BE9">
        <w:rPr>
          <w:position w:val="6"/>
          <w:sz w:val="16"/>
        </w:rPr>
        <w:t>2</w:t>
      </w:r>
      <w:r w:rsidRPr="00E52BE9">
        <w:t> · Hz)), en prenant en compte le plus grand</w:t>
      </w:r>
      <w:r>
        <w:t> angle du satellite par rapport </w:t>
      </w:r>
      <w:r w:rsidRPr="00E52BE9">
        <w:t>au nadir.</w:t>
      </w:r>
    </w:p>
    <w:p w:rsidR="00AE7DF5" w:rsidRPr="00E52BE9" w:rsidRDefault="00AE7DF5" w:rsidP="00AE7DF5"/>
    <w:p w:rsidR="00AE7DF5" w:rsidRPr="00E52BE9" w:rsidRDefault="00AE7DF5" w:rsidP="00AE7DF5"/>
    <w:p w:rsidR="00AE7DF5" w:rsidRPr="00E52BE9" w:rsidRDefault="00AE7DF5" w:rsidP="00302887">
      <w:r w:rsidRPr="00E52BE9">
        <w:br w:type="page"/>
      </w:r>
    </w:p>
    <w:p w:rsidR="00AE7DF5" w:rsidRPr="00E52BE9" w:rsidRDefault="00AE7DF5" w:rsidP="00751F87">
      <w:pPr>
        <w:pStyle w:val="AnnexNoTitle"/>
      </w:pPr>
      <w:r w:rsidRPr="00E52BE9">
        <w:lastRenderedPageBreak/>
        <w:t>Annexe 2</w:t>
      </w:r>
      <w:r>
        <w:br/>
      </w:r>
      <w:r>
        <w:br/>
      </w:r>
      <w:r w:rsidRPr="00E52BE9">
        <w:t xml:space="preserve">Critères de protection des instruments DCS par satellite non OSG </w:t>
      </w:r>
      <w:r w:rsidRPr="00E52BE9">
        <w:br/>
        <w:t xml:space="preserve">dans la bande 401-401,69 MHz contre les émissions brouilleuses </w:t>
      </w:r>
      <w:r w:rsidRPr="00E52BE9">
        <w:br/>
      </w:r>
      <w:r>
        <w:t xml:space="preserve">en bande étroite </w:t>
      </w:r>
      <w:r w:rsidRPr="00E52BE9">
        <w:t>dues aux raies spectrales</w:t>
      </w:r>
    </w:p>
    <w:p w:rsidR="00AE7DF5" w:rsidRPr="00E52BE9" w:rsidRDefault="00AE7DF5" w:rsidP="00AE7DF5">
      <w:pPr>
        <w:pStyle w:val="Heading1"/>
      </w:pPr>
      <w:r w:rsidRPr="00E52BE9">
        <w:t>1</w:t>
      </w:r>
      <w:r w:rsidRPr="00E52BE9">
        <w:tab/>
        <w:t>Introduction</w:t>
      </w:r>
    </w:p>
    <w:p w:rsidR="00AE7DF5" w:rsidRPr="00E52BE9" w:rsidRDefault="00AE7DF5" w:rsidP="00AE7DF5">
      <w:r w:rsidRPr="00E52BE9">
        <w:t xml:space="preserve">On trouvera dans la présente Annexe des renseignements sur le système ARGOS, qui </w:t>
      </w:r>
      <w:r>
        <w:t xml:space="preserve">est </w:t>
      </w:r>
      <w:r w:rsidRPr="00E52BE9">
        <w:t>un système DCS par satellite non OSG type actuellement utilisé, ainsi que sur les besoins de protection de ce système contre les émissions brouilleuses en bande étroite dues aux raies spectrales.</w:t>
      </w:r>
    </w:p>
    <w:p w:rsidR="00AE7DF5" w:rsidRPr="00E52BE9" w:rsidRDefault="00AE7DF5" w:rsidP="00AE7DF5">
      <w:pPr>
        <w:pStyle w:val="Heading1"/>
      </w:pPr>
      <w:r w:rsidRPr="00E52BE9">
        <w:t>2</w:t>
      </w:r>
      <w:r w:rsidRPr="00E52BE9">
        <w:tab/>
        <w:t>Rappel</w:t>
      </w:r>
    </w:p>
    <w:p w:rsidR="00AE7DF5" w:rsidRPr="00E52BE9" w:rsidRDefault="00AE7DF5" w:rsidP="00AE7DF5">
      <w:r w:rsidRPr="00E52BE9">
        <w:t>L'Annexe 1 énonce les critères de protection du système ARGOS dans la bande 401-401,69 MHz, à appliquer pour l'analyse des brouillages causés par des émissions brouilleuses large bande. Elle donne les besoins de protection de l'instrument ARGOS contre les émissions brouilleuses en bande étroite dues aux raies spectrales.</w:t>
      </w:r>
    </w:p>
    <w:p w:rsidR="00AE7DF5" w:rsidRPr="00E52BE9" w:rsidRDefault="00AE7DF5" w:rsidP="00AE7DF5">
      <w:pPr>
        <w:pStyle w:val="Heading1"/>
      </w:pPr>
      <w:r w:rsidRPr="00E52BE9">
        <w:t>3</w:t>
      </w:r>
      <w:r w:rsidRPr="00E52BE9">
        <w:tab/>
        <w:t>Besoins de protection contre les émissions brouilleuses en bande étroite dues aux raies spectrales</w:t>
      </w:r>
    </w:p>
    <w:p w:rsidR="00AE7DF5" w:rsidRPr="00E52BE9" w:rsidRDefault="00AE7DF5" w:rsidP="00AE7DF5">
      <w:r w:rsidRPr="00E52BE9">
        <w:t>La Figure 1 montre les principaux éléments matériels du système ARGOS.</w:t>
      </w:r>
    </w:p>
    <w:p w:rsidR="00AE7DF5" w:rsidRPr="00E52BE9" w:rsidRDefault="00AE7DF5" w:rsidP="00AE7DF5">
      <w:r w:rsidRPr="00E52BE9">
        <w:t>Pour mieux comprendre les motifs de cette spécification, il faut brièvement rappeler le fonctionnement de cet instrument.</w:t>
      </w:r>
    </w:p>
    <w:p w:rsidR="00AE7DF5" w:rsidRPr="00E52BE9" w:rsidRDefault="00AE7DF5" w:rsidP="00AE7DF5">
      <w:r w:rsidRPr="00E52BE9">
        <w:t>Les émissions des balises ARGOS commencent lorsqu'une porteuse n</w:t>
      </w:r>
      <w:r>
        <w:t>on modulée est émise pendant </w:t>
      </w:r>
      <w:r w:rsidRPr="00E52BE9">
        <w:t>160 ms pour permettre à une boucle à verrouillage de phase de se verrouiller plus facilement sur la porteuse. La Figure 2 représente le format du message ARGOS.</w:t>
      </w:r>
    </w:p>
    <w:p w:rsidR="00AE7DF5" w:rsidRPr="00E52BE9" w:rsidRDefault="00AE7DF5" w:rsidP="00AE7DF5">
      <w:pPr>
        <w:pStyle w:val="FigureNo"/>
      </w:pPr>
      <w:r w:rsidRPr="00E52BE9">
        <w:t>figure 2</w:t>
      </w:r>
    </w:p>
    <w:p w:rsidR="00AE7DF5" w:rsidRDefault="00AE7DF5" w:rsidP="00AE7DF5">
      <w:pPr>
        <w:pStyle w:val="Figuretitle"/>
      </w:pPr>
      <w:r w:rsidRPr="00E52BE9">
        <w:t>Format du message DCS</w:t>
      </w:r>
    </w:p>
    <w:bookmarkStart w:id="5" w:name="_MON_1408961061"/>
    <w:bookmarkEnd w:id="5"/>
    <w:p w:rsidR="00536594" w:rsidRPr="00536594" w:rsidRDefault="00536594" w:rsidP="00536594">
      <w:pPr>
        <w:pStyle w:val="Figure"/>
      </w:pPr>
      <w:r>
        <w:object w:dxaOrig="3674" w:dyaOrig="565">
          <v:shape id="_x0000_i1027" type="#_x0000_t75" style="width:270.75pt;height:41.25pt" o:ole="">
            <v:imagedata r:id="rId16" o:title=""/>
          </v:shape>
          <o:OLEObject Type="Embed" ProgID="CorelDRAW.Graphic.14" ShapeID="_x0000_i1027" DrawAspect="Content" ObjectID="_1598445567" r:id="rId17"/>
        </w:object>
      </w:r>
    </w:p>
    <w:p w:rsidR="00AE7DF5" w:rsidRPr="00E52BE9" w:rsidRDefault="00AE7DF5" w:rsidP="00751F87">
      <w:pPr>
        <w:pStyle w:val="Normalaftertitle"/>
      </w:pPr>
      <w:r w:rsidRPr="00E52BE9">
        <w:t>Un analyseur de spectre de l'instrument surveille en permanence la</w:t>
      </w:r>
      <w:r>
        <w:t xml:space="preserve"> largeur de bande pour toute la </w:t>
      </w:r>
      <w:r w:rsidRPr="00E52BE9">
        <w:t xml:space="preserve">couverture considérée afin de rechercher la porteuse pure des messages DCS. Lorsqu'il détecte cette porteuse, l'analyseur de spectre considère qu'il s'agit du début </w:t>
      </w:r>
      <w:r>
        <w:t>d'un message DCS. Cette théorie </w:t>
      </w:r>
      <w:r w:rsidRPr="00E52BE9">
        <w:t>est fondée sur la détection d'une onde porteuse pure (onde sinusoïdale) dans un environnement avec bruit blanc gaussien supplémentaire. La densité spectrale de puissance du signal reçu (porteuse pure + bruit) est calculée à l'aide de techniques de type Transformée rapide de Fourier et chaque signal dont la puissance dépasse le niveau de seuil du système est traité comme s'il s'agissait d'une balise DCS (voir la Fig. 3).</w:t>
      </w:r>
    </w:p>
    <w:p w:rsidR="00AE7DF5" w:rsidRPr="00E52BE9" w:rsidRDefault="00AE7DF5" w:rsidP="00AE7DF5">
      <w:pPr>
        <w:pStyle w:val="FigureNo"/>
      </w:pPr>
      <w:r w:rsidRPr="00E52BE9">
        <w:lastRenderedPageBreak/>
        <w:t>figure 3</w:t>
      </w:r>
    </w:p>
    <w:p w:rsidR="00AE7DF5" w:rsidRDefault="00AE7DF5" w:rsidP="00AE7DF5">
      <w:pPr>
        <w:pStyle w:val="Figuretitle"/>
      </w:pPr>
      <w:r w:rsidRPr="00E52BE9">
        <w:t>Détection d'une onde sinusoïdale en cas de bruit blanc gaussien</w:t>
      </w:r>
    </w:p>
    <w:bookmarkStart w:id="6" w:name="_MON_1408966525"/>
    <w:bookmarkEnd w:id="6"/>
    <w:p w:rsidR="00536594" w:rsidRPr="00536594" w:rsidRDefault="00536594" w:rsidP="00536594">
      <w:pPr>
        <w:pStyle w:val="Figure"/>
      </w:pPr>
      <w:r>
        <w:object w:dxaOrig="4148" w:dyaOrig="2076">
          <v:shape id="_x0000_i1028" type="#_x0000_t75" style="width:306.75pt;height:153pt" o:ole="">
            <v:imagedata r:id="rId18" o:title=""/>
          </v:shape>
          <o:OLEObject Type="Embed" ProgID="CorelDRAW.Graphic.14" ShapeID="_x0000_i1028" DrawAspect="Content" ObjectID="_1598445568" r:id="rId19"/>
        </w:object>
      </w:r>
    </w:p>
    <w:p w:rsidR="00AE7DF5" w:rsidRPr="00E52BE9" w:rsidRDefault="00AE7DF5" w:rsidP="00751F87">
      <w:pPr>
        <w:pStyle w:val="Normalaftertitle"/>
      </w:pPr>
      <w:r w:rsidRPr="00E52BE9">
        <w:t xml:space="preserve">Les processeurs des récepteurs ARGOS sont par conséquent conçus pour détecter les composantes spectrales discrètes (porteuse de balise non modulée) et la largeur de bande de résolution correspondante est 19 Hz. Les signaux dont la puissance dépasse le niveau de seuil sont attribués à une unité de récupération de données (DRU, </w:t>
      </w:r>
      <w:r w:rsidRPr="00E52BE9">
        <w:rPr>
          <w:i/>
          <w:iCs/>
        </w:rPr>
        <w:t>data recovery unit</w:t>
      </w:r>
      <w:r w:rsidRPr="00E52BE9">
        <w:t>) embarquée pour traitement supplémentaire et transmission vers la Terre sur le canal de télémesure prévu pour la mission.</w:t>
      </w:r>
    </w:p>
    <w:p w:rsidR="00AE7DF5" w:rsidRPr="00E52BE9" w:rsidRDefault="00AE7DF5" w:rsidP="00AE7DF5">
      <w:r w:rsidRPr="00E52BE9">
        <w:t xml:space="preserve">Afin de satisfaire aux exigences de qualité de fonctionnement ARGOS en ce qui concerne la probabilité de détection pour un large éventail d'applications utilisatrices (pistage d'animaux sauvages, pêche, océanographie, etc.), l'instrument ARGOS a été conçu pour détecter et traiter des signaux extrêmement faibles. Cet instrument fonctionne de telle manière que tout signal, </w:t>
      </w:r>
      <w:r w:rsidRPr="00E52BE9">
        <w:rPr>
          <w:i/>
          <w:iCs/>
        </w:rPr>
        <w:t>C</w:t>
      </w:r>
      <w:r w:rsidRPr="00E52BE9">
        <w:rPr>
          <w:i/>
          <w:iCs/>
          <w:vertAlign w:val="subscript"/>
        </w:rPr>
        <w:t>min</w:t>
      </w:r>
      <w:r w:rsidRPr="00E52BE9">
        <w:t>, dont la puissance est supérieure de 21 dB(Hz) au niveau de la densité de bruit local (</w:t>
      </w:r>
      <w:r w:rsidRPr="00E52BE9">
        <w:rPr>
          <w:i/>
          <w:iCs/>
        </w:rPr>
        <w:t>C</w:t>
      </w:r>
      <w:r w:rsidRPr="00E52BE9">
        <w:rPr>
          <w:i/>
          <w:iCs/>
          <w:vertAlign w:val="subscript"/>
        </w:rPr>
        <w:t>min</w:t>
      </w:r>
      <w:r w:rsidRPr="00E52BE9">
        <w:rPr>
          <w:rFonts w:ascii="Tms Rmn" w:hAnsi="Tms Rmn"/>
          <w:sz w:val="4"/>
        </w:rPr>
        <w:t> </w:t>
      </w:r>
      <w:r w:rsidRPr="00E52BE9">
        <w:t>/</w:t>
      </w:r>
      <w:r w:rsidRPr="00E52BE9">
        <w:rPr>
          <w:rFonts w:ascii="Tms Rmn" w:hAnsi="Tms Rmn"/>
          <w:sz w:val="4"/>
        </w:rPr>
        <w:t> </w:t>
      </w:r>
      <w:r w:rsidRPr="00E52BE9">
        <w:rPr>
          <w:i/>
          <w:iCs/>
        </w:rPr>
        <w:t>N</w:t>
      </w:r>
      <w:r w:rsidRPr="00E52BE9">
        <w:rPr>
          <w:vertAlign w:val="subscript"/>
        </w:rPr>
        <w:t>0</w:t>
      </w:r>
      <w:r w:rsidRPr="00E52BE9">
        <w:t> &gt; 21 dB(Hz)) sera assigné à une unité DRU pour traitement complémentaire. En conséquence, les signaux brouilleurs en bande étroite qui satisfont à ces critères se verront attribuer une unité DRU, de sorte que la qualité de fonctionnement de l'instrument ARGOS, en termes de capacité (nombre de messages DCS pouvant être traités par exemple), sera gravement détériorée.</w:t>
      </w:r>
    </w:p>
    <w:p w:rsidR="00AE7DF5" w:rsidRPr="00E52BE9" w:rsidRDefault="00AE7DF5" w:rsidP="00AE7DF5">
      <w:r w:rsidRPr="00E52BE9">
        <w:t>Pour le système ARGOS, les valeurs types sont les suivantes: facteur de bruit = 3 dB (valeur type de l'instrument ARGOS); température dans le cas le plus défavorable de bruit de fond = 1</w:t>
      </w:r>
      <w:r w:rsidRPr="00E52BE9">
        <w:rPr>
          <w:rFonts w:ascii="Tms Rmn" w:hAnsi="Tms Rmn"/>
          <w:sz w:val="12"/>
        </w:rPr>
        <w:t> </w:t>
      </w:r>
      <w:r w:rsidRPr="00E52BE9">
        <w:t>200 K (paramètre d'entrée ARGOS); affaiblissement entre l'antenne et le récepteur = 1,6 dB. La température de bruit du système à l'entrée du récepteur (point B</w:t>
      </w:r>
      <w:r>
        <w:t xml:space="preserve"> de la Fig. 1) est donc égale à </w:t>
      </w:r>
      <w:r w:rsidRPr="00E52BE9">
        <w:t>1</w:t>
      </w:r>
      <w:r w:rsidRPr="00E52BE9">
        <w:rPr>
          <w:rFonts w:ascii="Tms Rmn" w:hAnsi="Tms Rmn"/>
          <w:sz w:val="12"/>
        </w:rPr>
        <w:t> </w:t>
      </w:r>
      <w:r w:rsidRPr="00E52BE9">
        <w:t xml:space="preserve">214 K, de sorte que la densité spectrale de bruit est égale à </w:t>
      </w:r>
      <w:r w:rsidRPr="00E52BE9">
        <w:rPr>
          <w:i/>
          <w:iCs/>
        </w:rPr>
        <w:t>N</w:t>
      </w:r>
      <w:r w:rsidRPr="00E52BE9">
        <w:rPr>
          <w:vertAlign w:val="subscript"/>
        </w:rPr>
        <w:t>0</w:t>
      </w:r>
      <w:r w:rsidRPr="00E52BE9">
        <w:t> = –197,8 </w:t>
      </w:r>
      <w:proofErr w:type="gramStart"/>
      <w:r w:rsidRPr="00E52BE9">
        <w:t>dB(</w:t>
      </w:r>
      <w:proofErr w:type="gramEnd"/>
      <w:r w:rsidRPr="00E52BE9">
        <w:t>W/Hz).</w:t>
      </w:r>
    </w:p>
    <w:p w:rsidR="00AE7DF5" w:rsidRPr="00E52BE9" w:rsidRDefault="00AE7DF5" w:rsidP="00AE7DF5">
      <w:r w:rsidRPr="00E52BE9">
        <w:t xml:space="preserve">Etant donné que le rapport </w:t>
      </w:r>
      <w:r w:rsidRPr="00E52BE9">
        <w:rPr>
          <w:i/>
          <w:iCs/>
        </w:rPr>
        <w:t>C</w:t>
      </w:r>
      <w:r w:rsidRPr="00E52BE9">
        <w:rPr>
          <w:i/>
          <w:iCs/>
          <w:vertAlign w:val="subscript"/>
        </w:rPr>
        <w:t>min</w:t>
      </w:r>
      <w:r w:rsidRPr="00E52BE9">
        <w:rPr>
          <w:rFonts w:ascii="Tms Rmn" w:hAnsi="Tms Rmn"/>
          <w:sz w:val="4"/>
        </w:rPr>
        <w:t> </w:t>
      </w:r>
      <w:r w:rsidRPr="00E52BE9">
        <w:t>/</w:t>
      </w:r>
      <w:r w:rsidRPr="00E52BE9">
        <w:rPr>
          <w:rFonts w:ascii="Tms Rmn" w:hAnsi="Tms Rmn"/>
          <w:sz w:val="4"/>
        </w:rPr>
        <w:t> </w:t>
      </w:r>
      <w:r w:rsidRPr="00E52BE9">
        <w:rPr>
          <w:i/>
          <w:iCs/>
        </w:rPr>
        <w:t>N</w:t>
      </w:r>
      <w:r w:rsidRPr="00E52BE9">
        <w:rPr>
          <w:vertAlign w:val="subscript"/>
        </w:rPr>
        <w:t>0</w:t>
      </w:r>
      <w:r w:rsidRPr="00E52BE9">
        <w:t xml:space="preserve"> = 21 dB(Hz), </w:t>
      </w:r>
      <w:r w:rsidRPr="00E52BE9">
        <w:rPr>
          <w:i/>
          <w:iCs/>
        </w:rPr>
        <w:t>C</w:t>
      </w:r>
      <w:r w:rsidRPr="00E52BE9">
        <w:rPr>
          <w:i/>
          <w:iCs/>
          <w:vertAlign w:val="subscript"/>
        </w:rPr>
        <w:t>min</w:t>
      </w:r>
      <w:r w:rsidRPr="00E52BE9">
        <w:t> = –176,8 dBW. En conséquence, tout rayonnement non essentiel en bande étroite dont le niveau est supérieur à –176,8 dBW à l'entrée du système ARGOS (point B de la Fig. 1) entraînera une dégradation de la capacité du système.</w:t>
      </w:r>
    </w:p>
    <w:p w:rsidR="00AE7DF5" w:rsidRPr="00E52BE9" w:rsidRDefault="00AE7DF5" w:rsidP="00AE7DF5">
      <w:r w:rsidRPr="00E52BE9">
        <w:t>Il faut donc calculer l'amplitude maximale admissible de la raie sp</w:t>
      </w:r>
      <w:r>
        <w:t>ectrale à l'entrée de l'antenne </w:t>
      </w:r>
      <w:r w:rsidRPr="00E52BE9">
        <w:t>ARGOS.</w:t>
      </w:r>
    </w:p>
    <w:p w:rsidR="00AE7DF5" w:rsidRPr="00E52BE9" w:rsidRDefault="00AE7DF5" w:rsidP="00AE7DF5">
      <w:r w:rsidRPr="00E52BE9">
        <w:t>La spécification du diagramme du gain de l'antenne de réception ARGOS est exprimée en fonction de l'angle par rapport au nadir dans le Tableau 2.</w:t>
      </w:r>
    </w:p>
    <w:p w:rsidR="00AE7DF5" w:rsidRDefault="00AE7DF5" w:rsidP="00AE7DF5">
      <w:pPr>
        <w:pStyle w:val="TableNo"/>
      </w:pPr>
      <w:r>
        <w:br w:type="page"/>
      </w:r>
    </w:p>
    <w:p w:rsidR="00AE7DF5" w:rsidRPr="00F22B81" w:rsidRDefault="00AE7DF5" w:rsidP="00AE7DF5">
      <w:pPr>
        <w:pStyle w:val="TableNo"/>
        <w:rPr>
          <w:szCs w:val="24"/>
        </w:rPr>
      </w:pPr>
      <w:r w:rsidRPr="00F22B81">
        <w:rPr>
          <w:szCs w:val="24"/>
        </w:rPr>
        <w:lastRenderedPageBreak/>
        <w:t>TABLEAU 2</w:t>
      </w:r>
    </w:p>
    <w:p w:rsidR="00AE7DF5" w:rsidRPr="00F22B81" w:rsidRDefault="00AE7DF5" w:rsidP="00AE7DF5">
      <w:pPr>
        <w:pStyle w:val="Tabletitle"/>
        <w:rPr>
          <w:szCs w:val="24"/>
        </w:rPr>
      </w:pPr>
      <w:r w:rsidRPr="00F22B81">
        <w:rPr>
          <w:szCs w:val="24"/>
        </w:rPr>
        <w:t>Diagramme du gain de l'antenne de réception (UDA)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61"/>
        <w:gridCol w:w="662"/>
        <w:gridCol w:w="801"/>
        <w:gridCol w:w="801"/>
        <w:gridCol w:w="802"/>
        <w:gridCol w:w="802"/>
        <w:gridCol w:w="802"/>
        <w:gridCol w:w="802"/>
        <w:gridCol w:w="802"/>
        <w:gridCol w:w="802"/>
        <w:gridCol w:w="802"/>
      </w:tblGrid>
      <w:tr w:rsidR="00AE7DF5" w:rsidRPr="00F22B81" w:rsidTr="00FA1893">
        <w:trPr>
          <w:cantSplit/>
          <w:jc w:val="center"/>
        </w:trPr>
        <w:tc>
          <w:tcPr>
            <w:tcW w:w="1761" w:type="dxa"/>
          </w:tcPr>
          <w:p w:rsidR="00AE7DF5" w:rsidRPr="00FA1893" w:rsidRDefault="00AE7DF5" w:rsidP="00FA1893">
            <w:pPr>
              <w:pStyle w:val="Tablehead"/>
              <w:rPr>
                <w:sz w:val="20"/>
              </w:rPr>
            </w:pPr>
            <w:r w:rsidRPr="00FA1893">
              <w:rPr>
                <w:sz w:val="20"/>
              </w:rPr>
              <w:t>Angle du satellite par rapport au nadir</w:t>
            </w:r>
          </w:p>
        </w:tc>
        <w:tc>
          <w:tcPr>
            <w:tcW w:w="662" w:type="dxa"/>
            <w:vAlign w:val="center"/>
          </w:tcPr>
          <w:p w:rsidR="00AE7DF5" w:rsidRPr="00FA1893" w:rsidRDefault="00AE7DF5" w:rsidP="00FA1893">
            <w:pPr>
              <w:pStyle w:val="Tablehead"/>
              <w:rPr>
                <w:sz w:val="20"/>
              </w:rPr>
            </w:pPr>
            <w:r w:rsidRPr="00FA1893">
              <w:rPr>
                <w:sz w:val="20"/>
              </w:rPr>
              <w:t>62</w:t>
            </w:r>
          </w:p>
        </w:tc>
        <w:tc>
          <w:tcPr>
            <w:tcW w:w="801" w:type="dxa"/>
            <w:vAlign w:val="center"/>
          </w:tcPr>
          <w:p w:rsidR="00AE7DF5" w:rsidRPr="00FA1893" w:rsidRDefault="00AE7DF5" w:rsidP="00FA1893">
            <w:pPr>
              <w:pStyle w:val="Tablehead"/>
              <w:rPr>
                <w:sz w:val="20"/>
              </w:rPr>
            </w:pPr>
            <w:r w:rsidRPr="00FA1893">
              <w:rPr>
                <w:sz w:val="20"/>
              </w:rPr>
              <w:t>59</w:t>
            </w:r>
          </w:p>
        </w:tc>
        <w:tc>
          <w:tcPr>
            <w:tcW w:w="801" w:type="dxa"/>
            <w:vAlign w:val="center"/>
          </w:tcPr>
          <w:p w:rsidR="00AE7DF5" w:rsidRPr="00FA1893" w:rsidRDefault="00AE7DF5" w:rsidP="00FA1893">
            <w:pPr>
              <w:pStyle w:val="Tablehead"/>
              <w:rPr>
                <w:sz w:val="20"/>
              </w:rPr>
            </w:pPr>
            <w:r w:rsidRPr="00FA1893">
              <w:rPr>
                <w:sz w:val="20"/>
              </w:rPr>
              <w:t>54</w:t>
            </w:r>
          </w:p>
        </w:tc>
        <w:tc>
          <w:tcPr>
            <w:tcW w:w="802" w:type="dxa"/>
            <w:vAlign w:val="center"/>
          </w:tcPr>
          <w:p w:rsidR="00AE7DF5" w:rsidRPr="00FA1893" w:rsidRDefault="00AE7DF5" w:rsidP="00FA1893">
            <w:pPr>
              <w:pStyle w:val="Tablehead"/>
              <w:rPr>
                <w:sz w:val="20"/>
              </w:rPr>
            </w:pPr>
            <w:r w:rsidRPr="00FA1893">
              <w:rPr>
                <w:sz w:val="20"/>
              </w:rPr>
              <w:t>47</w:t>
            </w:r>
          </w:p>
        </w:tc>
        <w:tc>
          <w:tcPr>
            <w:tcW w:w="802" w:type="dxa"/>
            <w:vAlign w:val="center"/>
          </w:tcPr>
          <w:p w:rsidR="00AE7DF5" w:rsidRPr="00FA1893" w:rsidRDefault="00AE7DF5" w:rsidP="00FA1893">
            <w:pPr>
              <w:pStyle w:val="Tablehead"/>
              <w:rPr>
                <w:sz w:val="20"/>
              </w:rPr>
            </w:pPr>
            <w:r w:rsidRPr="00FA1893">
              <w:rPr>
                <w:sz w:val="20"/>
              </w:rPr>
              <w:t>39</w:t>
            </w:r>
          </w:p>
        </w:tc>
        <w:tc>
          <w:tcPr>
            <w:tcW w:w="802" w:type="dxa"/>
            <w:vAlign w:val="center"/>
          </w:tcPr>
          <w:p w:rsidR="00AE7DF5" w:rsidRPr="00FA1893" w:rsidRDefault="00AE7DF5" w:rsidP="00FA1893">
            <w:pPr>
              <w:pStyle w:val="Tablehead"/>
              <w:rPr>
                <w:sz w:val="20"/>
              </w:rPr>
            </w:pPr>
            <w:r w:rsidRPr="00FA1893">
              <w:rPr>
                <w:sz w:val="20"/>
              </w:rPr>
              <w:t>31</w:t>
            </w:r>
          </w:p>
        </w:tc>
        <w:tc>
          <w:tcPr>
            <w:tcW w:w="802" w:type="dxa"/>
            <w:vAlign w:val="center"/>
          </w:tcPr>
          <w:p w:rsidR="00AE7DF5" w:rsidRPr="00FA1893" w:rsidRDefault="00AE7DF5" w:rsidP="00FA1893">
            <w:pPr>
              <w:pStyle w:val="Tablehead"/>
              <w:rPr>
                <w:sz w:val="20"/>
              </w:rPr>
            </w:pPr>
            <w:r w:rsidRPr="00FA1893">
              <w:rPr>
                <w:sz w:val="20"/>
              </w:rPr>
              <w:t>22</w:t>
            </w:r>
          </w:p>
        </w:tc>
        <w:tc>
          <w:tcPr>
            <w:tcW w:w="802" w:type="dxa"/>
            <w:vAlign w:val="center"/>
          </w:tcPr>
          <w:p w:rsidR="00AE7DF5" w:rsidRPr="00FA1893" w:rsidRDefault="00AE7DF5" w:rsidP="00FA1893">
            <w:pPr>
              <w:pStyle w:val="Tablehead"/>
              <w:rPr>
                <w:sz w:val="20"/>
              </w:rPr>
            </w:pPr>
            <w:r w:rsidRPr="00FA1893">
              <w:rPr>
                <w:sz w:val="20"/>
              </w:rPr>
              <w:t>13</w:t>
            </w:r>
          </w:p>
        </w:tc>
        <w:tc>
          <w:tcPr>
            <w:tcW w:w="802" w:type="dxa"/>
            <w:vAlign w:val="center"/>
          </w:tcPr>
          <w:p w:rsidR="00AE7DF5" w:rsidRPr="00FA1893" w:rsidRDefault="00AE7DF5" w:rsidP="00FA1893">
            <w:pPr>
              <w:pStyle w:val="Tablehead"/>
              <w:rPr>
                <w:sz w:val="20"/>
              </w:rPr>
            </w:pPr>
            <w:r w:rsidRPr="00FA1893">
              <w:rPr>
                <w:sz w:val="20"/>
              </w:rPr>
              <w:t>5</w:t>
            </w:r>
          </w:p>
        </w:tc>
        <w:tc>
          <w:tcPr>
            <w:tcW w:w="802" w:type="dxa"/>
            <w:vAlign w:val="center"/>
          </w:tcPr>
          <w:p w:rsidR="00AE7DF5" w:rsidRPr="00FA1893" w:rsidRDefault="00AE7DF5" w:rsidP="00FA1893">
            <w:pPr>
              <w:pStyle w:val="Tablehead"/>
              <w:rPr>
                <w:sz w:val="20"/>
              </w:rPr>
            </w:pPr>
            <w:r w:rsidRPr="00FA1893">
              <w:rPr>
                <w:sz w:val="20"/>
              </w:rPr>
              <w:t>0</w:t>
            </w:r>
          </w:p>
        </w:tc>
      </w:tr>
      <w:tr w:rsidR="00AE7DF5" w:rsidRPr="00E52BE9" w:rsidTr="00FA1893">
        <w:trPr>
          <w:cantSplit/>
          <w:jc w:val="center"/>
        </w:trPr>
        <w:tc>
          <w:tcPr>
            <w:tcW w:w="1761" w:type="dxa"/>
          </w:tcPr>
          <w:p w:rsidR="00AE7DF5" w:rsidRPr="00FA1893" w:rsidRDefault="00AE7DF5" w:rsidP="00FA1893">
            <w:pPr>
              <w:pStyle w:val="Tabletext"/>
              <w:jc w:val="left"/>
              <w:rPr>
                <w:sz w:val="20"/>
              </w:rPr>
            </w:pPr>
            <w:r w:rsidRPr="00FA1893">
              <w:rPr>
                <w:sz w:val="20"/>
              </w:rPr>
              <w:t>Gain en polarisation circulaire dextrogyre</w:t>
            </w:r>
          </w:p>
        </w:tc>
        <w:tc>
          <w:tcPr>
            <w:tcW w:w="662" w:type="dxa"/>
          </w:tcPr>
          <w:p w:rsidR="00AE7DF5" w:rsidRPr="00FA1893" w:rsidRDefault="00AE7DF5" w:rsidP="002C14E3">
            <w:pPr>
              <w:pStyle w:val="Tabletext"/>
              <w:jc w:val="center"/>
              <w:rPr>
                <w:sz w:val="20"/>
              </w:rPr>
            </w:pPr>
            <w:r w:rsidRPr="00FA1893">
              <w:rPr>
                <w:sz w:val="20"/>
              </w:rPr>
              <w:t>3,85</w:t>
            </w:r>
          </w:p>
        </w:tc>
        <w:tc>
          <w:tcPr>
            <w:tcW w:w="801" w:type="dxa"/>
          </w:tcPr>
          <w:p w:rsidR="00AE7DF5" w:rsidRPr="00FA1893" w:rsidRDefault="00AE7DF5" w:rsidP="002C14E3">
            <w:pPr>
              <w:pStyle w:val="Tabletext"/>
              <w:jc w:val="center"/>
              <w:rPr>
                <w:sz w:val="20"/>
              </w:rPr>
            </w:pPr>
            <w:r w:rsidRPr="00FA1893">
              <w:rPr>
                <w:sz w:val="20"/>
              </w:rPr>
              <w:t>3,54</w:t>
            </w:r>
          </w:p>
        </w:tc>
        <w:tc>
          <w:tcPr>
            <w:tcW w:w="801" w:type="dxa"/>
          </w:tcPr>
          <w:p w:rsidR="00AE7DF5" w:rsidRPr="00FA1893" w:rsidRDefault="00AE7DF5" w:rsidP="002C14E3">
            <w:pPr>
              <w:pStyle w:val="Tabletext"/>
              <w:jc w:val="center"/>
              <w:rPr>
                <w:sz w:val="20"/>
              </w:rPr>
            </w:pPr>
            <w:r w:rsidRPr="00FA1893">
              <w:rPr>
                <w:sz w:val="20"/>
              </w:rPr>
              <w:t>2,62</w:t>
            </w:r>
          </w:p>
        </w:tc>
        <w:tc>
          <w:tcPr>
            <w:tcW w:w="802" w:type="dxa"/>
          </w:tcPr>
          <w:p w:rsidR="00AE7DF5" w:rsidRPr="00FA1893" w:rsidRDefault="00AE7DF5" w:rsidP="002C14E3">
            <w:pPr>
              <w:pStyle w:val="Tabletext"/>
              <w:jc w:val="center"/>
              <w:rPr>
                <w:sz w:val="20"/>
              </w:rPr>
            </w:pPr>
            <w:r w:rsidRPr="00FA1893">
              <w:rPr>
                <w:sz w:val="20"/>
              </w:rPr>
              <w:t>1,24</w:t>
            </w:r>
          </w:p>
        </w:tc>
        <w:tc>
          <w:tcPr>
            <w:tcW w:w="802" w:type="dxa"/>
          </w:tcPr>
          <w:p w:rsidR="00AE7DF5" w:rsidRPr="00FA1893" w:rsidRDefault="00AE7DF5" w:rsidP="002C14E3">
            <w:pPr>
              <w:pStyle w:val="Tabletext"/>
              <w:jc w:val="center"/>
              <w:rPr>
                <w:sz w:val="20"/>
              </w:rPr>
            </w:pPr>
            <w:r w:rsidRPr="00FA1893">
              <w:rPr>
                <w:sz w:val="20"/>
              </w:rPr>
              <w:t>–0,17</w:t>
            </w:r>
          </w:p>
        </w:tc>
        <w:tc>
          <w:tcPr>
            <w:tcW w:w="802" w:type="dxa"/>
          </w:tcPr>
          <w:p w:rsidR="00AE7DF5" w:rsidRPr="00FA1893" w:rsidRDefault="00AE7DF5" w:rsidP="002C14E3">
            <w:pPr>
              <w:pStyle w:val="Tabletext"/>
              <w:jc w:val="center"/>
              <w:rPr>
                <w:sz w:val="20"/>
              </w:rPr>
            </w:pPr>
            <w:r w:rsidRPr="00FA1893">
              <w:rPr>
                <w:sz w:val="20"/>
              </w:rPr>
              <w:t>–1,33</w:t>
            </w:r>
          </w:p>
        </w:tc>
        <w:tc>
          <w:tcPr>
            <w:tcW w:w="802" w:type="dxa"/>
          </w:tcPr>
          <w:p w:rsidR="00AE7DF5" w:rsidRPr="00FA1893" w:rsidRDefault="00AE7DF5" w:rsidP="002C14E3">
            <w:pPr>
              <w:pStyle w:val="Tabletext"/>
              <w:jc w:val="center"/>
              <w:rPr>
                <w:sz w:val="20"/>
              </w:rPr>
            </w:pPr>
            <w:r w:rsidRPr="00FA1893">
              <w:rPr>
                <w:sz w:val="20"/>
              </w:rPr>
              <w:t>–2,24</w:t>
            </w:r>
          </w:p>
        </w:tc>
        <w:tc>
          <w:tcPr>
            <w:tcW w:w="802" w:type="dxa"/>
          </w:tcPr>
          <w:p w:rsidR="00AE7DF5" w:rsidRPr="00FA1893" w:rsidRDefault="00AE7DF5" w:rsidP="002C14E3">
            <w:pPr>
              <w:pStyle w:val="Tabletext"/>
              <w:jc w:val="center"/>
              <w:rPr>
                <w:sz w:val="20"/>
              </w:rPr>
            </w:pPr>
            <w:r w:rsidRPr="00FA1893">
              <w:rPr>
                <w:sz w:val="20"/>
              </w:rPr>
              <w:t>–3,08</w:t>
            </w:r>
          </w:p>
        </w:tc>
        <w:tc>
          <w:tcPr>
            <w:tcW w:w="802" w:type="dxa"/>
          </w:tcPr>
          <w:p w:rsidR="00AE7DF5" w:rsidRPr="00FA1893" w:rsidRDefault="00AE7DF5" w:rsidP="002C14E3">
            <w:pPr>
              <w:pStyle w:val="Tabletext"/>
              <w:jc w:val="center"/>
              <w:rPr>
                <w:sz w:val="20"/>
              </w:rPr>
            </w:pPr>
            <w:r w:rsidRPr="00FA1893">
              <w:rPr>
                <w:sz w:val="20"/>
              </w:rPr>
              <w:t>–3,80</w:t>
            </w:r>
          </w:p>
        </w:tc>
        <w:tc>
          <w:tcPr>
            <w:tcW w:w="802" w:type="dxa"/>
          </w:tcPr>
          <w:p w:rsidR="00AE7DF5" w:rsidRPr="00FA1893" w:rsidRDefault="00AE7DF5" w:rsidP="002C14E3">
            <w:pPr>
              <w:pStyle w:val="Tabletext"/>
              <w:jc w:val="center"/>
              <w:rPr>
                <w:sz w:val="20"/>
              </w:rPr>
            </w:pPr>
            <w:r w:rsidRPr="00FA1893">
              <w:rPr>
                <w:sz w:val="20"/>
              </w:rPr>
              <w:t>–3,96</w:t>
            </w:r>
          </w:p>
        </w:tc>
      </w:tr>
      <w:tr w:rsidR="00AE7DF5" w:rsidRPr="00E52BE9" w:rsidTr="00FA1893">
        <w:trPr>
          <w:cantSplit/>
          <w:jc w:val="center"/>
        </w:trPr>
        <w:tc>
          <w:tcPr>
            <w:tcW w:w="1761" w:type="dxa"/>
          </w:tcPr>
          <w:p w:rsidR="00AE7DF5" w:rsidRPr="00FA1893" w:rsidRDefault="00AE7DF5" w:rsidP="00FA1893">
            <w:pPr>
              <w:pStyle w:val="Tabletext"/>
              <w:jc w:val="left"/>
              <w:rPr>
                <w:sz w:val="20"/>
              </w:rPr>
            </w:pPr>
            <w:r w:rsidRPr="00FA1893">
              <w:rPr>
                <w:sz w:val="20"/>
              </w:rPr>
              <w:t>Gain en polarisation circulaire lévogyre</w:t>
            </w:r>
          </w:p>
        </w:tc>
        <w:tc>
          <w:tcPr>
            <w:tcW w:w="662" w:type="dxa"/>
          </w:tcPr>
          <w:p w:rsidR="00AE7DF5" w:rsidRPr="00FA1893" w:rsidRDefault="00AE7DF5" w:rsidP="002C14E3">
            <w:pPr>
              <w:pStyle w:val="Tabletext"/>
              <w:jc w:val="center"/>
              <w:rPr>
                <w:spacing w:val="-6"/>
                <w:sz w:val="20"/>
              </w:rPr>
            </w:pPr>
            <w:r w:rsidRPr="00FA1893">
              <w:rPr>
                <w:spacing w:val="-6"/>
                <w:sz w:val="20"/>
              </w:rPr>
              <w:t>–5,69</w:t>
            </w:r>
          </w:p>
        </w:tc>
        <w:tc>
          <w:tcPr>
            <w:tcW w:w="801" w:type="dxa"/>
          </w:tcPr>
          <w:p w:rsidR="00AE7DF5" w:rsidRPr="00FA1893" w:rsidRDefault="00AE7DF5" w:rsidP="002C14E3">
            <w:pPr>
              <w:pStyle w:val="Tabletext"/>
              <w:jc w:val="center"/>
              <w:rPr>
                <w:sz w:val="20"/>
              </w:rPr>
            </w:pPr>
            <w:r w:rsidRPr="00FA1893">
              <w:rPr>
                <w:sz w:val="20"/>
              </w:rPr>
              <w:t>–6,23</w:t>
            </w:r>
          </w:p>
        </w:tc>
        <w:tc>
          <w:tcPr>
            <w:tcW w:w="801" w:type="dxa"/>
          </w:tcPr>
          <w:p w:rsidR="00AE7DF5" w:rsidRPr="00FA1893" w:rsidRDefault="00AE7DF5" w:rsidP="002C14E3">
            <w:pPr>
              <w:pStyle w:val="Tabletext"/>
              <w:jc w:val="center"/>
              <w:rPr>
                <w:sz w:val="20"/>
              </w:rPr>
            </w:pPr>
            <w:r w:rsidRPr="00FA1893">
              <w:rPr>
                <w:sz w:val="20"/>
              </w:rPr>
              <w:t>–7,52</w:t>
            </w:r>
          </w:p>
        </w:tc>
        <w:tc>
          <w:tcPr>
            <w:tcW w:w="802" w:type="dxa"/>
          </w:tcPr>
          <w:p w:rsidR="00AE7DF5" w:rsidRPr="00FA1893" w:rsidRDefault="00AE7DF5" w:rsidP="002C14E3">
            <w:pPr>
              <w:pStyle w:val="Tabletext"/>
              <w:jc w:val="center"/>
              <w:rPr>
                <w:sz w:val="20"/>
              </w:rPr>
            </w:pPr>
            <w:r w:rsidRPr="00FA1893">
              <w:rPr>
                <w:sz w:val="20"/>
              </w:rPr>
              <w:t>–9,39</w:t>
            </w:r>
          </w:p>
        </w:tc>
        <w:tc>
          <w:tcPr>
            <w:tcW w:w="802" w:type="dxa"/>
          </w:tcPr>
          <w:p w:rsidR="00AE7DF5" w:rsidRPr="00FA1893" w:rsidRDefault="00AE7DF5" w:rsidP="002C14E3">
            <w:pPr>
              <w:pStyle w:val="Tabletext"/>
              <w:jc w:val="center"/>
              <w:rPr>
                <w:sz w:val="20"/>
              </w:rPr>
            </w:pPr>
            <w:r w:rsidRPr="00FA1893">
              <w:rPr>
                <w:sz w:val="20"/>
              </w:rPr>
              <w:t>–11,39</w:t>
            </w:r>
          </w:p>
        </w:tc>
        <w:tc>
          <w:tcPr>
            <w:tcW w:w="802" w:type="dxa"/>
          </w:tcPr>
          <w:p w:rsidR="00AE7DF5" w:rsidRPr="00FA1893" w:rsidRDefault="00AE7DF5" w:rsidP="002C14E3">
            <w:pPr>
              <w:pStyle w:val="Tabletext"/>
              <w:jc w:val="center"/>
              <w:rPr>
                <w:sz w:val="20"/>
              </w:rPr>
            </w:pPr>
            <w:r w:rsidRPr="00FA1893">
              <w:rPr>
                <w:sz w:val="20"/>
              </w:rPr>
              <w:t>–13,12</w:t>
            </w:r>
          </w:p>
        </w:tc>
        <w:tc>
          <w:tcPr>
            <w:tcW w:w="802" w:type="dxa"/>
          </w:tcPr>
          <w:p w:rsidR="00AE7DF5" w:rsidRPr="00FA1893" w:rsidRDefault="00AE7DF5" w:rsidP="002C14E3">
            <w:pPr>
              <w:pStyle w:val="Tabletext"/>
              <w:jc w:val="center"/>
              <w:rPr>
                <w:sz w:val="20"/>
              </w:rPr>
            </w:pPr>
            <w:r w:rsidRPr="00FA1893">
              <w:rPr>
                <w:sz w:val="20"/>
              </w:rPr>
              <w:t>–14,52</w:t>
            </w:r>
          </w:p>
        </w:tc>
        <w:tc>
          <w:tcPr>
            <w:tcW w:w="802" w:type="dxa"/>
          </w:tcPr>
          <w:p w:rsidR="00AE7DF5" w:rsidRPr="00FA1893" w:rsidRDefault="00AE7DF5" w:rsidP="002C14E3">
            <w:pPr>
              <w:pStyle w:val="Tabletext"/>
              <w:jc w:val="center"/>
              <w:rPr>
                <w:sz w:val="20"/>
              </w:rPr>
            </w:pPr>
            <w:r w:rsidRPr="00FA1893">
              <w:rPr>
                <w:sz w:val="20"/>
              </w:rPr>
              <w:t>–15,77</w:t>
            </w:r>
          </w:p>
        </w:tc>
        <w:tc>
          <w:tcPr>
            <w:tcW w:w="802" w:type="dxa"/>
          </w:tcPr>
          <w:p w:rsidR="00AE7DF5" w:rsidRPr="00FA1893" w:rsidRDefault="00AE7DF5" w:rsidP="002C14E3">
            <w:pPr>
              <w:pStyle w:val="Tabletext"/>
              <w:jc w:val="center"/>
              <w:rPr>
                <w:sz w:val="20"/>
              </w:rPr>
            </w:pPr>
            <w:r w:rsidRPr="00FA1893">
              <w:rPr>
                <w:sz w:val="20"/>
              </w:rPr>
              <w:t>–17,17</w:t>
            </w:r>
          </w:p>
        </w:tc>
        <w:tc>
          <w:tcPr>
            <w:tcW w:w="802" w:type="dxa"/>
          </w:tcPr>
          <w:p w:rsidR="00AE7DF5" w:rsidRPr="00FA1893" w:rsidRDefault="00AE7DF5" w:rsidP="002C14E3">
            <w:pPr>
              <w:pStyle w:val="Tabletext"/>
              <w:jc w:val="center"/>
              <w:rPr>
                <w:sz w:val="20"/>
              </w:rPr>
            </w:pPr>
            <w:r w:rsidRPr="00FA1893">
              <w:rPr>
                <w:sz w:val="20"/>
              </w:rPr>
              <w:t>–18,00</w:t>
            </w:r>
          </w:p>
        </w:tc>
      </w:tr>
      <w:tr w:rsidR="00AE7DF5" w:rsidRPr="00E52BE9" w:rsidTr="00FA1893">
        <w:trPr>
          <w:cantSplit/>
          <w:jc w:val="center"/>
        </w:trPr>
        <w:tc>
          <w:tcPr>
            <w:tcW w:w="1761" w:type="dxa"/>
          </w:tcPr>
          <w:p w:rsidR="00AE7DF5" w:rsidRPr="00FA1893" w:rsidRDefault="00AE7DF5" w:rsidP="00FA1893">
            <w:pPr>
              <w:pStyle w:val="Tabletext"/>
              <w:jc w:val="left"/>
              <w:rPr>
                <w:sz w:val="20"/>
              </w:rPr>
            </w:pPr>
            <w:r w:rsidRPr="00FA1893">
              <w:rPr>
                <w:sz w:val="20"/>
              </w:rPr>
              <w:t>Taux d'ellipticité</w:t>
            </w:r>
          </w:p>
        </w:tc>
        <w:tc>
          <w:tcPr>
            <w:tcW w:w="662" w:type="dxa"/>
          </w:tcPr>
          <w:p w:rsidR="00AE7DF5" w:rsidRPr="00FA1893" w:rsidRDefault="00AE7DF5" w:rsidP="002C14E3">
            <w:pPr>
              <w:pStyle w:val="Tabletext"/>
              <w:jc w:val="center"/>
              <w:rPr>
                <w:sz w:val="20"/>
              </w:rPr>
            </w:pPr>
            <w:r w:rsidRPr="00FA1893">
              <w:rPr>
                <w:sz w:val="20"/>
              </w:rPr>
              <w:t>6,02</w:t>
            </w:r>
          </w:p>
        </w:tc>
        <w:tc>
          <w:tcPr>
            <w:tcW w:w="801" w:type="dxa"/>
          </w:tcPr>
          <w:p w:rsidR="00AE7DF5" w:rsidRPr="00FA1893" w:rsidRDefault="00AE7DF5" w:rsidP="002C14E3">
            <w:pPr>
              <w:pStyle w:val="Tabletext"/>
              <w:jc w:val="center"/>
              <w:rPr>
                <w:sz w:val="20"/>
              </w:rPr>
            </w:pPr>
            <w:r w:rsidRPr="00FA1893">
              <w:rPr>
                <w:sz w:val="20"/>
              </w:rPr>
              <w:t>5,85</w:t>
            </w:r>
          </w:p>
        </w:tc>
        <w:tc>
          <w:tcPr>
            <w:tcW w:w="801" w:type="dxa"/>
          </w:tcPr>
          <w:p w:rsidR="00AE7DF5" w:rsidRPr="00FA1893" w:rsidRDefault="00AE7DF5" w:rsidP="002C14E3">
            <w:pPr>
              <w:pStyle w:val="Tabletext"/>
              <w:jc w:val="center"/>
              <w:rPr>
                <w:sz w:val="20"/>
              </w:rPr>
            </w:pPr>
            <w:r w:rsidRPr="00FA1893">
              <w:rPr>
                <w:sz w:val="20"/>
              </w:rPr>
              <w:t>5,59</w:t>
            </w:r>
          </w:p>
        </w:tc>
        <w:tc>
          <w:tcPr>
            <w:tcW w:w="802" w:type="dxa"/>
          </w:tcPr>
          <w:p w:rsidR="00AE7DF5" w:rsidRPr="00FA1893" w:rsidRDefault="00AE7DF5" w:rsidP="002C14E3">
            <w:pPr>
              <w:pStyle w:val="Tabletext"/>
              <w:jc w:val="center"/>
              <w:rPr>
                <w:sz w:val="20"/>
              </w:rPr>
            </w:pPr>
            <w:r w:rsidRPr="00FA1893">
              <w:rPr>
                <w:sz w:val="20"/>
              </w:rPr>
              <w:t>5,26</w:t>
            </w:r>
          </w:p>
        </w:tc>
        <w:tc>
          <w:tcPr>
            <w:tcW w:w="802" w:type="dxa"/>
          </w:tcPr>
          <w:p w:rsidR="00AE7DF5" w:rsidRPr="00FA1893" w:rsidRDefault="00AE7DF5" w:rsidP="002C14E3">
            <w:pPr>
              <w:pStyle w:val="Tabletext"/>
              <w:jc w:val="center"/>
              <w:rPr>
                <w:sz w:val="20"/>
              </w:rPr>
            </w:pPr>
            <w:r w:rsidRPr="00FA1893">
              <w:rPr>
                <w:sz w:val="20"/>
              </w:rPr>
              <w:t>4,90</w:t>
            </w:r>
          </w:p>
        </w:tc>
        <w:tc>
          <w:tcPr>
            <w:tcW w:w="802" w:type="dxa"/>
          </w:tcPr>
          <w:p w:rsidR="00AE7DF5" w:rsidRPr="00FA1893" w:rsidRDefault="00AE7DF5" w:rsidP="002C14E3">
            <w:pPr>
              <w:pStyle w:val="Tabletext"/>
              <w:jc w:val="center"/>
              <w:rPr>
                <w:sz w:val="20"/>
              </w:rPr>
            </w:pPr>
            <w:r w:rsidRPr="00FA1893">
              <w:rPr>
                <w:sz w:val="20"/>
              </w:rPr>
              <w:t>4,57</w:t>
            </w:r>
          </w:p>
        </w:tc>
        <w:tc>
          <w:tcPr>
            <w:tcW w:w="802" w:type="dxa"/>
          </w:tcPr>
          <w:p w:rsidR="00AE7DF5" w:rsidRPr="00FA1893" w:rsidRDefault="00AE7DF5" w:rsidP="002C14E3">
            <w:pPr>
              <w:pStyle w:val="Tabletext"/>
              <w:jc w:val="center"/>
              <w:rPr>
                <w:sz w:val="20"/>
              </w:rPr>
            </w:pPr>
            <w:r w:rsidRPr="00FA1893">
              <w:rPr>
                <w:sz w:val="20"/>
              </w:rPr>
              <w:t>4,31</w:t>
            </w:r>
          </w:p>
        </w:tc>
        <w:tc>
          <w:tcPr>
            <w:tcW w:w="802" w:type="dxa"/>
          </w:tcPr>
          <w:p w:rsidR="00AE7DF5" w:rsidRPr="00FA1893" w:rsidRDefault="00AE7DF5" w:rsidP="002C14E3">
            <w:pPr>
              <w:pStyle w:val="Tabletext"/>
              <w:jc w:val="center"/>
              <w:rPr>
                <w:sz w:val="20"/>
              </w:rPr>
            </w:pPr>
            <w:r w:rsidRPr="00FA1893">
              <w:rPr>
                <w:sz w:val="20"/>
              </w:rPr>
              <w:t>4,11</w:t>
            </w:r>
          </w:p>
        </w:tc>
        <w:tc>
          <w:tcPr>
            <w:tcW w:w="802" w:type="dxa"/>
          </w:tcPr>
          <w:p w:rsidR="00AE7DF5" w:rsidRPr="00FA1893" w:rsidRDefault="00AE7DF5" w:rsidP="002C14E3">
            <w:pPr>
              <w:pStyle w:val="Tabletext"/>
              <w:jc w:val="center"/>
              <w:rPr>
                <w:sz w:val="20"/>
              </w:rPr>
            </w:pPr>
            <w:r w:rsidRPr="00FA1893">
              <w:rPr>
                <w:sz w:val="20"/>
              </w:rPr>
              <w:t>3,78</w:t>
            </w:r>
          </w:p>
        </w:tc>
        <w:tc>
          <w:tcPr>
            <w:tcW w:w="802" w:type="dxa"/>
          </w:tcPr>
          <w:p w:rsidR="00AE7DF5" w:rsidRPr="00FA1893" w:rsidRDefault="00AE7DF5" w:rsidP="002C14E3">
            <w:pPr>
              <w:pStyle w:val="Tabletext"/>
              <w:jc w:val="center"/>
              <w:rPr>
                <w:sz w:val="20"/>
              </w:rPr>
            </w:pPr>
            <w:r w:rsidRPr="00FA1893">
              <w:rPr>
                <w:sz w:val="20"/>
              </w:rPr>
              <w:t>3,49</w:t>
            </w:r>
          </w:p>
        </w:tc>
      </w:tr>
    </w:tbl>
    <w:p w:rsidR="00FA1893" w:rsidRDefault="00FA1893" w:rsidP="00FA1893">
      <w:pPr>
        <w:pStyle w:val="Tablefin"/>
      </w:pPr>
    </w:p>
    <w:p w:rsidR="00AE7DF5" w:rsidRPr="00E52BE9" w:rsidRDefault="00AE7DF5" w:rsidP="00FA1893">
      <w:r w:rsidRPr="00E52BE9">
        <w:t>En conséquence, la puissance maximale admissible au point A de la Fig. 1 est égale</w:t>
      </w:r>
      <w:r>
        <w:t xml:space="preserve"> à</w:t>
      </w:r>
      <w:r w:rsidRPr="00E52BE9">
        <w:t xml:space="preserve"> </w:t>
      </w:r>
      <w:r w:rsidRPr="00E52BE9">
        <w:rPr>
          <w:rFonts w:ascii="Symbol" w:hAnsi="Symbol"/>
        </w:rPr>
        <w:noBreakHyphen/>
      </w:r>
      <w:r>
        <w:t xml:space="preserve">176,8 + 1,6 </w:t>
      </w:r>
      <w:r w:rsidRPr="00E52BE9">
        <w:t xml:space="preserve">(affaiblissements) = –175,2 dBW, en prenant en compte le plus grand angle du satellite par rapport au nadir. Etant donné que l'on doit connaître la puissance surfacique, il faut convertir cette valeur en </w:t>
      </w:r>
      <w:proofErr w:type="gramStart"/>
      <w:r w:rsidRPr="00E52BE9">
        <w:t>dB(</w:t>
      </w:r>
      <w:proofErr w:type="gramEnd"/>
      <w:r w:rsidRPr="00E52BE9">
        <w:t>W/m</w:t>
      </w:r>
      <w:r w:rsidRPr="00E52BE9">
        <w:rPr>
          <w:vertAlign w:val="superscript"/>
        </w:rPr>
        <w:t>2</w:t>
      </w:r>
      <w:r w:rsidRPr="00E52BE9">
        <w:t xml:space="preserve">). La surface apparente d'une antenne ayant un gain </w:t>
      </w:r>
      <w:r w:rsidRPr="00E52BE9">
        <w:rPr>
          <w:i/>
          <w:iCs/>
        </w:rPr>
        <w:t>G</w:t>
      </w:r>
      <w:r w:rsidRPr="00E52BE9">
        <w:t xml:space="preserve"> </w:t>
      </w:r>
      <w:proofErr w:type="gramStart"/>
      <w:r w:rsidRPr="00E52BE9">
        <w:t xml:space="preserve">est </w:t>
      </w:r>
      <w:proofErr w:type="gramEnd"/>
      <w:r w:rsidRPr="00E52BE9">
        <w:rPr>
          <w:position w:val="-24"/>
        </w:rPr>
        <w:object w:dxaOrig="940" w:dyaOrig="700">
          <v:shape id="_x0000_i1029" type="#_x0000_t75" style="width:47.25pt;height:35.25pt" o:ole="">
            <v:imagedata r:id="rId20" o:title=""/>
          </v:shape>
          <o:OLEObject Type="Embed" ProgID="Equation.3" ShapeID="_x0000_i1029" DrawAspect="Content" ObjectID="_1598445569" r:id="rId21"/>
        </w:object>
      </w:r>
      <w:r>
        <w:t xml:space="preserve">, </w:t>
      </w:r>
      <w:r w:rsidRPr="00E52BE9">
        <w:t>qui correspond au plus grand angle du satellite par rapport au nadir. En conséquence, la puissance surfacique correspondante est égale à –175,2 – 10 log</w:t>
      </w:r>
      <w:r w:rsidRPr="00E52BE9">
        <w:rPr>
          <w:position w:val="-4"/>
          <w:sz w:val="16"/>
        </w:rPr>
        <w:t>10</w:t>
      </w:r>
      <w:r w:rsidRPr="00E52BE9">
        <w:rPr>
          <w:i/>
          <w:iCs/>
        </w:rPr>
        <w:t>S</w:t>
      </w:r>
      <w:r w:rsidRPr="00E52BE9">
        <w:t> = −165,4 </w:t>
      </w:r>
      <w:proofErr w:type="gramStart"/>
      <w:r w:rsidRPr="00E52BE9">
        <w:t>dB(</w:t>
      </w:r>
      <w:proofErr w:type="gramEnd"/>
      <w:r w:rsidRPr="00E52BE9">
        <w:t>W/m</w:t>
      </w:r>
      <w:r w:rsidRPr="00E52BE9">
        <w:rPr>
          <w:vertAlign w:val="superscript"/>
        </w:rPr>
        <w:t>2</w:t>
      </w:r>
      <w:r w:rsidRPr="00E52BE9">
        <w:t>).</w:t>
      </w:r>
    </w:p>
    <w:p w:rsidR="00AE7DF5" w:rsidRPr="00E52BE9" w:rsidRDefault="00AE7DF5" w:rsidP="00AE7DF5">
      <w:pPr>
        <w:pStyle w:val="Heading1"/>
      </w:pPr>
      <w:r w:rsidRPr="00E52BE9">
        <w:t>4</w:t>
      </w:r>
      <w:r w:rsidRPr="00E52BE9">
        <w:tab/>
        <w:t>Conclusion</w:t>
      </w:r>
    </w:p>
    <w:p w:rsidR="00AE7DF5" w:rsidRPr="00E52BE9" w:rsidRDefault="00AE7DF5" w:rsidP="00AE7DF5">
      <w:r w:rsidRPr="00E52BE9">
        <w:t>Les calculs ci</w:t>
      </w:r>
      <w:r w:rsidRPr="00E52BE9">
        <w:noBreakHyphen/>
        <w:t>dessus permettent de formuler les conclusions et recommandations suivantes: le cumul des émissions brouilleuses spectrales en bande étroite ne doit pas dépasser –165,4 </w:t>
      </w:r>
      <w:proofErr w:type="gramStart"/>
      <w:r w:rsidRPr="00E52BE9">
        <w:t>dB(</w:t>
      </w:r>
      <w:proofErr w:type="gramEnd"/>
      <w:r w:rsidRPr="00E52BE9">
        <w:t>W/m</w:t>
      </w:r>
      <w:r w:rsidRPr="00E52BE9">
        <w:rPr>
          <w:vertAlign w:val="superscript"/>
        </w:rPr>
        <w:t>2</w:t>
      </w:r>
      <w:r w:rsidRPr="00E52BE9">
        <w:t>) à l'entrée de l'antenne ARGOS dans la bande 401-401,69 MHz, dans une largeur de bande de résolution de 19 Hz.</w:t>
      </w:r>
    </w:p>
    <w:p w:rsidR="00A6617B" w:rsidRDefault="00A6617B" w:rsidP="00AE7DF5"/>
    <w:p w:rsidR="00AE7DF5" w:rsidRPr="00751F87" w:rsidRDefault="00AE7DF5" w:rsidP="00AE7DF5">
      <w:pPr>
        <w:pStyle w:val="Line"/>
        <w:rPr>
          <w:lang w:val="fr-CH"/>
        </w:rPr>
      </w:pPr>
    </w:p>
    <w:sectPr w:rsidR="00AE7DF5" w:rsidRPr="00751F87" w:rsidSect="0014121B">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BC1" w:rsidRDefault="00F43BC1">
      <w:r>
        <w:separator/>
      </w:r>
    </w:p>
  </w:endnote>
  <w:endnote w:type="continuationSeparator" w:id="0">
    <w:p w:rsidR="00F43BC1" w:rsidRDefault="00F43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BC1" w:rsidRDefault="00F43BC1">
      <w:r>
        <w:separator/>
      </w:r>
    </w:p>
  </w:footnote>
  <w:footnote w:type="continuationSeparator" w:id="0">
    <w:p w:rsidR="00F43BC1" w:rsidRDefault="00F43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BC1" w:rsidRDefault="00F43B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BC1" w:rsidRDefault="00F43BC1" w:rsidP="00C668C8">
    <w:pPr>
      <w:pStyle w:val="Header"/>
      <w:ind w:right="360" w:firstLine="360"/>
    </w:pPr>
    <w:r>
      <w:rPr>
        <w:noProof/>
        <w:lang w:val="en-GB" w:eastAsia="zh-CN"/>
      </w:rPr>
      <w:drawing>
        <wp:anchor distT="0" distB="0" distL="114300" distR="114300" simplePos="0" relativeHeight="251657728" behindDoc="1" locked="0" layoutInCell="1" allowOverlap="1" wp14:anchorId="3345C640" wp14:editId="16D34C8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BC1" w:rsidRPr="00837CB5" w:rsidRDefault="00F43BC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E1FAB">
      <w:rPr>
        <w:rStyle w:val="PageNumber"/>
        <w:b/>
        <w:bCs/>
        <w:noProof/>
      </w:rPr>
      <w:t>ii</w:t>
    </w:r>
    <w:r>
      <w:rPr>
        <w:rStyle w:val="PageNumber"/>
        <w:b/>
        <w:bCs/>
      </w:rPr>
      <w:fldChar w:fldCharType="end"/>
    </w:r>
    <w:r w:rsidRPr="00837CB5">
      <w:tab/>
    </w:r>
    <w:fldSimple w:instr=" DOCPROPERTY &quot;Header&quot; \* MERGEFORMAT ">
      <w:r w:rsidR="000E1FAB" w:rsidRPr="000E1FA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E1FAB">
      <w:rPr>
        <w:b/>
        <w:bCs/>
        <w:noProof/>
      </w:rPr>
      <w:t>UIT-R  SA.2044-0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BC1" w:rsidRDefault="00F43BC1">
    <w:pPr>
      <w:pStyle w:val="Header"/>
    </w:pPr>
    <w:r>
      <w:tab/>
    </w:r>
    <w:fldSimple w:instr=" DOCPROPERTY &quot;Header&quot; \* MERGEFORMAT ">
      <w:r w:rsidR="000E1FAB" w:rsidRPr="000E1FA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E1FAB">
      <w:rPr>
        <w:b/>
        <w:bCs/>
        <w:noProof/>
      </w:rPr>
      <w:t>UIT-R  SA.2044-0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1FAB">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E1FAB" w:rsidRPr="000E1FA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E1FAB">
      <w:rPr>
        <w:b/>
        <w:bCs/>
        <w:noProof/>
      </w:rPr>
      <w:t>UIT-R  SA.2044-0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29088D">
    <w:pPr>
      <w:pStyle w:val="Header"/>
    </w:pPr>
    <w:r>
      <w:tab/>
    </w:r>
    <w:fldSimple w:instr=" DOCPROPERTY &quot;Header&quot; \* MERGEFORMAT ">
      <w:r w:rsidR="000E1FAB" w:rsidRPr="000E1FA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E1FAB">
      <w:rPr>
        <w:b/>
        <w:bCs/>
        <w:noProof/>
      </w:rPr>
      <w:t>UIT-R  SA.2044-0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1FAB">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BC1"/>
    <w:rsid w:val="000E1FAB"/>
    <w:rsid w:val="00125FBB"/>
    <w:rsid w:val="0014121B"/>
    <w:rsid w:val="00217EBF"/>
    <w:rsid w:val="00242AEE"/>
    <w:rsid w:val="0029088D"/>
    <w:rsid w:val="002D76C4"/>
    <w:rsid w:val="00302887"/>
    <w:rsid w:val="0052529D"/>
    <w:rsid w:val="00536594"/>
    <w:rsid w:val="00607D68"/>
    <w:rsid w:val="00690516"/>
    <w:rsid w:val="007468DA"/>
    <w:rsid w:val="00751F87"/>
    <w:rsid w:val="0075679A"/>
    <w:rsid w:val="008E794D"/>
    <w:rsid w:val="009053AD"/>
    <w:rsid w:val="009E00A8"/>
    <w:rsid w:val="00A6617B"/>
    <w:rsid w:val="00AB0DC8"/>
    <w:rsid w:val="00AE7DF5"/>
    <w:rsid w:val="00B04080"/>
    <w:rsid w:val="00B44E24"/>
    <w:rsid w:val="00C006D0"/>
    <w:rsid w:val="00C46D23"/>
    <w:rsid w:val="00CD1742"/>
    <w:rsid w:val="00CD71E2"/>
    <w:rsid w:val="00DF4176"/>
    <w:rsid w:val="00F43BC1"/>
    <w:rsid w:val="00FA18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14E7ACC9-C429-420D-822E-774B1C64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B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43B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41</TotalTime>
  <Pages>8</Pages>
  <Words>2225</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Bureau</dc:creator>
  <cp:keywords/>
  <dc:description/>
  <cp:lastModifiedBy>Al-Yammouni, Hala</cp:lastModifiedBy>
  <cp:revision>19</cp:revision>
  <cp:lastPrinted>2018-09-14T13:49:00Z</cp:lastPrinted>
  <dcterms:created xsi:type="dcterms:W3CDTF">2014-08-21T11:56:00Z</dcterms:created>
  <dcterms:modified xsi:type="dcterms:W3CDTF">2018-09-14T13:49:00Z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