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FAC" w:rsidRDefault="009F0FAC" w:rsidP="009F0FAC"/>
    <w:p w:rsidR="009F0FAC" w:rsidRDefault="009F0FAC" w:rsidP="009F0FAC"/>
    <w:p w:rsidR="009F0FAC" w:rsidRDefault="009F0FAC" w:rsidP="009F0FAC"/>
    <w:p w:rsidR="009F0FAC" w:rsidRDefault="009F0FAC" w:rsidP="009F0FAC"/>
    <w:p w:rsidR="009F0FAC" w:rsidRDefault="009F0FAC" w:rsidP="009F0FAC"/>
    <w:p w:rsidR="009F0FAC" w:rsidRDefault="009F0FAC" w:rsidP="009F0FAC"/>
    <w:p w:rsidR="009F0FAC" w:rsidRDefault="009F0FAC" w:rsidP="009F0FAC"/>
    <w:p w:rsidR="009F0FAC" w:rsidRDefault="009F0FAC" w:rsidP="009F0FAC"/>
    <w:p w:rsidR="009F0FAC" w:rsidRDefault="009F0FAC" w:rsidP="009F0FAC"/>
    <w:p w:rsidR="009F0FAC" w:rsidRDefault="009F0FAC" w:rsidP="009F0FAC"/>
    <w:p w:rsidR="009F0FAC" w:rsidRDefault="009F0FAC" w:rsidP="009F0FAC"/>
    <w:tbl>
      <w:tblPr>
        <w:tblW w:w="10089" w:type="dxa"/>
        <w:tblLook w:val="01E0" w:firstRow="1" w:lastRow="1" w:firstColumn="1" w:lastColumn="1" w:noHBand="0" w:noVBand="0"/>
      </w:tblPr>
      <w:tblGrid>
        <w:gridCol w:w="10089"/>
      </w:tblGrid>
      <w:tr w:rsidR="009F0FAC" w:rsidRPr="009F0FAC" w:rsidTr="00520CFB">
        <w:tc>
          <w:tcPr>
            <w:tcW w:w="10089" w:type="dxa"/>
          </w:tcPr>
          <w:p w:rsidR="009F0FAC" w:rsidRPr="0010336F" w:rsidRDefault="009F0FAC" w:rsidP="00520CFB">
            <w:pPr>
              <w:spacing w:before="380" w:line="280" w:lineRule="exact"/>
              <w:jc w:val="right"/>
              <w:rPr>
                <w:rFonts w:ascii="Tahoma" w:hAnsi="Tahoma" w:cs="Tahoma"/>
                <w:b/>
                <w:bCs/>
                <w:iCs/>
                <w:color w:val="243285"/>
                <w:sz w:val="32"/>
                <w:szCs w:val="32"/>
                <w:lang w:val="en-US"/>
              </w:rPr>
            </w:pPr>
          </w:p>
          <w:p w:rsidR="009F0FAC" w:rsidRPr="0010336F" w:rsidRDefault="009F0FAC" w:rsidP="009F0FAC">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SA</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2044</w:t>
            </w:r>
            <w:r w:rsidR="00D55F08">
              <w:rPr>
                <w:rFonts w:ascii="Tahoma" w:hAnsi="Tahoma" w:cs="Tahoma"/>
                <w:b/>
                <w:bCs/>
                <w:iCs/>
                <w:color w:val="243285"/>
                <w:sz w:val="36"/>
                <w:szCs w:val="36"/>
                <w:lang w:val="es-ES_tradnl"/>
              </w:rPr>
              <w:t>-0</w:t>
            </w:r>
          </w:p>
          <w:p w:rsidR="009F0FAC" w:rsidRPr="0010336F" w:rsidRDefault="009F0FAC" w:rsidP="009F0FAC">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12</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2013</w:t>
            </w:r>
            <w:r w:rsidRPr="0010336F">
              <w:rPr>
                <w:rFonts w:ascii="Tahoma" w:hAnsi="Tahoma" w:cs="Tahoma"/>
                <w:b/>
                <w:bCs/>
                <w:iCs/>
                <w:color w:val="243285"/>
                <w:szCs w:val="24"/>
                <w:lang w:val="es-ES_tradnl"/>
              </w:rPr>
              <w:t>)</w:t>
            </w:r>
          </w:p>
        </w:tc>
      </w:tr>
      <w:tr w:rsidR="009F0FAC" w:rsidRPr="00AA1C5D" w:rsidTr="00520CFB">
        <w:tc>
          <w:tcPr>
            <w:tcW w:w="10089" w:type="dxa"/>
          </w:tcPr>
          <w:p w:rsidR="009F0FAC" w:rsidRPr="0010336F" w:rsidRDefault="009F0FAC" w:rsidP="00520CFB">
            <w:pPr>
              <w:spacing w:before="80" w:line="500" w:lineRule="exact"/>
              <w:jc w:val="right"/>
              <w:rPr>
                <w:rFonts w:ascii="Tahoma" w:hAnsi="Tahoma" w:cs="Tahoma"/>
                <w:b/>
                <w:bCs/>
                <w:iCs/>
                <w:color w:val="243285"/>
                <w:sz w:val="44"/>
                <w:szCs w:val="44"/>
                <w:lang w:val="es-ES_tradnl"/>
              </w:rPr>
            </w:pPr>
          </w:p>
          <w:p w:rsidR="009F0FAC" w:rsidRDefault="009F0FAC" w:rsidP="009F0FAC">
            <w:pPr>
              <w:spacing w:before="80" w:line="500" w:lineRule="exact"/>
              <w:jc w:val="right"/>
              <w:rPr>
                <w:rFonts w:ascii="Tahoma" w:hAnsi="Tahoma" w:cs="Tahoma"/>
                <w:b/>
                <w:bCs/>
                <w:color w:val="243285"/>
                <w:sz w:val="44"/>
                <w:szCs w:val="44"/>
                <w:lang w:val="es-ES_tradnl"/>
              </w:rPr>
            </w:pPr>
            <w:r w:rsidRPr="00092E43">
              <w:rPr>
                <w:rFonts w:ascii="Tahoma" w:hAnsi="Tahoma" w:cs="Tahoma"/>
                <w:b/>
                <w:bCs/>
                <w:iCs/>
                <w:color w:val="243285"/>
                <w:sz w:val="44"/>
                <w:szCs w:val="44"/>
                <w:lang w:val="es-ES_tradnl"/>
              </w:rPr>
              <w:t>Criterios de protección para las plataformas</w:t>
            </w:r>
            <w:r>
              <w:rPr>
                <w:rFonts w:ascii="Tahoma" w:hAnsi="Tahoma" w:cs="Tahoma"/>
                <w:b/>
                <w:bCs/>
                <w:iCs/>
                <w:color w:val="243285"/>
                <w:sz w:val="44"/>
                <w:szCs w:val="44"/>
                <w:lang w:val="es-ES_tradnl"/>
              </w:rPr>
              <w:br/>
            </w:r>
            <w:r w:rsidRPr="00092E43">
              <w:rPr>
                <w:rFonts w:ascii="Tahoma" w:hAnsi="Tahoma" w:cs="Tahoma"/>
                <w:b/>
                <w:bCs/>
                <w:iCs/>
                <w:color w:val="243285"/>
                <w:sz w:val="44"/>
                <w:szCs w:val="44"/>
                <w:lang w:val="es-ES_tradnl"/>
              </w:rPr>
              <w:t xml:space="preserve">de adquisición de datos no OSG </w:t>
            </w:r>
            <w:r w:rsidRPr="00092E43">
              <w:rPr>
                <w:rFonts w:ascii="Tahoma" w:hAnsi="Tahoma" w:cs="Tahoma"/>
                <w:b/>
                <w:bCs/>
                <w:iCs/>
                <w:color w:val="243285"/>
                <w:sz w:val="44"/>
                <w:szCs w:val="44"/>
                <w:lang w:val="es-ES_tradnl"/>
              </w:rPr>
              <w:br/>
              <w:t>en la banda 401-403 MHz</w:t>
            </w:r>
          </w:p>
          <w:p w:rsidR="009F0FAC" w:rsidRPr="0010336F" w:rsidRDefault="009F0FAC" w:rsidP="00520CFB">
            <w:pPr>
              <w:spacing w:before="80" w:line="500" w:lineRule="exact"/>
              <w:jc w:val="right"/>
              <w:rPr>
                <w:rFonts w:ascii="Tahoma" w:hAnsi="Tahoma" w:cs="Tahoma"/>
                <w:b/>
                <w:bCs/>
                <w:iCs/>
                <w:color w:val="243285"/>
                <w:sz w:val="44"/>
                <w:szCs w:val="44"/>
                <w:lang w:val="es-ES_tradnl"/>
              </w:rPr>
            </w:pPr>
          </w:p>
        </w:tc>
      </w:tr>
      <w:tr w:rsidR="009F0FAC" w:rsidRPr="00AA1C5D" w:rsidTr="00520CFB">
        <w:tc>
          <w:tcPr>
            <w:tcW w:w="10089" w:type="dxa"/>
          </w:tcPr>
          <w:p w:rsidR="009F0FAC" w:rsidRPr="0010336F" w:rsidRDefault="009F0FAC" w:rsidP="00520CFB">
            <w:pPr>
              <w:spacing w:before="80" w:line="280" w:lineRule="exact"/>
              <w:ind w:right="640"/>
              <w:rPr>
                <w:rFonts w:ascii="Tahoma" w:hAnsi="Tahoma" w:cs="Tahoma"/>
                <w:b/>
                <w:bCs/>
                <w:iCs/>
                <w:color w:val="243285"/>
                <w:sz w:val="32"/>
                <w:szCs w:val="32"/>
                <w:lang w:val="es-ES_tradnl"/>
              </w:rPr>
            </w:pPr>
          </w:p>
          <w:p w:rsidR="009F0FAC" w:rsidRPr="0010336F" w:rsidRDefault="009F0FAC" w:rsidP="00520CFB">
            <w:pPr>
              <w:spacing w:before="80" w:line="280" w:lineRule="exact"/>
              <w:ind w:right="640"/>
              <w:rPr>
                <w:rFonts w:ascii="Tahoma" w:hAnsi="Tahoma" w:cs="Tahoma"/>
                <w:b/>
                <w:bCs/>
                <w:iCs/>
                <w:color w:val="243285"/>
                <w:sz w:val="32"/>
                <w:szCs w:val="32"/>
                <w:lang w:val="es-ES_tradnl"/>
              </w:rPr>
            </w:pPr>
          </w:p>
          <w:p w:rsidR="009F0FAC" w:rsidRPr="0010336F" w:rsidRDefault="009F0FAC" w:rsidP="00520CFB">
            <w:pPr>
              <w:spacing w:before="80" w:after="180" w:line="360" w:lineRule="exact"/>
              <w:ind w:right="720"/>
              <w:rPr>
                <w:rFonts w:ascii="Tahoma" w:hAnsi="Tahoma" w:cs="Tahoma"/>
                <w:b/>
                <w:bCs/>
                <w:iCs/>
                <w:color w:val="243285"/>
                <w:sz w:val="36"/>
                <w:szCs w:val="36"/>
                <w:lang w:val="es-ES_tradnl"/>
              </w:rPr>
            </w:pPr>
          </w:p>
          <w:p w:rsidR="009F0FAC" w:rsidRPr="0010336F" w:rsidRDefault="009F0FAC" w:rsidP="00520CF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SA</w:t>
            </w:r>
          </w:p>
          <w:p w:rsidR="009F0FAC" w:rsidRPr="0010336F" w:rsidRDefault="009F0FAC" w:rsidP="00520CFB">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Aplicaciones espaciales y meteorología</w:t>
            </w:r>
          </w:p>
        </w:tc>
      </w:tr>
    </w:tbl>
    <w:p w:rsidR="009F0FAC" w:rsidRPr="0026666F" w:rsidRDefault="009F0FAC" w:rsidP="009F0FAC">
      <w:pPr>
        <w:spacing w:before="80"/>
        <w:rPr>
          <w:i/>
          <w:sz w:val="22"/>
          <w:lang w:val="es-ES_tradnl"/>
        </w:rPr>
      </w:pPr>
    </w:p>
    <w:p w:rsidR="009F0FAC" w:rsidRPr="0026666F" w:rsidRDefault="009F0FAC" w:rsidP="009F0FAC">
      <w:pPr>
        <w:spacing w:before="80"/>
        <w:rPr>
          <w:i/>
          <w:sz w:val="22"/>
          <w:lang w:val="es-ES_tradnl"/>
        </w:rPr>
      </w:pPr>
    </w:p>
    <w:p w:rsidR="009F0FAC" w:rsidRPr="0026666F" w:rsidRDefault="009F0FAC" w:rsidP="009F0FAC">
      <w:pPr>
        <w:spacing w:before="80"/>
        <w:rPr>
          <w:i/>
          <w:sz w:val="22"/>
          <w:lang w:val="es-ES_tradnl"/>
        </w:rPr>
      </w:pPr>
    </w:p>
    <w:p w:rsidR="009F0FAC" w:rsidRPr="0026666F" w:rsidRDefault="009F0FAC" w:rsidP="009F0FAC">
      <w:pPr>
        <w:spacing w:before="80"/>
        <w:rPr>
          <w:i/>
          <w:sz w:val="22"/>
          <w:lang w:val="es-ES_tradnl"/>
        </w:rPr>
      </w:pPr>
    </w:p>
    <w:p w:rsidR="009F0FAC" w:rsidRPr="0026666F" w:rsidRDefault="009F0FAC" w:rsidP="009F0FAC">
      <w:pPr>
        <w:spacing w:before="80"/>
        <w:rPr>
          <w:i/>
          <w:sz w:val="22"/>
          <w:lang w:val="es-ES_tradnl"/>
        </w:rPr>
      </w:pPr>
    </w:p>
    <w:p w:rsidR="009F0FAC" w:rsidRPr="0026666F" w:rsidRDefault="009F0FAC" w:rsidP="009F0FAC">
      <w:pPr>
        <w:spacing w:before="80"/>
        <w:rPr>
          <w:i/>
          <w:sz w:val="22"/>
          <w:lang w:val="es-ES_tradnl"/>
        </w:rPr>
      </w:pPr>
    </w:p>
    <w:p w:rsidR="009F0FAC" w:rsidRPr="0026666F" w:rsidRDefault="009F0FAC" w:rsidP="009F0FAC">
      <w:pPr>
        <w:pStyle w:val="Equation"/>
        <w:tabs>
          <w:tab w:val="clear" w:pos="4820"/>
          <w:tab w:val="clear" w:pos="9639"/>
          <w:tab w:val="left" w:pos="1191"/>
          <w:tab w:val="left" w:pos="1588"/>
          <w:tab w:val="left" w:pos="1985"/>
        </w:tabs>
        <w:rPr>
          <w:rFonts w:ascii="Palatino Linotype" w:hAnsi="Palatino Linotype"/>
          <w:lang w:val="es-ES_tradnl"/>
        </w:rPr>
        <w:sectPr w:rsidR="009F0FAC" w:rsidRPr="0026666F">
          <w:headerReference w:type="even" r:id="rId7"/>
          <w:headerReference w:type="default" r:id="rId8"/>
          <w:pgSz w:w="11907" w:h="16840" w:code="9"/>
          <w:pgMar w:top="1089" w:right="1089" w:bottom="284" w:left="1089" w:header="567" w:footer="284" w:gutter="0"/>
          <w:pgNumType w:start="1"/>
          <w:cols w:space="720"/>
        </w:sectPr>
      </w:pPr>
    </w:p>
    <w:p w:rsidR="009F0FAC" w:rsidRPr="006C718C" w:rsidRDefault="009F0FAC" w:rsidP="009F0FA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9F0FAC" w:rsidRPr="006C718C" w:rsidRDefault="009F0FAC" w:rsidP="009F0FAC">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9F0FAC" w:rsidRPr="006C718C" w:rsidRDefault="009F0FAC" w:rsidP="009F0FAC">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9F0FAC" w:rsidRPr="00021E8A" w:rsidRDefault="009F0FAC" w:rsidP="009F0FAC">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9F0FAC" w:rsidRPr="00021E8A" w:rsidRDefault="009F0FAC" w:rsidP="009F0FAC">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9F0FAC" w:rsidRPr="007C36CA" w:rsidRDefault="009F0FAC" w:rsidP="009F0FAC">
      <w:pPr>
        <w:spacing w:before="0"/>
        <w:jc w:val="center"/>
        <w:rPr>
          <w:sz w:val="22"/>
          <w:lang w:val="es-ES_tradnl"/>
        </w:rPr>
      </w:pPr>
    </w:p>
    <w:p w:rsidR="009F0FAC" w:rsidRPr="007C36CA" w:rsidRDefault="009F0FAC" w:rsidP="009F0FAC">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9F0FAC" w:rsidRPr="00AA1C5D" w:rsidTr="00520CFB">
        <w:tc>
          <w:tcPr>
            <w:tcW w:w="9360" w:type="dxa"/>
            <w:gridSpan w:val="2"/>
          </w:tcPr>
          <w:p w:rsidR="009F0FAC" w:rsidRPr="00021E8A" w:rsidRDefault="009F0FAC" w:rsidP="00520CF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9F0FAC" w:rsidRPr="00763D08" w:rsidRDefault="009F0FAC" w:rsidP="00520C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9F0FAC" w:rsidRPr="00036EE3" w:rsidTr="00520CFB">
        <w:tc>
          <w:tcPr>
            <w:tcW w:w="1140" w:type="dxa"/>
            <w:tcBorders>
              <w:bottom w:val="nil"/>
            </w:tcBorders>
          </w:tcPr>
          <w:p w:rsidR="009F0FAC" w:rsidRPr="00036EE3" w:rsidRDefault="009F0FAC" w:rsidP="00520CFB">
            <w:pPr>
              <w:spacing w:before="180" w:after="100"/>
              <w:ind w:left="57"/>
              <w:rPr>
                <w:b/>
                <w:bCs/>
                <w:sz w:val="20"/>
                <w:lang w:val="en-US"/>
              </w:rPr>
            </w:pPr>
            <w:r w:rsidRPr="00036EE3">
              <w:rPr>
                <w:b/>
                <w:bCs/>
                <w:sz w:val="20"/>
                <w:lang w:val="en-US"/>
              </w:rPr>
              <w:t>Series</w:t>
            </w:r>
          </w:p>
        </w:tc>
        <w:tc>
          <w:tcPr>
            <w:tcW w:w="8220" w:type="dxa"/>
            <w:tcBorders>
              <w:bottom w:val="nil"/>
            </w:tcBorders>
          </w:tcPr>
          <w:p w:rsidR="009F0FAC" w:rsidRPr="00036EE3" w:rsidRDefault="009F0FAC" w:rsidP="00520C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9F0FAC" w:rsidRPr="004532F7" w:rsidTr="00520CFB">
        <w:tc>
          <w:tcPr>
            <w:tcW w:w="1140" w:type="dxa"/>
            <w:tcBorders>
              <w:top w:val="nil"/>
              <w:bottom w:val="nil"/>
            </w:tcBorders>
            <w:shd w:val="clear" w:color="auto" w:fill="auto"/>
          </w:tcPr>
          <w:p w:rsidR="009F0FAC" w:rsidRPr="004532F7" w:rsidRDefault="009F0FAC" w:rsidP="00520CFB">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9F0FAC" w:rsidRPr="004532F7" w:rsidRDefault="009F0FAC" w:rsidP="00520C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9F0FAC" w:rsidRPr="00AA1C5D" w:rsidTr="00520CFB">
        <w:tc>
          <w:tcPr>
            <w:tcW w:w="1140" w:type="dxa"/>
            <w:tcBorders>
              <w:top w:val="nil"/>
              <w:bottom w:val="nil"/>
            </w:tcBorders>
            <w:shd w:val="clear" w:color="auto" w:fill="auto"/>
          </w:tcPr>
          <w:p w:rsidR="009F0FAC" w:rsidRPr="006B22C3" w:rsidRDefault="009F0FAC" w:rsidP="00520CFB">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9F0FAC" w:rsidRPr="006B22C3" w:rsidRDefault="009F0FAC" w:rsidP="00520C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9F0FAC" w:rsidRPr="00847DD5" w:rsidTr="00520CFB">
        <w:tc>
          <w:tcPr>
            <w:tcW w:w="1140" w:type="dxa"/>
            <w:tcBorders>
              <w:top w:val="nil"/>
              <w:bottom w:val="nil"/>
            </w:tcBorders>
            <w:shd w:val="clear" w:color="auto" w:fill="auto"/>
          </w:tcPr>
          <w:p w:rsidR="009F0FAC" w:rsidRPr="00847DD5" w:rsidRDefault="009F0FAC" w:rsidP="00520CFB">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9F0FAC" w:rsidRPr="00847DD5" w:rsidRDefault="009F0FAC" w:rsidP="00520C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9F0FAC" w:rsidRPr="00ED2695" w:rsidTr="00520CFB">
        <w:tc>
          <w:tcPr>
            <w:tcW w:w="1140" w:type="dxa"/>
            <w:tcBorders>
              <w:top w:val="nil"/>
              <w:bottom w:val="nil"/>
            </w:tcBorders>
            <w:shd w:val="clear" w:color="auto" w:fill="auto"/>
          </w:tcPr>
          <w:p w:rsidR="009F0FAC" w:rsidRPr="00ED2695" w:rsidRDefault="009F0FAC" w:rsidP="00520CF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9F0FAC" w:rsidRPr="00021E8A" w:rsidRDefault="009F0FAC" w:rsidP="00520C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9F0FAC" w:rsidRPr="00366CEE" w:rsidTr="00520CFB">
        <w:tc>
          <w:tcPr>
            <w:tcW w:w="1140" w:type="dxa"/>
            <w:tcBorders>
              <w:top w:val="nil"/>
              <w:bottom w:val="nil"/>
            </w:tcBorders>
            <w:shd w:val="clear" w:color="auto" w:fill="auto"/>
          </w:tcPr>
          <w:p w:rsidR="009F0FAC" w:rsidRPr="00366CEE" w:rsidRDefault="009F0FAC" w:rsidP="00520CFB">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9F0FAC" w:rsidRPr="00366CEE" w:rsidRDefault="009F0FAC" w:rsidP="00520CF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9F0FAC" w:rsidRPr="00AA1C5D" w:rsidTr="00520CFB">
        <w:tc>
          <w:tcPr>
            <w:tcW w:w="1140" w:type="dxa"/>
            <w:tcBorders>
              <w:top w:val="nil"/>
              <w:bottom w:val="nil"/>
            </w:tcBorders>
            <w:shd w:val="clear" w:color="auto" w:fill="auto"/>
          </w:tcPr>
          <w:p w:rsidR="009F0FAC" w:rsidRPr="0010336F" w:rsidRDefault="009F0FAC" w:rsidP="00520CF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9F0FAC" w:rsidRPr="0010336F" w:rsidRDefault="009F0FAC" w:rsidP="00520CF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9F0FAC" w:rsidRPr="00AA1C5D" w:rsidTr="00520CFB">
        <w:tc>
          <w:tcPr>
            <w:tcW w:w="1140" w:type="dxa"/>
            <w:tcBorders>
              <w:top w:val="nil"/>
              <w:bottom w:val="nil"/>
            </w:tcBorders>
            <w:shd w:val="clear" w:color="auto" w:fill="auto"/>
          </w:tcPr>
          <w:p w:rsidR="009F0FAC" w:rsidRPr="00F95576" w:rsidRDefault="009F0FAC" w:rsidP="00520CFB">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9F0FAC" w:rsidRPr="00F95576" w:rsidRDefault="009F0FAC" w:rsidP="00520CFB">
            <w:pPr>
              <w:spacing w:before="30" w:after="30"/>
              <w:jc w:val="left"/>
              <w:rPr>
                <w:sz w:val="20"/>
                <w:lang w:val="es-ES_tradnl"/>
              </w:rPr>
            </w:pPr>
            <w:r w:rsidRPr="00F95576">
              <w:rPr>
                <w:sz w:val="20"/>
                <w:lang w:val="es-ES_tradnl"/>
              </w:rPr>
              <w:t>Propagación de las ondas radioeléctricas</w:t>
            </w:r>
          </w:p>
        </w:tc>
      </w:tr>
      <w:tr w:rsidR="009F0FAC" w:rsidRPr="00DE71F7" w:rsidTr="00520CFB">
        <w:tc>
          <w:tcPr>
            <w:tcW w:w="1140" w:type="dxa"/>
            <w:tcBorders>
              <w:top w:val="nil"/>
              <w:bottom w:val="nil"/>
            </w:tcBorders>
            <w:shd w:val="clear" w:color="auto" w:fill="auto"/>
          </w:tcPr>
          <w:p w:rsidR="009F0FAC" w:rsidRPr="00DE71F7" w:rsidRDefault="009F0FAC" w:rsidP="00520CFB">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9F0FAC" w:rsidRPr="00DE71F7" w:rsidRDefault="009F0FAC" w:rsidP="009F0FA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Radioastronomía</w:t>
            </w:r>
          </w:p>
        </w:tc>
      </w:tr>
      <w:tr w:rsidR="009F0FAC" w:rsidRPr="00AA1C5D" w:rsidTr="00520CFB">
        <w:tc>
          <w:tcPr>
            <w:tcW w:w="1140" w:type="dxa"/>
            <w:tcBorders>
              <w:top w:val="nil"/>
              <w:bottom w:val="nil"/>
            </w:tcBorders>
            <w:shd w:val="clear" w:color="auto" w:fill="auto"/>
          </w:tcPr>
          <w:p w:rsidR="009F0FAC" w:rsidRPr="00D12388" w:rsidRDefault="009F0FAC" w:rsidP="00520CFB">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9F0FAC" w:rsidRPr="00D12388" w:rsidRDefault="009F0FAC" w:rsidP="00520CF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9F0FAC" w:rsidRPr="00025336" w:rsidTr="00520CFB">
        <w:tc>
          <w:tcPr>
            <w:tcW w:w="1140" w:type="dxa"/>
            <w:tcBorders>
              <w:top w:val="nil"/>
              <w:bottom w:val="nil"/>
            </w:tcBorders>
            <w:shd w:val="clear" w:color="auto" w:fill="auto"/>
          </w:tcPr>
          <w:p w:rsidR="009F0FAC" w:rsidRPr="00025336" w:rsidRDefault="009F0FAC" w:rsidP="00520CFB">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9F0FAC" w:rsidRPr="00025336" w:rsidRDefault="009F0FAC" w:rsidP="00520CFB">
            <w:pPr>
              <w:spacing w:before="30" w:after="30"/>
              <w:jc w:val="left"/>
              <w:rPr>
                <w:sz w:val="20"/>
                <w:lang w:val="en-US"/>
              </w:rPr>
            </w:pPr>
            <w:r w:rsidRPr="00025336">
              <w:rPr>
                <w:sz w:val="20"/>
              </w:rPr>
              <w:t>Servicio fijo por satélite</w:t>
            </w:r>
          </w:p>
        </w:tc>
      </w:tr>
      <w:tr w:rsidR="009F0FAC" w:rsidRPr="00025336" w:rsidTr="00520CFB">
        <w:tc>
          <w:tcPr>
            <w:tcW w:w="1140" w:type="dxa"/>
            <w:tcBorders>
              <w:top w:val="nil"/>
              <w:bottom w:val="nil"/>
            </w:tcBorders>
            <w:shd w:val="clear" w:color="auto" w:fill="F3F3F3"/>
          </w:tcPr>
          <w:p w:rsidR="009F0FAC" w:rsidRPr="00025336" w:rsidRDefault="009F0FAC" w:rsidP="00520CFB">
            <w:pPr>
              <w:spacing w:before="30" w:after="30"/>
              <w:ind w:left="57"/>
              <w:jc w:val="left"/>
              <w:rPr>
                <w:b/>
                <w:bCs/>
                <w:color w:val="000080"/>
                <w:sz w:val="20"/>
                <w:lang w:val="en-US"/>
              </w:rPr>
            </w:pPr>
            <w:r w:rsidRPr="00025336">
              <w:rPr>
                <w:b/>
                <w:bCs/>
                <w:color w:val="000080"/>
                <w:sz w:val="20"/>
                <w:lang w:val="en-US"/>
              </w:rPr>
              <w:t>SA</w:t>
            </w:r>
          </w:p>
        </w:tc>
        <w:tc>
          <w:tcPr>
            <w:tcW w:w="8220" w:type="dxa"/>
            <w:tcBorders>
              <w:top w:val="nil"/>
              <w:bottom w:val="nil"/>
            </w:tcBorders>
            <w:shd w:val="clear" w:color="auto" w:fill="F3F3F3"/>
          </w:tcPr>
          <w:p w:rsidR="009F0FAC" w:rsidRPr="00025336" w:rsidRDefault="009F0FAC" w:rsidP="00520CFB">
            <w:pPr>
              <w:spacing w:before="30" w:after="30"/>
              <w:jc w:val="left"/>
              <w:rPr>
                <w:b/>
                <w:bCs/>
                <w:color w:val="000080"/>
                <w:sz w:val="20"/>
                <w:lang w:val="en-US"/>
              </w:rPr>
            </w:pPr>
            <w:r w:rsidRPr="00025336">
              <w:rPr>
                <w:b/>
                <w:bCs/>
                <w:color w:val="000080"/>
                <w:sz w:val="20"/>
              </w:rPr>
              <w:t>Aplicaciones espaciales y meteorología</w:t>
            </w:r>
          </w:p>
        </w:tc>
      </w:tr>
      <w:tr w:rsidR="009F0FAC" w:rsidRPr="00AA1C5D" w:rsidTr="00520CFB">
        <w:tc>
          <w:tcPr>
            <w:tcW w:w="1140" w:type="dxa"/>
            <w:tcBorders>
              <w:top w:val="nil"/>
            </w:tcBorders>
          </w:tcPr>
          <w:p w:rsidR="009F0FAC" w:rsidRPr="00036EE3" w:rsidRDefault="009F0FAC" w:rsidP="00520CFB">
            <w:pPr>
              <w:spacing w:before="30" w:after="30"/>
              <w:ind w:left="57"/>
              <w:jc w:val="left"/>
              <w:rPr>
                <w:b/>
                <w:bCs/>
                <w:sz w:val="20"/>
                <w:lang w:val="en-US"/>
              </w:rPr>
            </w:pPr>
            <w:r w:rsidRPr="00036EE3">
              <w:rPr>
                <w:b/>
                <w:bCs/>
                <w:sz w:val="20"/>
                <w:lang w:val="en-US"/>
              </w:rPr>
              <w:t>SF</w:t>
            </w:r>
          </w:p>
        </w:tc>
        <w:tc>
          <w:tcPr>
            <w:tcW w:w="8220" w:type="dxa"/>
            <w:tcBorders>
              <w:top w:val="nil"/>
            </w:tcBorders>
          </w:tcPr>
          <w:p w:rsidR="009F0FAC" w:rsidRPr="00021E8A" w:rsidRDefault="009F0FAC" w:rsidP="00520CF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9F0FAC" w:rsidRPr="00036EE3" w:rsidTr="00520CFB">
        <w:tc>
          <w:tcPr>
            <w:tcW w:w="1140" w:type="dxa"/>
            <w:shd w:val="clear" w:color="auto" w:fill="auto"/>
          </w:tcPr>
          <w:p w:rsidR="009F0FAC" w:rsidRPr="001240BC" w:rsidRDefault="009F0FAC" w:rsidP="00520CFB">
            <w:pPr>
              <w:spacing w:before="30" w:after="30"/>
              <w:ind w:left="57"/>
              <w:jc w:val="left"/>
              <w:rPr>
                <w:b/>
                <w:bCs/>
                <w:sz w:val="20"/>
                <w:lang w:val="en-US"/>
              </w:rPr>
            </w:pPr>
            <w:r w:rsidRPr="001240BC">
              <w:rPr>
                <w:b/>
                <w:bCs/>
                <w:sz w:val="20"/>
                <w:lang w:val="en-US"/>
              </w:rPr>
              <w:t>SM</w:t>
            </w:r>
          </w:p>
        </w:tc>
        <w:tc>
          <w:tcPr>
            <w:tcW w:w="8220" w:type="dxa"/>
            <w:shd w:val="clear" w:color="auto" w:fill="auto"/>
          </w:tcPr>
          <w:p w:rsidR="009F0FAC" w:rsidRPr="001240BC" w:rsidRDefault="009F0FAC" w:rsidP="00520CFB">
            <w:pPr>
              <w:spacing w:before="30" w:after="30"/>
              <w:jc w:val="left"/>
              <w:rPr>
                <w:sz w:val="20"/>
                <w:lang w:val="en-US"/>
              </w:rPr>
            </w:pPr>
            <w:r w:rsidRPr="001240BC">
              <w:rPr>
                <w:sz w:val="20"/>
              </w:rPr>
              <w:t>Gestión del espectro</w:t>
            </w:r>
          </w:p>
        </w:tc>
      </w:tr>
      <w:tr w:rsidR="009F0FAC" w:rsidRPr="00036EE3" w:rsidTr="00520CFB">
        <w:tc>
          <w:tcPr>
            <w:tcW w:w="1140" w:type="dxa"/>
          </w:tcPr>
          <w:p w:rsidR="009F0FAC" w:rsidRPr="00036EE3" w:rsidRDefault="009F0FAC" w:rsidP="00520CFB">
            <w:pPr>
              <w:spacing w:before="30" w:after="30"/>
              <w:ind w:left="57"/>
              <w:jc w:val="left"/>
              <w:rPr>
                <w:b/>
                <w:bCs/>
                <w:sz w:val="20"/>
                <w:lang w:val="en-US"/>
              </w:rPr>
            </w:pPr>
            <w:r w:rsidRPr="00036EE3">
              <w:rPr>
                <w:b/>
                <w:bCs/>
                <w:sz w:val="20"/>
                <w:lang w:val="en-US"/>
              </w:rPr>
              <w:t>SNG</w:t>
            </w:r>
          </w:p>
        </w:tc>
        <w:tc>
          <w:tcPr>
            <w:tcW w:w="8220" w:type="dxa"/>
          </w:tcPr>
          <w:p w:rsidR="009F0FAC" w:rsidRPr="00021E8A" w:rsidRDefault="009F0FAC" w:rsidP="00520CFB">
            <w:pPr>
              <w:spacing w:before="30" w:after="30"/>
              <w:jc w:val="left"/>
              <w:rPr>
                <w:bCs/>
                <w:sz w:val="20"/>
                <w:lang w:val="en-US"/>
              </w:rPr>
            </w:pPr>
            <w:r w:rsidRPr="00021E8A">
              <w:rPr>
                <w:bCs/>
                <w:sz w:val="20"/>
              </w:rPr>
              <w:t>Periodismo electrónico por satélite</w:t>
            </w:r>
          </w:p>
        </w:tc>
      </w:tr>
      <w:tr w:rsidR="009F0FAC" w:rsidRPr="00AA1C5D" w:rsidTr="00520CFB">
        <w:tc>
          <w:tcPr>
            <w:tcW w:w="1140" w:type="dxa"/>
          </w:tcPr>
          <w:p w:rsidR="009F0FAC" w:rsidRPr="00036EE3" w:rsidRDefault="009F0FAC" w:rsidP="00520CFB">
            <w:pPr>
              <w:spacing w:before="30" w:after="30"/>
              <w:ind w:left="57"/>
              <w:jc w:val="left"/>
              <w:rPr>
                <w:b/>
                <w:bCs/>
                <w:sz w:val="20"/>
                <w:lang w:val="en-US"/>
              </w:rPr>
            </w:pPr>
            <w:r w:rsidRPr="00036EE3">
              <w:rPr>
                <w:b/>
                <w:bCs/>
                <w:sz w:val="20"/>
                <w:lang w:val="en-US"/>
              </w:rPr>
              <w:t>TF</w:t>
            </w:r>
          </w:p>
        </w:tc>
        <w:tc>
          <w:tcPr>
            <w:tcW w:w="8220" w:type="dxa"/>
          </w:tcPr>
          <w:p w:rsidR="009F0FAC" w:rsidRPr="00021E8A" w:rsidRDefault="009F0FAC" w:rsidP="00520CFB">
            <w:pPr>
              <w:spacing w:before="30" w:after="30"/>
              <w:jc w:val="left"/>
              <w:rPr>
                <w:bCs/>
                <w:sz w:val="20"/>
                <w:lang w:val="es-ES_tradnl"/>
              </w:rPr>
            </w:pPr>
            <w:r w:rsidRPr="00021E8A">
              <w:rPr>
                <w:bCs/>
                <w:sz w:val="20"/>
                <w:lang w:val="es-ES_tradnl"/>
              </w:rPr>
              <w:t>Emisiones de frecuencias patrón y señales horarias</w:t>
            </w:r>
          </w:p>
        </w:tc>
      </w:tr>
      <w:tr w:rsidR="009F0FAC" w:rsidRPr="00036EE3" w:rsidTr="00520CFB">
        <w:tc>
          <w:tcPr>
            <w:tcW w:w="1140" w:type="dxa"/>
          </w:tcPr>
          <w:p w:rsidR="009F0FAC" w:rsidRPr="00036EE3" w:rsidRDefault="009F0FAC" w:rsidP="00520CFB">
            <w:pPr>
              <w:spacing w:before="30" w:after="30"/>
              <w:ind w:left="57"/>
              <w:jc w:val="left"/>
              <w:rPr>
                <w:b/>
                <w:bCs/>
                <w:sz w:val="20"/>
                <w:lang w:val="en-US"/>
              </w:rPr>
            </w:pPr>
            <w:r w:rsidRPr="00036EE3">
              <w:rPr>
                <w:b/>
                <w:bCs/>
                <w:sz w:val="20"/>
                <w:lang w:val="en-US"/>
              </w:rPr>
              <w:t>V</w:t>
            </w:r>
          </w:p>
        </w:tc>
        <w:tc>
          <w:tcPr>
            <w:tcW w:w="8220" w:type="dxa"/>
          </w:tcPr>
          <w:p w:rsidR="009F0FAC" w:rsidRPr="00021E8A" w:rsidRDefault="009F0FAC" w:rsidP="00520CFB">
            <w:pPr>
              <w:spacing w:before="30" w:after="140"/>
              <w:jc w:val="left"/>
              <w:rPr>
                <w:bCs/>
                <w:sz w:val="20"/>
                <w:lang w:val="en-US"/>
              </w:rPr>
            </w:pPr>
            <w:r w:rsidRPr="00021E8A">
              <w:rPr>
                <w:bCs/>
                <w:sz w:val="20"/>
              </w:rPr>
              <w:t>Vocabulario y cuestiones afines</w:t>
            </w:r>
          </w:p>
        </w:tc>
      </w:tr>
    </w:tbl>
    <w:p w:rsidR="009F0FAC" w:rsidRPr="00036EE3" w:rsidRDefault="009F0FAC" w:rsidP="009F0FAC">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F0FAC" w:rsidTr="00520CFB">
        <w:tc>
          <w:tcPr>
            <w:tcW w:w="720" w:type="dxa"/>
          </w:tcPr>
          <w:p w:rsidR="009F0FAC" w:rsidRDefault="009F0FAC" w:rsidP="00520CF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9F0FAC" w:rsidRPr="00AA1C5D" w:rsidTr="00520CFB">
        <w:tc>
          <w:tcPr>
            <w:tcW w:w="9360" w:type="dxa"/>
          </w:tcPr>
          <w:p w:rsidR="009F0FAC" w:rsidRPr="00763D08" w:rsidRDefault="009F0FAC" w:rsidP="00520CFB">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9F0FAC" w:rsidRPr="00763D08" w:rsidRDefault="009F0FAC" w:rsidP="009F0FAC">
      <w:pPr>
        <w:spacing w:before="0"/>
        <w:jc w:val="center"/>
        <w:rPr>
          <w:sz w:val="22"/>
          <w:lang w:val="es-ES_tradnl"/>
        </w:rPr>
      </w:pPr>
    </w:p>
    <w:p w:rsidR="009F0FAC" w:rsidRPr="00763D08" w:rsidRDefault="009F0FAC" w:rsidP="009F0FAC">
      <w:pPr>
        <w:spacing w:before="60"/>
        <w:jc w:val="right"/>
        <w:rPr>
          <w:i/>
          <w:iCs/>
          <w:sz w:val="20"/>
          <w:lang w:val="es-ES_tradnl"/>
        </w:rPr>
      </w:pPr>
      <w:r w:rsidRPr="00763D08">
        <w:rPr>
          <w:i/>
          <w:iCs/>
          <w:sz w:val="20"/>
          <w:lang w:val="es-ES_tradnl"/>
        </w:rPr>
        <w:t>Publicación electrónica</w:t>
      </w:r>
    </w:p>
    <w:p w:rsidR="009F0FAC" w:rsidRPr="00763D08" w:rsidRDefault="009F0FAC" w:rsidP="009F0FAC">
      <w:pPr>
        <w:spacing w:before="0" w:after="40"/>
        <w:jc w:val="right"/>
        <w:rPr>
          <w:sz w:val="20"/>
          <w:lang w:val="es-ES_tradnl"/>
        </w:rPr>
      </w:pPr>
      <w:r w:rsidRPr="00763D08">
        <w:rPr>
          <w:sz w:val="20"/>
          <w:lang w:val="es-ES_tradnl"/>
        </w:rPr>
        <w:t>Ginebra, 20</w:t>
      </w:r>
      <w:r>
        <w:rPr>
          <w:sz w:val="20"/>
          <w:lang w:val="es-ES_tradnl"/>
        </w:rPr>
        <w:t>14</w:t>
      </w:r>
    </w:p>
    <w:p w:rsidR="009F0FAC" w:rsidRPr="00763D08" w:rsidRDefault="009F0FAC" w:rsidP="009F0FAC">
      <w:pPr>
        <w:spacing w:before="0"/>
        <w:jc w:val="center"/>
        <w:rPr>
          <w:sz w:val="22"/>
          <w:lang w:val="es-ES_tradnl"/>
        </w:rPr>
      </w:pPr>
    </w:p>
    <w:p w:rsidR="009F0FAC" w:rsidRPr="00763D08" w:rsidRDefault="009F0FAC" w:rsidP="009F0FAC">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14</w:t>
      </w:r>
    </w:p>
    <w:p w:rsidR="009F0FAC" w:rsidRPr="006C718C" w:rsidRDefault="009F0FAC" w:rsidP="009F0FAC">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9F0FAC" w:rsidRPr="006C718C" w:rsidRDefault="009F0FAC" w:rsidP="009F0FAC">
      <w:pPr>
        <w:spacing w:before="160"/>
        <w:rPr>
          <w:i/>
          <w:sz w:val="20"/>
          <w:highlight w:val="yellow"/>
          <w:lang w:val="es-ES_tradnl"/>
        </w:rPr>
        <w:sectPr w:rsidR="009F0FAC"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9F0FAC" w:rsidRPr="0010336F" w:rsidRDefault="009F0FAC" w:rsidP="009F0FAC">
      <w:pPr>
        <w:pStyle w:val="RecNo"/>
        <w:spacing w:before="0"/>
        <w:rPr>
          <w:lang w:val="es-ES_tradnl"/>
        </w:rPr>
      </w:pPr>
      <w:bookmarkStart w:id="2" w:name="irecnoe"/>
      <w:bookmarkEnd w:id="2"/>
      <w:r w:rsidRPr="00763D08">
        <w:rPr>
          <w:lang w:val="es-ES_tradnl"/>
        </w:rPr>
        <w:lastRenderedPageBreak/>
        <w:t xml:space="preserve">RECOMENDACIÓN  </w:t>
      </w:r>
      <w:r w:rsidRPr="0010336F">
        <w:rPr>
          <w:rStyle w:val="href"/>
          <w:lang w:val="es-ES_tradnl"/>
        </w:rPr>
        <w:t xml:space="preserve">UIT-R  </w:t>
      </w:r>
      <w:r>
        <w:rPr>
          <w:rStyle w:val="href"/>
          <w:lang w:val="es-ES_tradnl"/>
        </w:rPr>
        <w:t>SA</w:t>
      </w:r>
      <w:r w:rsidRPr="0010336F">
        <w:rPr>
          <w:rStyle w:val="href"/>
          <w:lang w:val="es-ES_tradnl"/>
        </w:rPr>
        <w:t>.</w:t>
      </w:r>
      <w:r>
        <w:rPr>
          <w:rStyle w:val="href"/>
          <w:lang w:val="es-ES_tradnl"/>
        </w:rPr>
        <w:t>2044</w:t>
      </w:r>
      <w:r w:rsidR="00AA1C5D">
        <w:rPr>
          <w:rStyle w:val="href"/>
          <w:lang w:val="es-ES_tradnl"/>
        </w:rPr>
        <w:t>-0</w:t>
      </w:r>
    </w:p>
    <w:p w:rsidR="009F0FAC" w:rsidRPr="00092E43" w:rsidRDefault="009F0FAC" w:rsidP="009F0FAC">
      <w:pPr>
        <w:pStyle w:val="Rectitle"/>
        <w:rPr>
          <w:lang w:val="es-ES_tradnl"/>
        </w:rPr>
      </w:pPr>
      <w:r w:rsidRPr="00092E43">
        <w:rPr>
          <w:lang w:val="es-ES_tradnl"/>
        </w:rPr>
        <w:t>Criterios de protección para las plataformas de adquisición</w:t>
      </w:r>
      <w:r>
        <w:rPr>
          <w:lang w:val="es-ES_tradnl"/>
        </w:rPr>
        <w:br/>
      </w:r>
      <w:r w:rsidRPr="00092E43">
        <w:rPr>
          <w:lang w:val="es-ES_tradnl"/>
        </w:rPr>
        <w:t>de datos no OSG en la banda 401</w:t>
      </w:r>
      <w:r w:rsidRPr="00092E43">
        <w:rPr>
          <w:lang w:val="es-ES_tradnl"/>
        </w:rPr>
        <w:noBreakHyphen/>
        <w:t>403 MHz</w:t>
      </w:r>
    </w:p>
    <w:p w:rsidR="009F0FAC" w:rsidRPr="00773A0A" w:rsidRDefault="009F0FAC" w:rsidP="009F0FAC">
      <w:pPr>
        <w:pStyle w:val="Blanc"/>
        <w:rPr>
          <w:lang w:val="es-ES_tradnl"/>
        </w:rPr>
      </w:pPr>
    </w:p>
    <w:p w:rsidR="009F0FAC" w:rsidRPr="00092E43" w:rsidRDefault="009F0FAC" w:rsidP="009F0FAC">
      <w:pPr>
        <w:ind w:firstLine="240"/>
        <w:jc w:val="center"/>
        <w:rPr>
          <w:lang w:val="es-ES_tradnl"/>
        </w:rPr>
      </w:pPr>
      <w:r w:rsidRPr="00092E43">
        <w:rPr>
          <w:lang w:val="es-ES_tradnl"/>
        </w:rPr>
        <w:t>(Cuestiones UIT</w:t>
      </w:r>
      <w:r w:rsidRPr="00092E43">
        <w:rPr>
          <w:lang w:val="es-ES_tradnl"/>
        </w:rPr>
        <w:noBreakHyphen/>
        <w:t>R 139/7 y UIT</w:t>
      </w:r>
      <w:r w:rsidRPr="00092E43">
        <w:rPr>
          <w:lang w:val="es-ES_tradnl"/>
        </w:rPr>
        <w:noBreakHyphen/>
        <w:t>R 141/7)</w:t>
      </w:r>
    </w:p>
    <w:p w:rsidR="009F0FAC" w:rsidRPr="00773A0A" w:rsidRDefault="009F0FAC" w:rsidP="009F0FAC">
      <w:pPr>
        <w:pStyle w:val="Blanc"/>
        <w:rPr>
          <w:lang w:val="es-ES_tradnl"/>
        </w:rPr>
      </w:pPr>
    </w:p>
    <w:p w:rsidR="009F0FAC" w:rsidRPr="00092E43" w:rsidRDefault="009F0FAC" w:rsidP="009F0FAC">
      <w:pPr>
        <w:pStyle w:val="Recdate"/>
        <w:rPr>
          <w:lang w:val="es-ES_tradnl"/>
        </w:rPr>
      </w:pPr>
      <w:r w:rsidRPr="00092E43">
        <w:rPr>
          <w:lang w:val="es-ES_tradnl"/>
        </w:rPr>
        <w:t>(2013)</w:t>
      </w:r>
    </w:p>
    <w:p w:rsidR="009F0FAC" w:rsidRPr="00773A0A" w:rsidRDefault="009F0FAC" w:rsidP="009F0FAC">
      <w:pPr>
        <w:pStyle w:val="Blanc"/>
        <w:rPr>
          <w:lang w:val="es-ES_tradnl"/>
        </w:rPr>
      </w:pPr>
      <w:bookmarkStart w:id="3" w:name="_Ref123376000"/>
      <w:bookmarkStart w:id="4" w:name="_Toc130123633"/>
    </w:p>
    <w:p w:rsidR="009F0FAC" w:rsidRPr="00092E43" w:rsidRDefault="009F0FAC" w:rsidP="009F0FAC">
      <w:pPr>
        <w:pStyle w:val="HeadingSum"/>
      </w:pPr>
      <w:r w:rsidRPr="00092E43">
        <w:t>Cometido</w:t>
      </w:r>
    </w:p>
    <w:p w:rsidR="00D55F08" w:rsidRPr="00D55F08" w:rsidRDefault="00D55F08" w:rsidP="00D55F08">
      <w:pPr>
        <w:pStyle w:val="Summary"/>
        <w:rPr>
          <w:lang w:val="es-ES"/>
        </w:rPr>
      </w:pPr>
      <w:r w:rsidRPr="00D55F08">
        <w:rPr>
          <w:lang w:val="es-ES"/>
        </w:rPr>
        <w:t>Esta Recomendación proporciona información sobre la calidad de funcionamiento y los criterios de interferencia de los sistemas de adquisición de datos (DCS) no-OSG en la banda 401-403 MHz.</w:t>
      </w:r>
    </w:p>
    <w:p w:rsidR="009F0FAC" w:rsidRPr="00092E43" w:rsidRDefault="009F0FAC" w:rsidP="009F0FAC">
      <w:pPr>
        <w:pStyle w:val="Normalaftertitle"/>
        <w:rPr>
          <w:lang w:val="es-ES_tradnl"/>
        </w:rPr>
      </w:pPr>
      <w:r w:rsidRPr="00092E43">
        <w:rPr>
          <w:lang w:val="es-ES_tradnl"/>
        </w:rPr>
        <w:t>La Asamblea de Radiocomunicaciones de la UIT,</w:t>
      </w:r>
    </w:p>
    <w:p w:rsidR="009F0FAC" w:rsidRPr="00092E43" w:rsidRDefault="009F0FAC" w:rsidP="009F0FAC">
      <w:pPr>
        <w:pStyle w:val="Call"/>
        <w:rPr>
          <w:lang w:val="es-ES_tradnl"/>
        </w:rPr>
      </w:pPr>
      <w:proofErr w:type="gramStart"/>
      <w:r w:rsidRPr="00092E43">
        <w:rPr>
          <w:lang w:val="es-ES_tradnl"/>
        </w:rPr>
        <w:t>considerando</w:t>
      </w:r>
      <w:proofErr w:type="gramEnd"/>
    </w:p>
    <w:p w:rsidR="009F0FAC" w:rsidRPr="00092E43" w:rsidRDefault="009F0FAC" w:rsidP="009F0FAC">
      <w:pPr>
        <w:rPr>
          <w:rFonts w:eastAsiaTheme="minorEastAsia"/>
          <w:szCs w:val="24"/>
          <w:lang w:val="es-ES_tradnl"/>
        </w:rPr>
      </w:pPr>
      <w:r w:rsidRPr="009F0FAC">
        <w:rPr>
          <w:rFonts w:eastAsiaTheme="minorEastAsia"/>
          <w:i/>
          <w:iCs/>
          <w:szCs w:val="24"/>
          <w:lang w:val="es-ES_tradnl"/>
        </w:rPr>
        <w:t>a)</w:t>
      </w:r>
      <w:r w:rsidRPr="00092E43">
        <w:rPr>
          <w:rFonts w:eastAsiaTheme="minorEastAsia"/>
          <w:szCs w:val="24"/>
          <w:lang w:val="es-ES_tradnl"/>
        </w:rPr>
        <w:tab/>
        <w:t>que los diseñadores de sistemas deben basarse en objetivos de calidad de funcionamiento en presencia de interferencia para esos sistemas;</w:t>
      </w:r>
    </w:p>
    <w:p w:rsidR="009F0FAC" w:rsidRPr="00092E43" w:rsidRDefault="009F0FAC" w:rsidP="009F0FAC">
      <w:pPr>
        <w:rPr>
          <w:rFonts w:eastAsiaTheme="minorEastAsia"/>
          <w:szCs w:val="24"/>
          <w:lang w:val="es-ES_tradnl"/>
        </w:rPr>
      </w:pPr>
      <w:r w:rsidRPr="009F0FAC">
        <w:rPr>
          <w:rFonts w:eastAsiaTheme="minorEastAsia"/>
          <w:i/>
          <w:iCs/>
          <w:szCs w:val="24"/>
          <w:lang w:val="es-ES_tradnl"/>
        </w:rPr>
        <w:t>b)</w:t>
      </w:r>
      <w:r w:rsidRPr="00092E43">
        <w:rPr>
          <w:rFonts w:eastAsiaTheme="minorEastAsia"/>
          <w:szCs w:val="24"/>
          <w:lang w:val="es-ES_tradnl"/>
        </w:rPr>
        <w:tab/>
        <w:t>que los objetivos de calidad de funcionamiento para sistemas representativos que operan en el SETS y en el servicio MetSat tienen por objeto proporcionar directrices para el desarrollo de sistemas reales;</w:t>
      </w:r>
    </w:p>
    <w:p w:rsidR="009F0FAC" w:rsidRPr="00092E43" w:rsidRDefault="009F0FAC" w:rsidP="009F0FAC">
      <w:pPr>
        <w:rPr>
          <w:rFonts w:eastAsiaTheme="minorEastAsia"/>
          <w:szCs w:val="24"/>
          <w:lang w:val="es-ES_tradnl"/>
        </w:rPr>
      </w:pPr>
      <w:r w:rsidRPr="009F0FAC">
        <w:rPr>
          <w:rFonts w:eastAsiaTheme="minorEastAsia"/>
          <w:i/>
          <w:iCs/>
          <w:szCs w:val="24"/>
          <w:lang w:val="es-ES_tradnl"/>
        </w:rPr>
        <w:t>c)</w:t>
      </w:r>
      <w:r w:rsidRPr="00092E43">
        <w:rPr>
          <w:rFonts w:eastAsiaTheme="minorEastAsia"/>
          <w:szCs w:val="24"/>
          <w:lang w:val="es-ES_tradnl"/>
        </w:rPr>
        <w:tab/>
        <w:t>que los objetivos de calidad de funcionamiento del SETS y del servicio MetSat son un requisito previo para llevar a cabo evaluaciones de la interferencia;</w:t>
      </w:r>
    </w:p>
    <w:p w:rsidR="009F0FAC" w:rsidRPr="00092E43" w:rsidRDefault="009F0FAC" w:rsidP="009F0FAC">
      <w:pPr>
        <w:rPr>
          <w:rFonts w:eastAsiaTheme="minorEastAsia"/>
          <w:szCs w:val="24"/>
          <w:lang w:val="es-ES_tradnl"/>
        </w:rPr>
      </w:pPr>
      <w:r w:rsidRPr="009F0FAC">
        <w:rPr>
          <w:rFonts w:eastAsiaTheme="minorEastAsia"/>
          <w:i/>
          <w:iCs/>
          <w:szCs w:val="24"/>
          <w:lang w:val="es-ES_tradnl"/>
        </w:rPr>
        <w:t>d)</w:t>
      </w:r>
      <w:r w:rsidRPr="00092E43">
        <w:rPr>
          <w:rFonts w:eastAsiaTheme="minorEastAsia"/>
          <w:szCs w:val="24"/>
          <w:lang w:val="es-ES_tradnl"/>
        </w:rPr>
        <w:tab/>
        <w:t>que se necesitan criterios de protección para satisfacer los objetivos de calidad de funcionamiento deseables en presencia de interferencia,</w:t>
      </w:r>
    </w:p>
    <w:p w:rsidR="009F0FAC" w:rsidRPr="00092E43" w:rsidRDefault="009F0FAC" w:rsidP="009F0FAC">
      <w:pPr>
        <w:pStyle w:val="Call"/>
        <w:rPr>
          <w:lang w:val="es-ES_tradnl"/>
        </w:rPr>
      </w:pPr>
      <w:proofErr w:type="gramStart"/>
      <w:r w:rsidRPr="00092E43">
        <w:rPr>
          <w:lang w:val="es-ES_tradnl"/>
        </w:rPr>
        <w:t>recomienda</w:t>
      </w:r>
      <w:proofErr w:type="gramEnd"/>
    </w:p>
    <w:p w:rsidR="009F0FAC" w:rsidRPr="00092E43" w:rsidRDefault="009F0FAC" w:rsidP="009F0FAC">
      <w:pPr>
        <w:rPr>
          <w:rFonts w:eastAsiaTheme="minorEastAsia"/>
          <w:szCs w:val="24"/>
          <w:lang w:val="es-ES_tradnl"/>
        </w:rPr>
      </w:pPr>
      <w:r w:rsidRPr="00092E43">
        <w:rPr>
          <w:rFonts w:eastAsiaTheme="minorEastAsia"/>
          <w:b/>
          <w:bCs/>
          <w:szCs w:val="24"/>
          <w:lang w:val="es-ES_tradnl"/>
        </w:rPr>
        <w:t>1</w:t>
      </w:r>
      <w:r w:rsidRPr="00092E43">
        <w:rPr>
          <w:rFonts w:eastAsiaTheme="minorEastAsia"/>
          <w:szCs w:val="24"/>
          <w:lang w:val="es-ES_tradnl"/>
        </w:rPr>
        <w:tab/>
        <w:t>que el análisis para determinar el efecto sobre los DCS no OSG en la banda 401</w:t>
      </w:r>
      <w:r w:rsidRPr="00092E43">
        <w:rPr>
          <w:rFonts w:eastAsiaTheme="minorEastAsia"/>
          <w:szCs w:val="24"/>
          <w:lang w:val="es-ES_tradnl"/>
        </w:rPr>
        <w:noBreakHyphen/>
        <w:t>403 MHz se base en los siguientes criterios de protección:</w:t>
      </w:r>
    </w:p>
    <w:p w:rsidR="009F0FAC" w:rsidRPr="00092E43" w:rsidRDefault="009F0FAC" w:rsidP="00D20713">
      <w:pPr>
        <w:pStyle w:val="enumlev1"/>
        <w:rPr>
          <w:lang w:val="es-ES_tradnl"/>
        </w:rPr>
      </w:pPr>
      <w:r w:rsidRPr="00092E43">
        <w:rPr>
          <w:lang w:val="es-ES_tradnl"/>
        </w:rPr>
        <w:t>–</w:t>
      </w:r>
      <w:r w:rsidRPr="00092E43">
        <w:rPr>
          <w:lang w:val="es-ES_tradnl"/>
        </w:rPr>
        <w:tab/>
        <w:t xml:space="preserve">un máximo valor de la densidad espectral de flujo de potencia (defp) combinada aceptable de </w:t>
      </w:r>
      <w:r w:rsidR="00D20713" w:rsidRPr="00D20713">
        <w:rPr>
          <w:lang w:val="es-ES_tradnl"/>
        </w:rPr>
        <w:t>–</w:t>
      </w:r>
      <w:r w:rsidRPr="00092E43">
        <w:rPr>
          <w:lang w:val="es-ES_tradnl"/>
        </w:rPr>
        <w:t xml:space="preserve">197,9 </w:t>
      </w:r>
      <w:proofErr w:type="gramStart"/>
      <w:r w:rsidRPr="00092E43">
        <w:rPr>
          <w:lang w:val="es-ES_tradnl"/>
        </w:rPr>
        <w:t>dB(</w:t>
      </w:r>
      <w:proofErr w:type="gramEnd"/>
      <w:r w:rsidRPr="00092E43">
        <w:rPr>
          <w:lang w:val="es-ES_tradnl"/>
        </w:rPr>
        <w:t>W/(m</w:t>
      </w:r>
      <w:r w:rsidRPr="00092E43">
        <w:rPr>
          <w:vertAlign w:val="superscript"/>
          <w:lang w:val="es-ES_tradnl"/>
        </w:rPr>
        <w:t>2 </w:t>
      </w:r>
      <w:r w:rsidRPr="00092E43">
        <w:rPr>
          <w:lang w:val="es-ES_tradnl"/>
        </w:rPr>
        <w:t>· Hz)) en la antena de un instrumento del DCS no OSG para la interferencia de ruido de banda ancha (véase el Anexo 1);</w:t>
      </w:r>
    </w:p>
    <w:p w:rsidR="009F0FAC" w:rsidRPr="00092E43" w:rsidRDefault="009F0FAC" w:rsidP="00D20713">
      <w:pPr>
        <w:pStyle w:val="enumlev1"/>
        <w:rPr>
          <w:lang w:val="es-ES_tradnl"/>
        </w:rPr>
      </w:pPr>
      <w:r w:rsidRPr="00092E43">
        <w:rPr>
          <w:lang w:val="es-ES_tradnl"/>
        </w:rPr>
        <w:t>–</w:t>
      </w:r>
      <w:r w:rsidRPr="00092E43">
        <w:rPr>
          <w:lang w:val="es-ES_tradnl"/>
        </w:rPr>
        <w:tab/>
        <w:t xml:space="preserve">un máximo valor de la densidad de flujo de potencia (dfp) de </w:t>
      </w:r>
      <w:r w:rsidR="00D20713" w:rsidRPr="00D20713">
        <w:rPr>
          <w:lang w:val="es-ES_tradnl"/>
        </w:rPr>
        <w:t>–</w:t>
      </w:r>
      <w:r w:rsidRPr="00092E43">
        <w:rPr>
          <w:lang w:val="es-ES_tradnl"/>
        </w:rPr>
        <w:t>165,4 dB (W/m</w:t>
      </w:r>
      <w:r w:rsidRPr="00092E43">
        <w:rPr>
          <w:vertAlign w:val="superscript"/>
          <w:lang w:val="es-ES_tradnl"/>
        </w:rPr>
        <w:t>2</w:t>
      </w:r>
      <w:r w:rsidRPr="00092E43">
        <w:rPr>
          <w:lang w:val="es-ES_tradnl"/>
        </w:rPr>
        <w:t>) en una anchura de banda de resolución de 19 Hz en la antena de un instrumento del DCS no OSG para cada interferencia de raya espectral de banda estrecha (véase el Anexo 2);</w:t>
      </w:r>
    </w:p>
    <w:p w:rsidR="009F0FAC" w:rsidRPr="00092E43" w:rsidRDefault="009F0FAC" w:rsidP="00D20713">
      <w:pPr>
        <w:rPr>
          <w:rFonts w:eastAsiaTheme="minorEastAsia"/>
          <w:szCs w:val="24"/>
          <w:lang w:val="es-ES_tradnl"/>
        </w:rPr>
      </w:pPr>
      <w:r w:rsidRPr="00092E43">
        <w:rPr>
          <w:rFonts w:eastAsiaTheme="minorEastAsia"/>
          <w:b/>
          <w:bCs/>
          <w:szCs w:val="24"/>
          <w:lang w:val="es-ES_tradnl"/>
        </w:rPr>
        <w:t>2</w:t>
      </w:r>
      <w:r w:rsidRPr="00092E43">
        <w:rPr>
          <w:rFonts w:eastAsiaTheme="minorEastAsia"/>
          <w:szCs w:val="24"/>
          <w:lang w:val="es-ES_tradnl"/>
        </w:rPr>
        <w:tab/>
        <w:t xml:space="preserve">que los criterios de protección definidos en el </w:t>
      </w:r>
      <w:r w:rsidRPr="00092E43">
        <w:rPr>
          <w:rFonts w:eastAsiaTheme="minorEastAsia"/>
          <w:i/>
          <w:iCs/>
          <w:szCs w:val="24"/>
          <w:lang w:val="es-ES_tradnl"/>
        </w:rPr>
        <w:t>recomienda</w:t>
      </w:r>
      <w:r w:rsidR="00D20713">
        <w:rPr>
          <w:rFonts w:eastAsiaTheme="minorEastAsia"/>
          <w:szCs w:val="24"/>
          <w:lang w:val="es-ES_tradnl"/>
        </w:rPr>
        <w:t> </w:t>
      </w:r>
      <w:r w:rsidRPr="00D20713">
        <w:rPr>
          <w:rFonts w:eastAsiaTheme="minorEastAsia"/>
          <w:lang w:val="es-ES_tradnl"/>
        </w:rPr>
        <w:t>1</w:t>
      </w:r>
      <w:r w:rsidRPr="00092E43">
        <w:rPr>
          <w:rFonts w:eastAsiaTheme="minorEastAsia"/>
          <w:szCs w:val="24"/>
          <w:lang w:val="es-ES_tradnl"/>
        </w:rPr>
        <w:t xml:space="preserve"> no se rebasen durante más del 1% del tiempo en el campo de visión del satélite.</w:t>
      </w:r>
    </w:p>
    <w:p w:rsidR="009F0FAC" w:rsidRPr="00092E43" w:rsidRDefault="009F0FAC" w:rsidP="009F0FAC">
      <w:pPr>
        <w:pStyle w:val="AnnexNoTitle"/>
        <w:rPr>
          <w:lang w:val="es-ES_tradnl"/>
        </w:rPr>
      </w:pPr>
      <w:bookmarkStart w:id="5" w:name="_GoBack"/>
      <w:bookmarkEnd w:id="3"/>
      <w:bookmarkEnd w:id="4"/>
      <w:bookmarkEnd w:id="5"/>
      <w:r w:rsidRPr="00092E43">
        <w:rPr>
          <w:lang w:val="es-ES_tradnl"/>
        </w:rPr>
        <w:lastRenderedPageBreak/>
        <w:t>Anexo 1</w:t>
      </w:r>
      <w:r w:rsidRPr="00092E43">
        <w:rPr>
          <w:lang w:val="es-ES_tradnl"/>
        </w:rPr>
        <w:br/>
      </w:r>
      <w:r w:rsidRPr="00092E43">
        <w:rPr>
          <w:lang w:val="es-ES_tradnl"/>
        </w:rPr>
        <w:br/>
        <w:t>Criterios de protección de los instrumentos del DCS no OSG</w:t>
      </w:r>
      <w:r>
        <w:rPr>
          <w:lang w:val="es-ES_tradnl"/>
        </w:rPr>
        <w:br/>
      </w:r>
      <w:r w:rsidRPr="00092E43">
        <w:rPr>
          <w:lang w:val="es-ES_tradnl"/>
        </w:rPr>
        <w:t>en la banda</w:t>
      </w:r>
      <w:r>
        <w:rPr>
          <w:lang w:val="es-ES_tradnl"/>
        </w:rPr>
        <w:t xml:space="preserve"> </w:t>
      </w:r>
      <w:r w:rsidRPr="00092E43">
        <w:rPr>
          <w:lang w:val="es-ES_tradnl"/>
        </w:rPr>
        <w:t>de 401-401,69 MHz contra a las emisiones</w:t>
      </w:r>
      <w:r>
        <w:rPr>
          <w:lang w:val="es-ES_tradnl"/>
        </w:rPr>
        <w:br/>
      </w:r>
      <w:r w:rsidRPr="00092E43">
        <w:rPr>
          <w:lang w:val="es-ES_tradnl"/>
        </w:rPr>
        <w:t>de interferencia de ruido</w:t>
      </w:r>
      <w:r>
        <w:rPr>
          <w:lang w:val="es-ES_tradnl"/>
        </w:rPr>
        <w:t xml:space="preserve"> </w:t>
      </w:r>
      <w:r w:rsidRPr="00092E43">
        <w:rPr>
          <w:lang w:val="es-ES_tradnl"/>
        </w:rPr>
        <w:t>de banda ancha</w:t>
      </w:r>
    </w:p>
    <w:p w:rsidR="009F0FAC" w:rsidRPr="00092E43" w:rsidRDefault="009F0FAC" w:rsidP="009F0FAC">
      <w:pPr>
        <w:pStyle w:val="Heading1"/>
        <w:rPr>
          <w:lang w:val="es-ES_tradnl"/>
        </w:rPr>
      </w:pPr>
      <w:r w:rsidRPr="00092E43">
        <w:rPr>
          <w:lang w:val="es-ES_tradnl"/>
        </w:rPr>
        <w:t>1</w:t>
      </w:r>
      <w:r w:rsidRPr="00092E43">
        <w:rPr>
          <w:lang w:val="es-ES_tradnl"/>
        </w:rPr>
        <w:tab/>
        <w:t>Introducción</w:t>
      </w:r>
    </w:p>
    <w:p w:rsidR="009F0FAC" w:rsidRPr="00092E43" w:rsidRDefault="009F0FAC" w:rsidP="009F0FAC">
      <w:pPr>
        <w:rPr>
          <w:rFonts w:eastAsiaTheme="minorEastAsia"/>
          <w:lang w:val="es-ES_tradnl"/>
        </w:rPr>
      </w:pPr>
      <w:r w:rsidRPr="00092E43">
        <w:rPr>
          <w:rFonts w:eastAsiaTheme="minorEastAsia"/>
          <w:lang w:val="es-ES_tradnl"/>
        </w:rPr>
        <w:t>Este Anexo proporciona información sobre un DCS no OSG típico existente en funcionamiento denominado ARGOS y, por tanto, sobre sus requisitos de protección contra las emisiones de interferencia de ruido de banda ancha.</w:t>
      </w:r>
    </w:p>
    <w:p w:rsidR="009F0FAC" w:rsidRPr="00092E43" w:rsidRDefault="009F0FAC" w:rsidP="009F0FAC">
      <w:pPr>
        <w:pStyle w:val="Heading1"/>
        <w:rPr>
          <w:lang w:val="es-ES_tradnl"/>
        </w:rPr>
      </w:pPr>
      <w:r w:rsidRPr="00092E43">
        <w:rPr>
          <w:lang w:val="es-ES_tradnl"/>
        </w:rPr>
        <w:t>2</w:t>
      </w:r>
      <w:r w:rsidRPr="00092E43">
        <w:rPr>
          <w:lang w:val="es-ES_tradnl"/>
        </w:rPr>
        <w:tab/>
        <w:t>Nivel umbral de la densidad espectral de flujo de potencia de la interferencia</w:t>
      </w:r>
    </w:p>
    <w:p w:rsidR="009F0FAC" w:rsidRPr="00092E43" w:rsidRDefault="009F0FAC" w:rsidP="009F0FAC">
      <w:pPr>
        <w:rPr>
          <w:rFonts w:eastAsiaTheme="minorEastAsia"/>
          <w:szCs w:val="24"/>
          <w:lang w:val="es-ES_tradnl"/>
        </w:rPr>
      </w:pPr>
      <w:r w:rsidRPr="00092E43">
        <w:rPr>
          <w:rFonts w:eastAsiaTheme="minorEastAsia"/>
          <w:szCs w:val="24"/>
          <w:lang w:val="es-ES_tradnl"/>
        </w:rPr>
        <w:t>La adición de ruido de banda ancha al instrumento ARGOS traerá como consecuencia el aumento de la proporción de bits erróneos (BER) del sistema y, por lo tanto, afectará negativamente a su requisito de calidad de funcionamiento. Este análisis identifica la máxima dfp aceptable asociada al ruido de banda ancha en el</w:t>
      </w:r>
      <w:r w:rsidR="00055C91">
        <w:rPr>
          <w:rFonts w:eastAsiaTheme="minorEastAsia"/>
          <w:szCs w:val="24"/>
          <w:lang w:val="es-ES_tradnl"/>
        </w:rPr>
        <w:t xml:space="preserve"> canal del</w:t>
      </w:r>
      <w:r w:rsidRPr="00092E43">
        <w:rPr>
          <w:rFonts w:eastAsiaTheme="minorEastAsia"/>
          <w:szCs w:val="24"/>
          <w:lang w:val="es-ES_tradnl"/>
        </w:rPr>
        <w:t xml:space="preserve"> enlace ascendente del ARGOS.</w:t>
      </w:r>
    </w:p>
    <w:p w:rsidR="009F0FAC" w:rsidRPr="00092E43" w:rsidRDefault="009F0FAC" w:rsidP="009F0FAC">
      <w:pPr>
        <w:rPr>
          <w:rFonts w:eastAsiaTheme="minorEastAsia"/>
          <w:szCs w:val="24"/>
          <w:lang w:val="es-ES_tradnl"/>
        </w:rPr>
      </w:pPr>
      <w:r w:rsidRPr="00092E43">
        <w:rPr>
          <w:rFonts w:eastAsiaTheme="minorEastAsia"/>
          <w:szCs w:val="24"/>
          <w:lang w:val="es-ES_tradnl"/>
        </w:rPr>
        <w:t>En la Fig. 1 se muestra los principales elementos del soporte lógico a bordo de los satélites NOAA. Este principio general es aplicable a los satélites METOP y NOAA.</w:t>
      </w:r>
    </w:p>
    <w:p w:rsidR="009F0FAC" w:rsidRPr="00092E43" w:rsidRDefault="009F0FAC" w:rsidP="009F0FAC">
      <w:pPr>
        <w:pStyle w:val="FigureNo"/>
        <w:rPr>
          <w:rFonts w:eastAsiaTheme="minorEastAsia"/>
          <w:lang w:val="es-ES_tradnl"/>
        </w:rPr>
      </w:pPr>
      <w:r w:rsidRPr="00092E43">
        <w:rPr>
          <w:rFonts w:eastAsiaTheme="minorEastAsia"/>
          <w:lang w:val="es-ES_tradnl"/>
        </w:rPr>
        <w:t>figura 1</w:t>
      </w:r>
    </w:p>
    <w:p w:rsidR="009F0FAC" w:rsidRPr="00092E43" w:rsidRDefault="009F0FAC" w:rsidP="009F0FAC">
      <w:pPr>
        <w:pStyle w:val="Figuretitle"/>
        <w:rPr>
          <w:rFonts w:eastAsiaTheme="minorEastAsia"/>
          <w:lang w:val="es-ES_tradnl"/>
        </w:rPr>
      </w:pPr>
      <w:r w:rsidRPr="00092E43">
        <w:rPr>
          <w:rFonts w:eastAsiaTheme="minorEastAsia"/>
          <w:lang w:val="es-ES_tradnl"/>
        </w:rPr>
        <w:t>Soporte físico a bordo</w:t>
      </w:r>
    </w:p>
    <w:p w:rsidR="009F0FAC" w:rsidRPr="00092E43" w:rsidRDefault="00BA4B64" w:rsidP="009F0FAC">
      <w:pPr>
        <w:pStyle w:val="Figure"/>
        <w:rPr>
          <w:rFonts w:eastAsiaTheme="minorEastAsia"/>
          <w:lang w:val="es-ES_tradnl"/>
        </w:rPr>
      </w:pPr>
      <w:r w:rsidRPr="00092E43">
        <w:rPr>
          <w:rFonts w:eastAsiaTheme="minorEastAsia"/>
          <w:lang w:val="es-ES_tradnl"/>
        </w:rPr>
        <w:object w:dxaOrig="4512" w:dyaOrig="14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25pt;height:122.25pt" o:ole="">
            <v:imagedata r:id="rId13" o:title=""/>
          </v:shape>
          <o:OLEObject Type="Embed" ProgID="CorelDRAW.Graphic.14" ShapeID="_x0000_i1025" DrawAspect="Content" ObjectID="_1598445724" r:id="rId14"/>
        </w:object>
      </w:r>
    </w:p>
    <w:p w:rsidR="009F0FAC" w:rsidRPr="00092E43" w:rsidRDefault="009F0FAC" w:rsidP="009F0FAC">
      <w:pPr>
        <w:rPr>
          <w:rFonts w:eastAsiaTheme="minorEastAsia"/>
          <w:szCs w:val="24"/>
          <w:lang w:val="es-ES_tradnl"/>
        </w:rPr>
      </w:pPr>
      <w:r w:rsidRPr="00092E43">
        <w:rPr>
          <w:rFonts w:eastAsiaTheme="minorEastAsia"/>
          <w:szCs w:val="24"/>
          <w:lang w:val="es-ES_tradnl"/>
        </w:rPr>
        <w:t>La especificación del diagrama de ganancia de la antena UDA se expresa conforme al ángulo nadir del Cuadro 1:</w:t>
      </w:r>
    </w:p>
    <w:p w:rsidR="009F0FAC" w:rsidRPr="00092E43" w:rsidRDefault="009F0FAC" w:rsidP="009F0FAC">
      <w:pPr>
        <w:pStyle w:val="TableNo"/>
        <w:rPr>
          <w:lang w:val="es-ES_tradnl"/>
        </w:rPr>
      </w:pPr>
      <w:r w:rsidRPr="00092E43">
        <w:rPr>
          <w:lang w:val="es-ES_tradnl"/>
        </w:rPr>
        <w:t>CUADRO 1</w:t>
      </w:r>
    </w:p>
    <w:p w:rsidR="009F0FAC" w:rsidRPr="00092E43" w:rsidRDefault="009F0FAC" w:rsidP="009F0FAC">
      <w:pPr>
        <w:pStyle w:val="Tabletitle"/>
        <w:rPr>
          <w:lang w:val="es-ES_tradnl"/>
        </w:rPr>
      </w:pPr>
      <w:r w:rsidRPr="00092E43">
        <w:rPr>
          <w:lang w:val="es-ES_tradnl"/>
        </w:rPr>
        <w:t>Diagrama de ganancia (UDA) de una antena de recepción SARP/ARGOS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644"/>
        <w:gridCol w:w="765"/>
        <w:gridCol w:w="765"/>
        <w:gridCol w:w="765"/>
        <w:gridCol w:w="765"/>
        <w:gridCol w:w="822"/>
        <w:gridCol w:w="822"/>
        <w:gridCol w:w="822"/>
        <w:gridCol w:w="822"/>
        <w:gridCol w:w="822"/>
        <w:gridCol w:w="822"/>
      </w:tblGrid>
      <w:tr w:rsidR="009F0FAC" w:rsidRPr="00092E43" w:rsidTr="00520CFB">
        <w:trPr>
          <w:jc w:val="center"/>
        </w:trPr>
        <w:tc>
          <w:tcPr>
            <w:tcW w:w="1644" w:type="dxa"/>
          </w:tcPr>
          <w:p w:rsidR="009F0FAC" w:rsidRPr="00092E43" w:rsidRDefault="009F0FAC" w:rsidP="00520CFB">
            <w:pPr>
              <w:pStyle w:val="Tabletext"/>
              <w:jc w:val="left"/>
              <w:rPr>
                <w:lang w:val="es-ES_tradnl"/>
              </w:rPr>
            </w:pPr>
            <w:r w:rsidRPr="00092E43">
              <w:rPr>
                <w:lang w:val="es-ES_tradnl"/>
              </w:rPr>
              <w:t xml:space="preserve">Ángulo nadir del satélite </w:t>
            </w:r>
          </w:p>
        </w:tc>
        <w:tc>
          <w:tcPr>
            <w:tcW w:w="765" w:type="dxa"/>
            <w:vAlign w:val="center"/>
          </w:tcPr>
          <w:p w:rsidR="009F0FAC" w:rsidRPr="00092E43" w:rsidRDefault="009F0FAC" w:rsidP="00520CFB">
            <w:pPr>
              <w:pStyle w:val="Tabletext"/>
              <w:jc w:val="center"/>
              <w:rPr>
                <w:lang w:val="es-ES_tradnl"/>
              </w:rPr>
            </w:pPr>
            <w:r w:rsidRPr="00092E43">
              <w:rPr>
                <w:lang w:val="es-ES_tradnl"/>
              </w:rPr>
              <w:t>62</w:t>
            </w:r>
          </w:p>
        </w:tc>
        <w:tc>
          <w:tcPr>
            <w:tcW w:w="765" w:type="dxa"/>
            <w:vAlign w:val="center"/>
          </w:tcPr>
          <w:p w:rsidR="009F0FAC" w:rsidRPr="00092E43" w:rsidRDefault="009F0FAC" w:rsidP="00520CFB">
            <w:pPr>
              <w:pStyle w:val="Tabletext"/>
              <w:jc w:val="center"/>
              <w:rPr>
                <w:lang w:val="es-ES_tradnl"/>
              </w:rPr>
            </w:pPr>
            <w:r w:rsidRPr="00092E43">
              <w:rPr>
                <w:lang w:val="es-ES_tradnl"/>
              </w:rPr>
              <w:t>59</w:t>
            </w:r>
          </w:p>
        </w:tc>
        <w:tc>
          <w:tcPr>
            <w:tcW w:w="765" w:type="dxa"/>
            <w:vAlign w:val="center"/>
          </w:tcPr>
          <w:p w:rsidR="009F0FAC" w:rsidRPr="00092E43" w:rsidRDefault="009F0FAC" w:rsidP="00520CFB">
            <w:pPr>
              <w:pStyle w:val="Tabletext"/>
              <w:jc w:val="center"/>
              <w:rPr>
                <w:lang w:val="es-ES_tradnl"/>
              </w:rPr>
            </w:pPr>
            <w:r w:rsidRPr="00092E43">
              <w:rPr>
                <w:lang w:val="es-ES_tradnl"/>
              </w:rPr>
              <w:t>54</w:t>
            </w:r>
          </w:p>
        </w:tc>
        <w:tc>
          <w:tcPr>
            <w:tcW w:w="765" w:type="dxa"/>
            <w:vAlign w:val="center"/>
          </w:tcPr>
          <w:p w:rsidR="009F0FAC" w:rsidRPr="00092E43" w:rsidRDefault="009F0FAC" w:rsidP="00520CFB">
            <w:pPr>
              <w:pStyle w:val="Tabletext"/>
              <w:jc w:val="center"/>
              <w:rPr>
                <w:lang w:val="es-ES_tradnl"/>
              </w:rPr>
            </w:pPr>
            <w:r w:rsidRPr="00092E43">
              <w:rPr>
                <w:lang w:val="es-ES_tradnl"/>
              </w:rPr>
              <w:t>47</w:t>
            </w:r>
          </w:p>
        </w:tc>
        <w:tc>
          <w:tcPr>
            <w:tcW w:w="822" w:type="dxa"/>
            <w:vAlign w:val="center"/>
          </w:tcPr>
          <w:p w:rsidR="009F0FAC" w:rsidRPr="00092E43" w:rsidRDefault="009F0FAC" w:rsidP="00520CFB">
            <w:pPr>
              <w:pStyle w:val="Tabletext"/>
              <w:jc w:val="center"/>
              <w:rPr>
                <w:lang w:val="es-ES_tradnl"/>
              </w:rPr>
            </w:pPr>
            <w:r w:rsidRPr="00092E43">
              <w:rPr>
                <w:lang w:val="es-ES_tradnl"/>
              </w:rPr>
              <w:t>39</w:t>
            </w:r>
          </w:p>
        </w:tc>
        <w:tc>
          <w:tcPr>
            <w:tcW w:w="822" w:type="dxa"/>
            <w:vAlign w:val="center"/>
          </w:tcPr>
          <w:p w:rsidR="009F0FAC" w:rsidRPr="00092E43" w:rsidRDefault="009F0FAC" w:rsidP="00520CFB">
            <w:pPr>
              <w:pStyle w:val="Tabletext"/>
              <w:jc w:val="center"/>
              <w:rPr>
                <w:lang w:val="es-ES_tradnl"/>
              </w:rPr>
            </w:pPr>
            <w:r w:rsidRPr="00092E43">
              <w:rPr>
                <w:lang w:val="es-ES_tradnl"/>
              </w:rPr>
              <w:t>31</w:t>
            </w:r>
          </w:p>
        </w:tc>
        <w:tc>
          <w:tcPr>
            <w:tcW w:w="822" w:type="dxa"/>
            <w:vAlign w:val="center"/>
          </w:tcPr>
          <w:p w:rsidR="009F0FAC" w:rsidRPr="00092E43" w:rsidRDefault="009F0FAC" w:rsidP="00520CFB">
            <w:pPr>
              <w:pStyle w:val="Tabletext"/>
              <w:jc w:val="center"/>
              <w:rPr>
                <w:lang w:val="es-ES_tradnl"/>
              </w:rPr>
            </w:pPr>
            <w:r w:rsidRPr="00092E43">
              <w:rPr>
                <w:lang w:val="es-ES_tradnl"/>
              </w:rPr>
              <w:t>22</w:t>
            </w:r>
          </w:p>
        </w:tc>
        <w:tc>
          <w:tcPr>
            <w:tcW w:w="822" w:type="dxa"/>
            <w:vAlign w:val="center"/>
          </w:tcPr>
          <w:p w:rsidR="009F0FAC" w:rsidRPr="00092E43" w:rsidRDefault="009F0FAC" w:rsidP="00520CFB">
            <w:pPr>
              <w:pStyle w:val="Tabletext"/>
              <w:jc w:val="center"/>
              <w:rPr>
                <w:lang w:val="es-ES_tradnl"/>
              </w:rPr>
            </w:pPr>
            <w:r w:rsidRPr="00092E43">
              <w:rPr>
                <w:lang w:val="es-ES_tradnl"/>
              </w:rPr>
              <w:t>13</w:t>
            </w:r>
          </w:p>
        </w:tc>
        <w:tc>
          <w:tcPr>
            <w:tcW w:w="822" w:type="dxa"/>
            <w:vAlign w:val="center"/>
          </w:tcPr>
          <w:p w:rsidR="009F0FAC" w:rsidRPr="00092E43" w:rsidRDefault="009F0FAC" w:rsidP="00520CFB">
            <w:pPr>
              <w:pStyle w:val="Tabletext"/>
              <w:jc w:val="center"/>
              <w:rPr>
                <w:lang w:val="es-ES_tradnl"/>
              </w:rPr>
            </w:pPr>
            <w:r w:rsidRPr="00092E43">
              <w:rPr>
                <w:lang w:val="es-ES_tradnl"/>
              </w:rPr>
              <w:t>5</w:t>
            </w:r>
          </w:p>
        </w:tc>
        <w:tc>
          <w:tcPr>
            <w:tcW w:w="822" w:type="dxa"/>
            <w:vAlign w:val="center"/>
          </w:tcPr>
          <w:p w:rsidR="009F0FAC" w:rsidRPr="00092E43" w:rsidRDefault="009F0FAC" w:rsidP="00520CFB">
            <w:pPr>
              <w:pStyle w:val="Tabletext"/>
              <w:jc w:val="center"/>
              <w:rPr>
                <w:lang w:val="es-ES_tradnl"/>
              </w:rPr>
            </w:pPr>
            <w:r w:rsidRPr="00092E43">
              <w:rPr>
                <w:lang w:val="es-ES_tradnl"/>
              </w:rPr>
              <w:t>0</w:t>
            </w:r>
          </w:p>
        </w:tc>
      </w:tr>
      <w:tr w:rsidR="009F0FAC" w:rsidRPr="00092E43" w:rsidTr="00520CFB">
        <w:trPr>
          <w:jc w:val="center"/>
        </w:trPr>
        <w:tc>
          <w:tcPr>
            <w:tcW w:w="1644" w:type="dxa"/>
          </w:tcPr>
          <w:p w:rsidR="009F0FAC" w:rsidRPr="00092E43" w:rsidRDefault="009F0FAC" w:rsidP="00520CFB">
            <w:pPr>
              <w:pStyle w:val="Tabletext"/>
              <w:jc w:val="left"/>
              <w:rPr>
                <w:lang w:val="es-ES_tradnl"/>
              </w:rPr>
            </w:pPr>
            <w:r w:rsidRPr="00092E43">
              <w:rPr>
                <w:lang w:val="es-ES_tradnl"/>
              </w:rPr>
              <w:t xml:space="preserve">Ganancia con polarización dextrógira </w:t>
            </w:r>
          </w:p>
        </w:tc>
        <w:tc>
          <w:tcPr>
            <w:tcW w:w="765" w:type="dxa"/>
            <w:vAlign w:val="center"/>
          </w:tcPr>
          <w:p w:rsidR="009F0FAC" w:rsidRPr="00092E43" w:rsidRDefault="009F0FAC" w:rsidP="00520CFB">
            <w:pPr>
              <w:pStyle w:val="Tabletext"/>
              <w:jc w:val="center"/>
              <w:rPr>
                <w:lang w:val="es-ES_tradnl"/>
              </w:rPr>
            </w:pPr>
            <w:r w:rsidRPr="00092E43">
              <w:rPr>
                <w:lang w:val="es-ES_tradnl"/>
              </w:rPr>
              <w:t>3,85</w:t>
            </w:r>
          </w:p>
        </w:tc>
        <w:tc>
          <w:tcPr>
            <w:tcW w:w="765" w:type="dxa"/>
            <w:vAlign w:val="center"/>
          </w:tcPr>
          <w:p w:rsidR="009F0FAC" w:rsidRPr="00092E43" w:rsidRDefault="009F0FAC" w:rsidP="00520CFB">
            <w:pPr>
              <w:pStyle w:val="Tabletext"/>
              <w:jc w:val="center"/>
              <w:rPr>
                <w:lang w:val="es-ES_tradnl"/>
              </w:rPr>
            </w:pPr>
            <w:r w:rsidRPr="00092E43">
              <w:rPr>
                <w:lang w:val="es-ES_tradnl"/>
              </w:rPr>
              <w:t>3,54</w:t>
            </w:r>
          </w:p>
        </w:tc>
        <w:tc>
          <w:tcPr>
            <w:tcW w:w="765" w:type="dxa"/>
            <w:vAlign w:val="center"/>
          </w:tcPr>
          <w:p w:rsidR="009F0FAC" w:rsidRPr="00092E43" w:rsidRDefault="009F0FAC" w:rsidP="00520CFB">
            <w:pPr>
              <w:pStyle w:val="Tabletext"/>
              <w:jc w:val="center"/>
              <w:rPr>
                <w:lang w:val="es-ES_tradnl"/>
              </w:rPr>
            </w:pPr>
            <w:r w:rsidRPr="00092E43">
              <w:rPr>
                <w:lang w:val="es-ES_tradnl"/>
              </w:rPr>
              <w:t>2,62</w:t>
            </w:r>
          </w:p>
        </w:tc>
        <w:tc>
          <w:tcPr>
            <w:tcW w:w="765" w:type="dxa"/>
            <w:vAlign w:val="center"/>
          </w:tcPr>
          <w:p w:rsidR="009F0FAC" w:rsidRPr="00092E43" w:rsidRDefault="009F0FAC" w:rsidP="00520CFB">
            <w:pPr>
              <w:pStyle w:val="Tabletext"/>
              <w:jc w:val="center"/>
              <w:rPr>
                <w:lang w:val="es-ES_tradnl"/>
              </w:rPr>
            </w:pPr>
            <w:r w:rsidRPr="00092E43">
              <w:rPr>
                <w:lang w:val="es-ES_tradnl"/>
              </w:rPr>
              <w:t>1,24</w:t>
            </w:r>
          </w:p>
        </w:tc>
        <w:tc>
          <w:tcPr>
            <w:tcW w:w="822" w:type="dxa"/>
            <w:vAlign w:val="center"/>
          </w:tcPr>
          <w:p w:rsidR="009F0FAC" w:rsidRPr="00092E43" w:rsidRDefault="009F0FAC" w:rsidP="00520CFB">
            <w:pPr>
              <w:pStyle w:val="Tabletext"/>
              <w:jc w:val="center"/>
              <w:rPr>
                <w:lang w:val="es-ES_tradnl"/>
              </w:rPr>
            </w:pPr>
            <w:r w:rsidRPr="00092E43">
              <w:rPr>
                <w:lang w:val="es-ES_tradnl"/>
              </w:rPr>
              <w:t>–0,17</w:t>
            </w:r>
          </w:p>
        </w:tc>
        <w:tc>
          <w:tcPr>
            <w:tcW w:w="822" w:type="dxa"/>
            <w:vAlign w:val="center"/>
          </w:tcPr>
          <w:p w:rsidR="009F0FAC" w:rsidRPr="00092E43" w:rsidRDefault="009F0FAC" w:rsidP="00520CFB">
            <w:pPr>
              <w:pStyle w:val="Tabletext"/>
              <w:jc w:val="center"/>
              <w:rPr>
                <w:lang w:val="es-ES_tradnl"/>
              </w:rPr>
            </w:pPr>
            <w:r w:rsidRPr="00092E43">
              <w:rPr>
                <w:lang w:val="es-ES_tradnl"/>
              </w:rPr>
              <w:t>–1,33</w:t>
            </w:r>
          </w:p>
        </w:tc>
        <w:tc>
          <w:tcPr>
            <w:tcW w:w="822" w:type="dxa"/>
            <w:vAlign w:val="center"/>
          </w:tcPr>
          <w:p w:rsidR="009F0FAC" w:rsidRPr="00092E43" w:rsidRDefault="009F0FAC" w:rsidP="00520CFB">
            <w:pPr>
              <w:pStyle w:val="Tabletext"/>
              <w:jc w:val="center"/>
              <w:rPr>
                <w:lang w:val="es-ES_tradnl"/>
              </w:rPr>
            </w:pPr>
            <w:r w:rsidRPr="00092E43">
              <w:rPr>
                <w:lang w:val="es-ES_tradnl"/>
              </w:rPr>
              <w:t>–2,24</w:t>
            </w:r>
          </w:p>
        </w:tc>
        <w:tc>
          <w:tcPr>
            <w:tcW w:w="822" w:type="dxa"/>
            <w:vAlign w:val="center"/>
          </w:tcPr>
          <w:p w:rsidR="009F0FAC" w:rsidRPr="00092E43" w:rsidRDefault="009F0FAC" w:rsidP="00520CFB">
            <w:pPr>
              <w:pStyle w:val="Tabletext"/>
              <w:jc w:val="center"/>
              <w:rPr>
                <w:lang w:val="es-ES_tradnl"/>
              </w:rPr>
            </w:pPr>
            <w:r w:rsidRPr="00092E43">
              <w:rPr>
                <w:lang w:val="es-ES_tradnl"/>
              </w:rPr>
              <w:t>–3,08</w:t>
            </w:r>
          </w:p>
        </w:tc>
        <w:tc>
          <w:tcPr>
            <w:tcW w:w="822" w:type="dxa"/>
            <w:vAlign w:val="center"/>
          </w:tcPr>
          <w:p w:rsidR="009F0FAC" w:rsidRPr="00092E43" w:rsidRDefault="009F0FAC" w:rsidP="00520CFB">
            <w:pPr>
              <w:pStyle w:val="Tabletext"/>
              <w:jc w:val="center"/>
              <w:rPr>
                <w:lang w:val="es-ES_tradnl"/>
              </w:rPr>
            </w:pPr>
            <w:r w:rsidRPr="00092E43">
              <w:rPr>
                <w:lang w:val="es-ES_tradnl"/>
              </w:rPr>
              <w:t>–3,80</w:t>
            </w:r>
          </w:p>
        </w:tc>
        <w:tc>
          <w:tcPr>
            <w:tcW w:w="822" w:type="dxa"/>
            <w:vAlign w:val="center"/>
          </w:tcPr>
          <w:p w:rsidR="009F0FAC" w:rsidRPr="00092E43" w:rsidRDefault="009F0FAC" w:rsidP="00520CFB">
            <w:pPr>
              <w:pStyle w:val="Tabletext"/>
              <w:jc w:val="center"/>
              <w:rPr>
                <w:lang w:val="es-ES_tradnl"/>
              </w:rPr>
            </w:pPr>
            <w:r w:rsidRPr="00092E43">
              <w:rPr>
                <w:lang w:val="es-ES_tradnl"/>
              </w:rPr>
              <w:t>–3,96</w:t>
            </w:r>
          </w:p>
        </w:tc>
      </w:tr>
      <w:tr w:rsidR="009F0FAC" w:rsidRPr="00092E43" w:rsidTr="00520CFB">
        <w:trPr>
          <w:jc w:val="center"/>
        </w:trPr>
        <w:tc>
          <w:tcPr>
            <w:tcW w:w="1644" w:type="dxa"/>
          </w:tcPr>
          <w:p w:rsidR="009F0FAC" w:rsidRPr="00092E43" w:rsidRDefault="009F0FAC" w:rsidP="00520CFB">
            <w:pPr>
              <w:pStyle w:val="Tabletext"/>
              <w:jc w:val="left"/>
              <w:rPr>
                <w:lang w:val="es-ES_tradnl"/>
              </w:rPr>
            </w:pPr>
            <w:r w:rsidRPr="00092E43">
              <w:rPr>
                <w:lang w:val="es-ES_tradnl"/>
              </w:rPr>
              <w:t>Ganancia con polarización levógira</w:t>
            </w:r>
          </w:p>
        </w:tc>
        <w:tc>
          <w:tcPr>
            <w:tcW w:w="765" w:type="dxa"/>
            <w:vAlign w:val="center"/>
          </w:tcPr>
          <w:p w:rsidR="009F0FAC" w:rsidRPr="00092E43" w:rsidRDefault="009F0FAC" w:rsidP="00520CFB">
            <w:pPr>
              <w:pStyle w:val="Tabletext"/>
              <w:jc w:val="center"/>
              <w:rPr>
                <w:lang w:val="es-ES_tradnl"/>
              </w:rPr>
            </w:pPr>
            <w:r w:rsidRPr="00092E43">
              <w:rPr>
                <w:lang w:val="es-ES_tradnl"/>
              </w:rPr>
              <w:t>–5,69</w:t>
            </w:r>
          </w:p>
        </w:tc>
        <w:tc>
          <w:tcPr>
            <w:tcW w:w="765" w:type="dxa"/>
            <w:vAlign w:val="center"/>
          </w:tcPr>
          <w:p w:rsidR="009F0FAC" w:rsidRPr="00092E43" w:rsidRDefault="009F0FAC" w:rsidP="00520CFB">
            <w:pPr>
              <w:pStyle w:val="Tabletext"/>
              <w:jc w:val="center"/>
              <w:rPr>
                <w:lang w:val="es-ES_tradnl"/>
              </w:rPr>
            </w:pPr>
            <w:r w:rsidRPr="00092E43">
              <w:rPr>
                <w:lang w:val="es-ES_tradnl"/>
              </w:rPr>
              <w:t>–6,23</w:t>
            </w:r>
          </w:p>
        </w:tc>
        <w:tc>
          <w:tcPr>
            <w:tcW w:w="765" w:type="dxa"/>
            <w:vAlign w:val="center"/>
          </w:tcPr>
          <w:p w:rsidR="009F0FAC" w:rsidRPr="00092E43" w:rsidRDefault="009F0FAC" w:rsidP="00520CFB">
            <w:pPr>
              <w:pStyle w:val="Tabletext"/>
              <w:jc w:val="center"/>
              <w:rPr>
                <w:lang w:val="es-ES_tradnl"/>
              </w:rPr>
            </w:pPr>
            <w:r w:rsidRPr="00092E43">
              <w:rPr>
                <w:lang w:val="es-ES_tradnl"/>
              </w:rPr>
              <w:t>–7,52</w:t>
            </w:r>
          </w:p>
        </w:tc>
        <w:tc>
          <w:tcPr>
            <w:tcW w:w="765" w:type="dxa"/>
            <w:vAlign w:val="center"/>
          </w:tcPr>
          <w:p w:rsidR="009F0FAC" w:rsidRPr="00092E43" w:rsidRDefault="009F0FAC" w:rsidP="00520CFB">
            <w:pPr>
              <w:pStyle w:val="Tabletext"/>
              <w:jc w:val="center"/>
              <w:rPr>
                <w:lang w:val="es-ES_tradnl"/>
              </w:rPr>
            </w:pPr>
            <w:r w:rsidRPr="00092E43">
              <w:rPr>
                <w:lang w:val="es-ES_tradnl"/>
              </w:rPr>
              <w:t>–9,39</w:t>
            </w:r>
          </w:p>
        </w:tc>
        <w:tc>
          <w:tcPr>
            <w:tcW w:w="822" w:type="dxa"/>
            <w:vAlign w:val="center"/>
          </w:tcPr>
          <w:p w:rsidR="009F0FAC" w:rsidRPr="00092E43" w:rsidRDefault="009F0FAC" w:rsidP="00520CFB">
            <w:pPr>
              <w:pStyle w:val="Tabletext"/>
              <w:jc w:val="center"/>
              <w:rPr>
                <w:lang w:val="es-ES_tradnl"/>
              </w:rPr>
            </w:pPr>
            <w:r w:rsidRPr="00092E43">
              <w:rPr>
                <w:lang w:val="es-ES_tradnl"/>
              </w:rPr>
              <w:t>–11,39</w:t>
            </w:r>
          </w:p>
        </w:tc>
        <w:tc>
          <w:tcPr>
            <w:tcW w:w="822" w:type="dxa"/>
            <w:vAlign w:val="center"/>
          </w:tcPr>
          <w:p w:rsidR="009F0FAC" w:rsidRPr="00092E43" w:rsidRDefault="009F0FAC" w:rsidP="00520CFB">
            <w:pPr>
              <w:pStyle w:val="Tabletext"/>
              <w:jc w:val="center"/>
              <w:rPr>
                <w:lang w:val="es-ES_tradnl"/>
              </w:rPr>
            </w:pPr>
            <w:r w:rsidRPr="00092E43">
              <w:rPr>
                <w:lang w:val="es-ES_tradnl"/>
              </w:rPr>
              <w:t>–13,12</w:t>
            </w:r>
          </w:p>
        </w:tc>
        <w:tc>
          <w:tcPr>
            <w:tcW w:w="822" w:type="dxa"/>
            <w:vAlign w:val="center"/>
          </w:tcPr>
          <w:p w:rsidR="009F0FAC" w:rsidRPr="00092E43" w:rsidRDefault="009F0FAC" w:rsidP="00520CFB">
            <w:pPr>
              <w:pStyle w:val="Tabletext"/>
              <w:jc w:val="center"/>
              <w:rPr>
                <w:lang w:val="es-ES_tradnl"/>
              </w:rPr>
            </w:pPr>
            <w:r w:rsidRPr="00092E43">
              <w:rPr>
                <w:lang w:val="es-ES_tradnl"/>
              </w:rPr>
              <w:t>–14,52</w:t>
            </w:r>
          </w:p>
        </w:tc>
        <w:tc>
          <w:tcPr>
            <w:tcW w:w="822" w:type="dxa"/>
            <w:vAlign w:val="center"/>
          </w:tcPr>
          <w:p w:rsidR="009F0FAC" w:rsidRPr="00092E43" w:rsidRDefault="009F0FAC" w:rsidP="00520CFB">
            <w:pPr>
              <w:pStyle w:val="Tabletext"/>
              <w:jc w:val="center"/>
              <w:rPr>
                <w:lang w:val="es-ES_tradnl"/>
              </w:rPr>
            </w:pPr>
            <w:r w:rsidRPr="00092E43">
              <w:rPr>
                <w:lang w:val="es-ES_tradnl"/>
              </w:rPr>
              <w:t>–15,77</w:t>
            </w:r>
          </w:p>
        </w:tc>
        <w:tc>
          <w:tcPr>
            <w:tcW w:w="822" w:type="dxa"/>
            <w:vAlign w:val="center"/>
          </w:tcPr>
          <w:p w:rsidR="009F0FAC" w:rsidRPr="00092E43" w:rsidRDefault="009F0FAC" w:rsidP="00520CFB">
            <w:pPr>
              <w:pStyle w:val="Tabletext"/>
              <w:jc w:val="center"/>
              <w:rPr>
                <w:lang w:val="es-ES_tradnl"/>
              </w:rPr>
            </w:pPr>
            <w:r w:rsidRPr="00092E43">
              <w:rPr>
                <w:lang w:val="es-ES_tradnl"/>
              </w:rPr>
              <w:t>–17,17</w:t>
            </w:r>
          </w:p>
        </w:tc>
        <w:tc>
          <w:tcPr>
            <w:tcW w:w="822" w:type="dxa"/>
            <w:vAlign w:val="center"/>
          </w:tcPr>
          <w:p w:rsidR="009F0FAC" w:rsidRPr="00092E43" w:rsidRDefault="009F0FAC" w:rsidP="00520CFB">
            <w:pPr>
              <w:pStyle w:val="Tabletext"/>
              <w:jc w:val="center"/>
              <w:rPr>
                <w:lang w:val="es-ES_tradnl"/>
              </w:rPr>
            </w:pPr>
            <w:r w:rsidRPr="00092E43">
              <w:rPr>
                <w:lang w:val="es-ES_tradnl"/>
              </w:rPr>
              <w:t>–18,00</w:t>
            </w:r>
          </w:p>
        </w:tc>
      </w:tr>
      <w:tr w:rsidR="009F0FAC" w:rsidRPr="00092E43" w:rsidTr="00520CFB">
        <w:trPr>
          <w:jc w:val="center"/>
        </w:trPr>
        <w:tc>
          <w:tcPr>
            <w:tcW w:w="1644" w:type="dxa"/>
          </w:tcPr>
          <w:p w:rsidR="009F0FAC" w:rsidRPr="00092E43" w:rsidRDefault="009F0FAC" w:rsidP="00520CFB">
            <w:pPr>
              <w:pStyle w:val="Tabletext"/>
              <w:jc w:val="left"/>
              <w:rPr>
                <w:lang w:val="es-ES_tradnl"/>
              </w:rPr>
            </w:pPr>
            <w:r w:rsidRPr="00092E43">
              <w:rPr>
                <w:lang w:val="es-ES_tradnl"/>
              </w:rPr>
              <w:t xml:space="preserve">Relación axial </w:t>
            </w:r>
          </w:p>
        </w:tc>
        <w:tc>
          <w:tcPr>
            <w:tcW w:w="765" w:type="dxa"/>
          </w:tcPr>
          <w:p w:rsidR="009F0FAC" w:rsidRPr="00092E43" w:rsidRDefault="009F0FAC" w:rsidP="00520CFB">
            <w:pPr>
              <w:pStyle w:val="Tabletext"/>
              <w:jc w:val="center"/>
              <w:rPr>
                <w:lang w:val="es-ES_tradnl"/>
              </w:rPr>
            </w:pPr>
            <w:r w:rsidRPr="00092E43">
              <w:rPr>
                <w:lang w:val="es-ES_tradnl"/>
              </w:rPr>
              <w:t>6,02</w:t>
            </w:r>
          </w:p>
        </w:tc>
        <w:tc>
          <w:tcPr>
            <w:tcW w:w="765" w:type="dxa"/>
          </w:tcPr>
          <w:p w:rsidR="009F0FAC" w:rsidRPr="00092E43" w:rsidRDefault="009F0FAC" w:rsidP="00520CFB">
            <w:pPr>
              <w:pStyle w:val="Tabletext"/>
              <w:jc w:val="center"/>
              <w:rPr>
                <w:lang w:val="es-ES_tradnl"/>
              </w:rPr>
            </w:pPr>
            <w:r w:rsidRPr="00092E43">
              <w:rPr>
                <w:lang w:val="es-ES_tradnl"/>
              </w:rPr>
              <w:t>5,85</w:t>
            </w:r>
          </w:p>
        </w:tc>
        <w:tc>
          <w:tcPr>
            <w:tcW w:w="765" w:type="dxa"/>
          </w:tcPr>
          <w:p w:rsidR="009F0FAC" w:rsidRPr="00092E43" w:rsidRDefault="009F0FAC" w:rsidP="00520CFB">
            <w:pPr>
              <w:pStyle w:val="Tabletext"/>
              <w:jc w:val="center"/>
              <w:rPr>
                <w:lang w:val="es-ES_tradnl"/>
              </w:rPr>
            </w:pPr>
            <w:r w:rsidRPr="00092E43">
              <w:rPr>
                <w:lang w:val="es-ES_tradnl"/>
              </w:rPr>
              <w:t>5,59</w:t>
            </w:r>
          </w:p>
        </w:tc>
        <w:tc>
          <w:tcPr>
            <w:tcW w:w="765" w:type="dxa"/>
          </w:tcPr>
          <w:p w:rsidR="009F0FAC" w:rsidRPr="00092E43" w:rsidRDefault="009F0FAC" w:rsidP="00520CFB">
            <w:pPr>
              <w:pStyle w:val="Tabletext"/>
              <w:jc w:val="center"/>
              <w:rPr>
                <w:lang w:val="es-ES_tradnl"/>
              </w:rPr>
            </w:pPr>
            <w:r w:rsidRPr="00092E43">
              <w:rPr>
                <w:lang w:val="es-ES_tradnl"/>
              </w:rPr>
              <w:t>5,26</w:t>
            </w:r>
          </w:p>
        </w:tc>
        <w:tc>
          <w:tcPr>
            <w:tcW w:w="822" w:type="dxa"/>
          </w:tcPr>
          <w:p w:rsidR="009F0FAC" w:rsidRPr="00092E43" w:rsidRDefault="009F0FAC" w:rsidP="00520CFB">
            <w:pPr>
              <w:pStyle w:val="Tabletext"/>
              <w:jc w:val="center"/>
              <w:rPr>
                <w:lang w:val="es-ES_tradnl"/>
              </w:rPr>
            </w:pPr>
            <w:r w:rsidRPr="00092E43">
              <w:rPr>
                <w:lang w:val="es-ES_tradnl"/>
              </w:rPr>
              <w:t>4,90</w:t>
            </w:r>
          </w:p>
        </w:tc>
        <w:tc>
          <w:tcPr>
            <w:tcW w:w="822" w:type="dxa"/>
          </w:tcPr>
          <w:p w:rsidR="009F0FAC" w:rsidRPr="00092E43" w:rsidRDefault="009F0FAC" w:rsidP="00520CFB">
            <w:pPr>
              <w:pStyle w:val="Tabletext"/>
              <w:jc w:val="center"/>
              <w:rPr>
                <w:lang w:val="es-ES_tradnl"/>
              </w:rPr>
            </w:pPr>
            <w:r w:rsidRPr="00092E43">
              <w:rPr>
                <w:lang w:val="es-ES_tradnl"/>
              </w:rPr>
              <w:t>4,57</w:t>
            </w:r>
          </w:p>
        </w:tc>
        <w:tc>
          <w:tcPr>
            <w:tcW w:w="822" w:type="dxa"/>
          </w:tcPr>
          <w:p w:rsidR="009F0FAC" w:rsidRPr="00092E43" w:rsidRDefault="009F0FAC" w:rsidP="00520CFB">
            <w:pPr>
              <w:pStyle w:val="Tabletext"/>
              <w:jc w:val="center"/>
              <w:rPr>
                <w:lang w:val="es-ES_tradnl"/>
              </w:rPr>
            </w:pPr>
            <w:r w:rsidRPr="00092E43">
              <w:rPr>
                <w:lang w:val="es-ES_tradnl"/>
              </w:rPr>
              <w:t>4,31</w:t>
            </w:r>
          </w:p>
        </w:tc>
        <w:tc>
          <w:tcPr>
            <w:tcW w:w="822" w:type="dxa"/>
          </w:tcPr>
          <w:p w:rsidR="009F0FAC" w:rsidRPr="00092E43" w:rsidRDefault="009F0FAC" w:rsidP="00520CFB">
            <w:pPr>
              <w:pStyle w:val="Tabletext"/>
              <w:jc w:val="center"/>
              <w:rPr>
                <w:lang w:val="es-ES_tradnl"/>
              </w:rPr>
            </w:pPr>
            <w:r w:rsidRPr="00092E43">
              <w:rPr>
                <w:lang w:val="es-ES_tradnl"/>
              </w:rPr>
              <w:t>4,11</w:t>
            </w:r>
          </w:p>
        </w:tc>
        <w:tc>
          <w:tcPr>
            <w:tcW w:w="822" w:type="dxa"/>
          </w:tcPr>
          <w:p w:rsidR="009F0FAC" w:rsidRPr="00092E43" w:rsidRDefault="009F0FAC" w:rsidP="00520CFB">
            <w:pPr>
              <w:pStyle w:val="Tabletext"/>
              <w:jc w:val="center"/>
              <w:rPr>
                <w:lang w:val="es-ES_tradnl"/>
              </w:rPr>
            </w:pPr>
            <w:r w:rsidRPr="00092E43">
              <w:rPr>
                <w:lang w:val="es-ES_tradnl"/>
              </w:rPr>
              <w:t>3,78</w:t>
            </w:r>
          </w:p>
        </w:tc>
        <w:tc>
          <w:tcPr>
            <w:tcW w:w="822" w:type="dxa"/>
          </w:tcPr>
          <w:p w:rsidR="009F0FAC" w:rsidRPr="00092E43" w:rsidRDefault="009F0FAC" w:rsidP="00520CFB">
            <w:pPr>
              <w:pStyle w:val="Tabletext"/>
              <w:jc w:val="center"/>
              <w:rPr>
                <w:lang w:val="es-ES_tradnl"/>
              </w:rPr>
            </w:pPr>
            <w:r w:rsidRPr="00092E43">
              <w:rPr>
                <w:lang w:val="es-ES_tradnl"/>
              </w:rPr>
              <w:t>3,49</w:t>
            </w:r>
          </w:p>
        </w:tc>
      </w:tr>
    </w:tbl>
    <w:p w:rsidR="009F0FAC" w:rsidRPr="00BA4B64" w:rsidRDefault="009F0FAC" w:rsidP="009F0FAC">
      <w:pPr>
        <w:pStyle w:val="Tablefin"/>
        <w:rPr>
          <w:sz w:val="10"/>
          <w:lang w:val="es-ES_tradnl"/>
        </w:rPr>
      </w:pPr>
    </w:p>
    <w:p w:rsidR="009F0FAC" w:rsidRPr="00092E43" w:rsidRDefault="009F0FAC" w:rsidP="009F0FAC">
      <w:pPr>
        <w:rPr>
          <w:rFonts w:eastAsiaTheme="minorEastAsia"/>
          <w:szCs w:val="24"/>
          <w:lang w:val="es-ES_tradnl"/>
        </w:rPr>
      </w:pPr>
      <w:r w:rsidRPr="00092E43">
        <w:rPr>
          <w:rFonts w:eastAsiaTheme="minorEastAsia"/>
          <w:szCs w:val="24"/>
          <w:lang w:val="es-ES_tradnl"/>
        </w:rPr>
        <w:lastRenderedPageBreak/>
        <w:t>Las cifras del Cuadro 1 son las especificadas para los diagramas de antena de recepción entre los instrumentos SARP y ARGOS, para los satélites NOAA y METOP.</w:t>
      </w:r>
    </w:p>
    <w:p w:rsidR="009F0FAC" w:rsidRPr="00092E43" w:rsidRDefault="009F0FAC" w:rsidP="00055C91">
      <w:pPr>
        <w:rPr>
          <w:rFonts w:eastAsiaTheme="minorEastAsia"/>
          <w:szCs w:val="24"/>
          <w:lang w:val="es-ES_tradnl"/>
        </w:rPr>
      </w:pPr>
      <w:r w:rsidRPr="00092E43">
        <w:rPr>
          <w:rFonts w:eastAsiaTheme="minorEastAsia"/>
          <w:szCs w:val="24"/>
          <w:lang w:val="es-ES_tradnl"/>
        </w:rPr>
        <w:t>Las</w:t>
      </w:r>
      <w:r w:rsidRPr="00092E43">
        <w:rPr>
          <w:rFonts w:eastAsiaTheme="minorEastAsia"/>
          <w:sz w:val="23"/>
          <w:szCs w:val="23"/>
          <w:lang w:val="es-ES_tradnl"/>
        </w:rPr>
        <w:t xml:space="preserve"> </w:t>
      </w:r>
      <w:r w:rsidRPr="00092E43">
        <w:rPr>
          <w:rFonts w:eastAsiaTheme="minorEastAsia"/>
          <w:szCs w:val="24"/>
          <w:lang w:val="es-ES_tradnl"/>
        </w:rPr>
        <w:t>cifras</w:t>
      </w:r>
      <w:r w:rsidRPr="00092E43">
        <w:rPr>
          <w:rFonts w:eastAsiaTheme="minorEastAsia"/>
          <w:sz w:val="23"/>
          <w:szCs w:val="23"/>
          <w:lang w:val="es-ES_tradnl"/>
        </w:rPr>
        <w:t xml:space="preserve"> </w:t>
      </w:r>
      <w:r w:rsidRPr="00092E43">
        <w:rPr>
          <w:rFonts w:eastAsiaTheme="minorEastAsia"/>
          <w:szCs w:val="24"/>
          <w:lang w:val="es-ES_tradnl"/>
        </w:rPr>
        <w:t>típicas</w:t>
      </w:r>
      <w:r w:rsidRPr="00092E43">
        <w:rPr>
          <w:rFonts w:eastAsiaTheme="minorEastAsia"/>
          <w:sz w:val="23"/>
          <w:szCs w:val="23"/>
          <w:lang w:val="es-ES_tradnl"/>
        </w:rPr>
        <w:t xml:space="preserve"> </w:t>
      </w:r>
      <w:r w:rsidRPr="00092E43">
        <w:rPr>
          <w:rFonts w:eastAsiaTheme="minorEastAsia"/>
          <w:szCs w:val="24"/>
          <w:lang w:val="es-ES_tradnl"/>
        </w:rPr>
        <w:t>del</w:t>
      </w:r>
      <w:r w:rsidRPr="00092E43">
        <w:rPr>
          <w:rFonts w:eastAsiaTheme="minorEastAsia"/>
          <w:sz w:val="23"/>
          <w:szCs w:val="23"/>
          <w:lang w:val="es-ES_tradnl"/>
        </w:rPr>
        <w:t xml:space="preserve"> </w:t>
      </w:r>
      <w:r w:rsidRPr="00092E43">
        <w:rPr>
          <w:rFonts w:eastAsiaTheme="minorEastAsia"/>
          <w:szCs w:val="24"/>
          <w:lang w:val="es-ES_tradnl"/>
        </w:rPr>
        <w:t>ARGOS</w:t>
      </w:r>
      <w:r w:rsidRPr="00092E43">
        <w:rPr>
          <w:rFonts w:eastAsiaTheme="minorEastAsia"/>
          <w:sz w:val="23"/>
          <w:szCs w:val="23"/>
          <w:lang w:val="es-ES_tradnl"/>
        </w:rPr>
        <w:t xml:space="preserve"> </w:t>
      </w:r>
      <w:r w:rsidRPr="00092E43">
        <w:rPr>
          <w:rFonts w:eastAsiaTheme="minorEastAsia"/>
          <w:szCs w:val="24"/>
          <w:lang w:val="es-ES_tradnl"/>
        </w:rPr>
        <w:t>son</w:t>
      </w:r>
      <w:r w:rsidRPr="00092E43">
        <w:rPr>
          <w:rFonts w:eastAsiaTheme="minorEastAsia"/>
          <w:sz w:val="23"/>
          <w:szCs w:val="23"/>
          <w:lang w:val="es-ES_tradnl"/>
        </w:rPr>
        <w:t xml:space="preserve"> </w:t>
      </w:r>
      <w:r w:rsidRPr="00092E43">
        <w:rPr>
          <w:rFonts w:eastAsiaTheme="minorEastAsia"/>
          <w:szCs w:val="24"/>
          <w:lang w:val="es-ES_tradnl"/>
        </w:rPr>
        <w:t>las</w:t>
      </w:r>
      <w:r w:rsidRPr="00092E43">
        <w:rPr>
          <w:rFonts w:eastAsiaTheme="minorEastAsia"/>
          <w:sz w:val="23"/>
          <w:szCs w:val="23"/>
          <w:lang w:val="es-ES_tradnl"/>
        </w:rPr>
        <w:t xml:space="preserve"> </w:t>
      </w:r>
      <w:r w:rsidRPr="00092E43">
        <w:rPr>
          <w:rFonts w:eastAsiaTheme="minorEastAsia"/>
          <w:szCs w:val="24"/>
          <w:lang w:val="es-ES_tradnl"/>
        </w:rPr>
        <w:t>siguientes:</w:t>
      </w:r>
      <w:r w:rsidRPr="00092E43">
        <w:rPr>
          <w:rFonts w:eastAsiaTheme="minorEastAsia"/>
          <w:sz w:val="23"/>
          <w:szCs w:val="23"/>
          <w:lang w:val="es-ES_tradnl"/>
        </w:rPr>
        <w:t xml:space="preserve"> </w:t>
      </w:r>
      <w:r w:rsidRPr="00092E43">
        <w:rPr>
          <w:rFonts w:eastAsiaTheme="minorEastAsia"/>
          <w:szCs w:val="24"/>
          <w:lang w:val="es-ES_tradnl"/>
        </w:rPr>
        <w:t>factor</w:t>
      </w:r>
      <w:r w:rsidRPr="00092E43">
        <w:rPr>
          <w:rFonts w:eastAsiaTheme="minorEastAsia"/>
          <w:sz w:val="23"/>
          <w:szCs w:val="23"/>
          <w:lang w:val="es-ES_tradnl"/>
        </w:rPr>
        <w:t xml:space="preserve"> </w:t>
      </w:r>
      <w:r w:rsidRPr="00092E43">
        <w:rPr>
          <w:rFonts w:eastAsiaTheme="minorEastAsia"/>
          <w:szCs w:val="24"/>
          <w:lang w:val="es-ES_tradnl"/>
        </w:rPr>
        <w:t>de</w:t>
      </w:r>
      <w:r w:rsidRPr="00092E43">
        <w:rPr>
          <w:rFonts w:eastAsiaTheme="minorEastAsia"/>
          <w:sz w:val="23"/>
          <w:szCs w:val="23"/>
          <w:lang w:val="es-ES_tradnl"/>
        </w:rPr>
        <w:t xml:space="preserve"> </w:t>
      </w:r>
      <w:r w:rsidRPr="00092E43">
        <w:rPr>
          <w:rFonts w:eastAsiaTheme="minorEastAsia"/>
          <w:szCs w:val="24"/>
          <w:lang w:val="es-ES_tradnl"/>
        </w:rPr>
        <w:t>ruido</w:t>
      </w:r>
      <w:r w:rsidRPr="00092E43">
        <w:rPr>
          <w:rFonts w:eastAsiaTheme="minorEastAsia"/>
          <w:sz w:val="23"/>
          <w:szCs w:val="23"/>
          <w:lang w:val="es-ES_tradnl"/>
        </w:rPr>
        <w:t> = </w:t>
      </w:r>
      <w:r w:rsidRPr="00092E43">
        <w:rPr>
          <w:rFonts w:eastAsiaTheme="minorEastAsia"/>
          <w:szCs w:val="24"/>
          <w:lang w:val="es-ES_tradnl"/>
        </w:rPr>
        <w:t>3</w:t>
      </w:r>
      <w:r w:rsidRPr="00092E43">
        <w:rPr>
          <w:rFonts w:eastAsiaTheme="minorEastAsia"/>
          <w:sz w:val="23"/>
          <w:szCs w:val="23"/>
          <w:lang w:val="es-ES_tradnl"/>
        </w:rPr>
        <w:t xml:space="preserve"> </w:t>
      </w:r>
      <w:r w:rsidRPr="00092E43">
        <w:rPr>
          <w:rFonts w:eastAsiaTheme="minorEastAsia"/>
          <w:szCs w:val="24"/>
          <w:lang w:val="es-ES_tradnl"/>
        </w:rPr>
        <w:t>dB</w:t>
      </w:r>
      <w:r w:rsidRPr="00092E43">
        <w:rPr>
          <w:rFonts w:eastAsiaTheme="minorEastAsia"/>
          <w:sz w:val="23"/>
          <w:szCs w:val="23"/>
          <w:lang w:val="es-ES_tradnl"/>
        </w:rPr>
        <w:t xml:space="preserve"> </w:t>
      </w:r>
      <w:r w:rsidRPr="00092E43">
        <w:rPr>
          <w:rFonts w:eastAsiaTheme="minorEastAsia"/>
          <w:szCs w:val="24"/>
          <w:lang w:val="es-ES_tradnl"/>
        </w:rPr>
        <w:t>(parámetro</w:t>
      </w:r>
      <w:r w:rsidRPr="00092E43">
        <w:rPr>
          <w:rFonts w:eastAsiaTheme="minorEastAsia"/>
          <w:sz w:val="23"/>
          <w:szCs w:val="23"/>
          <w:lang w:val="es-ES_tradnl"/>
        </w:rPr>
        <w:t xml:space="preserve"> </w:t>
      </w:r>
      <w:r w:rsidRPr="00092E43">
        <w:rPr>
          <w:rFonts w:eastAsiaTheme="minorEastAsia"/>
          <w:szCs w:val="24"/>
          <w:lang w:val="es-ES_tradnl"/>
        </w:rPr>
        <w:t>de</w:t>
      </w:r>
      <w:r w:rsidRPr="00092E43">
        <w:rPr>
          <w:rFonts w:eastAsiaTheme="minorEastAsia"/>
          <w:sz w:val="23"/>
          <w:szCs w:val="23"/>
          <w:lang w:val="es-ES_tradnl"/>
        </w:rPr>
        <w:t xml:space="preserve"> </w:t>
      </w:r>
      <w:r w:rsidRPr="00092E43">
        <w:rPr>
          <w:rFonts w:eastAsiaTheme="minorEastAsia"/>
          <w:szCs w:val="24"/>
          <w:lang w:val="es-ES_tradnl"/>
        </w:rPr>
        <w:t>entrada para el ARGOS), temperatura de ruido de fondo de caso más desfavorable</w:t>
      </w:r>
      <w:r w:rsidRPr="00092E43">
        <w:rPr>
          <w:rFonts w:eastAsiaTheme="minorEastAsia"/>
          <w:sz w:val="23"/>
          <w:szCs w:val="23"/>
          <w:lang w:val="es-ES_tradnl"/>
        </w:rPr>
        <w:t> = </w:t>
      </w:r>
      <w:r w:rsidRPr="00092E43">
        <w:rPr>
          <w:rFonts w:eastAsiaTheme="minorEastAsia"/>
          <w:lang w:val="es-ES_tradnl"/>
        </w:rPr>
        <w:t>1 200</w:t>
      </w:r>
      <w:r w:rsidRPr="00092E43">
        <w:rPr>
          <w:rFonts w:eastAsiaTheme="minorEastAsia"/>
          <w:szCs w:val="24"/>
          <w:lang w:val="es-ES_tradnl"/>
        </w:rPr>
        <w:t xml:space="preserve"> K (valor medido teniendo en cuenta el ruido industrial en Europa), la atenuación entre la antena y el receptor ARGOS</w:t>
      </w:r>
      <w:r w:rsidRPr="00092E43">
        <w:rPr>
          <w:rFonts w:eastAsiaTheme="minorEastAsia"/>
          <w:sz w:val="23"/>
          <w:szCs w:val="23"/>
          <w:lang w:val="es-ES_tradnl"/>
        </w:rPr>
        <w:t> = </w:t>
      </w:r>
      <w:r w:rsidRPr="00092E43">
        <w:rPr>
          <w:rFonts w:eastAsiaTheme="minorEastAsia"/>
          <w:szCs w:val="24"/>
          <w:lang w:val="es-ES_tradnl"/>
        </w:rPr>
        <w:t>1,6</w:t>
      </w:r>
      <w:r w:rsidR="00055C91">
        <w:rPr>
          <w:rFonts w:eastAsiaTheme="minorEastAsia"/>
          <w:szCs w:val="24"/>
          <w:lang w:val="es-ES_tradnl"/>
        </w:rPr>
        <w:t> </w:t>
      </w:r>
      <w:r w:rsidRPr="00092E43">
        <w:rPr>
          <w:rFonts w:eastAsiaTheme="minorEastAsia"/>
          <w:szCs w:val="24"/>
          <w:lang w:val="es-ES_tradnl"/>
        </w:rPr>
        <w:t xml:space="preserve">dB. Por lo tanto, la temperatura de ruido del sistema a la entrada del receptor ARGOS (punto B de la Fig. 1) es igual a </w:t>
      </w:r>
      <w:r w:rsidRPr="009F0FAC">
        <w:rPr>
          <w:rFonts w:eastAsiaTheme="minorEastAsia"/>
          <w:lang w:val="es-ES_tradnl"/>
        </w:rPr>
        <w:t>1</w:t>
      </w:r>
      <w:r>
        <w:rPr>
          <w:rFonts w:eastAsiaTheme="minorEastAsia"/>
          <w:lang w:val="es-ES_tradnl"/>
        </w:rPr>
        <w:t> </w:t>
      </w:r>
      <w:r w:rsidRPr="009F0FAC">
        <w:rPr>
          <w:rFonts w:eastAsiaTheme="minorEastAsia"/>
          <w:lang w:val="es-ES_tradnl"/>
        </w:rPr>
        <w:t>214</w:t>
      </w:r>
      <w:r w:rsidRPr="00092E43">
        <w:rPr>
          <w:rFonts w:eastAsiaTheme="minorEastAsia"/>
          <w:szCs w:val="24"/>
          <w:lang w:val="es-ES_tradnl"/>
        </w:rPr>
        <w:t xml:space="preserve"> K y, por tanto, la densidad espectral de ruido es </w:t>
      </w:r>
      <w:r w:rsidRPr="00092E43">
        <w:rPr>
          <w:rFonts w:eastAsiaTheme="minorEastAsia"/>
          <w:i/>
          <w:iCs/>
          <w:szCs w:val="24"/>
          <w:lang w:val="es-ES_tradnl"/>
        </w:rPr>
        <w:t>N</w:t>
      </w:r>
      <w:r w:rsidRPr="00092E43">
        <w:rPr>
          <w:rFonts w:eastAsiaTheme="minorEastAsia"/>
          <w:szCs w:val="24"/>
          <w:vertAlign w:val="subscript"/>
          <w:lang w:val="es-ES_tradnl"/>
        </w:rPr>
        <w:t>0</w:t>
      </w:r>
      <w:r w:rsidRPr="00092E43">
        <w:rPr>
          <w:rFonts w:eastAsiaTheme="minorEastAsia"/>
          <w:szCs w:val="24"/>
          <w:lang w:val="es-ES_tradnl"/>
        </w:rPr>
        <w:t> = </w:t>
      </w:r>
      <w:r w:rsidRPr="00092E43">
        <w:rPr>
          <w:rFonts w:eastAsiaTheme="minorEastAsia"/>
          <w:lang w:val="es-ES_tradnl"/>
        </w:rPr>
        <w:t>–</w:t>
      </w:r>
      <w:r w:rsidRPr="00092E43">
        <w:rPr>
          <w:rFonts w:eastAsiaTheme="minorEastAsia"/>
          <w:szCs w:val="24"/>
          <w:lang w:val="es-ES_tradnl"/>
        </w:rPr>
        <w:t>197,8 </w:t>
      </w:r>
      <w:proofErr w:type="gramStart"/>
      <w:r w:rsidRPr="00092E43">
        <w:rPr>
          <w:rFonts w:eastAsiaTheme="minorEastAsia"/>
          <w:szCs w:val="24"/>
          <w:lang w:val="es-ES_tradnl"/>
        </w:rPr>
        <w:t>dB(</w:t>
      </w:r>
      <w:proofErr w:type="gramEnd"/>
      <w:r w:rsidRPr="00092E43">
        <w:rPr>
          <w:rFonts w:eastAsiaTheme="minorEastAsia"/>
          <w:szCs w:val="24"/>
          <w:lang w:val="es-ES_tradnl"/>
        </w:rPr>
        <w:t>W/Hz).</w:t>
      </w:r>
    </w:p>
    <w:p w:rsidR="009F0FAC" w:rsidRPr="00092E43" w:rsidRDefault="009F0FAC" w:rsidP="00055C91">
      <w:pPr>
        <w:rPr>
          <w:rFonts w:eastAsiaTheme="minorEastAsia"/>
          <w:szCs w:val="24"/>
          <w:lang w:val="es-ES_tradnl"/>
        </w:rPr>
      </w:pPr>
      <w:r w:rsidRPr="00092E43">
        <w:rPr>
          <w:rFonts w:eastAsiaTheme="minorEastAsia"/>
          <w:szCs w:val="24"/>
          <w:lang w:val="es-ES_tradnl"/>
        </w:rPr>
        <w:t xml:space="preserve">La especificación del caso más desfavorable establece que el ARGOS está diseñado para funcionar correctamente cuando la señal recibida tiene una potencia de </w:t>
      </w:r>
      <w:r w:rsidRPr="00092E43">
        <w:rPr>
          <w:rFonts w:eastAsiaTheme="minorEastAsia"/>
          <w:i/>
          <w:iCs/>
          <w:szCs w:val="24"/>
          <w:lang w:val="es-ES_tradnl"/>
        </w:rPr>
        <w:t>C</w:t>
      </w:r>
      <w:r w:rsidRPr="00092E43">
        <w:rPr>
          <w:rFonts w:eastAsiaTheme="minorEastAsia"/>
          <w:szCs w:val="24"/>
          <w:lang w:val="es-ES_tradnl"/>
        </w:rPr>
        <w:t xml:space="preserve"> = –160 dBW (nivel mínimo de la señal recibida) a la entrada del receptor, lo cual proporciona un valor efectivo de </w:t>
      </w:r>
      <w:r w:rsidRPr="00092E43">
        <w:rPr>
          <w:rFonts w:eastAsiaTheme="minorEastAsia"/>
          <w:i/>
          <w:iCs/>
          <w:szCs w:val="24"/>
          <w:lang w:val="es-ES_tradnl"/>
        </w:rPr>
        <w:t>E</w:t>
      </w:r>
      <w:r w:rsidRPr="00092E43">
        <w:rPr>
          <w:rFonts w:eastAsiaTheme="minorEastAsia"/>
          <w:i/>
          <w:iCs/>
          <w:szCs w:val="24"/>
          <w:vertAlign w:val="subscript"/>
          <w:lang w:val="es-ES_tradnl"/>
        </w:rPr>
        <w:t>b</w:t>
      </w:r>
      <w:r w:rsidRPr="00092E43">
        <w:rPr>
          <w:rFonts w:ascii="Tms Rmn" w:eastAsiaTheme="minorEastAsia" w:hAnsi="Tms Rmn" w:cs="Tms Rmn"/>
          <w:sz w:val="4"/>
          <w:szCs w:val="4"/>
          <w:lang w:val="es-ES_tradnl"/>
        </w:rPr>
        <w:t> </w:t>
      </w:r>
      <w:r w:rsidRPr="00092E43">
        <w:rPr>
          <w:rFonts w:eastAsiaTheme="minorEastAsia"/>
          <w:szCs w:val="24"/>
          <w:lang w:val="es-ES_tradnl"/>
        </w:rPr>
        <w:t>/</w:t>
      </w:r>
      <w:r w:rsidRPr="00092E43">
        <w:rPr>
          <w:rFonts w:ascii="Tms Rmn" w:eastAsiaTheme="minorEastAsia" w:hAnsi="Tms Rmn" w:cs="Tms Rmn"/>
          <w:sz w:val="4"/>
          <w:szCs w:val="4"/>
          <w:lang w:val="es-ES_tradnl"/>
        </w:rPr>
        <w:t> </w:t>
      </w:r>
      <w:r w:rsidRPr="00092E43">
        <w:rPr>
          <w:rFonts w:eastAsiaTheme="minorEastAsia"/>
          <w:i/>
          <w:iCs/>
          <w:szCs w:val="24"/>
          <w:lang w:val="es-ES_tradnl"/>
        </w:rPr>
        <w:t>N</w:t>
      </w:r>
      <w:r w:rsidRPr="00092E43">
        <w:rPr>
          <w:rFonts w:eastAsiaTheme="minorEastAsia"/>
          <w:szCs w:val="24"/>
          <w:vertAlign w:val="subscript"/>
          <w:lang w:val="es-ES_tradnl"/>
        </w:rPr>
        <w:t>0</w:t>
      </w:r>
      <w:r w:rsidRPr="00092E43">
        <w:rPr>
          <w:rFonts w:eastAsiaTheme="minorEastAsia"/>
          <w:szCs w:val="24"/>
          <w:lang w:val="es-ES_tradnl"/>
        </w:rPr>
        <w:t> = 8,3</w:t>
      </w:r>
      <w:r w:rsidR="00055C91">
        <w:rPr>
          <w:rFonts w:eastAsiaTheme="minorEastAsia"/>
          <w:szCs w:val="24"/>
          <w:lang w:val="es-ES_tradnl"/>
        </w:rPr>
        <w:t> </w:t>
      </w:r>
      <w:r w:rsidRPr="00092E43">
        <w:rPr>
          <w:rFonts w:eastAsiaTheme="minorEastAsia"/>
          <w:szCs w:val="24"/>
          <w:lang w:val="es-ES_tradnl"/>
        </w:rPr>
        <w:t>dB en el detector binario del ARGOS si se tiene en cuenta la forma de onda de la baliza y las diversas pérdidas existentes.</w:t>
      </w:r>
    </w:p>
    <w:p w:rsidR="009F0FAC" w:rsidRPr="00092E43" w:rsidRDefault="009F0FAC" w:rsidP="009F0FAC">
      <w:pPr>
        <w:rPr>
          <w:rFonts w:eastAsiaTheme="minorEastAsia"/>
          <w:szCs w:val="24"/>
          <w:lang w:val="es-ES_tradnl"/>
        </w:rPr>
      </w:pPr>
      <w:r w:rsidRPr="00092E43">
        <w:rPr>
          <w:rFonts w:eastAsiaTheme="minorEastAsia"/>
          <w:szCs w:val="24"/>
          <w:lang w:val="es-ES_tradnl"/>
        </w:rPr>
        <w:t>Por lo tanto, para conseguir una BER de 2 </w:t>
      </w:r>
      <w:r w:rsidRPr="00092E43">
        <w:rPr>
          <w:rFonts w:eastAsiaTheme="minorEastAsia"/>
          <w:lang w:val="es-ES_tradnl"/>
        </w:rPr>
        <w:t>×</w:t>
      </w:r>
      <w:r w:rsidRPr="00092E43">
        <w:rPr>
          <w:rFonts w:eastAsiaTheme="minorEastAsia"/>
          <w:szCs w:val="24"/>
          <w:lang w:val="es-ES_tradnl"/>
        </w:rPr>
        <w:t> 10</w:t>
      </w:r>
      <w:r w:rsidRPr="00092E43">
        <w:rPr>
          <w:rFonts w:eastAsiaTheme="minorEastAsia"/>
          <w:szCs w:val="24"/>
          <w:vertAlign w:val="superscript"/>
          <w:lang w:val="es-ES_tradnl"/>
        </w:rPr>
        <w:t>–4</w:t>
      </w:r>
      <w:r w:rsidRPr="00092E43">
        <w:rPr>
          <w:rFonts w:eastAsiaTheme="minorEastAsia"/>
          <w:szCs w:val="24"/>
          <w:lang w:val="es-ES_tradnl"/>
        </w:rPr>
        <w:t xml:space="preserve"> que corresponde a una mínima </w:t>
      </w:r>
      <w:r w:rsidRPr="00092E43">
        <w:rPr>
          <w:rFonts w:eastAsiaTheme="minorEastAsia"/>
          <w:i/>
          <w:iCs/>
          <w:szCs w:val="24"/>
          <w:lang w:val="es-ES_tradnl"/>
        </w:rPr>
        <w:t>E</w:t>
      </w:r>
      <w:r w:rsidRPr="00092E43">
        <w:rPr>
          <w:rFonts w:eastAsiaTheme="minorEastAsia"/>
          <w:i/>
          <w:iCs/>
          <w:szCs w:val="24"/>
          <w:vertAlign w:val="subscript"/>
          <w:lang w:val="es-ES_tradnl"/>
        </w:rPr>
        <w:t>b</w:t>
      </w:r>
      <w:r w:rsidRPr="00092E43">
        <w:rPr>
          <w:rFonts w:ascii="Tms Rmn" w:eastAsiaTheme="minorEastAsia" w:hAnsi="Tms Rmn" w:cs="Tms Rmn"/>
          <w:sz w:val="4"/>
          <w:szCs w:val="4"/>
          <w:lang w:val="es-ES_tradnl"/>
        </w:rPr>
        <w:t> </w:t>
      </w:r>
      <w:r w:rsidRPr="00092E43">
        <w:rPr>
          <w:rFonts w:eastAsiaTheme="minorEastAsia"/>
          <w:szCs w:val="24"/>
          <w:lang w:val="es-ES_tradnl"/>
        </w:rPr>
        <w:t>/</w:t>
      </w:r>
      <w:r w:rsidRPr="00092E43">
        <w:rPr>
          <w:rFonts w:ascii="Tms Rmn" w:eastAsiaTheme="minorEastAsia" w:hAnsi="Tms Rmn" w:cs="Tms Rmn"/>
          <w:sz w:val="4"/>
          <w:szCs w:val="4"/>
          <w:lang w:val="es-ES_tradnl"/>
        </w:rPr>
        <w:t> </w:t>
      </w:r>
      <w:r w:rsidRPr="00092E43">
        <w:rPr>
          <w:rFonts w:eastAsiaTheme="minorEastAsia"/>
          <w:i/>
          <w:iCs/>
          <w:szCs w:val="24"/>
          <w:lang w:val="es-ES_tradnl"/>
        </w:rPr>
        <w:t>N</w:t>
      </w:r>
      <w:r w:rsidRPr="00092E43">
        <w:rPr>
          <w:rFonts w:eastAsiaTheme="minorEastAsia"/>
          <w:szCs w:val="24"/>
          <w:vertAlign w:val="subscript"/>
          <w:lang w:val="es-ES_tradnl"/>
        </w:rPr>
        <w:t>0</w:t>
      </w:r>
      <w:r w:rsidRPr="00092E43">
        <w:rPr>
          <w:rFonts w:eastAsiaTheme="minorEastAsia"/>
          <w:szCs w:val="24"/>
          <w:lang w:val="es-ES_tradnl"/>
        </w:rPr>
        <w:t xml:space="preserve"> de 8 dB, la degradación máxima aceptable es de 0,3 dB.</w:t>
      </w:r>
    </w:p>
    <w:p w:rsidR="009F0FAC" w:rsidRPr="00092E43" w:rsidRDefault="009F0FAC" w:rsidP="009F0FAC">
      <w:pPr>
        <w:rPr>
          <w:rFonts w:eastAsiaTheme="minorEastAsia"/>
          <w:szCs w:val="24"/>
          <w:lang w:val="es-ES_tradnl"/>
        </w:rPr>
      </w:pPr>
      <w:r w:rsidRPr="00092E43">
        <w:rPr>
          <w:rFonts w:eastAsiaTheme="minorEastAsia"/>
          <w:szCs w:val="24"/>
          <w:lang w:val="es-ES_tradnl"/>
        </w:rPr>
        <w:t>A continuación se calcula el ruido aditivo correspondiente a una degradación de 0,3</w:t>
      </w:r>
      <w:r>
        <w:rPr>
          <w:rFonts w:eastAsiaTheme="minorEastAsia"/>
          <w:szCs w:val="24"/>
          <w:lang w:val="es-ES_tradnl"/>
        </w:rPr>
        <w:t> </w:t>
      </w:r>
      <w:r w:rsidRPr="00092E43">
        <w:rPr>
          <w:rFonts w:eastAsiaTheme="minorEastAsia"/>
          <w:szCs w:val="24"/>
          <w:lang w:val="es-ES_tradnl"/>
        </w:rPr>
        <w:t>dB para la </w:t>
      </w:r>
      <w:r w:rsidRPr="00092E43">
        <w:rPr>
          <w:rFonts w:eastAsiaTheme="minorEastAsia"/>
          <w:i/>
          <w:iCs/>
          <w:szCs w:val="24"/>
          <w:lang w:val="es-ES_tradnl"/>
        </w:rPr>
        <w:t>C</w:t>
      </w:r>
      <w:r w:rsidRPr="00092E43">
        <w:rPr>
          <w:rFonts w:eastAsiaTheme="minorEastAsia"/>
          <w:szCs w:val="24"/>
          <w:lang w:val="es-ES_tradnl"/>
        </w:rPr>
        <w:t>/</w:t>
      </w:r>
      <w:r w:rsidRPr="00092E43">
        <w:rPr>
          <w:rFonts w:eastAsiaTheme="minorEastAsia"/>
          <w:i/>
          <w:iCs/>
          <w:szCs w:val="24"/>
          <w:lang w:val="es-ES_tradnl"/>
        </w:rPr>
        <w:t>N</w:t>
      </w:r>
      <w:r w:rsidRPr="00092E43">
        <w:rPr>
          <w:rFonts w:eastAsiaTheme="minorEastAsia"/>
          <w:szCs w:val="24"/>
          <w:vertAlign w:val="subscript"/>
          <w:lang w:val="es-ES_tradnl"/>
        </w:rPr>
        <w:t>0</w:t>
      </w:r>
      <w:r w:rsidRPr="00092E43">
        <w:rPr>
          <w:rFonts w:eastAsiaTheme="minorEastAsia"/>
          <w:szCs w:val="24"/>
          <w:lang w:val="es-ES_tradnl"/>
        </w:rPr>
        <w:t>.</w:t>
      </w:r>
    </w:p>
    <w:p w:rsidR="009F0FAC" w:rsidRPr="00092E43" w:rsidRDefault="009F0FAC" w:rsidP="009F0FAC">
      <w:pPr>
        <w:rPr>
          <w:rFonts w:eastAsiaTheme="minorEastAsia"/>
          <w:szCs w:val="24"/>
          <w:lang w:val="es-ES_tradnl"/>
        </w:rPr>
      </w:pPr>
      <w:r w:rsidRPr="00092E43">
        <w:rPr>
          <w:rFonts w:eastAsiaTheme="minorEastAsia"/>
          <w:szCs w:val="24"/>
          <w:lang w:val="es-ES_tradnl"/>
        </w:rPr>
        <w:t xml:space="preserve">Sea </w:t>
      </w:r>
      <w:r w:rsidRPr="00092E43">
        <w:rPr>
          <w:rFonts w:eastAsiaTheme="minorEastAsia"/>
          <w:i/>
          <w:iCs/>
          <w:szCs w:val="24"/>
          <w:lang w:val="es-ES_tradnl"/>
        </w:rPr>
        <w:t>I</w:t>
      </w:r>
      <w:r w:rsidRPr="00092E43">
        <w:rPr>
          <w:rFonts w:eastAsiaTheme="minorEastAsia"/>
          <w:szCs w:val="24"/>
          <w:vertAlign w:val="subscript"/>
          <w:lang w:val="es-ES_tradnl"/>
        </w:rPr>
        <w:t>0</w:t>
      </w:r>
      <w:r w:rsidRPr="00092E43">
        <w:rPr>
          <w:rFonts w:eastAsiaTheme="minorEastAsia"/>
          <w:szCs w:val="24"/>
          <w:lang w:val="es-ES_tradnl"/>
        </w:rPr>
        <w:t xml:space="preserve"> la densidad de potencia de ruido aditiva por tanto el ruido inicial </w:t>
      </w:r>
      <w:r w:rsidRPr="00092E43">
        <w:rPr>
          <w:rFonts w:eastAsiaTheme="minorEastAsia"/>
          <w:i/>
          <w:iCs/>
          <w:szCs w:val="24"/>
          <w:lang w:val="es-ES_tradnl"/>
        </w:rPr>
        <w:t>N</w:t>
      </w:r>
      <w:r w:rsidRPr="00092E43">
        <w:rPr>
          <w:rFonts w:eastAsiaTheme="minorEastAsia"/>
          <w:szCs w:val="24"/>
          <w:vertAlign w:val="subscript"/>
          <w:lang w:val="es-ES_tradnl"/>
        </w:rPr>
        <w:t>0</w:t>
      </w:r>
      <w:r w:rsidRPr="00092E43">
        <w:rPr>
          <w:rFonts w:eastAsiaTheme="minorEastAsia"/>
          <w:szCs w:val="24"/>
          <w:lang w:val="es-ES_tradnl"/>
        </w:rPr>
        <w:t xml:space="preserve"> pasa a ser </w:t>
      </w:r>
      <w:r w:rsidRPr="00092E43">
        <w:rPr>
          <w:rFonts w:eastAsiaTheme="minorEastAsia"/>
          <w:i/>
          <w:iCs/>
          <w:szCs w:val="24"/>
          <w:lang w:val="es-ES_tradnl"/>
        </w:rPr>
        <w:t>N</w:t>
      </w:r>
      <w:r w:rsidRPr="00092E43">
        <w:rPr>
          <w:rFonts w:eastAsiaTheme="minorEastAsia"/>
          <w:szCs w:val="24"/>
          <w:vertAlign w:val="subscript"/>
          <w:lang w:val="es-ES_tradnl"/>
        </w:rPr>
        <w:t>0</w:t>
      </w:r>
      <w:r w:rsidRPr="00092E43">
        <w:rPr>
          <w:rFonts w:eastAsiaTheme="minorEastAsia"/>
          <w:szCs w:val="24"/>
          <w:lang w:val="es-ES_tradnl"/>
        </w:rPr>
        <w:t> + </w:t>
      </w:r>
      <w:r w:rsidRPr="00092E43">
        <w:rPr>
          <w:rFonts w:eastAsiaTheme="minorEastAsia"/>
          <w:i/>
          <w:iCs/>
          <w:szCs w:val="24"/>
          <w:lang w:val="es-ES_tradnl"/>
        </w:rPr>
        <w:t>I</w:t>
      </w:r>
      <w:r w:rsidRPr="00092E43">
        <w:rPr>
          <w:rFonts w:eastAsiaTheme="minorEastAsia"/>
          <w:szCs w:val="24"/>
          <w:vertAlign w:val="subscript"/>
          <w:lang w:val="es-ES_tradnl"/>
        </w:rPr>
        <w:t>0</w:t>
      </w:r>
      <w:r w:rsidRPr="00092E43">
        <w:rPr>
          <w:rFonts w:eastAsiaTheme="minorEastAsia"/>
          <w:szCs w:val="24"/>
          <w:lang w:val="es-ES_tradnl"/>
        </w:rPr>
        <w:t>.</w:t>
      </w:r>
    </w:p>
    <w:p w:rsidR="009F0FAC" w:rsidRPr="00092E43" w:rsidRDefault="009F0FAC" w:rsidP="009F0FAC">
      <w:pPr>
        <w:rPr>
          <w:rFonts w:eastAsiaTheme="minorEastAsia"/>
          <w:szCs w:val="24"/>
          <w:lang w:val="es-ES_tradnl"/>
        </w:rPr>
      </w:pPr>
      <w:r w:rsidRPr="00092E43">
        <w:rPr>
          <w:rFonts w:eastAsiaTheme="minorEastAsia"/>
          <w:szCs w:val="24"/>
          <w:lang w:val="es-ES_tradnl"/>
        </w:rPr>
        <w:t xml:space="preserve">La relación señal/ruido </w:t>
      </w:r>
      <w:r w:rsidRPr="00092E43">
        <w:rPr>
          <w:rFonts w:eastAsiaTheme="minorEastAsia"/>
          <w:i/>
          <w:iCs/>
          <w:szCs w:val="24"/>
          <w:lang w:val="es-ES_tradnl"/>
        </w:rPr>
        <w:t>C</w:t>
      </w:r>
      <w:r w:rsidRPr="00092E43">
        <w:rPr>
          <w:rFonts w:eastAsiaTheme="minorEastAsia"/>
          <w:szCs w:val="24"/>
          <w:lang w:val="es-ES_tradnl"/>
        </w:rPr>
        <w:t>/</w:t>
      </w:r>
      <w:r w:rsidRPr="00092E43">
        <w:rPr>
          <w:rFonts w:eastAsiaTheme="minorEastAsia"/>
          <w:i/>
          <w:iCs/>
          <w:szCs w:val="24"/>
          <w:lang w:val="es-ES_tradnl"/>
        </w:rPr>
        <w:t>N</w:t>
      </w:r>
      <w:r w:rsidRPr="00092E43">
        <w:rPr>
          <w:rFonts w:eastAsiaTheme="minorEastAsia"/>
          <w:szCs w:val="24"/>
          <w:vertAlign w:val="subscript"/>
          <w:lang w:val="es-ES_tradnl"/>
        </w:rPr>
        <w:t>0</w:t>
      </w:r>
      <w:r w:rsidRPr="00092E43">
        <w:rPr>
          <w:rFonts w:eastAsiaTheme="minorEastAsia"/>
          <w:szCs w:val="24"/>
          <w:lang w:val="es-ES_tradnl"/>
        </w:rPr>
        <w:t xml:space="preserve"> pasa a ser </w:t>
      </w:r>
      <w:r w:rsidRPr="00092E43">
        <w:rPr>
          <w:rFonts w:eastAsiaTheme="minorEastAsia"/>
          <w:i/>
          <w:iCs/>
          <w:szCs w:val="24"/>
          <w:lang w:val="es-ES_tradnl"/>
        </w:rPr>
        <w:t>C</w:t>
      </w:r>
      <w:proofErr w:type="gramStart"/>
      <w:r w:rsidRPr="00092E43">
        <w:rPr>
          <w:rFonts w:eastAsiaTheme="minorEastAsia"/>
          <w:szCs w:val="24"/>
          <w:lang w:val="es-ES_tradnl"/>
        </w:rPr>
        <w:t>/(</w:t>
      </w:r>
      <w:proofErr w:type="gramEnd"/>
      <w:r w:rsidRPr="00092E43">
        <w:rPr>
          <w:rFonts w:eastAsiaTheme="minorEastAsia"/>
          <w:i/>
          <w:iCs/>
          <w:szCs w:val="24"/>
          <w:lang w:val="es-ES_tradnl"/>
        </w:rPr>
        <w:t>N</w:t>
      </w:r>
      <w:r w:rsidRPr="00092E43">
        <w:rPr>
          <w:rFonts w:eastAsiaTheme="minorEastAsia"/>
          <w:szCs w:val="24"/>
          <w:vertAlign w:val="subscript"/>
          <w:lang w:val="es-ES_tradnl"/>
        </w:rPr>
        <w:t>0</w:t>
      </w:r>
      <w:r w:rsidRPr="00092E43">
        <w:rPr>
          <w:rFonts w:eastAsiaTheme="minorEastAsia"/>
          <w:szCs w:val="24"/>
          <w:lang w:val="es-ES_tradnl"/>
        </w:rPr>
        <w:t> + </w:t>
      </w:r>
      <w:r w:rsidRPr="00092E43">
        <w:rPr>
          <w:rFonts w:eastAsiaTheme="minorEastAsia"/>
          <w:i/>
          <w:iCs/>
          <w:szCs w:val="24"/>
          <w:lang w:val="es-ES_tradnl"/>
        </w:rPr>
        <w:t>I</w:t>
      </w:r>
      <w:r w:rsidRPr="00092E43">
        <w:rPr>
          <w:rFonts w:eastAsiaTheme="minorEastAsia"/>
          <w:szCs w:val="24"/>
          <w:vertAlign w:val="subscript"/>
          <w:lang w:val="es-ES_tradnl"/>
        </w:rPr>
        <w:t>0</w:t>
      </w:r>
      <w:r w:rsidRPr="00092E43">
        <w:rPr>
          <w:rFonts w:eastAsiaTheme="minorEastAsia"/>
          <w:szCs w:val="24"/>
          <w:lang w:val="es-ES_tradnl"/>
        </w:rPr>
        <w:t>).</w:t>
      </w:r>
    </w:p>
    <w:p w:rsidR="009F0FAC" w:rsidRPr="00092E43" w:rsidRDefault="009F0FAC" w:rsidP="00D20713">
      <w:pPr>
        <w:rPr>
          <w:rFonts w:eastAsiaTheme="minorEastAsia"/>
          <w:szCs w:val="24"/>
          <w:lang w:val="es-ES_tradnl"/>
        </w:rPr>
      </w:pPr>
      <w:r w:rsidRPr="00092E43">
        <w:rPr>
          <w:rFonts w:eastAsiaTheme="minorEastAsia"/>
          <w:szCs w:val="24"/>
          <w:lang w:val="es-ES_tradnl"/>
        </w:rPr>
        <w:t>La degradación es de 0,3 dB = 10 log ((</w:t>
      </w:r>
      <w:r w:rsidRPr="00092E43">
        <w:rPr>
          <w:rFonts w:eastAsiaTheme="minorEastAsia"/>
          <w:i/>
          <w:iCs/>
          <w:szCs w:val="24"/>
          <w:lang w:val="es-ES_tradnl"/>
        </w:rPr>
        <w:t>C</w:t>
      </w:r>
      <w:r w:rsidRPr="00092E43">
        <w:rPr>
          <w:rFonts w:eastAsiaTheme="minorEastAsia"/>
          <w:szCs w:val="24"/>
          <w:lang w:val="es-ES_tradnl"/>
        </w:rPr>
        <w:t>/</w:t>
      </w:r>
      <w:r w:rsidRPr="00092E43">
        <w:rPr>
          <w:rFonts w:eastAsiaTheme="minorEastAsia"/>
          <w:i/>
          <w:iCs/>
          <w:szCs w:val="24"/>
          <w:lang w:val="es-ES_tradnl"/>
        </w:rPr>
        <w:t>N</w:t>
      </w:r>
      <w:r w:rsidRPr="00092E43">
        <w:rPr>
          <w:rFonts w:eastAsiaTheme="minorEastAsia"/>
          <w:szCs w:val="24"/>
          <w:vertAlign w:val="subscript"/>
          <w:lang w:val="es-ES_tradnl"/>
        </w:rPr>
        <w:t>0</w:t>
      </w:r>
      <w:r w:rsidRPr="00092E43">
        <w:rPr>
          <w:rFonts w:eastAsiaTheme="minorEastAsia"/>
          <w:szCs w:val="24"/>
          <w:lang w:val="es-ES_tradnl"/>
        </w:rPr>
        <w:t>)</w:t>
      </w:r>
      <w:proofErr w:type="gramStart"/>
      <w:r w:rsidRPr="00092E43">
        <w:rPr>
          <w:rFonts w:eastAsiaTheme="minorEastAsia"/>
          <w:szCs w:val="24"/>
          <w:lang w:val="es-ES_tradnl"/>
        </w:rPr>
        <w:t>/(</w:t>
      </w:r>
      <w:proofErr w:type="gramEnd"/>
      <w:r w:rsidRPr="00092E43">
        <w:rPr>
          <w:rFonts w:eastAsiaTheme="minorEastAsia"/>
          <w:i/>
          <w:iCs/>
          <w:szCs w:val="24"/>
          <w:lang w:val="es-ES_tradnl"/>
        </w:rPr>
        <w:t>C</w:t>
      </w:r>
      <w:r w:rsidRPr="00092E43">
        <w:rPr>
          <w:rFonts w:eastAsiaTheme="minorEastAsia"/>
          <w:szCs w:val="24"/>
          <w:lang w:val="es-ES_tradnl"/>
        </w:rPr>
        <w:t>/(</w:t>
      </w:r>
      <w:r w:rsidRPr="00092E43">
        <w:rPr>
          <w:rFonts w:eastAsiaTheme="minorEastAsia"/>
          <w:i/>
          <w:iCs/>
          <w:szCs w:val="24"/>
          <w:lang w:val="es-ES_tradnl"/>
        </w:rPr>
        <w:t>N</w:t>
      </w:r>
      <w:r w:rsidRPr="00092E43">
        <w:rPr>
          <w:rFonts w:eastAsiaTheme="minorEastAsia"/>
          <w:szCs w:val="24"/>
          <w:vertAlign w:val="subscript"/>
          <w:lang w:val="es-ES_tradnl"/>
        </w:rPr>
        <w:t>0</w:t>
      </w:r>
      <w:r w:rsidRPr="00092E43">
        <w:rPr>
          <w:rFonts w:eastAsiaTheme="minorEastAsia"/>
          <w:szCs w:val="24"/>
          <w:lang w:val="es-ES_tradnl"/>
        </w:rPr>
        <w:t> + </w:t>
      </w:r>
      <w:r w:rsidRPr="00092E43">
        <w:rPr>
          <w:rFonts w:eastAsiaTheme="minorEastAsia"/>
          <w:i/>
          <w:iCs/>
          <w:szCs w:val="24"/>
          <w:lang w:val="es-ES_tradnl"/>
        </w:rPr>
        <w:t>I</w:t>
      </w:r>
      <w:r w:rsidRPr="00092E43">
        <w:rPr>
          <w:rFonts w:eastAsiaTheme="minorEastAsia"/>
          <w:szCs w:val="24"/>
          <w:vertAlign w:val="subscript"/>
          <w:lang w:val="es-ES_tradnl"/>
        </w:rPr>
        <w:t>0</w:t>
      </w:r>
      <w:r w:rsidRPr="00092E43">
        <w:rPr>
          <w:rFonts w:eastAsiaTheme="minorEastAsia"/>
          <w:szCs w:val="24"/>
          <w:lang w:val="es-ES_tradnl"/>
        </w:rPr>
        <w:t xml:space="preserve">))), en consecuencia, </w:t>
      </w:r>
      <w:r w:rsidRPr="00092E43">
        <w:rPr>
          <w:rFonts w:eastAsiaTheme="minorEastAsia"/>
          <w:i/>
          <w:iCs/>
          <w:szCs w:val="24"/>
          <w:lang w:val="es-ES_tradnl"/>
        </w:rPr>
        <w:t>I</w:t>
      </w:r>
      <w:r w:rsidRPr="00092E43">
        <w:rPr>
          <w:rFonts w:eastAsiaTheme="minorEastAsia"/>
          <w:szCs w:val="24"/>
          <w:vertAlign w:val="subscript"/>
          <w:lang w:val="es-ES_tradnl"/>
        </w:rPr>
        <w:t>0</w:t>
      </w:r>
      <w:r w:rsidRPr="00092E43">
        <w:rPr>
          <w:rFonts w:ascii="Tms Rmn" w:eastAsiaTheme="minorEastAsia" w:hAnsi="Tms Rmn" w:cs="Tms Rmn"/>
          <w:sz w:val="4"/>
          <w:szCs w:val="4"/>
          <w:lang w:val="es-ES_tradnl"/>
        </w:rPr>
        <w:t> </w:t>
      </w:r>
      <w:r w:rsidRPr="00092E43">
        <w:rPr>
          <w:rFonts w:eastAsiaTheme="minorEastAsia"/>
          <w:szCs w:val="24"/>
          <w:lang w:val="es-ES_tradnl"/>
        </w:rPr>
        <w:t>/</w:t>
      </w:r>
      <w:r w:rsidRPr="00092E43">
        <w:rPr>
          <w:rFonts w:eastAsiaTheme="minorEastAsia"/>
          <w:i/>
          <w:iCs/>
          <w:szCs w:val="24"/>
          <w:lang w:val="es-ES_tradnl"/>
        </w:rPr>
        <w:t>N</w:t>
      </w:r>
      <w:r w:rsidRPr="00092E43">
        <w:rPr>
          <w:rFonts w:eastAsiaTheme="minorEastAsia"/>
          <w:szCs w:val="24"/>
          <w:vertAlign w:val="subscript"/>
          <w:lang w:val="es-ES_tradnl"/>
        </w:rPr>
        <w:t>0</w:t>
      </w:r>
      <w:r w:rsidRPr="00092E43">
        <w:rPr>
          <w:rFonts w:eastAsiaTheme="minorEastAsia"/>
          <w:szCs w:val="24"/>
          <w:lang w:val="es-ES_tradnl"/>
        </w:rPr>
        <w:t xml:space="preserve"> = –11,5 dB e </w:t>
      </w:r>
      <w:r w:rsidRPr="00092E43">
        <w:rPr>
          <w:rFonts w:eastAsiaTheme="minorEastAsia"/>
          <w:i/>
          <w:iCs/>
          <w:szCs w:val="24"/>
          <w:lang w:val="es-ES_tradnl"/>
        </w:rPr>
        <w:t>I</w:t>
      </w:r>
      <w:r w:rsidRPr="00092E43">
        <w:rPr>
          <w:rFonts w:eastAsiaTheme="minorEastAsia"/>
          <w:szCs w:val="24"/>
          <w:vertAlign w:val="subscript"/>
          <w:lang w:val="es-ES_tradnl"/>
        </w:rPr>
        <w:t>0</w:t>
      </w:r>
      <w:r w:rsidRPr="00092E43">
        <w:rPr>
          <w:rFonts w:eastAsiaTheme="minorEastAsia"/>
          <w:szCs w:val="24"/>
          <w:lang w:val="es-ES_tradnl"/>
        </w:rPr>
        <w:t> = –209,3 dB(W/Hz) que corresponde a una temperatura de 86</w:t>
      </w:r>
      <w:r w:rsidR="00BA4B64">
        <w:rPr>
          <w:rFonts w:eastAsiaTheme="minorEastAsia"/>
          <w:szCs w:val="24"/>
          <w:lang w:val="es-ES_tradnl"/>
        </w:rPr>
        <w:t> </w:t>
      </w:r>
      <w:r w:rsidRPr="00092E43">
        <w:rPr>
          <w:rFonts w:eastAsiaTheme="minorEastAsia"/>
          <w:szCs w:val="24"/>
          <w:lang w:val="es-ES_tradnl"/>
        </w:rPr>
        <w:t>K, y por consiguiente a un aumento de la temperatura de ruido del sistema del 7% a la entrada del receptor.</w:t>
      </w:r>
    </w:p>
    <w:p w:rsidR="009F0FAC" w:rsidRPr="00092E43" w:rsidRDefault="009F0FAC" w:rsidP="009F0FAC">
      <w:pPr>
        <w:rPr>
          <w:rFonts w:eastAsiaTheme="minorEastAsia"/>
          <w:szCs w:val="24"/>
          <w:lang w:val="es-ES_tradnl"/>
        </w:rPr>
      </w:pPr>
      <w:r w:rsidRPr="00092E43">
        <w:rPr>
          <w:rFonts w:eastAsiaTheme="minorEastAsia"/>
          <w:szCs w:val="24"/>
          <w:lang w:val="es-ES_tradnl"/>
        </w:rPr>
        <w:t xml:space="preserve">Por lo tanto, el máximo nivel admisible de nivel de densidad de ruido es </w:t>
      </w:r>
      <w:r w:rsidRPr="00092E43">
        <w:rPr>
          <w:rFonts w:eastAsiaTheme="minorEastAsia"/>
          <w:i/>
          <w:iCs/>
          <w:szCs w:val="24"/>
          <w:lang w:val="es-ES_tradnl"/>
        </w:rPr>
        <w:t>I</w:t>
      </w:r>
      <w:r w:rsidRPr="00092E43">
        <w:rPr>
          <w:rFonts w:eastAsiaTheme="minorEastAsia"/>
          <w:szCs w:val="24"/>
          <w:vertAlign w:val="subscript"/>
          <w:lang w:val="es-ES_tradnl"/>
        </w:rPr>
        <w:t>0</w:t>
      </w:r>
      <w:r w:rsidRPr="00092E43">
        <w:rPr>
          <w:rFonts w:eastAsiaTheme="minorEastAsia"/>
          <w:szCs w:val="24"/>
          <w:lang w:val="es-ES_tradnl"/>
        </w:rPr>
        <w:t> = </w:t>
      </w:r>
      <w:r w:rsidRPr="00092E43">
        <w:rPr>
          <w:rFonts w:eastAsiaTheme="minorEastAsia"/>
          <w:lang w:val="es-ES_tradnl"/>
        </w:rPr>
        <w:t>–</w:t>
      </w:r>
      <w:r w:rsidRPr="00092E43">
        <w:rPr>
          <w:rFonts w:eastAsiaTheme="minorEastAsia"/>
          <w:szCs w:val="24"/>
          <w:lang w:val="es-ES_tradnl"/>
        </w:rPr>
        <w:t>209,3 </w:t>
      </w:r>
      <w:proofErr w:type="gramStart"/>
      <w:r w:rsidRPr="00092E43">
        <w:rPr>
          <w:rFonts w:eastAsiaTheme="minorEastAsia"/>
          <w:szCs w:val="24"/>
          <w:lang w:val="es-ES_tradnl"/>
        </w:rPr>
        <w:t>dB(</w:t>
      </w:r>
      <w:proofErr w:type="gramEnd"/>
      <w:r w:rsidRPr="00092E43">
        <w:rPr>
          <w:rFonts w:eastAsiaTheme="minorEastAsia"/>
          <w:szCs w:val="24"/>
          <w:lang w:val="es-ES_tradnl"/>
        </w:rPr>
        <w:t>W/Hz) (calculado para el punto B de la Fig. 1).</w:t>
      </w:r>
    </w:p>
    <w:p w:rsidR="009F0FAC" w:rsidRDefault="009F0FAC" w:rsidP="009F0FAC">
      <w:pPr>
        <w:rPr>
          <w:rFonts w:eastAsiaTheme="minorEastAsia"/>
          <w:szCs w:val="24"/>
          <w:lang w:val="es-ES_tradnl"/>
        </w:rPr>
      </w:pPr>
      <w:r w:rsidRPr="00092E43">
        <w:rPr>
          <w:rFonts w:eastAsiaTheme="minorEastAsia"/>
          <w:szCs w:val="24"/>
          <w:lang w:val="es-ES_tradnl"/>
        </w:rPr>
        <w:t xml:space="preserve">Tal como se muestra en la Fig. 1, la densidad de ruido, </w:t>
      </w:r>
      <w:r w:rsidRPr="00092E43">
        <w:rPr>
          <w:rFonts w:eastAsiaTheme="minorEastAsia"/>
          <w:i/>
          <w:iCs/>
          <w:szCs w:val="24"/>
          <w:lang w:val="es-ES_tradnl"/>
        </w:rPr>
        <w:t>I</w:t>
      </w:r>
      <w:r w:rsidRPr="00092E43">
        <w:rPr>
          <w:rFonts w:eastAsiaTheme="minorEastAsia"/>
          <w:szCs w:val="24"/>
          <w:vertAlign w:val="subscript"/>
          <w:lang w:val="es-ES_tradnl"/>
        </w:rPr>
        <w:t>0</w:t>
      </w:r>
      <w:r w:rsidRPr="00092E43">
        <w:rPr>
          <w:rFonts w:eastAsiaTheme="minorEastAsia"/>
          <w:szCs w:val="24"/>
          <w:lang w:val="es-ES_tradnl"/>
        </w:rPr>
        <w:t xml:space="preserve">, tiene en cuenta la atenuación y la ganancia de la antena. Dado que se necesita la defp, es preciso transformar esta cifra en </w:t>
      </w:r>
      <w:proofErr w:type="gramStart"/>
      <w:r w:rsidRPr="00092E43">
        <w:rPr>
          <w:rFonts w:eastAsiaTheme="minorEastAsia"/>
          <w:szCs w:val="24"/>
          <w:lang w:val="es-ES_tradnl"/>
        </w:rPr>
        <w:t>dB(</w:t>
      </w:r>
      <w:proofErr w:type="gramEnd"/>
      <w:r w:rsidRPr="00092E43">
        <w:rPr>
          <w:rFonts w:eastAsiaTheme="minorEastAsia"/>
          <w:szCs w:val="24"/>
          <w:lang w:val="es-ES_tradnl"/>
        </w:rPr>
        <w:t>W/(m</w:t>
      </w:r>
      <w:r w:rsidRPr="00092E43">
        <w:rPr>
          <w:rFonts w:eastAsiaTheme="minorEastAsia"/>
          <w:szCs w:val="24"/>
          <w:vertAlign w:val="superscript"/>
          <w:lang w:val="es-ES_tradnl"/>
        </w:rPr>
        <w:t>2</w:t>
      </w:r>
      <w:r w:rsidRPr="00092E43">
        <w:rPr>
          <w:rFonts w:eastAsiaTheme="minorEastAsia"/>
          <w:szCs w:val="24"/>
          <w:lang w:val="es-ES_tradnl"/>
        </w:rPr>
        <w:t> · Hz)). El área de la superficie equivalente de una antena con una ganancia </w:t>
      </w:r>
      <w:r w:rsidRPr="00092E43">
        <w:rPr>
          <w:rFonts w:eastAsiaTheme="minorEastAsia"/>
          <w:i/>
          <w:iCs/>
          <w:szCs w:val="24"/>
          <w:lang w:val="es-ES_tradnl"/>
        </w:rPr>
        <w:t>G</w:t>
      </w:r>
      <w:r w:rsidRPr="00092E43">
        <w:rPr>
          <w:rFonts w:eastAsiaTheme="minorEastAsia"/>
          <w:szCs w:val="24"/>
          <w:lang w:val="es-ES_tradnl"/>
        </w:rPr>
        <w:t xml:space="preserve"> es </w:t>
      </w:r>
      <w:r w:rsidRPr="00092E43">
        <w:rPr>
          <w:rFonts w:eastAsiaTheme="minorEastAsia"/>
          <w:position w:val="-24"/>
          <w:szCs w:val="24"/>
          <w:lang w:val="es-ES_tradnl"/>
        </w:rPr>
        <w:object w:dxaOrig="900" w:dyaOrig="700">
          <v:shape id="_x0000_i1026" type="#_x0000_t75" style="width:45pt;height:34.5pt" o:ole="">
            <v:imagedata r:id="rId15" o:title=""/>
          </v:shape>
          <o:OLEObject Type="Embed" ProgID="Equation.3" ShapeID="_x0000_i1026" DrawAspect="Content" ObjectID="_1598445725" r:id="rId16"/>
        </w:object>
      </w:r>
      <w:r w:rsidRPr="00092E43">
        <w:rPr>
          <w:rFonts w:eastAsiaTheme="minorEastAsia"/>
          <w:szCs w:val="24"/>
          <w:lang w:val="es-ES_tradnl"/>
        </w:rPr>
        <w:t>. Por tanto, la defp correspondiente es –209,3 + 1,6 (pérdidas) − 10 log</w:t>
      </w:r>
      <w:r w:rsidRPr="00092E43">
        <w:rPr>
          <w:rFonts w:eastAsiaTheme="minorEastAsia"/>
          <w:szCs w:val="24"/>
          <w:vertAlign w:val="subscript"/>
          <w:lang w:val="es-ES_tradnl"/>
        </w:rPr>
        <w:t>10</w:t>
      </w:r>
      <w:r w:rsidRPr="00092E43">
        <w:rPr>
          <w:i/>
          <w:iCs/>
          <w:lang w:val="es-ES_tradnl"/>
        </w:rPr>
        <w:t xml:space="preserve"> </w:t>
      </w:r>
      <w:r>
        <w:rPr>
          <w:i/>
          <w:iCs/>
          <w:lang w:val="es-ES_tradnl"/>
        </w:rPr>
        <w:fldChar w:fldCharType="begin"/>
      </w:r>
      <w:r>
        <w:rPr>
          <w:i/>
          <w:iCs/>
          <w:lang w:val="es-ES_tradnl"/>
        </w:rPr>
        <w:instrText xml:space="preserve"> EQ  </w:instrText>
      </w:r>
      <w:r w:rsidRPr="00092E43">
        <w:rPr>
          <w:i/>
          <w:iCs/>
          <w:lang w:val="es-ES_tradnl"/>
        </w:rPr>
        <w:instrText>S</w:instrText>
      </w:r>
      <w:r w:rsidRPr="00092E43">
        <w:rPr>
          <w:lang w:val="es-ES_tradnl"/>
        </w:rPr>
        <w:instrText> = –197,9 dB(W/(m2 · Hz))</w:instrText>
      </w:r>
      <w:r>
        <w:rPr>
          <w:i/>
          <w:iCs/>
          <w:lang w:val="es-ES_tradnl"/>
        </w:rPr>
        <w:fldChar w:fldCharType="end"/>
      </w:r>
      <w:r w:rsidRPr="00092E43">
        <w:rPr>
          <w:rFonts w:eastAsiaTheme="minorEastAsia"/>
          <w:szCs w:val="24"/>
          <w:lang w:val="es-ES_tradnl"/>
        </w:rPr>
        <w:t>, teniendo en cuenta el ángulo nadir más elevado del satélite.</w:t>
      </w:r>
    </w:p>
    <w:p w:rsidR="00BA4B64" w:rsidRDefault="00BA4B64" w:rsidP="009F0FAC">
      <w:pPr>
        <w:rPr>
          <w:rFonts w:eastAsiaTheme="minorEastAsia"/>
          <w:szCs w:val="24"/>
          <w:lang w:val="es-ES_tradnl"/>
        </w:rPr>
      </w:pPr>
    </w:p>
    <w:p w:rsidR="00BA4B64" w:rsidRPr="00092E43" w:rsidRDefault="00BA4B64" w:rsidP="00021719">
      <w:pPr>
        <w:spacing w:before="0"/>
        <w:rPr>
          <w:rFonts w:eastAsiaTheme="minorEastAsia"/>
          <w:lang w:val="es-ES_tradnl"/>
        </w:rPr>
      </w:pPr>
    </w:p>
    <w:p w:rsidR="009F0FAC" w:rsidRPr="00092E43" w:rsidRDefault="009F0FAC" w:rsidP="009F0FAC">
      <w:pPr>
        <w:pStyle w:val="AnnexNoTitle"/>
        <w:rPr>
          <w:lang w:val="es-ES_tradnl"/>
        </w:rPr>
      </w:pPr>
      <w:r w:rsidRPr="00092E43">
        <w:rPr>
          <w:lang w:val="es-ES_tradnl"/>
        </w:rPr>
        <w:t>Anexo 2</w:t>
      </w:r>
      <w:r w:rsidRPr="00092E43">
        <w:rPr>
          <w:lang w:val="es-ES_tradnl"/>
        </w:rPr>
        <w:br/>
      </w:r>
      <w:r w:rsidRPr="00092E43">
        <w:rPr>
          <w:lang w:val="es-ES_tradnl"/>
        </w:rPr>
        <w:br/>
        <w:t>Criterios de protección de los instrumentos DCS no OSG</w:t>
      </w:r>
      <w:r>
        <w:rPr>
          <w:lang w:val="es-ES_tradnl"/>
        </w:rPr>
        <w:br/>
      </w:r>
      <w:r w:rsidRPr="00092E43">
        <w:rPr>
          <w:lang w:val="es-ES_tradnl"/>
        </w:rPr>
        <w:t>en la banda 401</w:t>
      </w:r>
      <w:r w:rsidRPr="00092E43">
        <w:rPr>
          <w:lang w:val="es-ES_tradnl"/>
        </w:rPr>
        <w:noBreakHyphen/>
        <w:t>401,69 MHz contra emisiones</w:t>
      </w:r>
      <w:r>
        <w:rPr>
          <w:lang w:val="es-ES_tradnl"/>
        </w:rPr>
        <w:br/>
      </w:r>
      <w:r w:rsidRPr="00092E43">
        <w:rPr>
          <w:lang w:val="es-ES_tradnl"/>
        </w:rPr>
        <w:t>de interferencia de raya espectral</w:t>
      </w:r>
    </w:p>
    <w:p w:rsidR="009F0FAC" w:rsidRPr="00092E43" w:rsidRDefault="009F0FAC" w:rsidP="009F0FAC">
      <w:pPr>
        <w:pStyle w:val="Heading1"/>
        <w:rPr>
          <w:lang w:val="es-ES_tradnl"/>
        </w:rPr>
      </w:pPr>
      <w:r w:rsidRPr="00092E43">
        <w:rPr>
          <w:lang w:val="es-ES_tradnl"/>
        </w:rPr>
        <w:t>1</w:t>
      </w:r>
      <w:r w:rsidRPr="00092E43">
        <w:rPr>
          <w:lang w:val="es-ES_tradnl"/>
        </w:rPr>
        <w:tab/>
        <w:t>Introducción</w:t>
      </w:r>
    </w:p>
    <w:p w:rsidR="009F0FAC" w:rsidRPr="00092E43" w:rsidRDefault="009F0FAC" w:rsidP="009F0FAC">
      <w:pPr>
        <w:rPr>
          <w:rFonts w:eastAsiaTheme="minorEastAsia"/>
          <w:szCs w:val="24"/>
          <w:lang w:val="es-ES_tradnl"/>
        </w:rPr>
      </w:pPr>
      <w:r w:rsidRPr="00092E43">
        <w:rPr>
          <w:rFonts w:eastAsiaTheme="minorEastAsia"/>
          <w:szCs w:val="24"/>
          <w:lang w:val="es-ES_tradnl"/>
        </w:rPr>
        <w:t>Este Anexo proporciona información relativa a un DCS no OSG típico existente en funcionamiento denominado ARGOS y, por tanto, a sus requisitos de protección contra las emisiones de interferencia de raya espectral de banda estrecha.</w:t>
      </w:r>
    </w:p>
    <w:p w:rsidR="009F0FAC" w:rsidRPr="00092E43" w:rsidRDefault="009F0FAC" w:rsidP="009F0FAC">
      <w:pPr>
        <w:pStyle w:val="Heading1"/>
        <w:rPr>
          <w:lang w:val="es-ES_tradnl"/>
        </w:rPr>
      </w:pPr>
      <w:r w:rsidRPr="00092E43">
        <w:rPr>
          <w:lang w:val="es-ES_tradnl"/>
        </w:rPr>
        <w:lastRenderedPageBreak/>
        <w:t>2</w:t>
      </w:r>
      <w:r w:rsidRPr="00092E43">
        <w:rPr>
          <w:lang w:val="es-ES_tradnl"/>
        </w:rPr>
        <w:tab/>
        <w:t>Antecedentes</w:t>
      </w:r>
    </w:p>
    <w:p w:rsidR="009F0FAC" w:rsidRPr="00092E43" w:rsidRDefault="009F0FAC" w:rsidP="009F0FAC">
      <w:pPr>
        <w:rPr>
          <w:rFonts w:eastAsiaTheme="minorEastAsia"/>
          <w:szCs w:val="24"/>
          <w:lang w:val="es-ES_tradnl"/>
        </w:rPr>
      </w:pPr>
      <w:r w:rsidRPr="00092E43">
        <w:rPr>
          <w:rFonts w:eastAsiaTheme="minorEastAsia"/>
          <w:szCs w:val="24"/>
          <w:lang w:val="es-ES_tradnl"/>
        </w:rPr>
        <w:t>El Anexo 1 incluye los criterios de protección para ARGOS en la banda 401</w:t>
      </w:r>
      <w:r w:rsidRPr="00092E43">
        <w:rPr>
          <w:rFonts w:eastAsiaTheme="minorEastAsia"/>
          <w:szCs w:val="24"/>
          <w:lang w:val="es-ES_tradnl"/>
        </w:rPr>
        <w:noBreakHyphen/>
        <w:t>401,69 MHz que deben utilizarse como base para el análisis de interferencia procedentes de emisiones interferentes de banda ancha. Este Anexo proporciona los requisitos de protección para los instrumentos ARGOS contra las emisiones interferentes de raya espectral.</w:t>
      </w:r>
    </w:p>
    <w:p w:rsidR="009F0FAC" w:rsidRPr="00092E43" w:rsidRDefault="009F0FAC" w:rsidP="009F0FAC">
      <w:pPr>
        <w:pStyle w:val="Heading1"/>
        <w:rPr>
          <w:lang w:val="es-ES_tradnl"/>
        </w:rPr>
      </w:pPr>
      <w:r w:rsidRPr="00092E43">
        <w:rPr>
          <w:lang w:val="es-ES_tradnl"/>
        </w:rPr>
        <w:t>3</w:t>
      </w:r>
      <w:r w:rsidRPr="00092E43">
        <w:rPr>
          <w:lang w:val="es-ES_tradnl"/>
        </w:rPr>
        <w:tab/>
        <w:t>Requisitos de protección frente a emisiones de raya espectral de banda estrecha</w:t>
      </w:r>
    </w:p>
    <w:p w:rsidR="009F0FAC" w:rsidRPr="00092E43" w:rsidRDefault="009F0FAC" w:rsidP="009F0FAC">
      <w:pPr>
        <w:rPr>
          <w:rFonts w:eastAsiaTheme="minorEastAsia"/>
          <w:szCs w:val="24"/>
          <w:lang w:val="es-ES_tradnl"/>
        </w:rPr>
      </w:pPr>
      <w:r w:rsidRPr="00092E43">
        <w:rPr>
          <w:rFonts w:eastAsiaTheme="minorEastAsia"/>
          <w:szCs w:val="24"/>
          <w:lang w:val="es-ES_tradnl"/>
        </w:rPr>
        <w:t>La Fig. 1 muestra los principales elementos del soporte físico del sistema ARGOS.</w:t>
      </w:r>
    </w:p>
    <w:p w:rsidR="009F0FAC" w:rsidRPr="00092E43" w:rsidRDefault="009F0FAC" w:rsidP="009F0FAC">
      <w:pPr>
        <w:rPr>
          <w:rFonts w:eastAsiaTheme="minorEastAsia"/>
          <w:szCs w:val="24"/>
          <w:lang w:val="es-ES_tradnl"/>
        </w:rPr>
      </w:pPr>
      <w:r w:rsidRPr="00092E43">
        <w:rPr>
          <w:rFonts w:eastAsiaTheme="minorEastAsia"/>
          <w:szCs w:val="24"/>
          <w:lang w:val="es-ES_tradnl"/>
        </w:rPr>
        <w:t>Para una comprensión más cabal de esta especificación, es necesario recordar brevemente cual es el comportamiento de la instrumentación ARGOS.</w:t>
      </w:r>
    </w:p>
    <w:p w:rsidR="009F0FAC" w:rsidRPr="00092E43" w:rsidRDefault="009F0FAC" w:rsidP="009F0FAC">
      <w:pPr>
        <w:rPr>
          <w:rFonts w:eastAsiaTheme="minorEastAsia"/>
          <w:szCs w:val="24"/>
          <w:lang w:val="es-ES_tradnl"/>
        </w:rPr>
      </w:pPr>
      <w:r w:rsidRPr="00092E43">
        <w:rPr>
          <w:rFonts w:eastAsiaTheme="minorEastAsia"/>
          <w:szCs w:val="24"/>
          <w:lang w:val="es-ES_tradnl"/>
        </w:rPr>
        <w:t>La transmisión de la radiobaliza ARGOS comienza con una portadora de 160 </w:t>
      </w:r>
      <w:proofErr w:type="gramStart"/>
      <w:r w:rsidRPr="00092E43">
        <w:rPr>
          <w:rFonts w:eastAsiaTheme="minorEastAsia"/>
          <w:szCs w:val="24"/>
          <w:lang w:val="es-ES_tradnl"/>
        </w:rPr>
        <w:t>ms</w:t>
      </w:r>
      <w:proofErr w:type="gramEnd"/>
      <w:r w:rsidRPr="00092E43">
        <w:rPr>
          <w:rFonts w:eastAsiaTheme="minorEastAsia"/>
          <w:szCs w:val="24"/>
          <w:lang w:val="es-ES_tradnl"/>
        </w:rPr>
        <w:t>. no modulada que permite que un bucle de enganche de fase se sincronice más fácilmente a la portadora. La Fig. 2 representa el formato del mensaje ARGOS.</w:t>
      </w:r>
    </w:p>
    <w:p w:rsidR="009F0FAC" w:rsidRPr="00092E43" w:rsidRDefault="009F0FAC" w:rsidP="009F0FAC">
      <w:pPr>
        <w:pStyle w:val="FigureNo"/>
        <w:rPr>
          <w:rFonts w:eastAsiaTheme="minorEastAsia"/>
          <w:lang w:val="es-ES_tradnl"/>
        </w:rPr>
      </w:pPr>
      <w:r w:rsidRPr="00092E43">
        <w:rPr>
          <w:rFonts w:eastAsiaTheme="minorEastAsia"/>
          <w:lang w:val="es-ES_tradnl"/>
        </w:rPr>
        <w:t>figura 2</w:t>
      </w:r>
    </w:p>
    <w:p w:rsidR="009F0FAC" w:rsidRPr="00092E43" w:rsidRDefault="009F0FAC" w:rsidP="009F0FAC">
      <w:pPr>
        <w:pStyle w:val="Figuretitle"/>
        <w:rPr>
          <w:rFonts w:eastAsiaTheme="minorEastAsia"/>
          <w:lang w:val="es-ES_tradnl"/>
        </w:rPr>
      </w:pPr>
      <w:r w:rsidRPr="00092E43">
        <w:rPr>
          <w:rFonts w:eastAsiaTheme="minorEastAsia"/>
          <w:lang w:val="es-ES_tradnl"/>
        </w:rPr>
        <w:t>Formato del mensaje DCS</w:t>
      </w:r>
    </w:p>
    <w:p w:rsidR="009F0FAC" w:rsidRPr="00092E43" w:rsidRDefault="009F0FAC" w:rsidP="009F0FAC">
      <w:pPr>
        <w:pStyle w:val="Figure"/>
        <w:rPr>
          <w:lang w:val="es-ES_tradnl"/>
        </w:rPr>
      </w:pPr>
      <w:r w:rsidRPr="00092E43">
        <w:rPr>
          <w:lang w:val="es-ES_tradnl"/>
        </w:rPr>
        <w:object w:dxaOrig="3647" w:dyaOrig="736">
          <v:shape id="_x0000_i1027" type="#_x0000_t75" style="width:312pt;height:63pt" o:ole="">
            <v:imagedata r:id="rId17" o:title=""/>
          </v:shape>
          <o:OLEObject Type="Embed" ProgID="CorelDRAW.Graphic.14" ShapeID="_x0000_i1027" DrawAspect="Content" ObjectID="_1598445726" r:id="rId18"/>
        </w:object>
      </w:r>
    </w:p>
    <w:p w:rsidR="009F0FAC" w:rsidRPr="00092E43" w:rsidRDefault="009F0FAC" w:rsidP="009F0FAC">
      <w:pPr>
        <w:rPr>
          <w:rFonts w:eastAsiaTheme="minorEastAsia"/>
          <w:lang w:val="es-ES_tradnl"/>
        </w:rPr>
      </w:pPr>
      <w:r w:rsidRPr="00092E43">
        <w:rPr>
          <w:rFonts w:eastAsiaTheme="minorEastAsia"/>
          <w:lang w:val="es-ES_tradnl"/>
        </w:rPr>
        <w:t>Un analizador de espectro de la instrumentación supervisa continuamente toda la anchura de banda de cobertura en búsqueda de la parte de portadora pura de los mensajes DCS. Cuando el analizador de espectro detecta una de dichas rayas, considera que se trata del inicio de un mensaje DCS. La teoría se basa en la detección de una onda portadora pura (onda sinusoidal) en un entorno de ruido blanco, aditivo y gaussiano. La densidad espectral de potencia de la señal recibida (portadora pura + ruido) se calcula utilizando las técnicas de la transformada rápida de Fourier, procesándose toda señal que se encuentre por encima del umbral del sistema como si fuese una radiobaliza DCS (véase la Fig. 3).</w:t>
      </w:r>
    </w:p>
    <w:p w:rsidR="009F0FAC" w:rsidRPr="00092E43" w:rsidRDefault="009F0FAC" w:rsidP="009F0FAC">
      <w:pPr>
        <w:pStyle w:val="FigureNo"/>
        <w:rPr>
          <w:rFonts w:eastAsiaTheme="minorEastAsia"/>
          <w:lang w:val="es-ES_tradnl"/>
        </w:rPr>
      </w:pPr>
      <w:r w:rsidRPr="00092E43">
        <w:rPr>
          <w:rFonts w:eastAsiaTheme="minorEastAsia"/>
          <w:lang w:val="es-ES_tradnl"/>
        </w:rPr>
        <w:t>figura 3</w:t>
      </w:r>
    </w:p>
    <w:p w:rsidR="009F0FAC" w:rsidRPr="00092E43" w:rsidRDefault="009F0FAC" w:rsidP="009F0FAC">
      <w:pPr>
        <w:pStyle w:val="Figuretitle"/>
        <w:rPr>
          <w:rFonts w:eastAsiaTheme="minorEastAsia"/>
          <w:lang w:val="es-ES_tradnl"/>
        </w:rPr>
      </w:pPr>
      <w:r w:rsidRPr="00092E43">
        <w:rPr>
          <w:rFonts w:eastAsiaTheme="minorEastAsia"/>
          <w:lang w:val="es-ES_tradnl"/>
        </w:rPr>
        <w:t>Detección de una onda sinusoidal en presencia</w:t>
      </w:r>
      <w:r w:rsidRPr="00092E43">
        <w:rPr>
          <w:rFonts w:eastAsiaTheme="minorEastAsia"/>
          <w:lang w:val="es-ES_tradnl"/>
        </w:rPr>
        <w:br/>
        <w:t>de ruido blanco Gaussiano</w:t>
      </w:r>
    </w:p>
    <w:p w:rsidR="009F0FAC" w:rsidRPr="00092E43" w:rsidRDefault="009F0FAC" w:rsidP="009F0FAC">
      <w:pPr>
        <w:pStyle w:val="Figure"/>
        <w:rPr>
          <w:rFonts w:eastAsiaTheme="minorEastAsia"/>
          <w:lang w:val="es-ES_tradnl"/>
        </w:rPr>
      </w:pPr>
      <w:r w:rsidRPr="00092E43">
        <w:rPr>
          <w:rFonts w:eastAsiaTheme="minorEastAsia"/>
          <w:lang w:val="es-ES_tradnl"/>
        </w:rPr>
        <w:object w:dxaOrig="4043" w:dyaOrig="2021">
          <v:shape id="_x0000_i1028" type="#_x0000_t75" style="width:334.5pt;height:167.25pt" o:ole="">
            <v:imagedata r:id="rId19" o:title=""/>
          </v:shape>
          <o:OLEObject Type="Embed" ProgID="CorelDRAW.Graphic.14" ShapeID="_x0000_i1028" DrawAspect="Content" ObjectID="_1598445727" r:id="rId20"/>
        </w:object>
      </w:r>
    </w:p>
    <w:p w:rsidR="009F0FAC" w:rsidRPr="00092E43" w:rsidRDefault="009F0FAC" w:rsidP="009F0FAC">
      <w:pPr>
        <w:keepNext/>
        <w:keepLines/>
        <w:rPr>
          <w:rFonts w:eastAsiaTheme="minorEastAsia"/>
          <w:szCs w:val="24"/>
          <w:lang w:val="es-ES_tradnl"/>
        </w:rPr>
      </w:pPr>
      <w:r w:rsidRPr="00092E43">
        <w:rPr>
          <w:rFonts w:eastAsiaTheme="minorEastAsia"/>
          <w:szCs w:val="24"/>
          <w:lang w:val="es-ES_tradnl"/>
        </w:rPr>
        <w:lastRenderedPageBreak/>
        <w:t xml:space="preserve">Por consiguiente, los procesadores del receptor ARGOS se diseñan de manera que detecten las componentes espectrales discretas (portadora de la radiobaliza sin modular) y la correspondiente anchura de banda de resolución es 19 Hz. Las señales que se encuentren por encima del umbral se asignan a una unidad de recuperación de datos (DRU, </w:t>
      </w:r>
      <w:r w:rsidRPr="00092E43">
        <w:rPr>
          <w:rFonts w:eastAsiaTheme="minorEastAsia"/>
          <w:i/>
          <w:iCs/>
          <w:szCs w:val="24"/>
          <w:lang w:val="es-ES_tradnl"/>
        </w:rPr>
        <w:t>data recovery unit</w:t>
      </w:r>
      <w:r w:rsidRPr="00092E43">
        <w:rPr>
          <w:rFonts w:eastAsiaTheme="minorEastAsia"/>
          <w:szCs w:val="24"/>
          <w:lang w:val="es-ES_tradnl"/>
        </w:rPr>
        <w:t>) abordo para su ulterior procesamiento y transmisión a la Tierra sobre el canal de telemedida de la misión.</w:t>
      </w:r>
    </w:p>
    <w:p w:rsidR="009F0FAC" w:rsidRPr="00092E43" w:rsidRDefault="009F0FAC" w:rsidP="009F0FAC">
      <w:pPr>
        <w:rPr>
          <w:rFonts w:eastAsiaTheme="minorEastAsia"/>
          <w:szCs w:val="24"/>
          <w:lang w:val="es-ES_tradnl"/>
        </w:rPr>
      </w:pPr>
      <w:r w:rsidRPr="00092E43">
        <w:rPr>
          <w:rFonts w:eastAsiaTheme="minorEastAsia"/>
          <w:szCs w:val="24"/>
          <w:lang w:val="es-ES_tradnl"/>
        </w:rPr>
        <w:t xml:space="preserve">Para satisfacer los requisitos de probabilidad de detección del ARGOS para una amplia gama de aplicaciones de usuario (seguimiento de animales salvajes, bancos de pesca, oceanografía, etc.), los instrumentos ARGOS han sido diseñados para detectar y procesar señales extremadamente débiles. Su calidad de funcionamiento es tal que cualquier señal, </w:t>
      </w:r>
      <w:r w:rsidRPr="00092E43">
        <w:rPr>
          <w:rFonts w:eastAsiaTheme="minorEastAsia"/>
          <w:i/>
          <w:iCs/>
          <w:szCs w:val="24"/>
          <w:lang w:val="es-ES_tradnl"/>
        </w:rPr>
        <w:t>C</w:t>
      </w:r>
      <w:r w:rsidRPr="00092E43">
        <w:rPr>
          <w:rFonts w:eastAsiaTheme="minorEastAsia"/>
          <w:i/>
          <w:iCs/>
          <w:szCs w:val="24"/>
          <w:vertAlign w:val="subscript"/>
          <w:lang w:val="es-ES_tradnl"/>
        </w:rPr>
        <w:t>mín</w:t>
      </w:r>
      <w:r w:rsidRPr="00092E43">
        <w:rPr>
          <w:rFonts w:eastAsiaTheme="minorEastAsia"/>
          <w:szCs w:val="24"/>
          <w:lang w:val="es-ES_tradnl"/>
        </w:rPr>
        <w:t>, cuyo nivel de densidad de ruido local exceda los 21 </w:t>
      </w:r>
      <w:proofErr w:type="gramStart"/>
      <w:r w:rsidRPr="00092E43">
        <w:rPr>
          <w:rFonts w:eastAsiaTheme="minorEastAsia"/>
          <w:szCs w:val="24"/>
          <w:lang w:val="es-ES_tradnl"/>
        </w:rPr>
        <w:t>dB(</w:t>
      </w:r>
      <w:proofErr w:type="gramEnd"/>
      <w:r w:rsidRPr="00092E43">
        <w:rPr>
          <w:rFonts w:eastAsiaTheme="minorEastAsia"/>
          <w:szCs w:val="24"/>
          <w:lang w:val="es-ES_tradnl"/>
        </w:rPr>
        <w:t>Hz) (</w:t>
      </w:r>
      <w:r w:rsidRPr="00092E43">
        <w:rPr>
          <w:rFonts w:eastAsiaTheme="minorEastAsia"/>
          <w:i/>
          <w:iCs/>
          <w:szCs w:val="24"/>
          <w:lang w:val="es-ES_tradnl"/>
        </w:rPr>
        <w:t>C</w:t>
      </w:r>
      <w:r w:rsidRPr="00092E43">
        <w:rPr>
          <w:rFonts w:eastAsiaTheme="minorEastAsia"/>
          <w:i/>
          <w:iCs/>
          <w:szCs w:val="24"/>
          <w:vertAlign w:val="subscript"/>
          <w:lang w:val="es-ES_tradnl"/>
        </w:rPr>
        <w:t>mín</w:t>
      </w:r>
      <w:r w:rsidRPr="00092E43">
        <w:rPr>
          <w:rFonts w:ascii="Tms Rmn" w:eastAsiaTheme="minorEastAsia" w:hAnsi="Tms Rmn" w:cs="Tms Rmn"/>
          <w:sz w:val="4"/>
          <w:szCs w:val="4"/>
          <w:lang w:val="es-ES_tradnl"/>
        </w:rPr>
        <w:t> </w:t>
      </w:r>
      <w:r w:rsidRPr="00092E43">
        <w:rPr>
          <w:rFonts w:eastAsiaTheme="minorEastAsia"/>
          <w:szCs w:val="24"/>
          <w:lang w:val="es-ES_tradnl"/>
        </w:rPr>
        <w:t>/</w:t>
      </w:r>
      <w:r w:rsidRPr="00092E43">
        <w:rPr>
          <w:rFonts w:ascii="Tms Rmn" w:eastAsiaTheme="minorEastAsia" w:hAnsi="Tms Rmn" w:cs="Tms Rmn"/>
          <w:sz w:val="4"/>
          <w:szCs w:val="4"/>
          <w:lang w:val="es-ES_tradnl"/>
        </w:rPr>
        <w:t> </w:t>
      </w:r>
      <w:r w:rsidRPr="00092E43">
        <w:rPr>
          <w:rFonts w:eastAsiaTheme="minorEastAsia"/>
          <w:i/>
          <w:iCs/>
          <w:szCs w:val="24"/>
          <w:lang w:val="es-ES_tradnl"/>
        </w:rPr>
        <w:t>N</w:t>
      </w:r>
      <w:r w:rsidRPr="00092E43">
        <w:rPr>
          <w:rFonts w:eastAsiaTheme="minorEastAsia"/>
          <w:szCs w:val="24"/>
          <w:vertAlign w:val="subscript"/>
          <w:lang w:val="es-ES_tradnl"/>
        </w:rPr>
        <w:t>0</w:t>
      </w:r>
      <w:r w:rsidRPr="00092E43">
        <w:rPr>
          <w:rFonts w:eastAsiaTheme="minorEastAsia"/>
          <w:szCs w:val="24"/>
          <w:lang w:val="es-ES_tradnl"/>
        </w:rPr>
        <w:t> &gt; 21 dB(Hz)) se asigna a una DRU para su ulterior tratamiento. En consecuencia, las señales interferentes de banda estrecha que cumplan estos criterios hacen que se les asigne una DRU. En consecuencia, la calidad de funcionamiento de los instrumentos ARGOS en términos de capacidad (es decir, el número de mensajes DCS simultáneos que pueden ser procesados) se degradaría seriamente.</w:t>
      </w:r>
    </w:p>
    <w:p w:rsidR="009F0FAC" w:rsidRPr="00092E43" w:rsidRDefault="009F0FAC" w:rsidP="009F0FAC">
      <w:pPr>
        <w:rPr>
          <w:rFonts w:eastAsiaTheme="minorEastAsia"/>
          <w:szCs w:val="24"/>
          <w:lang w:val="es-ES_tradnl"/>
        </w:rPr>
      </w:pPr>
      <w:r w:rsidRPr="00092E43">
        <w:rPr>
          <w:rFonts w:eastAsiaTheme="minorEastAsia"/>
          <w:szCs w:val="24"/>
          <w:lang w:val="es-ES_tradnl"/>
        </w:rPr>
        <w:t>Las cifras típicas del ARGOS son las siguientes: factor de ruido = 3 dB (cifra típica del ARGOS), temperatura de ruido de fondo nominal = 1 200 K (parámetro de entrada del ARGOS), atenuación entre la antena y el receptor = 1,6 dB. Por lo tanto, la temperatura de ruido del sistema a la entrada del receptor (punto B de la Fig. 1) es igual a 1</w:t>
      </w:r>
      <w:r w:rsidRPr="00092E43">
        <w:rPr>
          <w:rFonts w:ascii="Tms Rmn" w:eastAsiaTheme="minorEastAsia" w:hAnsi="Tms Rmn" w:cs="Tms Rmn"/>
          <w:sz w:val="12"/>
          <w:szCs w:val="12"/>
          <w:lang w:val="es-ES_tradnl"/>
        </w:rPr>
        <w:t> </w:t>
      </w:r>
      <w:r w:rsidRPr="00092E43">
        <w:rPr>
          <w:rFonts w:eastAsiaTheme="minorEastAsia"/>
          <w:szCs w:val="24"/>
          <w:lang w:val="es-ES_tradnl"/>
        </w:rPr>
        <w:t xml:space="preserve">214 K y, en consecuencia, la densidad espectral de ruido es </w:t>
      </w:r>
      <w:r w:rsidRPr="00092E43">
        <w:rPr>
          <w:rFonts w:eastAsiaTheme="minorEastAsia"/>
          <w:i/>
          <w:iCs/>
          <w:szCs w:val="24"/>
          <w:lang w:val="es-ES_tradnl"/>
        </w:rPr>
        <w:t>N</w:t>
      </w:r>
      <w:r w:rsidRPr="00092E43">
        <w:rPr>
          <w:rFonts w:eastAsiaTheme="minorEastAsia"/>
          <w:szCs w:val="24"/>
          <w:vertAlign w:val="subscript"/>
          <w:lang w:val="es-ES_tradnl"/>
        </w:rPr>
        <w:t>0</w:t>
      </w:r>
      <w:r w:rsidRPr="00092E43">
        <w:rPr>
          <w:rFonts w:eastAsiaTheme="minorEastAsia"/>
          <w:szCs w:val="24"/>
          <w:lang w:val="es-ES_tradnl"/>
        </w:rPr>
        <w:t> </w:t>
      </w:r>
      <w:r w:rsidRPr="00092E43">
        <w:rPr>
          <w:rFonts w:eastAsiaTheme="minorEastAsia"/>
          <w:lang w:val="es-ES_tradnl"/>
        </w:rPr>
        <w:t>=</w:t>
      </w:r>
      <w:r w:rsidRPr="00092E43">
        <w:rPr>
          <w:rFonts w:eastAsiaTheme="minorEastAsia"/>
          <w:szCs w:val="24"/>
          <w:lang w:val="es-ES_tradnl"/>
        </w:rPr>
        <w:t> −197,8 </w:t>
      </w:r>
      <w:proofErr w:type="gramStart"/>
      <w:r w:rsidRPr="00092E43">
        <w:rPr>
          <w:rFonts w:eastAsiaTheme="minorEastAsia"/>
          <w:szCs w:val="24"/>
          <w:lang w:val="es-ES_tradnl"/>
        </w:rPr>
        <w:t>dB(</w:t>
      </w:r>
      <w:proofErr w:type="gramEnd"/>
      <w:r w:rsidRPr="00092E43">
        <w:rPr>
          <w:rFonts w:eastAsiaTheme="minorEastAsia"/>
          <w:szCs w:val="24"/>
          <w:lang w:val="es-ES_tradnl"/>
        </w:rPr>
        <w:t>W/Hz).</w:t>
      </w:r>
    </w:p>
    <w:p w:rsidR="009F0FAC" w:rsidRPr="00092E43" w:rsidRDefault="009F0FAC" w:rsidP="009F0FAC">
      <w:pPr>
        <w:rPr>
          <w:rFonts w:eastAsiaTheme="minorEastAsia"/>
          <w:szCs w:val="24"/>
          <w:lang w:val="es-ES_tradnl"/>
        </w:rPr>
      </w:pPr>
      <w:r w:rsidRPr="00092E43">
        <w:rPr>
          <w:rFonts w:eastAsiaTheme="minorEastAsia"/>
          <w:szCs w:val="24"/>
          <w:lang w:val="es-ES_tradnl"/>
        </w:rPr>
        <w:t xml:space="preserve">Dado que </w:t>
      </w:r>
      <w:r w:rsidRPr="00092E43">
        <w:rPr>
          <w:rFonts w:eastAsiaTheme="minorEastAsia"/>
          <w:i/>
          <w:iCs/>
          <w:szCs w:val="24"/>
          <w:lang w:val="es-ES_tradnl"/>
        </w:rPr>
        <w:t>C</w:t>
      </w:r>
      <w:r w:rsidRPr="00092E43">
        <w:rPr>
          <w:rFonts w:eastAsiaTheme="minorEastAsia"/>
          <w:i/>
          <w:iCs/>
          <w:szCs w:val="24"/>
          <w:vertAlign w:val="subscript"/>
          <w:lang w:val="es-ES_tradnl"/>
        </w:rPr>
        <w:t>mín</w:t>
      </w:r>
      <w:r w:rsidRPr="00092E43">
        <w:rPr>
          <w:rFonts w:eastAsiaTheme="minorEastAsia"/>
          <w:szCs w:val="24"/>
          <w:lang w:val="es-ES_tradnl"/>
        </w:rPr>
        <w:t>/</w:t>
      </w:r>
      <w:r w:rsidRPr="00092E43">
        <w:rPr>
          <w:rFonts w:eastAsiaTheme="minorEastAsia"/>
          <w:i/>
          <w:iCs/>
          <w:szCs w:val="24"/>
          <w:lang w:val="es-ES_tradnl"/>
        </w:rPr>
        <w:t>N</w:t>
      </w:r>
      <w:r w:rsidRPr="00092E43">
        <w:rPr>
          <w:rFonts w:eastAsiaTheme="minorEastAsia"/>
          <w:szCs w:val="24"/>
          <w:vertAlign w:val="subscript"/>
          <w:lang w:val="es-ES_tradnl"/>
        </w:rPr>
        <w:t>0</w:t>
      </w:r>
      <w:r w:rsidRPr="00092E43">
        <w:rPr>
          <w:rFonts w:eastAsiaTheme="minorEastAsia"/>
          <w:szCs w:val="24"/>
          <w:lang w:val="es-ES_tradnl"/>
        </w:rPr>
        <w:t> </w:t>
      </w:r>
      <w:r w:rsidRPr="00092E43">
        <w:rPr>
          <w:rFonts w:eastAsiaTheme="minorEastAsia"/>
          <w:lang w:val="es-ES_tradnl"/>
        </w:rPr>
        <w:t>=</w:t>
      </w:r>
      <w:r w:rsidRPr="00092E43">
        <w:rPr>
          <w:rFonts w:eastAsiaTheme="minorEastAsia"/>
          <w:szCs w:val="24"/>
          <w:lang w:val="es-ES_tradnl"/>
        </w:rPr>
        <w:t xml:space="preserve"> 21 </w:t>
      </w:r>
      <w:proofErr w:type="gramStart"/>
      <w:r w:rsidRPr="00092E43">
        <w:rPr>
          <w:rFonts w:eastAsiaTheme="minorEastAsia"/>
          <w:szCs w:val="24"/>
          <w:lang w:val="es-ES_tradnl"/>
        </w:rPr>
        <w:t>dB(</w:t>
      </w:r>
      <w:proofErr w:type="gramEnd"/>
      <w:r w:rsidRPr="00092E43">
        <w:rPr>
          <w:rFonts w:eastAsiaTheme="minorEastAsia"/>
          <w:szCs w:val="24"/>
          <w:lang w:val="es-ES_tradnl"/>
        </w:rPr>
        <w:t xml:space="preserve">Hz), entonces </w:t>
      </w:r>
      <w:r w:rsidRPr="00092E43">
        <w:rPr>
          <w:rFonts w:eastAsiaTheme="minorEastAsia"/>
          <w:i/>
          <w:iCs/>
          <w:szCs w:val="24"/>
          <w:lang w:val="es-ES_tradnl"/>
        </w:rPr>
        <w:t>C</w:t>
      </w:r>
      <w:r w:rsidRPr="00092E43">
        <w:rPr>
          <w:rFonts w:eastAsiaTheme="minorEastAsia"/>
          <w:i/>
          <w:iCs/>
          <w:szCs w:val="24"/>
          <w:vertAlign w:val="subscript"/>
          <w:lang w:val="es-ES_tradnl"/>
        </w:rPr>
        <w:t>mín</w:t>
      </w:r>
      <w:r w:rsidRPr="00092E43">
        <w:rPr>
          <w:rFonts w:eastAsiaTheme="minorEastAsia"/>
          <w:szCs w:val="24"/>
          <w:lang w:val="es-ES_tradnl"/>
        </w:rPr>
        <w:t> </w:t>
      </w:r>
      <w:r w:rsidRPr="00092E43">
        <w:rPr>
          <w:rFonts w:eastAsiaTheme="minorEastAsia"/>
          <w:lang w:val="es-ES_tradnl"/>
        </w:rPr>
        <w:t>=</w:t>
      </w:r>
      <w:r w:rsidRPr="00092E43">
        <w:rPr>
          <w:rFonts w:eastAsiaTheme="minorEastAsia"/>
          <w:szCs w:val="24"/>
          <w:lang w:val="es-ES_tradnl"/>
        </w:rPr>
        <w:t> −176,8 dBW. Por lo tanto, cualquier emisión no esencial de banda estrecha superior a −176,8 dBW a la entrada del ARGOS (punto B de la Fig. 1), daría lugar a una degradación de la capacidad del sistema.</w:t>
      </w:r>
    </w:p>
    <w:p w:rsidR="009F0FAC" w:rsidRPr="00092E43" w:rsidRDefault="009F0FAC" w:rsidP="009F0FAC">
      <w:pPr>
        <w:rPr>
          <w:rFonts w:eastAsiaTheme="minorEastAsia"/>
          <w:szCs w:val="24"/>
          <w:lang w:val="es-ES_tradnl"/>
        </w:rPr>
      </w:pPr>
      <w:r w:rsidRPr="00092E43">
        <w:rPr>
          <w:rFonts w:eastAsiaTheme="minorEastAsia"/>
          <w:szCs w:val="24"/>
          <w:lang w:val="es-ES_tradnl"/>
        </w:rPr>
        <w:t>Por consiguiente, es necesario calcular dicho nivel máximo admisible de raya espectral a la entrada de la antena ARGOS.</w:t>
      </w:r>
    </w:p>
    <w:p w:rsidR="009F0FAC" w:rsidRPr="00092E43" w:rsidRDefault="009F0FAC" w:rsidP="009F0FAC">
      <w:pPr>
        <w:rPr>
          <w:rFonts w:eastAsiaTheme="minorEastAsia"/>
          <w:szCs w:val="24"/>
          <w:lang w:val="es-ES_tradnl"/>
        </w:rPr>
      </w:pPr>
      <w:r w:rsidRPr="00092E43">
        <w:rPr>
          <w:rFonts w:eastAsiaTheme="minorEastAsia"/>
          <w:szCs w:val="24"/>
          <w:lang w:val="es-ES_tradnl"/>
        </w:rPr>
        <w:t>La especificación del diagrama de ganancia de la antena de recepción del ARGOS se expresa en función del ángulo del nadir tal como se recoge en el Cuadro 2.</w:t>
      </w:r>
    </w:p>
    <w:p w:rsidR="009F0FAC" w:rsidRPr="00092E43" w:rsidRDefault="009F0FAC" w:rsidP="00D20713">
      <w:pPr>
        <w:pStyle w:val="TableNo"/>
        <w:rPr>
          <w:lang w:val="es-ES_tradnl"/>
        </w:rPr>
      </w:pPr>
      <w:r w:rsidRPr="00092E43">
        <w:rPr>
          <w:lang w:val="es-ES_tradnl"/>
        </w:rPr>
        <w:t>CUADRO</w:t>
      </w:r>
      <w:r w:rsidR="00D20713">
        <w:rPr>
          <w:lang w:val="es-ES_tradnl"/>
        </w:rPr>
        <w:t xml:space="preserve"> </w:t>
      </w:r>
      <w:r w:rsidRPr="00092E43">
        <w:rPr>
          <w:lang w:val="es-ES_tradnl"/>
        </w:rPr>
        <w:t>2</w:t>
      </w:r>
    </w:p>
    <w:p w:rsidR="009F0FAC" w:rsidRPr="00092E43" w:rsidRDefault="009F0FAC" w:rsidP="009F0FAC">
      <w:pPr>
        <w:pStyle w:val="Tabletitle"/>
        <w:rPr>
          <w:lang w:val="es-ES_tradnl"/>
        </w:rPr>
      </w:pPr>
      <w:r w:rsidRPr="00092E43">
        <w:rPr>
          <w:lang w:val="es-ES_tradnl"/>
        </w:rPr>
        <w:t>Diagrama de ganancia de la antena de recepción (UDA)</w:t>
      </w:r>
    </w:p>
    <w:tbl>
      <w:tblPr>
        <w:tblW w:w="963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87"/>
        <w:gridCol w:w="737"/>
        <w:gridCol w:w="737"/>
        <w:gridCol w:w="737"/>
        <w:gridCol w:w="737"/>
        <w:gridCol w:w="850"/>
        <w:gridCol w:w="850"/>
        <w:gridCol w:w="850"/>
        <w:gridCol w:w="850"/>
        <w:gridCol w:w="850"/>
        <w:gridCol w:w="850"/>
      </w:tblGrid>
      <w:tr w:rsidR="009F0FAC" w:rsidRPr="00092E43" w:rsidTr="00520CFB">
        <w:trPr>
          <w:cantSplit/>
          <w:jc w:val="center"/>
        </w:trPr>
        <w:tc>
          <w:tcPr>
            <w:tcW w:w="1587" w:type="dxa"/>
          </w:tcPr>
          <w:p w:rsidR="009F0FAC" w:rsidRPr="00092E43" w:rsidRDefault="009F0FAC" w:rsidP="009F0FAC">
            <w:pPr>
              <w:pStyle w:val="Tabletext"/>
              <w:keepNext/>
              <w:keepLines/>
              <w:jc w:val="left"/>
              <w:rPr>
                <w:lang w:val="es-ES_tradnl"/>
              </w:rPr>
            </w:pPr>
            <w:r w:rsidRPr="00092E43">
              <w:rPr>
                <w:lang w:val="es-ES_tradnl"/>
              </w:rPr>
              <w:t xml:space="preserve">Ángulo nadir del satélite </w:t>
            </w:r>
          </w:p>
        </w:tc>
        <w:tc>
          <w:tcPr>
            <w:tcW w:w="737" w:type="dxa"/>
            <w:vAlign w:val="center"/>
          </w:tcPr>
          <w:p w:rsidR="009F0FAC" w:rsidRPr="00092E43" w:rsidRDefault="009F0FAC" w:rsidP="009F0FAC">
            <w:pPr>
              <w:pStyle w:val="Tabletext"/>
              <w:keepNext/>
              <w:keepLines/>
              <w:jc w:val="center"/>
              <w:rPr>
                <w:lang w:val="es-ES_tradnl"/>
              </w:rPr>
            </w:pPr>
            <w:r w:rsidRPr="00092E43">
              <w:rPr>
                <w:lang w:val="es-ES_tradnl"/>
              </w:rPr>
              <w:t>62</w:t>
            </w:r>
          </w:p>
        </w:tc>
        <w:tc>
          <w:tcPr>
            <w:tcW w:w="737" w:type="dxa"/>
            <w:vAlign w:val="center"/>
          </w:tcPr>
          <w:p w:rsidR="009F0FAC" w:rsidRPr="00092E43" w:rsidRDefault="009F0FAC" w:rsidP="009F0FAC">
            <w:pPr>
              <w:pStyle w:val="Tabletext"/>
              <w:keepNext/>
              <w:keepLines/>
              <w:jc w:val="center"/>
              <w:rPr>
                <w:lang w:val="es-ES_tradnl"/>
              </w:rPr>
            </w:pPr>
            <w:r w:rsidRPr="00092E43">
              <w:rPr>
                <w:lang w:val="es-ES_tradnl"/>
              </w:rPr>
              <w:t>59</w:t>
            </w:r>
          </w:p>
        </w:tc>
        <w:tc>
          <w:tcPr>
            <w:tcW w:w="737" w:type="dxa"/>
            <w:vAlign w:val="center"/>
          </w:tcPr>
          <w:p w:rsidR="009F0FAC" w:rsidRPr="00092E43" w:rsidRDefault="009F0FAC" w:rsidP="009F0FAC">
            <w:pPr>
              <w:pStyle w:val="Tabletext"/>
              <w:keepNext/>
              <w:keepLines/>
              <w:jc w:val="center"/>
              <w:rPr>
                <w:lang w:val="es-ES_tradnl"/>
              </w:rPr>
            </w:pPr>
            <w:r w:rsidRPr="00092E43">
              <w:rPr>
                <w:lang w:val="es-ES_tradnl"/>
              </w:rPr>
              <w:t>54</w:t>
            </w:r>
          </w:p>
        </w:tc>
        <w:tc>
          <w:tcPr>
            <w:tcW w:w="737" w:type="dxa"/>
            <w:vAlign w:val="center"/>
          </w:tcPr>
          <w:p w:rsidR="009F0FAC" w:rsidRPr="00092E43" w:rsidRDefault="009F0FAC" w:rsidP="009F0FAC">
            <w:pPr>
              <w:pStyle w:val="Tabletext"/>
              <w:keepNext/>
              <w:keepLines/>
              <w:jc w:val="center"/>
              <w:rPr>
                <w:lang w:val="es-ES_tradnl"/>
              </w:rPr>
            </w:pPr>
            <w:r w:rsidRPr="00092E43">
              <w:rPr>
                <w:lang w:val="es-ES_tradnl"/>
              </w:rPr>
              <w:t>47</w:t>
            </w:r>
          </w:p>
        </w:tc>
        <w:tc>
          <w:tcPr>
            <w:tcW w:w="850" w:type="dxa"/>
            <w:vAlign w:val="center"/>
          </w:tcPr>
          <w:p w:rsidR="009F0FAC" w:rsidRPr="00092E43" w:rsidRDefault="009F0FAC" w:rsidP="009F0FAC">
            <w:pPr>
              <w:pStyle w:val="Tabletext"/>
              <w:keepNext/>
              <w:keepLines/>
              <w:jc w:val="center"/>
              <w:rPr>
                <w:lang w:val="es-ES_tradnl"/>
              </w:rPr>
            </w:pPr>
            <w:r w:rsidRPr="00092E43">
              <w:rPr>
                <w:lang w:val="es-ES_tradnl"/>
              </w:rPr>
              <w:t>39</w:t>
            </w:r>
          </w:p>
        </w:tc>
        <w:tc>
          <w:tcPr>
            <w:tcW w:w="850" w:type="dxa"/>
            <w:vAlign w:val="center"/>
          </w:tcPr>
          <w:p w:rsidR="009F0FAC" w:rsidRPr="00092E43" w:rsidRDefault="009F0FAC" w:rsidP="009F0FAC">
            <w:pPr>
              <w:pStyle w:val="Tabletext"/>
              <w:keepNext/>
              <w:keepLines/>
              <w:jc w:val="center"/>
              <w:rPr>
                <w:lang w:val="es-ES_tradnl"/>
              </w:rPr>
            </w:pPr>
            <w:r w:rsidRPr="00092E43">
              <w:rPr>
                <w:lang w:val="es-ES_tradnl"/>
              </w:rPr>
              <w:t>31</w:t>
            </w:r>
          </w:p>
        </w:tc>
        <w:tc>
          <w:tcPr>
            <w:tcW w:w="850" w:type="dxa"/>
            <w:vAlign w:val="center"/>
          </w:tcPr>
          <w:p w:rsidR="009F0FAC" w:rsidRPr="00092E43" w:rsidRDefault="009F0FAC" w:rsidP="009F0FAC">
            <w:pPr>
              <w:pStyle w:val="Tabletext"/>
              <w:keepNext/>
              <w:keepLines/>
              <w:jc w:val="center"/>
              <w:rPr>
                <w:lang w:val="es-ES_tradnl"/>
              </w:rPr>
            </w:pPr>
            <w:r w:rsidRPr="00092E43">
              <w:rPr>
                <w:lang w:val="es-ES_tradnl"/>
              </w:rPr>
              <w:t>22</w:t>
            </w:r>
          </w:p>
        </w:tc>
        <w:tc>
          <w:tcPr>
            <w:tcW w:w="850" w:type="dxa"/>
            <w:vAlign w:val="center"/>
          </w:tcPr>
          <w:p w:rsidR="009F0FAC" w:rsidRPr="00092E43" w:rsidRDefault="009F0FAC" w:rsidP="009F0FAC">
            <w:pPr>
              <w:pStyle w:val="Tabletext"/>
              <w:keepNext/>
              <w:keepLines/>
              <w:jc w:val="center"/>
              <w:rPr>
                <w:lang w:val="es-ES_tradnl"/>
              </w:rPr>
            </w:pPr>
            <w:r w:rsidRPr="00092E43">
              <w:rPr>
                <w:lang w:val="es-ES_tradnl"/>
              </w:rPr>
              <w:t>13</w:t>
            </w:r>
          </w:p>
        </w:tc>
        <w:tc>
          <w:tcPr>
            <w:tcW w:w="850" w:type="dxa"/>
            <w:vAlign w:val="center"/>
          </w:tcPr>
          <w:p w:rsidR="009F0FAC" w:rsidRPr="00092E43" w:rsidRDefault="009F0FAC" w:rsidP="009F0FAC">
            <w:pPr>
              <w:pStyle w:val="Tabletext"/>
              <w:keepNext/>
              <w:keepLines/>
              <w:jc w:val="center"/>
              <w:rPr>
                <w:lang w:val="es-ES_tradnl"/>
              </w:rPr>
            </w:pPr>
            <w:r w:rsidRPr="00092E43">
              <w:rPr>
                <w:lang w:val="es-ES_tradnl"/>
              </w:rPr>
              <w:t>5</w:t>
            </w:r>
          </w:p>
        </w:tc>
        <w:tc>
          <w:tcPr>
            <w:tcW w:w="850" w:type="dxa"/>
            <w:vAlign w:val="center"/>
          </w:tcPr>
          <w:p w:rsidR="009F0FAC" w:rsidRPr="00092E43" w:rsidRDefault="009F0FAC" w:rsidP="009F0FAC">
            <w:pPr>
              <w:pStyle w:val="Tabletext"/>
              <w:keepNext/>
              <w:keepLines/>
              <w:jc w:val="center"/>
              <w:rPr>
                <w:lang w:val="es-ES_tradnl"/>
              </w:rPr>
            </w:pPr>
            <w:r w:rsidRPr="00092E43">
              <w:rPr>
                <w:lang w:val="es-ES_tradnl"/>
              </w:rPr>
              <w:t>0</w:t>
            </w:r>
          </w:p>
        </w:tc>
      </w:tr>
      <w:tr w:rsidR="009F0FAC" w:rsidRPr="00092E43" w:rsidTr="00520CFB">
        <w:trPr>
          <w:cantSplit/>
          <w:jc w:val="center"/>
        </w:trPr>
        <w:tc>
          <w:tcPr>
            <w:tcW w:w="1587" w:type="dxa"/>
          </w:tcPr>
          <w:p w:rsidR="009F0FAC" w:rsidRPr="00092E43" w:rsidRDefault="009F0FAC" w:rsidP="00520CFB">
            <w:pPr>
              <w:pStyle w:val="Tabletext"/>
              <w:jc w:val="left"/>
              <w:rPr>
                <w:lang w:val="es-ES_tradnl"/>
              </w:rPr>
            </w:pPr>
            <w:r w:rsidRPr="00092E43">
              <w:rPr>
                <w:lang w:val="es-ES_tradnl"/>
              </w:rPr>
              <w:t>Ganancia con polarización dextrógira</w:t>
            </w:r>
          </w:p>
        </w:tc>
        <w:tc>
          <w:tcPr>
            <w:tcW w:w="737" w:type="dxa"/>
            <w:vAlign w:val="center"/>
          </w:tcPr>
          <w:p w:rsidR="009F0FAC" w:rsidRPr="00092E43" w:rsidRDefault="009F0FAC" w:rsidP="00520CFB">
            <w:pPr>
              <w:pStyle w:val="Tabletext"/>
              <w:jc w:val="center"/>
              <w:rPr>
                <w:rFonts w:eastAsiaTheme="minorEastAsia"/>
                <w:szCs w:val="22"/>
                <w:lang w:val="es-ES_tradnl"/>
              </w:rPr>
            </w:pPr>
            <w:r w:rsidRPr="00092E43">
              <w:rPr>
                <w:rFonts w:eastAsiaTheme="minorEastAsia"/>
                <w:szCs w:val="22"/>
                <w:lang w:val="es-ES_tradnl"/>
              </w:rPr>
              <w:t>3,85</w:t>
            </w:r>
          </w:p>
        </w:tc>
        <w:tc>
          <w:tcPr>
            <w:tcW w:w="737" w:type="dxa"/>
            <w:vAlign w:val="center"/>
          </w:tcPr>
          <w:p w:rsidR="009F0FAC" w:rsidRPr="00092E43" w:rsidRDefault="009F0FAC" w:rsidP="00520CFB">
            <w:pPr>
              <w:pStyle w:val="Tabletext"/>
              <w:jc w:val="center"/>
              <w:rPr>
                <w:rFonts w:eastAsiaTheme="minorEastAsia"/>
                <w:szCs w:val="22"/>
                <w:lang w:val="es-ES_tradnl"/>
              </w:rPr>
            </w:pPr>
            <w:r w:rsidRPr="00092E43">
              <w:rPr>
                <w:rFonts w:eastAsiaTheme="minorEastAsia"/>
                <w:szCs w:val="22"/>
                <w:lang w:val="es-ES_tradnl"/>
              </w:rPr>
              <w:t>3,54</w:t>
            </w:r>
          </w:p>
        </w:tc>
        <w:tc>
          <w:tcPr>
            <w:tcW w:w="737" w:type="dxa"/>
            <w:vAlign w:val="center"/>
          </w:tcPr>
          <w:p w:rsidR="009F0FAC" w:rsidRPr="00092E43" w:rsidRDefault="009F0FAC" w:rsidP="00520CFB">
            <w:pPr>
              <w:pStyle w:val="Tabletext"/>
              <w:jc w:val="center"/>
              <w:rPr>
                <w:rFonts w:eastAsiaTheme="minorEastAsia"/>
                <w:szCs w:val="22"/>
                <w:lang w:val="es-ES_tradnl"/>
              </w:rPr>
            </w:pPr>
            <w:r w:rsidRPr="00092E43">
              <w:rPr>
                <w:rFonts w:eastAsiaTheme="minorEastAsia"/>
                <w:szCs w:val="22"/>
                <w:lang w:val="es-ES_tradnl"/>
              </w:rPr>
              <w:t>2,62</w:t>
            </w:r>
          </w:p>
        </w:tc>
        <w:tc>
          <w:tcPr>
            <w:tcW w:w="737" w:type="dxa"/>
            <w:vAlign w:val="center"/>
          </w:tcPr>
          <w:p w:rsidR="009F0FAC" w:rsidRPr="00092E43" w:rsidRDefault="009F0FAC" w:rsidP="00520CFB">
            <w:pPr>
              <w:pStyle w:val="Tabletext"/>
              <w:jc w:val="center"/>
              <w:rPr>
                <w:rFonts w:eastAsiaTheme="minorEastAsia"/>
                <w:szCs w:val="22"/>
                <w:lang w:val="es-ES_tradnl"/>
              </w:rPr>
            </w:pPr>
            <w:r w:rsidRPr="00092E43">
              <w:rPr>
                <w:rFonts w:eastAsiaTheme="minorEastAsia"/>
                <w:szCs w:val="22"/>
                <w:lang w:val="es-ES_tradnl"/>
              </w:rPr>
              <w:t>1,24</w:t>
            </w:r>
          </w:p>
        </w:tc>
        <w:tc>
          <w:tcPr>
            <w:tcW w:w="850" w:type="dxa"/>
            <w:vAlign w:val="center"/>
          </w:tcPr>
          <w:p w:rsidR="009F0FAC" w:rsidRPr="00092E43" w:rsidRDefault="009F0FAC" w:rsidP="00520CFB">
            <w:pPr>
              <w:pStyle w:val="Tabletext"/>
              <w:jc w:val="center"/>
              <w:rPr>
                <w:rFonts w:eastAsiaTheme="minorEastAsia"/>
                <w:szCs w:val="22"/>
                <w:lang w:val="es-ES_tradnl"/>
              </w:rPr>
            </w:pPr>
            <w:r w:rsidRPr="00092E43">
              <w:rPr>
                <w:rFonts w:eastAsiaTheme="minorEastAsia"/>
                <w:szCs w:val="22"/>
                <w:lang w:val="es-ES_tradnl"/>
              </w:rPr>
              <w:t>–0,17</w:t>
            </w:r>
          </w:p>
        </w:tc>
        <w:tc>
          <w:tcPr>
            <w:tcW w:w="850" w:type="dxa"/>
            <w:vAlign w:val="center"/>
          </w:tcPr>
          <w:p w:rsidR="009F0FAC" w:rsidRPr="00092E43" w:rsidRDefault="009F0FAC" w:rsidP="00520CFB">
            <w:pPr>
              <w:pStyle w:val="Tabletext"/>
              <w:jc w:val="center"/>
              <w:rPr>
                <w:rFonts w:eastAsiaTheme="minorEastAsia"/>
                <w:szCs w:val="22"/>
                <w:lang w:val="es-ES_tradnl"/>
              </w:rPr>
            </w:pPr>
            <w:r w:rsidRPr="00092E43">
              <w:rPr>
                <w:rFonts w:eastAsiaTheme="minorEastAsia"/>
                <w:szCs w:val="22"/>
                <w:lang w:val="es-ES_tradnl"/>
              </w:rPr>
              <w:t>–1,33</w:t>
            </w:r>
          </w:p>
        </w:tc>
        <w:tc>
          <w:tcPr>
            <w:tcW w:w="850" w:type="dxa"/>
            <w:vAlign w:val="center"/>
          </w:tcPr>
          <w:p w:rsidR="009F0FAC" w:rsidRPr="00092E43" w:rsidRDefault="009F0FAC" w:rsidP="00520CFB">
            <w:pPr>
              <w:pStyle w:val="Tabletext"/>
              <w:jc w:val="center"/>
              <w:rPr>
                <w:rFonts w:eastAsiaTheme="minorEastAsia"/>
                <w:szCs w:val="22"/>
                <w:lang w:val="es-ES_tradnl"/>
              </w:rPr>
            </w:pPr>
            <w:r w:rsidRPr="00092E43">
              <w:rPr>
                <w:rFonts w:eastAsiaTheme="minorEastAsia"/>
                <w:szCs w:val="22"/>
                <w:lang w:val="es-ES_tradnl"/>
              </w:rPr>
              <w:t>–2,24</w:t>
            </w:r>
          </w:p>
        </w:tc>
        <w:tc>
          <w:tcPr>
            <w:tcW w:w="850" w:type="dxa"/>
            <w:vAlign w:val="center"/>
          </w:tcPr>
          <w:p w:rsidR="009F0FAC" w:rsidRPr="00092E43" w:rsidRDefault="009F0FAC" w:rsidP="00520CFB">
            <w:pPr>
              <w:pStyle w:val="Tabletext"/>
              <w:jc w:val="center"/>
              <w:rPr>
                <w:rFonts w:eastAsiaTheme="minorEastAsia"/>
                <w:szCs w:val="22"/>
                <w:lang w:val="es-ES_tradnl"/>
              </w:rPr>
            </w:pPr>
            <w:r w:rsidRPr="00092E43">
              <w:rPr>
                <w:rFonts w:eastAsiaTheme="minorEastAsia"/>
                <w:szCs w:val="22"/>
                <w:lang w:val="es-ES_tradnl"/>
              </w:rPr>
              <w:t>–3,08</w:t>
            </w:r>
          </w:p>
        </w:tc>
        <w:tc>
          <w:tcPr>
            <w:tcW w:w="850" w:type="dxa"/>
            <w:vAlign w:val="center"/>
          </w:tcPr>
          <w:p w:rsidR="009F0FAC" w:rsidRPr="00092E43" w:rsidRDefault="009F0FAC" w:rsidP="00520CFB">
            <w:pPr>
              <w:pStyle w:val="Tabletext"/>
              <w:jc w:val="center"/>
              <w:rPr>
                <w:rFonts w:eastAsiaTheme="minorEastAsia"/>
                <w:szCs w:val="22"/>
                <w:lang w:val="es-ES_tradnl"/>
              </w:rPr>
            </w:pPr>
            <w:r w:rsidRPr="00092E43">
              <w:rPr>
                <w:rFonts w:eastAsiaTheme="minorEastAsia"/>
                <w:szCs w:val="22"/>
                <w:lang w:val="es-ES_tradnl"/>
              </w:rPr>
              <w:t>–3,80</w:t>
            </w:r>
          </w:p>
        </w:tc>
        <w:tc>
          <w:tcPr>
            <w:tcW w:w="850" w:type="dxa"/>
            <w:vAlign w:val="center"/>
          </w:tcPr>
          <w:p w:rsidR="009F0FAC" w:rsidRPr="00092E43" w:rsidRDefault="009F0FAC" w:rsidP="00520CFB">
            <w:pPr>
              <w:pStyle w:val="Tabletext"/>
              <w:jc w:val="center"/>
              <w:rPr>
                <w:rFonts w:eastAsiaTheme="minorEastAsia"/>
                <w:szCs w:val="22"/>
                <w:lang w:val="es-ES_tradnl"/>
              </w:rPr>
            </w:pPr>
            <w:r w:rsidRPr="00092E43">
              <w:rPr>
                <w:rFonts w:eastAsiaTheme="minorEastAsia"/>
                <w:szCs w:val="22"/>
                <w:lang w:val="es-ES_tradnl"/>
              </w:rPr>
              <w:t>–3,96</w:t>
            </w:r>
          </w:p>
        </w:tc>
      </w:tr>
      <w:tr w:rsidR="009F0FAC" w:rsidRPr="00092E43" w:rsidTr="00520CFB">
        <w:trPr>
          <w:cantSplit/>
          <w:jc w:val="center"/>
        </w:trPr>
        <w:tc>
          <w:tcPr>
            <w:tcW w:w="1587" w:type="dxa"/>
          </w:tcPr>
          <w:p w:rsidR="009F0FAC" w:rsidRPr="00092E43" w:rsidRDefault="009F0FAC" w:rsidP="00520CFB">
            <w:pPr>
              <w:pStyle w:val="Tabletext"/>
              <w:jc w:val="left"/>
              <w:rPr>
                <w:lang w:val="es-ES_tradnl"/>
              </w:rPr>
            </w:pPr>
            <w:r w:rsidRPr="00092E43">
              <w:rPr>
                <w:lang w:val="es-ES_tradnl"/>
              </w:rPr>
              <w:t>Ganancia con polarización levógira</w:t>
            </w:r>
          </w:p>
        </w:tc>
        <w:tc>
          <w:tcPr>
            <w:tcW w:w="737" w:type="dxa"/>
            <w:vAlign w:val="center"/>
          </w:tcPr>
          <w:p w:rsidR="009F0FAC" w:rsidRPr="00092E43" w:rsidRDefault="009F0FAC" w:rsidP="00520CFB">
            <w:pPr>
              <w:pStyle w:val="Tabletext"/>
              <w:jc w:val="center"/>
              <w:rPr>
                <w:rFonts w:eastAsiaTheme="minorEastAsia"/>
                <w:szCs w:val="22"/>
                <w:lang w:val="es-ES_tradnl"/>
              </w:rPr>
            </w:pPr>
            <w:r w:rsidRPr="00092E43">
              <w:rPr>
                <w:rFonts w:eastAsiaTheme="minorEastAsia"/>
                <w:szCs w:val="22"/>
                <w:lang w:val="es-ES_tradnl"/>
              </w:rPr>
              <w:t>–5,69</w:t>
            </w:r>
          </w:p>
        </w:tc>
        <w:tc>
          <w:tcPr>
            <w:tcW w:w="737" w:type="dxa"/>
            <w:vAlign w:val="center"/>
          </w:tcPr>
          <w:p w:rsidR="009F0FAC" w:rsidRPr="00092E43" w:rsidRDefault="009F0FAC" w:rsidP="00520CFB">
            <w:pPr>
              <w:pStyle w:val="Tabletext"/>
              <w:jc w:val="center"/>
              <w:rPr>
                <w:rFonts w:eastAsiaTheme="minorEastAsia"/>
                <w:szCs w:val="22"/>
                <w:lang w:val="es-ES_tradnl"/>
              </w:rPr>
            </w:pPr>
            <w:r w:rsidRPr="00092E43">
              <w:rPr>
                <w:rFonts w:eastAsiaTheme="minorEastAsia"/>
                <w:szCs w:val="22"/>
                <w:lang w:val="es-ES_tradnl"/>
              </w:rPr>
              <w:t>–6,23</w:t>
            </w:r>
          </w:p>
        </w:tc>
        <w:tc>
          <w:tcPr>
            <w:tcW w:w="737" w:type="dxa"/>
            <w:vAlign w:val="center"/>
          </w:tcPr>
          <w:p w:rsidR="009F0FAC" w:rsidRPr="00092E43" w:rsidRDefault="009F0FAC" w:rsidP="00520CFB">
            <w:pPr>
              <w:pStyle w:val="Tabletext"/>
              <w:jc w:val="center"/>
              <w:rPr>
                <w:rFonts w:eastAsiaTheme="minorEastAsia"/>
                <w:szCs w:val="22"/>
                <w:lang w:val="es-ES_tradnl"/>
              </w:rPr>
            </w:pPr>
            <w:r w:rsidRPr="00092E43">
              <w:rPr>
                <w:rFonts w:eastAsiaTheme="minorEastAsia"/>
                <w:szCs w:val="22"/>
                <w:lang w:val="es-ES_tradnl"/>
              </w:rPr>
              <w:t>–7,52</w:t>
            </w:r>
          </w:p>
        </w:tc>
        <w:tc>
          <w:tcPr>
            <w:tcW w:w="737" w:type="dxa"/>
            <w:vAlign w:val="center"/>
          </w:tcPr>
          <w:p w:rsidR="009F0FAC" w:rsidRPr="00092E43" w:rsidRDefault="009F0FAC" w:rsidP="00520CFB">
            <w:pPr>
              <w:pStyle w:val="Tabletext"/>
              <w:jc w:val="center"/>
              <w:rPr>
                <w:rFonts w:eastAsiaTheme="minorEastAsia"/>
                <w:szCs w:val="22"/>
                <w:lang w:val="es-ES_tradnl"/>
              </w:rPr>
            </w:pPr>
            <w:r w:rsidRPr="00092E43">
              <w:rPr>
                <w:rFonts w:eastAsiaTheme="minorEastAsia"/>
                <w:szCs w:val="22"/>
                <w:lang w:val="es-ES_tradnl"/>
              </w:rPr>
              <w:t>–9,39</w:t>
            </w:r>
          </w:p>
        </w:tc>
        <w:tc>
          <w:tcPr>
            <w:tcW w:w="850" w:type="dxa"/>
            <w:vAlign w:val="center"/>
          </w:tcPr>
          <w:p w:rsidR="009F0FAC" w:rsidRPr="00092E43" w:rsidRDefault="009F0FAC" w:rsidP="00520CFB">
            <w:pPr>
              <w:pStyle w:val="Tabletext"/>
              <w:jc w:val="center"/>
              <w:rPr>
                <w:rFonts w:eastAsiaTheme="minorEastAsia"/>
                <w:szCs w:val="22"/>
                <w:lang w:val="es-ES_tradnl"/>
              </w:rPr>
            </w:pPr>
            <w:r w:rsidRPr="00092E43">
              <w:rPr>
                <w:rFonts w:eastAsiaTheme="minorEastAsia"/>
                <w:szCs w:val="22"/>
                <w:lang w:val="es-ES_tradnl"/>
              </w:rPr>
              <w:t>–11,39</w:t>
            </w:r>
          </w:p>
        </w:tc>
        <w:tc>
          <w:tcPr>
            <w:tcW w:w="850" w:type="dxa"/>
            <w:vAlign w:val="center"/>
          </w:tcPr>
          <w:p w:rsidR="009F0FAC" w:rsidRPr="00092E43" w:rsidRDefault="009F0FAC" w:rsidP="00520CFB">
            <w:pPr>
              <w:pStyle w:val="Tabletext"/>
              <w:jc w:val="center"/>
              <w:rPr>
                <w:rFonts w:eastAsiaTheme="minorEastAsia"/>
                <w:szCs w:val="22"/>
                <w:lang w:val="es-ES_tradnl"/>
              </w:rPr>
            </w:pPr>
            <w:r w:rsidRPr="00092E43">
              <w:rPr>
                <w:rFonts w:eastAsiaTheme="minorEastAsia"/>
                <w:szCs w:val="22"/>
                <w:lang w:val="es-ES_tradnl"/>
              </w:rPr>
              <w:t>–13,12</w:t>
            </w:r>
          </w:p>
        </w:tc>
        <w:tc>
          <w:tcPr>
            <w:tcW w:w="850" w:type="dxa"/>
            <w:vAlign w:val="center"/>
          </w:tcPr>
          <w:p w:rsidR="009F0FAC" w:rsidRPr="00092E43" w:rsidRDefault="009F0FAC" w:rsidP="00520CFB">
            <w:pPr>
              <w:pStyle w:val="Tabletext"/>
              <w:jc w:val="center"/>
              <w:rPr>
                <w:rFonts w:eastAsiaTheme="minorEastAsia"/>
                <w:szCs w:val="22"/>
                <w:lang w:val="es-ES_tradnl"/>
              </w:rPr>
            </w:pPr>
            <w:r w:rsidRPr="00092E43">
              <w:rPr>
                <w:rFonts w:eastAsiaTheme="minorEastAsia"/>
                <w:szCs w:val="22"/>
                <w:lang w:val="es-ES_tradnl"/>
              </w:rPr>
              <w:t>–14,52</w:t>
            </w:r>
          </w:p>
        </w:tc>
        <w:tc>
          <w:tcPr>
            <w:tcW w:w="850" w:type="dxa"/>
            <w:vAlign w:val="center"/>
          </w:tcPr>
          <w:p w:rsidR="009F0FAC" w:rsidRPr="00092E43" w:rsidRDefault="009F0FAC" w:rsidP="00520CFB">
            <w:pPr>
              <w:pStyle w:val="Tabletext"/>
              <w:jc w:val="center"/>
              <w:rPr>
                <w:rFonts w:eastAsiaTheme="minorEastAsia"/>
                <w:szCs w:val="22"/>
                <w:lang w:val="es-ES_tradnl"/>
              </w:rPr>
            </w:pPr>
            <w:r w:rsidRPr="00092E43">
              <w:rPr>
                <w:rFonts w:eastAsiaTheme="minorEastAsia"/>
                <w:szCs w:val="22"/>
                <w:lang w:val="es-ES_tradnl"/>
              </w:rPr>
              <w:t>–15,77</w:t>
            </w:r>
          </w:p>
        </w:tc>
        <w:tc>
          <w:tcPr>
            <w:tcW w:w="850" w:type="dxa"/>
            <w:vAlign w:val="center"/>
          </w:tcPr>
          <w:p w:rsidR="009F0FAC" w:rsidRPr="00092E43" w:rsidRDefault="009F0FAC" w:rsidP="00520CFB">
            <w:pPr>
              <w:pStyle w:val="Tabletext"/>
              <w:jc w:val="center"/>
              <w:rPr>
                <w:rFonts w:eastAsiaTheme="minorEastAsia"/>
                <w:szCs w:val="22"/>
                <w:lang w:val="es-ES_tradnl"/>
              </w:rPr>
            </w:pPr>
            <w:r w:rsidRPr="00092E43">
              <w:rPr>
                <w:rFonts w:eastAsiaTheme="minorEastAsia"/>
                <w:szCs w:val="22"/>
                <w:lang w:val="es-ES_tradnl"/>
              </w:rPr>
              <w:t>–17,17</w:t>
            </w:r>
          </w:p>
        </w:tc>
        <w:tc>
          <w:tcPr>
            <w:tcW w:w="850" w:type="dxa"/>
            <w:vAlign w:val="center"/>
          </w:tcPr>
          <w:p w:rsidR="009F0FAC" w:rsidRPr="00092E43" w:rsidRDefault="009F0FAC" w:rsidP="00520CFB">
            <w:pPr>
              <w:pStyle w:val="Tabletext"/>
              <w:jc w:val="center"/>
              <w:rPr>
                <w:rFonts w:eastAsiaTheme="minorEastAsia"/>
                <w:szCs w:val="22"/>
                <w:lang w:val="es-ES_tradnl"/>
              </w:rPr>
            </w:pPr>
            <w:r w:rsidRPr="00092E43">
              <w:rPr>
                <w:rFonts w:eastAsiaTheme="minorEastAsia"/>
                <w:szCs w:val="22"/>
                <w:lang w:val="es-ES_tradnl"/>
              </w:rPr>
              <w:t>–18,00</w:t>
            </w:r>
          </w:p>
        </w:tc>
      </w:tr>
      <w:tr w:rsidR="009F0FAC" w:rsidRPr="00092E43" w:rsidTr="00520CFB">
        <w:trPr>
          <w:cantSplit/>
          <w:jc w:val="center"/>
        </w:trPr>
        <w:tc>
          <w:tcPr>
            <w:tcW w:w="1587" w:type="dxa"/>
          </w:tcPr>
          <w:p w:rsidR="009F0FAC" w:rsidRPr="00092E43" w:rsidRDefault="009F0FAC" w:rsidP="00520CFB">
            <w:pPr>
              <w:pStyle w:val="Tabletext"/>
              <w:jc w:val="left"/>
              <w:rPr>
                <w:lang w:val="es-ES_tradnl"/>
              </w:rPr>
            </w:pPr>
            <w:r w:rsidRPr="00092E43">
              <w:rPr>
                <w:lang w:val="es-ES_tradnl"/>
              </w:rPr>
              <w:t>Relación axial</w:t>
            </w:r>
          </w:p>
        </w:tc>
        <w:tc>
          <w:tcPr>
            <w:tcW w:w="737" w:type="dxa"/>
            <w:vAlign w:val="center"/>
          </w:tcPr>
          <w:p w:rsidR="009F0FAC" w:rsidRPr="00092E43" w:rsidRDefault="009F0FAC" w:rsidP="00520CFB">
            <w:pPr>
              <w:pStyle w:val="Tabletext"/>
              <w:jc w:val="center"/>
              <w:rPr>
                <w:rFonts w:eastAsiaTheme="minorEastAsia"/>
                <w:szCs w:val="22"/>
                <w:lang w:val="es-ES_tradnl"/>
              </w:rPr>
            </w:pPr>
            <w:r w:rsidRPr="00092E43">
              <w:rPr>
                <w:rFonts w:eastAsiaTheme="minorEastAsia"/>
                <w:szCs w:val="22"/>
                <w:lang w:val="es-ES_tradnl"/>
              </w:rPr>
              <w:t>6,02</w:t>
            </w:r>
          </w:p>
        </w:tc>
        <w:tc>
          <w:tcPr>
            <w:tcW w:w="737" w:type="dxa"/>
            <w:vAlign w:val="center"/>
          </w:tcPr>
          <w:p w:rsidR="009F0FAC" w:rsidRPr="00092E43" w:rsidRDefault="009F0FAC" w:rsidP="00520CFB">
            <w:pPr>
              <w:pStyle w:val="Tabletext"/>
              <w:jc w:val="center"/>
              <w:rPr>
                <w:rFonts w:eastAsiaTheme="minorEastAsia"/>
                <w:szCs w:val="22"/>
                <w:lang w:val="es-ES_tradnl"/>
              </w:rPr>
            </w:pPr>
            <w:r w:rsidRPr="00092E43">
              <w:rPr>
                <w:rFonts w:eastAsiaTheme="minorEastAsia"/>
                <w:szCs w:val="22"/>
                <w:lang w:val="es-ES_tradnl"/>
              </w:rPr>
              <w:t>5,85</w:t>
            </w:r>
          </w:p>
        </w:tc>
        <w:tc>
          <w:tcPr>
            <w:tcW w:w="737" w:type="dxa"/>
            <w:vAlign w:val="center"/>
          </w:tcPr>
          <w:p w:rsidR="009F0FAC" w:rsidRPr="00092E43" w:rsidRDefault="009F0FAC" w:rsidP="00520CFB">
            <w:pPr>
              <w:pStyle w:val="Tabletext"/>
              <w:jc w:val="center"/>
              <w:rPr>
                <w:rFonts w:eastAsiaTheme="minorEastAsia"/>
                <w:szCs w:val="22"/>
                <w:lang w:val="es-ES_tradnl"/>
              </w:rPr>
            </w:pPr>
            <w:r w:rsidRPr="00092E43">
              <w:rPr>
                <w:rFonts w:eastAsiaTheme="minorEastAsia"/>
                <w:szCs w:val="22"/>
                <w:lang w:val="es-ES_tradnl"/>
              </w:rPr>
              <w:t>5,59</w:t>
            </w:r>
          </w:p>
        </w:tc>
        <w:tc>
          <w:tcPr>
            <w:tcW w:w="737" w:type="dxa"/>
            <w:vAlign w:val="center"/>
          </w:tcPr>
          <w:p w:rsidR="009F0FAC" w:rsidRPr="00092E43" w:rsidRDefault="009F0FAC" w:rsidP="00520CFB">
            <w:pPr>
              <w:pStyle w:val="Tabletext"/>
              <w:jc w:val="center"/>
              <w:rPr>
                <w:rFonts w:eastAsiaTheme="minorEastAsia"/>
                <w:szCs w:val="22"/>
                <w:lang w:val="es-ES_tradnl"/>
              </w:rPr>
            </w:pPr>
            <w:r w:rsidRPr="00092E43">
              <w:rPr>
                <w:rFonts w:eastAsiaTheme="minorEastAsia"/>
                <w:szCs w:val="22"/>
                <w:lang w:val="es-ES_tradnl"/>
              </w:rPr>
              <w:t>5,26</w:t>
            </w:r>
          </w:p>
        </w:tc>
        <w:tc>
          <w:tcPr>
            <w:tcW w:w="850" w:type="dxa"/>
            <w:vAlign w:val="center"/>
          </w:tcPr>
          <w:p w:rsidR="009F0FAC" w:rsidRPr="00092E43" w:rsidRDefault="009F0FAC" w:rsidP="00520CFB">
            <w:pPr>
              <w:pStyle w:val="Tabletext"/>
              <w:jc w:val="center"/>
              <w:rPr>
                <w:rFonts w:eastAsiaTheme="minorEastAsia"/>
                <w:szCs w:val="22"/>
                <w:lang w:val="es-ES_tradnl"/>
              </w:rPr>
            </w:pPr>
            <w:r w:rsidRPr="00092E43">
              <w:rPr>
                <w:rFonts w:eastAsiaTheme="minorEastAsia"/>
                <w:szCs w:val="22"/>
                <w:lang w:val="es-ES_tradnl"/>
              </w:rPr>
              <w:t>4,90</w:t>
            </w:r>
          </w:p>
        </w:tc>
        <w:tc>
          <w:tcPr>
            <w:tcW w:w="850" w:type="dxa"/>
            <w:vAlign w:val="center"/>
          </w:tcPr>
          <w:p w:rsidR="009F0FAC" w:rsidRPr="00092E43" w:rsidRDefault="009F0FAC" w:rsidP="00520CFB">
            <w:pPr>
              <w:pStyle w:val="Tabletext"/>
              <w:jc w:val="center"/>
              <w:rPr>
                <w:rFonts w:eastAsiaTheme="minorEastAsia"/>
                <w:szCs w:val="22"/>
                <w:lang w:val="es-ES_tradnl"/>
              </w:rPr>
            </w:pPr>
            <w:r w:rsidRPr="00092E43">
              <w:rPr>
                <w:rFonts w:eastAsiaTheme="minorEastAsia"/>
                <w:szCs w:val="22"/>
                <w:lang w:val="es-ES_tradnl"/>
              </w:rPr>
              <w:t>4,57</w:t>
            </w:r>
          </w:p>
        </w:tc>
        <w:tc>
          <w:tcPr>
            <w:tcW w:w="850" w:type="dxa"/>
            <w:vAlign w:val="center"/>
          </w:tcPr>
          <w:p w:rsidR="009F0FAC" w:rsidRPr="00092E43" w:rsidRDefault="009F0FAC" w:rsidP="00520CFB">
            <w:pPr>
              <w:pStyle w:val="Tabletext"/>
              <w:jc w:val="center"/>
              <w:rPr>
                <w:rFonts w:eastAsiaTheme="minorEastAsia"/>
                <w:szCs w:val="22"/>
                <w:lang w:val="es-ES_tradnl"/>
              </w:rPr>
            </w:pPr>
            <w:r w:rsidRPr="00092E43">
              <w:rPr>
                <w:rFonts w:eastAsiaTheme="minorEastAsia"/>
                <w:szCs w:val="22"/>
                <w:lang w:val="es-ES_tradnl"/>
              </w:rPr>
              <w:t>4,31</w:t>
            </w:r>
          </w:p>
        </w:tc>
        <w:tc>
          <w:tcPr>
            <w:tcW w:w="850" w:type="dxa"/>
            <w:vAlign w:val="center"/>
          </w:tcPr>
          <w:p w:rsidR="009F0FAC" w:rsidRPr="00092E43" w:rsidRDefault="009F0FAC" w:rsidP="00520CFB">
            <w:pPr>
              <w:pStyle w:val="Tabletext"/>
              <w:jc w:val="center"/>
              <w:rPr>
                <w:rFonts w:eastAsiaTheme="minorEastAsia"/>
                <w:szCs w:val="22"/>
                <w:lang w:val="es-ES_tradnl"/>
              </w:rPr>
            </w:pPr>
            <w:r w:rsidRPr="00092E43">
              <w:rPr>
                <w:rFonts w:eastAsiaTheme="minorEastAsia"/>
                <w:szCs w:val="22"/>
                <w:lang w:val="es-ES_tradnl"/>
              </w:rPr>
              <w:t>4,11</w:t>
            </w:r>
          </w:p>
        </w:tc>
        <w:tc>
          <w:tcPr>
            <w:tcW w:w="850" w:type="dxa"/>
            <w:vAlign w:val="center"/>
          </w:tcPr>
          <w:p w:rsidR="009F0FAC" w:rsidRPr="00092E43" w:rsidRDefault="009F0FAC" w:rsidP="00520CFB">
            <w:pPr>
              <w:pStyle w:val="Tabletext"/>
              <w:jc w:val="center"/>
              <w:rPr>
                <w:rFonts w:eastAsiaTheme="minorEastAsia"/>
                <w:szCs w:val="22"/>
                <w:lang w:val="es-ES_tradnl"/>
              </w:rPr>
            </w:pPr>
            <w:r w:rsidRPr="00092E43">
              <w:rPr>
                <w:rFonts w:eastAsiaTheme="minorEastAsia"/>
                <w:szCs w:val="22"/>
                <w:lang w:val="es-ES_tradnl"/>
              </w:rPr>
              <w:t>3,78</w:t>
            </w:r>
          </w:p>
        </w:tc>
        <w:tc>
          <w:tcPr>
            <w:tcW w:w="850" w:type="dxa"/>
            <w:vAlign w:val="center"/>
          </w:tcPr>
          <w:p w:rsidR="009F0FAC" w:rsidRPr="00092E43" w:rsidRDefault="009F0FAC" w:rsidP="00520CFB">
            <w:pPr>
              <w:pStyle w:val="Tabletext"/>
              <w:jc w:val="center"/>
              <w:rPr>
                <w:rFonts w:eastAsiaTheme="minorEastAsia"/>
                <w:szCs w:val="22"/>
                <w:lang w:val="es-ES_tradnl"/>
              </w:rPr>
            </w:pPr>
            <w:r w:rsidRPr="00092E43">
              <w:rPr>
                <w:rFonts w:eastAsiaTheme="minorEastAsia"/>
                <w:szCs w:val="22"/>
                <w:lang w:val="es-ES_tradnl"/>
              </w:rPr>
              <w:t>3,49</w:t>
            </w:r>
          </w:p>
        </w:tc>
      </w:tr>
    </w:tbl>
    <w:p w:rsidR="009F0FAC" w:rsidRPr="00092E43" w:rsidRDefault="009F0FAC" w:rsidP="009F0FAC">
      <w:pPr>
        <w:rPr>
          <w:rFonts w:eastAsiaTheme="minorEastAsia"/>
          <w:sz w:val="20"/>
          <w:lang w:val="es-ES_tradnl"/>
        </w:rPr>
      </w:pPr>
    </w:p>
    <w:p w:rsidR="009F0FAC" w:rsidRPr="00092E43" w:rsidRDefault="009F0FAC" w:rsidP="009F0FAC">
      <w:pPr>
        <w:rPr>
          <w:rFonts w:eastAsiaTheme="minorEastAsia"/>
          <w:szCs w:val="24"/>
          <w:lang w:val="es-ES_tradnl"/>
        </w:rPr>
      </w:pPr>
      <w:r w:rsidRPr="00092E43">
        <w:rPr>
          <w:rFonts w:eastAsiaTheme="minorEastAsia"/>
          <w:szCs w:val="24"/>
          <w:lang w:val="es-ES_tradnl"/>
        </w:rPr>
        <w:t xml:space="preserve">Por lo tanto, la máxima potencia admisible en el punto A de la Fig. 1 es −176,8 + 1,6 (pérdidas) = −175,2 dBW, teniendo en cuenta el máximo ángulo nadir del satélite. Dado que se necesita la dfp, esta cifra debe convertirse en </w:t>
      </w:r>
      <w:proofErr w:type="gramStart"/>
      <w:r w:rsidRPr="00092E43">
        <w:rPr>
          <w:rFonts w:eastAsiaTheme="minorEastAsia"/>
          <w:szCs w:val="24"/>
          <w:lang w:val="es-ES_tradnl"/>
        </w:rPr>
        <w:t>dB(</w:t>
      </w:r>
      <w:proofErr w:type="gramEnd"/>
      <w:r w:rsidRPr="00092E43">
        <w:rPr>
          <w:rFonts w:eastAsiaTheme="minorEastAsia"/>
          <w:szCs w:val="24"/>
          <w:lang w:val="es-ES_tradnl"/>
        </w:rPr>
        <w:t>W/m</w:t>
      </w:r>
      <w:r w:rsidRPr="00092E43">
        <w:rPr>
          <w:rFonts w:eastAsiaTheme="minorEastAsia"/>
          <w:szCs w:val="24"/>
          <w:vertAlign w:val="superscript"/>
          <w:lang w:val="es-ES_tradnl"/>
        </w:rPr>
        <w:t>2</w:t>
      </w:r>
      <w:r w:rsidRPr="00092E43">
        <w:rPr>
          <w:rFonts w:eastAsiaTheme="minorEastAsia"/>
          <w:szCs w:val="24"/>
          <w:lang w:val="es-ES_tradnl"/>
        </w:rPr>
        <w:t>). El área de la superficie equivalente de una antena cuya ganancia </w:t>
      </w:r>
      <w:r w:rsidRPr="00092E43">
        <w:rPr>
          <w:rFonts w:eastAsiaTheme="minorEastAsia"/>
          <w:i/>
          <w:iCs/>
          <w:szCs w:val="24"/>
          <w:lang w:val="es-ES_tradnl"/>
        </w:rPr>
        <w:t>G</w:t>
      </w:r>
      <w:r w:rsidRPr="00092E43">
        <w:rPr>
          <w:rFonts w:eastAsiaTheme="minorEastAsia"/>
          <w:szCs w:val="24"/>
          <w:lang w:val="es-ES_tradnl"/>
        </w:rPr>
        <w:t xml:space="preserve"> sea </w:t>
      </w:r>
      <w:r w:rsidRPr="00092E43">
        <w:rPr>
          <w:rFonts w:eastAsiaTheme="minorEastAsia"/>
          <w:position w:val="-24"/>
          <w:szCs w:val="24"/>
          <w:lang w:val="es-ES_tradnl"/>
        </w:rPr>
        <w:object w:dxaOrig="980" w:dyaOrig="660">
          <v:shape id="_x0000_i1029" type="#_x0000_t75" style="width:48.75pt;height:33pt" o:ole="">
            <v:imagedata r:id="rId21" o:title=""/>
          </v:shape>
          <o:OLEObject Type="Embed" ProgID="Equation.3" ShapeID="_x0000_i1029" DrawAspect="Content" ObjectID="_1598445728" r:id="rId22"/>
        </w:object>
      </w:r>
      <w:r w:rsidRPr="00092E43">
        <w:rPr>
          <w:rFonts w:eastAsiaTheme="minorEastAsia"/>
          <w:szCs w:val="24"/>
          <w:lang w:val="es-ES_tradnl"/>
        </w:rPr>
        <w:t xml:space="preserve"> corresponde al ángulo nadir más elevado del satélite. Por ello, la dfp correspondiente es −175,2 – 10 log</w:t>
      </w:r>
      <w:r w:rsidRPr="00092E43">
        <w:rPr>
          <w:rFonts w:eastAsiaTheme="minorEastAsia"/>
          <w:szCs w:val="24"/>
          <w:vertAlign w:val="subscript"/>
          <w:lang w:val="es-ES_tradnl"/>
        </w:rPr>
        <w:t>10</w:t>
      </w:r>
      <w:r w:rsidRPr="00092E43">
        <w:rPr>
          <w:rFonts w:eastAsiaTheme="minorEastAsia"/>
          <w:szCs w:val="24"/>
          <w:lang w:val="es-ES_tradnl"/>
        </w:rPr>
        <w:t xml:space="preserve"> </w:t>
      </w:r>
      <w:r w:rsidRPr="00092E43">
        <w:rPr>
          <w:rFonts w:eastAsiaTheme="minorEastAsia"/>
          <w:i/>
          <w:iCs/>
          <w:szCs w:val="24"/>
          <w:lang w:val="es-ES_tradnl"/>
        </w:rPr>
        <w:t>S</w:t>
      </w:r>
      <w:r w:rsidRPr="00092E43">
        <w:rPr>
          <w:rFonts w:eastAsiaTheme="minorEastAsia"/>
          <w:szCs w:val="24"/>
          <w:lang w:val="es-ES_tradnl"/>
        </w:rPr>
        <w:t> = −165,4 </w:t>
      </w:r>
      <w:proofErr w:type="gramStart"/>
      <w:r w:rsidRPr="00092E43">
        <w:rPr>
          <w:rFonts w:eastAsiaTheme="minorEastAsia"/>
          <w:szCs w:val="24"/>
          <w:lang w:val="es-ES_tradnl"/>
        </w:rPr>
        <w:t>dB(</w:t>
      </w:r>
      <w:proofErr w:type="gramEnd"/>
      <w:r w:rsidRPr="00092E43">
        <w:rPr>
          <w:rFonts w:eastAsiaTheme="minorEastAsia"/>
          <w:szCs w:val="24"/>
          <w:lang w:val="es-ES_tradnl"/>
        </w:rPr>
        <w:t>W/m</w:t>
      </w:r>
      <w:r w:rsidRPr="00092E43">
        <w:rPr>
          <w:rFonts w:eastAsiaTheme="minorEastAsia"/>
          <w:szCs w:val="24"/>
          <w:vertAlign w:val="superscript"/>
          <w:lang w:val="es-ES_tradnl"/>
        </w:rPr>
        <w:t>2</w:t>
      </w:r>
      <w:r w:rsidRPr="00092E43">
        <w:rPr>
          <w:rFonts w:eastAsiaTheme="minorEastAsia"/>
          <w:szCs w:val="24"/>
          <w:lang w:val="es-ES_tradnl"/>
        </w:rPr>
        <w:t>).</w:t>
      </w:r>
    </w:p>
    <w:p w:rsidR="009F0FAC" w:rsidRPr="00092E43" w:rsidRDefault="009F0FAC" w:rsidP="009F0FAC">
      <w:pPr>
        <w:pStyle w:val="Heading1"/>
        <w:rPr>
          <w:lang w:val="es-ES_tradnl"/>
        </w:rPr>
      </w:pPr>
      <w:r w:rsidRPr="00092E43">
        <w:rPr>
          <w:lang w:val="es-ES_tradnl"/>
        </w:rPr>
        <w:lastRenderedPageBreak/>
        <w:t>4</w:t>
      </w:r>
      <w:r w:rsidRPr="00092E43">
        <w:rPr>
          <w:lang w:val="es-ES_tradnl"/>
        </w:rPr>
        <w:tab/>
        <w:t>Conclusión</w:t>
      </w:r>
    </w:p>
    <w:p w:rsidR="009F0FAC" w:rsidRPr="00092E43" w:rsidRDefault="009F0FAC" w:rsidP="009F0FAC">
      <w:pPr>
        <w:rPr>
          <w:rFonts w:eastAsiaTheme="minorEastAsia"/>
          <w:szCs w:val="24"/>
          <w:lang w:val="es-ES_tradnl"/>
        </w:rPr>
      </w:pPr>
      <w:r w:rsidRPr="00092E43">
        <w:rPr>
          <w:rFonts w:eastAsiaTheme="minorEastAsia"/>
          <w:szCs w:val="24"/>
          <w:lang w:val="es-ES_tradnl"/>
        </w:rPr>
        <w:t>De acuerdo con los cálculos anteriores, las conclusiones y recomendaciones relativas al efecto de la combinación de las emisiones interferentes de banda estrecha espectral no debe rebasar el valor de −165,4 </w:t>
      </w:r>
      <w:proofErr w:type="gramStart"/>
      <w:r w:rsidRPr="00092E43">
        <w:rPr>
          <w:rFonts w:eastAsiaTheme="minorEastAsia"/>
          <w:szCs w:val="24"/>
          <w:lang w:val="es-ES_tradnl"/>
        </w:rPr>
        <w:t>dB(</w:t>
      </w:r>
      <w:proofErr w:type="gramEnd"/>
      <w:r w:rsidRPr="00092E43">
        <w:rPr>
          <w:rFonts w:eastAsiaTheme="minorEastAsia"/>
          <w:szCs w:val="24"/>
          <w:lang w:val="es-ES_tradnl"/>
        </w:rPr>
        <w:t>W/m</w:t>
      </w:r>
      <w:r w:rsidRPr="00092E43">
        <w:rPr>
          <w:rFonts w:eastAsiaTheme="minorEastAsia"/>
          <w:szCs w:val="24"/>
          <w:vertAlign w:val="superscript"/>
          <w:lang w:val="es-ES_tradnl"/>
        </w:rPr>
        <w:t>2</w:t>
      </w:r>
      <w:r w:rsidRPr="00092E43">
        <w:rPr>
          <w:rFonts w:eastAsiaTheme="minorEastAsia"/>
          <w:szCs w:val="24"/>
          <w:lang w:val="es-ES_tradnl"/>
        </w:rPr>
        <w:t xml:space="preserve">) a la entrada de la antena ARGOS en la banda de frecuencias </w:t>
      </w:r>
      <w:r>
        <w:rPr>
          <w:rFonts w:eastAsiaTheme="minorEastAsia"/>
          <w:szCs w:val="24"/>
          <w:lang w:val="es-ES_tradnl"/>
        </w:rPr>
        <w:t>401</w:t>
      </w:r>
      <w:r>
        <w:rPr>
          <w:rFonts w:eastAsiaTheme="minorEastAsia"/>
          <w:szCs w:val="24"/>
          <w:lang w:val="es-ES_tradnl"/>
        </w:rPr>
        <w:noBreakHyphen/>
      </w:r>
      <w:r w:rsidRPr="00092E43">
        <w:rPr>
          <w:rFonts w:eastAsiaTheme="minorEastAsia"/>
          <w:szCs w:val="24"/>
          <w:lang w:val="es-ES_tradnl"/>
        </w:rPr>
        <w:t xml:space="preserve">401,69 MHz con una anchura de banda de resolución de 19 Hz. </w:t>
      </w:r>
    </w:p>
    <w:p w:rsidR="009F0FAC" w:rsidRDefault="009F0FAC" w:rsidP="009F0FAC">
      <w:pPr>
        <w:rPr>
          <w:lang w:val="es-ES_tradnl"/>
        </w:rPr>
      </w:pPr>
    </w:p>
    <w:p w:rsidR="009F0FAC" w:rsidRPr="00092E43" w:rsidRDefault="009F0FAC" w:rsidP="009F0FAC">
      <w:pPr>
        <w:spacing w:before="0"/>
        <w:rPr>
          <w:lang w:val="es-ES_tradnl"/>
        </w:rPr>
      </w:pPr>
    </w:p>
    <w:p w:rsidR="009F0FAC" w:rsidRPr="00092E43" w:rsidRDefault="009F0FAC" w:rsidP="009F0FAC">
      <w:pPr>
        <w:jc w:val="center"/>
        <w:rPr>
          <w:lang w:val="es-ES_tradnl"/>
        </w:rPr>
      </w:pPr>
      <w:r w:rsidRPr="00092E43">
        <w:rPr>
          <w:lang w:val="es-ES_tradnl"/>
        </w:rPr>
        <w:t>______________</w:t>
      </w:r>
    </w:p>
    <w:p w:rsidR="00A6617B" w:rsidRPr="00A6617B" w:rsidRDefault="00A6617B" w:rsidP="009F0FAC"/>
    <w:sectPr w:rsidR="00A6617B" w:rsidRPr="00A6617B" w:rsidSect="00021719">
      <w:headerReference w:type="even" r:id="rId23"/>
      <w:headerReference w:type="default" r:id="rId2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0FAC" w:rsidRDefault="009F0FAC">
      <w:r>
        <w:separator/>
      </w:r>
    </w:p>
  </w:endnote>
  <w:endnote w:type="continuationSeparator" w:id="0">
    <w:p w:rsidR="009F0FAC" w:rsidRDefault="009F0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ì????"/>
    <w:panose1 w:val="02010600030101010101"/>
    <w:charset w:val="86"/>
    <w:family w:val="auto"/>
    <w:pitch w:val="variable"/>
    <w:sig w:usb0="00000003" w:usb1="288F0000" w:usb2="00000016" w:usb3="00000000" w:csb0="0004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0FAC" w:rsidRDefault="009F0FAC">
      <w:r>
        <w:separator/>
      </w:r>
    </w:p>
  </w:footnote>
  <w:footnote w:type="continuationSeparator" w:id="0">
    <w:p w:rsidR="009F0FAC" w:rsidRDefault="009F0F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FAC" w:rsidRDefault="009F0FA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FAC" w:rsidRDefault="009F0FAC" w:rsidP="00D62884">
    <w:pPr>
      <w:pStyle w:val="Header"/>
      <w:ind w:right="360" w:firstLine="360"/>
    </w:pPr>
    <w:r>
      <w:rPr>
        <w:noProof/>
        <w:lang w:val="en-GB" w:eastAsia="zh-CN"/>
      </w:rPr>
      <w:drawing>
        <wp:anchor distT="0" distB="0" distL="114300" distR="114300" simplePos="0" relativeHeight="251659264" behindDoc="1" locked="0" layoutInCell="1" allowOverlap="1" wp14:anchorId="27567259" wp14:editId="3A6D789B">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FAC" w:rsidRDefault="009F0FAC"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D01719">
      <w:rPr>
        <w:rStyle w:val="PageNumber"/>
        <w:b/>
        <w:bCs/>
        <w:noProof/>
      </w:rPr>
      <w:t>ii</w:t>
    </w:r>
    <w:r>
      <w:rPr>
        <w:rStyle w:val="PageNumber"/>
        <w:b/>
        <w:bCs/>
      </w:rPr>
      <w:fldChar w:fldCharType="end"/>
    </w:r>
    <w:r>
      <w:tab/>
    </w:r>
    <w:r w:rsidR="00D01719">
      <w:rPr>
        <w:b/>
        <w:bCs/>
        <w:lang w:val="fr-CH"/>
      </w:rPr>
      <w:fldChar w:fldCharType="begin"/>
    </w:r>
    <w:r w:rsidR="00D01719">
      <w:rPr>
        <w:b/>
        <w:bCs/>
        <w:lang w:val="fr-CH"/>
      </w:rPr>
      <w:instrText xml:space="preserve"> DOCPROPERTY "Header" \* MERGEFORMAT </w:instrText>
    </w:r>
    <w:r w:rsidR="00D01719">
      <w:rPr>
        <w:b/>
        <w:bCs/>
        <w:lang w:val="fr-CH"/>
      </w:rPr>
      <w:fldChar w:fldCharType="separate"/>
    </w:r>
    <w:r w:rsidR="00D01719">
      <w:rPr>
        <w:b/>
        <w:bCs/>
        <w:lang w:val="fr-CH"/>
      </w:rPr>
      <w:t xml:space="preserve">Rec. </w:t>
    </w:r>
    <w:r w:rsidR="00D01719">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D01719">
      <w:rPr>
        <w:b/>
        <w:bCs/>
        <w:noProof/>
      </w:rPr>
      <w:t>UIT-R  SA.2044-0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FAC" w:rsidRDefault="009F0FAC">
    <w:pPr>
      <w:pStyle w:val="Header"/>
    </w:pPr>
    <w:r>
      <w:tab/>
    </w:r>
    <w:r w:rsidR="00D01719">
      <w:rPr>
        <w:lang w:val="en-US"/>
      </w:rPr>
      <w:fldChar w:fldCharType="begin"/>
    </w:r>
    <w:r w:rsidR="00D01719">
      <w:rPr>
        <w:lang w:val="en-US"/>
      </w:rPr>
      <w:instrText xml:space="preserve"> DOCPROPERTY "Header" \* MERGEFORMAT </w:instrText>
    </w:r>
    <w:r w:rsidR="00D01719">
      <w:rPr>
        <w:lang w:val="en-US"/>
      </w:rPr>
      <w:fldChar w:fldCharType="separate"/>
    </w:r>
    <w:r w:rsidR="00D01719">
      <w:rPr>
        <w:lang w:val="en-US"/>
      </w:rPr>
      <w:t xml:space="preserve">Rec. </w:t>
    </w:r>
    <w:r w:rsidR="00D01719">
      <w:rPr>
        <w:lang w:val="en-US"/>
      </w:rPr>
      <w:fldChar w:fldCharType="end"/>
    </w:r>
    <w:r>
      <w:rPr>
        <w:b/>
        <w:bCs/>
      </w:rPr>
      <w:t xml:space="preserve">  </w:t>
    </w:r>
    <w:r>
      <w:rPr>
        <w:b/>
        <w:bCs/>
      </w:rPr>
      <w:fldChar w:fldCharType="begin"/>
    </w:r>
    <w:r>
      <w:rPr>
        <w:b/>
        <w:bCs/>
      </w:rPr>
      <w:instrText>styleref href</w:instrText>
    </w:r>
    <w:r>
      <w:rPr>
        <w:b/>
        <w:bCs/>
      </w:rPr>
      <w:fldChar w:fldCharType="separate"/>
    </w:r>
    <w:r w:rsidR="00D01719">
      <w:rPr>
        <w:b/>
        <w:bCs/>
        <w:noProof/>
      </w:rPr>
      <w:t>UIT-R  SA.2044-0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01719">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D01719" w:rsidRPr="00D01719">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01719">
      <w:rPr>
        <w:b/>
        <w:bCs/>
        <w:noProof/>
      </w:rPr>
      <w:t>UIT-R  SA.2044-0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D01719">
      <w:rPr>
        <w:b/>
        <w:bCs/>
      </w:rPr>
      <w:fldChar w:fldCharType="begin"/>
    </w:r>
    <w:r w:rsidR="00D01719">
      <w:rPr>
        <w:b/>
        <w:bCs/>
      </w:rPr>
      <w:instrText xml:space="preserve"> DOCPROPERTY "Header" \* MERGEFORMAT </w:instrText>
    </w:r>
    <w:r w:rsidR="00D01719">
      <w:rPr>
        <w:b/>
        <w:bCs/>
      </w:rPr>
      <w:fldChar w:fldCharType="separate"/>
    </w:r>
    <w:r w:rsidR="00D01719">
      <w:rPr>
        <w:b/>
        <w:bCs/>
      </w:rPr>
      <w:t xml:space="preserve">Rec. </w:t>
    </w:r>
    <w:r w:rsidR="00D01719">
      <w:rPr>
        <w:b/>
        <w:bCs/>
      </w:rPr>
      <w:fldChar w:fldCharType="end"/>
    </w:r>
    <w:r>
      <w:rPr>
        <w:b/>
        <w:bCs/>
      </w:rPr>
      <w:t xml:space="preserve"> </w:t>
    </w:r>
    <w:r>
      <w:rPr>
        <w:b/>
        <w:bCs/>
      </w:rPr>
      <w:fldChar w:fldCharType="begin"/>
    </w:r>
    <w:r>
      <w:rPr>
        <w:b/>
        <w:bCs/>
      </w:rPr>
      <w:instrText>styleref href</w:instrText>
    </w:r>
    <w:r>
      <w:rPr>
        <w:b/>
        <w:bCs/>
      </w:rPr>
      <w:fldChar w:fldCharType="separate"/>
    </w:r>
    <w:r w:rsidR="00D01719">
      <w:rPr>
        <w:b/>
        <w:bCs/>
        <w:noProof/>
      </w:rPr>
      <w:t>UIT-R  SA.2044-0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01719">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s-E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FAC"/>
    <w:rsid w:val="00021719"/>
    <w:rsid w:val="00055C91"/>
    <w:rsid w:val="00056DE0"/>
    <w:rsid w:val="000730F2"/>
    <w:rsid w:val="00217EBF"/>
    <w:rsid w:val="00242AEE"/>
    <w:rsid w:val="002D76C4"/>
    <w:rsid w:val="00404914"/>
    <w:rsid w:val="004B03D9"/>
    <w:rsid w:val="0052529D"/>
    <w:rsid w:val="00607D68"/>
    <w:rsid w:val="007468DA"/>
    <w:rsid w:val="00773A0A"/>
    <w:rsid w:val="0098680E"/>
    <w:rsid w:val="0098746A"/>
    <w:rsid w:val="009E00A8"/>
    <w:rsid w:val="009F0FAC"/>
    <w:rsid w:val="00A6617B"/>
    <w:rsid w:val="00AA1C5D"/>
    <w:rsid w:val="00AB0DC8"/>
    <w:rsid w:val="00B44E24"/>
    <w:rsid w:val="00BA4B64"/>
    <w:rsid w:val="00D01719"/>
    <w:rsid w:val="00D20713"/>
    <w:rsid w:val="00D55F08"/>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5:docId w15:val="{DAE198BC-6A99-4939-801B-FB530AA32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FA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0"/>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9F0FAC"/>
    <w:rPr>
      <w:color w:val="0000FF"/>
      <w:u w:val="single"/>
    </w:rPr>
  </w:style>
  <w:style w:type="character" w:customStyle="1" w:styleId="Heading1Char">
    <w:name w:val="Heading 1 Char"/>
    <w:basedOn w:val="DefaultParagraphFont"/>
    <w:link w:val="Heading1"/>
    <w:rsid w:val="009F0FAC"/>
    <w:rPr>
      <w:b/>
      <w:sz w:val="24"/>
      <w:lang w:val="fr-FR" w:eastAsia="en-US"/>
    </w:rPr>
  </w:style>
  <w:style w:type="character" w:customStyle="1" w:styleId="Rectitle0">
    <w:name w:val="Rec_title Знак"/>
    <w:link w:val="Rectitle"/>
    <w:locked/>
    <w:rsid w:val="009F0FAC"/>
    <w:rPr>
      <w:b/>
      <w:sz w:val="28"/>
      <w:lang w:val="fr-FR" w:eastAsia="en-US"/>
    </w:rPr>
  </w:style>
  <w:style w:type="character" w:customStyle="1" w:styleId="Tabletitle0">
    <w:name w:val="Table_title Знак"/>
    <w:link w:val="Tabletitle"/>
    <w:locked/>
    <w:rsid w:val="009F0FAC"/>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w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header" Target="header5.xml"/><Relationship Id="rId10" Type="http://schemas.openxmlformats.org/officeDocument/2006/relationships/hyperlink" Target="http://www.itu.int/publ/R-REC/es" TargetMode="External"/><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5.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344764-3C9B-401B-8764-15E5E27D0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87</TotalTime>
  <Pages>8</Pages>
  <Words>2277</Words>
  <Characters>11873</Characters>
  <Application>Microsoft Office Word</Application>
  <DocSecurity>0</DocSecurity>
  <Lines>98</Lines>
  <Paragraphs>28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Al-Yammouni, Hala</cp:lastModifiedBy>
  <cp:revision>13</cp:revision>
  <cp:lastPrinted>2018-09-14T13:51:00Z</cp:lastPrinted>
  <dcterms:created xsi:type="dcterms:W3CDTF">2014-09-15T12:54:00Z</dcterms:created>
  <dcterms:modified xsi:type="dcterms:W3CDTF">2018-09-14T13:52:00Z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