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88983" w14:textId="77777777" w:rsidR="00A107EF" w:rsidRPr="003C739E" w:rsidRDefault="00A107EF" w:rsidP="00820005"/>
    <w:p w14:paraId="5FE069CA" w14:textId="77777777" w:rsidR="00A107EF" w:rsidRPr="003C739E" w:rsidRDefault="00A107EF" w:rsidP="00820005"/>
    <w:p w14:paraId="3F474652" w14:textId="77777777" w:rsidR="00A107EF" w:rsidRPr="003C739E" w:rsidRDefault="00A107EF" w:rsidP="00820005"/>
    <w:p w14:paraId="2C618CC2" w14:textId="77777777" w:rsidR="00A107EF" w:rsidRPr="003C739E" w:rsidRDefault="00A107EF" w:rsidP="00820005"/>
    <w:p w14:paraId="3561C791" w14:textId="77777777" w:rsidR="00A107EF" w:rsidRPr="003C739E" w:rsidRDefault="00A107EF" w:rsidP="00820005"/>
    <w:p w14:paraId="0331DE65" w14:textId="77777777" w:rsidR="00A107EF" w:rsidRPr="003C739E" w:rsidRDefault="00A107EF" w:rsidP="00820005"/>
    <w:p w14:paraId="7F7FBF39" w14:textId="77777777" w:rsidR="00A107EF" w:rsidRPr="003C739E" w:rsidRDefault="00A107EF" w:rsidP="00820005"/>
    <w:p w14:paraId="62D7E30B" w14:textId="77777777" w:rsidR="00A107EF" w:rsidRPr="003C739E" w:rsidRDefault="00A107EF" w:rsidP="00820005"/>
    <w:p w14:paraId="0F2E0839" w14:textId="77777777" w:rsidR="00A107EF" w:rsidRPr="003C739E" w:rsidRDefault="00A107EF" w:rsidP="00820005"/>
    <w:tbl>
      <w:tblPr>
        <w:tblW w:w="10089" w:type="dxa"/>
        <w:tblLook w:val="01E0" w:firstRow="1" w:lastRow="1" w:firstColumn="1" w:lastColumn="1" w:noHBand="0" w:noVBand="0"/>
      </w:tblPr>
      <w:tblGrid>
        <w:gridCol w:w="10089"/>
      </w:tblGrid>
      <w:tr w:rsidR="00A107EF" w:rsidRPr="003C739E" w14:paraId="5AB0FAF6" w14:textId="77777777">
        <w:tc>
          <w:tcPr>
            <w:tcW w:w="10089" w:type="dxa"/>
          </w:tcPr>
          <w:p w14:paraId="73FE2368" w14:textId="77777777" w:rsidR="00A107EF" w:rsidRPr="003C739E" w:rsidRDefault="00A107EF" w:rsidP="00820005">
            <w:pPr>
              <w:spacing w:before="380"/>
              <w:jc w:val="right"/>
              <w:rPr>
                <w:rFonts w:ascii="Tahoma" w:hAnsi="Tahoma" w:cs="Tahoma"/>
                <w:b/>
                <w:bCs/>
                <w:iCs/>
                <w:color w:val="243285"/>
                <w:sz w:val="32"/>
                <w:szCs w:val="32"/>
              </w:rPr>
            </w:pPr>
          </w:p>
          <w:p w14:paraId="77A14F87" w14:textId="0D6C5FF2" w:rsidR="00A107EF" w:rsidRPr="003C739E" w:rsidRDefault="00A107EF" w:rsidP="00820005">
            <w:pPr>
              <w:spacing w:before="380"/>
              <w:jc w:val="right"/>
              <w:rPr>
                <w:rFonts w:ascii="Tahoma" w:hAnsi="Tahoma" w:cs="Tahoma"/>
                <w:b/>
                <w:bCs/>
                <w:iCs/>
                <w:color w:val="243285"/>
                <w:sz w:val="36"/>
                <w:szCs w:val="36"/>
              </w:rPr>
            </w:pPr>
            <w:r w:rsidRPr="003C739E">
              <w:rPr>
                <w:rFonts w:ascii="Tahoma" w:hAnsi="Tahoma" w:cs="Tahoma"/>
                <w:b/>
                <w:bCs/>
                <w:iCs/>
                <w:color w:val="243285"/>
                <w:sz w:val="36"/>
                <w:szCs w:val="36"/>
              </w:rPr>
              <w:t xml:space="preserve">Recommandation </w:t>
            </w:r>
            <w:r w:rsidR="00084A33" w:rsidRPr="003C739E">
              <w:rPr>
                <w:rFonts w:ascii="Tahoma" w:hAnsi="Tahoma" w:cs="Tahoma"/>
                <w:b/>
                <w:bCs/>
                <w:iCs/>
                <w:color w:val="243285"/>
                <w:sz w:val="36"/>
                <w:szCs w:val="36"/>
              </w:rPr>
              <w:t xml:space="preserve"> </w:t>
            </w:r>
            <w:r w:rsidRPr="003C739E">
              <w:rPr>
                <w:rFonts w:ascii="Tahoma" w:hAnsi="Tahoma" w:cs="Tahoma"/>
                <w:b/>
                <w:bCs/>
                <w:iCs/>
                <w:color w:val="243285"/>
                <w:sz w:val="36"/>
                <w:szCs w:val="36"/>
              </w:rPr>
              <w:t>UIT-R  SA.</w:t>
            </w:r>
            <w:r w:rsidR="00A52963" w:rsidRPr="003C739E">
              <w:rPr>
                <w:rFonts w:ascii="Tahoma" w:hAnsi="Tahoma" w:cs="Tahoma"/>
                <w:b/>
                <w:bCs/>
                <w:iCs/>
                <w:color w:val="243285"/>
                <w:sz w:val="36"/>
                <w:szCs w:val="36"/>
              </w:rPr>
              <w:t>2156-0</w:t>
            </w:r>
          </w:p>
          <w:p w14:paraId="0274ECE7" w14:textId="1AABC089" w:rsidR="00A107EF" w:rsidRPr="003C739E" w:rsidRDefault="00A107EF" w:rsidP="00820005">
            <w:pPr>
              <w:spacing w:before="80"/>
              <w:jc w:val="right"/>
              <w:rPr>
                <w:rFonts w:ascii="Tahoma" w:hAnsi="Tahoma" w:cs="Tahoma"/>
                <w:b/>
                <w:bCs/>
                <w:iCs/>
                <w:color w:val="243285"/>
                <w:szCs w:val="24"/>
              </w:rPr>
            </w:pPr>
            <w:r w:rsidRPr="003C739E">
              <w:rPr>
                <w:rFonts w:ascii="Tahoma" w:hAnsi="Tahoma" w:cs="Tahoma"/>
                <w:b/>
                <w:bCs/>
                <w:iCs/>
                <w:color w:val="243285"/>
                <w:szCs w:val="24"/>
              </w:rPr>
              <w:t>(</w:t>
            </w:r>
            <w:r w:rsidR="00FC580C" w:rsidRPr="003C739E">
              <w:rPr>
                <w:rFonts w:ascii="Tahoma" w:hAnsi="Tahoma" w:cs="Tahoma"/>
                <w:b/>
                <w:bCs/>
                <w:iCs/>
                <w:color w:val="243285"/>
                <w:szCs w:val="24"/>
              </w:rPr>
              <w:t>1</w:t>
            </w:r>
            <w:r w:rsidR="00A52963" w:rsidRPr="003C739E">
              <w:rPr>
                <w:rFonts w:ascii="Tahoma" w:hAnsi="Tahoma" w:cs="Tahoma"/>
                <w:b/>
                <w:bCs/>
                <w:iCs/>
                <w:color w:val="243285"/>
                <w:szCs w:val="24"/>
              </w:rPr>
              <w:t>2</w:t>
            </w:r>
            <w:r w:rsidRPr="003C739E">
              <w:rPr>
                <w:rFonts w:ascii="Tahoma" w:hAnsi="Tahoma" w:cs="Tahoma"/>
                <w:b/>
                <w:bCs/>
                <w:iCs/>
                <w:color w:val="243285"/>
                <w:szCs w:val="24"/>
              </w:rPr>
              <w:t>/</w:t>
            </w:r>
            <w:r w:rsidR="00FC580C" w:rsidRPr="003C739E">
              <w:rPr>
                <w:rFonts w:ascii="Tahoma" w:hAnsi="Tahoma" w:cs="Tahoma"/>
                <w:b/>
                <w:bCs/>
                <w:iCs/>
                <w:color w:val="243285"/>
                <w:szCs w:val="24"/>
              </w:rPr>
              <w:t>20</w:t>
            </w:r>
            <w:r w:rsidR="00A52963" w:rsidRPr="003C739E">
              <w:rPr>
                <w:rFonts w:ascii="Tahoma" w:hAnsi="Tahoma" w:cs="Tahoma"/>
                <w:b/>
                <w:bCs/>
                <w:iCs/>
                <w:color w:val="243285"/>
                <w:szCs w:val="24"/>
              </w:rPr>
              <w:t>22</w:t>
            </w:r>
            <w:r w:rsidRPr="003C739E">
              <w:rPr>
                <w:rFonts w:ascii="Tahoma" w:hAnsi="Tahoma" w:cs="Tahoma"/>
                <w:b/>
                <w:bCs/>
                <w:iCs/>
                <w:color w:val="243285"/>
                <w:szCs w:val="24"/>
              </w:rPr>
              <w:t>)</w:t>
            </w:r>
          </w:p>
        </w:tc>
      </w:tr>
      <w:tr w:rsidR="00A107EF" w:rsidRPr="003C739E" w14:paraId="1E45E8D1" w14:textId="77777777">
        <w:tc>
          <w:tcPr>
            <w:tcW w:w="10089" w:type="dxa"/>
          </w:tcPr>
          <w:p w14:paraId="52988D2E" w14:textId="77777777" w:rsidR="00A107EF" w:rsidRPr="003C739E" w:rsidRDefault="00A107EF" w:rsidP="00820005">
            <w:pPr>
              <w:spacing w:before="80"/>
              <w:jc w:val="right"/>
              <w:rPr>
                <w:rFonts w:ascii="Tahoma" w:hAnsi="Tahoma" w:cs="Tahoma"/>
                <w:b/>
                <w:bCs/>
                <w:iCs/>
                <w:color w:val="243285"/>
                <w:sz w:val="44"/>
                <w:szCs w:val="44"/>
              </w:rPr>
            </w:pPr>
            <w:bookmarkStart w:id="0" w:name="_Hlk127198999"/>
          </w:p>
          <w:p w14:paraId="416CF813" w14:textId="609FA159" w:rsidR="00A107EF" w:rsidRPr="003C739E" w:rsidRDefault="00A52963" w:rsidP="00820005">
            <w:pPr>
              <w:spacing w:before="80"/>
              <w:jc w:val="right"/>
              <w:rPr>
                <w:rFonts w:ascii="Tahoma" w:hAnsi="Tahoma" w:cs="Tahoma"/>
                <w:b/>
                <w:bCs/>
                <w:iCs/>
                <w:color w:val="243285"/>
                <w:sz w:val="44"/>
                <w:szCs w:val="44"/>
              </w:rPr>
            </w:pPr>
            <w:r w:rsidRPr="003C739E">
              <w:rPr>
                <w:rFonts w:ascii="Tahoma" w:hAnsi="Tahoma" w:cs="Tahoma"/>
                <w:b/>
                <w:bCs/>
                <w:iCs/>
                <w:color w:val="243285"/>
                <w:sz w:val="44"/>
                <w:szCs w:val="44"/>
              </w:rPr>
              <w:t>Lignes directrices relatives à l'utilisation de la bande de fréquences 2</w:t>
            </w:r>
            <w:r w:rsidR="003C739E" w:rsidRPr="003C739E">
              <w:rPr>
                <w:rFonts w:ascii="Tahoma" w:hAnsi="Tahoma" w:cs="Tahoma"/>
                <w:b/>
                <w:bCs/>
                <w:iCs/>
                <w:color w:val="243285"/>
                <w:sz w:val="44"/>
                <w:szCs w:val="44"/>
              </w:rPr>
              <w:t> </w:t>
            </w:r>
            <w:r w:rsidRPr="003C739E">
              <w:rPr>
                <w:rFonts w:ascii="Tahoma" w:hAnsi="Tahoma" w:cs="Tahoma"/>
                <w:b/>
                <w:bCs/>
                <w:iCs/>
                <w:color w:val="243285"/>
                <w:sz w:val="44"/>
                <w:szCs w:val="44"/>
              </w:rPr>
              <w:t>025-2</w:t>
            </w:r>
            <w:r w:rsidR="003C739E" w:rsidRPr="003C739E">
              <w:rPr>
                <w:rFonts w:ascii="Tahoma" w:hAnsi="Tahoma" w:cs="Tahoma"/>
                <w:b/>
                <w:bCs/>
                <w:iCs/>
                <w:color w:val="243285"/>
                <w:sz w:val="44"/>
                <w:szCs w:val="44"/>
              </w:rPr>
              <w:t> </w:t>
            </w:r>
            <w:r w:rsidRPr="003C739E">
              <w:rPr>
                <w:rFonts w:ascii="Tahoma" w:hAnsi="Tahoma" w:cs="Tahoma"/>
                <w:b/>
                <w:bCs/>
                <w:iCs/>
                <w:color w:val="243285"/>
                <w:sz w:val="44"/>
                <w:szCs w:val="44"/>
              </w:rPr>
              <w:t>110</w:t>
            </w:r>
            <w:r w:rsidR="003C739E" w:rsidRPr="003C739E">
              <w:rPr>
                <w:rFonts w:ascii="Tahoma" w:hAnsi="Tahoma" w:cs="Tahoma"/>
                <w:b/>
                <w:bCs/>
                <w:iCs/>
                <w:color w:val="243285"/>
                <w:sz w:val="44"/>
                <w:szCs w:val="44"/>
              </w:rPr>
              <w:t> </w:t>
            </w:r>
            <w:r w:rsidR="00561AFE" w:rsidRPr="003C739E">
              <w:rPr>
                <w:rFonts w:ascii="Tahoma" w:hAnsi="Tahoma" w:cs="Tahoma"/>
                <w:b/>
                <w:bCs/>
                <w:iCs/>
                <w:color w:val="243285"/>
                <w:sz w:val="44"/>
                <w:szCs w:val="44"/>
              </w:rPr>
              <w:t xml:space="preserve">MHz par les réseaux à satellite ou les systèmes à satellites du service d'exploration de la Terre par satellite, du service de recherche spatiale et du service d'exploitation spatiale n'utilisant pas la modulation à </w:t>
            </w:r>
            <w:r w:rsidR="00C774E3" w:rsidRPr="003C739E">
              <w:rPr>
                <w:rFonts w:ascii="Tahoma" w:hAnsi="Tahoma" w:cs="Tahoma"/>
                <w:b/>
                <w:bCs/>
                <w:iCs/>
                <w:color w:val="243285"/>
                <w:sz w:val="44"/>
                <w:szCs w:val="44"/>
              </w:rPr>
              <w:br/>
            </w:r>
            <w:r w:rsidR="00561AFE" w:rsidRPr="003C739E">
              <w:rPr>
                <w:rFonts w:ascii="Tahoma" w:hAnsi="Tahoma" w:cs="Tahoma"/>
                <w:b/>
                <w:bCs/>
                <w:iCs/>
                <w:color w:val="243285"/>
                <w:sz w:val="44"/>
                <w:szCs w:val="44"/>
              </w:rPr>
              <w:t>étalement de spectre</w:t>
            </w:r>
          </w:p>
          <w:p w14:paraId="0C75CCFE" w14:textId="77777777" w:rsidR="00A107EF" w:rsidRPr="003C739E" w:rsidRDefault="00A107EF" w:rsidP="00820005">
            <w:pPr>
              <w:spacing w:before="80"/>
              <w:jc w:val="right"/>
              <w:rPr>
                <w:rFonts w:ascii="Tahoma" w:hAnsi="Tahoma" w:cs="Tahoma"/>
                <w:b/>
                <w:bCs/>
                <w:iCs/>
                <w:color w:val="243285"/>
                <w:sz w:val="44"/>
                <w:szCs w:val="44"/>
              </w:rPr>
            </w:pPr>
          </w:p>
        </w:tc>
      </w:tr>
      <w:bookmarkEnd w:id="0"/>
      <w:tr w:rsidR="00A107EF" w:rsidRPr="003C739E" w14:paraId="5AC13C55" w14:textId="77777777">
        <w:tc>
          <w:tcPr>
            <w:tcW w:w="10089" w:type="dxa"/>
          </w:tcPr>
          <w:p w14:paraId="006A0766" w14:textId="77777777" w:rsidR="00A107EF" w:rsidRPr="003C739E" w:rsidRDefault="00A107EF" w:rsidP="00820005">
            <w:pPr>
              <w:spacing w:before="80"/>
              <w:ind w:right="640"/>
              <w:rPr>
                <w:rFonts w:ascii="Tahoma" w:hAnsi="Tahoma" w:cs="Tahoma"/>
                <w:b/>
                <w:bCs/>
                <w:iCs/>
                <w:color w:val="243285"/>
                <w:sz w:val="32"/>
                <w:szCs w:val="32"/>
              </w:rPr>
            </w:pPr>
          </w:p>
          <w:p w14:paraId="7EAA8308" w14:textId="77777777" w:rsidR="00A107EF" w:rsidRPr="003C739E" w:rsidRDefault="00A107EF" w:rsidP="00820005">
            <w:pPr>
              <w:spacing w:before="80" w:after="180"/>
              <w:ind w:right="720"/>
              <w:rPr>
                <w:rFonts w:ascii="Tahoma" w:hAnsi="Tahoma" w:cs="Tahoma"/>
                <w:b/>
                <w:bCs/>
                <w:iCs/>
                <w:color w:val="243285"/>
                <w:sz w:val="36"/>
                <w:szCs w:val="36"/>
              </w:rPr>
            </w:pPr>
          </w:p>
          <w:p w14:paraId="6E71C5D6" w14:textId="77777777" w:rsidR="00A107EF" w:rsidRPr="003C739E" w:rsidRDefault="00A107EF" w:rsidP="00820005">
            <w:pPr>
              <w:spacing w:before="80" w:after="180"/>
              <w:jc w:val="right"/>
              <w:rPr>
                <w:rFonts w:ascii="Tahoma" w:hAnsi="Tahoma" w:cs="Tahoma"/>
                <w:b/>
                <w:bCs/>
                <w:iCs/>
                <w:color w:val="243285"/>
                <w:sz w:val="36"/>
                <w:szCs w:val="36"/>
              </w:rPr>
            </w:pPr>
            <w:r w:rsidRPr="003C739E">
              <w:rPr>
                <w:rFonts w:ascii="Tahoma" w:hAnsi="Tahoma" w:cs="Tahoma"/>
                <w:b/>
                <w:bCs/>
                <w:iCs/>
                <w:color w:val="243285"/>
                <w:sz w:val="36"/>
                <w:szCs w:val="36"/>
              </w:rPr>
              <w:t>Série SA</w:t>
            </w:r>
          </w:p>
          <w:p w14:paraId="1DBF9B9B" w14:textId="77777777" w:rsidR="00A107EF" w:rsidRPr="003C739E" w:rsidRDefault="00A107EF" w:rsidP="00820005">
            <w:pPr>
              <w:spacing w:before="80"/>
              <w:jc w:val="right"/>
              <w:rPr>
                <w:rFonts w:ascii="Tahoma" w:hAnsi="Tahoma" w:cs="Tahoma"/>
                <w:b/>
                <w:bCs/>
                <w:iCs/>
                <w:color w:val="243285"/>
                <w:sz w:val="36"/>
                <w:szCs w:val="36"/>
              </w:rPr>
            </w:pPr>
            <w:r w:rsidRPr="003C739E">
              <w:rPr>
                <w:rFonts w:ascii="Tahoma" w:hAnsi="Tahoma" w:cs="Tahoma"/>
                <w:b/>
                <w:bCs/>
                <w:iCs/>
                <w:color w:val="243285"/>
                <w:sz w:val="36"/>
                <w:szCs w:val="36"/>
              </w:rPr>
              <w:t>Applications spatiales et météorologie</w:t>
            </w:r>
          </w:p>
        </w:tc>
      </w:tr>
    </w:tbl>
    <w:p w14:paraId="05519250" w14:textId="77777777" w:rsidR="00A107EF" w:rsidRPr="003C739E" w:rsidRDefault="00A107EF" w:rsidP="00820005">
      <w:pPr>
        <w:spacing w:before="80"/>
        <w:rPr>
          <w:i/>
          <w:sz w:val="22"/>
        </w:rPr>
      </w:pPr>
    </w:p>
    <w:p w14:paraId="72230563" w14:textId="57F88ADB" w:rsidR="00A107EF" w:rsidRPr="003C739E" w:rsidRDefault="00A107EF" w:rsidP="00820005">
      <w:pPr>
        <w:spacing w:before="80"/>
        <w:rPr>
          <w:i/>
          <w:sz w:val="22"/>
        </w:rPr>
      </w:pPr>
    </w:p>
    <w:p w14:paraId="44929ABB" w14:textId="77777777" w:rsidR="00A107EF" w:rsidRPr="003C739E" w:rsidRDefault="00A107EF" w:rsidP="00820005">
      <w:pPr>
        <w:spacing w:before="80"/>
        <w:rPr>
          <w:i/>
          <w:sz w:val="22"/>
        </w:rPr>
      </w:pPr>
    </w:p>
    <w:p w14:paraId="4746C3D6" w14:textId="77777777" w:rsidR="00A107EF" w:rsidRPr="003C739E" w:rsidRDefault="00A107EF" w:rsidP="00820005">
      <w:pPr>
        <w:pStyle w:val="Equation"/>
        <w:tabs>
          <w:tab w:val="clear" w:pos="4820"/>
          <w:tab w:val="clear" w:pos="9639"/>
          <w:tab w:val="left" w:pos="1191"/>
          <w:tab w:val="left" w:pos="1588"/>
          <w:tab w:val="left" w:pos="1985"/>
        </w:tabs>
        <w:rPr>
          <w:rFonts w:ascii="Palatino Linotype" w:hAnsi="Palatino Linotype"/>
        </w:rPr>
        <w:sectPr w:rsidR="00A107EF" w:rsidRPr="003C739E" w:rsidSect="000C054F">
          <w:headerReference w:type="even" r:id="rId7"/>
          <w:headerReference w:type="default" r:id="rId8"/>
          <w:pgSz w:w="11907" w:h="16834" w:code="9"/>
          <w:pgMar w:top="1418" w:right="1134" w:bottom="1134" w:left="1134" w:header="720" w:footer="482" w:gutter="0"/>
          <w:paperSrc w:first="15" w:other="15"/>
          <w:cols w:space="720"/>
        </w:sectPr>
      </w:pPr>
    </w:p>
    <w:p w14:paraId="00D3C2A9"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C739E">
        <w:rPr>
          <w:bCs/>
          <w:sz w:val="24"/>
          <w:szCs w:val="24"/>
        </w:rPr>
        <w:lastRenderedPageBreak/>
        <w:t>Avant-propos</w:t>
      </w:r>
    </w:p>
    <w:p w14:paraId="56DF7FAC" w14:textId="0A2769BE" w:rsidR="00A107EF" w:rsidRPr="003C739E" w:rsidRDefault="00A107EF" w:rsidP="00820005">
      <w:pPr>
        <w:spacing w:before="240"/>
        <w:rPr>
          <w:sz w:val="20"/>
        </w:rPr>
      </w:pPr>
      <w:r w:rsidRPr="003C739E">
        <w:rPr>
          <w:sz w:val="20"/>
        </w:rPr>
        <w:t>Le rôle du Secteur des radiocommunications est d</w:t>
      </w:r>
      <w:r w:rsidR="00820005" w:rsidRPr="003C739E">
        <w:rPr>
          <w:sz w:val="20"/>
        </w:rPr>
        <w:t>'</w:t>
      </w:r>
      <w:r w:rsidRPr="003C739E">
        <w:rPr>
          <w:sz w:val="20"/>
        </w:rPr>
        <w:t>assurer l</w:t>
      </w:r>
      <w:r w:rsidR="00820005" w:rsidRPr="003C739E">
        <w:rPr>
          <w:sz w:val="20"/>
        </w:rPr>
        <w:t>'</w:t>
      </w:r>
      <w:r w:rsidRPr="003C739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731BEC1" w14:textId="772936B5" w:rsidR="00A107EF" w:rsidRPr="003C739E" w:rsidRDefault="00A107EF" w:rsidP="00820005">
      <w:pPr>
        <w:rPr>
          <w:sz w:val="20"/>
        </w:rPr>
      </w:pPr>
      <w:r w:rsidRPr="003C739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820005" w:rsidRPr="003C739E">
        <w:rPr>
          <w:sz w:val="20"/>
        </w:rPr>
        <w:t>'</w:t>
      </w:r>
      <w:r w:rsidRPr="003C739E">
        <w:rPr>
          <w:sz w:val="20"/>
        </w:rPr>
        <w:t>études.</w:t>
      </w:r>
    </w:p>
    <w:p w14:paraId="2A6FCC2E" w14:textId="77777777" w:rsidR="00A107EF" w:rsidRPr="003C739E" w:rsidRDefault="00A107EF" w:rsidP="00820005">
      <w:pPr>
        <w:pStyle w:val="Heading1"/>
        <w:spacing w:before="360"/>
        <w:jc w:val="center"/>
        <w:rPr>
          <w:szCs w:val="24"/>
        </w:rPr>
      </w:pPr>
      <w:r w:rsidRPr="003C739E">
        <w:rPr>
          <w:szCs w:val="24"/>
        </w:rPr>
        <w:t>Politique en matière de droits de propriété intellectuelle (IPR)</w:t>
      </w:r>
    </w:p>
    <w:p w14:paraId="1DF8C0ED" w14:textId="5C08060E" w:rsidR="00A107EF" w:rsidRPr="003C739E" w:rsidRDefault="00A107EF" w:rsidP="00820005">
      <w:pPr>
        <w:spacing w:before="240"/>
        <w:rPr>
          <w:sz w:val="20"/>
        </w:rPr>
      </w:pPr>
      <w:r w:rsidRPr="003C739E">
        <w:rPr>
          <w:sz w:val="20"/>
        </w:rPr>
        <w:t>La politique de l'UIT</w:t>
      </w:r>
      <w:r w:rsidRPr="003C739E">
        <w:rPr>
          <w:sz w:val="20"/>
        </w:rPr>
        <w:noBreakHyphen/>
        <w:t>R en matière de droits de propriété intellectuelle est décrite dans la</w:t>
      </w:r>
      <w:proofErr w:type="gramStart"/>
      <w:r w:rsidRPr="003C739E">
        <w:rPr>
          <w:sz w:val="20"/>
        </w:rPr>
        <w:t xml:space="preserve"> «Politique</w:t>
      </w:r>
      <w:proofErr w:type="gramEnd"/>
      <w:r w:rsidRPr="003C739E">
        <w:rPr>
          <w:sz w:val="20"/>
        </w:rPr>
        <w:t xml:space="preserve"> commune de l'UIT</w:t>
      </w:r>
      <w:r w:rsidRPr="003C739E">
        <w:rPr>
          <w:sz w:val="20"/>
        </w:rPr>
        <w:noBreakHyphen/>
        <w:t>T, l'UIT</w:t>
      </w:r>
      <w:r w:rsidRPr="003C739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3C739E">
          <w:rPr>
            <w:rStyle w:val="Hyperlink"/>
            <w:sz w:val="20"/>
          </w:rPr>
          <w:t>http://www.itu.int/ITU-R/go/patents/fr</w:t>
        </w:r>
      </w:hyperlink>
      <w:r w:rsidRPr="003C739E">
        <w:rPr>
          <w:sz w:val="20"/>
        </w:rPr>
        <w:t xml:space="preserve">, où l'on trouvera également les Lignes directrices pour la mise en </w:t>
      </w:r>
      <w:r w:rsidR="00820005" w:rsidRPr="003C739E">
        <w:rPr>
          <w:sz w:val="20"/>
        </w:rPr>
        <w:t>œ</w:t>
      </w:r>
      <w:r w:rsidRPr="003C739E">
        <w:rPr>
          <w:sz w:val="20"/>
        </w:rPr>
        <w:t>uvre de la politique commune en matière de brevets de l'UIT</w:t>
      </w:r>
      <w:r w:rsidRPr="003C739E">
        <w:rPr>
          <w:sz w:val="20"/>
        </w:rPr>
        <w:noBreakHyphen/>
        <w:t>T, l'UIT</w:t>
      </w:r>
      <w:r w:rsidRPr="003C739E">
        <w:rPr>
          <w:sz w:val="20"/>
        </w:rPr>
        <w:noBreakHyphen/>
        <w:t>R, l'ISO et la CEI</w:t>
      </w:r>
      <w:r w:rsidRPr="003C739E" w:rsidDel="0061025C">
        <w:rPr>
          <w:sz w:val="20"/>
        </w:rPr>
        <w:t xml:space="preserve"> </w:t>
      </w:r>
      <w:r w:rsidRPr="003C739E">
        <w:rPr>
          <w:sz w:val="20"/>
        </w:rPr>
        <w:t>et la base de données en matière de brevets de l'UIT-R.</w:t>
      </w:r>
    </w:p>
    <w:p w14:paraId="6B0E111F" w14:textId="77777777" w:rsidR="00A107EF" w:rsidRPr="003C739E" w:rsidRDefault="00A107EF" w:rsidP="00820005">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07EF" w:rsidRPr="003C739E" w14:paraId="2DB09E7D" w14:textId="77777777">
        <w:tc>
          <w:tcPr>
            <w:tcW w:w="9360" w:type="dxa"/>
            <w:gridSpan w:val="2"/>
          </w:tcPr>
          <w:p w14:paraId="15B3C7FA" w14:textId="4B7AE7BD" w:rsidR="00A107EF" w:rsidRPr="003C739E" w:rsidRDefault="00A107EF" w:rsidP="00820005">
            <w:pPr>
              <w:pStyle w:val="Chaptitle"/>
              <w:keepLines w:val="0"/>
              <w:tabs>
                <w:tab w:val="clear" w:pos="794"/>
                <w:tab w:val="clear" w:pos="1191"/>
                <w:tab w:val="clear" w:pos="1588"/>
                <w:tab w:val="clear" w:pos="1985"/>
              </w:tabs>
              <w:overflowPunct/>
              <w:spacing w:before="140"/>
              <w:textAlignment w:val="auto"/>
              <w:rPr>
                <w:sz w:val="22"/>
                <w:szCs w:val="22"/>
              </w:rPr>
            </w:pPr>
            <w:r w:rsidRPr="003C739E">
              <w:rPr>
                <w:sz w:val="22"/>
                <w:szCs w:val="22"/>
              </w:rPr>
              <w:t>Séries des Recommandations UIT-R</w:t>
            </w:r>
          </w:p>
          <w:p w14:paraId="2D0B8316" w14:textId="2931233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C739E">
              <w:rPr>
                <w:b w:val="0"/>
                <w:sz w:val="18"/>
                <w:szCs w:val="18"/>
              </w:rPr>
              <w:t>(</w:t>
            </w:r>
            <w:r w:rsidR="003C739E" w:rsidRPr="003C739E">
              <w:rPr>
                <w:b w:val="0"/>
                <w:sz w:val="18"/>
                <w:szCs w:val="18"/>
              </w:rPr>
              <w:t>Également</w:t>
            </w:r>
            <w:r w:rsidRPr="003C739E">
              <w:rPr>
                <w:b w:val="0"/>
                <w:sz w:val="18"/>
                <w:szCs w:val="18"/>
              </w:rPr>
              <w:t xml:space="preserve"> disponible en ligne: </w:t>
            </w:r>
            <w:hyperlink r:id="rId10" w:history="1">
              <w:r w:rsidRPr="003C739E">
                <w:rPr>
                  <w:rStyle w:val="Hyperlink"/>
                  <w:b w:val="0"/>
                  <w:bCs/>
                  <w:sz w:val="18"/>
                  <w:szCs w:val="18"/>
                </w:rPr>
                <w:t>http://www.itu.int/publ/R-REC/fr</w:t>
              </w:r>
            </w:hyperlink>
            <w:r w:rsidRPr="003C739E">
              <w:rPr>
                <w:b w:val="0"/>
                <w:bCs/>
                <w:sz w:val="18"/>
                <w:szCs w:val="18"/>
              </w:rPr>
              <w:t>)</w:t>
            </w:r>
          </w:p>
        </w:tc>
      </w:tr>
      <w:tr w:rsidR="00A107EF" w:rsidRPr="003C739E" w14:paraId="35FB71A4" w14:textId="77777777" w:rsidTr="005E427C">
        <w:tc>
          <w:tcPr>
            <w:tcW w:w="1140" w:type="dxa"/>
            <w:tcBorders>
              <w:bottom w:val="nil"/>
            </w:tcBorders>
          </w:tcPr>
          <w:p w14:paraId="6BBCDD6D" w14:textId="77777777" w:rsidR="00A107EF" w:rsidRPr="003C739E" w:rsidRDefault="00A107EF" w:rsidP="00820005">
            <w:pPr>
              <w:spacing w:before="90" w:after="100"/>
              <w:ind w:left="57"/>
              <w:rPr>
                <w:b/>
                <w:bCs/>
                <w:sz w:val="20"/>
              </w:rPr>
            </w:pPr>
            <w:r w:rsidRPr="003C739E">
              <w:rPr>
                <w:b/>
                <w:bCs/>
                <w:sz w:val="20"/>
              </w:rPr>
              <w:t>Séries</w:t>
            </w:r>
          </w:p>
        </w:tc>
        <w:tc>
          <w:tcPr>
            <w:tcW w:w="8220" w:type="dxa"/>
            <w:tcBorders>
              <w:bottom w:val="nil"/>
            </w:tcBorders>
          </w:tcPr>
          <w:p w14:paraId="47878B65"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C739E">
              <w:rPr>
                <w:bCs/>
                <w:sz w:val="20"/>
              </w:rPr>
              <w:t>Titre</w:t>
            </w:r>
          </w:p>
        </w:tc>
      </w:tr>
      <w:tr w:rsidR="00A107EF" w:rsidRPr="003C739E" w14:paraId="5A578A7D" w14:textId="77777777" w:rsidTr="005E427C">
        <w:tc>
          <w:tcPr>
            <w:tcW w:w="1140" w:type="dxa"/>
            <w:tcBorders>
              <w:top w:val="nil"/>
              <w:bottom w:val="nil"/>
            </w:tcBorders>
            <w:shd w:val="clear" w:color="auto" w:fill="auto"/>
          </w:tcPr>
          <w:p w14:paraId="0A437327" w14:textId="77777777" w:rsidR="00A107EF" w:rsidRPr="003C739E" w:rsidRDefault="00A107EF" w:rsidP="00820005">
            <w:pPr>
              <w:spacing w:before="30" w:after="30"/>
              <w:ind w:left="57"/>
              <w:jc w:val="left"/>
              <w:rPr>
                <w:b/>
                <w:bCs/>
                <w:sz w:val="20"/>
              </w:rPr>
            </w:pPr>
            <w:r w:rsidRPr="003C739E">
              <w:rPr>
                <w:b/>
                <w:bCs/>
                <w:sz w:val="20"/>
              </w:rPr>
              <w:t>BO</w:t>
            </w:r>
          </w:p>
        </w:tc>
        <w:tc>
          <w:tcPr>
            <w:tcW w:w="8220" w:type="dxa"/>
            <w:tcBorders>
              <w:top w:val="nil"/>
              <w:bottom w:val="nil"/>
            </w:tcBorders>
            <w:shd w:val="clear" w:color="auto" w:fill="auto"/>
          </w:tcPr>
          <w:p w14:paraId="58A55916"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C739E">
              <w:rPr>
                <w:b w:val="0"/>
                <w:sz w:val="20"/>
              </w:rPr>
              <w:t>Diffusion par satellite</w:t>
            </w:r>
          </w:p>
        </w:tc>
      </w:tr>
      <w:tr w:rsidR="00A107EF" w:rsidRPr="003C739E" w14:paraId="5CB58449" w14:textId="77777777" w:rsidTr="00E80F1D">
        <w:tc>
          <w:tcPr>
            <w:tcW w:w="1140" w:type="dxa"/>
            <w:tcBorders>
              <w:top w:val="nil"/>
              <w:bottom w:val="nil"/>
            </w:tcBorders>
          </w:tcPr>
          <w:p w14:paraId="6B68D405" w14:textId="77777777" w:rsidR="00A107EF" w:rsidRPr="003C739E" w:rsidRDefault="00A107EF" w:rsidP="00820005">
            <w:pPr>
              <w:spacing w:before="30" w:after="30"/>
              <w:ind w:left="57"/>
              <w:jc w:val="left"/>
              <w:rPr>
                <w:b/>
                <w:bCs/>
                <w:sz w:val="20"/>
              </w:rPr>
            </w:pPr>
            <w:r w:rsidRPr="003C739E">
              <w:rPr>
                <w:b/>
                <w:bCs/>
                <w:sz w:val="20"/>
              </w:rPr>
              <w:t>BR</w:t>
            </w:r>
          </w:p>
        </w:tc>
        <w:tc>
          <w:tcPr>
            <w:tcW w:w="8220" w:type="dxa"/>
            <w:tcBorders>
              <w:top w:val="nil"/>
              <w:bottom w:val="nil"/>
            </w:tcBorders>
          </w:tcPr>
          <w:p w14:paraId="2F9AB243"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C739E">
              <w:rPr>
                <w:b w:val="0"/>
                <w:bCs/>
                <w:sz w:val="20"/>
              </w:rPr>
              <w:t>Enregistrement pour la production, l'archivage et la diffusion; films pour la télévision</w:t>
            </w:r>
          </w:p>
        </w:tc>
      </w:tr>
      <w:tr w:rsidR="00A107EF" w:rsidRPr="003C739E" w14:paraId="215D97BC" w14:textId="77777777" w:rsidTr="00E80F1D">
        <w:tc>
          <w:tcPr>
            <w:tcW w:w="1140" w:type="dxa"/>
            <w:tcBorders>
              <w:top w:val="nil"/>
              <w:bottom w:val="nil"/>
            </w:tcBorders>
            <w:shd w:val="clear" w:color="auto" w:fill="auto"/>
          </w:tcPr>
          <w:p w14:paraId="3AA0DD74" w14:textId="77777777" w:rsidR="00A107EF" w:rsidRPr="003C739E" w:rsidRDefault="00A107EF" w:rsidP="00820005">
            <w:pPr>
              <w:spacing w:before="30" w:after="30"/>
              <w:ind w:left="57"/>
              <w:jc w:val="left"/>
              <w:rPr>
                <w:b/>
                <w:bCs/>
                <w:sz w:val="20"/>
              </w:rPr>
            </w:pPr>
            <w:r w:rsidRPr="003C739E">
              <w:rPr>
                <w:b/>
                <w:bCs/>
                <w:sz w:val="20"/>
              </w:rPr>
              <w:t>BS</w:t>
            </w:r>
          </w:p>
        </w:tc>
        <w:tc>
          <w:tcPr>
            <w:tcW w:w="8220" w:type="dxa"/>
            <w:tcBorders>
              <w:top w:val="nil"/>
              <w:bottom w:val="nil"/>
            </w:tcBorders>
            <w:shd w:val="clear" w:color="auto" w:fill="auto"/>
          </w:tcPr>
          <w:p w14:paraId="485C8B6C"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C739E">
              <w:rPr>
                <w:b w:val="0"/>
                <w:sz w:val="20"/>
              </w:rPr>
              <w:t>Service de radiodiffusion sonore</w:t>
            </w:r>
          </w:p>
        </w:tc>
      </w:tr>
      <w:tr w:rsidR="00A107EF" w:rsidRPr="003C739E" w14:paraId="4C463659" w14:textId="77777777" w:rsidTr="00DE5EA2">
        <w:tc>
          <w:tcPr>
            <w:tcW w:w="1140" w:type="dxa"/>
            <w:tcBorders>
              <w:top w:val="nil"/>
              <w:bottom w:val="nil"/>
            </w:tcBorders>
            <w:shd w:val="clear" w:color="auto" w:fill="auto"/>
          </w:tcPr>
          <w:p w14:paraId="1E92D78C" w14:textId="77777777" w:rsidR="00A107EF" w:rsidRPr="003C739E" w:rsidRDefault="00A107EF" w:rsidP="00820005">
            <w:pPr>
              <w:spacing w:before="30" w:after="30"/>
              <w:ind w:left="57"/>
              <w:jc w:val="left"/>
              <w:rPr>
                <w:b/>
                <w:bCs/>
                <w:sz w:val="20"/>
              </w:rPr>
            </w:pPr>
            <w:r w:rsidRPr="003C739E">
              <w:rPr>
                <w:b/>
                <w:bCs/>
                <w:sz w:val="20"/>
              </w:rPr>
              <w:t>BT</w:t>
            </w:r>
          </w:p>
        </w:tc>
        <w:tc>
          <w:tcPr>
            <w:tcW w:w="8220" w:type="dxa"/>
            <w:tcBorders>
              <w:top w:val="nil"/>
              <w:bottom w:val="nil"/>
            </w:tcBorders>
            <w:shd w:val="clear" w:color="auto" w:fill="auto"/>
          </w:tcPr>
          <w:p w14:paraId="0263DDF2"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C739E">
              <w:rPr>
                <w:b w:val="0"/>
                <w:bCs/>
                <w:sz w:val="20"/>
              </w:rPr>
              <w:t>Service de radiodiffusion télévisuelle</w:t>
            </w:r>
          </w:p>
        </w:tc>
      </w:tr>
      <w:tr w:rsidR="00A107EF" w:rsidRPr="003C739E" w14:paraId="41C71AAE" w14:textId="77777777" w:rsidTr="00DE5EA2">
        <w:tc>
          <w:tcPr>
            <w:tcW w:w="1140" w:type="dxa"/>
            <w:tcBorders>
              <w:top w:val="nil"/>
              <w:bottom w:val="nil"/>
            </w:tcBorders>
            <w:shd w:val="clear" w:color="auto" w:fill="auto"/>
          </w:tcPr>
          <w:p w14:paraId="3C9FDF55" w14:textId="77777777" w:rsidR="00A107EF" w:rsidRPr="003C739E" w:rsidRDefault="00A107EF" w:rsidP="00820005">
            <w:pPr>
              <w:spacing w:before="30" w:after="30"/>
              <w:ind w:left="57"/>
              <w:jc w:val="left"/>
              <w:rPr>
                <w:b/>
                <w:bCs/>
                <w:sz w:val="20"/>
              </w:rPr>
            </w:pPr>
            <w:r w:rsidRPr="003C739E">
              <w:rPr>
                <w:b/>
                <w:bCs/>
                <w:sz w:val="20"/>
              </w:rPr>
              <w:t>F</w:t>
            </w:r>
          </w:p>
        </w:tc>
        <w:tc>
          <w:tcPr>
            <w:tcW w:w="8220" w:type="dxa"/>
            <w:tcBorders>
              <w:top w:val="nil"/>
              <w:bottom w:val="nil"/>
            </w:tcBorders>
            <w:shd w:val="clear" w:color="auto" w:fill="auto"/>
          </w:tcPr>
          <w:p w14:paraId="5C47990B" w14:textId="77777777" w:rsidR="00A107EF" w:rsidRPr="003C739E" w:rsidRDefault="00A107EF" w:rsidP="008200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C739E">
              <w:rPr>
                <w:sz w:val="20"/>
              </w:rPr>
              <w:t>Service fixe</w:t>
            </w:r>
          </w:p>
        </w:tc>
      </w:tr>
      <w:tr w:rsidR="00A107EF" w:rsidRPr="003C739E" w14:paraId="5CFA4398" w14:textId="77777777" w:rsidTr="00EC361D">
        <w:tc>
          <w:tcPr>
            <w:tcW w:w="1140" w:type="dxa"/>
            <w:tcBorders>
              <w:top w:val="nil"/>
              <w:bottom w:val="nil"/>
            </w:tcBorders>
            <w:shd w:val="clear" w:color="auto" w:fill="auto"/>
          </w:tcPr>
          <w:p w14:paraId="0E575D54" w14:textId="77777777" w:rsidR="00A107EF" w:rsidRPr="003C739E" w:rsidRDefault="00A107EF" w:rsidP="00820005">
            <w:pPr>
              <w:spacing w:before="30" w:after="30"/>
              <w:ind w:left="57"/>
              <w:jc w:val="left"/>
              <w:rPr>
                <w:b/>
                <w:bCs/>
                <w:sz w:val="20"/>
              </w:rPr>
            </w:pPr>
            <w:r w:rsidRPr="003C739E">
              <w:rPr>
                <w:b/>
                <w:bCs/>
                <w:sz w:val="20"/>
              </w:rPr>
              <w:t>M</w:t>
            </w:r>
          </w:p>
        </w:tc>
        <w:tc>
          <w:tcPr>
            <w:tcW w:w="8220" w:type="dxa"/>
            <w:tcBorders>
              <w:top w:val="nil"/>
              <w:bottom w:val="nil"/>
            </w:tcBorders>
            <w:shd w:val="clear" w:color="auto" w:fill="auto"/>
          </w:tcPr>
          <w:p w14:paraId="48A42A5E" w14:textId="77777777" w:rsidR="00A107EF" w:rsidRPr="003C739E" w:rsidRDefault="00A107EF" w:rsidP="008200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C739E">
              <w:rPr>
                <w:b w:val="0"/>
                <w:sz w:val="20"/>
              </w:rPr>
              <w:t>Services mobile, de radiorepérage et d'amateur y compris les services par satellite associés</w:t>
            </w:r>
          </w:p>
        </w:tc>
      </w:tr>
      <w:tr w:rsidR="00A107EF" w:rsidRPr="003C739E" w14:paraId="34B27D31" w14:textId="77777777" w:rsidTr="004822EF">
        <w:tc>
          <w:tcPr>
            <w:tcW w:w="1140" w:type="dxa"/>
            <w:tcBorders>
              <w:top w:val="nil"/>
              <w:bottom w:val="nil"/>
            </w:tcBorders>
            <w:shd w:val="clear" w:color="auto" w:fill="auto"/>
          </w:tcPr>
          <w:p w14:paraId="08000A32" w14:textId="77777777" w:rsidR="00A107EF" w:rsidRPr="003C739E" w:rsidRDefault="00A107EF" w:rsidP="00820005">
            <w:pPr>
              <w:spacing w:before="30" w:after="30"/>
              <w:ind w:left="57"/>
              <w:jc w:val="left"/>
              <w:rPr>
                <w:b/>
                <w:bCs/>
                <w:sz w:val="20"/>
              </w:rPr>
            </w:pPr>
            <w:r w:rsidRPr="003C739E">
              <w:rPr>
                <w:b/>
                <w:bCs/>
                <w:sz w:val="20"/>
              </w:rPr>
              <w:t>P</w:t>
            </w:r>
          </w:p>
        </w:tc>
        <w:tc>
          <w:tcPr>
            <w:tcW w:w="8220" w:type="dxa"/>
            <w:tcBorders>
              <w:top w:val="nil"/>
              <w:bottom w:val="nil"/>
            </w:tcBorders>
            <w:shd w:val="clear" w:color="auto" w:fill="auto"/>
          </w:tcPr>
          <w:p w14:paraId="0493C9D4" w14:textId="77777777" w:rsidR="00A107EF" w:rsidRPr="003C739E" w:rsidRDefault="00A107EF" w:rsidP="00820005">
            <w:pPr>
              <w:spacing w:before="30" w:after="30"/>
              <w:jc w:val="left"/>
              <w:rPr>
                <w:sz w:val="20"/>
              </w:rPr>
            </w:pPr>
            <w:r w:rsidRPr="003C739E">
              <w:rPr>
                <w:sz w:val="20"/>
              </w:rPr>
              <w:t>Propagation des ondes radioélectriques</w:t>
            </w:r>
          </w:p>
        </w:tc>
      </w:tr>
      <w:tr w:rsidR="00A107EF" w:rsidRPr="003C739E" w14:paraId="195CDE41" w14:textId="77777777" w:rsidTr="00326525">
        <w:tc>
          <w:tcPr>
            <w:tcW w:w="1140" w:type="dxa"/>
            <w:tcBorders>
              <w:top w:val="nil"/>
              <w:bottom w:val="nil"/>
            </w:tcBorders>
            <w:shd w:val="clear" w:color="auto" w:fill="auto"/>
          </w:tcPr>
          <w:p w14:paraId="3E799CF7" w14:textId="77777777" w:rsidR="00A107EF" w:rsidRPr="003C739E" w:rsidRDefault="00A107EF" w:rsidP="00820005">
            <w:pPr>
              <w:spacing w:before="30" w:after="30"/>
              <w:ind w:left="57"/>
              <w:jc w:val="left"/>
              <w:rPr>
                <w:b/>
                <w:bCs/>
                <w:sz w:val="20"/>
              </w:rPr>
            </w:pPr>
            <w:r w:rsidRPr="003C739E">
              <w:rPr>
                <w:b/>
                <w:bCs/>
                <w:sz w:val="20"/>
              </w:rPr>
              <w:t>RA</w:t>
            </w:r>
          </w:p>
        </w:tc>
        <w:tc>
          <w:tcPr>
            <w:tcW w:w="8220" w:type="dxa"/>
            <w:tcBorders>
              <w:top w:val="nil"/>
              <w:bottom w:val="nil"/>
            </w:tcBorders>
            <w:shd w:val="clear" w:color="auto" w:fill="auto"/>
          </w:tcPr>
          <w:p w14:paraId="5A87733D" w14:textId="77777777" w:rsidR="00A107EF" w:rsidRPr="003C739E" w:rsidRDefault="00A107EF" w:rsidP="008200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C739E">
              <w:rPr>
                <w:sz w:val="20"/>
              </w:rPr>
              <w:t>Radio astronomie</w:t>
            </w:r>
          </w:p>
        </w:tc>
      </w:tr>
      <w:tr w:rsidR="00A107EF" w:rsidRPr="003C739E" w14:paraId="055AA8F0" w14:textId="77777777" w:rsidTr="00C40D3E">
        <w:tc>
          <w:tcPr>
            <w:tcW w:w="1140" w:type="dxa"/>
            <w:tcBorders>
              <w:top w:val="nil"/>
              <w:bottom w:val="nil"/>
            </w:tcBorders>
            <w:shd w:val="clear" w:color="auto" w:fill="auto"/>
          </w:tcPr>
          <w:p w14:paraId="1AC71717" w14:textId="77777777" w:rsidR="00A107EF" w:rsidRPr="003C739E" w:rsidRDefault="00A107EF" w:rsidP="00820005">
            <w:pPr>
              <w:spacing w:before="30" w:after="30"/>
              <w:ind w:left="57"/>
              <w:jc w:val="left"/>
              <w:rPr>
                <w:b/>
                <w:bCs/>
                <w:sz w:val="20"/>
              </w:rPr>
            </w:pPr>
            <w:r w:rsidRPr="003C739E">
              <w:rPr>
                <w:b/>
                <w:bCs/>
                <w:sz w:val="20"/>
              </w:rPr>
              <w:t>RS</w:t>
            </w:r>
          </w:p>
        </w:tc>
        <w:tc>
          <w:tcPr>
            <w:tcW w:w="8220" w:type="dxa"/>
            <w:tcBorders>
              <w:top w:val="nil"/>
              <w:bottom w:val="nil"/>
            </w:tcBorders>
            <w:shd w:val="clear" w:color="auto" w:fill="auto"/>
          </w:tcPr>
          <w:p w14:paraId="62CD9F07" w14:textId="77777777" w:rsidR="00A107EF" w:rsidRPr="003C739E" w:rsidRDefault="00A107EF" w:rsidP="008200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C739E">
              <w:rPr>
                <w:sz w:val="20"/>
              </w:rPr>
              <w:t>Systèmes de télédétection</w:t>
            </w:r>
          </w:p>
        </w:tc>
      </w:tr>
      <w:tr w:rsidR="00A107EF" w:rsidRPr="003C739E" w14:paraId="6543394C" w14:textId="77777777" w:rsidTr="00C40D3E">
        <w:tc>
          <w:tcPr>
            <w:tcW w:w="1140" w:type="dxa"/>
            <w:tcBorders>
              <w:top w:val="nil"/>
              <w:bottom w:val="nil"/>
            </w:tcBorders>
            <w:shd w:val="clear" w:color="auto" w:fill="auto"/>
          </w:tcPr>
          <w:p w14:paraId="020FA70E" w14:textId="77777777" w:rsidR="00A107EF" w:rsidRPr="003C739E" w:rsidRDefault="00A107EF" w:rsidP="00820005">
            <w:pPr>
              <w:spacing w:before="30" w:after="30"/>
              <w:ind w:left="57"/>
              <w:jc w:val="left"/>
              <w:rPr>
                <w:b/>
                <w:bCs/>
                <w:sz w:val="20"/>
              </w:rPr>
            </w:pPr>
            <w:r w:rsidRPr="003C739E">
              <w:rPr>
                <w:b/>
                <w:bCs/>
                <w:sz w:val="20"/>
              </w:rPr>
              <w:t>S</w:t>
            </w:r>
          </w:p>
        </w:tc>
        <w:tc>
          <w:tcPr>
            <w:tcW w:w="8220" w:type="dxa"/>
            <w:tcBorders>
              <w:top w:val="nil"/>
              <w:bottom w:val="nil"/>
            </w:tcBorders>
            <w:shd w:val="clear" w:color="auto" w:fill="auto"/>
          </w:tcPr>
          <w:p w14:paraId="2D88697A" w14:textId="77777777" w:rsidR="00A107EF" w:rsidRPr="003C739E" w:rsidRDefault="00A107EF" w:rsidP="00820005">
            <w:pPr>
              <w:spacing w:before="30" w:after="30"/>
              <w:jc w:val="left"/>
              <w:rPr>
                <w:sz w:val="20"/>
              </w:rPr>
            </w:pPr>
            <w:r w:rsidRPr="003C739E">
              <w:rPr>
                <w:sz w:val="20"/>
              </w:rPr>
              <w:t>Service fixe par satellite</w:t>
            </w:r>
          </w:p>
        </w:tc>
      </w:tr>
      <w:tr w:rsidR="00A107EF" w:rsidRPr="003C739E" w14:paraId="4F2BAE52" w14:textId="77777777" w:rsidTr="00C40D3E">
        <w:tc>
          <w:tcPr>
            <w:tcW w:w="1140" w:type="dxa"/>
            <w:tcBorders>
              <w:top w:val="nil"/>
              <w:bottom w:val="nil"/>
            </w:tcBorders>
            <w:shd w:val="clear" w:color="auto" w:fill="F3F3F3"/>
          </w:tcPr>
          <w:p w14:paraId="5EFA107E" w14:textId="77777777" w:rsidR="00A107EF" w:rsidRPr="003C739E" w:rsidRDefault="00A107EF" w:rsidP="00820005">
            <w:pPr>
              <w:spacing w:before="30" w:after="30"/>
              <w:ind w:left="57"/>
              <w:jc w:val="left"/>
              <w:rPr>
                <w:b/>
                <w:bCs/>
                <w:color w:val="000080"/>
                <w:sz w:val="20"/>
              </w:rPr>
            </w:pPr>
            <w:r w:rsidRPr="003C739E">
              <w:rPr>
                <w:b/>
                <w:bCs/>
                <w:color w:val="000080"/>
                <w:sz w:val="20"/>
              </w:rPr>
              <w:t>SA</w:t>
            </w:r>
          </w:p>
        </w:tc>
        <w:tc>
          <w:tcPr>
            <w:tcW w:w="8220" w:type="dxa"/>
            <w:tcBorders>
              <w:top w:val="nil"/>
              <w:bottom w:val="nil"/>
            </w:tcBorders>
            <w:shd w:val="clear" w:color="auto" w:fill="F3F3F3"/>
          </w:tcPr>
          <w:p w14:paraId="3A57A397" w14:textId="77777777" w:rsidR="00A107EF" w:rsidRPr="003C739E" w:rsidRDefault="00A107EF" w:rsidP="00820005">
            <w:pPr>
              <w:spacing w:before="30" w:after="30"/>
              <w:jc w:val="left"/>
              <w:rPr>
                <w:b/>
                <w:bCs/>
                <w:color w:val="000080"/>
                <w:sz w:val="20"/>
              </w:rPr>
            </w:pPr>
            <w:r w:rsidRPr="003C739E">
              <w:rPr>
                <w:b/>
                <w:bCs/>
                <w:color w:val="000080"/>
                <w:sz w:val="20"/>
              </w:rPr>
              <w:t>Applications spatiales et météorologie</w:t>
            </w:r>
          </w:p>
        </w:tc>
      </w:tr>
      <w:tr w:rsidR="00A107EF" w:rsidRPr="003C739E" w14:paraId="3E26AAF4" w14:textId="77777777" w:rsidTr="00C40D3E">
        <w:tc>
          <w:tcPr>
            <w:tcW w:w="1140" w:type="dxa"/>
            <w:tcBorders>
              <w:top w:val="nil"/>
            </w:tcBorders>
          </w:tcPr>
          <w:p w14:paraId="59CB7128" w14:textId="77777777" w:rsidR="00A107EF" w:rsidRPr="003C739E" w:rsidRDefault="00A107EF" w:rsidP="00820005">
            <w:pPr>
              <w:spacing w:before="30" w:after="30"/>
              <w:ind w:left="57"/>
              <w:jc w:val="left"/>
              <w:rPr>
                <w:b/>
                <w:bCs/>
                <w:sz w:val="20"/>
              </w:rPr>
            </w:pPr>
            <w:r w:rsidRPr="003C739E">
              <w:rPr>
                <w:b/>
                <w:bCs/>
                <w:sz w:val="20"/>
              </w:rPr>
              <w:t>SF</w:t>
            </w:r>
          </w:p>
        </w:tc>
        <w:tc>
          <w:tcPr>
            <w:tcW w:w="8220" w:type="dxa"/>
            <w:tcBorders>
              <w:top w:val="nil"/>
            </w:tcBorders>
          </w:tcPr>
          <w:p w14:paraId="6CC0DE8D" w14:textId="77777777" w:rsidR="00A107EF" w:rsidRPr="003C739E" w:rsidRDefault="00A107EF" w:rsidP="00820005">
            <w:pPr>
              <w:spacing w:before="30" w:after="30"/>
              <w:jc w:val="left"/>
              <w:rPr>
                <w:sz w:val="20"/>
              </w:rPr>
            </w:pPr>
            <w:r w:rsidRPr="003C739E">
              <w:rPr>
                <w:sz w:val="20"/>
              </w:rPr>
              <w:t>Partage des fréquences et coordination entre les systèmes du service fixe par satellite et du service fixe</w:t>
            </w:r>
          </w:p>
        </w:tc>
      </w:tr>
      <w:tr w:rsidR="00A107EF" w:rsidRPr="003C739E" w14:paraId="5C92A5B8" w14:textId="77777777">
        <w:tc>
          <w:tcPr>
            <w:tcW w:w="1140" w:type="dxa"/>
            <w:shd w:val="clear" w:color="auto" w:fill="auto"/>
          </w:tcPr>
          <w:p w14:paraId="6C79237C" w14:textId="77777777" w:rsidR="00A107EF" w:rsidRPr="003C739E" w:rsidRDefault="00A107EF" w:rsidP="00820005">
            <w:pPr>
              <w:spacing w:before="30" w:after="30"/>
              <w:ind w:left="57"/>
              <w:jc w:val="left"/>
              <w:rPr>
                <w:b/>
                <w:bCs/>
                <w:sz w:val="20"/>
              </w:rPr>
            </w:pPr>
            <w:r w:rsidRPr="003C739E">
              <w:rPr>
                <w:b/>
                <w:bCs/>
                <w:sz w:val="20"/>
              </w:rPr>
              <w:t>SM</w:t>
            </w:r>
          </w:p>
        </w:tc>
        <w:tc>
          <w:tcPr>
            <w:tcW w:w="8220" w:type="dxa"/>
            <w:shd w:val="clear" w:color="auto" w:fill="auto"/>
          </w:tcPr>
          <w:p w14:paraId="7E534BDF" w14:textId="77777777" w:rsidR="00A107EF" w:rsidRPr="003C739E" w:rsidRDefault="00A107EF" w:rsidP="00820005">
            <w:pPr>
              <w:spacing w:before="30" w:after="30"/>
              <w:jc w:val="left"/>
              <w:rPr>
                <w:sz w:val="20"/>
              </w:rPr>
            </w:pPr>
            <w:r w:rsidRPr="003C739E">
              <w:rPr>
                <w:sz w:val="20"/>
              </w:rPr>
              <w:t>Gestion du spectre</w:t>
            </w:r>
          </w:p>
        </w:tc>
      </w:tr>
      <w:tr w:rsidR="00A107EF" w:rsidRPr="003C739E" w14:paraId="41BE2467" w14:textId="77777777">
        <w:tc>
          <w:tcPr>
            <w:tcW w:w="1140" w:type="dxa"/>
          </w:tcPr>
          <w:p w14:paraId="00EC597E" w14:textId="77777777" w:rsidR="00A107EF" w:rsidRPr="003C739E" w:rsidRDefault="00A107EF" w:rsidP="00820005">
            <w:pPr>
              <w:spacing w:before="30" w:after="30"/>
              <w:ind w:left="57"/>
              <w:jc w:val="left"/>
              <w:rPr>
                <w:b/>
                <w:bCs/>
                <w:sz w:val="20"/>
              </w:rPr>
            </w:pPr>
            <w:r w:rsidRPr="003C739E">
              <w:rPr>
                <w:b/>
                <w:bCs/>
                <w:sz w:val="20"/>
              </w:rPr>
              <w:t>SNG</w:t>
            </w:r>
          </w:p>
        </w:tc>
        <w:tc>
          <w:tcPr>
            <w:tcW w:w="8220" w:type="dxa"/>
          </w:tcPr>
          <w:p w14:paraId="0631DB7E" w14:textId="77777777" w:rsidR="00A107EF" w:rsidRPr="003C739E" w:rsidRDefault="00A107EF" w:rsidP="00820005">
            <w:pPr>
              <w:spacing w:before="30" w:after="30"/>
              <w:jc w:val="left"/>
              <w:rPr>
                <w:sz w:val="20"/>
              </w:rPr>
            </w:pPr>
            <w:r w:rsidRPr="003C739E">
              <w:rPr>
                <w:sz w:val="20"/>
              </w:rPr>
              <w:t>Reportage d'actualités par satellite</w:t>
            </w:r>
          </w:p>
        </w:tc>
      </w:tr>
      <w:tr w:rsidR="00A107EF" w:rsidRPr="003C739E" w14:paraId="2AE38ED1" w14:textId="77777777">
        <w:tc>
          <w:tcPr>
            <w:tcW w:w="1140" w:type="dxa"/>
          </w:tcPr>
          <w:p w14:paraId="36874829" w14:textId="77777777" w:rsidR="00A107EF" w:rsidRPr="003C739E" w:rsidRDefault="00A107EF" w:rsidP="00820005">
            <w:pPr>
              <w:spacing w:before="30" w:after="30"/>
              <w:ind w:left="57"/>
              <w:jc w:val="left"/>
              <w:rPr>
                <w:b/>
                <w:bCs/>
                <w:sz w:val="20"/>
              </w:rPr>
            </w:pPr>
            <w:r w:rsidRPr="003C739E">
              <w:rPr>
                <w:b/>
                <w:bCs/>
                <w:sz w:val="20"/>
              </w:rPr>
              <w:t>TF</w:t>
            </w:r>
          </w:p>
        </w:tc>
        <w:tc>
          <w:tcPr>
            <w:tcW w:w="8220" w:type="dxa"/>
          </w:tcPr>
          <w:p w14:paraId="7EE82515" w14:textId="71718FBE" w:rsidR="00A107EF" w:rsidRPr="003C739E" w:rsidRDefault="003C739E" w:rsidP="00820005">
            <w:pPr>
              <w:spacing w:before="30" w:after="30"/>
              <w:jc w:val="left"/>
              <w:rPr>
                <w:sz w:val="20"/>
              </w:rPr>
            </w:pPr>
            <w:r w:rsidRPr="003C739E">
              <w:rPr>
                <w:sz w:val="20"/>
              </w:rPr>
              <w:t>Émissions</w:t>
            </w:r>
            <w:r w:rsidR="00A107EF" w:rsidRPr="003C739E">
              <w:rPr>
                <w:sz w:val="20"/>
              </w:rPr>
              <w:t xml:space="preserve"> de fréquences étalon et de signaux horaires</w:t>
            </w:r>
          </w:p>
        </w:tc>
      </w:tr>
      <w:tr w:rsidR="00A107EF" w:rsidRPr="003C739E" w14:paraId="671F1036" w14:textId="77777777">
        <w:tc>
          <w:tcPr>
            <w:tcW w:w="1140" w:type="dxa"/>
          </w:tcPr>
          <w:p w14:paraId="76EAA8E3" w14:textId="77777777" w:rsidR="00A107EF" w:rsidRPr="003C739E" w:rsidRDefault="00A107EF" w:rsidP="00820005">
            <w:pPr>
              <w:spacing w:before="30" w:after="30"/>
              <w:ind w:left="57"/>
              <w:jc w:val="left"/>
              <w:rPr>
                <w:b/>
                <w:bCs/>
                <w:sz w:val="20"/>
              </w:rPr>
            </w:pPr>
            <w:r w:rsidRPr="003C739E">
              <w:rPr>
                <w:b/>
                <w:bCs/>
                <w:sz w:val="20"/>
              </w:rPr>
              <w:t>V</w:t>
            </w:r>
          </w:p>
        </w:tc>
        <w:tc>
          <w:tcPr>
            <w:tcW w:w="8220" w:type="dxa"/>
          </w:tcPr>
          <w:p w14:paraId="235DF8D0" w14:textId="77777777" w:rsidR="00A107EF" w:rsidRPr="003C739E" w:rsidRDefault="00A107EF" w:rsidP="00820005">
            <w:pPr>
              <w:spacing w:before="30" w:after="140"/>
              <w:jc w:val="left"/>
              <w:rPr>
                <w:sz w:val="20"/>
              </w:rPr>
            </w:pPr>
            <w:r w:rsidRPr="003C739E">
              <w:rPr>
                <w:sz w:val="20"/>
              </w:rPr>
              <w:t>Vocabulaire et sujets associés</w:t>
            </w:r>
          </w:p>
        </w:tc>
      </w:tr>
    </w:tbl>
    <w:p w14:paraId="2DBDE0DA" w14:textId="77777777" w:rsidR="00A107EF" w:rsidRPr="003C739E" w:rsidRDefault="00A107EF" w:rsidP="00820005">
      <w:pPr>
        <w:spacing w:before="0"/>
        <w:jc w:val="center"/>
        <w:rPr>
          <w:sz w:val="20"/>
        </w:rPr>
      </w:pPr>
    </w:p>
    <w:p w14:paraId="6867E0FC" w14:textId="77777777" w:rsidR="00A107EF" w:rsidRPr="003C739E" w:rsidRDefault="00A107EF" w:rsidP="00820005">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107EF" w:rsidRPr="003C739E" w14:paraId="4F5BAFD8" w14:textId="77777777">
        <w:tc>
          <w:tcPr>
            <w:tcW w:w="9360" w:type="dxa"/>
          </w:tcPr>
          <w:p w14:paraId="742F22EC" w14:textId="3E75FB2F" w:rsidR="00A107EF" w:rsidRPr="003C739E" w:rsidRDefault="00A107EF" w:rsidP="00820005">
            <w:pPr>
              <w:spacing w:before="80" w:after="80"/>
              <w:jc w:val="left"/>
              <w:rPr>
                <w:i/>
                <w:iCs/>
                <w:sz w:val="20"/>
              </w:rPr>
            </w:pPr>
            <w:r w:rsidRPr="003C739E">
              <w:rPr>
                <w:b/>
                <w:bCs/>
                <w:i/>
                <w:iCs/>
                <w:sz w:val="20"/>
              </w:rPr>
              <w:t>Note</w:t>
            </w:r>
            <w:r w:rsidRPr="003C739E">
              <w:rPr>
                <w:i/>
                <w:iCs/>
                <w:sz w:val="20"/>
              </w:rPr>
              <w:t>: Cette Recommandation UIT-R a été approuvée en anglais aux termes de la procédure détaillée dans la</w:t>
            </w:r>
            <w:r w:rsidRPr="003C739E">
              <w:rPr>
                <w:i/>
                <w:iCs/>
                <w:sz w:val="20"/>
              </w:rPr>
              <w:br/>
              <w:t xml:space="preserve">Résolution UIT-R 1. </w:t>
            </w:r>
          </w:p>
        </w:tc>
      </w:tr>
    </w:tbl>
    <w:p w14:paraId="0B75D1E8" w14:textId="77777777" w:rsidR="00A107EF" w:rsidRPr="003C739E" w:rsidRDefault="00A107EF" w:rsidP="00820005">
      <w:pPr>
        <w:spacing w:before="0"/>
        <w:jc w:val="center"/>
        <w:rPr>
          <w:sz w:val="22"/>
        </w:rPr>
      </w:pPr>
    </w:p>
    <w:p w14:paraId="42025BFE" w14:textId="77777777" w:rsidR="00A107EF" w:rsidRPr="003C739E" w:rsidRDefault="00A107EF" w:rsidP="00820005">
      <w:pPr>
        <w:spacing w:before="100"/>
        <w:jc w:val="right"/>
        <w:rPr>
          <w:i/>
          <w:iCs/>
          <w:sz w:val="20"/>
        </w:rPr>
      </w:pPr>
      <w:r w:rsidRPr="003C739E">
        <w:rPr>
          <w:i/>
          <w:iCs/>
          <w:sz w:val="20"/>
        </w:rPr>
        <w:t>Publication électronique</w:t>
      </w:r>
    </w:p>
    <w:p w14:paraId="6F8FE747" w14:textId="4ED8A943" w:rsidR="00A107EF" w:rsidRPr="003C739E" w:rsidRDefault="00A107EF" w:rsidP="00820005">
      <w:pPr>
        <w:spacing w:before="0"/>
        <w:jc w:val="right"/>
        <w:rPr>
          <w:sz w:val="20"/>
        </w:rPr>
      </w:pPr>
      <w:r w:rsidRPr="003C739E">
        <w:rPr>
          <w:sz w:val="20"/>
        </w:rPr>
        <w:t>Genève, 20</w:t>
      </w:r>
      <w:r w:rsidR="00A52963" w:rsidRPr="003C739E">
        <w:rPr>
          <w:sz w:val="20"/>
        </w:rPr>
        <w:t>2</w:t>
      </w:r>
      <w:r w:rsidR="008C53A4">
        <w:rPr>
          <w:sz w:val="20"/>
        </w:rPr>
        <w:t>3</w:t>
      </w:r>
    </w:p>
    <w:p w14:paraId="7EA87DFC" w14:textId="032F79B2" w:rsidR="00A107EF" w:rsidRPr="003C739E" w:rsidRDefault="00A107EF" w:rsidP="00820005">
      <w:pPr>
        <w:spacing w:before="200"/>
        <w:jc w:val="center"/>
        <w:rPr>
          <w:sz w:val="20"/>
        </w:rPr>
      </w:pPr>
      <w:r w:rsidRPr="003C739E">
        <w:rPr>
          <w:sz w:val="20"/>
        </w:rPr>
        <w:sym w:font="Symbol" w:char="F0E3"/>
      </w:r>
      <w:r w:rsidRPr="003C739E">
        <w:rPr>
          <w:sz w:val="20"/>
        </w:rPr>
        <w:t xml:space="preserve"> UIT </w:t>
      </w:r>
      <w:bookmarkStart w:id="2" w:name="iiannee"/>
      <w:bookmarkEnd w:id="2"/>
      <w:r w:rsidRPr="003C739E">
        <w:rPr>
          <w:sz w:val="20"/>
        </w:rPr>
        <w:t>20</w:t>
      </w:r>
      <w:r w:rsidR="00A52963" w:rsidRPr="003C739E">
        <w:rPr>
          <w:sz w:val="20"/>
        </w:rPr>
        <w:t>2</w:t>
      </w:r>
      <w:r w:rsidR="008C53A4">
        <w:rPr>
          <w:sz w:val="20"/>
        </w:rPr>
        <w:t>3</w:t>
      </w:r>
    </w:p>
    <w:p w14:paraId="20F61BAB" w14:textId="69EE8BD5" w:rsidR="00A107EF" w:rsidRPr="003C739E" w:rsidRDefault="00A107EF" w:rsidP="00820005">
      <w:pPr>
        <w:rPr>
          <w:sz w:val="18"/>
          <w:szCs w:val="18"/>
        </w:rPr>
      </w:pPr>
      <w:r w:rsidRPr="003C739E">
        <w:rPr>
          <w:sz w:val="18"/>
          <w:szCs w:val="18"/>
        </w:rPr>
        <w:t>Tous droits réservés. Aucune partie de cette publication ne peut être reproduite, par quelque procédé que ce soit, sans l</w:t>
      </w:r>
      <w:r w:rsidR="00820005" w:rsidRPr="003C739E">
        <w:rPr>
          <w:sz w:val="18"/>
          <w:szCs w:val="18"/>
        </w:rPr>
        <w:t>'</w:t>
      </w:r>
      <w:r w:rsidRPr="003C739E">
        <w:rPr>
          <w:sz w:val="18"/>
          <w:szCs w:val="18"/>
        </w:rPr>
        <w:t>accord écrit préalable de l</w:t>
      </w:r>
      <w:r w:rsidR="00820005" w:rsidRPr="003C739E">
        <w:rPr>
          <w:sz w:val="18"/>
          <w:szCs w:val="18"/>
        </w:rPr>
        <w:t>'</w:t>
      </w:r>
      <w:r w:rsidRPr="003C739E">
        <w:rPr>
          <w:sz w:val="18"/>
          <w:szCs w:val="18"/>
        </w:rPr>
        <w:t>UIT.</w:t>
      </w:r>
    </w:p>
    <w:p w14:paraId="1C9030FC" w14:textId="77777777" w:rsidR="00A107EF" w:rsidRPr="003C739E" w:rsidRDefault="00A107EF" w:rsidP="00820005">
      <w:pPr>
        <w:spacing w:before="160"/>
        <w:rPr>
          <w:i/>
          <w:sz w:val="20"/>
          <w:highlight w:val="yellow"/>
        </w:rPr>
        <w:sectPr w:rsidR="00A107EF" w:rsidRPr="003C739E"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2B4006C" w14:textId="3C0AB768" w:rsidR="00A107EF" w:rsidRPr="003C739E" w:rsidRDefault="00A107EF" w:rsidP="00820005">
      <w:pPr>
        <w:pStyle w:val="RecNo"/>
        <w:spacing w:before="0"/>
      </w:pPr>
      <w:bookmarkStart w:id="3" w:name="irecnoe"/>
      <w:bookmarkEnd w:id="3"/>
      <w:r w:rsidRPr="003C739E">
        <w:lastRenderedPageBreak/>
        <w:t xml:space="preserve">RECOMMANDATION  </w:t>
      </w:r>
      <w:r w:rsidRPr="003C739E">
        <w:rPr>
          <w:rStyle w:val="href"/>
        </w:rPr>
        <w:t>UIT-R  SA.</w:t>
      </w:r>
      <w:r w:rsidR="00A52963" w:rsidRPr="003C739E">
        <w:rPr>
          <w:rStyle w:val="href"/>
        </w:rPr>
        <w:t>2156-0</w:t>
      </w:r>
    </w:p>
    <w:p w14:paraId="0005E454" w14:textId="21D9BD03" w:rsidR="00561AFE" w:rsidRPr="003C739E" w:rsidRDefault="00561AFE" w:rsidP="00030038">
      <w:pPr>
        <w:pStyle w:val="Recdate"/>
        <w:spacing w:before="240"/>
        <w:jc w:val="center"/>
        <w:rPr>
          <w:b/>
          <w:bCs/>
          <w:sz w:val="28"/>
        </w:rPr>
      </w:pPr>
      <w:r w:rsidRPr="003C739E">
        <w:rPr>
          <w:b/>
          <w:bCs/>
          <w:sz w:val="28"/>
        </w:rPr>
        <w:t>Lignes directrices relatives à l'utilisation de la bande de fréquences 2</w:t>
      </w:r>
      <w:r w:rsidR="00820005" w:rsidRPr="003C739E">
        <w:rPr>
          <w:b/>
          <w:bCs/>
          <w:sz w:val="28"/>
        </w:rPr>
        <w:t> </w:t>
      </w:r>
      <w:r w:rsidRPr="003C739E">
        <w:rPr>
          <w:b/>
          <w:bCs/>
          <w:sz w:val="28"/>
        </w:rPr>
        <w:t>025</w:t>
      </w:r>
      <w:r w:rsidR="00820005" w:rsidRPr="003C739E">
        <w:rPr>
          <w:b/>
          <w:bCs/>
          <w:sz w:val="28"/>
        </w:rPr>
        <w:noBreakHyphen/>
      </w:r>
      <w:r w:rsidRPr="003C739E">
        <w:rPr>
          <w:b/>
          <w:bCs/>
          <w:sz w:val="28"/>
        </w:rPr>
        <w:t>2</w:t>
      </w:r>
      <w:r w:rsidR="00820005" w:rsidRPr="003C739E">
        <w:rPr>
          <w:b/>
          <w:bCs/>
          <w:sz w:val="28"/>
        </w:rPr>
        <w:t> </w:t>
      </w:r>
      <w:r w:rsidRPr="003C739E">
        <w:rPr>
          <w:b/>
          <w:bCs/>
          <w:sz w:val="28"/>
        </w:rPr>
        <w:t>110</w:t>
      </w:r>
      <w:r w:rsidR="00820005" w:rsidRPr="003C739E">
        <w:rPr>
          <w:b/>
          <w:bCs/>
          <w:sz w:val="28"/>
        </w:rPr>
        <w:t> </w:t>
      </w:r>
      <w:r w:rsidRPr="003C739E">
        <w:rPr>
          <w:b/>
          <w:bCs/>
          <w:sz w:val="28"/>
        </w:rPr>
        <w:t>MHz par les réseaux à satellite ou les systèmes à satellites</w:t>
      </w:r>
      <w:r w:rsidR="00C774E3" w:rsidRPr="003C739E">
        <w:rPr>
          <w:b/>
          <w:bCs/>
          <w:sz w:val="28"/>
        </w:rPr>
        <w:br/>
      </w:r>
      <w:r w:rsidRPr="003C739E">
        <w:rPr>
          <w:b/>
          <w:bCs/>
          <w:sz w:val="28"/>
        </w:rPr>
        <w:t>du service d'exploration de la Terre par satellite, du service de</w:t>
      </w:r>
      <w:r w:rsidR="002D6F68" w:rsidRPr="003C739E">
        <w:rPr>
          <w:b/>
          <w:bCs/>
          <w:sz w:val="28"/>
        </w:rPr>
        <w:br/>
      </w:r>
      <w:r w:rsidRPr="003C739E">
        <w:rPr>
          <w:b/>
          <w:bCs/>
          <w:sz w:val="28"/>
        </w:rPr>
        <w:t>recherche spatiale et du service d'exploitation spatiale</w:t>
      </w:r>
      <w:r w:rsidR="002D6F68" w:rsidRPr="003C739E">
        <w:rPr>
          <w:b/>
          <w:bCs/>
          <w:sz w:val="28"/>
        </w:rPr>
        <w:br/>
      </w:r>
      <w:r w:rsidRPr="003C739E">
        <w:rPr>
          <w:b/>
          <w:bCs/>
          <w:sz w:val="28"/>
        </w:rPr>
        <w:t>n'utilisant pas la modulation à étalement de spectre</w:t>
      </w:r>
    </w:p>
    <w:p w14:paraId="602DA374" w14:textId="6F899CAB" w:rsidR="00A107EF" w:rsidRPr="003C739E" w:rsidRDefault="00A107EF" w:rsidP="00820005">
      <w:pPr>
        <w:pStyle w:val="Recdate"/>
        <w:rPr>
          <w:i/>
          <w:iCs/>
          <w:szCs w:val="24"/>
        </w:rPr>
      </w:pPr>
      <w:r w:rsidRPr="003C739E">
        <w:rPr>
          <w:iCs/>
          <w:szCs w:val="24"/>
        </w:rPr>
        <w:t>(20</w:t>
      </w:r>
      <w:r w:rsidR="00A52963" w:rsidRPr="003C739E">
        <w:rPr>
          <w:iCs/>
          <w:szCs w:val="24"/>
        </w:rPr>
        <w:t>22</w:t>
      </w:r>
      <w:r w:rsidRPr="003C739E">
        <w:rPr>
          <w:iCs/>
          <w:szCs w:val="24"/>
        </w:rPr>
        <w:t>)</w:t>
      </w:r>
    </w:p>
    <w:p w14:paraId="51E486AF" w14:textId="77777777" w:rsidR="00A107EF" w:rsidRPr="003C739E" w:rsidRDefault="00A107EF" w:rsidP="00820005">
      <w:pPr>
        <w:pStyle w:val="HeadingSum"/>
        <w:rPr>
          <w:lang w:val="fr-FR"/>
        </w:rPr>
      </w:pPr>
      <w:r w:rsidRPr="003C739E">
        <w:rPr>
          <w:lang w:val="fr-FR"/>
        </w:rPr>
        <w:t xml:space="preserve">Domaine </w:t>
      </w:r>
      <w:r w:rsidR="00FC580C" w:rsidRPr="003C739E">
        <w:rPr>
          <w:lang w:val="fr-FR"/>
        </w:rPr>
        <w:t>d'application</w:t>
      </w:r>
    </w:p>
    <w:p w14:paraId="470FD6D8" w14:textId="6CBBBC42" w:rsidR="00A107EF" w:rsidRPr="003C739E" w:rsidRDefault="008E4B04" w:rsidP="00820005">
      <w:pPr>
        <w:pStyle w:val="Summary"/>
        <w:rPr>
          <w:lang w:val="fr-FR"/>
        </w:rPr>
      </w:pPr>
      <w:bookmarkStart w:id="4" w:name="_Hlk125627515"/>
      <w:r w:rsidRPr="003C739E">
        <w:rPr>
          <w:lang w:val="fr-FR"/>
        </w:rPr>
        <w:t xml:space="preserve">La présente </w:t>
      </w:r>
      <w:r w:rsidR="00A52963" w:rsidRPr="003C739E">
        <w:rPr>
          <w:lang w:val="fr-FR"/>
        </w:rPr>
        <w:t>Recommandation fournit des lignes directrices</w:t>
      </w:r>
      <w:r w:rsidRPr="003C739E">
        <w:rPr>
          <w:lang w:val="fr-FR"/>
        </w:rPr>
        <w:t xml:space="preserve"> relatives à</w:t>
      </w:r>
      <w:r w:rsidR="00A52963" w:rsidRPr="003C739E">
        <w:rPr>
          <w:lang w:val="fr-FR"/>
        </w:rPr>
        <w:t xml:space="preserve"> l'utilisation de la bande de fréquences</w:t>
      </w:r>
      <w:r w:rsidR="00820005" w:rsidRPr="003C739E">
        <w:rPr>
          <w:lang w:val="fr-FR"/>
        </w:rPr>
        <w:t> </w:t>
      </w:r>
      <w:r w:rsidR="00A52963" w:rsidRPr="003C739E">
        <w:rPr>
          <w:lang w:val="fr-FR"/>
        </w:rPr>
        <w:t>2</w:t>
      </w:r>
      <w:r w:rsidR="00171C45" w:rsidRPr="003C739E">
        <w:rPr>
          <w:lang w:val="fr-FR"/>
        </w:rPr>
        <w:t> </w:t>
      </w:r>
      <w:r w:rsidR="00A52963" w:rsidRPr="003C739E">
        <w:rPr>
          <w:lang w:val="fr-FR"/>
        </w:rPr>
        <w:t>025</w:t>
      </w:r>
      <w:r w:rsidR="00171C45" w:rsidRPr="003C739E">
        <w:rPr>
          <w:lang w:val="fr-FR"/>
        </w:rPr>
        <w:noBreakHyphen/>
      </w:r>
      <w:r w:rsidR="00A52963" w:rsidRPr="003C739E">
        <w:rPr>
          <w:lang w:val="fr-FR"/>
        </w:rPr>
        <w:t>2</w:t>
      </w:r>
      <w:r w:rsidR="00171C45" w:rsidRPr="003C739E">
        <w:rPr>
          <w:lang w:val="fr-FR"/>
        </w:rPr>
        <w:t> </w:t>
      </w:r>
      <w:r w:rsidR="00A52963" w:rsidRPr="003C739E">
        <w:rPr>
          <w:lang w:val="fr-FR"/>
        </w:rPr>
        <w:t>110</w:t>
      </w:r>
      <w:r w:rsidR="00171C45" w:rsidRPr="003C739E">
        <w:rPr>
          <w:lang w:val="fr-FR"/>
        </w:rPr>
        <w:t> </w:t>
      </w:r>
      <w:r w:rsidR="00A52963" w:rsidRPr="003C739E">
        <w:rPr>
          <w:lang w:val="fr-FR"/>
        </w:rPr>
        <w:t xml:space="preserve">MHz par les réseaux ou les systèmes du service de recherche spatiale, du service d'exploration de la Terre par satellite (SETS) et du service d'exploitation spatiale (SES). </w:t>
      </w:r>
      <w:bookmarkEnd w:id="4"/>
      <w:r w:rsidR="00A52963" w:rsidRPr="003C739E">
        <w:rPr>
          <w:lang w:val="fr-FR"/>
        </w:rPr>
        <w:t xml:space="preserve">Elle vise à optimiser l'utilisation de la bande </w:t>
      </w:r>
      <w:r w:rsidR="0079416F" w:rsidRPr="003C739E">
        <w:rPr>
          <w:lang w:val="fr-FR"/>
        </w:rPr>
        <w:t xml:space="preserve">de fréquences </w:t>
      </w:r>
      <w:r w:rsidR="00A52963" w:rsidRPr="003C739E">
        <w:rPr>
          <w:lang w:val="fr-FR"/>
        </w:rPr>
        <w:t xml:space="preserve">en favorisant les pratiques permettant au plus grand nombre de réseaux à satellite et de systèmes à satellites d'utiliser la bande </w:t>
      </w:r>
      <w:r w:rsidR="0079416F" w:rsidRPr="003C739E">
        <w:rPr>
          <w:lang w:val="fr-FR"/>
        </w:rPr>
        <w:t xml:space="preserve">de fréquences </w:t>
      </w:r>
      <w:r w:rsidR="00A52963" w:rsidRPr="003C739E">
        <w:rPr>
          <w:lang w:val="fr-FR"/>
        </w:rPr>
        <w:t xml:space="preserve">en partage, y compris les techniques visant à réduire la largeur de bande indiquée dans les fiches de notification des renseignements </w:t>
      </w:r>
      <w:r w:rsidR="0079416F" w:rsidRPr="003C739E">
        <w:rPr>
          <w:lang w:val="fr-FR"/>
        </w:rPr>
        <w:t xml:space="preserve">pour </w:t>
      </w:r>
      <w:r w:rsidR="00A52963" w:rsidRPr="003C739E">
        <w:rPr>
          <w:lang w:val="fr-FR"/>
        </w:rPr>
        <w:t xml:space="preserve">la publication anticipée (API). </w:t>
      </w:r>
      <w:r w:rsidR="0079416F" w:rsidRPr="003C739E">
        <w:rPr>
          <w:lang w:val="fr-FR"/>
        </w:rPr>
        <w:t xml:space="preserve">La présente </w:t>
      </w:r>
      <w:r w:rsidR="00A52963" w:rsidRPr="003C739E">
        <w:rPr>
          <w:lang w:val="fr-FR"/>
        </w:rPr>
        <w:t xml:space="preserve">Recommandation porte sur les réseaux à satellite ou les systèmes à satellites </w:t>
      </w:r>
      <w:r w:rsidR="0079416F" w:rsidRPr="003C739E">
        <w:rPr>
          <w:lang w:val="fr-FR"/>
        </w:rPr>
        <w:t>du</w:t>
      </w:r>
      <w:r w:rsidR="00A52963" w:rsidRPr="003C739E">
        <w:rPr>
          <w:lang w:val="fr-FR"/>
        </w:rPr>
        <w:t xml:space="preserve"> SETS/</w:t>
      </w:r>
      <w:r w:rsidR="0079416F" w:rsidRPr="003C739E">
        <w:rPr>
          <w:lang w:val="fr-FR"/>
        </w:rPr>
        <w:t>service de recherche spatiale</w:t>
      </w:r>
      <w:r w:rsidR="00A52963" w:rsidRPr="003C739E">
        <w:rPr>
          <w:lang w:val="fr-FR"/>
        </w:rPr>
        <w:t>/</w:t>
      </w:r>
      <w:r w:rsidR="0079416F" w:rsidRPr="003C739E">
        <w:rPr>
          <w:lang w:val="fr-FR"/>
        </w:rPr>
        <w:t xml:space="preserve">SES </w:t>
      </w:r>
      <w:r w:rsidR="00A52963" w:rsidRPr="003C739E">
        <w:rPr>
          <w:lang w:val="fr-FR"/>
        </w:rPr>
        <w:t>qui n'utilisent pas la modulation à étalement de spectre.</w:t>
      </w:r>
    </w:p>
    <w:p w14:paraId="56CEC170" w14:textId="269412C4" w:rsidR="00A52963" w:rsidRPr="003C739E" w:rsidRDefault="00A52963" w:rsidP="00820005">
      <w:pPr>
        <w:pStyle w:val="Headingb"/>
      </w:pPr>
      <w:r w:rsidRPr="003C739E">
        <w:t>Mots clés</w:t>
      </w:r>
    </w:p>
    <w:p w14:paraId="2CC15BA4" w14:textId="4F8F991D" w:rsidR="00561AFE" w:rsidRPr="003C739E" w:rsidRDefault="00561AFE" w:rsidP="00C774E3">
      <w:pPr>
        <w:rPr>
          <w:b/>
        </w:rPr>
      </w:pPr>
      <w:r w:rsidRPr="003C739E">
        <w:t>Poursuite, télémesure, commande, service d'exploration de la Terre par satellite, recherche spatiale, exploitation spatiale, télémesure, poursuite et télécommande (TT&amp;C)</w:t>
      </w:r>
      <w:r w:rsidR="008C53A4">
        <w:t>,</w:t>
      </w:r>
      <w:r w:rsidRPr="003C739E">
        <w:t xml:space="preserve"> SETS, service de recherche spatiale, SES</w:t>
      </w:r>
    </w:p>
    <w:p w14:paraId="1BB81651" w14:textId="6F7595AF" w:rsidR="005A0D78" w:rsidRPr="003C739E" w:rsidRDefault="00171C45" w:rsidP="00820005">
      <w:pPr>
        <w:pStyle w:val="Headingb"/>
      </w:pPr>
      <w:r w:rsidRPr="003C739E">
        <w:t>Recommandations et Rapports UIT</w:t>
      </w:r>
      <w:r w:rsidR="0079416F" w:rsidRPr="003C739E">
        <w:t>-R</w:t>
      </w:r>
      <w:r w:rsidRPr="003C739E">
        <w:t xml:space="preserve"> connexes</w:t>
      </w:r>
    </w:p>
    <w:p w14:paraId="07D385CF" w14:textId="2E169D70" w:rsidR="005A0D78" w:rsidRPr="008C53A4" w:rsidRDefault="005A0D78" w:rsidP="00820005">
      <w:pPr>
        <w:pStyle w:val="Reftext"/>
      </w:pPr>
      <w:r w:rsidRPr="008C53A4">
        <w:t xml:space="preserve">Recommandation UIT-R </w:t>
      </w:r>
      <w:hyperlink r:id="rId13" w:history="1">
        <w:r w:rsidRPr="008C53A4">
          <w:rPr>
            <w:rStyle w:val="Hyperlink"/>
            <w:color w:val="auto"/>
            <w:u w:val="none"/>
          </w:rPr>
          <w:t>SA.363</w:t>
        </w:r>
      </w:hyperlink>
      <w:r w:rsidRPr="008C53A4">
        <w:t xml:space="preserve"> – Systèmes d'exploitation spatiale</w:t>
      </w:r>
    </w:p>
    <w:p w14:paraId="58C114FD" w14:textId="5F9EB1B4" w:rsidR="005A0D78" w:rsidRPr="008C53A4" w:rsidRDefault="005A0D78" w:rsidP="00820005">
      <w:pPr>
        <w:pStyle w:val="Reftext"/>
      </w:pPr>
      <w:r w:rsidRPr="008C53A4">
        <w:t xml:space="preserve">Recommandation UIT-R </w:t>
      </w:r>
      <w:hyperlink r:id="rId14" w:history="1">
        <w:r w:rsidR="00171C45" w:rsidRPr="008C53A4">
          <w:rPr>
            <w:rStyle w:val="Hyperlink"/>
            <w:color w:val="auto"/>
            <w:u w:val="none"/>
          </w:rPr>
          <w:t>SA.1024</w:t>
        </w:r>
      </w:hyperlink>
      <w:r w:rsidRPr="008C53A4">
        <w:t xml:space="preserve"> – Largeurs de bande nécessaires et bandes de fréquences préférées pour la transmission de données par les satellites d'exploration de la Terre (non compris les satellites météorologiques)</w:t>
      </w:r>
    </w:p>
    <w:p w14:paraId="024F0FFF" w14:textId="3D4A1D06" w:rsidR="005A0D78" w:rsidRPr="008C53A4" w:rsidRDefault="005A0D78" w:rsidP="00820005">
      <w:pPr>
        <w:pStyle w:val="Reftext"/>
      </w:pPr>
      <w:r w:rsidRPr="008C53A4">
        <w:t xml:space="preserve">Recommandation UIT-R </w:t>
      </w:r>
      <w:hyperlink r:id="rId15" w:history="1">
        <w:r w:rsidRPr="008C53A4">
          <w:rPr>
            <w:rStyle w:val="Hyperlink"/>
            <w:color w:val="auto"/>
            <w:u w:val="none"/>
          </w:rPr>
          <w:t>SA.1273</w:t>
        </w:r>
      </w:hyperlink>
      <w:r w:rsidRPr="008C53A4">
        <w:t xml:space="preserve"> – Puissance surfacique rayonnée par les services de recherche spatiale, d'exploitation spatiale et d'exploration de la </w:t>
      </w:r>
      <w:r w:rsidR="00A56C87" w:rsidRPr="008C53A4">
        <w:t>T</w:t>
      </w:r>
      <w:r w:rsidRPr="008C53A4">
        <w:t>erre par satellite à la surface de la Terre propres à protéger le service fixe dans les bandes 2 025-2 110 MHz et 2 200-2 290 MHz</w:t>
      </w:r>
    </w:p>
    <w:p w14:paraId="2E255433" w14:textId="19A073DA" w:rsidR="005A0D78" w:rsidRPr="008C53A4" w:rsidRDefault="005A0D78" w:rsidP="00820005">
      <w:pPr>
        <w:pStyle w:val="Reftext"/>
      </w:pPr>
      <w:r w:rsidRPr="008C53A4">
        <w:t xml:space="preserve">Recommandation UIT-R </w:t>
      </w:r>
      <w:hyperlink r:id="rId16" w:history="1">
        <w:r w:rsidRPr="008C53A4">
          <w:rPr>
            <w:rStyle w:val="Hyperlink"/>
            <w:color w:val="auto"/>
            <w:u w:val="none"/>
          </w:rPr>
          <w:t>S.1716</w:t>
        </w:r>
      </w:hyperlink>
      <w:r w:rsidRPr="008C53A4">
        <w:t xml:space="preserve"> – Objectifs de qualité de fonctionnement et de disponibilité pour les systèmes de télémesure, de poursuite et de télécommande du </w:t>
      </w:r>
      <w:r w:rsidR="00A56C87" w:rsidRPr="008C53A4">
        <w:t>service fixe par satellite</w:t>
      </w:r>
    </w:p>
    <w:p w14:paraId="691BE299" w14:textId="4943B5AB" w:rsidR="005A0D78" w:rsidRPr="008C53A4" w:rsidRDefault="005A0D78" w:rsidP="00820005">
      <w:pPr>
        <w:pStyle w:val="Reftext"/>
      </w:pPr>
      <w:r w:rsidRPr="008C53A4">
        <w:t xml:space="preserve">Recommandation UIT-R </w:t>
      </w:r>
      <w:hyperlink r:id="rId17" w:history="1">
        <w:r w:rsidRPr="008C53A4">
          <w:rPr>
            <w:rStyle w:val="Hyperlink"/>
            <w:color w:val="auto"/>
            <w:u w:val="none"/>
          </w:rPr>
          <w:t>F.1777</w:t>
        </w:r>
      </w:hyperlink>
      <w:r w:rsidRPr="008C53A4">
        <w:t xml:space="preserve"> – Caractéristiques des systèmes de radiodiffusion télévisuelle en extérieur, de reportage d'actualité électronique et de production électronique sur le terrain du service fixe à utiliser pour les études de partage</w:t>
      </w:r>
    </w:p>
    <w:p w14:paraId="6DD0EFA8" w14:textId="65041AD4" w:rsidR="005A0D78" w:rsidRPr="008C53A4" w:rsidRDefault="005A0D78" w:rsidP="00820005">
      <w:pPr>
        <w:pStyle w:val="Reftext"/>
      </w:pPr>
      <w:r w:rsidRPr="008C53A4">
        <w:t xml:space="preserve">Recommandation UIT-R </w:t>
      </w:r>
      <w:hyperlink r:id="rId18" w:history="1">
        <w:r w:rsidRPr="008C53A4">
          <w:rPr>
            <w:rStyle w:val="Hyperlink"/>
            <w:color w:val="auto"/>
            <w:u w:val="none"/>
          </w:rPr>
          <w:t>SA.1863</w:t>
        </w:r>
      </w:hyperlink>
      <w:r w:rsidRPr="008C53A4">
        <w:t xml:space="preserve"> – Radiocommunications utilisées en situation d'urgence dans des vols spatiaux habités</w:t>
      </w:r>
    </w:p>
    <w:p w14:paraId="4B9A6B39" w14:textId="467BC592" w:rsidR="005A0D78" w:rsidRPr="003C739E" w:rsidRDefault="005A0D78" w:rsidP="00820005">
      <w:pPr>
        <w:pStyle w:val="Reftext"/>
      </w:pPr>
      <w:r w:rsidRPr="008C53A4">
        <w:t xml:space="preserve">Rapport UIT-R </w:t>
      </w:r>
      <w:hyperlink r:id="rId19" w:history="1">
        <w:r w:rsidRPr="008C53A4">
          <w:rPr>
            <w:rStyle w:val="Hyperlink"/>
            <w:color w:val="auto"/>
            <w:u w:val="none"/>
          </w:rPr>
          <w:t>SA.2325</w:t>
        </w:r>
      </w:hyperlink>
      <w:r w:rsidRPr="008C53A4">
        <w:t xml:space="preserve"> – </w:t>
      </w:r>
      <w:r w:rsidR="00171C45" w:rsidRPr="008C53A4">
        <w:t xml:space="preserve">Partage entre les liaisons espace-espace des services de recherche spatiale, d'exploitation spatiale et d'exploration de la Terre par satellite et les systèmes IMT dans les bandes </w:t>
      </w:r>
      <w:r w:rsidR="00171C45" w:rsidRPr="003C739E">
        <w:t>de fréquences 2 025-2 110 MHz et 2 200</w:t>
      </w:r>
      <w:r w:rsidR="00FC3C62" w:rsidRPr="003C739E">
        <w:t>-</w:t>
      </w:r>
      <w:r w:rsidR="00171C45" w:rsidRPr="003C739E">
        <w:t>2 290 MHz</w:t>
      </w:r>
      <w:r w:rsidR="00FC3C62" w:rsidRPr="003C739E">
        <w:t>.</w:t>
      </w:r>
    </w:p>
    <w:p w14:paraId="45B1EC31" w14:textId="77777777" w:rsidR="00A107EF" w:rsidRPr="003C739E" w:rsidRDefault="00A107EF" w:rsidP="008C53A4">
      <w:pPr>
        <w:pStyle w:val="Normalaftertitle"/>
        <w:keepNext/>
        <w:keepLines/>
      </w:pPr>
      <w:r w:rsidRPr="003C739E">
        <w:lastRenderedPageBreak/>
        <w:t xml:space="preserve">L'Assemblée </w:t>
      </w:r>
      <w:r w:rsidRPr="008C53A4">
        <w:t>des</w:t>
      </w:r>
      <w:r w:rsidRPr="003C739E">
        <w:t xml:space="preserve"> radiocommunications de l'UIT,</w:t>
      </w:r>
    </w:p>
    <w:p w14:paraId="55BEF7D4" w14:textId="77777777" w:rsidR="00A107EF" w:rsidRPr="008C53A4" w:rsidRDefault="00A107EF" w:rsidP="008C53A4">
      <w:pPr>
        <w:pStyle w:val="Call"/>
      </w:pPr>
      <w:proofErr w:type="gramStart"/>
      <w:r w:rsidRPr="003C739E">
        <w:t>considérant</w:t>
      </w:r>
      <w:proofErr w:type="gramEnd"/>
    </w:p>
    <w:p w14:paraId="1A366CAA" w14:textId="04E3E267" w:rsidR="00171C45" w:rsidRPr="003C739E" w:rsidRDefault="00A107EF" w:rsidP="008C53A4">
      <w:r w:rsidRPr="003C739E">
        <w:rPr>
          <w:i/>
          <w:iCs/>
        </w:rPr>
        <w:t>a)</w:t>
      </w:r>
      <w:r w:rsidRPr="003C739E">
        <w:tab/>
      </w:r>
      <w:r w:rsidR="00FC3C62" w:rsidRPr="003C739E">
        <w:t>que l</w:t>
      </w:r>
      <w:r w:rsidR="00171C45" w:rsidRPr="003C739E">
        <w:t>a bande de fréquences 2</w:t>
      </w:r>
      <w:r w:rsidR="00C774E3" w:rsidRPr="003C739E">
        <w:t> </w:t>
      </w:r>
      <w:r w:rsidR="00171C45" w:rsidRPr="003C739E">
        <w:t>025</w:t>
      </w:r>
      <w:r w:rsidR="00820005" w:rsidRPr="003C739E">
        <w:t>-</w:t>
      </w:r>
      <w:r w:rsidR="00171C45" w:rsidRPr="003C739E">
        <w:t>2</w:t>
      </w:r>
      <w:r w:rsidR="00C774E3" w:rsidRPr="003C739E">
        <w:t> </w:t>
      </w:r>
      <w:r w:rsidR="00171C45" w:rsidRPr="003C739E">
        <w:t>110</w:t>
      </w:r>
      <w:r w:rsidR="00C774E3" w:rsidRPr="003C739E">
        <w:t> </w:t>
      </w:r>
      <w:r w:rsidR="00171C45" w:rsidRPr="003C739E">
        <w:t>MHz</w:t>
      </w:r>
      <w:r w:rsidR="00FC3C62" w:rsidRPr="003C739E">
        <w:t xml:space="preserve"> est notamment </w:t>
      </w:r>
      <w:r w:rsidR="00C774E3" w:rsidRPr="003C739E">
        <w:t>attribuée</w:t>
      </w:r>
      <w:r w:rsidR="00A56C87" w:rsidRPr="003C739E">
        <w:t xml:space="preserve"> au</w:t>
      </w:r>
      <w:r w:rsidR="00171C45" w:rsidRPr="003C739E">
        <w:t xml:space="preserve"> service de recherche spatiale, </w:t>
      </w:r>
      <w:r w:rsidR="00A56C87" w:rsidRPr="003C739E">
        <w:t>a</w:t>
      </w:r>
      <w:r w:rsidR="00171C45" w:rsidRPr="003C739E">
        <w:t xml:space="preserve">u service d'exploration de la Terre par satellite (SETS) et </w:t>
      </w:r>
      <w:r w:rsidR="00A56C87" w:rsidRPr="003C739E">
        <w:t>a</w:t>
      </w:r>
      <w:r w:rsidR="00171C45" w:rsidRPr="003C739E">
        <w:t>u service d'exploitation spatiale (SES)</w:t>
      </w:r>
      <w:r w:rsidR="00A56C87" w:rsidRPr="003C739E">
        <w:t xml:space="preserve"> dans le</w:t>
      </w:r>
      <w:r w:rsidR="008D24F0" w:rsidRPr="003C739E">
        <w:t>s</w:t>
      </w:r>
      <w:r w:rsidR="00A56C87" w:rsidRPr="003C739E">
        <w:t xml:space="preserve"> sens Terre vers espace et espace-</w:t>
      </w:r>
      <w:proofErr w:type="gramStart"/>
      <w:r w:rsidR="00A56C87" w:rsidRPr="003C739E">
        <w:t>espace</w:t>
      </w:r>
      <w:r w:rsidR="00171C45" w:rsidRPr="003C739E">
        <w:t>;</w:t>
      </w:r>
      <w:proofErr w:type="gramEnd"/>
    </w:p>
    <w:p w14:paraId="277DDFB0" w14:textId="601AC45A" w:rsidR="00AC22AA" w:rsidRPr="003C739E" w:rsidRDefault="00AC22AA" w:rsidP="00820005">
      <w:r w:rsidRPr="003C739E">
        <w:rPr>
          <w:i/>
          <w:iCs/>
        </w:rPr>
        <w:t>b)</w:t>
      </w:r>
      <w:r w:rsidRPr="003C739E">
        <w:tab/>
        <w:t>que la bande de fréquences 2</w:t>
      </w:r>
      <w:r w:rsidR="00C774E3" w:rsidRPr="003C739E">
        <w:t> </w:t>
      </w:r>
      <w:r w:rsidRPr="003C739E">
        <w:t>025-2</w:t>
      </w:r>
      <w:r w:rsidR="00C774E3" w:rsidRPr="003C739E">
        <w:t> </w:t>
      </w:r>
      <w:r w:rsidRPr="003C739E">
        <w:t>110</w:t>
      </w:r>
      <w:r w:rsidR="00C774E3" w:rsidRPr="003C739E">
        <w:t> </w:t>
      </w:r>
      <w:r w:rsidRPr="003C739E">
        <w:t>MHz est actuellement encombrée et que les brouillages entre les différents réseaux à satellite et systèmes à satellites risquent de dépasser les niveaux de protection définis dans les Recommandations pertinentes de l'UIT</w:t>
      </w:r>
      <w:r w:rsidR="008D24F0" w:rsidRPr="003C739E">
        <w:t>-</w:t>
      </w:r>
      <w:proofErr w:type="gramStart"/>
      <w:r w:rsidRPr="003C739E">
        <w:t>R;</w:t>
      </w:r>
      <w:proofErr w:type="gramEnd"/>
    </w:p>
    <w:p w14:paraId="22FB28D9" w14:textId="3977524D" w:rsidR="00AC22AA" w:rsidRPr="003C739E" w:rsidRDefault="00AC22AA" w:rsidP="00820005">
      <w:r w:rsidRPr="003C739E">
        <w:rPr>
          <w:i/>
          <w:iCs/>
        </w:rPr>
        <w:t>c)</w:t>
      </w:r>
      <w:r w:rsidRPr="003C739E">
        <w:tab/>
        <w:t>que le nombre de liaisons par satellite utilisant la bande de fréquences 2</w:t>
      </w:r>
      <w:r w:rsidR="00C774E3" w:rsidRPr="003C739E">
        <w:t> </w:t>
      </w:r>
      <w:r w:rsidRPr="003C739E">
        <w:t>025-2</w:t>
      </w:r>
      <w:r w:rsidR="00C774E3" w:rsidRPr="003C739E">
        <w:t> </w:t>
      </w:r>
      <w:r w:rsidRPr="003C739E">
        <w:t>110</w:t>
      </w:r>
      <w:r w:rsidR="00C774E3" w:rsidRPr="003C739E">
        <w:t> </w:t>
      </w:r>
      <w:r w:rsidRPr="003C739E">
        <w:t xml:space="preserve">MHz devrait continuer d'augmenter </w:t>
      </w:r>
      <w:r w:rsidR="00A56C87" w:rsidRPr="003C739E">
        <w:t>dans le futur</w:t>
      </w:r>
      <w:r w:rsidRPr="003C739E">
        <w:t>, ce qui pourrait entraîner un accroissement des niveaux de brouillage;</w:t>
      </w:r>
    </w:p>
    <w:p w14:paraId="185AD25E" w14:textId="30626ED7" w:rsidR="00AC22AA" w:rsidRPr="003C739E" w:rsidRDefault="00AC22AA" w:rsidP="00820005">
      <w:r w:rsidRPr="003C739E">
        <w:rPr>
          <w:i/>
          <w:iCs/>
        </w:rPr>
        <w:t>d)</w:t>
      </w:r>
      <w:r w:rsidRPr="003C739E">
        <w:tab/>
        <w:t xml:space="preserve">que la plupart des liaisons par satellite espace-espace fonctionnant actuellement dans la bande de fréquences </w:t>
      </w:r>
      <w:r w:rsidR="00C774E3" w:rsidRPr="003C739E">
        <w:t xml:space="preserve">2 025-2 110 MHz </w:t>
      </w:r>
      <w:r w:rsidRPr="003C739E">
        <w:t>utilisent généralement une largeur de bande d'émission de 6,2 MHz au plus;</w:t>
      </w:r>
    </w:p>
    <w:p w14:paraId="67A66445" w14:textId="2D4DF371" w:rsidR="00AC22AA" w:rsidRPr="003C739E" w:rsidRDefault="00AC22AA" w:rsidP="00820005">
      <w:r w:rsidRPr="003C739E">
        <w:rPr>
          <w:i/>
          <w:iCs/>
        </w:rPr>
        <w:t>e)</w:t>
      </w:r>
      <w:r w:rsidRPr="003C739E">
        <w:tab/>
        <w:t xml:space="preserve">que la plupart des liaisons par satellite </w:t>
      </w:r>
      <w:r w:rsidR="00A56C87" w:rsidRPr="003C739E">
        <w:t>Terre vers espace</w:t>
      </w:r>
      <w:r w:rsidRPr="003C739E">
        <w:t xml:space="preserve"> fonctionnant actuellement dans la bande de fréquences </w:t>
      </w:r>
      <w:r w:rsidR="00C774E3" w:rsidRPr="003C739E">
        <w:t xml:space="preserve">2 025-2 110 MHz </w:t>
      </w:r>
      <w:r w:rsidRPr="003C739E">
        <w:t>utilisent généralement une largeur de bande d'émission de</w:t>
      </w:r>
      <w:r w:rsidR="00820005" w:rsidRPr="003C739E">
        <w:t> </w:t>
      </w:r>
      <w:r w:rsidRPr="003C739E">
        <w:t>2</w:t>
      </w:r>
      <w:r w:rsidR="00820005" w:rsidRPr="003C739E">
        <w:t> </w:t>
      </w:r>
      <w:r w:rsidRPr="003C739E">
        <w:t>MHz au plus;</w:t>
      </w:r>
    </w:p>
    <w:p w14:paraId="38A4D947" w14:textId="17647A04" w:rsidR="00171C45" w:rsidRPr="003C739E" w:rsidRDefault="00AC22AA" w:rsidP="00820005">
      <w:r w:rsidRPr="003C739E">
        <w:rPr>
          <w:i/>
          <w:iCs/>
        </w:rPr>
        <w:t>f)</w:t>
      </w:r>
      <w:r w:rsidRPr="003C739E">
        <w:tab/>
        <w:t>que l'utilisation de plus grandes largeurs de bande d'émission que celles mentionnées ci</w:t>
      </w:r>
      <w:r w:rsidR="00C774E3" w:rsidRPr="003C739E">
        <w:noBreakHyphen/>
      </w:r>
      <w:r w:rsidRPr="003C739E">
        <w:t>dessus peut, dans certaines circonstances, rendre la coordination plus difficile pour les signaux sans étalement de spectre;</w:t>
      </w:r>
    </w:p>
    <w:p w14:paraId="1F3B86DE" w14:textId="29548397" w:rsidR="00AC22AA" w:rsidRPr="003C739E" w:rsidRDefault="00AC22AA" w:rsidP="00820005">
      <w:r w:rsidRPr="003C739E">
        <w:rPr>
          <w:i/>
          <w:iCs/>
        </w:rPr>
        <w:t>g)</w:t>
      </w:r>
      <w:r w:rsidRPr="003C739E">
        <w:tab/>
        <w:t xml:space="preserve">que la bande de fréquences </w:t>
      </w:r>
      <w:r w:rsidR="00C774E3" w:rsidRPr="003C739E">
        <w:t xml:space="preserve">2 025-2 110 MHz </w:t>
      </w:r>
      <w:r w:rsidRPr="003C739E">
        <w:t xml:space="preserve">est </w:t>
      </w:r>
      <w:r w:rsidR="00407BFF" w:rsidRPr="003C739E">
        <w:t xml:space="preserve">généralement </w:t>
      </w:r>
      <w:r w:rsidRPr="003C739E">
        <w:t>utilisée pour les opérations de poursuite, de télémesure et de télécommande (TT&amp;C) dans le cadre de l'exploitation des engins spatiaux;</w:t>
      </w:r>
    </w:p>
    <w:p w14:paraId="03A5651D" w14:textId="32F14CBD" w:rsidR="00171C45" w:rsidRPr="003C739E" w:rsidRDefault="00AC22AA" w:rsidP="00820005">
      <w:r w:rsidRPr="003C739E">
        <w:rPr>
          <w:i/>
          <w:iCs/>
        </w:rPr>
        <w:t>h)</w:t>
      </w:r>
      <w:r w:rsidRPr="003C739E">
        <w:tab/>
        <w:t>que</w:t>
      </w:r>
      <w:r w:rsidR="0024382C" w:rsidRPr="003C739E">
        <w:t xml:space="preserve"> des bandes de fréquences supérieures peuvent être utilisées en lieu et place de la bande de fréquences </w:t>
      </w:r>
      <w:r w:rsidR="00C774E3" w:rsidRPr="003C739E">
        <w:t>2 025-2 110 MHz</w:t>
      </w:r>
      <w:r w:rsidRPr="003C739E">
        <w:t>,</w:t>
      </w:r>
      <w:r w:rsidR="0024382C" w:rsidRPr="003C739E">
        <w:t xml:space="preserve"> dans la mesure où elles constituent des bandes de fréquences appropriées</w:t>
      </w:r>
      <w:r w:rsidRPr="003C739E">
        <w:t xml:space="preserve"> pour l</w:t>
      </w:r>
      <w:r w:rsidR="00407BFF" w:rsidRPr="003C739E">
        <w:t>a</w:t>
      </w:r>
      <w:r w:rsidRPr="003C739E">
        <w:t xml:space="preserve"> transmission de données de charge utile dont le débit </w:t>
      </w:r>
      <w:r w:rsidR="00407BFF" w:rsidRPr="003C739E">
        <w:t xml:space="preserve">de données </w:t>
      </w:r>
      <w:r w:rsidRPr="003C739E">
        <w:t>est relativement élevé;</w:t>
      </w:r>
    </w:p>
    <w:p w14:paraId="164EC1BF" w14:textId="38BC1C92" w:rsidR="00817C46" w:rsidRPr="003C739E" w:rsidRDefault="00817C46" w:rsidP="00820005">
      <w:r w:rsidRPr="003C739E">
        <w:rPr>
          <w:i/>
          <w:iCs/>
        </w:rPr>
        <w:t>i)</w:t>
      </w:r>
      <w:r w:rsidRPr="003C739E">
        <w:tab/>
        <w:t xml:space="preserve">qu'il est possible de réduire l'encombrement de la bande </w:t>
      </w:r>
      <w:r w:rsidR="00407BFF" w:rsidRPr="003C739E">
        <w:t xml:space="preserve">de fréquences </w:t>
      </w:r>
      <w:r w:rsidRPr="003C739E">
        <w:t>en choisissant la largeur de bande minimale nécessaire pour accomplir la mission souhaitée;</w:t>
      </w:r>
    </w:p>
    <w:p w14:paraId="666B8943" w14:textId="166E0605" w:rsidR="00817C46" w:rsidRPr="003C739E" w:rsidRDefault="00817C46" w:rsidP="00820005">
      <w:r w:rsidRPr="003C739E">
        <w:rPr>
          <w:i/>
          <w:iCs/>
        </w:rPr>
        <w:t>j)</w:t>
      </w:r>
      <w:r w:rsidRPr="003C739E">
        <w:tab/>
        <w:t>que le recours à de grandes antennes de stations terriennes présentant un gain élevé et de faibles niveaux des lobes latéraux permet de réduire les incidences des brouillages potentiels;</w:t>
      </w:r>
    </w:p>
    <w:p w14:paraId="467DB71E" w14:textId="02EC67A9" w:rsidR="00817C46" w:rsidRPr="003C739E" w:rsidRDefault="00817C46" w:rsidP="00820005">
      <w:r w:rsidRPr="003C739E">
        <w:rPr>
          <w:i/>
          <w:iCs/>
        </w:rPr>
        <w:t>k)</w:t>
      </w:r>
      <w:r w:rsidRPr="003C739E">
        <w:tab/>
        <w:t>qu'il est également possible de réduire les brouillages dans la bande dus aux transmissions dans le sens Terre vers espace</w:t>
      </w:r>
      <w:r w:rsidR="00407BFF" w:rsidRPr="003C739E">
        <w:t>,</w:t>
      </w:r>
      <w:r w:rsidR="00C774E3" w:rsidRPr="003C739E">
        <w:t xml:space="preserve"> </w:t>
      </w:r>
      <w:r w:rsidRPr="003C739E">
        <w:t xml:space="preserve">en veillant à ce que les stations </w:t>
      </w:r>
      <w:r w:rsidR="0024382C" w:rsidRPr="003C739E">
        <w:t>terriennes</w:t>
      </w:r>
      <w:r w:rsidRPr="003C739E">
        <w:t xml:space="preserve"> n'émettent que lorsqu'elles sont visibles depuis leurs stations spatiales associées;</w:t>
      </w:r>
    </w:p>
    <w:p w14:paraId="0FB882C1" w14:textId="52417BB7" w:rsidR="0024382C" w:rsidRPr="003C739E" w:rsidRDefault="0024382C" w:rsidP="00820005">
      <w:r w:rsidRPr="003C739E">
        <w:rPr>
          <w:i/>
          <w:iCs/>
        </w:rPr>
        <w:t>l)</w:t>
      </w:r>
      <w:r w:rsidRPr="003C739E">
        <w:tab/>
        <w:t>qu'il est également possible de réduire les brouillages dans la bande dus aux transmissions espace-espace</w:t>
      </w:r>
      <w:r w:rsidR="00407BFF" w:rsidRPr="003C739E">
        <w:t xml:space="preserve">, </w:t>
      </w:r>
      <w:r w:rsidRPr="003C739E">
        <w:t>en veillant à ce que les stations spatiales n'émettent que lorsqu'elles sont visibles depuis leurs stations spatiales associées;</w:t>
      </w:r>
    </w:p>
    <w:p w14:paraId="2B39B6FA" w14:textId="55FB68DC" w:rsidR="00171C45" w:rsidRPr="003C739E" w:rsidRDefault="0024382C" w:rsidP="00820005">
      <w:r w:rsidRPr="003C739E">
        <w:rPr>
          <w:i/>
          <w:iCs/>
        </w:rPr>
        <w:t>m</w:t>
      </w:r>
      <w:r w:rsidR="00817C46" w:rsidRPr="003C739E">
        <w:rPr>
          <w:i/>
          <w:iCs/>
        </w:rPr>
        <w:t>)</w:t>
      </w:r>
      <w:r w:rsidR="00817C46" w:rsidRPr="003C739E">
        <w:tab/>
        <w:t>que des informations précises relatives au nombre de porteuses et à leur largeur de bande connexe, au nombre de stations terriennes spécifiques et à la zone de service pourraient faciliter</w:t>
      </w:r>
      <w:r w:rsidR="00407BFF" w:rsidRPr="003C739E">
        <w:t xml:space="preserve"> la procédure </w:t>
      </w:r>
      <w:r w:rsidR="00817C46" w:rsidRPr="003C739E">
        <w:t>de coordination;</w:t>
      </w:r>
    </w:p>
    <w:p w14:paraId="602D703B" w14:textId="6BA14B58" w:rsidR="00171C45" w:rsidRPr="003C739E" w:rsidRDefault="0024382C" w:rsidP="00820005">
      <w:r w:rsidRPr="003C739E">
        <w:rPr>
          <w:i/>
          <w:iCs/>
        </w:rPr>
        <w:t>n</w:t>
      </w:r>
      <w:r w:rsidR="00817C46" w:rsidRPr="003C739E">
        <w:rPr>
          <w:i/>
          <w:iCs/>
        </w:rPr>
        <w:t>)</w:t>
      </w:r>
      <w:r w:rsidR="00817C46" w:rsidRPr="003C739E">
        <w:tab/>
        <w:t>que, dans le cas de systèmes à satellites comprenant plusieurs satellites, la réutilisation des fréquences permettrait une utilisation plus efficace des ressources spectrales et réduirait ainsi la largeur de bande totale nécessaire de ces systèmes</w:t>
      </w:r>
      <w:r w:rsidR="00171C45" w:rsidRPr="003C739E">
        <w:t>,</w:t>
      </w:r>
    </w:p>
    <w:p w14:paraId="71E335C7" w14:textId="77777777" w:rsidR="00A107EF" w:rsidRPr="003C739E" w:rsidRDefault="00A107EF" w:rsidP="00820005">
      <w:pPr>
        <w:pStyle w:val="Call"/>
      </w:pPr>
      <w:r w:rsidRPr="003C739E">
        <w:lastRenderedPageBreak/>
        <w:t>reconnaissant</w:t>
      </w:r>
    </w:p>
    <w:p w14:paraId="19DDF45B" w14:textId="3B7364B4" w:rsidR="00171C45" w:rsidRPr="003C739E" w:rsidRDefault="00171C45" w:rsidP="00820005">
      <w:r w:rsidRPr="003C739E">
        <w:rPr>
          <w:i/>
        </w:rPr>
        <w:t>a)</w:t>
      </w:r>
      <w:r w:rsidRPr="003C739E">
        <w:rPr>
          <w:iCs/>
        </w:rPr>
        <w:tab/>
      </w:r>
      <w:r w:rsidR="00817C46" w:rsidRPr="003C739E">
        <w:rPr>
          <w:iCs/>
        </w:rPr>
        <w:t xml:space="preserve">que les assignations de fréquence aux réseaux à satellite non OSG ou aux systèmes à satellites non OSG dans la bande de fréquences </w:t>
      </w:r>
      <w:r w:rsidR="00C774E3" w:rsidRPr="003C739E">
        <w:t xml:space="preserve">2 025-2 110 MHz </w:t>
      </w:r>
      <w:r w:rsidR="00817C46" w:rsidRPr="003C739E">
        <w:rPr>
          <w:iCs/>
        </w:rPr>
        <w:t xml:space="preserve">ne sont pas subordonnées à la procédure de coordination décrite dans la Section II de l'Article </w:t>
      </w:r>
      <w:r w:rsidR="00817C46" w:rsidRPr="003C739E">
        <w:rPr>
          <w:b/>
          <w:bCs/>
          <w:iCs/>
        </w:rPr>
        <w:t>9</w:t>
      </w:r>
      <w:r w:rsidR="00817C46" w:rsidRPr="003C739E">
        <w:rPr>
          <w:iCs/>
        </w:rPr>
        <w:t xml:space="preserve"> du Règlement des radiocommunications (RR)</w:t>
      </w:r>
      <w:r w:rsidRPr="003C739E">
        <w:t>;</w:t>
      </w:r>
    </w:p>
    <w:p w14:paraId="05AE0B83" w14:textId="3FDFC202" w:rsidR="00A107EF" w:rsidRPr="003C739E" w:rsidRDefault="00171C45" w:rsidP="00820005">
      <w:r w:rsidRPr="00AB0753">
        <w:rPr>
          <w:i/>
        </w:rPr>
        <w:t>b)</w:t>
      </w:r>
      <w:r w:rsidRPr="00AB0753">
        <w:tab/>
      </w:r>
      <w:r w:rsidR="00D50D5F" w:rsidRPr="00AB0753">
        <w:t xml:space="preserve">que, dans la Lettre circulaire </w:t>
      </w:r>
      <w:hyperlink r:id="rId20" w:history="1">
        <w:r w:rsidR="00D50D5F" w:rsidRPr="00AB0753">
          <w:rPr>
            <w:rStyle w:val="Hyperlink"/>
            <w:color w:val="auto"/>
            <w:u w:val="none"/>
          </w:rPr>
          <w:t>CR/420</w:t>
        </w:r>
      </w:hyperlink>
      <w:r w:rsidR="00D50D5F" w:rsidRPr="00AB0753">
        <w:t xml:space="preserve"> de l'UIT-R, il est indiqué que ces bandes de fréquences </w:t>
      </w:r>
      <w:r w:rsidR="00D50D5F" w:rsidRPr="003C739E">
        <w:t xml:space="preserve">sont de fait les plus couramment utilisées pour l'exploitation spatiale des réseaux à satellite non OSG ou des systèmes à satellites non OSG et que la soumission d'une bande de fréquences plus réaliste dans le cadre des renseignements pour la publication anticipée (API) facilitera la procédure décrite dans la Section 1A de l'Article </w:t>
      </w:r>
      <w:r w:rsidR="00D50D5F" w:rsidRPr="003C739E">
        <w:rPr>
          <w:b/>
          <w:bCs/>
        </w:rPr>
        <w:t>9</w:t>
      </w:r>
      <w:r w:rsidR="00D50D5F" w:rsidRPr="003C739E">
        <w:t xml:space="preserve"> du RR et réduira au minimum l'échange de correspondance entre les différentes administrations concernées,</w:t>
      </w:r>
    </w:p>
    <w:p w14:paraId="00FC484E" w14:textId="77777777" w:rsidR="00A107EF" w:rsidRPr="003C739E" w:rsidRDefault="00A107EF" w:rsidP="00820005">
      <w:pPr>
        <w:pStyle w:val="Call"/>
      </w:pPr>
      <w:r w:rsidRPr="003C739E">
        <w:t>notant</w:t>
      </w:r>
    </w:p>
    <w:p w14:paraId="37C33A2B" w14:textId="1ECE0BFB" w:rsidR="00D50D5F" w:rsidRPr="003C739E" w:rsidRDefault="004E457A" w:rsidP="00820005">
      <w:pPr>
        <w:rPr>
          <w:i/>
        </w:rPr>
      </w:pPr>
      <w:r w:rsidRPr="003C739E">
        <w:rPr>
          <w:i/>
        </w:rPr>
        <w:t>a)</w:t>
      </w:r>
      <w:r w:rsidRPr="003C739E">
        <w:rPr>
          <w:i/>
        </w:rPr>
        <w:tab/>
      </w:r>
      <w:r w:rsidR="00D50D5F" w:rsidRPr="003C739E">
        <w:rPr>
          <w:iCs/>
        </w:rPr>
        <w:t>q</w:t>
      </w:r>
      <w:r w:rsidR="00D50D5F" w:rsidRPr="003C739E">
        <w:t xml:space="preserve">ue, conformément au numéro </w:t>
      </w:r>
      <w:r w:rsidR="00D50D5F" w:rsidRPr="003C739E">
        <w:rPr>
          <w:b/>
          <w:bCs/>
        </w:rPr>
        <w:t>1.111</w:t>
      </w:r>
      <w:r w:rsidR="00D50D5F" w:rsidRPr="003C739E">
        <w:t xml:space="preserve"> du RR, un </w:t>
      </w:r>
      <w:r w:rsidR="00D50D5F" w:rsidRPr="003C739E">
        <w:rPr>
          <w:i/>
          <w:iCs/>
        </w:rPr>
        <w:t>système à satellites</w:t>
      </w:r>
      <w:r w:rsidR="00D50D5F" w:rsidRPr="003C739E">
        <w:t xml:space="preserve"> s'entend d'un sys</w:t>
      </w:r>
      <w:r w:rsidR="00D50D5F" w:rsidRPr="003C739E">
        <w:rPr>
          <w:i/>
          <w:iCs/>
        </w:rPr>
        <w:t>tème spatial</w:t>
      </w:r>
      <w:r w:rsidR="00D50D5F" w:rsidRPr="003C739E">
        <w:t xml:space="preserve"> comportant un ou plusieurs </w:t>
      </w:r>
      <w:r w:rsidR="00D50D5F" w:rsidRPr="003C739E">
        <w:rPr>
          <w:i/>
          <w:iCs/>
        </w:rPr>
        <w:t>satellites</w:t>
      </w:r>
      <w:r w:rsidR="00D50D5F" w:rsidRPr="003C739E">
        <w:t xml:space="preserve"> artificiels de la Terre;</w:t>
      </w:r>
    </w:p>
    <w:p w14:paraId="6123DAA6" w14:textId="4AAACBBA" w:rsidR="004E457A" w:rsidRPr="003C739E" w:rsidRDefault="00D50D5F" w:rsidP="00820005">
      <w:r w:rsidRPr="003C739E">
        <w:t>b)</w:t>
      </w:r>
      <w:r w:rsidRPr="003C739E">
        <w:tab/>
        <w:t xml:space="preserve">que, conformément au numéro </w:t>
      </w:r>
      <w:r w:rsidRPr="003C739E">
        <w:rPr>
          <w:b/>
          <w:bCs/>
        </w:rPr>
        <w:t>1.112</w:t>
      </w:r>
      <w:r w:rsidRPr="003C739E">
        <w:t xml:space="preserve"> du RR, un </w:t>
      </w:r>
      <w:r w:rsidRPr="003C739E">
        <w:rPr>
          <w:i/>
          <w:iCs/>
        </w:rPr>
        <w:t>réseau à satellite</w:t>
      </w:r>
      <w:r w:rsidRPr="003C739E">
        <w:t xml:space="preserve"> s'entend d'un </w:t>
      </w:r>
      <w:r w:rsidRPr="003C739E">
        <w:rPr>
          <w:i/>
          <w:iCs/>
        </w:rPr>
        <w:t>système à satellites</w:t>
      </w:r>
      <w:r w:rsidRPr="003C739E">
        <w:t xml:space="preserve"> ou d'une partie d'un </w:t>
      </w:r>
      <w:r w:rsidRPr="003C739E">
        <w:rPr>
          <w:i/>
          <w:iCs/>
        </w:rPr>
        <w:t>système à satellites</w:t>
      </w:r>
      <w:r w:rsidRPr="003C739E">
        <w:t xml:space="preserve">, composé d'un seul satellite et des </w:t>
      </w:r>
      <w:r w:rsidRPr="003C739E">
        <w:rPr>
          <w:i/>
          <w:iCs/>
        </w:rPr>
        <w:t>stations terriennes</w:t>
      </w:r>
      <w:r w:rsidRPr="003C739E">
        <w:t xml:space="preserve"> associées;</w:t>
      </w:r>
    </w:p>
    <w:p w14:paraId="07DB7EDC" w14:textId="38A10277" w:rsidR="00A107EF" w:rsidRPr="003C739E" w:rsidRDefault="004E457A" w:rsidP="00820005">
      <w:pPr>
        <w:rPr>
          <w:i/>
        </w:rPr>
      </w:pPr>
      <w:r w:rsidRPr="003C739E">
        <w:rPr>
          <w:i/>
        </w:rPr>
        <w:t>c)</w:t>
      </w:r>
      <w:r w:rsidRPr="003C739E">
        <w:rPr>
          <w:i/>
        </w:rPr>
        <w:tab/>
      </w:r>
      <w:bookmarkStart w:id="5" w:name="lt_pId056"/>
      <w:bookmarkStart w:id="6" w:name="_Hlk10085644"/>
      <w:r w:rsidR="00D50D5F" w:rsidRPr="003C739E">
        <w:t xml:space="preserve">que, conformément au numéro </w:t>
      </w:r>
      <w:r w:rsidR="00D50D5F" w:rsidRPr="003C739E">
        <w:rPr>
          <w:b/>
          <w:bCs/>
        </w:rPr>
        <w:t>5.392</w:t>
      </w:r>
      <w:r w:rsidR="00D50D5F" w:rsidRPr="003C739E">
        <w:rPr>
          <w:bCs/>
        </w:rPr>
        <w:t xml:space="preserve"> du RR</w:t>
      </w:r>
      <w:r w:rsidR="00D50D5F" w:rsidRPr="003C739E">
        <w:rPr>
          <w:szCs w:val="24"/>
        </w:rPr>
        <w:t>,</w:t>
      </w:r>
      <w:bookmarkEnd w:id="5"/>
      <w:bookmarkEnd w:id="6"/>
      <w:r w:rsidR="00D50D5F" w:rsidRPr="003C739E">
        <w:rPr>
          <w:szCs w:val="24"/>
        </w:rPr>
        <w:t xml:space="preserve"> l</w:t>
      </w:r>
      <w:r w:rsidR="00D50D5F" w:rsidRPr="003C739E">
        <w:t>es administrations sont instamment priées de prendre toutes les mesures pratiquement réalisables pour faire en sorte que les transmissions espace</w:t>
      </w:r>
      <w:r w:rsidR="00D50D5F" w:rsidRPr="003C739E">
        <w:noBreakHyphen/>
        <w:t>espace entre deux ou plusieurs satellites non géostationnaires des services de recherche spatiale, d'exploitation spatiale et d'exploration de la Terre par satellite dans les bandes de fréquences 2</w:t>
      </w:r>
      <w:r w:rsidR="00D50D5F" w:rsidRPr="003C739E">
        <w:rPr>
          <w:sz w:val="12"/>
        </w:rPr>
        <w:t> </w:t>
      </w:r>
      <w:r w:rsidR="00D50D5F" w:rsidRPr="003C739E">
        <w:t>025</w:t>
      </w:r>
      <w:r w:rsidR="00D50D5F" w:rsidRPr="003C739E">
        <w:noBreakHyphen/>
        <w:t>2</w:t>
      </w:r>
      <w:r w:rsidR="00D50D5F" w:rsidRPr="003C739E">
        <w:rPr>
          <w:sz w:val="12"/>
        </w:rPr>
        <w:t> </w:t>
      </w:r>
      <w:r w:rsidR="00D50D5F" w:rsidRPr="003C739E">
        <w:t>110 MHz et 2</w:t>
      </w:r>
      <w:r w:rsidR="00D50D5F" w:rsidRPr="003C739E">
        <w:rPr>
          <w:sz w:val="12"/>
        </w:rPr>
        <w:t> </w:t>
      </w:r>
      <w:r w:rsidR="00D50D5F" w:rsidRPr="003C739E">
        <w:t>200-2</w:t>
      </w:r>
      <w:r w:rsidR="00D50D5F" w:rsidRPr="003C739E">
        <w:rPr>
          <w:sz w:val="12"/>
        </w:rPr>
        <w:t> </w:t>
      </w:r>
      <w:r w:rsidR="00D50D5F" w:rsidRPr="003C739E">
        <w:t>290 MHz n'imposent aucune contrainte aux transmissions Terre vers espace, espace vers Terre et aux autres transmissions espace-espace de ces services et dans ces bandes entre des satellites géostationnaires et des satellites non géostationnaires,</w:t>
      </w:r>
    </w:p>
    <w:p w14:paraId="0A9E85B5" w14:textId="77777777" w:rsidR="00A107EF" w:rsidRPr="003C739E" w:rsidRDefault="00A107EF" w:rsidP="00820005">
      <w:pPr>
        <w:pStyle w:val="Call"/>
      </w:pPr>
      <w:r w:rsidRPr="003C739E">
        <w:t>recommande</w:t>
      </w:r>
    </w:p>
    <w:p w14:paraId="47256A10" w14:textId="3B6AD564" w:rsidR="004E457A" w:rsidRPr="003C739E" w:rsidRDefault="00A107EF" w:rsidP="00820005">
      <w:r w:rsidRPr="003C739E">
        <w:rPr>
          <w:b/>
          <w:bCs/>
        </w:rPr>
        <w:t>1</w:t>
      </w:r>
      <w:r w:rsidRPr="003C739E">
        <w:tab/>
      </w:r>
      <w:r w:rsidR="00D50D5F" w:rsidRPr="003C739E">
        <w:t xml:space="preserve">que les réseaux à satellite ou les systèmes à satellites du SETS/service de recherche spatiale/SES qui n'utilisent pas la modulation à étalement de spectre et prévoient </w:t>
      </w:r>
      <w:r w:rsidR="00407BFF" w:rsidRPr="003C739E">
        <w:t>d</w:t>
      </w:r>
      <w:r w:rsidR="00820005" w:rsidRPr="003C739E">
        <w:t>'</w:t>
      </w:r>
      <w:r w:rsidR="00407BFF" w:rsidRPr="003C739E">
        <w:t>utiliser</w:t>
      </w:r>
      <w:r w:rsidR="00D50D5F" w:rsidRPr="003C739E">
        <w:t xml:space="preserve"> la bande de fréquences </w:t>
      </w:r>
      <w:r w:rsidR="00C774E3" w:rsidRPr="003C739E">
        <w:t>2 025</w:t>
      </w:r>
      <w:r w:rsidR="00C774E3" w:rsidRPr="003C739E">
        <w:noBreakHyphen/>
        <w:t xml:space="preserve">2 110 MHz </w:t>
      </w:r>
      <w:r w:rsidR="00D50D5F" w:rsidRPr="003C739E">
        <w:t>envisagent de ramener leur largeur de bande au plus bas niveau nécessaire à l'exploitation de leur réseau à satellite ou de leur système à satellites, afin de réduire autant que possible l'encombrement et les brouillages susceptibles d'être causés à d'autres systèmes et services fonctionnant dans cette bande de fréquences;</w:t>
      </w:r>
    </w:p>
    <w:p w14:paraId="0162BE22" w14:textId="1C6B54EF" w:rsidR="004E457A" w:rsidRPr="003C739E" w:rsidRDefault="004E457A" w:rsidP="00820005">
      <w:r w:rsidRPr="003C739E">
        <w:rPr>
          <w:b/>
          <w:bCs/>
        </w:rPr>
        <w:t>2</w:t>
      </w:r>
      <w:r w:rsidRPr="003C739E">
        <w:tab/>
      </w:r>
      <w:r w:rsidR="00D50D5F" w:rsidRPr="003C739E">
        <w:t>que, pour l'exploitation dans le sens Terre vers espace dans la bande de fréquences</w:t>
      </w:r>
      <w:r w:rsidR="00820005" w:rsidRPr="003C739E">
        <w:t> </w:t>
      </w:r>
      <w:r w:rsidR="00D50D5F" w:rsidRPr="003C739E">
        <w:t>2</w:t>
      </w:r>
      <w:r w:rsidR="00820005" w:rsidRPr="003C739E">
        <w:t> </w:t>
      </w:r>
      <w:r w:rsidR="00D50D5F" w:rsidRPr="003C739E">
        <w:t>025</w:t>
      </w:r>
      <w:r w:rsidR="00820005" w:rsidRPr="003C739E">
        <w:noBreakHyphen/>
      </w:r>
      <w:r w:rsidR="00D50D5F" w:rsidRPr="003C739E">
        <w:t>2</w:t>
      </w:r>
      <w:r w:rsidR="00820005" w:rsidRPr="003C739E">
        <w:t> </w:t>
      </w:r>
      <w:r w:rsidR="00D50D5F" w:rsidRPr="003C739E">
        <w:t>110 MHz, les administrations exploitant des réseaux à satellite ou des systèmes à satellites du SETS/service de recherche spatiale/SES qui n'utilisent pas la modulation à étalement de spectre envisagent d'utiliser une largeur de bande opérationnelle de 2,0 MHz au plus</w:t>
      </w:r>
      <w:r w:rsidRPr="003C739E">
        <w:t>;</w:t>
      </w:r>
    </w:p>
    <w:p w14:paraId="4424DB6B" w14:textId="49376455" w:rsidR="004E457A" w:rsidRPr="003C739E" w:rsidRDefault="004E457A" w:rsidP="00820005">
      <w:r w:rsidRPr="003C739E">
        <w:rPr>
          <w:b/>
          <w:bCs/>
        </w:rPr>
        <w:t>3</w:t>
      </w:r>
      <w:r w:rsidRPr="003C739E">
        <w:tab/>
      </w:r>
      <w:r w:rsidR="00D50D5F" w:rsidRPr="003C739E">
        <w:t>que, pour l'exploitation dans le sens espace-espace dans la bande de fréquences</w:t>
      </w:r>
      <w:r w:rsidR="003D5160">
        <w:t xml:space="preserve"> </w:t>
      </w:r>
      <w:r w:rsidR="00D50D5F" w:rsidRPr="003C739E">
        <w:t>2</w:t>
      </w:r>
      <w:r w:rsidR="00820005" w:rsidRPr="003C739E">
        <w:t> </w:t>
      </w:r>
      <w:r w:rsidR="00D50D5F" w:rsidRPr="003C739E">
        <w:t>025</w:t>
      </w:r>
      <w:r w:rsidR="00820005" w:rsidRPr="003C739E">
        <w:noBreakHyphen/>
      </w:r>
      <w:r w:rsidR="00D50D5F" w:rsidRPr="003C739E">
        <w:t>2</w:t>
      </w:r>
      <w:r w:rsidR="00820005" w:rsidRPr="003C739E">
        <w:t> </w:t>
      </w:r>
      <w:r w:rsidR="00D50D5F" w:rsidRPr="003C739E">
        <w:t>110</w:t>
      </w:r>
      <w:r w:rsidR="00820005" w:rsidRPr="003C739E">
        <w:t> </w:t>
      </w:r>
      <w:r w:rsidR="00D50D5F" w:rsidRPr="003C739E">
        <w:t xml:space="preserve">MHz, les administrations exploitant des réseaux à satellite ou des systèmes à satellites du SETS/service de recherche spatiale/SES qui n'utilisent pas la modulation à étalement de spectre envisagent d'utiliser une largeur de bande opérationnelle de 6,2 MHz au </w:t>
      </w:r>
      <w:proofErr w:type="gramStart"/>
      <w:r w:rsidR="00D50D5F" w:rsidRPr="003C739E">
        <w:t>plus</w:t>
      </w:r>
      <w:r w:rsidRPr="003C739E">
        <w:t>;</w:t>
      </w:r>
      <w:proofErr w:type="gramEnd"/>
    </w:p>
    <w:p w14:paraId="55027322" w14:textId="7BF5E834" w:rsidR="004E457A" w:rsidRPr="003C739E" w:rsidRDefault="004E457A" w:rsidP="00820005">
      <w:r w:rsidRPr="003C739E">
        <w:rPr>
          <w:b/>
          <w:bCs/>
        </w:rPr>
        <w:t>4</w:t>
      </w:r>
      <w:r w:rsidRPr="003C739E">
        <w:tab/>
      </w:r>
      <w:r w:rsidR="00D50D5F" w:rsidRPr="003C739E">
        <w:t xml:space="preserve">que, pour l'exploitation dans les sens Terre vers espace et espace-espace dans la bande de fréquences </w:t>
      </w:r>
      <w:r w:rsidR="00C774E3" w:rsidRPr="003C739E">
        <w:t>2 025</w:t>
      </w:r>
      <w:r w:rsidR="00C774E3" w:rsidRPr="003C739E">
        <w:noBreakHyphen/>
        <w:t>2 110 MHz</w:t>
      </w:r>
      <w:r w:rsidR="00D50D5F" w:rsidRPr="003C739E">
        <w:t>, les réseaux ou systèmes n'émettent que lorsqu'ils sont visibles depuis leurs stations spatiales de réception</w:t>
      </w:r>
      <w:r w:rsidRPr="003C739E">
        <w:t>;</w:t>
      </w:r>
    </w:p>
    <w:p w14:paraId="5A07CDCB" w14:textId="6804813C" w:rsidR="004E457A" w:rsidRPr="003C739E" w:rsidRDefault="004E457A" w:rsidP="003D5160">
      <w:r w:rsidRPr="003C739E">
        <w:rPr>
          <w:b/>
          <w:bCs/>
        </w:rPr>
        <w:t>5</w:t>
      </w:r>
      <w:r w:rsidRPr="003C739E">
        <w:tab/>
      </w:r>
      <w:r w:rsidR="00D50D5F" w:rsidRPr="003C739E">
        <w:t xml:space="preserve">que, pour l'exploitation dans le sens Terre vers </w:t>
      </w:r>
      <w:r w:rsidR="00F936F3" w:rsidRPr="003C739E">
        <w:t>espace</w:t>
      </w:r>
      <w:r w:rsidR="00D50D5F" w:rsidRPr="003C739E">
        <w:t xml:space="preserve"> dans la bande de fréquences</w:t>
      </w:r>
      <w:r w:rsidR="003D5160">
        <w:t xml:space="preserve"> </w:t>
      </w:r>
      <w:r w:rsidR="00D50D5F" w:rsidRPr="003C739E">
        <w:t>2</w:t>
      </w:r>
      <w:r w:rsidR="00820005" w:rsidRPr="003C739E">
        <w:t> </w:t>
      </w:r>
      <w:r w:rsidR="00D50D5F" w:rsidRPr="003C739E">
        <w:t>025</w:t>
      </w:r>
      <w:r w:rsidR="00820005" w:rsidRPr="003C739E">
        <w:noBreakHyphen/>
      </w:r>
      <w:r w:rsidR="00D50D5F" w:rsidRPr="003C739E">
        <w:t>2</w:t>
      </w:r>
      <w:r w:rsidR="00820005" w:rsidRPr="003C739E">
        <w:t> </w:t>
      </w:r>
      <w:r w:rsidR="00D50D5F" w:rsidRPr="003C739E">
        <w:t>110</w:t>
      </w:r>
      <w:r w:rsidR="00820005" w:rsidRPr="003C739E">
        <w:t> </w:t>
      </w:r>
      <w:r w:rsidR="00D50D5F" w:rsidRPr="003C739E">
        <w:t xml:space="preserve">MHz, une attention particulière soit accordée aux techniques de limitation des brouillages, qui pourront comprendre les techniques </w:t>
      </w:r>
      <w:proofErr w:type="gramStart"/>
      <w:r w:rsidR="00D50D5F" w:rsidRPr="003C739E">
        <w:t>suivantes</w:t>
      </w:r>
      <w:r w:rsidRPr="003C739E">
        <w:t>:</w:t>
      </w:r>
      <w:proofErr w:type="gramEnd"/>
    </w:p>
    <w:p w14:paraId="0D481377" w14:textId="77777777" w:rsidR="00A56C87" w:rsidRPr="003C739E" w:rsidRDefault="004E457A" w:rsidP="008614DE">
      <w:pPr>
        <w:pStyle w:val="enumlev1"/>
        <w:keepNext/>
        <w:keepLines/>
      </w:pPr>
      <w:r w:rsidRPr="003C739E">
        <w:lastRenderedPageBreak/>
        <w:t>i)</w:t>
      </w:r>
      <w:r w:rsidRPr="003C739E">
        <w:tab/>
      </w:r>
      <w:r w:rsidR="00A56C87" w:rsidRPr="003C739E">
        <w:t xml:space="preserve">diversité géographique des stations </w:t>
      </w:r>
      <w:proofErr w:type="gramStart"/>
      <w:r w:rsidR="00A56C87" w:rsidRPr="003C739E">
        <w:t>terriennes;</w:t>
      </w:r>
      <w:proofErr w:type="gramEnd"/>
    </w:p>
    <w:p w14:paraId="211F709C" w14:textId="77777777" w:rsidR="00A56C87" w:rsidRPr="003C739E" w:rsidRDefault="00A56C87" w:rsidP="008614DE">
      <w:pPr>
        <w:pStyle w:val="enumlev1"/>
        <w:keepNext/>
        <w:keepLines/>
      </w:pPr>
      <w:r w:rsidRPr="003C739E">
        <w:t>ii)</w:t>
      </w:r>
      <w:r w:rsidRPr="003C739E">
        <w:tab/>
        <w:t>augmentation du gain d'antenne des stations terriennes, afin d'accroître la marge de liaison;</w:t>
      </w:r>
    </w:p>
    <w:p w14:paraId="4E2FC2E0" w14:textId="77777777" w:rsidR="00A56C87" w:rsidRPr="003C739E" w:rsidRDefault="00A56C87" w:rsidP="008614DE">
      <w:pPr>
        <w:pStyle w:val="enumlev1"/>
        <w:keepNext/>
        <w:keepLines/>
      </w:pPr>
      <w:r w:rsidRPr="003C739E">
        <w:t>iii)</w:t>
      </w:r>
      <w:r w:rsidRPr="003C739E">
        <w:tab/>
        <w:t>réduction du niveau des lobes latéraux des antennes de stations terriennes;</w:t>
      </w:r>
    </w:p>
    <w:p w14:paraId="1953D9AE" w14:textId="77777777" w:rsidR="00A56C87" w:rsidRPr="003C739E" w:rsidRDefault="00A56C87" w:rsidP="008614DE">
      <w:pPr>
        <w:pStyle w:val="enumlev1"/>
        <w:keepNext/>
        <w:keepLines/>
      </w:pPr>
      <w:r w:rsidRPr="003C739E">
        <w:t>iv)</w:t>
      </w:r>
      <w:r w:rsidRPr="003C739E">
        <w:tab/>
        <w:t>utilisation de satellites relais de données, s'il en existe, afin d'ajouter ou de remplacer des stations terriennes;</w:t>
      </w:r>
    </w:p>
    <w:p w14:paraId="40D29492" w14:textId="77777777" w:rsidR="00A56C87" w:rsidRPr="003C739E" w:rsidRDefault="00A56C87" w:rsidP="00820005">
      <w:pPr>
        <w:pStyle w:val="enumlev1"/>
      </w:pPr>
      <w:r w:rsidRPr="003C739E">
        <w:t>v)</w:t>
      </w:r>
      <w:r w:rsidRPr="003C739E">
        <w:tab/>
        <w:t>utilisation de signaux à étalement de spectre AMRC ou de systèmes de modulation à porteuse supprimée pour les signaux sans étalement de spectre;</w:t>
      </w:r>
    </w:p>
    <w:p w14:paraId="699A6CE5" w14:textId="77777777" w:rsidR="00A56C87" w:rsidRPr="003C739E" w:rsidRDefault="00A56C87" w:rsidP="00820005">
      <w:pPr>
        <w:pStyle w:val="enumlev1"/>
      </w:pPr>
      <w:r w:rsidRPr="003C739E">
        <w:t>vi)</w:t>
      </w:r>
      <w:r w:rsidRPr="003C739E">
        <w:tab/>
        <w:t>faisceaux orientables d'antennes de stations spatiales avec réduction des niveaux dans les lobes latéraux pour les liaisons espace-espace; et</w:t>
      </w:r>
    </w:p>
    <w:p w14:paraId="320F3F48" w14:textId="64506E72" w:rsidR="004E457A" w:rsidRPr="003C739E" w:rsidRDefault="00A56C87" w:rsidP="00820005">
      <w:pPr>
        <w:pStyle w:val="enumlev1"/>
      </w:pPr>
      <w:r w:rsidRPr="003C739E">
        <w:t>vii)</w:t>
      </w:r>
      <w:r w:rsidRPr="003C739E">
        <w:tab/>
        <w:t>isolement des stations terriennes vis-à-vis des liaisons mobiles</w:t>
      </w:r>
      <w:r w:rsidR="004E457A" w:rsidRPr="003C739E">
        <w:t>;</w:t>
      </w:r>
    </w:p>
    <w:p w14:paraId="0DFB6EA6" w14:textId="37A600BD" w:rsidR="004E457A" w:rsidRPr="003C739E" w:rsidRDefault="004E457A" w:rsidP="00820005">
      <w:bookmarkStart w:id="7" w:name="_Hlk115793579"/>
      <w:r w:rsidRPr="003C739E">
        <w:rPr>
          <w:b/>
          <w:bCs/>
        </w:rPr>
        <w:t>6</w:t>
      </w:r>
      <w:r w:rsidRPr="003C739E">
        <w:tab/>
      </w:r>
      <w:r w:rsidR="00A56C87" w:rsidRPr="003C739E">
        <w:t xml:space="preserve">que, lorsqu'elles soumettent les renseignements au titre de l'Appendice </w:t>
      </w:r>
      <w:r w:rsidR="00A56C87" w:rsidRPr="003C739E">
        <w:rPr>
          <w:b/>
          <w:bCs/>
        </w:rPr>
        <w:t>4</w:t>
      </w:r>
      <w:r w:rsidR="00A56C87" w:rsidRPr="003C739E">
        <w:t xml:space="preserve"> du RR au Bureau des radiocommunications concernant les réseaux à satellite ou les systèmes à satellites du SETS/service de recherche spatiale/SES destinés à fonctionner dans le sens Terre vers espace dans la bande de fréquences </w:t>
      </w:r>
      <w:r w:rsidR="005B13CF" w:rsidRPr="003C739E">
        <w:t>2 025</w:t>
      </w:r>
      <w:r w:rsidR="005B13CF" w:rsidRPr="003C739E">
        <w:noBreakHyphen/>
        <w:t>2 110 MHz</w:t>
      </w:r>
      <w:r w:rsidR="00A56C87" w:rsidRPr="003C739E">
        <w:t>, les administrations</w:t>
      </w:r>
      <w:r w:rsidRPr="003C739E">
        <w:t>:</w:t>
      </w:r>
    </w:p>
    <w:p w14:paraId="01D08058" w14:textId="312C07E3" w:rsidR="004E457A" w:rsidRPr="003C739E" w:rsidRDefault="004E457A" w:rsidP="00820005">
      <w:pPr>
        <w:pStyle w:val="enumlev1"/>
      </w:pPr>
      <w:r w:rsidRPr="003C739E">
        <w:t>–</w:t>
      </w:r>
      <w:r w:rsidRPr="003C739E">
        <w:tab/>
      </w:r>
      <w:r w:rsidR="00F936F3" w:rsidRPr="003C739E">
        <w:t>s'abstiennent</w:t>
      </w:r>
      <w:r w:rsidR="00A56C87" w:rsidRPr="003C739E">
        <w:t>, autant que possible, d'utiliser des paramètres génériques</w:t>
      </w:r>
      <w:r w:rsidR="00170DE2" w:rsidRPr="003C739E">
        <w:t>,</w:t>
      </w:r>
      <w:r w:rsidR="00A56C87" w:rsidRPr="003C739E">
        <w:t xml:space="preserve"> comme des stations terriennes types avec une zone de service recouvrant la totalité de la surface de la Terre</w:t>
      </w:r>
      <w:r w:rsidR="00170DE2" w:rsidRPr="003C739E">
        <w:t>,</w:t>
      </w:r>
      <w:r w:rsidR="005B13CF" w:rsidRPr="003C739E">
        <w:t xml:space="preserve"> </w:t>
      </w:r>
      <w:r w:rsidR="00A56C87" w:rsidRPr="003C739E">
        <w:t>et des plages de valeurs étendues de puissance/p.i.r.e. et de largeur de bande des signaux;</w:t>
      </w:r>
    </w:p>
    <w:p w14:paraId="36D85FA0" w14:textId="7D678990" w:rsidR="004E457A" w:rsidRPr="003C739E" w:rsidRDefault="004E457A" w:rsidP="00820005">
      <w:pPr>
        <w:pStyle w:val="enumlev1"/>
      </w:pPr>
      <w:r w:rsidRPr="003C739E">
        <w:t>–</w:t>
      </w:r>
      <w:r w:rsidRPr="003C739E">
        <w:tab/>
      </w:r>
      <w:r w:rsidR="00F936F3" w:rsidRPr="003C739E">
        <w:t>envisagent</w:t>
      </w:r>
      <w:r w:rsidR="00A56C87" w:rsidRPr="003C739E">
        <w:t xml:space="preserve"> de préciser la fréquence porteuse et la largeur de bande et, autant que possible, le nombre de stations terriennes spécifiques ainsi que les coordonnées géographiques qui leur sont associées, conformément à l'exploitation effective requise</w:t>
      </w:r>
      <w:bookmarkEnd w:id="7"/>
      <w:r w:rsidR="00A56C87" w:rsidRPr="003C739E">
        <w:t>.</w:t>
      </w:r>
    </w:p>
    <w:p w14:paraId="7E7C24AD" w14:textId="7E7A9A8B" w:rsidR="00171C45" w:rsidRDefault="004E457A" w:rsidP="003D5160">
      <w:r w:rsidRPr="003C739E">
        <w:t xml:space="preserve">NOTE – </w:t>
      </w:r>
      <w:r w:rsidR="00A56C87" w:rsidRPr="003C739E">
        <w:t xml:space="preserve">Les points 2 et 3 du </w:t>
      </w:r>
      <w:r w:rsidR="00A56C87" w:rsidRPr="003C739E">
        <w:rPr>
          <w:i/>
          <w:iCs/>
        </w:rPr>
        <w:t xml:space="preserve">recommande </w:t>
      </w:r>
      <w:r w:rsidR="00A56C87" w:rsidRPr="003C739E">
        <w:t>sont susceptibles de ne pas s'appliquer pendant les opérations de lancement</w:t>
      </w:r>
      <w:r w:rsidRPr="003C739E">
        <w:t>.</w:t>
      </w:r>
    </w:p>
    <w:p w14:paraId="4087BC82" w14:textId="77777777" w:rsidR="003D5160" w:rsidRPr="003C739E" w:rsidRDefault="003D5160" w:rsidP="003D5160">
      <w:pPr>
        <w:pStyle w:val="Line"/>
      </w:pPr>
    </w:p>
    <w:sectPr w:rsidR="003D5160" w:rsidRPr="003C739E" w:rsidSect="00C90A3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F15E" w14:textId="77777777" w:rsidR="00962527" w:rsidRDefault="00962527">
      <w:r>
        <w:separator/>
      </w:r>
    </w:p>
  </w:endnote>
  <w:endnote w:type="continuationSeparator" w:id="0">
    <w:p w14:paraId="295BC6BC" w14:textId="77777777" w:rsidR="00962527" w:rsidRDefault="0096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B0813" w14:textId="77777777" w:rsidR="00962527" w:rsidRDefault="00962527">
      <w:r>
        <w:separator/>
      </w:r>
    </w:p>
  </w:footnote>
  <w:footnote w:type="continuationSeparator" w:id="0">
    <w:p w14:paraId="29537E0C" w14:textId="77777777" w:rsidR="00962527" w:rsidRDefault="00962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3678" w14:textId="77777777" w:rsidR="00A107EF" w:rsidRDefault="00A107E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7D35" w14:textId="77777777" w:rsidR="00A107EF" w:rsidRDefault="00A107EF" w:rsidP="00C668C8">
    <w:pPr>
      <w:pStyle w:val="Header"/>
      <w:ind w:right="360" w:firstLine="360"/>
    </w:pPr>
    <w:r>
      <w:rPr>
        <w:noProof/>
        <w:lang w:val="en-US" w:eastAsia="zh-CN"/>
      </w:rPr>
      <w:drawing>
        <wp:anchor distT="0" distB="0" distL="114300" distR="114300" simplePos="0" relativeHeight="251659264" behindDoc="1" locked="0" layoutInCell="1" allowOverlap="1" wp14:anchorId="037252F9" wp14:editId="53E5C2F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CD06" w14:textId="6C1626C0" w:rsidR="00A107EF" w:rsidRPr="00837CB5" w:rsidRDefault="00487394">
    <w:pPr>
      <w:pStyle w:val="Header"/>
      <w:jc w:val="left"/>
    </w:pPr>
    <w:r>
      <w:rPr>
        <w:rStyle w:val="PageNumber"/>
        <w:b/>
        <w:bCs/>
      </w:rPr>
      <w:fldChar w:fldCharType="begin"/>
    </w:r>
    <w:r w:rsidR="00A107EF" w:rsidRPr="00837CB5">
      <w:rPr>
        <w:rStyle w:val="PageNumber"/>
        <w:b/>
        <w:bCs/>
      </w:rPr>
      <w:instrText xml:space="preserve"> PAGE </w:instrText>
    </w:r>
    <w:r>
      <w:rPr>
        <w:rStyle w:val="PageNumber"/>
        <w:b/>
        <w:bCs/>
      </w:rPr>
      <w:fldChar w:fldCharType="separate"/>
    </w:r>
    <w:r w:rsidR="00CB01E2">
      <w:rPr>
        <w:rStyle w:val="PageNumber"/>
        <w:b/>
        <w:bCs/>
        <w:noProof/>
      </w:rPr>
      <w:t>ii</w:t>
    </w:r>
    <w:r>
      <w:rPr>
        <w:rStyle w:val="PageNumber"/>
        <w:b/>
        <w:bCs/>
      </w:rPr>
      <w:fldChar w:fldCharType="end"/>
    </w:r>
    <w:r w:rsidR="00A107EF" w:rsidRPr="00837CB5">
      <w:tab/>
    </w:r>
    <w:r w:rsidR="00E46EB8">
      <w:fldChar w:fldCharType="begin"/>
    </w:r>
    <w:r w:rsidR="00E46EB8">
      <w:instrText xml:space="preserve"> DOCPROPERTY "Header" \* MERGEFORMAT </w:instrText>
    </w:r>
    <w:r w:rsidR="00E46EB8">
      <w:fldChar w:fldCharType="separate"/>
    </w:r>
    <w:r w:rsidR="00CE1A02" w:rsidRPr="00CE1A02">
      <w:rPr>
        <w:b/>
        <w:bCs/>
      </w:rPr>
      <w:t xml:space="preserve">Rec. </w:t>
    </w:r>
    <w:r w:rsidR="00E46EB8">
      <w:rPr>
        <w:b/>
        <w:bCs/>
      </w:rPr>
      <w:fldChar w:fldCharType="end"/>
    </w:r>
    <w:r w:rsidR="00A107EF">
      <w:rPr>
        <w:b/>
        <w:bCs/>
      </w:rPr>
      <w:t xml:space="preserve"> </w:t>
    </w:r>
    <w:r>
      <w:rPr>
        <w:b/>
        <w:bCs/>
      </w:rPr>
      <w:fldChar w:fldCharType="begin"/>
    </w:r>
    <w:r w:rsidR="00A107EF" w:rsidRPr="00837CB5">
      <w:rPr>
        <w:b/>
        <w:bCs/>
      </w:rPr>
      <w:instrText>styleref href</w:instrText>
    </w:r>
    <w:r>
      <w:rPr>
        <w:b/>
        <w:bCs/>
      </w:rPr>
      <w:fldChar w:fldCharType="separate"/>
    </w:r>
    <w:r w:rsidR="003D5160">
      <w:rPr>
        <w:b/>
        <w:bCs/>
        <w:noProof/>
      </w:rPr>
      <w:t>UIT-R  SA.2156-0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D06D" w14:textId="25C3AC7C" w:rsidR="00A107EF" w:rsidRDefault="00A107EF">
    <w:pPr>
      <w:pStyle w:val="Header"/>
    </w:pPr>
    <w:r>
      <w:tab/>
    </w:r>
    <w:r w:rsidR="00E46EB8">
      <w:fldChar w:fldCharType="begin"/>
    </w:r>
    <w:r w:rsidR="00E46EB8">
      <w:instrText xml:space="preserve"> DOCPROPERTY "Header" \* MERGEFORMAT </w:instrText>
    </w:r>
    <w:r w:rsidR="00E46EB8">
      <w:fldChar w:fldCharType="separate"/>
    </w:r>
    <w:r w:rsidR="00CE1A02" w:rsidRPr="00CE1A02">
      <w:rPr>
        <w:b/>
        <w:bCs/>
      </w:rPr>
      <w:t xml:space="preserve">Rec. </w:t>
    </w:r>
    <w:r w:rsidR="00E46EB8">
      <w:rPr>
        <w:b/>
        <w:bCs/>
      </w:rPr>
      <w:fldChar w:fldCharType="end"/>
    </w:r>
    <w:r>
      <w:rPr>
        <w:b/>
        <w:bCs/>
      </w:rPr>
      <w:t xml:space="preserve"> </w:t>
    </w:r>
    <w:r w:rsidR="00487394">
      <w:rPr>
        <w:b/>
        <w:bCs/>
      </w:rPr>
      <w:fldChar w:fldCharType="begin"/>
    </w:r>
    <w:r>
      <w:rPr>
        <w:b/>
        <w:bCs/>
      </w:rPr>
      <w:instrText>styleref href</w:instrText>
    </w:r>
    <w:r w:rsidR="00487394">
      <w:rPr>
        <w:b/>
        <w:bCs/>
      </w:rPr>
      <w:fldChar w:fldCharType="separate"/>
    </w:r>
    <w:r w:rsidR="00CE1A02">
      <w:rPr>
        <w:b/>
        <w:bCs/>
        <w:noProof/>
      </w:rPr>
      <w:t>UIT-R  SA.2156-0</w:t>
    </w:r>
    <w:r w:rsidR="00487394">
      <w:rPr>
        <w:b/>
        <w:bCs/>
      </w:rPr>
      <w:fldChar w:fldCharType="end"/>
    </w:r>
    <w:r>
      <w:tab/>
    </w:r>
    <w:r w:rsidR="00487394">
      <w:rPr>
        <w:rStyle w:val="PageNumber"/>
        <w:b/>
        <w:bCs/>
      </w:rPr>
      <w:fldChar w:fldCharType="begin"/>
    </w:r>
    <w:r>
      <w:rPr>
        <w:rStyle w:val="PageNumber"/>
        <w:b/>
        <w:bCs/>
      </w:rPr>
      <w:instrText xml:space="preserve"> PAGE </w:instrText>
    </w:r>
    <w:r w:rsidR="00487394">
      <w:rPr>
        <w:rStyle w:val="PageNumber"/>
        <w:b/>
        <w:bCs/>
      </w:rPr>
      <w:fldChar w:fldCharType="separate"/>
    </w:r>
    <w:r>
      <w:rPr>
        <w:rStyle w:val="PageNumber"/>
        <w:b/>
        <w:bCs/>
        <w:noProof/>
      </w:rPr>
      <w:t>1</w:t>
    </w:r>
    <w:r w:rsidR="00487394">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3588" w14:textId="655E7907" w:rsidR="00607D68" w:rsidRDefault="00487394">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CB01E2">
      <w:rPr>
        <w:rStyle w:val="PageNumber"/>
        <w:b/>
        <w:bCs/>
        <w:noProof/>
        <w:lang w:val="en-US"/>
      </w:rPr>
      <w:t>2</w:t>
    </w:r>
    <w:r>
      <w:rPr>
        <w:rStyle w:val="PageNumber"/>
        <w:b/>
        <w:bCs/>
      </w:rPr>
      <w:fldChar w:fldCharType="end"/>
    </w:r>
    <w:r w:rsidR="00607D68">
      <w:rPr>
        <w:lang w:val="en-US"/>
      </w:rPr>
      <w:tab/>
    </w:r>
    <w:r w:rsidR="00E46EB8">
      <w:fldChar w:fldCharType="begin"/>
    </w:r>
    <w:r w:rsidR="00E46EB8">
      <w:instrText xml:space="preserve"> DOCPROPERTY "Header" \* MERGEFORMAT </w:instrText>
    </w:r>
    <w:r w:rsidR="00E46EB8">
      <w:fldChar w:fldCharType="separate"/>
    </w:r>
    <w:r w:rsidR="00CE1A02" w:rsidRPr="00CE1A02">
      <w:rPr>
        <w:b/>
        <w:bCs/>
        <w:lang w:val="en-US"/>
      </w:rPr>
      <w:t xml:space="preserve">Rec. </w:t>
    </w:r>
    <w:r w:rsidR="00E46EB8">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E46EB8">
      <w:rPr>
        <w:b/>
        <w:bCs/>
        <w:noProof/>
        <w:lang w:val="en-US"/>
      </w:rPr>
      <w:t>UIT-R  SA.2156-0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136C" w14:textId="0CBC47B7" w:rsidR="00607D68" w:rsidRDefault="00607D68">
    <w:pPr>
      <w:pStyle w:val="Header"/>
    </w:pPr>
    <w:r>
      <w:tab/>
    </w:r>
    <w:r w:rsidR="00E46EB8">
      <w:fldChar w:fldCharType="begin"/>
    </w:r>
    <w:r w:rsidR="00E46EB8">
      <w:instrText xml:space="preserve"> DOCPROPERTY "Header" \* MERGEFORMAT </w:instrText>
    </w:r>
    <w:r w:rsidR="00E46EB8">
      <w:fldChar w:fldCharType="separate"/>
    </w:r>
    <w:r w:rsidR="00CE1A02" w:rsidRPr="00CE1A02">
      <w:rPr>
        <w:b/>
        <w:bCs/>
      </w:rPr>
      <w:t xml:space="preserve">Rec. </w:t>
    </w:r>
    <w:r w:rsidR="00E46EB8">
      <w:rPr>
        <w:b/>
        <w:bCs/>
      </w:rPr>
      <w:fldChar w:fldCharType="end"/>
    </w:r>
    <w:r>
      <w:rPr>
        <w:b/>
        <w:bCs/>
      </w:rPr>
      <w:t xml:space="preserve"> </w:t>
    </w:r>
    <w:r w:rsidR="00487394">
      <w:rPr>
        <w:b/>
        <w:bCs/>
      </w:rPr>
      <w:fldChar w:fldCharType="begin"/>
    </w:r>
    <w:r>
      <w:rPr>
        <w:b/>
        <w:bCs/>
      </w:rPr>
      <w:instrText>styleref href</w:instrText>
    </w:r>
    <w:r w:rsidR="00487394">
      <w:rPr>
        <w:b/>
        <w:bCs/>
      </w:rPr>
      <w:fldChar w:fldCharType="separate"/>
    </w:r>
    <w:r w:rsidR="00E46EB8">
      <w:rPr>
        <w:b/>
        <w:bCs/>
        <w:noProof/>
      </w:rPr>
      <w:t>UIT-R  SA.2156-0</w:t>
    </w:r>
    <w:r w:rsidR="00487394">
      <w:rPr>
        <w:b/>
        <w:bCs/>
      </w:rPr>
      <w:fldChar w:fldCharType="end"/>
    </w:r>
    <w:r>
      <w:tab/>
    </w:r>
    <w:r w:rsidR="00487394">
      <w:rPr>
        <w:rStyle w:val="PageNumber"/>
        <w:b/>
        <w:bCs/>
      </w:rPr>
      <w:fldChar w:fldCharType="begin"/>
    </w:r>
    <w:r>
      <w:rPr>
        <w:rStyle w:val="PageNumber"/>
        <w:b/>
        <w:bCs/>
      </w:rPr>
      <w:instrText xml:space="preserve"> PAGE </w:instrText>
    </w:r>
    <w:r w:rsidR="00487394">
      <w:rPr>
        <w:rStyle w:val="PageNumber"/>
        <w:b/>
        <w:bCs/>
      </w:rPr>
      <w:fldChar w:fldCharType="separate"/>
    </w:r>
    <w:r w:rsidR="00CB01E2">
      <w:rPr>
        <w:rStyle w:val="PageNumber"/>
        <w:b/>
        <w:bCs/>
        <w:noProof/>
      </w:rPr>
      <w:t>1</w:t>
    </w:r>
    <w:r w:rsidR="0048739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74BF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C21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CC95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4E20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88A7F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D0DF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E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C0B3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4FC0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7220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440578"/>
    <w:multiLevelType w:val="hybridMultilevel"/>
    <w:tmpl w:val="382A35FA"/>
    <w:lvl w:ilvl="0" w:tplc="9C084C6C">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94338698">
    <w:abstractNumId w:val="10"/>
  </w:num>
  <w:num w:numId="2" w16cid:durableId="1553082829">
    <w:abstractNumId w:val="9"/>
  </w:num>
  <w:num w:numId="3" w16cid:durableId="1995916069">
    <w:abstractNumId w:val="7"/>
  </w:num>
  <w:num w:numId="4" w16cid:durableId="1835367635">
    <w:abstractNumId w:val="6"/>
  </w:num>
  <w:num w:numId="5" w16cid:durableId="288558498">
    <w:abstractNumId w:val="5"/>
  </w:num>
  <w:num w:numId="6" w16cid:durableId="654455088">
    <w:abstractNumId w:val="4"/>
  </w:num>
  <w:num w:numId="7" w16cid:durableId="2126119180">
    <w:abstractNumId w:val="8"/>
  </w:num>
  <w:num w:numId="8" w16cid:durableId="1039206438">
    <w:abstractNumId w:val="3"/>
  </w:num>
  <w:num w:numId="9" w16cid:durableId="220294349">
    <w:abstractNumId w:val="2"/>
  </w:num>
  <w:num w:numId="10" w16cid:durableId="708074223">
    <w:abstractNumId w:val="1"/>
  </w:num>
  <w:num w:numId="11" w16cid:durableId="1382972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33"/>
    <w:rsid w:val="00030038"/>
    <w:rsid w:val="000754AF"/>
    <w:rsid w:val="00084A33"/>
    <w:rsid w:val="00170DE2"/>
    <w:rsid w:val="00171C45"/>
    <w:rsid w:val="00217EBF"/>
    <w:rsid w:val="0024382C"/>
    <w:rsid w:val="002A2E48"/>
    <w:rsid w:val="002D6F68"/>
    <w:rsid w:val="002D76C4"/>
    <w:rsid w:val="00353B85"/>
    <w:rsid w:val="00371587"/>
    <w:rsid w:val="003C739E"/>
    <w:rsid w:val="003D5160"/>
    <w:rsid w:val="003E47D3"/>
    <w:rsid w:val="00407BFF"/>
    <w:rsid w:val="00487394"/>
    <w:rsid w:val="004E457A"/>
    <w:rsid w:val="00561AFE"/>
    <w:rsid w:val="005A0D78"/>
    <w:rsid w:val="005B13CF"/>
    <w:rsid w:val="00607D68"/>
    <w:rsid w:val="007468DA"/>
    <w:rsid w:val="0079416F"/>
    <w:rsid w:val="00817C46"/>
    <w:rsid w:val="00820005"/>
    <w:rsid w:val="008614DE"/>
    <w:rsid w:val="008B0688"/>
    <w:rsid w:val="008C53A4"/>
    <w:rsid w:val="008C70FD"/>
    <w:rsid w:val="008D24F0"/>
    <w:rsid w:val="008E4B04"/>
    <w:rsid w:val="00962527"/>
    <w:rsid w:val="00A107EF"/>
    <w:rsid w:val="00A52963"/>
    <w:rsid w:val="00A56C87"/>
    <w:rsid w:val="00A6617B"/>
    <w:rsid w:val="00AB0753"/>
    <w:rsid w:val="00AB0DC8"/>
    <w:rsid w:val="00AC22AA"/>
    <w:rsid w:val="00B44E24"/>
    <w:rsid w:val="00C774E3"/>
    <w:rsid w:val="00C90A33"/>
    <w:rsid w:val="00CB01E2"/>
    <w:rsid w:val="00CE1A02"/>
    <w:rsid w:val="00D12E70"/>
    <w:rsid w:val="00D50D5F"/>
    <w:rsid w:val="00DC2923"/>
    <w:rsid w:val="00DF4176"/>
    <w:rsid w:val="00E46EB8"/>
    <w:rsid w:val="00F936F3"/>
    <w:rsid w:val="00FA2CE1"/>
    <w:rsid w:val="00FC3C62"/>
    <w:rsid w:val="00FC580C"/>
    <w:rsid w:val="00FF1D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54C7D"/>
  <w15:docId w15:val="{853449C0-E3BC-41FE-86E1-3F055A7B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2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12E70"/>
    <w:pPr>
      <w:keepNext/>
      <w:keepLines/>
      <w:spacing w:before="480"/>
      <w:ind w:left="794" w:hanging="794"/>
      <w:outlineLvl w:val="0"/>
    </w:pPr>
    <w:rPr>
      <w:b/>
    </w:rPr>
  </w:style>
  <w:style w:type="paragraph" w:styleId="Heading2">
    <w:name w:val="heading 2"/>
    <w:basedOn w:val="Heading1"/>
    <w:next w:val="Normal"/>
    <w:qFormat/>
    <w:rsid w:val="00D12E70"/>
    <w:pPr>
      <w:spacing w:before="320"/>
      <w:outlineLvl w:val="1"/>
    </w:pPr>
  </w:style>
  <w:style w:type="paragraph" w:styleId="Heading3">
    <w:name w:val="heading 3"/>
    <w:basedOn w:val="Heading1"/>
    <w:next w:val="Normal"/>
    <w:qFormat/>
    <w:rsid w:val="00D12E70"/>
    <w:pPr>
      <w:spacing w:before="200"/>
      <w:outlineLvl w:val="2"/>
    </w:pPr>
  </w:style>
  <w:style w:type="paragraph" w:styleId="Heading4">
    <w:name w:val="heading 4"/>
    <w:basedOn w:val="Heading3"/>
    <w:next w:val="Normal"/>
    <w:qFormat/>
    <w:rsid w:val="00D12E70"/>
    <w:pPr>
      <w:tabs>
        <w:tab w:val="clear" w:pos="794"/>
        <w:tab w:val="left" w:pos="992"/>
      </w:tabs>
      <w:ind w:left="992" w:hanging="992"/>
      <w:outlineLvl w:val="3"/>
    </w:pPr>
  </w:style>
  <w:style w:type="paragraph" w:styleId="Heading5">
    <w:name w:val="heading 5"/>
    <w:basedOn w:val="Heading4"/>
    <w:next w:val="Normal"/>
    <w:qFormat/>
    <w:rsid w:val="00D12E70"/>
    <w:pPr>
      <w:outlineLvl w:val="4"/>
    </w:pPr>
  </w:style>
  <w:style w:type="paragraph" w:styleId="Heading6">
    <w:name w:val="heading 6"/>
    <w:basedOn w:val="Heading4"/>
    <w:next w:val="Normal"/>
    <w:qFormat/>
    <w:rsid w:val="00D12E70"/>
    <w:pPr>
      <w:tabs>
        <w:tab w:val="clear" w:pos="992"/>
        <w:tab w:val="clear" w:pos="1191"/>
      </w:tabs>
      <w:ind w:left="1588" w:hanging="1588"/>
      <w:outlineLvl w:val="5"/>
    </w:pPr>
  </w:style>
  <w:style w:type="paragraph" w:styleId="Heading7">
    <w:name w:val="heading 7"/>
    <w:basedOn w:val="Heading6"/>
    <w:next w:val="Normal"/>
    <w:qFormat/>
    <w:rsid w:val="00D12E70"/>
    <w:pPr>
      <w:outlineLvl w:val="6"/>
    </w:pPr>
  </w:style>
  <w:style w:type="paragraph" w:styleId="Heading8">
    <w:name w:val="heading 8"/>
    <w:basedOn w:val="Heading6"/>
    <w:next w:val="Normal"/>
    <w:qFormat/>
    <w:rsid w:val="00D12E70"/>
    <w:pPr>
      <w:outlineLvl w:val="7"/>
    </w:pPr>
  </w:style>
  <w:style w:type="paragraph" w:styleId="Heading9">
    <w:name w:val="heading 9"/>
    <w:basedOn w:val="Heading6"/>
    <w:next w:val="Normal"/>
    <w:qFormat/>
    <w:rsid w:val="00D12E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2E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12E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2E70"/>
  </w:style>
  <w:style w:type="paragraph" w:customStyle="1" w:styleId="Headingb">
    <w:name w:val="Heading_b"/>
    <w:basedOn w:val="Heading3"/>
    <w:next w:val="Normal"/>
    <w:rsid w:val="00D12E70"/>
    <w:pPr>
      <w:spacing w:before="160"/>
      <w:ind w:left="0" w:firstLine="0"/>
      <w:outlineLvl w:val="9"/>
    </w:pPr>
  </w:style>
  <w:style w:type="paragraph" w:customStyle="1" w:styleId="Headingi">
    <w:name w:val="Heading_i"/>
    <w:basedOn w:val="Heading3"/>
    <w:next w:val="Normal"/>
    <w:rsid w:val="00D12E70"/>
    <w:pPr>
      <w:spacing w:before="160"/>
      <w:ind w:left="0" w:firstLine="0"/>
    </w:pPr>
    <w:rPr>
      <w:b w:val="0"/>
      <w:i/>
    </w:rPr>
  </w:style>
  <w:style w:type="character" w:customStyle="1" w:styleId="href">
    <w:name w:val="href"/>
    <w:basedOn w:val="DefaultParagraphFont"/>
    <w:rsid w:val="00D12E70"/>
  </w:style>
  <w:style w:type="paragraph" w:customStyle="1" w:styleId="enumlev1">
    <w:name w:val="enumlev1"/>
    <w:basedOn w:val="Normal"/>
    <w:rsid w:val="00D12E70"/>
    <w:pPr>
      <w:spacing w:before="80"/>
      <w:ind w:left="794" w:hanging="794"/>
    </w:pPr>
  </w:style>
  <w:style w:type="paragraph" w:customStyle="1" w:styleId="enumlev2">
    <w:name w:val="enumlev2"/>
    <w:basedOn w:val="enumlev1"/>
    <w:rsid w:val="00D12E70"/>
    <w:pPr>
      <w:ind w:left="1191" w:hanging="397"/>
    </w:pPr>
  </w:style>
  <w:style w:type="paragraph" w:customStyle="1" w:styleId="enumlev3">
    <w:name w:val="enumlev3"/>
    <w:basedOn w:val="enumlev2"/>
    <w:rsid w:val="00D12E70"/>
    <w:pPr>
      <w:ind w:left="1588"/>
    </w:pPr>
  </w:style>
  <w:style w:type="paragraph" w:customStyle="1" w:styleId="Normalaftertitle">
    <w:name w:val="Normal_after_title"/>
    <w:basedOn w:val="Normal"/>
    <w:next w:val="Normal"/>
    <w:rsid w:val="00D12E70"/>
    <w:pPr>
      <w:spacing w:before="320"/>
    </w:pPr>
  </w:style>
  <w:style w:type="paragraph" w:customStyle="1" w:styleId="Note">
    <w:name w:val="Note"/>
    <w:basedOn w:val="Normal"/>
    <w:rsid w:val="00D12E7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2E7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12E70"/>
    <w:pPr>
      <w:spacing w:before="240"/>
    </w:pPr>
    <w:rPr>
      <w:sz w:val="22"/>
      <w:lang w:val="es-ES_tradnl"/>
    </w:rPr>
  </w:style>
  <w:style w:type="paragraph" w:customStyle="1" w:styleId="Recref">
    <w:name w:val="Rec_ref"/>
    <w:basedOn w:val="Normal"/>
    <w:next w:val="Recdate"/>
    <w:rsid w:val="00D12E70"/>
    <w:pPr>
      <w:jc w:val="center"/>
    </w:pPr>
  </w:style>
  <w:style w:type="paragraph" w:customStyle="1" w:styleId="Recdate">
    <w:name w:val="Rec_date"/>
    <w:basedOn w:val="Recref"/>
    <w:next w:val="Normalaftertitle"/>
    <w:rsid w:val="00D12E70"/>
    <w:pPr>
      <w:jc w:val="right"/>
    </w:pPr>
  </w:style>
  <w:style w:type="paragraph" w:customStyle="1" w:styleId="AnnexNoTitle">
    <w:name w:val="Annex_NoTitle"/>
    <w:basedOn w:val="Normal"/>
    <w:next w:val="Normalaftertitle"/>
    <w:rsid w:val="00D12E70"/>
    <w:pPr>
      <w:keepNext/>
      <w:keepLines/>
      <w:spacing w:before="480" w:after="80"/>
      <w:jc w:val="center"/>
    </w:pPr>
    <w:rPr>
      <w:b/>
      <w:sz w:val="28"/>
    </w:rPr>
  </w:style>
  <w:style w:type="paragraph" w:customStyle="1" w:styleId="AppendixNoTitle">
    <w:name w:val="Appendix_NoTitle"/>
    <w:basedOn w:val="AnnexNoTitle"/>
    <w:next w:val="Normal"/>
    <w:rsid w:val="00D12E70"/>
  </w:style>
  <w:style w:type="paragraph" w:customStyle="1" w:styleId="Tablefin">
    <w:name w:val="Table_fin"/>
    <w:basedOn w:val="Normal"/>
    <w:next w:val="Normal"/>
    <w:rsid w:val="00D12E70"/>
    <w:pPr>
      <w:spacing w:before="0"/>
    </w:pPr>
    <w:rPr>
      <w:sz w:val="20"/>
      <w:lang w:val="en-GB"/>
    </w:rPr>
  </w:style>
  <w:style w:type="paragraph" w:customStyle="1" w:styleId="Tablehead">
    <w:name w:val="Table_head"/>
    <w:basedOn w:val="Normal"/>
    <w:next w:val="Normal"/>
    <w:rsid w:val="00D12E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2E70"/>
    <w:pPr>
      <w:keepNext/>
      <w:spacing w:before="360" w:after="120"/>
      <w:jc w:val="center"/>
    </w:pPr>
  </w:style>
  <w:style w:type="paragraph" w:customStyle="1" w:styleId="Tabletext">
    <w:name w:val="Table_text"/>
    <w:basedOn w:val="Normal"/>
    <w:rsid w:val="00D1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12E70"/>
    <w:pPr>
      <w:tabs>
        <w:tab w:val="clear" w:pos="1191"/>
        <w:tab w:val="clear" w:pos="1588"/>
        <w:tab w:val="clear" w:pos="1985"/>
        <w:tab w:val="center" w:pos="4820"/>
        <w:tab w:val="right" w:pos="9639"/>
      </w:tabs>
    </w:pPr>
  </w:style>
  <w:style w:type="paragraph" w:customStyle="1" w:styleId="Equationlegend">
    <w:name w:val="Equation_legend"/>
    <w:basedOn w:val="NormalIndent"/>
    <w:rsid w:val="00D12E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2E70"/>
    <w:pPr>
      <w:ind w:left="794"/>
    </w:pPr>
  </w:style>
  <w:style w:type="paragraph" w:customStyle="1" w:styleId="Figurelegend">
    <w:name w:val="Figure_legend"/>
    <w:basedOn w:val="Normal"/>
    <w:rsid w:val="00D12E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12E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2E70"/>
    <w:pPr>
      <w:keepNext/>
      <w:keepLines/>
      <w:spacing w:before="480"/>
      <w:jc w:val="center"/>
    </w:pPr>
    <w:rPr>
      <w:sz w:val="28"/>
    </w:rPr>
  </w:style>
  <w:style w:type="paragraph" w:customStyle="1" w:styleId="Arttitle">
    <w:name w:val="Art_title"/>
    <w:basedOn w:val="Normal"/>
    <w:next w:val="Normalaftertitle"/>
    <w:rsid w:val="00D12E70"/>
    <w:pPr>
      <w:keepNext/>
      <w:keepLines/>
      <w:spacing w:before="240"/>
      <w:jc w:val="center"/>
    </w:pPr>
    <w:rPr>
      <w:b/>
      <w:sz w:val="28"/>
    </w:rPr>
  </w:style>
  <w:style w:type="paragraph" w:customStyle="1" w:styleId="Blanc">
    <w:name w:val="Blanc"/>
    <w:basedOn w:val="Normal"/>
    <w:next w:val="Tabletext"/>
    <w:rsid w:val="00D12E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2E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2E70"/>
    <w:pPr>
      <w:keepNext/>
      <w:keepLines/>
      <w:spacing w:before="160"/>
      <w:ind w:left="794"/>
    </w:pPr>
    <w:rPr>
      <w:i/>
    </w:rPr>
  </w:style>
  <w:style w:type="paragraph" w:customStyle="1" w:styleId="ChapNo">
    <w:name w:val="Chap_No"/>
    <w:basedOn w:val="ArtNo"/>
    <w:next w:val="Chaptitle"/>
    <w:rsid w:val="00D12E70"/>
    <w:rPr>
      <w:b/>
    </w:rPr>
  </w:style>
  <w:style w:type="paragraph" w:customStyle="1" w:styleId="Chaptitle">
    <w:name w:val="Chap_title"/>
    <w:basedOn w:val="Arttitle"/>
    <w:next w:val="Normalaftertitle"/>
    <w:rsid w:val="00D12E70"/>
  </w:style>
  <w:style w:type="character" w:styleId="FootnoteReference">
    <w:name w:val="footnote reference"/>
    <w:basedOn w:val="DefaultParagraphFont"/>
    <w:semiHidden/>
    <w:rsid w:val="00D12E70"/>
    <w:rPr>
      <w:position w:val="6"/>
      <w:sz w:val="18"/>
    </w:rPr>
  </w:style>
  <w:style w:type="paragraph" w:styleId="FootnoteText">
    <w:name w:val="footnote text"/>
    <w:basedOn w:val="Normal"/>
    <w:semiHidden/>
    <w:rsid w:val="00D12E70"/>
    <w:pPr>
      <w:keepLines/>
      <w:tabs>
        <w:tab w:val="left" w:pos="255"/>
      </w:tabs>
      <w:ind w:left="255" w:hanging="255"/>
    </w:pPr>
    <w:rPr>
      <w:sz w:val="22"/>
    </w:rPr>
  </w:style>
  <w:style w:type="paragraph" w:styleId="Index1">
    <w:name w:val="index 1"/>
    <w:basedOn w:val="Normal"/>
    <w:next w:val="Normal"/>
    <w:semiHidden/>
    <w:rsid w:val="00D12E70"/>
  </w:style>
  <w:style w:type="paragraph" w:styleId="Index2">
    <w:name w:val="index 2"/>
    <w:basedOn w:val="Normal"/>
    <w:next w:val="Normal"/>
    <w:semiHidden/>
    <w:rsid w:val="00D12E70"/>
    <w:pPr>
      <w:ind w:left="283"/>
    </w:pPr>
  </w:style>
  <w:style w:type="paragraph" w:styleId="Index3">
    <w:name w:val="index 3"/>
    <w:basedOn w:val="Normal"/>
    <w:next w:val="Normal"/>
    <w:semiHidden/>
    <w:rsid w:val="00D12E70"/>
    <w:pPr>
      <w:ind w:left="566"/>
    </w:pPr>
  </w:style>
  <w:style w:type="paragraph" w:styleId="IndexHeading">
    <w:name w:val="index heading"/>
    <w:basedOn w:val="Normal"/>
    <w:next w:val="Index1"/>
    <w:semiHidden/>
    <w:rsid w:val="00D12E70"/>
  </w:style>
  <w:style w:type="paragraph" w:customStyle="1" w:styleId="Line">
    <w:name w:val="Line"/>
    <w:basedOn w:val="Normal"/>
    <w:next w:val="Normal"/>
    <w:rsid w:val="00D12E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2E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2E70"/>
  </w:style>
  <w:style w:type="paragraph" w:customStyle="1" w:styleId="Partref">
    <w:name w:val="Part_ref"/>
    <w:basedOn w:val="Normal"/>
    <w:next w:val="Normal"/>
    <w:rsid w:val="00D12E70"/>
    <w:pPr>
      <w:keepNext/>
      <w:keepLines/>
      <w:spacing w:after="280"/>
      <w:jc w:val="center"/>
    </w:pPr>
  </w:style>
  <w:style w:type="paragraph" w:customStyle="1" w:styleId="Parttitle">
    <w:name w:val="Part_title"/>
    <w:basedOn w:val="Normal"/>
    <w:next w:val="Normalaftertitle"/>
    <w:rsid w:val="00D12E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2E70"/>
  </w:style>
  <w:style w:type="paragraph" w:customStyle="1" w:styleId="QuestionNo">
    <w:name w:val="Question_No"/>
    <w:basedOn w:val="RecNo"/>
    <w:next w:val="Normal"/>
    <w:rsid w:val="00D12E70"/>
  </w:style>
  <w:style w:type="paragraph" w:customStyle="1" w:styleId="Questionref">
    <w:name w:val="Question_ref"/>
    <w:basedOn w:val="Recref"/>
    <w:next w:val="Questiondate"/>
    <w:rsid w:val="00D12E70"/>
  </w:style>
  <w:style w:type="paragraph" w:customStyle="1" w:styleId="Questiontitle">
    <w:name w:val="Question_title"/>
    <w:basedOn w:val="Normal"/>
    <w:next w:val="Questionref"/>
    <w:rsid w:val="00D12E70"/>
  </w:style>
  <w:style w:type="paragraph" w:customStyle="1" w:styleId="Reftext">
    <w:name w:val="Ref_text"/>
    <w:basedOn w:val="Normal"/>
    <w:rsid w:val="00D12E70"/>
    <w:pPr>
      <w:ind w:left="794" w:hanging="794"/>
    </w:pPr>
    <w:rPr>
      <w:sz w:val="22"/>
    </w:rPr>
  </w:style>
  <w:style w:type="paragraph" w:customStyle="1" w:styleId="Reftitle">
    <w:name w:val="Ref_title"/>
    <w:basedOn w:val="Normal"/>
    <w:next w:val="Reftext"/>
    <w:rsid w:val="00D12E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2E70"/>
  </w:style>
  <w:style w:type="paragraph" w:customStyle="1" w:styleId="RepNo">
    <w:name w:val="Rep_No"/>
    <w:basedOn w:val="RecNo"/>
    <w:next w:val="Reptitle"/>
    <w:rsid w:val="00D12E70"/>
  </w:style>
  <w:style w:type="paragraph" w:customStyle="1" w:styleId="Repref">
    <w:name w:val="Rep_ref"/>
    <w:basedOn w:val="Recref"/>
    <w:next w:val="Repdate"/>
    <w:rsid w:val="00D12E70"/>
  </w:style>
  <w:style w:type="paragraph" w:customStyle="1" w:styleId="Reptitle">
    <w:name w:val="Rep_title"/>
    <w:basedOn w:val="Rectitle"/>
    <w:next w:val="Repref"/>
    <w:rsid w:val="00D12E70"/>
  </w:style>
  <w:style w:type="paragraph" w:customStyle="1" w:styleId="Resdate">
    <w:name w:val="Res_date"/>
    <w:basedOn w:val="Recdate"/>
    <w:next w:val="Normalaftertitle"/>
    <w:rsid w:val="00D12E70"/>
  </w:style>
  <w:style w:type="paragraph" w:customStyle="1" w:styleId="ResNo">
    <w:name w:val="Res_No"/>
    <w:basedOn w:val="RecNo"/>
    <w:next w:val="Restitle"/>
    <w:rsid w:val="00D12E70"/>
  </w:style>
  <w:style w:type="paragraph" w:customStyle="1" w:styleId="Resref">
    <w:name w:val="Res_ref"/>
    <w:basedOn w:val="Recref"/>
    <w:next w:val="Resdate"/>
    <w:rsid w:val="00D12E7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12E70"/>
  </w:style>
  <w:style w:type="paragraph" w:customStyle="1" w:styleId="Sectiontitle">
    <w:name w:val="Section_title"/>
    <w:basedOn w:val="Normal"/>
    <w:next w:val="Normalaftertitle"/>
    <w:rsid w:val="00D12E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2E70"/>
    <w:pPr>
      <w:tabs>
        <w:tab w:val="clear" w:pos="794"/>
        <w:tab w:val="clear" w:pos="1191"/>
        <w:tab w:val="clear" w:pos="1588"/>
        <w:tab w:val="clear" w:pos="1985"/>
        <w:tab w:val="right" w:pos="9611"/>
      </w:tabs>
    </w:pPr>
    <w:rPr>
      <w:i/>
    </w:rPr>
  </w:style>
  <w:style w:type="paragraph" w:styleId="TOC1">
    <w:name w:val="toc 1"/>
    <w:basedOn w:val="Normal"/>
    <w:semiHidden/>
    <w:rsid w:val="00D12E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2E70"/>
    <w:pPr>
      <w:tabs>
        <w:tab w:val="clear" w:pos="567"/>
        <w:tab w:val="left" w:pos="1276"/>
      </w:tabs>
      <w:spacing w:before="160"/>
      <w:ind w:left="1276" w:hanging="709"/>
    </w:pPr>
  </w:style>
  <w:style w:type="paragraph" w:styleId="TOC3">
    <w:name w:val="toc 3"/>
    <w:basedOn w:val="TOC2"/>
    <w:semiHidden/>
    <w:rsid w:val="00D12E70"/>
    <w:pPr>
      <w:tabs>
        <w:tab w:val="clear" w:pos="1276"/>
        <w:tab w:val="left" w:pos="2155"/>
      </w:tabs>
      <w:ind w:left="2155" w:hanging="879"/>
    </w:pPr>
  </w:style>
  <w:style w:type="paragraph" w:styleId="TOC4">
    <w:name w:val="toc 4"/>
    <w:basedOn w:val="TOC3"/>
    <w:semiHidden/>
    <w:rsid w:val="00D12E70"/>
    <w:pPr>
      <w:tabs>
        <w:tab w:val="left" w:pos="3261"/>
      </w:tabs>
      <w:spacing w:before="80"/>
      <w:ind w:left="3261" w:hanging="993"/>
    </w:pPr>
  </w:style>
  <w:style w:type="paragraph" w:styleId="TOC5">
    <w:name w:val="toc 5"/>
    <w:basedOn w:val="TOC4"/>
    <w:semiHidden/>
    <w:rsid w:val="00D12E70"/>
  </w:style>
  <w:style w:type="paragraph" w:styleId="TOC6">
    <w:name w:val="toc 6"/>
    <w:basedOn w:val="TOC4"/>
    <w:semiHidden/>
    <w:rsid w:val="00D12E70"/>
  </w:style>
  <w:style w:type="paragraph" w:styleId="TOC7">
    <w:name w:val="toc 7"/>
    <w:basedOn w:val="TOC4"/>
    <w:semiHidden/>
    <w:rsid w:val="00D12E70"/>
  </w:style>
  <w:style w:type="paragraph" w:styleId="TOC8">
    <w:name w:val="toc 8"/>
    <w:basedOn w:val="TOC4"/>
    <w:semiHidden/>
    <w:rsid w:val="00D12E70"/>
  </w:style>
  <w:style w:type="paragraph" w:customStyle="1" w:styleId="Rectitle">
    <w:name w:val="Rec_title"/>
    <w:basedOn w:val="Normal"/>
    <w:next w:val="Recref"/>
    <w:rsid w:val="00D12E70"/>
    <w:pPr>
      <w:keepNext/>
      <w:keepLines/>
      <w:spacing w:before="240"/>
      <w:jc w:val="center"/>
    </w:pPr>
    <w:rPr>
      <w:b/>
      <w:sz w:val="28"/>
    </w:rPr>
  </w:style>
  <w:style w:type="paragraph" w:customStyle="1" w:styleId="Annexref">
    <w:name w:val="Annex_ref"/>
    <w:basedOn w:val="Normal"/>
    <w:next w:val="Normalaftertitle"/>
    <w:rsid w:val="00D12E70"/>
    <w:pPr>
      <w:keepNext/>
      <w:keepLines/>
      <w:spacing w:after="280"/>
      <w:jc w:val="center"/>
    </w:pPr>
  </w:style>
  <w:style w:type="paragraph" w:customStyle="1" w:styleId="Appendixref">
    <w:name w:val="Appendix_ref"/>
    <w:basedOn w:val="Annexref"/>
    <w:next w:val="Normalaftertitle"/>
    <w:rsid w:val="00D12E70"/>
  </w:style>
  <w:style w:type="paragraph" w:customStyle="1" w:styleId="Figuretitle">
    <w:name w:val="Figure_title"/>
    <w:basedOn w:val="Normal"/>
    <w:next w:val="Figure"/>
    <w:rsid w:val="00D12E7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2E70"/>
    <w:pPr>
      <w:keepNext/>
      <w:spacing w:before="0" w:after="120"/>
      <w:jc w:val="center"/>
    </w:pPr>
    <w:rPr>
      <w:b/>
    </w:rPr>
  </w:style>
  <w:style w:type="paragraph" w:customStyle="1" w:styleId="Summary">
    <w:name w:val="Summary"/>
    <w:basedOn w:val="Normal"/>
    <w:next w:val="Normalaftertitle"/>
    <w:rsid w:val="00D12E7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107EF"/>
    <w:rPr>
      <w:color w:val="0000FF"/>
      <w:u w:val="single"/>
    </w:rPr>
  </w:style>
  <w:style w:type="character" w:styleId="UnresolvedMention">
    <w:name w:val="Unresolved Mention"/>
    <w:basedOn w:val="DefaultParagraphFont"/>
    <w:uiPriority w:val="99"/>
    <w:semiHidden/>
    <w:unhideWhenUsed/>
    <w:rsid w:val="00171C45"/>
    <w:rPr>
      <w:color w:val="605E5C"/>
      <w:shd w:val="clear" w:color="auto" w:fill="E1DFDD"/>
    </w:rPr>
  </w:style>
  <w:style w:type="character" w:styleId="FollowedHyperlink">
    <w:name w:val="FollowedHyperlink"/>
    <w:basedOn w:val="DefaultParagraphFont"/>
    <w:semiHidden/>
    <w:unhideWhenUsed/>
    <w:rsid w:val="00171C45"/>
    <w:rPr>
      <w:color w:val="800080" w:themeColor="followedHyperlink"/>
      <w:u w:val="single"/>
    </w:rPr>
  </w:style>
  <w:style w:type="paragraph" w:styleId="Revision">
    <w:name w:val="Revision"/>
    <w:hidden/>
    <w:uiPriority w:val="99"/>
    <w:semiHidden/>
    <w:rsid w:val="008E4B04"/>
    <w:rPr>
      <w:sz w:val="24"/>
      <w:lang w:val="fr-FR" w:eastAsia="en-US"/>
    </w:rPr>
  </w:style>
  <w:style w:type="character" w:styleId="CommentReference">
    <w:name w:val="annotation reference"/>
    <w:basedOn w:val="DefaultParagraphFont"/>
    <w:semiHidden/>
    <w:unhideWhenUsed/>
    <w:rsid w:val="0079416F"/>
    <w:rPr>
      <w:sz w:val="16"/>
      <w:szCs w:val="16"/>
    </w:rPr>
  </w:style>
  <w:style w:type="paragraph" w:styleId="CommentText">
    <w:name w:val="annotation text"/>
    <w:basedOn w:val="Normal"/>
    <w:link w:val="CommentTextChar"/>
    <w:unhideWhenUsed/>
    <w:rsid w:val="0079416F"/>
    <w:rPr>
      <w:sz w:val="20"/>
    </w:rPr>
  </w:style>
  <w:style w:type="character" w:customStyle="1" w:styleId="CommentTextChar">
    <w:name w:val="Comment Text Char"/>
    <w:basedOn w:val="DefaultParagraphFont"/>
    <w:link w:val="CommentText"/>
    <w:rsid w:val="0079416F"/>
    <w:rPr>
      <w:lang w:val="fr-FR" w:eastAsia="en-US"/>
    </w:rPr>
  </w:style>
  <w:style w:type="paragraph" w:styleId="CommentSubject">
    <w:name w:val="annotation subject"/>
    <w:basedOn w:val="CommentText"/>
    <w:next w:val="CommentText"/>
    <w:link w:val="CommentSubjectChar"/>
    <w:semiHidden/>
    <w:unhideWhenUsed/>
    <w:rsid w:val="0079416F"/>
    <w:rPr>
      <w:b/>
      <w:bCs/>
    </w:rPr>
  </w:style>
  <w:style w:type="character" w:customStyle="1" w:styleId="CommentSubjectChar">
    <w:name w:val="Comment Subject Char"/>
    <w:basedOn w:val="CommentTextChar"/>
    <w:link w:val="CommentSubject"/>
    <w:semiHidden/>
    <w:rsid w:val="0079416F"/>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82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SA.363/fr" TargetMode="External"/><Relationship Id="rId18" Type="http://schemas.openxmlformats.org/officeDocument/2006/relationships/hyperlink" Target="https://www.itu.int/rec/R-REC-SA.1863/fr"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F.1777/fr" TargetMode="External"/><Relationship Id="rId2" Type="http://schemas.openxmlformats.org/officeDocument/2006/relationships/styles" Target="styles.xml"/><Relationship Id="rId16" Type="http://schemas.openxmlformats.org/officeDocument/2006/relationships/hyperlink" Target="https://www.itu.int/rec/R-REC-S.1716/fr" TargetMode="External"/><Relationship Id="rId20" Type="http://schemas.openxmlformats.org/officeDocument/2006/relationships/hyperlink" Target="https://www.itu.int/md/R00-CR-CIR-0420/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SA.1273/fr" TargetMode="External"/><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yperlink" Target="https://www.itu.int/pub/R-REP-SA.2325/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rec/R-REC-SA.1024/fr"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6</Pages>
  <Words>2138</Words>
  <Characters>12192</Characters>
  <Application>Microsoft Office Word</Application>
  <DocSecurity>0</DocSecurity>
  <Lines>240</Lines>
  <Paragraphs>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SA.2156-0 - </dc:title>
  <dc:subject>Série SA = Applications spatiales</dc:subject>
  <dc:creator>Bureau des radiocommunications de l'UIT (BR)</dc:creator>
  <cp:keywords>SA,2156-0</cp:keywords>
  <dc:description>Gachetc, 20/02/2023, ITU51013811</dc:description>
  <cp:lastModifiedBy>Gachet, Christelle</cp:lastModifiedBy>
  <cp:revision>6</cp:revision>
  <cp:lastPrinted>2005-02-10T15:54:00Z</cp:lastPrinted>
  <dcterms:created xsi:type="dcterms:W3CDTF">2023-02-20T14:18:00Z</dcterms:created>
  <dcterms:modified xsi:type="dcterms:W3CDTF">2023-02-20T14:30:00Z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20 February 2023</vt:lpwstr>
  </property>
</Properties>
</file>