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13EE" w:rsidRDefault="001C13EE" w:rsidP="001C13EE">
      <w:bookmarkStart w:id="0" w:name="_GoBack"/>
      <w:bookmarkEnd w:id="0"/>
    </w:p>
    <w:p w:rsidR="001C13EE" w:rsidRDefault="001C13EE" w:rsidP="001C13EE"/>
    <w:p w:rsidR="001C13EE" w:rsidRDefault="001C13EE" w:rsidP="001C13EE"/>
    <w:p w:rsidR="001C13EE" w:rsidRDefault="001C13EE" w:rsidP="001C13EE"/>
    <w:p w:rsidR="001C13EE" w:rsidRDefault="001C13EE" w:rsidP="001C13EE"/>
    <w:p w:rsidR="001C13EE" w:rsidRDefault="001C13EE" w:rsidP="001C13EE"/>
    <w:p w:rsidR="001C13EE" w:rsidRDefault="001C13EE" w:rsidP="001C13EE"/>
    <w:p w:rsidR="001C13EE" w:rsidRDefault="001C13EE" w:rsidP="001C13EE"/>
    <w:p w:rsidR="001C13EE" w:rsidRDefault="001C13EE" w:rsidP="001C13EE"/>
    <w:p w:rsidR="001C13EE" w:rsidRDefault="001C13EE" w:rsidP="001C13EE"/>
    <w:p w:rsidR="001C13EE" w:rsidRDefault="001C13EE" w:rsidP="001C13EE"/>
    <w:p w:rsidR="001C13EE" w:rsidRDefault="001C13EE" w:rsidP="001C13EE"/>
    <w:tbl>
      <w:tblPr>
        <w:tblW w:w="10089" w:type="dxa"/>
        <w:tblLook w:val="01E0" w:firstRow="1" w:lastRow="1" w:firstColumn="1" w:lastColumn="1" w:noHBand="0" w:noVBand="0"/>
      </w:tblPr>
      <w:tblGrid>
        <w:gridCol w:w="10089"/>
      </w:tblGrid>
      <w:tr w:rsidR="001C13EE" w:rsidTr="001C13EE">
        <w:tc>
          <w:tcPr>
            <w:tcW w:w="10089" w:type="dxa"/>
          </w:tcPr>
          <w:p w:rsidR="001C13EE" w:rsidRPr="001511A6" w:rsidRDefault="001C13EE" w:rsidP="001C13EE">
            <w:pPr>
              <w:spacing w:before="380" w:line="280" w:lineRule="exact"/>
              <w:jc w:val="right"/>
              <w:rPr>
                <w:rFonts w:ascii="Tahoma" w:hAnsi="Tahoma" w:cs="Tahoma"/>
                <w:b/>
                <w:bCs/>
                <w:iCs/>
                <w:color w:val="243285"/>
                <w:sz w:val="32"/>
                <w:szCs w:val="32"/>
                <w:lang w:val="en-US"/>
              </w:rPr>
            </w:pPr>
          </w:p>
          <w:p w:rsidR="001C13EE" w:rsidRPr="0081070A" w:rsidRDefault="001C13EE" w:rsidP="00D274CE">
            <w:pPr>
              <w:spacing w:before="380" w:line="280" w:lineRule="exact"/>
              <w:jc w:val="right"/>
              <w:rPr>
                <w:rFonts w:ascii="Tahoma" w:hAnsi="Tahoma" w:cs="Tahoma"/>
                <w:b/>
                <w:bCs/>
                <w:iCs/>
                <w:color w:val="243285"/>
                <w:sz w:val="36"/>
                <w:szCs w:val="36"/>
                <w:lang w:val="fr-CH"/>
              </w:rPr>
            </w:pPr>
            <w:r w:rsidRPr="0081070A">
              <w:rPr>
                <w:rFonts w:ascii="Tahoma" w:hAnsi="Tahoma" w:cs="Tahoma"/>
                <w:b/>
                <w:bCs/>
                <w:iCs/>
                <w:color w:val="243285"/>
                <w:sz w:val="36"/>
                <w:szCs w:val="36"/>
                <w:lang w:val="fr-CH"/>
              </w:rPr>
              <w:t>Recommendation  ITU-R  SA.</w:t>
            </w:r>
            <w:r w:rsidR="00D274CE">
              <w:rPr>
                <w:rFonts w:ascii="Tahoma" w:hAnsi="Tahoma" w:cs="Tahoma"/>
                <w:b/>
                <w:bCs/>
                <w:iCs/>
                <w:color w:val="243285"/>
                <w:sz w:val="36"/>
                <w:szCs w:val="36"/>
                <w:lang w:val="fr-CH"/>
              </w:rPr>
              <w:t>510-3</w:t>
            </w:r>
          </w:p>
          <w:p w:rsidR="001C13EE" w:rsidRPr="0081070A" w:rsidRDefault="001C13EE" w:rsidP="00D274CE">
            <w:pPr>
              <w:spacing w:before="80" w:line="280" w:lineRule="exact"/>
              <w:jc w:val="right"/>
              <w:rPr>
                <w:rFonts w:ascii="Tahoma" w:hAnsi="Tahoma" w:cs="Tahoma"/>
                <w:b/>
                <w:bCs/>
                <w:iCs/>
                <w:color w:val="243285"/>
                <w:szCs w:val="24"/>
                <w:lang w:val="fr-CH"/>
              </w:rPr>
            </w:pPr>
            <w:r w:rsidRPr="0081070A">
              <w:rPr>
                <w:rFonts w:ascii="Tahoma" w:hAnsi="Tahoma" w:cs="Tahoma"/>
                <w:b/>
                <w:bCs/>
                <w:iCs/>
                <w:color w:val="243285"/>
                <w:szCs w:val="24"/>
                <w:lang w:val="fr-CH"/>
              </w:rPr>
              <w:t>(</w:t>
            </w:r>
            <w:r w:rsidR="00D274CE">
              <w:rPr>
                <w:rFonts w:ascii="Tahoma" w:hAnsi="Tahoma" w:cs="Tahoma"/>
                <w:b/>
                <w:bCs/>
                <w:iCs/>
                <w:color w:val="243285"/>
                <w:szCs w:val="24"/>
                <w:lang w:val="fr-CH"/>
              </w:rPr>
              <w:t>07</w:t>
            </w:r>
            <w:r w:rsidRPr="00FB15D4">
              <w:rPr>
                <w:rFonts w:ascii="Tahoma" w:hAnsi="Tahoma" w:cs="Tahoma"/>
                <w:b/>
                <w:bCs/>
                <w:iCs/>
                <w:color w:val="243285"/>
                <w:szCs w:val="24"/>
                <w:lang w:val="fr-CH"/>
              </w:rPr>
              <w:t>/</w:t>
            </w:r>
            <w:r w:rsidR="00D274CE">
              <w:rPr>
                <w:rFonts w:ascii="Tahoma" w:hAnsi="Tahoma" w:cs="Tahoma"/>
                <w:b/>
                <w:bCs/>
                <w:iCs/>
                <w:color w:val="243285"/>
                <w:szCs w:val="24"/>
                <w:lang w:val="fr-CH"/>
              </w:rPr>
              <w:t>2017</w:t>
            </w:r>
            <w:r w:rsidRPr="0081070A">
              <w:rPr>
                <w:rFonts w:ascii="Tahoma" w:hAnsi="Tahoma" w:cs="Tahoma"/>
                <w:b/>
                <w:bCs/>
                <w:iCs/>
                <w:color w:val="243285"/>
                <w:szCs w:val="24"/>
                <w:lang w:val="fr-CH"/>
              </w:rPr>
              <w:t>)</w:t>
            </w:r>
          </w:p>
        </w:tc>
      </w:tr>
      <w:tr w:rsidR="001C13EE" w:rsidRPr="00D274CE" w:rsidTr="001C13EE">
        <w:tc>
          <w:tcPr>
            <w:tcW w:w="10089" w:type="dxa"/>
          </w:tcPr>
          <w:p w:rsidR="00D274CE" w:rsidRPr="00D274CE" w:rsidRDefault="00D274CE" w:rsidP="00D274CE">
            <w:pPr>
              <w:spacing w:before="80" w:line="500" w:lineRule="exact"/>
              <w:jc w:val="right"/>
              <w:rPr>
                <w:rFonts w:ascii="Tahoma" w:hAnsi="Tahoma" w:cs="Tahoma"/>
                <w:b/>
                <w:bCs/>
                <w:iCs/>
                <w:color w:val="243285"/>
                <w:sz w:val="44"/>
                <w:szCs w:val="44"/>
                <w:lang w:val="en-US"/>
              </w:rPr>
            </w:pPr>
            <w:r w:rsidRPr="00D274CE">
              <w:rPr>
                <w:rFonts w:ascii="Tahoma" w:hAnsi="Tahoma" w:cs="Tahoma"/>
                <w:b/>
                <w:bCs/>
                <w:iCs/>
                <w:color w:val="243285"/>
                <w:sz w:val="44"/>
                <w:szCs w:val="44"/>
                <w:lang w:val="en-US"/>
              </w:rPr>
              <w:t>Feasibility of frequency sharing bet</w:t>
            </w:r>
            <w:r>
              <w:rPr>
                <w:rFonts w:ascii="Tahoma" w:hAnsi="Tahoma" w:cs="Tahoma"/>
                <w:b/>
                <w:bCs/>
                <w:iCs/>
                <w:color w:val="243285"/>
                <w:sz w:val="44"/>
                <w:szCs w:val="44"/>
                <w:lang w:val="en-US"/>
              </w:rPr>
              <w:t xml:space="preserve">ween the space research service </w:t>
            </w:r>
            <w:r w:rsidRPr="00D274CE">
              <w:rPr>
                <w:rFonts w:ascii="Tahoma" w:hAnsi="Tahoma" w:cs="Tahoma"/>
                <w:b/>
                <w:bCs/>
                <w:iCs/>
                <w:color w:val="243285"/>
                <w:sz w:val="44"/>
                <w:szCs w:val="44"/>
                <w:lang w:val="en-US"/>
              </w:rPr>
              <w:t>and other services in bands near 14 and 15 GHz</w:t>
            </w:r>
          </w:p>
          <w:p w:rsidR="001C13EE" w:rsidRPr="00D274CE" w:rsidRDefault="00D274CE" w:rsidP="00D274CE">
            <w:pPr>
              <w:spacing w:before="80" w:line="500" w:lineRule="exact"/>
              <w:jc w:val="right"/>
              <w:rPr>
                <w:rFonts w:ascii="Tahoma" w:hAnsi="Tahoma" w:cs="Tahoma"/>
                <w:b/>
                <w:bCs/>
                <w:iCs/>
                <w:color w:val="243285"/>
                <w:sz w:val="44"/>
                <w:szCs w:val="44"/>
                <w:lang w:val="en-GB"/>
              </w:rPr>
            </w:pPr>
            <w:r w:rsidRPr="00D274CE">
              <w:rPr>
                <w:rFonts w:ascii="Tahoma" w:hAnsi="Tahoma" w:cs="Tahoma"/>
                <w:b/>
                <w:bCs/>
                <w:iCs/>
                <w:color w:val="243285"/>
                <w:sz w:val="44"/>
                <w:szCs w:val="44"/>
                <w:lang w:val="en-US"/>
              </w:rPr>
              <w:t>Potential interference from data relay satellite systems</w:t>
            </w:r>
          </w:p>
          <w:p w:rsidR="001C13EE" w:rsidRPr="00D274CE" w:rsidRDefault="001C13EE" w:rsidP="001C13EE">
            <w:pPr>
              <w:spacing w:before="80" w:line="500" w:lineRule="exact"/>
              <w:jc w:val="right"/>
              <w:rPr>
                <w:rFonts w:ascii="Tahoma" w:hAnsi="Tahoma" w:cs="Tahoma"/>
                <w:b/>
                <w:bCs/>
                <w:iCs/>
                <w:color w:val="243285"/>
                <w:sz w:val="40"/>
                <w:szCs w:val="40"/>
                <w:lang w:val="en-GB"/>
              </w:rPr>
            </w:pPr>
          </w:p>
        </w:tc>
      </w:tr>
      <w:tr w:rsidR="001C13EE" w:rsidTr="001C13EE">
        <w:tc>
          <w:tcPr>
            <w:tcW w:w="10089" w:type="dxa"/>
          </w:tcPr>
          <w:p w:rsidR="001C13EE" w:rsidRPr="00D274CE" w:rsidRDefault="001C13EE" w:rsidP="001C13EE">
            <w:pPr>
              <w:spacing w:before="80" w:line="280" w:lineRule="exact"/>
              <w:ind w:right="640"/>
              <w:rPr>
                <w:rFonts w:ascii="Tahoma" w:hAnsi="Tahoma" w:cs="Tahoma"/>
                <w:b/>
                <w:bCs/>
                <w:iCs/>
                <w:color w:val="243285"/>
                <w:sz w:val="32"/>
                <w:szCs w:val="32"/>
                <w:lang w:val="en-GB"/>
              </w:rPr>
            </w:pPr>
          </w:p>
          <w:p w:rsidR="001C13EE" w:rsidRPr="00D274CE" w:rsidRDefault="001C13EE" w:rsidP="001C13EE">
            <w:pPr>
              <w:spacing w:before="80" w:line="280" w:lineRule="exact"/>
              <w:ind w:right="640"/>
              <w:rPr>
                <w:rFonts w:ascii="Tahoma" w:hAnsi="Tahoma" w:cs="Tahoma"/>
                <w:b/>
                <w:bCs/>
                <w:iCs/>
                <w:color w:val="243285"/>
                <w:sz w:val="32"/>
                <w:szCs w:val="32"/>
                <w:lang w:val="en-GB"/>
              </w:rPr>
            </w:pPr>
          </w:p>
          <w:p w:rsidR="001C13EE" w:rsidRPr="00D274CE" w:rsidRDefault="001C13EE" w:rsidP="001C13EE">
            <w:pPr>
              <w:spacing w:before="80" w:after="180" w:line="360" w:lineRule="exact"/>
              <w:ind w:right="720"/>
              <w:rPr>
                <w:rFonts w:ascii="Tahoma" w:hAnsi="Tahoma" w:cs="Tahoma"/>
                <w:b/>
                <w:bCs/>
                <w:iCs/>
                <w:color w:val="243285"/>
                <w:sz w:val="36"/>
                <w:szCs w:val="36"/>
                <w:lang w:val="en-GB"/>
              </w:rPr>
            </w:pPr>
          </w:p>
          <w:p w:rsidR="001C13EE" w:rsidRPr="001511A6" w:rsidRDefault="001C13EE" w:rsidP="001C13EE">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SA</w:t>
            </w:r>
            <w:r w:rsidRPr="001511A6">
              <w:rPr>
                <w:rFonts w:ascii="Tahoma" w:hAnsi="Tahoma" w:cs="Tahoma"/>
                <w:b/>
                <w:bCs/>
                <w:iCs/>
                <w:color w:val="243285"/>
                <w:sz w:val="36"/>
                <w:szCs w:val="36"/>
                <w:lang w:val="en-US"/>
              </w:rPr>
              <w:t xml:space="preserve"> Series</w:t>
            </w:r>
          </w:p>
          <w:p w:rsidR="001C13EE" w:rsidRPr="001511A6" w:rsidRDefault="001C13EE" w:rsidP="001C13EE">
            <w:pPr>
              <w:spacing w:before="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Space applications and meteorology</w:t>
            </w:r>
          </w:p>
          <w:p w:rsidR="001C13EE" w:rsidRPr="001511A6" w:rsidRDefault="001C13EE" w:rsidP="001C13EE">
            <w:pPr>
              <w:spacing w:before="80" w:line="360" w:lineRule="exact"/>
              <w:jc w:val="right"/>
              <w:rPr>
                <w:rFonts w:ascii="Tahoma" w:hAnsi="Tahoma" w:cs="Tahoma"/>
                <w:b/>
                <w:bCs/>
                <w:iCs/>
                <w:color w:val="243285"/>
                <w:sz w:val="32"/>
                <w:szCs w:val="32"/>
                <w:lang w:val="en-US"/>
              </w:rPr>
            </w:pPr>
          </w:p>
        </w:tc>
      </w:tr>
    </w:tbl>
    <w:p w:rsidR="001C13EE" w:rsidRDefault="001C13EE" w:rsidP="001C13EE">
      <w:pPr>
        <w:spacing w:before="80"/>
        <w:rPr>
          <w:i/>
          <w:sz w:val="22"/>
          <w:lang w:val="en-US"/>
        </w:rPr>
      </w:pPr>
    </w:p>
    <w:p w:rsidR="001C13EE" w:rsidRDefault="001C13EE" w:rsidP="001C13EE">
      <w:pPr>
        <w:spacing w:before="80"/>
        <w:rPr>
          <w:i/>
          <w:sz w:val="22"/>
          <w:lang w:val="en-US"/>
        </w:rPr>
      </w:pPr>
    </w:p>
    <w:p w:rsidR="001C13EE" w:rsidRDefault="001C13EE" w:rsidP="001C13EE">
      <w:pPr>
        <w:spacing w:before="80"/>
        <w:rPr>
          <w:i/>
          <w:sz w:val="22"/>
          <w:lang w:val="en-US"/>
        </w:rPr>
      </w:pPr>
    </w:p>
    <w:p w:rsidR="001C13EE" w:rsidRDefault="001C13EE" w:rsidP="001C13EE">
      <w:pPr>
        <w:spacing w:before="80"/>
        <w:rPr>
          <w:i/>
          <w:sz w:val="22"/>
          <w:lang w:val="en-US"/>
        </w:rPr>
      </w:pPr>
    </w:p>
    <w:p w:rsidR="001C13EE" w:rsidRDefault="001C13EE" w:rsidP="001C13EE">
      <w:pPr>
        <w:spacing w:before="80"/>
        <w:rPr>
          <w:i/>
          <w:sz w:val="22"/>
          <w:lang w:val="en-US"/>
        </w:rPr>
      </w:pPr>
    </w:p>
    <w:p w:rsidR="001C13EE" w:rsidRDefault="001C13EE" w:rsidP="001C13EE">
      <w:pPr>
        <w:pStyle w:val="Equation"/>
        <w:tabs>
          <w:tab w:val="clear" w:pos="4820"/>
          <w:tab w:val="clear" w:pos="9639"/>
          <w:tab w:val="left" w:pos="1191"/>
          <w:tab w:val="left" w:pos="1588"/>
          <w:tab w:val="left" w:pos="1985"/>
        </w:tabs>
        <w:rPr>
          <w:rFonts w:ascii="Palatino Linotype" w:hAnsi="Palatino Linotype"/>
          <w:lang w:val="en-US"/>
        </w:rPr>
        <w:sectPr w:rsidR="001C13EE">
          <w:headerReference w:type="even" r:id="rId6"/>
          <w:headerReference w:type="default" r:id="rId7"/>
          <w:pgSz w:w="11907" w:h="16840" w:code="9"/>
          <w:pgMar w:top="1089" w:right="1089" w:bottom="284" w:left="1089" w:header="567" w:footer="284" w:gutter="0"/>
          <w:pgNumType w:start="1"/>
          <w:cols w:space="720"/>
        </w:sectPr>
      </w:pPr>
    </w:p>
    <w:p w:rsidR="001C13EE" w:rsidRPr="00586EF8" w:rsidRDefault="001C13EE" w:rsidP="001C13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1C13EE" w:rsidRDefault="001C13EE" w:rsidP="001C13EE">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1C13EE" w:rsidRDefault="001C13EE" w:rsidP="001C13EE">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1C13EE" w:rsidRPr="00B714F3" w:rsidRDefault="001C13EE" w:rsidP="001C13EE">
      <w:pPr>
        <w:pStyle w:val="Heading1"/>
        <w:spacing w:before="680"/>
        <w:jc w:val="center"/>
        <w:rPr>
          <w:szCs w:val="24"/>
          <w:lang w:val="en-US"/>
        </w:rPr>
      </w:pPr>
      <w:r w:rsidRPr="00B714F3">
        <w:rPr>
          <w:szCs w:val="24"/>
          <w:lang w:val="en-US"/>
        </w:rPr>
        <w:t>Policy on Intellectual Property Right (IPR)</w:t>
      </w:r>
    </w:p>
    <w:p w:rsidR="001C13EE" w:rsidRPr="00B714F3" w:rsidRDefault="001C13EE" w:rsidP="001C13EE">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sidRPr="00B714F3">
          <w:rPr>
            <w:rStyle w:val="Hyperlink"/>
            <w:sz w:val="20"/>
            <w:lang w:val="en-US"/>
          </w:rPr>
          <w:t>http://www.itu.int/ITU</w:t>
        </w:r>
        <w:r>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1C13EE" w:rsidRDefault="001C13EE" w:rsidP="001C13EE">
      <w:pPr>
        <w:jc w:val="center"/>
        <w:rPr>
          <w:sz w:val="22"/>
          <w:lang w:val="en-US"/>
        </w:rPr>
      </w:pPr>
    </w:p>
    <w:p w:rsidR="001C13EE" w:rsidRDefault="001C13EE" w:rsidP="001C13EE">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C13EE" w:rsidRPr="001C13EE" w:rsidTr="001C13EE">
        <w:tc>
          <w:tcPr>
            <w:tcW w:w="9360" w:type="dxa"/>
            <w:gridSpan w:val="2"/>
          </w:tcPr>
          <w:p w:rsidR="001C13EE" w:rsidRPr="00036EE3" w:rsidRDefault="001C13EE" w:rsidP="001C13EE">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1C13EE" w:rsidRPr="00036EE3" w:rsidRDefault="001C13EE" w:rsidP="001C13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sidRPr="00036EE3">
                <w:rPr>
                  <w:rStyle w:val="Hyperlink"/>
                  <w:b w:val="0"/>
                  <w:sz w:val="18"/>
                  <w:szCs w:val="18"/>
                  <w:lang w:val="en-US"/>
                </w:rPr>
                <w:t>http://www.itu.int/publ/R-REC/en</w:t>
              </w:r>
            </w:hyperlink>
            <w:r w:rsidRPr="00CE0A43">
              <w:rPr>
                <w:b w:val="0"/>
                <w:sz w:val="18"/>
                <w:szCs w:val="18"/>
                <w:lang w:val="en-US"/>
              </w:rPr>
              <w:t>)</w:t>
            </w:r>
          </w:p>
        </w:tc>
      </w:tr>
      <w:tr w:rsidR="001C13EE" w:rsidRPr="00036EE3" w:rsidTr="001C13EE">
        <w:tc>
          <w:tcPr>
            <w:tcW w:w="1140" w:type="dxa"/>
            <w:tcBorders>
              <w:bottom w:val="nil"/>
            </w:tcBorders>
          </w:tcPr>
          <w:p w:rsidR="001C13EE" w:rsidRPr="00036EE3" w:rsidRDefault="001C13EE" w:rsidP="001C13EE">
            <w:pPr>
              <w:spacing w:before="200" w:after="100"/>
              <w:ind w:left="57"/>
              <w:rPr>
                <w:b/>
                <w:bCs/>
                <w:sz w:val="20"/>
                <w:lang w:val="en-US"/>
              </w:rPr>
            </w:pPr>
            <w:r w:rsidRPr="00036EE3">
              <w:rPr>
                <w:b/>
                <w:bCs/>
                <w:sz w:val="20"/>
                <w:lang w:val="en-US"/>
              </w:rPr>
              <w:t>Series</w:t>
            </w:r>
          </w:p>
        </w:tc>
        <w:tc>
          <w:tcPr>
            <w:tcW w:w="8220" w:type="dxa"/>
            <w:tcBorders>
              <w:bottom w:val="nil"/>
            </w:tcBorders>
          </w:tcPr>
          <w:p w:rsidR="001C13EE" w:rsidRPr="00036EE3" w:rsidRDefault="001C13EE" w:rsidP="001C13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1C13EE" w:rsidRPr="00A4173A" w:rsidTr="001C13EE">
        <w:tc>
          <w:tcPr>
            <w:tcW w:w="1140" w:type="dxa"/>
            <w:tcBorders>
              <w:top w:val="nil"/>
              <w:bottom w:val="nil"/>
            </w:tcBorders>
            <w:shd w:val="clear" w:color="auto" w:fill="auto"/>
          </w:tcPr>
          <w:p w:rsidR="001C13EE" w:rsidRPr="00A4173A" w:rsidRDefault="001C13EE" w:rsidP="001C13EE">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rsidR="001C13EE" w:rsidRPr="00A4173A" w:rsidRDefault="001C13EE" w:rsidP="001C13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1C13EE" w:rsidRPr="001C13EE" w:rsidTr="001C13EE">
        <w:tc>
          <w:tcPr>
            <w:tcW w:w="1140" w:type="dxa"/>
            <w:tcBorders>
              <w:top w:val="nil"/>
            </w:tcBorders>
          </w:tcPr>
          <w:p w:rsidR="001C13EE" w:rsidRPr="00036EE3" w:rsidRDefault="001C13EE" w:rsidP="001C13EE">
            <w:pPr>
              <w:spacing w:before="30" w:after="30"/>
              <w:ind w:left="57"/>
              <w:jc w:val="left"/>
              <w:rPr>
                <w:b/>
                <w:bCs/>
                <w:sz w:val="20"/>
                <w:lang w:val="en-US"/>
              </w:rPr>
            </w:pPr>
            <w:r w:rsidRPr="00036EE3">
              <w:rPr>
                <w:b/>
                <w:bCs/>
                <w:sz w:val="20"/>
                <w:lang w:val="en-US"/>
              </w:rPr>
              <w:t>BR</w:t>
            </w:r>
          </w:p>
        </w:tc>
        <w:tc>
          <w:tcPr>
            <w:tcW w:w="8220" w:type="dxa"/>
            <w:tcBorders>
              <w:top w:val="nil"/>
            </w:tcBorders>
          </w:tcPr>
          <w:p w:rsidR="001C13EE" w:rsidRPr="00036EE3" w:rsidRDefault="001C13EE" w:rsidP="001C13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1C13EE" w:rsidRPr="00036EE3" w:rsidTr="001C13EE">
        <w:tc>
          <w:tcPr>
            <w:tcW w:w="1140" w:type="dxa"/>
          </w:tcPr>
          <w:p w:rsidR="001C13EE" w:rsidRPr="00036EE3" w:rsidRDefault="001C13EE" w:rsidP="001C13EE">
            <w:pPr>
              <w:spacing w:before="30" w:after="30"/>
              <w:ind w:left="57"/>
              <w:jc w:val="left"/>
              <w:rPr>
                <w:b/>
                <w:bCs/>
                <w:sz w:val="20"/>
                <w:lang w:val="en-US"/>
              </w:rPr>
            </w:pPr>
            <w:r w:rsidRPr="00036EE3">
              <w:rPr>
                <w:b/>
                <w:bCs/>
                <w:sz w:val="20"/>
                <w:lang w:val="en-US"/>
              </w:rPr>
              <w:t>BS</w:t>
            </w:r>
          </w:p>
        </w:tc>
        <w:tc>
          <w:tcPr>
            <w:tcW w:w="8220" w:type="dxa"/>
          </w:tcPr>
          <w:p w:rsidR="001C13EE" w:rsidRPr="00036EE3" w:rsidRDefault="001C13EE" w:rsidP="001C13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1C13EE" w:rsidRPr="00ED2695" w:rsidTr="001C13EE">
        <w:tc>
          <w:tcPr>
            <w:tcW w:w="1140" w:type="dxa"/>
            <w:shd w:val="clear" w:color="auto" w:fill="auto"/>
          </w:tcPr>
          <w:p w:rsidR="001C13EE" w:rsidRPr="00ED2695" w:rsidRDefault="001C13EE" w:rsidP="001C13EE">
            <w:pPr>
              <w:spacing w:before="30" w:after="30"/>
              <w:ind w:left="57"/>
              <w:jc w:val="left"/>
              <w:rPr>
                <w:b/>
                <w:bCs/>
                <w:sz w:val="20"/>
                <w:lang w:val="en-US"/>
              </w:rPr>
            </w:pPr>
            <w:r w:rsidRPr="00ED2695">
              <w:rPr>
                <w:b/>
                <w:bCs/>
                <w:sz w:val="20"/>
                <w:lang w:val="en-US"/>
              </w:rPr>
              <w:t>BT</w:t>
            </w:r>
          </w:p>
        </w:tc>
        <w:tc>
          <w:tcPr>
            <w:tcW w:w="8220" w:type="dxa"/>
            <w:shd w:val="clear" w:color="auto" w:fill="auto"/>
          </w:tcPr>
          <w:p w:rsidR="001C13EE" w:rsidRPr="00ED2695" w:rsidRDefault="001C13EE" w:rsidP="001C13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1C13EE" w:rsidRPr="00036EE3" w:rsidTr="001C13EE">
        <w:tc>
          <w:tcPr>
            <w:tcW w:w="1140" w:type="dxa"/>
            <w:shd w:val="clear" w:color="auto" w:fill="auto"/>
          </w:tcPr>
          <w:p w:rsidR="001C13EE" w:rsidRPr="00036EE3" w:rsidRDefault="001C13EE" w:rsidP="001C13EE">
            <w:pPr>
              <w:spacing w:before="30" w:after="30"/>
              <w:ind w:left="57"/>
              <w:jc w:val="left"/>
              <w:rPr>
                <w:b/>
                <w:bCs/>
                <w:sz w:val="20"/>
                <w:lang w:val="fr-CH"/>
              </w:rPr>
            </w:pPr>
            <w:r w:rsidRPr="00036EE3">
              <w:rPr>
                <w:b/>
                <w:bCs/>
                <w:sz w:val="20"/>
                <w:lang w:val="fr-CH"/>
              </w:rPr>
              <w:t>F</w:t>
            </w:r>
          </w:p>
        </w:tc>
        <w:tc>
          <w:tcPr>
            <w:tcW w:w="8220" w:type="dxa"/>
            <w:shd w:val="clear" w:color="auto" w:fill="auto"/>
          </w:tcPr>
          <w:p w:rsidR="001C13EE" w:rsidRPr="00036EE3" w:rsidRDefault="001C13EE" w:rsidP="001C13E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1C13EE" w:rsidRPr="00036EE3" w:rsidTr="001C13EE">
        <w:tc>
          <w:tcPr>
            <w:tcW w:w="1140" w:type="dxa"/>
            <w:shd w:val="clear" w:color="auto" w:fill="auto"/>
          </w:tcPr>
          <w:p w:rsidR="001C13EE" w:rsidRPr="00906589" w:rsidRDefault="001C13EE" w:rsidP="001C13EE">
            <w:pPr>
              <w:spacing w:before="30" w:after="30"/>
              <w:ind w:left="57"/>
              <w:jc w:val="left"/>
              <w:rPr>
                <w:b/>
                <w:bCs/>
                <w:sz w:val="20"/>
                <w:lang w:val="en-US"/>
              </w:rPr>
            </w:pPr>
            <w:r w:rsidRPr="00906589">
              <w:rPr>
                <w:b/>
                <w:bCs/>
                <w:sz w:val="20"/>
                <w:lang w:val="en-US"/>
              </w:rPr>
              <w:t>M</w:t>
            </w:r>
          </w:p>
        </w:tc>
        <w:tc>
          <w:tcPr>
            <w:tcW w:w="8220" w:type="dxa"/>
            <w:shd w:val="clear" w:color="auto" w:fill="auto"/>
          </w:tcPr>
          <w:p w:rsidR="001C13EE" w:rsidRPr="00906589" w:rsidRDefault="001C13EE" w:rsidP="001C13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1C13EE" w:rsidRPr="00036EE3" w:rsidTr="001C13EE">
        <w:tc>
          <w:tcPr>
            <w:tcW w:w="1140" w:type="dxa"/>
          </w:tcPr>
          <w:p w:rsidR="001C13EE" w:rsidRPr="00036EE3" w:rsidRDefault="001C13EE" w:rsidP="001C13EE">
            <w:pPr>
              <w:spacing w:before="30" w:after="30"/>
              <w:ind w:left="57"/>
              <w:jc w:val="left"/>
              <w:rPr>
                <w:b/>
                <w:bCs/>
                <w:sz w:val="20"/>
                <w:lang w:val="fr-CH"/>
              </w:rPr>
            </w:pPr>
            <w:r w:rsidRPr="00036EE3">
              <w:rPr>
                <w:b/>
                <w:bCs/>
                <w:sz w:val="20"/>
                <w:lang w:val="fr-CH"/>
              </w:rPr>
              <w:t>P</w:t>
            </w:r>
          </w:p>
        </w:tc>
        <w:tc>
          <w:tcPr>
            <w:tcW w:w="8220" w:type="dxa"/>
          </w:tcPr>
          <w:p w:rsidR="001C13EE" w:rsidRPr="00036EE3" w:rsidRDefault="001C13EE" w:rsidP="001C13EE">
            <w:pPr>
              <w:spacing w:before="30" w:after="30"/>
              <w:jc w:val="left"/>
              <w:rPr>
                <w:sz w:val="20"/>
                <w:lang w:val="fr-CH"/>
              </w:rPr>
            </w:pPr>
            <w:r w:rsidRPr="00036EE3">
              <w:rPr>
                <w:sz w:val="20"/>
                <w:lang w:val="fr-CH"/>
              </w:rPr>
              <w:t>Radiowave propagation</w:t>
            </w:r>
          </w:p>
        </w:tc>
      </w:tr>
      <w:tr w:rsidR="001C13EE" w:rsidRPr="00036EE3" w:rsidTr="001C13EE">
        <w:tc>
          <w:tcPr>
            <w:tcW w:w="1140" w:type="dxa"/>
          </w:tcPr>
          <w:p w:rsidR="001C13EE" w:rsidRPr="00036EE3" w:rsidRDefault="001C13EE" w:rsidP="001C13EE">
            <w:pPr>
              <w:spacing w:before="30" w:after="30"/>
              <w:ind w:left="57"/>
              <w:jc w:val="left"/>
              <w:rPr>
                <w:b/>
                <w:bCs/>
                <w:sz w:val="20"/>
                <w:lang w:val="en-US"/>
              </w:rPr>
            </w:pPr>
            <w:r w:rsidRPr="00036EE3">
              <w:rPr>
                <w:b/>
                <w:bCs/>
                <w:sz w:val="20"/>
                <w:lang w:val="en-US"/>
              </w:rPr>
              <w:t>RA</w:t>
            </w:r>
          </w:p>
        </w:tc>
        <w:tc>
          <w:tcPr>
            <w:tcW w:w="8220" w:type="dxa"/>
          </w:tcPr>
          <w:p w:rsidR="001C13EE" w:rsidRPr="00036EE3" w:rsidRDefault="001C13EE" w:rsidP="001C13E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1C13EE" w:rsidRPr="00036EE3" w:rsidTr="001C13EE">
        <w:tc>
          <w:tcPr>
            <w:tcW w:w="1140" w:type="dxa"/>
          </w:tcPr>
          <w:p w:rsidR="001C13EE" w:rsidRPr="00036EE3" w:rsidRDefault="001C13EE" w:rsidP="001C13EE">
            <w:pPr>
              <w:spacing w:before="30" w:after="30"/>
              <w:ind w:left="57"/>
              <w:jc w:val="left"/>
              <w:rPr>
                <w:b/>
                <w:bCs/>
                <w:sz w:val="20"/>
                <w:lang w:val="en-US"/>
              </w:rPr>
            </w:pPr>
            <w:r w:rsidRPr="00036EE3">
              <w:rPr>
                <w:b/>
                <w:bCs/>
                <w:sz w:val="20"/>
                <w:lang w:val="en-US"/>
              </w:rPr>
              <w:t>RS</w:t>
            </w:r>
          </w:p>
        </w:tc>
        <w:tc>
          <w:tcPr>
            <w:tcW w:w="8220" w:type="dxa"/>
          </w:tcPr>
          <w:p w:rsidR="001C13EE" w:rsidRPr="00036EE3" w:rsidRDefault="001C13EE" w:rsidP="001C13E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1C13EE" w:rsidRPr="00036EE3" w:rsidTr="001C13EE">
        <w:tc>
          <w:tcPr>
            <w:tcW w:w="1140" w:type="dxa"/>
            <w:tcBorders>
              <w:bottom w:val="nil"/>
            </w:tcBorders>
          </w:tcPr>
          <w:p w:rsidR="001C13EE" w:rsidRPr="00036EE3" w:rsidRDefault="001C13EE" w:rsidP="001C13EE">
            <w:pPr>
              <w:spacing w:before="30" w:after="30"/>
              <w:ind w:left="57"/>
              <w:jc w:val="left"/>
              <w:rPr>
                <w:b/>
                <w:bCs/>
                <w:sz w:val="20"/>
                <w:lang w:val="en-US"/>
              </w:rPr>
            </w:pPr>
            <w:r w:rsidRPr="00036EE3">
              <w:rPr>
                <w:b/>
                <w:bCs/>
                <w:sz w:val="20"/>
                <w:lang w:val="en-US"/>
              </w:rPr>
              <w:t>S</w:t>
            </w:r>
          </w:p>
        </w:tc>
        <w:tc>
          <w:tcPr>
            <w:tcW w:w="8220" w:type="dxa"/>
            <w:tcBorders>
              <w:bottom w:val="nil"/>
            </w:tcBorders>
          </w:tcPr>
          <w:p w:rsidR="001C13EE" w:rsidRPr="00036EE3" w:rsidRDefault="001C13EE" w:rsidP="001C13EE">
            <w:pPr>
              <w:spacing w:before="30" w:after="30"/>
              <w:jc w:val="left"/>
              <w:rPr>
                <w:sz w:val="20"/>
                <w:lang w:val="en-US"/>
              </w:rPr>
            </w:pPr>
            <w:r w:rsidRPr="00036EE3">
              <w:rPr>
                <w:sz w:val="20"/>
                <w:lang w:val="en-US"/>
              </w:rPr>
              <w:t>Fixed-satellite service</w:t>
            </w:r>
          </w:p>
        </w:tc>
      </w:tr>
      <w:tr w:rsidR="001C13EE" w:rsidRPr="00A4173A" w:rsidTr="001C13EE">
        <w:tc>
          <w:tcPr>
            <w:tcW w:w="1140" w:type="dxa"/>
            <w:tcBorders>
              <w:top w:val="nil"/>
              <w:bottom w:val="nil"/>
            </w:tcBorders>
            <w:shd w:val="clear" w:color="auto" w:fill="F3F3F3"/>
          </w:tcPr>
          <w:p w:rsidR="001C13EE" w:rsidRPr="00A4173A" w:rsidRDefault="001C13EE" w:rsidP="001C13EE">
            <w:pPr>
              <w:spacing w:before="30" w:after="30"/>
              <w:ind w:left="57"/>
              <w:jc w:val="left"/>
              <w:rPr>
                <w:b/>
                <w:bCs/>
                <w:color w:val="000080"/>
                <w:sz w:val="20"/>
                <w:lang w:val="en-US"/>
              </w:rPr>
            </w:pPr>
            <w:r w:rsidRPr="00A4173A">
              <w:rPr>
                <w:b/>
                <w:bCs/>
                <w:color w:val="000080"/>
                <w:sz w:val="20"/>
                <w:lang w:val="en-US"/>
              </w:rPr>
              <w:t>SA</w:t>
            </w:r>
          </w:p>
        </w:tc>
        <w:tc>
          <w:tcPr>
            <w:tcW w:w="8220" w:type="dxa"/>
            <w:tcBorders>
              <w:top w:val="nil"/>
              <w:bottom w:val="nil"/>
            </w:tcBorders>
            <w:shd w:val="clear" w:color="auto" w:fill="F3F3F3"/>
          </w:tcPr>
          <w:p w:rsidR="001C13EE" w:rsidRPr="00A4173A" w:rsidRDefault="001C13EE" w:rsidP="001C13EE">
            <w:pPr>
              <w:spacing w:before="30" w:after="30"/>
              <w:jc w:val="left"/>
              <w:rPr>
                <w:b/>
                <w:bCs/>
                <w:color w:val="000080"/>
                <w:sz w:val="20"/>
                <w:lang w:val="en-US"/>
              </w:rPr>
            </w:pPr>
            <w:r w:rsidRPr="00A4173A">
              <w:rPr>
                <w:b/>
                <w:bCs/>
                <w:color w:val="000080"/>
                <w:sz w:val="20"/>
                <w:lang w:val="en-US"/>
              </w:rPr>
              <w:t>Space applications and meteorology</w:t>
            </w:r>
          </w:p>
        </w:tc>
      </w:tr>
      <w:tr w:rsidR="001C13EE" w:rsidRPr="001C13EE" w:rsidTr="001C13EE">
        <w:tc>
          <w:tcPr>
            <w:tcW w:w="1140" w:type="dxa"/>
            <w:tcBorders>
              <w:top w:val="nil"/>
              <w:bottom w:val="nil"/>
            </w:tcBorders>
          </w:tcPr>
          <w:p w:rsidR="001C13EE" w:rsidRPr="00036EE3" w:rsidRDefault="001C13EE" w:rsidP="001C13EE">
            <w:pPr>
              <w:spacing w:before="30" w:after="30"/>
              <w:ind w:left="57"/>
              <w:jc w:val="left"/>
              <w:rPr>
                <w:b/>
                <w:bCs/>
                <w:sz w:val="20"/>
                <w:lang w:val="en-US"/>
              </w:rPr>
            </w:pPr>
            <w:r w:rsidRPr="00036EE3">
              <w:rPr>
                <w:b/>
                <w:bCs/>
                <w:sz w:val="20"/>
                <w:lang w:val="en-US"/>
              </w:rPr>
              <w:t>SF</w:t>
            </w:r>
          </w:p>
        </w:tc>
        <w:tc>
          <w:tcPr>
            <w:tcW w:w="8220" w:type="dxa"/>
            <w:tcBorders>
              <w:top w:val="nil"/>
              <w:bottom w:val="nil"/>
            </w:tcBorders>
          </w:tcPr>
          <w:p w:rsidR="001C13EE" w:rsidRPr="00036EE3" w:rsidRDefault="001C13EE" w:rsidP="001C13EE">
            <w:pPr>
              <w:spacing w:before="30" w:after="30"/>
              <w:jc w:val="left"/>
              <w:rPr>
                <w:sz w:val="20"/>
                <w:lang w:val="en-US"/>
              </w:rPr>
            </w:pPr>
            <w:r w:rsidRPr="00036EE3">
              <w:rPr>
                <w:sz w:val="20"/>
                <w:lang w:val="en-US"/>
              </w:rPr>
              <w:t>Frequency sharing and coordination between fixed-satellite and fixed service systems</w:t>
            </w:r>
          </w:p>
        </w:tc>
      </w:tr>
      <w:tr w:rsidR="001C13EE" w:rsidRPr="00036EE3" w:rsidTr="001C13EE">
        <w:tc>
          <w:tcPr>
            <w:tcW w:w="1140" w:type="dxa"/>
            <w:tcBorders>
              <w:top w:val="nil"/>
              <w:bottom w:val="nil"/>
            </w:tcBorders>
            <w:shd w:val="clear" w:color="auto" w:fill="auto"/>
          </w:tcPr>
          <w:p w:rsidR="001C13EE" w:rsidRPr="001B164E" w:rsidRDefault="001C13EE" w:rsidP="001C13EE">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rsidR="001C13EE" w:rsidRPr="001B164E" w:rsidRDefault="001C13EE" w:rsidP="001C13EE">
            <w:pPr>
              <w:spacing w:before="30" w:after="30"/>
              <w:jc w:val="left"/>
              <w:rPr>
                <w:rFonts w:hAnsi="Times New Roman Bold"/>
                <w:sz w:val="20"/>
                <w:lang w:val="en-US"/>
              </w:rPr>
            </w:pPr>
            <w:r w:rsidRPr="001B164E">
              <w:rPr>
                <w:rFonts w:hAnsi="Times New Roman Bold"/>
                <w:sz w:val="20"/>
                <w:lang w:val="en-US"/>
              </w:rPr>
              <w:t>Spectrum management</w:t>
            </w:r>
          </w:p>
        </w:tc>
      </w:tr>
      <w:tr w:rsidR="001C13EE" w:rsidRPr="00036EE3" w:rsidTr="001C13EE">
        <w:tc>
          <w:tcPr>
            <w:tcW w:w="1140" w:type="dxa"/>
            <w:tcBorders>
              <w:top w:val="nil"/>
            </w:tcBorders>
          </w:tcPr>
          <w:p w:rsidR="001C13EE" w:rsidRPr="00036EE3" w:rsidRDefault="001C13EE" w:rsidP="001C13EE">
            <w:pPr>
              <w:spacing w:before="30" w:after="30"/>
              <w:ind w:left="57"/>
              <w:jc w:val="left"/>
              <w:rPr>
                <w:b/>
                <w:bCs/>
                <w:sz w:val="20"/>
                <w:lang w:val="en-US"/>
              </w:rPr>
            </w:pPr>
            <w:r w:rsidRPr="00036EE3">
              <w:rPr>
                <w:b/>
                <w:bCs/>
                <w:sz w:val="20"/>
                <w:lang w:val="en-US"/>
              </w:rPr>
              <w:t>SNG</w:t>
            </w:r>
          </w:p>
        </w:tc>
        <w:tc>
          <w:tcPr>
            <w:tcW w:w="8220" w:type="dxa"/>
            <w:tcBorders>
              <w:top w:val="nil"/>
            </w:tcBorders>
          </w:tcPr>
          <w:p w:rsidR="001C13EE" w:rsidRPr="00036EE3" w:rsidRDefault="001C13EE" w:rsidP="001C13EE">
            <w:pPr>
              <w:spacing w:before="30" w:after="30"/>
              <w:jc w:val="left"/>
              <w:rPr>
                <w:sz w:val="20"/>
                <w:lang w:val="en-US"/>
              </w:rPr>
            </w:pPr>
            <w:r w:rsidRPr="00036EE3">
              <w:rPr>
                <w:sz w:val="20"/>
                <w:lang w:val="en-US"/>
              </w:rPr>
              <w:t>Satellite news gathering</w:t>
            </w:r>
          </w:p>
        </w:tc>
      </w:tr>
      <w:tr w:rsidR="001C13EE" w:rsidRPr="001C13EE" w:rsidTr="001C13EE">
        <w:tc>
          <w:tcPr>
            <w:tcW w:w="1140" w:type="dxa"/>
          </w:tcPr>
          <w:p w:rsidR="001C13EE" w:rsidRPr="00036EE3" w:rsidRDefault="001C13EE" w:rsidP="001C13EE">
            <w:pPr>
              <w:spacing w:before="30" w:after="30"/>
              <w:ind w:left="57"/>
              <w:jc w:val="left"/>
              <w:rPr>
                <w:b/>
                <w:bCs/>
                <w:sz w:val="20"/>
                <w:lang w:val="en-US"/>
              </w:rPr>
            </w:pPr>
            <w:r w:rsidRPr="00036EE3">
              <w:rPr>
                <w:b/>
                <w:bCs/>
                <w:sz w:val="20"/>
                <w:lang w:val="en-US"/>
              </w:rPr>
              <w:t>TF</w:t>
            </w:r>
          </w:p>
        </w:tc>
        <w:tc>
          <w:tcPr>
            <w:tcW w:w="8220" w:type="dxa"/>
          </w:tcPr>
          <w:p w:rsidR="001C13EE" w:rsidRPr="00036EE3" w:rsidRDefault="001C13EE" w:rsidP="001C13EE">
            <w:pPr>
              <w:spacing w:before="30" w:after="30"/>
              <w:jc w:val="left"/>
              <w:rPr>
                <w:sz w:val="20"/>
                <w:lang w:val="en-US"/>
              </w:rPr>
            </w:pPr>
            <w:r w:rsidRPr="00036EE3">
              <w:rPr>
                <w:sz w:val="20"/>
                <w:lang w:val="en-US"/>
              </w:rPr>
              <w:t>Time signals and frequency standards emissions</w:t>
            </w:r>
          </w:p>
        </w:tc>
      </w:tr>
      <w:tr w:rsidR="001C13EE" w:rsidRPr="00036EE3" w:rsidTr="001C13EE">
        <w:tc>
          <w:tcPr>
            <w:tcW w:w="1140" w:type="dxa"/>
          </w:tcPr>
          <w:p w:rsidR="001C13EE" w:rsidRPr="00036EE3" w:rsidRDefault="001C13EE" w:rsidP="001C13EE">
            <w:pPr>
              <w:spacing w:before="30" w:after="30"/>
              <w:ind w:left="57"/>
              <w:jc w:val="left"/>
              <w:rPr>
                <w:b/>
                <w:bCs/>
                <w:sz w:val="20"/>
                <w:lang w:val="en-US"/>
              </w:rPr>
            </w:pPr>
            <w:r w:rsidRPr="00036EE3">
              <w:rPr>
                <w:b/>
                <w:bCs/>
                <w:sz w:val="20"/>
                <w:lang w:val="en-US"/>
              </w:rPr>
              <w:t>V</w:t>
            </w:r>
          </w:p>
        </w:tc>
        <w:tc>
          <w:tcPr>
            <w:tcW w:w="8220" w:type="dxa"/>
          </w:tcPr>
          <w:p w:rsidR="001C13EE" w:rsidRPr="00036EE3" w:rsidRDefault="001C13EE" w:rsidP="001C13EE">
            <w:pPr>
              <w:spacing w:before="30" w:after="180"/>
              <w:jc w:val="left"/>
              <w:rPr>
                <w:sz w:val="20"/>
                <w:lang w:val="en-US"/>
              </w:rPr>
            </w:pPr>
            <w:r w:rsidRPr="00036EE3">
              <w:rPr>
                <w:sz w:val="20"/>
                <w:lang w:val="en-US"/>
              </w:rPr>
              <w:t>Vocabulary and related subjects</w:t>
            </w:r>
          </w:p>
        </w:tc>
      </w:tr>
    </w:tbl>
    <w:p w:rsidR="001C13EE" w:rsidRPr="00036EE3" w:rsidRDefault="001C13EE" w:rsidP="001C13EE">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1C13EE" w:rsidTr="001C13EE">
        <w:tc>
          <w:tcPr>
            <w:tcW w:w="720" w:type="dxa"/>
          </w:tcPr>
          <w:p w:rsidR="001C13EE" w:rsidRDefault="001C13EE" w:rsidP="001C13EE">
            <w:pPr>
              <w:jc w:val="center"/>
              <w:rPr>
                <w:sz w:val="22"/>
                <w:lang w:val="en-US"/>
              </w:rPr>
            </w:pPr>
          </w:p>
        </w:tc>
      </w:tr>
    </w:tbl>
    <w:p w:rsidR="001C13EE" w:rsidRPr="00036EE3" w:rsidRDefault="001C13EE" w:rsidP="001C13EE">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C13EE" w:rsidRPr="001C13EE" w:rsidTr="001C13EE">
        <w:tc>
          <w:tcPr>
            <w:tcW w:w="9360" w:type="dxa"/>
          </w:tcPr>
          <w:p w:rsidR="001C13EE" w:rsidRPr="002F5199" w:rsidRDefault="001C13EE" w:rsidP="001C13EE">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1C13EE" w:rsidRDefault="001C13EE" w:rsidP="001C13EE">
      <w:pPr>
        <w:spacing w:before="0"/>
        <w:jc w:val="center"/>
        <w:rPr>
          <w:sz w:val="22"/>
          <w:lang w:val="en-US"/>
        </w:rPr>
      </w:pPr>
    </w:p>
    <w:p w:rsidR="001C13EE" w:rsidRDefault="001C13EE" w:rsidP="001C13EE">
      <w:pPr>
        <w:spacing w:before="0"/>
        <w:jc w:val="center"/>
        <w:rPr>
          <w:sz w:val="22"/>
          <w:lang w:val="en-US"/>
        </w:rPr>
      </w:pPr>
    </w:p>
    <w:p w:rsidR="001C13EE" w:rsidRPr="002F5199" w:rsidRDefault="001C13EE" w:rsidP="001C13EE">
      <w:pPr>
        <w:spacing w:before="0"/>
        <w:jc w:val="right"/>
        <w:rPr>
          <w:i/>
          <w:iCs/>
          <w:sz w:val="20"/>
          <w:lang w:val="en-US"/>
        </w:rPr>
      </w:pPr>
      <w:r w:rsidRPr="002F5199">
        <w:rPr>
          <w:i/>
          <w:iCs/>
          <w:sz w:val="20"/>
          <w:lang w:val="en-US"/>
        </w:rPr>
        <w:t>Electronic Publication</w:t>
      </w:r>
    </w:p>
    <w:p w:rsidR="001C13EE" w:rsidRPr="002F5199" w:rsidRDefault="001C13EE" w:rsidP="001C13EE">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17</w:t>
      </w:r>
    </w:p>
    <w:p w:rsidR="001C13EE" w:rsidRDefault="001C13EE" w:rsidP="001C13EE">
      <w:pPr>
        <w:jc w:val="center"/>
        <w:rPr>
          <w:sz w:val="22"/>
          <w:lang w:val="en-US"/>
        </w:rPr>
      </w:pPr>
    </w:p>
    <w:p w:rsidR="001C13EE" w:rsidRPr="00470E28" w:rsidRDefault="001C13EE" w:rsidP="001C13EE">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17</w:t>
      </w:r>
    </w:p>
    <w:p w:rsidR="001C13EE" w:rsidRPr="00470E28" w:rsidRDefault="001C13EE" w:rsidP="001C13EE">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1C13EE" w:rsidRDefault="001C13EE" w:rsidP="001C13EE">
      <w:pPr>
        <w:spacing w:before="160"/>
        <w:rPr>
          <w:i/>
          <w:sz w:val="20"/>
          <w:lang w:val="en-US"/>
        </w:rPr>
        <w:sectPr w:rsidR="001C13EE" w:rsidSect="00B52842">
          <w:headerReference w:type="even" r:id="rId10"/>
          <w:headerReference w:type="default" r:id="rId11"/>
          <w:pgSz w:w="11907" w:h="16834" w:code="9"/>
          <w:pgMar w:top="1418" w:right="1077" w:bottom="1134" w:left="1077" w:header="720" w:footer="482" w:gutter="0"/>
          <w:paperSrc w:first="15" w:other="15"/>
          <w:pgNumType w:fmt="lowerRoman" w:start="2"/>
          <w:cols w:space="720"/>
        </w:sectPr>
      </w:pPr>
    </w:p>
    <w:p w:rsidR="001C13EE" w:rsidRPr="00D274CE" w:rsidRDefault="001C13EE" w:rsidP="00D274CE">
      <w:pPr>
        <w:pStyle w:val="RecNo"/>
        <w:rPr>
          <w:rFonts w:asciiTheme="majorBidi" w:hAnsiTheme="majorBidi" w:cstheme="majorBidi"/>
          <w:b/>
          <w:lang w:val="en-GB"/>
        </w:rPr>
      </w:pPr>
      <w:bookmarkStart w:id="3" w:name="irecnoe"/>
      <w:bookmarkEnd w:id="3"/>
      <w:r w:rsidRPr="00D274CE">
        <w:rPr>
          <w:lang w:val="en-GB"/>
        </w:rPr>
        <w:lastRenderedPageBreak/>
        <w:t xml:space="preserve">RECOMMENDATION  </w:t>
      </w:r>
      <w:r w:rsidRPr="00D274CE">
        <w:rPr>
          <w:rStyle w:val="href"/>
          <w:lang w:val="en-GB"/>
        </w:rPr>
        <w:t>ITU-R  SA.</w:t>
      </w:r>
      <w:r w:rsidR="00D274CE" w:rsidRPr="00D274CE">
        <w:rPr>
          <w:rStyle w:val="href"/>
          <w:lang w:val="en-GB"/>
        </w:rPr>
        <w:t>5</w:t>
      </w:r>
      <w:r w:rsidR="00D274CE">
        <w:rPr>
          <w:rStyle w:val="href"/>
          <w:lang w:val="en-GB"/>
        </w:rPr>
        <w:t>10-3</w:t>
      </w:r>
    </w:p>
    <w:p w:rsidR="00D274CE" w:rsidRPr="006B349A" w:rsidRDefault="00D274CE" w:rsidP="00D274CE">
      <w:pPr>
        <w:pStyle w:val="Rectitle"/>
        <w:rPr>
          <w:lang w:val="en-US"/>
        </w:rPr>
      </w:pPr>
      <w:r w:rsidRPr="006B349A">
        <w:rPr>
          <w:lang w:val="en-US"/>
        </w:rPr>
        <w:t>Feasibility of frequency sharing between the space research service</w:t>
      </w:r>
      <w:r w:rsidRPr="006B349A">
        <w:rPr>
          <w:lang w:val="en-US"/>
        </w:rPr>
        <w:br/>
        <w:t>and other services in bands near 14 and 15 GHz</w:t>
      </w:r>
    </w:p>
    <w:p w:rsidR="00D274CE" w:rsidRPr="006B349A" w:rsidRDefault="00D274CE" w:rsidP="00D274CE">
      <w:pPr>
        <w:pStyle w:val="Rectitle"/>
        <w:rPr>
          <w:lang w:val="en-US"/>
        </w:rPr>
      </w:pPr>
      <w:r w:rsidRPr="006B349A">
        <w:rPr>
          <w:lang w:val="en-US"/>
        </w:rPr>
        <w:t>Potential interference from data relay satellite systems</w:t>
      </w:r>
    </w:p>
    <w:p w:rsidR="00D274CE" w:rsidRPr="00E165A1" w:rsidRDefault="00D274CE" w:rsidP="00D274CE">
      <w:pPr>
        <w:pStyle w:val="Recref"/>
        <w:rPr>
          <w:lang w:val="en-US"/>
        </w:rPr>
      </w:pPr>
      <w:r w:rsidRPr="00E165A1">
        <w:rPr>
          <w:lang w:val="en-US"/>
        </w:rPr>
        <w:t>(Question ITU-R 118/7)</w:t>
      </w:r>
    </w:p>
    <w:p w:rsidR="00D274CE" w:rsidRPr="00E165A1" w:rsidRDefault="00D274CE" w:rsidP="00D274CE">
      <w:pPr>
        <w:pStyle w:val="Recdate"/>
        <w:rPr>
          <w:lang w:val="en-US"/>
        </w:rPr>
      </w:pPr>
      <w:r w:rsidRPr="00E165A1">
        <w:rPr>
          <w:lang w:val="en-US"/>
        </w:rPr>
        <w:t>(1978-1982-1997</w:t>
      </w:r>
      <w:r>
        <w:rPr>
          <w:lang w:val="en-US"/>
        </w:rPr>
        <w:t>-2017</w:t>
      </w:r>
      <w:r w:rsidRPr="00E165A1">
        <w:rPr>
          <w:lang w:val="en-US"/>
        </w:rPr>
        <w:t>)</w:t>
      </w:r>
    </w:p>
    <w:p w:rsidR="00D274CE" w:rsidRPr="00E165A1" w:rsidRDefault="00D274CE" w:rsidP="00436A4B">
      <w:pPr>
        <w:pStyle w:val="HeadingSum"/>
      </w:pPr>
      <w:r w:rsidRPr="00E165A1">
        <w:t>Scope</w:t>
      </w:r>
    </w:p>
    <w:p w:rsidR="00D274CE" w:rsidRPr="00980154" w:rsidRDefault="00D274CE" w:rsidP="00436A4B">
      <w:pPr>
        <w:pStyle w:val="Summary"/>
      </w:pPr>
      <w:r w:rsidRPr="00980154">
        <w:t xml:space="preserve">This Recommendation provides conditions for the feasibility of frequency sharing, on a non-interference basis, between transmitters in the space research service and receivers of </w:t>
      </w:r>
      <w:r w:rsidRPr="00540083">
        <w:t>other</w:t>
      </w:r>
      <w:r>
        <w:t xml:space="preserve"> </w:t>
      </w:r>
      <w:r w:rsidRPr="00980154">
        <w:t>service</w:t>
      </w:r>
      <w:r w:rsidRPr="00540083">
        <w:t>s</w:t>
      </w:r>
      <w:r w:rsidRPr="00980154">
        <w:t xml:space="preserve"> near 14 and 15 GHz. </w:t>
      </w:r>
    </w:p>
    <w:p w:rsidR="00D274CE" w:rsidRPr="006B349A" w:rsidRDefault="00D274CE" w:rsidP="00D274CE">
      <w:pPr>
        <w:pStyle w:val="Headingb"/>
        <w:rPr>
          <w:lang w:val="en-US"/>
        </w:rPr>
      </w:pPr>
      <w:r w:rsidRPr="006B349A">
        <w:rPr>
          <w:lang w:val="en-US"/>
        </w:rPr>
        <w:t>Keywords</w:t>
      </w:r>
    </w:p>
    <w:p w:rsidR="00D274CE" w:rsidRDefault="00D274CE" w:rsidP="00D274CE">
      <w:pPr>
        <w:rPr>
          <w:lang w:val="en-US"/>
        </w:rPr>
      </w:pPr>
      <w:r w:rsidRPr="006B349A">
        <w:rPr>
          <w:lang w:val="en-US"/>
        </w:rPr>
        <w:t>Frequency, sharing, SRS, 14 GHz, 15 GHz</w:t>
      </w:r>
    </w:p>
    <w:p w:rsidR="00D274CE" w:rsidRPr="006B349A" w:rsidRDefault="00D274CE" w:rsidP="00D274CE">
      <w:pPr>
        <w:pStyle w:val="Headingb"/>
        <w:rPr>
          <w:rFonts w:eastAsia="SimSun"/>
          <w:lang w:val="en-US"/>
        </w:rPr>
      </w:pPr>
      <w:r w:rsidRPr="006B349A">
        <w:rPr>
          <w:rFonts w:eastAsia="SimSun"/>
          <w:lang w:val="en-US"/>
        </w:rPr>
        <w:t xml:space="preserve">Related ITU-R Recommendations </w:t>
      </w:r>
      <w:r>
        <w:rPr>
          <w:rFonts w:eastAsia="SimSun"/>
          <w:lang w:val="en-US"/>
        </w:rPr>
        <w:t>and</w:t>
      </w:r>
      <w:r w:rsidRPr="006B349A">
        <w:rPr>
          <w:rFonts w:eastAsia="SimSun"/>
          <w:lang w:val="en-US"/>
        </w:rPr>
        <w:t xml:space="preserve"> Reports</w:t>
      </w:r>
    </w:p>
    <w:p w:rsidR="00D274CE" w:rsidRPr="00D274CE" w:rsidRDefault="00D274CE" w:rsidP="00D274CE">
      <w:pPr>
        <w:rPr>
          <w:rFonts w:eastAsia="SimSun"/>
          <w:lang w:val="fr-CH"/>
        </w:rPr>
      </w:pPr>
      <w:r w:rsidRPr="00D274CE">
        <w:rPr>
          <w:rFonts w:eastAsia="SimSun"/>
          <w:lang w:val="fr-CH"/>
        </w:rPr>
        <w:t>Recommendation ITU-R SA.1626</w:t>
      </w:r>
    </w:p>
    <w:p w:rsidR="00D274CE" w:rsidRPr="00D274CE" w:rsidRDefault="00D274CE" w:rsidP="00D274CE">
      <w:pPr>
        <w:pStyle w:val="Normalaftertitle"/>
        <w:rPr>
          <w:lang w:val="fr-CH"/>
        </w:rPr>
      </w:pPr>
      <w:r w:rsidRPr="00D274CE">
        <w:rPr>
          <w:lang w:val="fr-CH"/>
        </w:rPr>
        <w:t>The ITU Radiocommunication Assembly,</w:t>
      </w:r>
    </w:p>
    <w:p w:rsidR="00D274CE" w:rsidRPr="006B349A" w:rsidRDefault="00D274CE" w:rsidP="00D274CE">
      <w:pPr>
        <w:pStyle w:val="Call"/>
        <w:rPr>
          <w:lang w:val="en-US"/>
        </w:rPr>
      </w:pPr>
      <w:r w:rsidRPr="006B349A">
        <w:rPr>
          <w:lang w:val="en-US"/>
        </w:rPr>
        <w:t>considering</w:t>
      </w:r>
    </w:p>
    <w:p w:rsidR="00D274CE" w:rsidRPr="006B349A" w:rsidRDefault="00D274CE" w:rsidP="00D274CE">
      <w:pPr>
        <w:rPr>
          <w:lang w:val="en-US"/>
        </w:rPr>
      </w:pPr>
      <w:r w:rsidRPr="006B349A">
        <w:rPr>
          <w:i/>
          <w:iCs/>
          <w:lang w:val="en-US"/>
        </w:rPr>
        <w:t>a)</w:t>
      </w:r>
      <w:r w:rsidRPr="006B349A">
        <w:rPr>
          <w:lang w:val="en-US"/>
        </w:rPr>
        <w:tab/>
        <w:t>that frequency sharing within the range 13 to 16 GHz between near-Earth space research applications (transmitters of the data relay satellite (DRS) system) and other services</w:t>
      </w:r>
      <w:r>
        <w:rPr>
          <w:lang w:val="en-US"/>
        </w:rPr>
        <w:t xml:space="preserve"> </w:t>
      </w:r>
      <w:r w:rsidRPr="006B349A">
        <w:rPr>
          <w:lang w:val="en-US"/>
        </w:rPr>
        <w:t>is feasible;</w:t>
      </w:r>
    </w:p>
    <w:p w:rsidR="00D274CE" w:rsidRPr="006B349A" w:rsidRDefault="00D274CE" w:rsidP="00D274CE">
      <w:pPr>
        <w:rPr>
          <w:lang w:val="en-US"/>
        </w:rPr>
      </w:pPr>
      <w:r w:rsidRPr="006B349A">
        <w:rPr>
          <w:i/>
          <w:iCs/>
          <w:lang w:val="en-US"/>
        </w:rPr>
        <w:t>b)</w:t>
      </w:r>
      <w:r w:rsidRPr="006B349A">
        <w:rPr>
          <w:lang w:val="en-US"/>
        </w:rPr>
        <w:tab/>
        <w:t xml:space="preserve">that, </w:t>
      </w:r>
      <w:r>
        <w:rPr>
          <w:lang w:val="en-US"/>
        </w:rPr>
        <w:t>in accordance with</w:t>
      </w:r>
      <w:r w:rsidRPr="006B349A">
        <w:rPr>
          <w:lang w:val="en-US"/>
        </w:rPr>
        <w:t xml:space="preserve"> the </w:t>
      </w:r>
      <w:r>
        <w:rPr>
          <w:lang w:val="en-US"/>
        </w:rPr>
        <w:t xml:space="preserve">relevant </w:t>
      </w:r>
      <w:r w:rsidRPr="006B349A">
        <w:rPr>
          <w:lang w:val="en-US"/>
        </w:rPr>
        <w:t xml:space="preserve">provisions of the Radio Regulations, the space research service may operate on a secondary basis in some of the bands where </w:t>
      </w:r>
      <w:r>
        <w:rPr>
          <w:lang w:val="en-US"/>
        </w:rPr>
        <w:t>other</w:t>
      </w:r>
      <w:r w:rsidRPr="006B349A">
        <w:rPr>
          <w:lang w:val="en-US"/>
        </w:rPr>
        <w:t xml:space="preserve"> services are primary,</w:t>
      </w:r>
    </w:p>
    <w:p w:rsidR="00D274CE" w:rsidRPr="006B349A" w:rsidRDefault="00D274CE" w:rsidP="00D274CE">
      <w:pPr>
        <w:pStyle w:val="Call"/>
        <w:rPr>
          <w:lang w:val="en-US"/>
        </w:rPr>
      </w:pPr>
      <w:r>
        <w:rPr>
          <w:lang w:val="en-US"/>
        </w:rPr>
        <w:t>recognizing</w:t>
      </w:r>
    </w:p>
    <w:p w:rsidR="00D274CE" w:rsidRDefault="00D274CE" w:rsidP="00D274CE">
      <w:pPr>
        <w:rPr>
          <w:lang w:val="en-US"/>
        </w:rPr>
      </w:pPr>
      <w:r w:rsidRPr="0085211F">
        <w:rPr>
          <w:lang w:val="en-US"/>
        </w:rPr>
        <w:t>that frequency sharing, on a non-interference basis, between transmitters in the space research service and receivers of other services is feasible near 14 and 15 GHz provided that appropriate pfd limits are specified for the space research service;</w:t>
      </w:r>
    </w:p>
    <w:p w:rsidR="00D274CE" w:rsidRPr="00DD6CCD" w:rsidRDefault="00D274CE" w:rsidP="00D274CE">
      <w:pPr>
        <w:pStyle w:val="Call"/>
        <w:rPr>
          <w:lang w:val="en-US"/>
        </w:rPr>
      </w:pPr>
      <w:r w:rsidRPr="00E165A1">
        <w:rPr>
          <w:lang w:val="en-US"/>
        </w:rPr>
        <w:t>recommends</w:t>
      </w:r>
    </w:p>
    <w:p w:rsidR="00D274CE" w:rsidRPr="006B349A" w:rsidRDefault="00D274CE" w:rsidP="00D274CE">
      <w:pPr>
        <w:rPr>
          <w:lang w:val="en-US"/>
        </w:rPr>
      </w:pPr>
      <w:r w:rsidRPr="006B349A">
        <w:rPr>
          <w:lang w:val="en-US"/>
        </w:rPr>
        <w:t xml:space="preserve">that, in frequency bands near 14 and 15 GHz shared between the space research service (DRS systems) and </w:t>
      </w:r>
      <w:r w:rsidRPr="00DD6CCD">
        <w:rPr>
          <w:lang w:val="en-US"/>
        </w:rPr>
        <w:t>other services</w:t>
      </w:r>
      <w:r w:rsidRPr="006B349A">
        <w:rPr>
          <w:lang w:val="en-US"/>
        </w:rPr>
        <w:t>,</w:t>
      </w:r>
      <w:r>
        <w:rPr>
          <w:lang w:val="en-US"/>
        </w:rPr>
        <w:t xml:space="preserve"> </w:t>
      </w:r>
      <w:r w:rsidRPr="006B349A">
        <w:rPr>
          <w:lang w:val="en-US"/>
        </w:rPr>
        <w:t xml:space="preserve">the space research satellites </w:t>
      </w:r>
      <w:r>
        <w:rPr>
          <w:lang w:val="en-US"/>
        </w:rPr>
        <w:t>should</w:t>
      </w:r>
      <w:r w:rsidRPr="006B349A">
        <w:rPr>
          <w:lang w:val="en-US"/>
        </w:rPr>
        <w:t xml:space="preserve"> operate with the following pfd limits produced at the surface of the Earth in any 4 kHz band for all conditions and methods of modulation not exceeding:</w:t>
      </w:r>
    </w:p>
    <w:p w:rsidR="00D274CE" w:rsidRPr="006B349A" w:rsidRDefault="00D274CE" w:rsidP="00D274CE">
      <w:pPr>
        <w:pStyle w:val="Equation"/>
        <w:rPr>
          <w:lang w:val="en-US"/>
        </w:rPr>
      </w:pPr>
      <w:r>
        <w:rPr>
          <w:lang w:val="en-US"/>
        </w:rPr>
        <w:tab/>
      </w:r>
      <w:r w:rsidRPr="006B349A">
        <w:rPr>
          <w:lang w:val="en-US"/>
        </w:rPr>
        <w:tab/>
      </w:r>
      <w:r w:rsidRPr="006B349A">
        <w:rPr>
          <w:lang w:val="en-US"/>
        </w:rPr>
        <w:fldChar w:fldCharType="begin"/>
      </w:r>
      <w:r w:rsidRPr="006B349A">
        <w:rPr>
          <w:lang w:val="en-US"/>
        </w:rPr>
        <w:instrText xml:space="preserve"> eq \a\al\co4\hs25\vs5(–148,dB(W/m</w:instrText>
      </w:r>
      <w:r w:rsidRPr="006B349A">
        <w:rPr>
          <w:position w:val="6"/>
          <w:sz w:val="16"/>
          <w:lang w:val="en-US"/>
        </w:rPr>
        <w:instrText>2</w:instrText>
      </w:r>
      <w:r w:rsidRPr="006B349A">
        <w:rPr>
          <w:lang w:val="en-US"/>
        </w:rPr>
        <w:instrText>),for,\d\ba15()\a\al\co5\hs4(</w:instrText>
      </w:r>
      <w:r w:rsidRPr="006B349A">
        <w:rPr>
          <w:lang w:val="en-US"/>
        </w:rPr>
        <w:instrText> </w:instrText>
      </w:r>
      <w:r w:rsidRPr="006B349A">
        <w:rPr>
          <w:lang w:val="en-US"/>
        </w:rPr>
        <w:instrText>0</w:instrText>
      </w:r>
      <w:r w:rsidRPr="006B349A">
        <w:rPr>
          <w:rFonts w:ascii="Symbol" w:hAnsi="Symbol"/>
          <w:lang w:val="en-US"/>
        </w:rPr>
        <w:instrText>°</w:instrText>
      </w:r>
      <w:r w:rsidRPr="006B349A">
        <w:rPr>
          <w:lang w:val="en-US"/>
        </w:rPr>
        <w:instrText>,</w:instrText>
      </w:r>
      <w:r w:rsidRPr="006B349A">
        <w:rPr>
          <w:rFonts w:ascii="Symbol" w:hAnsi="Symbol"/>
          <w:lang w:val="en-US"/>
        </w:rPr>
        <w:instrText>&lt;</w:instrText>
      </w:r>
      <w:r w:rsidRPr="006B349A">
        <w:rPr>
          <w:lang w:val="en-US"/>
        </w:rPr>
        <w:instrText>,</w:instrText>
      </w:r>
      <w:r w:rsidRPr="006B349A">
        <w:rPr>
          <w:rFonts w:ascii="Symbol" w:hAnsi="Symbol"/>
          <w:lang w:val="en-US"/>
        </w:rPr>
        <w:instrText>d</w:instrText>
      </w:r>
      <w:r w:rsidRPr="006B349A">
        <w:rPr>
          <w:lang w:val="en-US"/>
        </w:rPr>
        <w:instrText>,</w:instrText>
      </w:r>
      <w:r w:rsidRPr="006B349A">
        <w:rPr>
          <w:rFonts w:ascii="Symbol" w:hAnsi="Symbol"/>
          <w:lang w:val="en-US"/>
        </w:rPr>
        <w:instrText>£</w:instrText>
      </w:r>
      <w:r w:rsidRPr="006B349A">
        <w:rPr>
          <w:lang w:val="en-US"/>
        </w:rPr>
        <w:instrText>,</w:instrText>
      </w:r>
      <w:r w:rsidRPr="006B349A">
        <w:rPr>
          <w:lang w:val="en-US"/>
        </w:rPr>
        <w:instrText> </w:instrText>
      </w:r>
      <w:r w:rsidRPr="006B349A">
        <w:rPr>
          <w:lang w:val="en-US"/>
        </w:rPr>
        <w:instrText>5</w:instrText>
      </w:r>
      <w:r w:rsidRPr="006B349A">
        <w:rPr>
          <w:rFonts w:ascii="Symbol" w:hAnsi="Symbol"/>
          <w:lang w:val="en-US"/>
        </w:rPr>
        <w:instrText>°</w:instrText>
      </w:r>
      <w:r w:rsidRPr="006B349A">
        <w:rPr>
          <w:lang w:val="en-US"/>
        </w:rPr>
        <w:instrText xml:space="preserve">),–148  </w:instrText>
      </w:r>
      <w:r w:rsidRPr="006B349A">
        <w:rPr>
          <w:rFonts w:ascii="Symbol" w:hAnsi="Symbol"/>
          <w:lang w:val="en-US"/>
        </w:rPr>
        <w:instrText>+</w:instrText>
      </w:r>
      <w:r w:rsidRPr="006B349A">
        <w:rPr>
          <w:lang w:val="en-US"/>
        </w:rPr>
        <w:instrText xml:space="preserve">  (</w:instrText>
      </w:r>
      <w:r w:rsidRPr="006B349A">
        <w:rPr>
          <w:rFonts w:ascii="Symbol" w:hAnsi="Symbol"/>
          <w:lang w:val="en-US"/>
        </w:rPr>
        <w:instrText>d</w:instrText>
      </w:r>
      <w:r w:rsidRPr="006B349A">
        <w:rPr>
          <w:lang w:val="en-US"/>
        </w:rPr>
        <w:instrText xml:space="preserve">  –  5)/2,dB(W/m</w:instrText>
      </w:r>
      <w:r w:rsidRPr="006B349A">
        <w:rPr>
          <w:position w:val="6"/>
          <w:sz w:val="16"/>
          <w:lang w:val="en-US"/>
        </w:rPr>
        <w:instrText>2</w:instrText>
      </w:r>
      <w:r w:rsidRPr="006B349A">
        <w:rPr>
          <w:lang w:val="en-US"/>
        </w:rPr>
        <w:instrText>),for,\d\ba15()\a\al\co5\hs4(</w:instrText>
      </w:r>
      <w:r w:rsidRPr="006B349A">
        <w:rPr>
          <w:lang w:val="en-US"/>
        </w:rPr>
        <w:instrText> </w:instrText>
      </w:r>
      <w:r w:rsidRPr="006B349A">
        <w:rPr>
          <w:lang w:val="en-US"/>
        </w:rPr>
        <w:instrText>5</w:instrText>
      </w:r>
      <w:r w:rsidRPr="006B349A">
        <w:rPr>
          <w:rFonts w:ascii="Symbol" w:hAnsi="Symbol"/>
          <w:lang w:val="en-US"/>
        </w:rPr>
        <w:instrText>°</w:instrText>
      </w:r>
      <w:r w:rsidRPr="006B349A">
        <w:rPr>
          <w:lang w:val="en-US"/>
        </w:rPr>
        <w:instrText>,&lt;,</w:instrText>
      </w:r>
      <w:r w:rsidRPr="006B349A">
        <w:rPr>
          <w:rFonts w:ascii="Symbol" w:hAnsi="Symbol"/>
          <w:lang w:val="en-US"/>
        </w:rPr>
        <w:instrText>d</w:instrText>
      </w:r>
      <w:r w:rsidRPr="006B349A">
        <w:rPr>
          <w:lang w:val="en-US"/>
        </w:rPr>
        <w:instrText>,</w:instrText>
      </w:r>
      <w:r w:rsidRPr="006B349A">
        <w:rPr>
          <w:rFonts w:ascii="Symbol" w:hAnsi="Symbol"/>
          <w:lang w:val="en-US"/>
        </w:rPr>
        <w:instrText>£</w:instrText>
      </w:r>
      <w:r w:rsidRPr="006B349A">
        <w:rPr>
          <w:lang w:val="en-US"/>
        </w:rPr>
        <w:instrText>,25</w:instrText>
      </w:r>
      <w:r w:rsidRPr="006B349A">
        <w:rPr>
          <w:rFonts w:ascii="Symbol" w:hAnsi="Symbol"/>
          <w:lang w:val="en-US"/>
        </w:rPr>
        <w:instrText>°</w:instrText>
      </w:r>
      <w:r w:rsidRPr="006B349A">
        <w:rPr>
          <w:lang w:val="en-US"/>
        </w:rPr>
        <w:instrText>),–138,dB(W/m</w:instrText>
      </w:r>
      <w:r w:rsidRPr="006B349A">
        <w:rPr>
          <w:position w:val="6"/>
          <w:sz w:val="16"/>
          <w:lang w:val="en-US"/>
        </w:rPr>
        <w:instrText>2</w:instrText>
      </w:r>
      <w:r w:rsidRPr="006B349A">
        <w:rPr>
          <w:lang w:val="en-US"/>
        </w:rPr>
        <w:instrText>),for,\d\ba15()\a\al\co5\hs4(25</w:instrText>
      </w:r>
      <w:r w:rsidRPr="006B349A">
        <w:rPr>
          <w:rFonts w:ascii="Symbol" w:hAnsi="Symbol"/>
          <w:lang w:val="en-US"/>
        </w:rPr>
        <w:instrText>°</w:instrText>
      </w:r>
      <w:r w:rsidRPr="006B349A">
        <w:rPr>
          <w:lang w:val="en-US"/>
        </w:rPr>
        <w:instrText>,</w:instrText>
      </w:r>
      <w:r w:rsidRPr="006B349A">
        <w:rPr>
          <w:rFonts w:ascii="Symbol" w:hAnsi="Symbol"/>
          <w:lang w:val="en-US"/>
        </w:rPr>
        <w:instrText>&lt;</w:instrText>
      </w:r>
      <w:r w:rsidRPr="006B349A">
        <w:rPr>
          <w:lang w:val="en-US"/>
        </w:rPr>
        <w:instrText>,</w:instrText>
      </w:r>
      <w:r w:rsidRPr="006B349A">
        <w:rPr>
          <w:rFonts w:ascii="Symbol" w:hAnsi="Symbol"/>
          <w:lang w:val="en-US"/>
        </w:rPr>
        <w:instrText>d</w:instrText>
      </w:r>
      <w:r w:rsidRPr="006B349A">
        <w:rPr>
          <w:lang w:val="en-US"/>
        </w:rPr>
        <w:instrText>,</w:instrText>
      </w:r>
      <w:r w:rsidRPr="006B349A">
        <w:rPr>
          <w:rFonts w:ascii="Symbol" w:hAnsi="Symbol"/>
          <w:lang w:val="en-US"/>
        </w:rPr>
        <w:instrText>£</w:instrText>
      </w:r>
      <w:r w:rsidRPr="006B349A">
        <w:rPr>
          <w:lang w:val="en-US"/>
        </w:rPr>
        <w:instrText>,90</w:instrText>
      </w:r>
      <w:r w:rsidRPr="006B349A">
        <w:rPr>
          <w:rFonts w:ascii="Symbol" w:hAnsi="Symbol"/>
          <w:lang w:val="en-US"/>
        </w:rPr>
        <w:instrText>°</w:instrText>
      </w:r>
      <w:r w:rsidRPr="006B349A">
        <w:rPr>
          <w:lang w:val="en-US"/>
        </w:rPr>
        <w:instrText>))</w:instrText>
      </w:r>
      <w:r w:rsidRPr="006B349A">
        <w:rPr>
          <w:lang w:val="en-US"/>
        </w:rPr>
        <w:fldChar w:fldCharType="end"/>
      </w:r>
    </w:p>
    <w:p w:rsidR="00D274CE" w:rsidRPr="006B349A" w:rsidRDefault="00D274CE" w:rsidP="00B10892">
      <w:pPr>
        <w:rPr>
          <w:lang w:val="en-US"/>
        </w:rPr>
      </w:pPr>
      <w:r w:rsidRPr="006B349A">
        <w:rPr>
          <w:lang w:val="en-US"/>
        </w:rPr>
        <w:t xml:space="preserve">where </w:t>
      </w:r>
      <w:r w:rsidR="00B10892">
        <w:rPr>
          <w:lang w:val="en-US"/>
        </w:rPr>
        <w:sym w:font="Symbol" w:char="F064"/>
      </w:r>
      <w:r w:rsidR="00B10892">
        <w:rPr>
          <w:lang w:val="en-US"/>
        </w:rPr>
        <w:t xml:space="preserve"> </w:t>
      </w:r>
      <w:r w:rsidRPr="006B349A">
        <w:rPr>
          <w:lang w:val="en-US"/>
        </w:rPr>
        <w:t>is the angle of arrival of the radio-frequency wave (degrees above the horizontal);</w:t>
      </w:r>
      <w:r>
        <w:rPr>
          <w:lang w:val="en-US"/>
        </w:rPr>
        <w:t xml:space="preserve"> </w:t>
      </w:r>
      <w:r w:rsidRPr="006B349A">
        <w:rPr>
          <w:lang w:val="en-US"/>
        </w:rPr>
        <w:t>and that these limits relate to the pfd and angles of arrival which would be obtained under</w:t>
      </w:r>
      <w:r>
        <w:rPr>
          <w:lang w:val="en-US"/>
        </w:rPr>
        <w:t xml:space="preserve"> </w:t>
      </w:r>
      <w:r w:rsidRPr="006B349A">
        <w:rPr>
          <w:lang w:val="en-US"/>
        </w:rPr>
        <w:t>free-space propagation conditions.</w:t>
      </w:r>
    </w:p>
    <w:p w:rsidR="00A6617B" w:rsidRPr="00D274CE" w:rsidRDefault="00A6617B" w:rsidP="00B10892">
      <w:pPr>
        <w:pStyle w:val="Line"/>
      </w:pPr>
    </w:p>
    <w:sectPr w:rsidR="00A6617B" w:rsidRPr="00D274CE" w:rsidSect="00B52842">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13EE" w:rsidRDefault="001C13EE">
      <w:r>
        <w:separator/>
      </w:r>
    </w:p>
  </w:endnote>
  <w:endnote w:type="continuationSeparator" w:id="0">
    <w:p w:rsidR="001C13EE" w:rsidRDefault="001C1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13EE" w:rsidRDefault="001C13EE">
      <w:r>
        <w:separator/>
      </w:r>
    </w:p>
  </w:footnote>
  <w:footnote w:type="continuationSeparator" w:id="0">
    <w:p w:rsidR="001C13EE" w:rsidRDefault="001C13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3EE" w:rsidRDefault="001C13E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3EE" w:rsidRDefault="001C13EE" w:rsidP="001C13EE">
    <w:pPr>
      <w:pStyle w:val="Header"/>
      <w:ind w:right="360" w:firstLine="360"/>
    </w:pPr>
    <w:r>
      <w:rPr>
        <w:noProof/>
        <w:lang w:val="en-GB" w:eastAsia="en-GB"/>
      </w:rPr>
      <w:drawing>
        <wp:anchor distT="0" distB="0" distL="114300" distR="114300" simplePos="0" relativeHeight="251659264" behindDoc="1" locked="0" layoutInCell="1" allowOverlap="1" wp14:anchorId="6B81A500" wp14:editId="67A3D7FD">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3EE" w:rsidRPr="00C95C69" w:rsidRDefault="001C13EE">
    <w:pPr>
      <w:pStyle w:val="Header"/>
      <w:jc w:val="left"/>
      <w:rPr>
        <w:lang w:val="fr-CH"/>
      </w:rPr>
    </w:pPr>
    <w:r>
      <w:rPr>
        <w:rStyle w:val="PageNumber"/>
        <w:b/>
        <w:bCs/>
      </w:rPr>
      <w:fldChar w:fldCharType="begin"/>
    </w:r>
    <w:r w:rsidRPr="00C95C69">
      <w:rPr>
        <w:rStyle w:val="PageNumber"/>
        <w:b/>
        <w:bCs/>
        <w:lang w:val="fr-CH"/>
      </w:rPr>
      <w:instrText xml:space="preserve"> PAGE </w:instrText>
    </w:r>
    <w:r>
      <w:rPr>
        <w:rStyle w:val="PageNumber"/>
        <w:b/>
        <w:bCs/>
      </w:rPr>
      <w:fldChar w:fldCharType="separate"/>
    </w:r>
    <w:r w:rsidR="00DC6DF5">
      <w:rPr>
        <w:rStyle w:val="PageNumber"/>
        <w:b/>
        <w:bCs/>
        <w:noProof/>
        <w:lang w:val="fr-CH"/>
      </w:rPr>
      <w:t>ii</w:t>
    </w:r>
    <w:r>
      <w:rPr>
        <w:rStyle w:val="PageNumber"/>
        <w:b/>
        <w:bCs/>
      </w:rPr>
      <w:fldChar w:fldCharType="end"/>
    </w:r>
    <w:r w:rsidRPr="00C95C69">
      <w:rPr>
        <w:lang w:val="fr-CH"/>
      </w:rPr>
      <w:tab/>
    </w:r>
    <w:r w:rsidR="00DC6DF5">
      <w:fldChar w:fldCharType="begin"/>
    </w:r>
    <w:r w:rsidR="00DC6DF5">
      <w:instrText xml:space="preserve"> DOCPROPERTY "Header" \* MERGEFORMAT </w:instrText>
    </w:r>
    <w:r w:rsidR="00DC6DF5">
      <w:fldChar w:fldCharType="separate"/>
    </w:r>
    <w:r w:rsidR="00DC6DF5" w:rsidRPr="00DC6DF5">
      <w:rPr>
        <w:b/>
        <w:bCs/>
        <w:lang w:val="fr-CH"/>
      </w:rPr>
      <w:t xml:space="preserve">Rec. </w:t>
    </w:r>
    <w:r w:rsidR="00DC6DF5">
      <w:rPr>
        <w:b/>
        <w:bCs/>
        <w:lang w:val="fr-CH"/>
      </w:rPr>
      <w:fldChar w:fldCharType="end"/>
    </w:r>
    <w:r>
      <w:rPr>
        <w:b/>
        <w:bCs/>
      </w:rPr>
      <w:t xml:space="preserve"> </w:t>
    </w:r>
    <w:r>
      <w:rPr>
        <w:b/>
        <w:bCs/>
      </w:rPr>
      <w:fldChar w:fldCharType="begin"/>
    </w:r>
    <w:r w:rsidRPr="00C95C69">
      <w:rPr>
        <w:b/>
        <w:bCs/>
        <w:lang w:val="fr-CH"/>
      </w:rPr>
      <w:instrText>styleref href</w:instrText>
    </w:r>
    <w:r>
      <w:rPr>
        <w:b/>
        <w:bCs/>
      </w:rPr>
      <w:fldChar w:fldCharType="separate"/>
    </w:r>
    <w:r w:rsidR="00DC6DF5">
      <w:rPr>
        <w:b/>
        <w:bCs/>
        <w:noProof/>
      </w:rPr>
      <w:t>ITU-R  SA.510-3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3EE" w:rsidRDefault="001C13EE">
    <w:pPr>
      <w:pStyle w:val="Header"/>
    </w:pPr>
    <w:r>
      <w:tab/>
    </w:r>
    <w:r w:rsidR="00DC6DF5">
      <w:fldChar w:fldCharType="begin"/>
    </w:r>
    <w:r w:rsidR="00DC6DF5">
      <w:instrText xml:space="preserve"> DOCPROPERTY "Header" \* MERGEFORMAT </w:instrText>
    </w:r>
    <w:r w:rsidR="00DC6DF5">
      <w:fldChar w:fldCharType="separate"/>
    </w:r>
    <w:r w:rsidR="00DC6DF5" w:rsidRPr="00DC6DF5">
      <w:rPr>
        <w:b/>
        <w:bCs/>
      </w:rPr>
      <w:t xml:space="preserve">Rec. </w:t>
    </w:r>
    <w:r w:rsidR="00DC6DF5">
      <w:rPr>
        <w:b/>
        <w:bCs/>
      </w:rPr>
      <w:fldChar w:fldCharType="end"/>
    </w:r>
    <w:r>
      <w:rPr>
        <w:b/>
        <w:bCs/>
      </w:rPr>
      <w:t xml:space="preserve"> </w:t>
    </w:r>
    <w:r>
      <w:rPr>
        <w:b/>
        <w:bCs/>
      </w:rPr>
      <w:fldChar w:fldCharType="begin"/>
    </w:r>
    <w:r>
      <w:rPr>
        <w:b/>
        <w:bCs/>
      </w:rPr>
      <w:instrText>styleref href</w:instrText>
    </w:r>
    <w:r>
      <w:rPr>
        <w:b/>
        <w:bCs/>
      </w:rPr>
      <w:fldChar w:fldCharType="separate"/>
    </w:r>
    <w:r w:rsidR="00DC6DF5">
      <w:rPr>
        <w:b/>
        <w:bCs/>
        <w:noProof/>
      </w:rPr>
      <w:t>ITU-R  SA.510-3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52842">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10892">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DC6DF5" w:rsidRPr="00DC6DF5">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C6DF5">
      <w:rPr>
        <w:b/>
        <w:bCs/>
        <w:noProof/>
      </w:rPr>
      <w:t>ITU-R  SA.510-3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DC6DF5">
      <w:fldChar w:fldCharType="begin"/>
    </w:r>
    <w:r w:rsidR="00DC6DF5">
      <w:instrText xml:space="preserve"> DOCPROPERTY "Header" \* MERGEFORMAT </w:instrText>
    </w:r>
    <w:r w:rsidR="00DC6DF5">
      <w:fldChar w:fldCharType="separate"/>
    </w:r>
    <w:r w:rsidR="00DC6DF5" w:rsidRPr="00DC6DF5">
      <w:rPr>
        <w:b/>
        <w:bCs/>
      </w:rPr>
      <w:t xml:space="preserve">Rec. </w:t>
    </w:r>
    <w:r w:rsidR="00DC6DF5">
      <w:rPr>
        <w:b/>
        <w:bCs/>
      </w:rPr>
      <w:fldChar w:fldCharType="end"/>
    </w:r>
    <w:r>
      <w:rPr>
        <w:b/>
        <w:bCs/>
      </w:rPr>
      <w:t xml:space="preserve"> </w:t>
    </w:r>
    <w:r>
      <w:rPr>
        <w:b/>
        <w:bCs/>
      </w:rPr>
      <w:fldChar w:fldCharType="begin"/>
    </w:r>
    <w:r>
      <w:rPr>
        <w:b/>
        <w:bCs/>
      </w:rPr>
      <w:instrText>styleref href</w:instrText>
    </w:r>
    <w:r>
      <w:rPr>
        <w:b/>
        <w:bCs/>
      </w:rPr>
      <w:fldChar w:fldCharType="separate"/>
    </w:r>
    <w:r w:rsidR="00DC6DF5">
      <w:rPr>
        <w:b/>
        <w:bCs/>
        <w:noProof/>
      </w:rPr>
      <w:t>ITU-R  SA.510-3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C6DF5">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3EE"/>
    <w:rsid w:val="0008567A"/>
    <w:rsid w:val="001C13EE"/>
    <w:rsid w:val="00217EBF"/>
    <w:rsid w:val="00242AEE"/>
    <w:rsid w:val="002D76C4"/>
    <w:rsid w:val="00436A4B"/>
    <w:rsid w:val="0052529D"/>
    <w:rsid w:val="005E4F09"/>
    <w:rsid w:val="00607D68"/>
    <w:rsid w:val="006D3EBB"/>
    <w:rsid w:val="007468DA"/>
    <w:rsid w:val="009E00A8"/>
    <w:rsid w:val="00A6617B"/>
    <w:rsid w:val="00AB0DC8"/>
    <w:rsid w:val="00B10892"/>
    <w:rsid w:val="00B44E24"/>
    <w:rsid w:val="00B52842"/>
    <w:rsid w:val="00C13C04"/>
    <w:rsid w:val="00D274CE"/>
    <w:rsid w:val="00DC6DF5"/>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5:docId w15:val="{A62FFEB7-E116-4708-AB36-8ED1C8948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13E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1C13EE"/>
    <w:rPr>
      <w:b/>
      <w:sz w:val="24"/>
      <w:lang w:val="fr-FR" w:eastAsia="en-US"/>
    </w:rPr>
  </w:style>
  <w:style w:type="character" w:customStyle="1" w:styleId="HeaderChar">
    <w:name w:val="Header Char"/>
    <w:basedOn w:val="DefaultParagraphFont"/>
    <w:link w:val="Header"/>
    <w:rsid w:val="001C13EE"/>
    <w:rPr>
      <w:sz w:val="24"/>
      <w:lang w:val="fr-FR" w:eastAsia="en-US"/>
    </w:rPr>
  </w:style>
  <w:style w:type="character" w:styleId="Hyperlink">
    <w:name w:val="Hyperlink"/>
    <w:basedOn w:val="DefaultParagraphFont"/>
    <w:rsid w:val="001C13E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TotalTime>
  <Pages>3</Pages>
  <Words>588</Words>
  <Characters>3870</Characters>
  <Application>Microsoft Office Word</Application>
  <DocSecurity>0</DocSecurity>
  <Lines>430</Lines>
  <Paragraphs>185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Template BR_Rec_2005.dot</vt:lpstr>
      <vt:lpstr>Policy on Intellectual Property Right (IPR)</vt:lpstr>
    </vt:vector>
  </TitlesOfParts>
  <Manager/>
  <Company>ITU</Company>
  <LinksUpToDate>false</LinksUpToDate>
  <CharactersWithSpaces>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9</cp:revision>
  <cp:lastPrinted>2017-08-02T09:40:00Z</cp:lastPrinted>
  <dcterms:created xsi:type="dcterms:W3CDTF">2017-06-16T05:24:00Z</dcterms:created>
  <dcterms:modified xsi:type="dcterms:W3CDTF">2017-08-02T09:41:00Z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