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52C" w:rsidRDefault="003E352C" w:rsidP="003E352C"/>
    <w:p w:rsidR="003E352C" w:rsidRDefault="003E352C" w:rsidP="003E352C"/>
    <w:p w:rsidR="003E352C" w:rsidRDefault="003E352C" w:rsidP="003E352C"/>
    <w:p w:rsidR="003E352C" w:rsidRDefault="003E352C" w:rsidP="003E352C"/>
    <w:p w:rsidR="003E352C" w:rsidRDefault="003E352C" w:rsidP="003E352C"/>
    <w:p w:rsidR="003E352C" w:rsidRDefault="003E352C" w:rsidP="003E352C"/>
    <w:p w:rsidR="003E352C" w:rsidRDefault="003E352C" w:rsidP="003E352C"/>
    <w:p w:rsidR="003E352C" w:rsidRDefault="003E352C" w:rsidP="003E352C"/>
    <w:p w:rsidR="003E352C" w:rsidRDefault="003E352C" w:rsidP="003E352C"/>
    <w:p w:rsidR="003E352C" w:rsidRDefault="003E352C" w:rsidP="003E352C"/>
    <w:p w:rsidR="003E352C" w:rsidRDefault="003E352C" w:rsidP="003E352C"/>
    <w:p w:rsidR="003E352C" w:rsidRDefault="003E352C" w:rsidP="003E352C"/>
    <w:tbl>
      <w:tblPr>
        <w:tblW w:w="10089" w:type="dxa"/>
        <w:tblLook w:val="01E0" w:firstRow="1" w:lastRow="1" w:firstColumn="1" w:lastColumn="1" w:noHBand="0" w:noVBand="0"/>
      </w:tblPr>
      <w:tblGrid>
        <w:gridCol w:w="10089"/>
      </w:tblGrid>
      <w:tr w:rsidR="003E352C" w:rsidRPr="00A443C2" w:rsidTr="00383E47">
        <w:tc>
          <w:tcPr>
            <w:tcW w:w="10089" w:type="dxa"/>
          </w:tcPr>
          <w:p w:rsidR="003E352C" w:rsidRPr="00B033C8" w:rsidRDefault="003E352C" w:rsidP="00383E47">
            <w:pPr>
              <w:spacing w:before="380" w:line="280" w:lineRule="exact"/>
              <w:jc w:val="right"/>
              <w:rPr>
                <w:rFonts w:ascii="Tahoma" w:hAnsi="Tahoma" w:cs="Tahoma"/>
                <w:b/>
                <w:bCs/>
                <w:iCs/>
                <w:color w:val="243285"/>
                <w:sz w:val="32"/>
                <w:szCs w:val="32"/>
                <w:lang w:val="en-US"/>
              </w:rPr>
            </w:pPr>
          </w:p>
          <w:p w:rsidR="003E352C" w:rsidRPr="00A443C2" w:rsidRDefault="003E352C" w:rsidP="003E352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SF</w:t>
            </w:r>
            <w:r w:rsidRPr="00A443C2">
              <w:rPr>
                <w:rFonts w:ascii="Tahoma" w:hAnsi="Tahoma" w:cs="Tahoma"/>
                <w:b/>
                <w:bCs/>
                <w:iCs/>
                <w:color w:val="243285"/>
                <w:sz w:val="36"/>
                <w:szCs w:val="36"/>
              </w:rPr>
              <w:t>.</w:t>
            </w:r>
            <w:r>
              <w:rPr>
                <w:rFonts w:ascii="Tahoma" w:hAnsi="Tahoma" w:cs="Tahoma"/>
                <w:b/>
                <w:bCs/>
                <w:iCs/>
                <w:color w:val="243285"/>
                <w:sz w:val="36"/>
                <w:szCs w:val="36"/>
              </w:rPr>
              <w:t>1602</w:t>
            </w:r>
          </w:p>
          <w:p w:rsidR="003E352C" w:rsidRPr="00A443C2" w:rsidRDefault="003E352C" w:rsidP="003E352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2003</w:t>
            </w:r>
            <w:r w:rsidRPr="00A443C2">
              <w:rPr>
                <w:rFonts w:ascii="Tahoma" w:hAnsi="Tahoma" w:cs="Tahoma"/>
                <w:b/>
                <w:bCs/>
                <w:iCs/>
                <w:color w:val="243285"/>
                <w:szCs w:val="24"/>
              </w:rPr>
              <w:t>)</w:t>
            </w:r>
          </w:p>
        </w:tc>
      </w:tr>
      <w:tr w:rsidR="003E352C" w:rsidRPr="00F54FBD" w:rsidTr="00383E47">
        <w:tc>
          <w:tcPr>
            <w:tcW w:w="10089" w:type="dxa"/>
          </w:tcPr>
          <w:p w:rsidR="003E352C" w:rsidRDefault="003E352C" w:rsidP="00383E47">
            <w:pPr>
              <w:spacing w:before="80" w:line="500" w:lineRule="exact"/>
              <w:jc w:val="right"/>
              <w:rPr>
                <w:rFonts w:ascii="Tahoma" w:hAnsi="Tahoma" w:cs="Tahoma"/>
                <w:b/>
                <w:bCs/>
                <w:iCs/>
                <w:color w:val="243285"/>
                <w:sz w:val="44"/>
                <w:szCs w:val="44"/>
              </w:rPr>
            </w:pPr>
          </w:p>
          <w:p w:rsidR="003E352C" w:rsidRDefault="003E352C" w:rsidP="003E352C">
            <w:pPr>
              <w:spacing w:before="80" w:line="500" w:lineRule="exact"/>
              <w:jc w:val="right"/>
              <w:rPr>
                <w:rFonts w:ascii="Tahoma" w:hAnsi="Tahoma" w:cs="Tahoma"/>
                <w:b/>
                <w:bCs/>
                <w:iCs/>
                <w:color w:val="243285"/>
                <w:sz w:val="44"/>
                <w:szCs w:val="44"/>
              </w:rPr>
            </w:pPr>
            <w:r w:rsidRPr="003E352C">
              <w:rPr>
                <w:rFonts w:ascii="Tahoma" w:hAnsi="Tahoma" w:cs="Tahoma"/>
                <w:b/>
                <w:bCs/>
                <w:iCs/>
                <w:color w:val="243285"/>
                <w:sz w:val="44"/>
                <w:szCs w:val="44"/>
              </w:rPr>
              <w:t xml:space="preserve">Méthode de détermination des </w:t>
            </w:r>
            <w:r>
              <w:rPr>
                <w:rFonts w:ascii="Tahoma" w:hAnsi="Tahoma" w:cs="Tahoma"/>
                <w:b/>
                <w:bCs/>
                <w:iCs/>
                <w:color w:val="243285"/>
                <w:sz w:val="44"/>
                <w:szCs w:val="44"/>
              </w:rPr>
              <w:t xml:space="preserve">statistiques </w:t>
            </w:r>
            <w:r w:rsidRPr="003E352C">
              <w:rPr>
                <w:rFonts w:ascii="Tahoma" w:hAnsi="Tahoma" w:cs="Tahoma"/>
                <w:b/>
                <w:bCs/>
                <w:iCs/>
                <w:color w:val="243285"/>
                <w:sz w:val="44"/>
                <w:szCs w:val="44"/>
              </w:rPr>
              <w:t xml:space="preserve">de puissance surfacique à utiliser </w:t>
            </w:r>
            <w:r>
              <w:rPr>
                <w:rFonts w:ascii="Tahoma" w:hAnsi="Tahoma" w:cs="Tahoma"/>
                <w:b/>
                <w:bCs/>
                <w:iCs/>
                <w:color w:val="243285"/>
                <w:sz w:val="44"/>
                <w:szCs w:val="44"/>
              </w:rPr>
              <w:br/>
            </w:r>
            <w:r w:rsidRPr="003E352C">
              <w:rPr>
                <w:rFonts w:ascii="Tahoma" w:hAnsi="Tahoma" w:cs="Tahoma"/>
                <w:b/>
                <w:bCs/>
                <w:iCs/>
                <w:color w:val="243285"/>
                <w:sz w:val="44"/>
                <w:szCs w:val="44"/>
              </w:rPr>
              <w:t xml:space="preserve">dans les études de partage entre </w:t>
            </w:r>
            <w:r>
              <w:rPr>
                <w:rFonts w:ascii="Tahoma" w:hAnsi="Tahoma" w:cs="Tahoma"/>
                <w:b/>
                <w:bCs/>
                <w:iCs/>
                <w:color w:val="243285"/>
                <w:sz w:val="44"/>
                <w:szCs w:val="44"/>
              </w:rPr>
              <w:br/>
            </w:r>
            <w:r w:rsidRPr="003E352C">
              <w:rPr>
                <w:rFonts w:ascii="Tahoma" w:hAnsi="Tahoma" w:cs="Tahoma"/>
                <w:b/>
                <w:bCs/>
                <w:iCs/>
                <w:color w:val="243285"/>
                <w:sz w:val="44"/>
                <w:szCs w:val="44"/>
              </w:rPr>
              <w:t>systèmes hertziens fixes</w:t>
            </w:r>
            <w:r>
              <w:rPr>
                <w:rFonts w:ascii="Tahoma" w:hAnsi="Tahoma" w:cs="Tahoma"/>
                <w:b/>
                <w:bCs/>
                <w:iCs/>
                <w:color w:val="243285"/>
                <w:sz w:val="44"/>
                <w:szCs w:val="44"/>
              </w:rPr>
              <w:t xml:space="preserve"> </w:t>
            </w:r>
            <w:r w:rsidRPr="003E352C">
              <w:rPr>
                <w:rFonts w:ascii="Tahoma" w:hAnsi="Tahoma" w:cs="Tahoma"/>
                <w:b/>
                <w:bCs/>
                <w:iCs/>
                <w:color w:val="243285"/>
                <w:sz w:val="44"/>
                <w:szCs w:val="44"/>
              </w:rPr>
              <w:t>et plusieurs satellites du service fixe par satellite</w:t>
            </w:r>
          </w:p>
          <w:p w:rsidR="003E352C" w:rsidRPr="00F54FBD" w:rsidRDefault="003E352C" w:rsidP="00383E47">
            <w:pPr>
              <w:spacing w:before="80" w:line="500" w:lineRule="exact"/>
              <w:jc w:val="right"/>
              <w:rPr>
                <w:rFonts w:ascii="Tahoma" w:hAnsi="Tahoma" w:cs="Tahoma"/>
                <w:b/>
                <w:bCs/>
                <w:iCs/>
                <w:color w:val="243285"/>
                <w:sz w:val="44"/>
                <w:szCs w:val="44"/>
              </w:rPr>
            </w:pPr>
          </w:p>
        </w:tc>
      </w:tr>
      <w:tr w:rsidR="003E352C" w:rsidRPr="00F54FBD" w:rsidTr="00383E47">
        <w:tc>
          <w:tcPr>
            <w:tcW w:w="10089" w:type="dxa"/>
          </w:tcPr>
          <w:p w:rsidR="003E352C" w:rsidRPr="00F54FBD" w:rsidRDefault="003E352C" w:rsidP="00383E47">
            <w:pPr>
              <w:spacing w:before="80" w:line="280" w:lineRule="exact"/>
              <w:ind w:right="640"/>
              <w:rPr>
                <w:rFonts w:ascii="Tahoma" w:hAnsi="Tahoma" w:cs="Tahoma"/>
                <w:b/>
                <w:bCs/>
                <w:iCs/>
                <w:color w:val="243285"/>
                <w:sz w:val="32"/>
                <w:szCs w:val="32"/>
              </w:rPr>
            </w:pPr>
          </w:p>
          <w:p w:rsidR="003E352C" w:rsidRPr="00F54FBD" w:rsidRDefault="003E352C" w:rsidP="00383E47">
            <w:pPr>
              <w:spacing w:before="80" w:line="280" w:lineRule="exact"/>
              <w:ind w:right="640"/>
              <w:rPr>
                <w:rFonts w:ascii="Tahoma" w:hAnsi="Tahoma" w:cs="Tahoma"/>
                <w:b/>
                <w:bCs/>
                <w:iCs/>
                <w:color w:val="243285"/>
                <w:sz w:val="32"/>
                <w:szCs w:val="32"/>
              </w:rPr>
            </w:pPr>
          </w:p>
          <w:p w:rsidR="003E352C" w:rsidRPr="00F54FBD" w:rsidRDefault="003E352C" w:rsidP="00383E47">
            <w:pPr>
              <w:spacing w:before="80" w:after="180" w:line="360" w:lineRule="exact"/>
              <w:ind w:right="720"/>
              <w:rPr>
                <w:rFonts w:ascii="Tahoma" w:hAnsi="Tahoma" w:cs="Tahoma"/>
                <w:b/>
                <w:bCs/>
                <w:iCs/>
                <w:color w:val="243285"/>
                <w:sz w:val="36"/>
                <w:szCs w:val="36"/>
              </w:rPr>
            </w:pPr>
          </w:p>
          <w:p w:rsidR="003E352C" w:rsidRPr="00F54FBD" w:rsidRDefault="003E352C" w:rsidP="00383E4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SF</w:t>
            </w:r>
          </w:p>
          <w:p w:rsidR="003E352C" w:rsidRPr="00F54FBD" w:rsidRDefault="003E352C" w:rsidP="00383E4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Partage des fréquences et coordination entre</w:t>
            </w:r>
            <w:r>
              <w:rPr>
                <w:rFonts w:ascii="Tahoma" w:hAnsi="Tahoma" w:cs="Tahoma"/>
                <w:b/>
                <w:bCs/>
                <w:iCs/>
                <w:color w:val="243285"/>
                <w:sz w:val="36"/>
                <w:szCs w:val="36"/>
              </w:rPr>
              <w:br/>
              <w:t>les systèmes du service fixe par satellite</w:t>
            </w:r>
            <w:r>
              <w:rPr>
                <w:rFonts w:ascii="Tahoma" w:hAnsi="Tahoma" w:cs="Tahoma"/>
                <w:b/>
                <w:bCs/>
                <w:iCs/>
                <w:color w:val="243285"/>
                <w:sz w:val="36"/>
                <w:szCs w:val="36"/>
              </w:rPr>
              <w:br/>
              <w:t xml:space="preserve">et du service fixe </w:t>
            </w:r>
          </w:p>
        </w:tc>
      </w:tr>
    </w:tbl>
    <w:p w:rsidR="003E352C" w:rsidRPr="00F54FBD" w:rsidRDefault="003E352C" w:rsidP="003E352C">
      <w:pPr>
        <w:spacing w:before="80"/>
        <w:rPr>
          <w:i/>
          <w:sz w:val="22"/>
        </w:rPr>
      </w:pPr>
    </w:p>
    <w:p w:rsidR="003E352C" w:rsidRPr="00F54FBD" w:rsidRDefault="003E352C" w:rsidP="003E352C">
      <w:pPr>
        <w:spacing w:before="80"/>
        <w:rPr>
          <w:i/>
          <w:sz w:val="22"/>
        </w:rPr>
      </w:pPr>
    </w:p>
    <w:p w:rsidR="003E352C" w:rsidRPr="00F54FBD" w:rsidRDefault="003E352C" w:rsidP="003E352C">
      <w:pPr>
        <w:spacing w:before="80"/>
        <w:rPr>
          <w:i/>
          <w:sz w:val="22"/>
        </w:rPr>
      </w:pPr>
    </w:p>
    <w:p w:rsidR="003E352C" w:rsidRPr="00F54FBD" w:rsidRDefault="003E352C" w:rsidP="003E352C">
      <w:pPr>
        <w:spacing w:before="80"/>
        <w:rPr>
          <w:i/>
          <w:sz w:val="22"/>
        </w:rPr>
      </w:pPr>
    </w:p>
    <w:p w:rsidR="003E352C" w:rsidRPr="00F54FBD" w:rsidRDefault="003E352C" w:rsidP="003E352C">
      <w:pPr>
        <w:spacing w:before="80"/>
        <w:rPr>
          <w:i/>
          <w:sz w:val="22"/>
        </w:rPr>
      </w:pPr>
    </w:p>
    <w:p w:rsidR="003E352C" w:rsidRPr="00F54FBD" w:rsidRDefault="003E352C" w:rsidP="003E352C">
      <w:pPr>
        <w:spacing w:before="80"/>
        <w:rPr>
          <w:i/>
          <w:sz w:val="22"/>
        </w:rPr>
      </w:pPr>
    </w:p>
    <w:p w:rsidR="003E352C" w:rsidRPr="00F54FBD" w:rsidRDefault="003E352C" w:rsidP="003E352C">
      <w:pPr>
        <w:pStyle w:val="Equation"/>
        <w:tabs>
          <w:tab w:val="clear" w:pos="4820"/>
          <w:tab w:val="clear" w:pos="9639"/>
          <w:tab w:val="left" w:pos="1191"/>
          <w:tab w:val="left" w:pos="1588"/>
          <w:tab w:val="left" w:pos="1985"/>
        </w:tabs>
        <w:rPr>
          <w:rFonts w:ascii="Palatino Linotype" w:hAnsi="Palatino Linotype"/>
        </w:rPr>
        <w:sectPr w:rsidR="003E352C" w:rsidRPr="00F54FBD">
          <w:headerReference w:type="even" r:id="rId7"/>
          <w:headerReference w:type="default" r:id="rId8"/>
          <w:pgSz w:w="11907" w:h="16840" w:code="9"/>
          <w:pgMar w:top="1089" w:right="1089" w:bottom="284" w:left="1089" w:header="567" w:footer="284" w:gutter="0"/>
          <w:pgNumType w:start="1"/>
          <w:cols w:space="720"/>
        </w:sectPr>
      </w:pPr>
    </w:p>
    <w:p w:rsidR="003E352C" w:rsidRPr="00F54FBD" w:rsidRDefault="003E352C" w:rsidP="003E35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E352C" w:rsidRPr="00F54FBD" w:rsidRDefault="003E352C" w:rsidP="003E35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E352C" w:rsidRPr="00F54FBD" w:rsidRDefault="003E352C" w:rsidP="003E35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E352C" w:rsidRPr="00E44CBB" w:rsidRDefault="003E352C" w:rsidP="003E35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E352C" w:rsidRPr="00E44CBB" w:rsidRDefault="003E352C" w:rsidP="003E35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E352C" w:rsidRPr="003E352C" w:rsidRDefault="003E352C" w:rsidP="003E35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E352C" w:rsidRPr="009454F8" w:rsidTr="00383E47">
        <w:tc>
          <w:tcPr>
            <w:tcW w:w="9360" w:type="dxa"/>
            <w:gridSpan w:val="2"/>
          </w:tcPr>
          <w:p w:rsidR="003E352C" w:rsidRPr="009454F8" w:rsidRDefault="003E352C" w:rsidP="00383E4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E352C" w:rsidRPr="009454F8" w:rsidRDefault="003E352C" w:rsidP="00383E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3E352C" w:rsidRPr="00036EE3" w:rsidTr="00383E47">
        <w:tc>
          <w:tcPr>
            <w:tcW w:w="1140" w:type="dxa"/>
            <w:tcBorders>
              <w:bottom w:val="nil"/>
            </w:tcBorders>
          </w:tcPr>
          <w:p w:rsidR="003E352C" w:rsidRPr="00614CC6" w:rsidRDefault="003E352C" w:rsidP="00383E47">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rsidR="003E352C" w:rsidRPr="00614CC6" w:rsidRDefault="003E352C" w:rsidP="00383E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3E352C" w:rsidRPr="005E427C" w:rsidTr="00383E47">
        <w:tc>
          <w:tcPr>
            <w:tcW w:w="1140" w:type="dxa"/>
            <w:tcBorders>
              <w:top w:val="nil"/>
              <w:bottom w:val="nil"/>
            </w:tcBorders>
            <w:shd w:val="clear" w:color="auto" w:fill="auto"/>
          </w:tcPr>
          <w:p w:rsidR="003E352C" w:rsidRPr="005E427C" w:rsidRDefault="003E352C" w:rsidP="00383E47">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E352C" w:rsidRPr="005E427C" w:rsidRDefault="003E352C" w:rsidP="00383E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E352C" w:rsidRPr="009454F8" w:rsidTr="00383E47">
        <w:tc>
          <w:tcPr>
            <w:tcW w:w="1140" w:type="dxa"/>
            <w:tcBorders>
              <w:top w:val="nil"/>
              <w:bottom w:val="nil"/>
            </w:tcBorders>
          </w:tcPr>
          <w:p w:rsidR="003E352C" w:rsidRPr="00614CC6" w:rsidRDefault="003E352C" w:rsidP="00383E47">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E352C" w:rsidRPr="00614CC6" w:rsidRDefault="003E352C" w:rsidP="00383E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E352C" w:rsidRPr="00E80F1D" w:rsidTr="00383E47">
        <w:tc>
          <w:tcPr>
            <w:tcW w:w="1140" w:type="dxa"/>
            <w:tcBorders>
              <w:top w:val="nil"/>
              <w:bottom w:val="nil"/>
            </w:tcBorders>
            <w:shd w:val="clear" w:color="auto" w:fill="auto"/>
          </w:tcPr>
          <w:p w:rsidR="003E352C" w:rsidRPr="00E80F1D" w:rsidRDefault="003E352C" w:rsidP="00383E47">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E352C" w:rsidRPr="00E80F1D" w:rsidRDefault="003E352C" w:rsidP="00383E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E352C" w:rsidRPr="00ED2695" w:rsidTr="00383E47">
        <w:tc>
          <w:tcPr>
            <w:tcW w:w="1140" w:type="dxa"/>
            <w:tcBorders>
              <w:top w:val="nil"/>
              <w:bottom w:val="nil"/>
            </w:tcBorders>
            <w:shd w:val="clear" w:color="auto" w:fill="auto"/>
          </w:tcPr>
          <w:p w:rsidR="003E352C" w:rsidRPr="00614CC6" w:rsidRDefault="003E352C" w:rsidP="00383E4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E352C" w:rsidRPr="00614CC6" w:rsidRDefault="003E352C" w:rsidP="00383E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E352C" w:rsidRPr="00DE5EA2" w:rsidTr="00383E47">
        <w:tc>
          <w:tcPr>
            <w:tcW w:w="1140" w:type="dxa"/>
            <w:tcBorders>
              <w:top w:val="nil"/>
              <w:bottom w:val="nil"/>
            </w:tcBorders>
            <w:shd w:val="clear" w:color="auto" w:fill="auto"/>
          </w:tcPr>
          <w:p w:rsidR="003E352C" w:rsidRPr="00DE5EA2" w:rsidRDefault="003E352C" w:rsidP="00383E47">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E352C" w:rsidRPr="00DE5EA2" w:rsidRDefault="003E352C" w:rsidP="00383E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E352C" w:rsidRPr="00B21066" w:rsidTr="00383E47">
        <w:tc>
          <w:tcPr>
            <w:tcW w:w="1140" w:type="dxa"/>
            <w:tcBorders>
              <w:top w:val="nil"/>
              <w:bottom w:val="nil"/>
            </w:tcBorders>
            <w:shd w:val="clear" w:color="auto" w:fill="auto"/>
          </w:tcPr>
          <w:p w:rsidR="003E352C" w:rsidRPr="00B21066" w:rsidRDefault="003E352C" w:rsidP="00383E47">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E352C" w:rsidRPr="00B21066" w:rsidRDefault="003E352C" w:rsidP="00383E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E352C" w:rsidRPr="00EC361D" w:rsidTr="00383E47">
        <w:tc>
          <w:tcPr>
            <w:tcW w:w="1140" w:type="dxa"/>
            <w:tcBorders>
              <w:top w:val="nil"/>
              <w:bottom w:val="nil"/>
            </w:tcBorders>
            <w:shd w:val="clear" w:color="auto" w:fill="auto"/>
          </w:tcPr>
          <w:p w:rsidR="003E352C" w:rsidRPr="00EC361D" w:rsidRDefault="003E352C" w:rsidP="00383E47">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3E352C" w:rsidRPr="00EC361D" w:rsidRDefault="003E352C" w:rsidP="00383E47">
            <w:pPr>
              <w:spacing w:before="30" w:after="30"/>
              <w:jc w:val="left"/>
              <w:rPr>
                <w:sz w:val="20"/>
                <w:lang w:val="fr-CH"/>
              </w:rPr>
            </w:pPr>
            <w:r w:rsidRPr="00EC361D">
              <w:rPr>
                <w:sz w:val="20"/>
              </w:rPr>
              <w:t>Propagation des ondes radioélectriques</w:t>
            </w:r>
          </w:p>
        </w:tc>
      </w:tr>
      <w:tr w:rsidR="003E352C" w:rsidRPr="004822EF" w:rsidTr="00383E47">
        <w:tc>
          <w:tcPr>
            <w:tcW w:w="1140" w:type="dxa"/>
            <w:tcBorders>
              <w:top w:val="nil"/>
              <w:bottom w:val="nil"/>
            </w:tcBorders>
            <w:shd w:val="clear" w:color="auto" w:fill="auto"/>
          </w:tcPr>
          <w:p w:rsidR="003E352C" w:rsidRPr="004822EF" w:rsidRDefault="003E352C" w:rsidP="00383E47">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3E352C" w:rsidRPr="004822EF" w:rsidRDefault="003E352C" w:rsidP="00383E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3E352C" w:rsidRPr="00326525" w:rsidTr="00383E47">
        <w:tc>
          <w:tcPr>
            <w:tcW w:w="1140" w:type="dxa"/>
            <w:tcBorders>
              <w:top w:val="nil"/>
              <w:bottom w:val="nil"/>
            </w:tcBorders>
            <w:shd w:val="clear" w:color="auto" w:fill="auto"/>
          </w:tcPr>
          <w:p w:rsidR="003E352C" w:rsidRPr="00326525" w:rsidRDefault="003E352C" w:rsidP="00383E47">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3E352C" w:rsidRPr="00326525" w:rsidRDefault="003E352C" w:rsidP="00383E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3E352C" w:rsidRPr="00C40D3E" w:rsidTr="00383E47">
        <w:tc>
          <w:tcPr>
            <w:tcW w:w="1140" w:type="dxa"/>
            <w:tcBorders>
              <w:top w:val="nil"/>
              <w:bottom w:val="nil"/>
            </w:tcBorders>
            <w:shd w:val="clear" w:color="auto" w:fill="auto"/>
          </w:tcPr>
          <w:p w:rsidR="003E352C" w:rsidRPr="00C40D3E" w:rsidRDefault="003E352C" w:rsidP="00383E47">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3E352C" w:rsidRPr="00C40D3E" w:rsidRDefault="003E352C" w:rsidP="00383E47">
            <w:pPr>
              <w:spacing w:before="30" w:after="30"/>
              <w:jc w:val="left"/>
              <w:rPr>
                <w:sz w:val="20"/>
                <w:lang w:val="en-US"/>
              </w:rPr>
            </w:pPr>
            <w:r w:rsidRPr="00C40D3E">
              <w:rPr>
                <w:sz w:val="20"/>
              </w:rPr>
              <w:t>Service fixe par satellite</w:t>
            </w:r>
          </w:p>
        </w:tc>
      </w:tr>
      <w:tr w:rsidR="003E352C" w:rsidRPr="00595D3D" w:rsidTr="00383E47">
        <w:tc>
          <w:tcPr>
            <w:tcW w:w="1140" w:type="dxa"/>
            <w:tcBorders>
              <w:top w:val="nil"/>
              <w:bottom w:val="nil"/>
            </w:tcBorders>
            <w:shd w:val="clear" w:color="auto" w:fill="auto"/>
          </w:tcPr>
          <w:p w:rsidR="003E352C" w:rsidRPr="00595D3D" w:rsidRDefault="003E352C" w:rsidP="00383E47">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3E352C" w:rsidRPr="00595D3D" w:rsidRDefault="003E352C" w:rsidP="00383E47">
            <w:pPr>
              <w:spacing w:before="30" w:after="30"/>
              <w:jc w:val="left"/>
              <w:rPr>
                <w:sz w:val="20"/>
                <w:lang w:val="en-US"/>
              </w:rPr>
            </w:pPr>
            <w:r w:rsidRPr="00595D3D">
              <w:rPr>
                <w:sz w:val="20"/>
              </w:rPr>
              <w:t>Applications spatiales et météorologie</w:t>
            </w:r>
          </w:p>
        </w:tc>
      </w:tr>
      <w:tr w:rsidR="003E352C" w:rsidRPr="00595D3D" w:rsidTr="00383E47">
        <w:tc>
          <w:tcPr>
            <w:tcW w:w="1140" w:type="dxa"/>
            <w:tcBorders>
              <w:top w:val="nil"/>
              <w:bottom w:val="nil"/>
            </w:tcBorders>
            <w:shd w:val="clear" w:color="auto" w:fill="F3F3F3"/>
          </w:tcPr>
          <w:p w:rsidR="003E352C" w:rsidRPr="00595D3D" w:rsidRDefault="003E352C" w:rsidP="00383E47">
            <w:pPr>
              <w:spacing w:before="30" w:after="30"/>
              <w:ind w:left="57"/>
              <w:jc w:val="left"/>
              <w:rPr>
                <w:b/>
                <w:bCs/>
                <w:color w:val="000080"/>
                <w:sz w:val="20"/>
                <w:lang w:val="en-US"/>
              </w:rPr>
            </w:pPr>
            <w:r w:rsidRPr="00595D3D">
              <w:rPr>
                <w:b/>
                <w:bCs/>
                <w:color w:val="000080"/>
                <w:sz w:val="20"/>
                <w:lang w:val="en-US"/>
              </w:rPr>
              <w:t>SF</w:t>
            </w:r>
          </w:p>
        </w:tc>
        <w:tc>
          <w:tcPr>
            <w:tcW w:w="8220" w:type="dxa"/>
            <w:tcBorders>
              <w:top w:val="nil"/>
              <w:bottom w:val="nil"/>
            </w:tcBorders>
            <w:shd w:val="clear" w:color="auto" w:fill="F3F3F3"/>
          </w:tcPr>
          <w:p w:rsidR="003E352C" w:rsidRPr="00595D3D" w:rsidRDefault="003E352C" w:rsidP="00383E47">
            <w:pPr>
              <w:spacing w:before="30" w:after="30"/>
              <w:jc w:val="left"/>
              <w:rPr>
                <w:b/>
                <w:bCs/>
                <w:color w:val="000080"/>
                <w:sz w:val="20"/>
              </w:rPr>
            </w:pPr>
            <w:r w:rsidRPr="00595D3D">
              <w:rPr>
                <w:b/>
                <w:bCs/>
                <w:color w:val="000080"/>
                <w:sz w:val="20"/>
              </w:rPr>
              <w:t>Partage des fréquences et coordination entre les systèmes du service fixe par satellite et du service fixe</w:t>
            </w:r>
          </w:p>
        </w:tc>
      </w:tr>
      <w:tr w:rsidR="003E352C" w:rsidRPr="00036EE3" w:rsidTr="00383E47">
        <w:tc>
          <w:tcPr>
            <w:tcW w:w="1140" w:type="dxa"/>
            <w:tcBorders>
              <w:top w:val="nil"/>
            </w:tcBorders>
            <w:shd w:val="clear" w:color="auto" w:fill="auto"/>
          </w:tcPr>
          <w:p w:rsidR="003E352C" w:rsidRPr="00592F9F" w:rsidRDefault="003E352C" w:rsidP="00383E47">
            <w:pPr>
              <w:spacing w:before="30" w:after="30"/>
              <w:ind w:left="57"/>
              <w:jc w:val="left"/>
              <w:rPr>
                <w:b/>
                <w:bCs/>
                <w:sz w:val="20"/>
                <w:lang w:val="en-US"/>
              </w:rPr>
            </w:pPr>
            <w:r w:rsidRPr="00592F9F">
              <w:rPr>
                <w:b/>
                <w:bCs/>
                <w:sz w:val="20"/>
                <w:lang w:val="en-US"/>
              </w:rPr>
              <w:t>SM</w:t>
            </w:r>
          </w:p>
        </w:tc>
        <w:tc>
          <w:tcPr>
            <w:tcW w:w="8220" w:type="dxa"/>
            <w:tcBorders>
              <w:top w:val="nil"/>
            </w:tcBorders>
            <w:shd w:val="clear" w:color="auto" w:fill="auto"/>
          </w:tcPr>
          <w:p w:rsidR="003E352C" w:rsidRPr="00592F9F" w:rsidRDefault="003E352C" w:rsidP="00383E47">
            <w:pPr>
              <w:spacing w:before="30" w:after="30"/>
              <w:jc w:val="left"/>
              <w:rPr>
                <w:sz w:val="20"/>
                <w:lang w:val="en-US"/>
              </w:rPr>
            </w:pPr>
            <w:r w:rsidRPr="00592F9F">
              <w:rPr>
                <w:sz w:val="20"/>
              </w:rPr>
              <w:t>Gestion du spectre</w:t>
            </w:r>
          </w:p>
        </w:tc>
      </w:tr>
      <w:tr w:rsidR="003E352C" w:rsidRPr="00036EE3" w:rsidTr="00383E47">
        <w:tc>
          <w:tcPr>
            <w:tcW w:w="1140" w:type="dxa"/>
          </w:tcPr>
          <w:p w:rsidR="003E352C" w:rsidRPr="00614CC6" w:rsidRDefault="003E352C" w:rsidP="00383E47">
            <w:pPr>
              <w:spacing w:before="30" w:after="30"/>
              <w:ind w:left="57"/>
              <w:jc w:val="left"/>
              <w:rPr>
                <w:b/>
                <w:bCs/>
                <w:sz w:val="20"/>
                <w:lang w:val="en-US"/>
              </w:rPr>
            </w:pPr>
            <w:r w:rsidRPr="00614CC6">
              <w:rPr>
                <w:b/>
                <w:bCs/>
                <w:sz w:val="20"/>
                <w:lang w:val="en-US"/>
              </w:rPr>
              <w:t>SNG</w:t>
            </w:r>
          </w:p>
        </w:tc>
        <w:tc>
          <w:tcPr>
            <w:tcW w:w="8220" w:type="dxa"/>
          </w:tcPr>
          <w:p w:rsidR="003E352C" w:rsidRPr="00614CC6" w:rsidRDefault="003E352C" w:rsidP="00383E47">
            <w:pPr>
              <w:spacing w:before="30" w:after="30"/>
              <w:jc w:val="left"/>
              <w:rPr>
                <w:sz w:val="20"/>
                <w:lang w:val="en-US"/>
              </w:rPr>
            </w:pPr>
            <w:r w:rsidRPr="00614CC6">
              <w:rPr>
                <w:sz w:val="20"/>
              </w:rPr>
              <w:t>Reportage d'actualités par satellite</w:t>
            </w:r>
          </w:p>
        </w:tc>
      </w:tr>
      <w:tr w:rsidR="003E352C" w:rsidRPr="00614CC6" w:rsidTr="00383E47">
        <w:tc>
          <w:tcPr>
            <w:tcW w:w="1140" w:type="dxa"/>
          </w:tcPr>
          <w:p w:rsidR="003E352C" w:rsidRPr="00614CC6" w:rsidRDefault="003E352C" w:rsidP="00383E47">
            <w:pPr>
              <w:spacing w:before="30" w:after="30"/>
              <w:ind w:left="57"/>
              <w:jc w:val="left"/>
              <w:rPr>
                <w:b/>
                <w:bCs/>
                <w:sz w:val="20"/>
                <w:lang w:val="en-US"/>
              </w:rPr>
            </w:pPr>
            <w:r w:rsidRPr="00614CC6">
              <w:rPr>
                <w:b/>
                <w:bCs/>
                <w:sz w:val="20"/>
                <w:lang w:val="en-US"/>
              </w:rPr>
              <w:t>TF</w:t>
            </w:r>
          </w:p>
        </w:tc>
        <w:tc>
          <w:tcPr>
            <w:tcW w:w="8220" w:type="dxa"/>
          </w:tcPr>
          <w:p w:rsidR="003E352C" w:rsidRPr="00614CC6" w:rsidRDefault="003E352C" w:rsidP="00383E47">
            <w:pPr>
              <w:spacing w:before="30" w:after="30"/>
              <w:jc w:val="left"/>
              <w:rPr>
                <w:sz w:val="20"/>
              </w:rPr>
            </w:pPr>
            <w:r w:rsidRPr="00614CC6">
              <w:rPr>
                <w:sz w:val="20"/>
              </w:rPr>
              <w:t>Emissions de fréquences étalon et de signaux horaires</w:t>
            </w:r>
          </w:p>
        </w:tc>
      </w:tr>
      <w:tr w:rsidR="003E352C" w:rsidRPr="00036EE3" w:rsidTr="00383E47">
        <w:tc>
          <w:tcPr>
            <w:tcW w:w="1140" w:type="dxa"/>
          </w:tcPr>
          <w:p w:rsidR="003E352C" w:rsidRPr="00614CC6" w:rsidRDefault="003E352C" w:rsidP="00383E47">
            <w:pPr>
              <w:spacing w:before="30" w:after="30"/>
              <w:ind w:left="57"/>
              <w:jc w:val="left"/>
              <w:rPr>
                <w:b/>
                <w:bCs/>
                <w:sz w:val="20"/>
                <w:lang w:val="en-US"/>
              </w:rPr>
            </w:pPr>
            <w:r w:rsidRPr="00614CC6">
              <w:rPr>
                <w:b/>
                <w:bCs/>
                <w:sz w:val="20"/>
                <w:lang w:val="en-US"/>
              </w:rPr>
              <w:t>V</w:t>
            </w:r>
          </w:p>
        </w:tc>
        <w:tc>
          <w:tcPr>
            <w:tcW w:w="8220" w:type="dxa"/>
          </w:tcPr>
          <w:p w:rsidR="003E352C" w:rsidRPr="00614CC6" w:rsidRDefault="003E352C" w:rsidP="00383E47">
            <w:pPr>
              <w:spacing w:before="30" w:after="140"/>
              <w:jc w:val="left"/>
              <w:rPr>
                <w:sz w:val="20"/>
                <w:lang w:val="en-US"/>
              </w:rPr>
            </w:pPr>
            <w:r w:rsidRPr="00614CC6">
              <w:rPr>
                <w:sz w:val="20"/>
              </w:rPr>
              <w:t>Vocabulaire et sujets associés</w:t>
            </w:r>
          </w:p>
        </w:tc>
      </w:tr>
    </w:tbl>
    <w:p w:rsidR="003E352C" w:rsidRPr="00036EE3" w:rsidRDefault="003E352C" w:rsidP="003E352C">
      <w:pPr>
        <w:spacing w:before="0"/>
        <w:jc w:val="center"/>
        <w:rPr>
          <w:sz w:val="20"/>
          <w:lang w:val="en-US"/>
        </w:rPr>
      </w:pPr>
    </w:p>
    <w:p w:rsidR="003E352C" w:rsidRPr="00036EE3" w:rsidRDefault="003E352C" w:rsidP="003E35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E352C" w:rsidRPr="00756B4D" w:rsidTr="00383E47">
        <w:tc>
          <w:tcPr>
            <w:tcW w:w="9360" w:type="dxa"/>
          </w:tcPr>
          <w:p w:rsidR="003E352C" w:rsidRPr="00756B4D" w:rsidRDefault="003E352C" w:rsidP="00383E47">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E352C" w:rsidRPr="00756B4D" w:rsidRDefault="003E352C" w:rsidP="003E352C">
      <w:pPr>
        <w:spacing w:before="0"/>
        <w:jc w:val="center"/>
        <w:rPr>
          <w:sz w:val="22"/>
        </w:rPr>
      </w:pPr>
    </w:p>
    <w:p w:rsidR="003E352C" w:rsidRPr="00614CC6" w:rsidRDefault="003E352C" w:rsidP="003E352C">
      <w:pPr>
        <w:spacing w:before="100"/>
        <w:jc w:val="right"/>
        <w:rPr>
          <w:i/>
          <w:iCs/>
          <w:sz w:val="20"/>
        </w:rPr>
      </w:pPr>
      <w:r w:rsidRPr="00614CC6">
        <w:rPr>
          <w:i/>
          <w:iCs/>
          <w:sz w:val="20"/>
        </w:rPr>
        <w:t>Publication électronique</w:t>
      </w:r>
    </w:p>
    <w:p w:rsidR="003E352C" w:rsidRPr="00614CC6" w:rsidRDefault="003E352C" w:rsidP="002E0C9C">
      <w:pPr>
        <w:spacing w:before="0"/>
        <w:jc w:val="right"/>
        <w:rPr>
          <w:sz w:val="20"/>
        </w:rPr>
      </w:pPr>
      <w:r w:rsidRPr="00614CC6">
        <w:rPr>
          <w:sz w:val="20"/>
        </w:rPr>
        <w:t>Genève, 20</w:t>
      </w:r>
      <w:r>
        <w:rPr>
          <w:sz w:val="20"/>
        </w:rPr>
        <w:t>1</w:t>
      </w:r>
      <w:r w:rsidR="002E0C9C">
        <w:rPr>
          <w:sz w:val="20"/>
        </w:rPr>
        <w:t>1</w:t>
      </w:r>
    </w:p>
    <w:p w:rsidR="003E352C" w:rsidRPr="00614CC6" w:rsidRDefault="003E352C" w:rsidP="002E0C9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2E0C9C">
        <w:rPr>
          <w:sz w:val="20"/>
        </w:rPr>
        <w:t>1</w:t>
      </w:r>
    </w:p>
    <w:p w:rsidR="003E352C" w:rsidRPr="00614CC6" w:rsidRDefault="003E352C" w:rsidP="003E35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E352C" w:rsidRPr="00614CC6" w:rsidRDefault="003E352C" w:rsidP="003E352C">
      <w:pPr>
        <w:spacing w:before="160"/>
        <w:rPr>
          <w:i/>
          <w:sz w:val="20"/>
          <w:highlight w:val="yellow"/>
        </w:rPr>
        <w:sectPr w:rsidR="003E352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3E352C" w:rsidRPr="003E352C" w:rsidRDefault="003E352C" w:rsidP="003E352C">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SF</w:t>
      </w:r>
      <w:r w:rsidRPr="00756B4D">
        <w:rPr>
          <w:rStyle w:val="href"/>
        </w:rPr>
        <w:t>.</w:t>
      </w:r>
      <w:r>
        <w:rPr>
          <w:rStyle w:val="href"/>
        </w:rPr>
        <w:t>1602</w:t>
      </w:r>
      <w:r w:rsidR="00AE079A">
        <w:rPr>
          <w:rStyle w:val="FootnoteReference"/>
        </w:rPr>
        <w:footnoteReference w:customMarkFollows="1" w:id="1"/>
        <w:t>*</w:t>
      </w:r>
    </w:p>
    <w:p w:rsidR="003E352C" w:rsidRDefault="003E352C" w:rsidP="003E352C">
      <w:pPr>
        <w:pStyle w:val="Rectitle"/>
      </w:pPr>
      <w:r>
        <w:t>Méthode de détermination des statistiques de puissance surfacique à utiliser dans les études de partage entre systèmes hertziens fixes</w:t>
      </w:r>
      <w:r>
        <w:br/>
        <w:t>et plusieurs satellites du service fixe par satellite</w:t>
      </w:r>
    </w:p>
    <w:p w:rsidR="003E352C" w:rsidRDefault="003E352C" w:rsidP="003E352C">
      <w:pPr>
        <w:pStyle w:val="Recdate"/>
      </w:pPr>
      <w:r>
        <w:t>(2003)</w:t>
      </w:r>
    </w:p>
    <w:p w:rsidR="003E352C" w:rsidRPr="002E0C9C" w:rsidRDefault="003E352C" w:rsidP="00AE079A">
      <w:pPr>
        <w:pStyle w:val="HeadingSum"/>
        <w:rPr>
          <w:lang w:val="fr-CH"/>
        </w:rPr>
      </w:pPr>
      <w:r w:rsidRPr="002E0C9C">
        <w:rPr>
          <w:lang w:val="fr-CH"/>
        </w:rPr>
        <w:t>Domaine d'application</w:t>
      </w:r>
    </w:p>
    <w:p w:rsidR="003E352C" w:rsidRPr="00AE079A" w:rsidRDefault="003E352C" w:rsidP="00AE079A">
      <w:pPr>
        <w:rPr>
          <w:sz w:val="22"/>
          <w:szCs w:val="22"/>
        </w:rPr>
      </w:pPr>
      <w:r w:rsidRPr="00AE079A">
        <w:rPr>
          <w:sz w:val="22"/>
          <w:szCs w:val="22"/>
        </w:rPr>
        <w:t xml:space="preserve">A certains angles d'élévation à la surface de la Terre, la puissance surfacique produite par un satellite peut être inférieure aux valeurs limites requises conformément à un gabarit de puissance surfacique donné, du fait des limitations relatives aux diagrammes de gain d'antenne réels et de la nécessité d'éviter tout </w:t>
      </w:r>
      <w:proofErr w:type="spellStart"/>
      <w:r w:rsidRPr="00AE079A">
        <w:rPr>
          <w:sz w:val="22"/>
          <w:szCs w:val="22"/>
        </w:rPr>
        <w:t>autobrouillage</w:t>
      </w:r>
      <w:proofErr w:type="spellEnd"/>
      <w:r w:rsidRPr="00AE079A">
        <w:rPr>
          <w:sz w:val="22"/>
          <w:szCs w:val="22"/>
        </w:rPr>
        <w:t>. La présente Recommandation décrit une méthode de détermination des statistiques de puissance surfacique produite à la surface de la Terre par des satellites OSG et non OSG.</w:t>
      </w:r>
    </w:p>
    <w:p w:rsidR="003E352C" w:rsidRDefault="003E352C" w:rsidP="003E352C">
      <w:pPr>
        <w:pStyle w:val="Normalaftertitle"/>
      </w:pPr>
      <w:r>
        <w:t>L'Assemblée des radiocommunications de l'UIT,</w:t>
      </w:r>
    </w:p>
    <w:p w:rsidR="003E352C" w:rsidRDefault="003E352C" w:rsidP="003E352C">
      <w:pPr>
        <w:pStyle w:val="Call"/>
      </w:pPr>
      <w:r>
        <w:t>considérant</w:t>
      </w:r>
    </w:p>
    <w:p w:rsidR="003E352C" w:rsidRDefault="003E352C" w:rsidP="003E352C">
      <w:r>
        <w:t>a)</w:t>
      </w:r>
      <w:r>
        <w:tab/>
        <w:t xml:space="preserve">qu'il est nécessaire de faire en sorte que les niveaux des brouillages causés aux systèmes hertziens fixes (FWS, </w:t>
      </w:r>
      <w:proofErr w:type="spellStart"/>
      <w:r>
        <w:rPr>
          <w:i/>
          <w:iCs/>
        </w:rPr>
        <w:t>fixed</w:t>
      </w:r>
      <w:proofErr w:type="spellEnd"/>
      <w:r>
        <w:rPr>
          <w:i/>
          <w:iCs/>
        </w:rPr>
        <w:t xml:space="preserve"> </w:t>
      </w:r>
      <w:proofErr w:type="spellStart"/>
      <w:r>
        <w:rPr>
          <w:i/>
          <w:iCs/>
        </w:rPr>
        <w:t>wireless</w:t>
      </w:r>
      <w:proofErr w:type="spellEnd"/>
      <w:r>
        <w:rPr>
          <w:i/>
          <w:iCs/>
        </w:rPr>
        <w:t xml:space="preserve"> </w:t>
      </w:r>
      <w:proofErr w:type="spellStart"/>
      <w:r>
        <w:rPr>
          <w:i/>
          <w:iCs/>
        </w:rPr>
        <w:t>systems</w:t>
      </w:r>
      <w:proofErr w:type="spellEnd"/>
      <w:r>
        <w:t>) par les émissions en provenance de satellites, ne dépassent pas les niveaux admissibles dans les bandes utilisées en partage par le service fixe et le SFS;</w:t>
      </w:r>
    </w:p>
    <w:p w:rsidR="003E352C" w:rsidRDefault="003E352C" w:rsidP="003E352C">
      <w:r>
        <w:t>b)</w:t>
      </w:r>
      <w:r>
        <w:tab/>
        <w:t>qu'il est possible de protéger convenablement les FWS contre les émissions cumulées de plusieurs satellites (constellations non OSG ou arc OSG totalement occupé) en fixant pour chaque satellite des limites adéquates de puissance surfacique rayonnée dans une largeur de bande de référence à la surface de la Terre;</w:t>
      </w:r>
    </w:p>
    <w:p w:rsidR="003E352C" w:rsidRDefault="003E352C" w:rsidP="003E352C">
      <w:r>
        <w:t>c)</w:t>
      </w:r>
      <w:r>
        <w:tab/>
        <w:t>que toute limitation de puissance surfacique à la surface de la Terre ne devrait pas imposer de restrictions injustifiées à la conception de systèmes du SFS OSG ou non OSG;</w:t>
      </w:r>
    </w:p>
    <w:p w:rsidR="003E352C" w:rsidRDefault="003E352C" w:rsidP="003E352C">
      <w:r>
        <w:t>d)</w:t>
      </w:r>
      <w:r>
        <w:tab/>
        <w:t>que les Recommandations UIT-R SF.1482 et UIT-R SF.1483 spécifient les valeurs maximales admissibles de la puissance surfacique produite à la surface de la Terre par des satellites non OSG du SFS pour protéger le service fixe dans les bandes 10,7</w:t>
      </w:r>
      <w:r>
        <w:noBreakHyphen/>
        <w:t>12,75 GHz et 17,7</w:t>
      </w:r>
      <w:r>
        <w:noBreakHyphen/>
        <w:t>19,3 GHz respectivement;</w:t>
      </w:r>
    </w:p>
    <w:p w:rsidR="003E352C" w:rsidRDefault="003E352C" w:rsidP="003E352C">
      <w:r>
        <w:t>e)</w:t>
      </w:r>
      <w:r>
        <w:tab/>
        <w:t xml:space="preserve">que les niveaux de puissance surfacique spécifiés dans les Recommandations mentionnées au </w:t>
      </w:r>
      <w:r>
        <w:rPr>
          <w:i/>
          <w:iCs/>
        </w:rPr>
        <w:t>considérant</w:t>
      </w:r>
      <w:r>
        <w:t xml:space="preserve"> d) ont été définis à partir d'une analyse utilisant des gabarits de puissance surfacique pour calculer les statistiques des niveaux de puissance cumulatifs reçus par une station du service fixe en appliquant les niveaux de puissance surfacique étudiés à chaque satellite visible de la constellation du SFS non OSG;</w:t>
      </w:r>
    </w:p>
    <w:p w:rsidR="003E352C" w:rsidRDefault="003E352C" w:rsidP="003E352C">
      <w:r>
        <w:t>f)</w:t>
      </w:r>
      <w:r>
        <w:tab/>
        <w:t xml:space="preserve">que dans une configuration </w:t>
      </w:r>
      <w:proofErr w:type="spellStart"/>
      <w:r>
        <w:t>multisatellite</w:t>
      </w:r>
      <w:proofErr w:type="spellEnd"/>
      <w:r>
        <w:t>, telle une constellation non OSG ou un arc OSG totalement occupé, il est possible que la puissance surfacique rayonnée par chacun des satellites visibles ne soit pas simultanément maximale dans la direction du système du service fixe étudié,</w:t>
      </w:r>
    </w:p>
    <w:p w:rsidR="003E352C" w:rsidRDefault="003E352C" w:rsidP="003E352C">
      <w:pPr>
        <w:pStyle w:val="Call"/>
      </w:pPr>
      <w:r>
        <w:lastRenderedPageBreak/>
        <w:t>recommande</w:t>
      </w:r>
    </w:p>
    <w:p w:rsidR="003E352C" w:rsidRDefault="003E352C" w:rsidP="003E352C">
      <w:r>
        <w:rPr>
          <w:b/>
          <w:bCs/>
        </w:rPr>
        <w:t>1</w:t>
      </w:r>
      <w:r>
        <w:tab/>
        <w:t>que la méthode décrite dans l'Annexe 1 pourra être utilisée afin de calculer les statistiques de puissance surfacique à utiliser pour les études de partage entre les FWS et plusieurs satellites du SFS, en tenant compte des caractéristiques des systèmes à satellites.</w:t>
      </w:r>
    </w:p>
    <w:p w:rsidR="00AE079A" w:rsidRDefault="00AE079A" w:rsidP="003E352C"/>
    <w:p w:rsidR="00AE079A" w:rsidRDefault="00AE079A" w:rsidP="003E352C"/>
    <w:p w:rsidR="003E352C" w:rsidRPr="00C972EB" w:rsidRDefault="003E352C" w:rsidP="00AE079A">
      <w:pPr>
        <w:pStyle w:val="AnnexNoTitle"/>
        <w:rPr>
          <w:b w:val="0"/>
          <w:bCs/>
        </w:rPr>
      </w:pPr>
      <w:r>
        <w:t>Annexe 1</w:t>
      </w:r>
      <w:r w:rsidR="00AE079A">
        <w:br/>
      </w:r>
      <w:r w:rsidR="00AE079A">
        <w:br/>
      </w:r>
      <w:r w:rsidRPr="00C972EB">
        <w:rPr>
          <w:bCs/>
        </w:rPr>
        <w:t xml:space="preserve">Méthode de détermination des statistiques de puissance surfacique à utiliser dans les études de partage entre systèmes hertziens fixes et plusieurs satellites </w:t>
      </w:r>
      <w:r w:rsidR="00AE079A">
        <w:rPr>
          <w:bCs/>
        </w:rPr>
        <w:br/>
      </w:r>
      <w:r w:rsidRPr="00C972EB">
        <w:rPr>
          <w:bCs/>
        </w:rPr>
        <w:t>du service fixe par satellite</w:t>
      </w:r>
    </w:p>
    <w:p w:rsidR="003E352C" w:rsidRDefault="003E352C" w:rsidP="003E352C">
      <w:pPr>
        <w:pStyle w:val="Heading1"/>
      </w:pPr>
      <w:r>
        <w:t>1</w:t>
      </w:r>
      <w:r>
        <w:tab/>
        <w:t>Introduction</w:t>
      </w:r>
    </w:p>
    <w:p w:rsidR="003E352C" w:rsidRDefault="003E352C" w:rsidP="003E352C">
      <w:r>
        <w:t>Cette Annexe présente une méthode statistique permettant de déterminer les effets des satellites non OSG et OSG sur les FWS. Cette méthode tient compte de caractéristiques réalistes de satellites et procure des éléments utiles aux études de partage entre le service fixe et les services à satellites.</w:t>
      </w:r>
    </w:p>
    <w:p w:rsidR="003E352C" w:rsidRDefault="003E352C" w:rsidP="003E352C">
      <w:r>
        <w:t>Il convient de noter que les Recommandations UIT</w:t>
      </w:r>
      <w:r>
        <w:noBreakHyphen/>
        <w:t>R SF.1482 et UIT</w:t>
      </w:r>
      <w:r>
        <w:noBreakHyphen/>
        <w:t>R SF.1483, traitant des valeurs maximales admissibles de la puissance surfacique produite à la surface de la Terre par des satellites non OSG du SFS propre à protéger le service fixe, donnent des éléments généraux relatifs à cette méthode.</w:t>
      </w:r>
    </w:p>
    <w:p w:rsidR="003E352C" w:rsidRDefault="003E352C" w:rsidP="003E352C">
      <w:pPr>
        <w:pStyle w:val="Heading1"/>
      </w:pPr>
      <w:r>
        <w:t>2</w:t>
      </w:r>
      <w:r>
        <w:tab/>
        <w:t>Description de l'analyse par gabarit de puissance surfacique</w:t>
      </w:r>
    </w:p>
    <w:p w:rsidR="003E352C" w:rsidRDefault="003E352C" w:rsidP="003E352C">
      <w:r>
        <w:t>Avec la méthode existante d'évaluation du gabarit de puissance surfacique à utiliser pour les systèmes à satellites OSG ou les satellites non OSG, telle que celle qui figure dans les Recommandations UIT</w:t>
      </w:r>
      <w:r>
        <w:noBreakHyphen/>
        <w:t>R SF.1482 et UIT</w:t>
      </w:r>
      <w:r>
        <w:noBreakHyphen/>
        <w:t>R SF.1483 précitées, on calcule le brouillage cumulatif produit par tous les satellites visibles par le service fixe en utilisant un gabarit de puissance surfacique défini dans des dispositions réglementaires tel que dans l'Article 21 du Règlement des radiocommunications.</w:t>
      </w:r>
    </w:p>
    <w:p w:rsidR="003E352C" w:rsidRDefault="003E352C" w:rsidP="003E352C">
      <w:r>
        <w:t>Lorsqu'on applique cette méthode à des satellites OSG, on suppose généralement que l'arc OSG est occupé par un certain nombre de satellites (par exemple, un satellite tous les 4°) qui produisent un brouillage permanent. La Fig. 1 donne des résultats représentatifs résultant de l'application de cette méthode à des satellites OSG pour tous les azimuts du service fixe.</w:t>
      </w:r>
    </w:p>
    <w:p w:rsidR="003E352C" w:rsidRDefault="003E352C" w:rsidP="00D0134F">
      <w:pPr>
        <w:pStyle w:val="FigureNo"/>
      </w:pPr>
      <w:r>
        <w:rPr>
          <w:noProof/>
          <w:lang w:val="en-US" w:eastAsia="zh-CN"/>
        </w:rPr>
        <w:lastRenderedPageBreak/>
        <w:drawing>
          <wp:inline distT="0" distB="0" distL="0" distR="0" wp14:anchorId="7598116C" wp14:editId="65E14B5A">
            <wp:extent cx="4334510" cy="2834640"/>
            <wp:effectExtent l="0" t="0" r="889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4510" cy="2834640"/>
                    </a:xfrm>
                    <a:prstGeom prst="rect">
                      <a:avLst/>
                    </a:prstGeom>
                    <a:noFill/>
                    <a:ln>
                      <a:noFill/>
                    </a:ln>
                  </pic:spPr>
                </pic:pic>
              </a:graphicData>
            </a:graphic>
          </wp:inline>
        </w:drawing>
      </w:r>
    </w:p>
    <w:p w:rsidR="003E352C" w:rsidRDefault="003E352C" w:rsidP="00AE079A">
      <w:pPr>
        <w:pStyle w:val="Normalaftertitle"/>
      </w:pPr>
      <w:r>
        <w:t>Dans le cas de systèmes non OSG, on calcule à partir des caractéristiques de chaque constellation (nombre de satellites, nombre de plans, inclinaison(s), altitude, etc.) les statistiques des niveaux théoriques de puissance cumulative reçus par une station du service fixe en appliquant des limites de puissance surfacique pertinentes à chaque satellite visible de la constellation du SFS non OSG (voir la Recommandation UIT</w:t>
      </w:r>
      <w:r>
        <w:noBreakHyphen/>
        <w:t>R F.1108). Lorsqu'on applique cette méthode à des satellites non OSG, on calcule la distribution des brouillages pour l'azimut de la station du service fixe (et pour un seul angle d'élévation) qui correspond au cas le plus défavorable de la constellation et on obtient ainsi une distribution du niveau des brouillages en fonction du pourcentage de temps (voir la Fig. 2).</w:t>
      </w:r>
    </w:p>
    <w:p w:rsidR="003E352C" w:rsidRDefault="003E352C" w:rsidP="00D0134F">
      <w:pPr>
        <w:pStyle w:val="FigureNo"/>
      </w:pPr>
      <w:r>
        <w:rPr>
          <w:noProof/>
          <w:lang w:val="en-US" w:eastAsia="zh-CN"/>
        </w:rPr>
        <w:drawing>
          <wp:inline distT="0" distB="0" distL="0" distR="0" wp14:anchorId="0B2D5849" wp14:editId="65A0A296">
            <wp:extent cx="5998210" cy="264287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210" cy="2642870"/>
                    </a:xfrm>
                    <a:prstGeom prst="rect">
                      <a:avLst/>
                    </a:prstGeom>
                    <a:noFill/>
                    <a:ln>
                      <a:noFill/>
                    </a:ln>
                  </pic:spPr>
                </pic:pic>
              </a:graphicData>
            </a:graphic>
          </wp:inline>
        </w:drawing>
      </w:r>
    </w:p>
    <w:p w:rsidR="003E352C" w:rsidRDefault="003E352C" w:rsidP="00AE079A">
      <w:pPr>
        <w:pStyle w:val="Normalaftertitle"/>
      </w:pPr>
      <w:r>
        <w:t>Cette méthode a servi en général de base aux études de partage interservices. Elle présente l'avantage d'être simple mais elle conduit à une surestimation des brouillages réels susceptibles d'être causés aux stations du service fixe.</w:t>
      </w:r>
    </w:p>
    <w:p w:rsidR="003E352C" w:rsidRDefault="003E352C" w:rsidP="003E352C">
      <w:r>
        <w:t xml:space="preserve">En ce qui concerne les caractéristiques du SFS, l'analyse suppose que la puissance surfacique produite par chacun des satellites visibles est maximale dans la direction du système du service fixe considéré. Cette hypothèse ne tient pas compte des diagrammes des antennes réelles de satellite, des </w:t>
      </w:r>
      <w:r>
        <w:lastRenderedPageBreak/>
        <w:t xml:space="preserve">limitations de puissance de chaque satellite ou des restrictions que le brouillage </w:t>
      </w:r>
      <w:proofErr w:type="spellStart"/>
      <w:r>
        <w:t>intrasystème</w:t>
      </w:r>
      <w:proofErr w:type="spellEnd"/>
      <w:r>
        <w:t xml:space="preserve"> (résultant de la réutilisation de fréquence) impose à un système du SFS ainsi que des contraintes d'exploitation fondamentales des systèmes du SFS.</w:t>
      </w:r>
    </w:p>
    <w:p w:rsidR="003E352C" w:rsidRDefault="003E352C" w:rsidP="003E352C">
      <w:r>
        <w:t>La méthode décrite au § 3 utilise une approche statistique qui permet d'intégrer les caractéristiques d'exploitation du SFS.</w:t>
      </w:r>
    </w:p>
    <w:p w:rsidR="003E352C" w:rsidRDefault="003E352C" w:rsidP="003E352C">
      <w:pPr>
        <w:pStyle w:val="Heading1"/>
      </w:pPr>
      <w:r>
        <w:t>3</w:t>
      </w:r>
      <w:r>
        <w:tab/>
        <w:t>Analyse de la puissance surfacique et modèles de satellite</w:t>
      </w:r>
    </w:p>
    <w:p w:rsidR="003E352C" w:rsidRDefault="003E352C" w:rsidP="003E352C">
      <w:r>
        <w:t xml:space="preserve">Cette méthode prend en compte des diagrammes réalistes d'antenne de satellite, les limitations de puissance de chaque satellite et des restrictions imposées par le brouillage </w:t>
      </w:r>
      <w:proofErr w:type="spellStart"/>
      <w:r>
        <w:t>intrasystème</w:t>
      </w:r>
      <w:proofErr w:type="spellEnd"/>
      <w:r>
        <w:t xml:space="preserve"> à un système non OSG du SFS, ainsi que des contraintes d'exploitation fondamentales des systèmes non OSG du SFS.</w:t>
      </w:r>
    </w:p>
    <w:p w:rsidR="003E352C" w:rsidRDefault="003E352C" w:rsidP="003E352C">
      <w:pPr>
        <w:rPr>
          <w:lang w:val="fr-CH"/>
        </w:rPr>
      </w:pPr>
      <w:r>
        <w:rPr>
          <w:lang w:val="fr-CH"/>
        </w:rPr>
        <w:t xml:space="preserve">Pour cette méthode, on suppose que, dans un contexte </w:t>
      </w:r>
      <w:proofErr w:type="spellStart"/>
      <w:r>
        <w:rPr>
          <w:lang w:val="fr-CH"/>
        </w:rPr>
        <w:t>multisatellite</w:t>
      </w:r>
      <w:proofErr w:type="spellEnd"/>
      <w:r>
        <w:rPr>
          <w:lang w:val="fr-CH"/>
        </w:rPr>
        <w:t>, tous les satellites visibles depuis un point donné de la Terre ne produisent pas simultanément la puissance surfacique maximale autorisée par un gabarit.</w:t>
      </w:r>
    </w:p>
    <w:p w:rsidR="003E352C" w:rsidRDefault="003E352C" w:rsidP="003E352C">
      <w:pPr>
        <w:rPr>
          <w:lang w:val="fr-CH"/>
        </w:rPr>
      </w:pPr>
      <w:r>
        <w:rPr>
          <w:lang w:val="fr-CH"/>
        </w:rPr>
        <w:t>En général, on trouvera dans la documentation de l'UIT-R les paramètres nécessaires à la modélisation précise de la puissance surfacique produite par un satellite (puissance maximale, nombre de faisceaux, gain d'antenne et diagramme d'antenne). Il est donné ci-dessous un modèle analytique de certains paramètres possibles d'un système OSG du SFS et d'un système non OSG du SFS.</w:t>
      </w:r>
    </w:p>
    <w:p w:rsidR="003E352C" w:rsidRDefault="003E352C" w:rsidP="003E352C">
      <w:pPr>
        <w:rPr>
          <w:lang w:val="fr-CH"/>
        </w:rPr>
      </w:pPr>
      <w:r>
        <w:rPr>
          <w:lang w:val="fr-CH"/>
        </w:rPr>
        <w:t>Les valeurs de ces paramètres dépendent de la bande de fréquences et du type de satellite (OSG ou non OSG) considérés. Il est toutefois possible d'obtenir une équation générale liant ces paramètres.</w:t>
      </w:r>
    </w:p>
    <w:p w:rsidR="003E352C" w:rsidRDefault="003E352C" w:rsidP="003E352C">
      <w:pPr>
        <w:rPr>
          <w:lang w:val="fr-CH"/>
        </w:rPr>
      </w:pPr>
      <w:r>
        <w:rPr>
          <w:lang w:val="fr-CH"/>
        </w:rPr>
        <w:t>La puissance émise dans le lobe principal d'un satellite à couverture par faisceau unique, tel que pouvant fonctionner dans certaines bandes de fréquences, de manière à produire la puissance surfacique maximale, est donnée par l'équation:</w:t>
      </w:r>
    </w:p>
    <w:p w:rsidR="003E352C" w:rsidRDefault="003E352C" w:rsidP="003E352C">
      <w:pPr>
        <w:pStyle w:val="Equation"/>
        <w:rPr>
          <w:lang w:val="fr-CH"/>
        </w:rPr>
      </w:pPr>
      <w:r>
        <w:rPr>
          <w:lang w:val="fr-CH"/>
        </w:rPr>
        <w:tab/>
      </w:r>
      <w:r>
        <w:rPr>
          <w:lang w:val="fr-CH"/>
        </w:rPr>
        <w:tab/>
      </w:r>
      <w:r>
        <w:rPr>
          <w:position w:val="-12"/>
          <w:lang w:val="fr-CH"/>
        </w:rPr>
        <w:object w:dxaOrig="31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1.75pt" o:ole="">
            <v:imagedata r:id="rId15" o:title=""/>
          </v:shape>
          <o:OLEObject Type="Embed" ProgID="Equation.3" ShapeID="_x0000_i1025" DrawAspect="Content" ObjectID="_1385818259" r:id="rId16"/>
        </w:object>
      </w:r>
      <w:r>
        <w:rPr>
          <w:lang w:val="fr-CH"/>
        </w:rPr>
        <w:tab/>
        <w:t>(1)</w:t>
      </w:r>
    </w:p>
    <w:p w:rsidR="003E352C" w:rsidRDefault="003E352C" w:rsidP="003E352C">
      <w:pPr>
        <w:rPr>
          <w:lang w:val="fr-CH"/>
        </w:rPr>
      </w:pPr>
      <w:r>
        <w:rPr>
          <w:lang w:val="fr-CH"/>
        </w:rPr>
        <w:t>dans laquelle:</w:t>
      </w:r>
    </w:p>
    <w:p w:rsidR="003E352C" w:rsidRDefault="003E352C" w:rsidP="003E352C">
      <w:pPr>
        <w:pStyle w:val="Equationlegend"/>
        <w:rPr>
          <w:lang w:val="fr-CH"/>
        </w:rPr>
      </w:pPr>
      <w:r w:rsidRPr="009535C9">
        <w:rPr>
          <w:lang w:val="fr-CH"/>
        </w:rPr>
        <w:tab/>
      </w:r>
      <w:r>
        <w:rPr>
          <w:i/>
          <w:iCs/>
          <w:lang w:val="fr-CH"/>
        </w:rPr>
        <w:t>P</w:t>
      </w:r>
      <w:r>
        <w:rPr>
          <w:i/>
          <w:iCs/>
          <w:vertAlign w:val="subscript"/>
          <w:lang w:val="fr-CH"/>
        </w:rPr>
        <w:t>s</w:t>
      </w:r>
      <w:r>
        <w:rPr>
          <w:rFonts w:ascii="Tms Rmn" w:hAnsi="Tms Rmn"/>
          <w:sz w:val="12"/>
          <w:lang w:val="fr-CH"/>
        </w:rPr>
        <w:t> </w:t>
      </w:r>
      <w:r>
        <w:rPr>
          <w:lang w:val="fr-CH"/>
        </w:rPr>
        <w:t>:</w:t>
      </w:r>
      <w:r>
        <w:rPr>
          <w:lang w:val="fr-CH"/>
        </w:rPr>
        <w:tab/>
        <w:t>densité de puissance du satellite (dB(W/MHz))</w:t>
      </w:r>
    </w:p>
    <w:p w:rsidR="003E352C" w:rsidRDefault="003E352C" w:rsidP="003E352C">
      <w:pPr>
        <w:pStyle w:val="Equationlegend"/>
        <w:spacing w:before="60"/>
        <w:ind w:left="2160"/>
        <w:rPr>
          <w:lang w:val="fr-CH"/>
        </w:rPr>
      </w:pPr>
      <w:r>
        <w:rPr>
          <w:lang w:val="fr-CH"/>
        </w:rPr>
        <w:tab/>
      </w:r>
      <w:proofErr w:type="spellStart"/>
      <w:r w:rsidRPr="009535C9">
        <w:rPr>
          <w:i/>
          <w:iCs/>
          <w:lang w:val="fr-CH"/>
        </w:rPr>
        <w:t>pfd</w:t>
      </w:r>
      <w:r>
        <w:rPr>
          <w:i/>
          <w:iCs/>
          <w:vertAlign w:val="subscript"/>
          <w:lang w:val="fr-CH"/>
        </w:rPr>
        <w:t>m</w:t>
      </w:r>
      <w:proofErr w:type="spellEnd"/>
      <w:r>
        <w:rPr>
          <w:rFonts w:ascii="Tms Rmn" w:hAnsi="Tms Rmn"/>
          <w:sz w:val="12"/>
          <w:lang w:val="fr-CH"/>
        </w:rPr>
        <w:t> </w:t>
      </w:r>
      <w:r>
        <w:rPr>
          <w:lang w:val="fr-CH"/>
        </w:rPr>
        <w:t>:</w:t>
      </w:r>
      <w:r>
        <w:rPr>
          <w:lang w:val="fr-CH"/>
        </w:rPr>
        <w:tab/>
        <w:t xml:space="preserve">valeur maximale du gabarit de puissance surfacique </w:t>
      </w:r>
    </w:p>
    <w:p w:rsidR="003E352C" w:rsidRDefault="003E352C" w:rsidP="003E352C">
      <w:pPr>
        <w:pStyle w:val="Equationlegend"/>
        <w:spacing w:before="60"/>
        <w:rPr>
          <w:lang w:val="fr-CH"/>
        </w:rPr>
      </w:pPr>
      <w:r>
        <w:rPr>
          <w:lang w:val="fr-CH"/>
        </w:rPr>
        <w:tab/>
      </w:r>
      <w:proofErr w:type="spellStart"/>
      <w:r>
        <w:rPr>
          <w:i/>
          <w:iCs/>
          <w:lang w:val="fr-CH"/>
        </w:rPr>
        <w:t>G</w:t>
      </w:r>
      <w:r>
        <w:rPr>
          <w:i/>
          <w:iCs/>
          <w:vertAlign w:val="subscript"/>
          <w:lang w:val="fr-CH"/>
        </w:rPr>
        <w:t>s</w:t>
      </w:r>
      <w:proofErr w:type="spellEnd"/>
      <w:r>
        <w:rPr>
          <w:rFonts w:ascii="Tms Rmn" w:hAnsi="Tms Rmn"/>
          <w:sz w:val="12"/>
          <w:lang w:val="fr-CH"/>
        </w:rPr>
        <w:t> </w:t>
      </w:r>
      <w:r>
        <w:rPr>
          <w:lang w:val="fr-CH"/>
        </w:rPr>
        <w:t>:</w:t>
      </w:r>
      <w:r>
        <w:rPr>
          <w:lang w:val="fr-CH"/>
        </w:rPr>
        <w:tab/>
        <w:t>gain de l'antenne du satellite (</w:t>
      </w:r>
      <w:proofErr w:type="spellStart"/>
      <w:r>
        <w:rPr>
          <w:lang w:val="fr-CH"/>
        </w:rPr>
        <w:t>dBi</w:t>
      </w:r>
      <w:proofErr w:type="spellEnd"/>
      <w:r>
        <w:rPr>
          <w:lang w:val="fr-CH"/>
        </w:rPr>
        <w:t>)</w:t>
      </w:r>
    </w:p>
    <w:p w:rsidR="003E352C" w:rsidRDefault="003E352C" w:rsidP="003E352C">
      <w:pPr>
        <w:pStyle w:val="Equationlegend"/>
        <w:spacing w:before="60"/>
        <w:rPr>
          <w:lang w:val="fr-CH"/>
        </w:rPr>
      </w:pPr>
      <w:r>
        <w:rPr>
          <w:lang w:val="fr-CH"/>
        </w:rPr>
        <w:tab/>
      </w:r>
      <w:r>
        <w:rPr>
          <w:i/>
          <w:iCs/>
          <w:lang w:val="fr-CH"/>
        </w:rPr>
        <w:t>d</w:t>
      </w:r>
      <w:r>
        <w:rPr>
          <w:rFonts w:ascii="Tms Rmn" w:hAnsi="Tms Rmn"/>
          <w:sz w:val="12"/>
          <w:lang w:val="fr-CH"/>
        </w:rPr>
        <w:t> </w:t>
      </w:r>
      <w:r>
        <w:rPr>
          <w:lang w:val="fr-CH"/>
        </w:rPr>
        <w:t>:</w:t>
      </w:r>
      <w:r>
        <w:rPr>
          <w:lang w:val="fr-CH"/>
        </w:rPr>
        <w:tab/>
        <w:t xml:space="preserve">distance entre le satellite et son point </w:t>
      </w:r>
      <w:proofErr w:type="spellStart"/>
      <w:r>
        <w:rPr>
          <w:lang w:val="fr-CH"/>
        </w:rPr>
        <w:t>subsatellite</w:t>
      </w:r>
      <w:proofErr w:type="spellEnd"/>
      <w:r>
        <w:rPr>
          <w:lang w:val="fr-CH"/>
        </w:rPr>
        <w:t xml:space="preserve"> (m).</w:t>
      </w:r>
    </w:p>
    <w:p w:rsidR="003E352C" w:rsidRDefault="003E352C" w:rsidP="003E352C">
      <w:pPr>
        <w:rPr>
          <w:lang w:val="fr-CH"/>
        </w:rPr>
      </w:pPr>
      <w:r>
        <w:rPr>
          <w:lang w:val="fr-CH"/>
        </w:rPr>
        <w:t>Toutefois, dans les bandes de fréquences supérieures telles les bandes 20/30 GHz ou 40/50 GHz, la plupart des satellites utiliseront des faisceaux multiples avec des gains d'antenne plus élevés, et émettront sur plusieurs canaux. La densité de puissance de chaque faisceau est alors donnée par la relation:</w:t>
      </w:r>
    </w:p>
    <w:p w:rsidR="003E352C" w:rsidRDefault="003E352C" w:rsidP="003E352C">
      <w:pPr>
        <w:pStyle w:val="Equation"/>
        <w:rPr>
          <w:lang w:val="fr-CH"/>
        </w:rPr>
      </w:pPr>
      <w:r>
        <w:rPr>
          <w:lang w:val="fr-CH"/>
        </w:rPr>
        <w:tab/>
      </w:r>
      <w:r>
        <w:rPr>
          <w:lang w:val="fr-CH"/>
        </w:rPr>
        <w:tab/>
      </w:r>
      <w:r>
        <w:rPr>
          <w:position w:val="-62"/>
        </w:rPr>
        <w:object w:dxaOrig="5940" w:dyaOrig="1359">
          <v:shape id="_x0000_i1026" type="#_x0000_t75" style="width:297pt;height:67.5pt" o:ole="" fillcolor="window">
            <v:imagedata r:id="rId17" o:title=""/>
          </v:shape>
          <o:OLEObject Type="Embed" ProgID="Equation.3" ShapeID="_x0000_i1026" DrawAspect="Content" ObjectID="_1385818260" r:id="rId18"/>
        </w:object>
      </w:r>
      <w:r>
        <w:tab/>
        <w:t>(2)</w:t>
      </w:r>
    </w:p>
    <w:p w:rsidR="003E352C" w:rsidRDefault="003E352C" w:rsidP="003E352C">
      <w:pPr>
        <w:rPr>
          <w:lang w:val="fr-CH"/>
        </w:rPr>
      </w:pPr>
      <w:r>
        <w:rPr>
          <w:lang w:val="fr-CH"/>
        </w:rPr>
        <w:t>dans laquelle:</w:t>
      </w:r>
    </w:p>
    <w:p w:rsidR="003E352C" w:rsidRDefault="003E352C" w:rsidP="003E352C">
      <w:pPr>
        <w:pStyle w:val="Equationlegend"/>
        <w:rPr>
          <w:lang w:val="fr-CH"/>
        </w:rPr>
      </w:pPr>
      <w:r>
        <w:rPr>
          <w:lang w:val="fr-CH"/>
        </w:rPr>
        <w:tab/>
      </w:r>
      <w:r>
        <w:rPr>
          <w:i/>
          <w:iCs/>
          <w:lang w:val="fr-CH"/>
        </w:rPr>
        <w:t>P</w:t>
      </w:r>
      <w:r>
        <w:rPr>
          <w:i/>
          <w:iCs/>
          <w:vertAlign w:val="subscript"/>
          <w:lang w:val="fr-CH"/>
        </w:rPr>
        <w:t>ds</w:t>
      </w:r>
      <w:r>
        <w:rPr>
          <w:rFonts w:ascii="Tms Rmn" w:hAnsi="Tms Rmn"/>
          <w:sz w:val="12"/>
          <w:lang w:val="fr-CH"/>
        </w:rPr>
        <w:t> </w:t>
      </w:r>
      <w:r>
        <w:rPr>
          <w:lang w:val="fr-CH"/>
        </w:rPr>
        <w:t>:</w:t>
      </w:r>
      <w:r>
        <w:rPr>
          <w:lang w:val="fr-CH"/>
        </w:rPr>
        <w:tab/>
        <w:t>densité de puissance par faisceau de satellite (dB(W/MHz))</w:t>
      </w:r>
    </w:p>
    <w:p w:rsidR="003E352C" w:rsidRDefault="003E352C" w:rsidP="003E352C">
      <w:pPr>
        <w:pStyle w:val="Equationlegend"/>
        <w:spacing w:before="60"/>
        <w:rPr>
          <w:lang w:val="fr-CH"/>
        </w:rPr>
      </w:pPr>
      <w:r>
        <w:rPr>
          <w:lang w:val="fr-CH"/>
        </w:rPr>
        <w:tab/>
      </w:r>
      <w:r>
        <w:rPr>
          <w:i/>
          <w:iCs/>
          <w:lang w:val="fr-CH"/>
        </w:rPr>
        <w:t>P</w:t>
      </w:r>
      <w:r>
        <w:rPr>
          <w:i/>
          <w:iCs/>
          <w:vertAlign w:val="subscript"/>
          <w:lang w:val="fr-CH"/>
        </w:rPr>
        <w:t>f</w:t>
      </w:r>
      <w:r>
        <w:rPr>
          <w:rFonts w:ascii="Tms Rmn" w:hAnsi="Tms Rmn"/>
          <w:sz w:val="12"/>
          <w:lang w:val="fr-CH"/>
        </w:rPr>
        <w:t>  </w:t>
      </w:r>
      <w:r>
        <w:rPr>
          <w:lang w:val="fr-CH"/>
        </w:rPr>
        <w:t>:</w:t>
      </w:r>
      <w:r>
        <w:rPr>
          <w:lang w:val="fr-CH"/>
        </w:rPr>
        <w:tab/>
        <w:t>puissance par faisceau (W)</w:t>
      </w:r>
    </w:p>
    <w:p w:rsidR="003E352C" w:rsidRDefault="003E352C" w:rsidP="003E352C">
      <w:pPr>
        <w:pStyle w:val="Equationlegend"/>
        <w:spacing w:before="60"/>
        <w:rPr>
          <w:lang w:val="de-DE"/>
        </w:rPr>
      </w:pPr>
      <w:r>
        <w:rPr>
          <w:lang w:val="fr-CH"/>
        </w:rPr>
        <w:tab/>
      </w:r>
      <w:r>
        <w:rPr>
          <w:i/>
          <w:iCs/>
          <w:lang w:val="de-DE"/>
        </w:rPr>
        <w:t>BW</w:t>
      </w:r>
      <w:r>
        <w:rPr>
          <w:i/>
          <w:iCs/>
          <w:vertAlign w:val="subscript"/>
          <w:lang w:val="fr-CH"/>
        </w:rPr>
        <w:t>f</w:t>
      </w:r>
      <w:r>
        <w:rPr>
          <w:rFonts w:ascii="Tms Rmn" w:hAnsi="Tms Rmn"/>
          <w:sz w:val="12"/>
          <w:lang w:val="fr-CH"/>
        </w:rPr>
        <w:t>  </w:t>
      </w:r>
      <w:r>
        <w:rPr>
          <w:lang w:val="fr-CH"/>
        </w:rPr>
        <w:t>:</w:t>
      </w:r>
      <w:r>
        <w:rPr>
          <w:lang w:val="fr-CH"/>
        </w:rPr>
        <w:tab/>
      </w:r>
      <w:r>
        <w:rPr>
          <w:lang w:val="de-DE"/>
        </w:rPr>
        <w:t>largeur de bande du faisceau (MHz)</w:t>
      </w:r>
    </w:p>
    <w:p w:rsidR="003E352C" w:rsidRDefault="003E352C" w:rsidP="003E352C">
      <w:pPr>
        <w:pStyle w:val="Equationlegend"/>
        <w:spacing w:before="60"/>
        <w:rPr>
          <w:lang w:val="fr-CH"/>
        </w:rPr>
      </w:pPr>
      <w:r>
        <w:rPr>
          <w:lang w:val="de-DE"/>
        </w:rPr>
        <w:lastRenderedPageBreak/>
        <w:tab/>
      </w:r>
      <w:proofErr w:type="spellStart"/>
      <w:r>
        <w:rPr>
          <w:i/>
          <w:iCs/>
          <w:lang w:val="fr-CH"/>
        </w:rPr>
        <w:t>P</w:t>
      </w:r>
      <w:r>
        <w:rPr>
          <w:i/>
          <w:iCs/>
          <w:vertAlign w:val="subscript"/>
          <w:lang w:val="fr-CH"/>
        </w:rPr>
        <w:t>tot</w:t>
      </w:r>
      <w:proofErr w:type="spellEnd"/>
      <w:r>
        <w:rPr>
          <w:rFonts w:ascii="Tms Rmn" w:hAnsi="Tms Rmn"/>
          <w:sz w:val="12"/>
          <w:lang w:val="fr-CH"/>
        </w:rPr>
        <w:t> </w:t>
      </w:r>
      <w:r>
        <w:rPr>
          <w:lang w:val="fr-CH"/>
        </w:rPr>
        <w:t>:</w:t>
      </w:r>
      <w:r>
        <w:rPr>
          <w:lang w:val="fr-CH"/>
        </w:rPr>
        <w:tab/>
        <w:t>puissance totale rayonnée disponible sur le satellite (W)</w:t>
      </w:r>
    </w:p>
    <w:p w:rsidR="003E352C" w:rsidRDefault="003E352C" w:rsidP="003E352C">
      <w:pPr>
        <w:pStyle w:val="Equationlegend"/>
        <w:spacing w:before="60"/>
        <w:rPr>
          <w:lang w:val="fr-CH"/>
        </w:rPr>
      </w:pPr>
      <w:r>
        <w:rPr>
          <w:lang w:val="fr-CH"/>
        </w:rPr>
        <w:tab/>
      </w:r>
      <w:proofErr w:type="spellStart"/>
      <w:r>
        <w:rPr>
          <w:i/>
          <w:iCs/>
          <w:lang w:val="fr-CH"/>
        </w:rPr>
        <w:t>BW</w:t>
      </w:r>
      <w:r>
        <w:rPr>
          <w:i/>
          <w:iCs/>
          <w:vertAlign w:val="subscript"/>
          <w:lang w:val="fr-CH"/>
        </w:rPr>
        <w:t>tot</w:t>
      </w:r>
      <w:proofErr w:type="spellEnd"/>
      <w:r>
        <w:rPr>
          <w:rFonts w:ascii="Tms Rmn" w:hAnsi="Tms Rmn"/>
          <w:sz w:val="12"/>
          <w:lang w:val="fr-CH"/>
        </w:rPr>
        <w:t> </w:t>
      </w:r>
      <w:r>
        <w:rPr>
          <w:lang w:val="fr-CH"/>
        </w:rPr>
        <w:t>:</w:t>
      </w:r>
      <w:r>
        <w:rPr>
          <w:lang w:val="fr-CH"/>
        </w:rPr>
        <w:tab/>
        <w:t>largeur de bande totale du satellite (MHz)</w:t>
      </w:r>
    </w:p>
    <w:p w:rsidR="003E352C" w:rsidRDefault="003E352C" w:rsidP="003E352C">
      <w:pPr>
        <w:pStyle w:val="Equationlegend"/>
        <w:spacing w:before="60"/>
        <w:rPr>
          <w:lang w:val="fr-CH"/>
        </w:rPr>
      </w:pPr>
      <w:r>
        <w:rPr>
          <w:lang w:val="fr-CH"/>
        </w:rPr>
        <w:tab/>
      </w:r>
      <w:r>
        <w:rPr>
          <w:i/>
          <w:iCs/>
          <w:position w:val="-6"/>
        </w:rPr>
        <w:object w:dxaOrig="320" w:dyaOrig="279">
          <v:shape id="_x0000_i1027" type="#_x0000_t75" style="width:16.5pt;height:13.5pt" o:ole="">
            <v:imagedata r:id="rId19" o:title=""/>
          </v:shape>
          <o:OLEObject Type="Embed" ProgID="Equation.3" ShapeID="_x0000_i1027" DrawAspect="Content" ObjectID="_1385818261" r:id="rId20"/>
        </w:object>
      </w:r>
      <w:r>
        <w:rPr>
          <w:lang w:val="fr-CH"/>
        </w:rPr>
        <w:t>:</w:t>
      </w:r>
      <w:r>
        <w:rPr>
          <w:lang w:val="fr-CH"/>
        </w:rPr>
        <w:tab/>
        <w:t xml:space="preserve">nombre de canaux de fréquences contenus dans </w:t>
      </w:r>
      <w:proofErr w:type="spellStart"/>
      <w:r>
        <w:rPr>
          <w:i/>
          <w:iCs/>
          <w:lang w:val="fr-CH"/>
        </w:rPr>
        <w:t>BW</w:t>
      </w:r>
      <w:r>
        <w:rPr>
          <w:i/>
          <w:iCs/>
          <w:vertAlign w:val="subscript"/>
          <w:lang w:val="fr-CH"/>
        </w:rPr>
        <w:t>tot</w:t>
      </w:r>
      <w:proofErr w:type="spellEnd"/>
    </w:p>
    <w:p w:rsidR="003E352C" w:rsidRDefault="003E352C" w:rsidP="003E352C">
      <w:pPr>
        <w:pStyle w:val="Equationlegend"/>
        <w:spacing w:before="60"/>
        <w:rPr>
          <w:lang w:val="fr-CH"/>
        </w:rPr>
      </w:pPr>
      <w:r>
        <w:rPr>
          <w:lang w:val="fr-CH"/>
        </w:rPr>
        <w:tab/>
      </w:r>
      <w:r>
        <w:rPr>
          <w:i/>
          <w:iCs/>
          <w:lang w:val="fr-CH"/>
        </w:rPr>
        <w:t>N</w:t>
      </w:r>
      <w:r>
        <w:rPr>
          <w:rFonts w:ascii="Tms Rmn" w:hAnsi="Tms Rmn"/>
          <w:sz w:val="12"/>
          <w:lang w:val="fr-CH"/>
        </w:rPr>
        <w:t> </w:t>
      </w:r>
      <w:r>
        <w:rPr>
          <w:lang w:val="fr-CH"/>
        </w:rPr>
        <w:t>:</w:t>
      </w:r>
      <w:r>
        <w:rPr>
          <w:lang w:val="fr-CH"/>
        </w:rPr>
        <w:tab/>
        <w:t xml:space="preserve">nombre de faisceaux </w:t>
      </w:r>
      <w:proofErr w:type="spellStart"/>
      <w:r>
        <w:rPr>
          <w:lang w:val="fr-CH"/>
        </w:rPr>
        <w:t>cofréquence</w:t>
      </w:r>
      <w:proofErr w:type="spellEnd"/>
      <w:r>
        <w:rPr>
          <w:lang w:val="fr-CH"/>
        </w:rPr>
        <w:t>.</w:t>
      </w:r>
    </w:p>
    <w:p w:rsidR="003E352C" w:rsidRDefault="003E352C" w:rsidP="003E352C">
      <w:pPr>
        <w:rPr>
          <w:lang w:val="fr-CH"/>
        </w:rPr>
      </w:pPr>
      <w:r>
        <w:rPr>
          <w:lang w:val="fr-CH"/>
        </w:rPr>
        <w:t>A partir des équations (1) et (2), on obtient la relation générale suivante:</w:t>
      </w:r>
    </w:p>
    <w:p w:rsidR="003E352C" w:rsidRDefault="003E352C" w:rsidP="003E352C">
      <w:pPr>
        <w:pStyle w:val="Equation"/>
      </w:pPr>
      <w:r>
        <w:rPr>
          <w:lang w:val="fr-CH"/>
        </w:rPr>
        <w:tab/>
      </w:r>
      <w:r>
        <w:rPr>
          <w:lang w:val="fr-CH"/>
        </w:rPr>
        <w:tab/>
      </w:r>
      <w:r>
        <w:rPr>
          <w:position w:val="-30"/>
        </w:rPr>
        <w:object w:dxaOrig="4740" w:dyaOrig="700">
          <v:shape id="_x0000_i1028" type="#_x0000_t75" style="width:237pt;height:35.25pt" o:ole="" fillcolor="window">
            <v:imagedata r:id="rId21" o:title=""/>
          </v:shape>
          <o:OLEObject Type="Embed" ProgID="Equation.3" ShapeID="_x0000_i1028" DrawAspect="Content" ObjectID="_1385818262" r:id="rId22"/>
        </w:object>
      </w:r>
    </w:p>
    <w:p w:rsidR="003E352C" w:rsidRDefault="003E352C" w:rsidP="003E352C">
      <w:pPr>
        <w:rPr>
          <w:lang w:val="fr-CH"/>
        </w:rPr>
      </w:pPr>
      <w:r>
        <w:rPr>
          <w:lang w:val="fr-CH"/>
        </w:rPr>
        <w:t>qui donne:</w:t>
      </w:r>
    </w:p>
    <w:p w:rsidR="003E352C" w:rsidRDefault="003E352C" w:rsidP="003E352C">
      <w:pPr>
        <w:pStyle w:val="Equation"/>
        <w:spacing w:before="240"/>
        <w:jc w:val="center"/>
        <w:rPr>
          <w:lang w:val="fr-CH"/>
        </w:rPr>
      </w:pPr>
      <w:r w:rsidRPr="009535C9">
        <w:rPr>
          <w:lang w:val="fr-CH"/>
        </w:rPr>
        <w:tab/>
      </w:r>
      <w:r w:rsidRPr="009535C9">
        <w:rPr>
          <w:lang w:val="fr-CH"/>
        </w:rPr>
        <w:tab/>
      </w:r>
      <w:r>
        <w:rPr>
          <w:position w:val="-12"/>
        </w:rPr>
        <w:object w:dxaOrig="6880" w:dyaOrig="440">
          <v:shape id="_x0000_i1029" type="#_x0000_t75" style="width:343.5pt;height:21.75pt" o:ole="" fillcolor="window">
            <v:imagedata r:id="rId23" o:title=""/>
          </v:shape>
          <o:OLEObject Type="Embed" ProgID="Equation.3" ShapeID="_x0000_i1029" DrawAspect="Content" ObjectID="_1385818263" r:id="rId24"/>
        </w:object>
      </w:r>
      <w:r w:rsidRPr="009535C9">
        <w:rPr>
          <w:lang w:val="fr-CH"/>
        </w:rPr>
        <w:tab/>
      </w:r>
      <w:r>
        <w:rPr>
          <w:lang w:val="fr-CH"/>
        </w:rPr>
        <w:t>(3)</w:t>
      </w:r>
    </w:p>
    <w:p w:rsidR="003E352C" w:rsidRDefault="003E352C" w:rsidP="003E352C">
      <w:r>
        <w:t>où:</w:t>
      </w:r>
    </w:p>
    <w:p w:rsidR="003E352C" w:rsidRDefault="003E352C" w:rsidP="003E352C">
      <w:pPr>
        <w:pStyle w:val="Equationlegend"/>
        <w:rPr>
          <w:lang w:val="fr-CH"/>
        </w:rPr>
      </w:pPr>
      <w:r>
        <w:rPr>
          <w:lang w:val="fr-CH"/>
        </w:rPr>
        <w:tab/>
      </w:r>
      <w:r>
        <w:rPr>
          <w:i/>
          <w:iCs/>
          <w:lang w:val="fr-CH"/>
        </w:rPr>
        <w:t>G</w:t>
      </w:r>
      <w:r>
        <w:rPr>
          <w:i/>
          <w:iCs/>
          <w:vertAlign w:val="subscript"/>
          <w:lang w:val="fr-CH"/>
        </w:rPr>
        <w:t>b</w:t>
      </w:r>
      <w:r>
        <w:rPr>
          <w:rFonts w:ascii="Tms Rmn" w:hAnsi="Tms Rmn"/>
          <w:sz w:val="12"/>
          <w:lang w:val="fr-CH"/>
        </w:rPr>
        <w:t> </w:t>
      </w:r>
      <w:r>
        <w:rPr>
          <w:lang w:val="fr-CH"/>
        </w:rPr>
        <w:t>:</w:t>
      </w:r>
      <w:r>
        <w:rPr>
          <w:lang w:val="fr-CH"/>
        </w:rPr>
        <w:tab/>
        <w:t>gain d'antenne du faisceau (</w:t>
      </w:r>
      <w:proofErr w:type="spellStart"/>
      <w:r>
        <w:rPr>
          <w:lang w:val="fr-CH"/>
        </w:rPr>
        <w:t>dBi</w:t>
      </w:r>
      <w:proofErr w:type="spellEnd"/>
      <w:r>
        <w:rPr>
          <w:lang w:val="fr-CH"/>
        </w:rPr>
        <w:t>)</w:t>
      </w:r>
    </w:p>
    <w:p w:rsidR="003E352C" w:rsidRDefault="003E352C" w:rsidP="003E352C">
      <w:pPr>
        <w:pStyle w:val="Equationlegend"/>
        <w:rPr>
          <w:lang w:val="fr-CH"/>
        </w:rPr>
      </w:pPr>
      <w:r>
        <w:rPr>
          <w:lang w:val="fr-CH"/>
        </w:rPr>
        <w:tab/>
      </w:r>
      <w:proofErr w:type="spellStart"/>
      <w:r>
        <w:rPr>
          <w:i/>
          <w:iCs/>
          <w:lang w:val="fr-CH"/>
        </w:rPr>
        <w:t>pfd</w:t>
      </w:r>
      <w:r>
        <w:rPr>
          <w:i/>
          <w:iCs/>
          <w:vertAlign w:val="subscript"/>
          <w:lang w:val="fr-CH"/>
        </w:rPr>
        <w:t>m</w:t>
      </w:r>
      <w:proofErr w:type="spellEnd"/>
      <w:r>
        <w:rPr>
          <w:rFonts w:ascii="Tms Rmn" w:hAnsi="Tms Rmn"/>
          <w:sz w:val="12"/>
          <w:lang w:val="fr-CH"/>
        </w:rPr>
        <w:t> </w:t>
      </w:r>
      <w:r>
        <w:rPr>
          <w:lang w:val="fr-CH"/>
        </w:rPr>
        <w:t>:</w:t>
      </w:r>
      <w:r>
        <w:rPr>
          <w:lang w:val="fr-CH"/>
        </w:rPr>
        <w:tab/>
        <w:t>valeur maximale du gabarit de puissance surfacique (dB(W/(m</w:t>
      </w:r>
      <w:r>
        <w:rPr>
          <w:vertAlign w:val="superscript"/>
          <w:lang w:val="fr-CH"/>
        </w:rPr>
        <w:t>2</w:t>
      </w:r>
      <w:r>
        <w:rPr>
          <w:lang w:val="fr-CH"/>
        </w:rPr>
        <w:t> · MHz))</w:t>
      </w:r>
    </w:p>
    <w:p w:rsidR="003E352C" w:rsidRDefault="003E352C" w:rsidP="003E352C">
      <w:pPr>
        <w:pStyle w:val="Equationlegend"/>
        <w:rPr>
          <w:lang w:val="fr-CH"/>
        </w:rPr>
      </w:pPr>
      <w:r>
        <w:rPr>
          <w:lang w:val="fr-CH"/>
        </w:rPr>
        <w:tab/>
      </w:r>
      <w:proofErr w:type="spellStart"/>
      <w:r>
        <w:rPr>
          <w:i/>
          <w:iCs/>
          <w:lang w:val="fr-CH"/>
        </w:rPr>
        <w:t>P</w:t>
      </w:r>
      <w:r>
        <w:rPr>
          <w:i/>
          <w:iCs/>
          <w:vertAlign w:val="subscript"/>
          <w:lang w:val="fr-CH"/>
        </w:rPr>
        <w:t>tot</w:t>
      </w:r>
      <w:proofErr w:type="spellEnd"/>
      <w:r>
        <w:rPr>
          <w:rFonts w:ascii="Tms Rmn" w:hAnsi="Tms Rmn"/>
          <w:sz w:val="12"/>
          <w:lang w:val="fr-CH"/>
        </w:rPr>
        <w:t> </w:t>
      </w:r>
      <w:r>
        <w:rPr>
          <w:lang w:val="fr-CH"/>
        </w:rPr>
        <w:t>:</w:t>
      </w:r>
      <w:r>
        <w:rPr>
          <w:lang w:val="fr-CH"/>
        </w:rPr>
        <w:tab/>
        <w:t>puissance totale rayonnée disponible sur le satellite (W)</w:t>
      </w:r>
    </w:p>
    <w:p w:rsidR="003E352C" w:rsidRDefault="003E352C" w:rsidP="003E352C">
      <w:pPr>
        <w:pStyle w:val="Equationlegend"/>
        <w:rPr>
          <w:lang w:val="fr-CH"/>
        </w:rPr>
      </w:pPr>
      <w:r>
        <w:rPr>
          <w:lang w:val="fr-CH"/>
        </w:rPr>
        <w:tab/>
      </w:r>
      <w:r>
        <w:rPr>
          <w:i/>
          <w:iCs/>
          <w:lang w:val="fr-CH"/>
        </w:rPr>
        <w:t>N</w:t>
      </w:r>
      <w:r>
        <w:rPr>
          <w:rFonts w:ascii="Tms Rmn" w:hAnsi="Tms Rmn"/>
          <w:sz w:val="12"/>
          <w:lang w:val="fr-CH"/>
        </w:rPr>
        <w:t> </w:t>
      </w:r>
      <w:r>
        <w:rPr>
          <w:lang w:val="fr-CH"/>
        </w:rPr>
        <w:t>:</w:t>
      </w:r>
      <w:r>
        <w:rPr>
          <w:lang w:val="fr-CH"/>
        </w:rPr>
        <w:tab/>
        <w:t xml:space="preserve">nombre de faisceaux </w:t>
      </w:r>
      <w:proofErr w:type="spellStart"/>
      <w:r>
        <w:rPr>
          <w:lang w:val="fr-CH"/>
        </w:rPr>
        <w:t>cofréquence</w:t>
      </w:r>
      <w:proofErr w:type="spellEnd"/>
    </w:p>
    <w:p w:rsidR="003E352C" w:rsidRDefault="003E352C" w:rsidP="003E352C">
      <w:pPr>
        <w:pStyle w:val="Equationlegend"/>
        <w:rPr>
          <w:lang w:val="fr-CH"/>
        </w:rPr>
      </w:pPr>
      <w:r>
        <w:rPr>
          <w:lang w:val="fr-CH"/>
        </w:rPr>
        <w:tab/>
      </w:r>
      <w:proofErr w:type="spellStart"/>
      <w:r w:rsidRPr="009535C9">
        <w:rPr>
          <w:i/>
          <w:iCs/>
          <w:lang w:val="fr-CH"/>
        </w:rPr>
        <w:t>BW</w:t>
      </w:r>
      <w:r w:rsidRPr="009535C9">
        <w:rPr>
          <w:i/>
          <w:iCs/>
          <w:vertAlign w:val="subscript"/>
          <w:lang w:val="fr-CH"/>
        </w:rPr>
        <w:t>tot</w:t>
      </w:r>
      <w:proofErr w:type="spellEnd"/>
      <w:r>
        <w:rPr>
          <w:rFonts w:ascii="Tms Rmn" w:hAnsi="Tms Rmn"/>
          <w:sz w:val="12"/>
          <w:lang w:val="fr-CH"/>
        </w:rPr>
        <w:t> </w:t>
      </w:r>
      <w:r>
        <w:rPr>
          <w:lang w:val="fr-CH"/>
        </w:rPr>
        <w:t>:</w:t>
      </w:r>
      <w:r>
        <w:rPr>
          <w:lang w:val="fr-CH"/>
        </w:rPr>
        <w:tab/>
        <w:t>largeur de bande totale du satellite (MHz)</w:t>
      </w:r>
    </w:p>
    <w:p w:rsidR="003E352C" w:rsidRDefault="003E352C" w:rsidP="003E352C">
      <w:pPr>
        <w:pStyle w:val="Equationlegend"/>
        <w:rPr>
          <w:lang w:val="fr-CH"/>
        </w:rPr>
      </w:pPr>
      <w:r>
        <w:rPr>
          <w:lang w:val="fr-CH"/>
        </w:rPr>
        <w:tab/>
      </w:r>
      <w:r>
        <w:rPr>
          <w:i/>
          <w:iCs/>
          <w:lang w:val="fr-CH"/>
        </w:rPr>
        <w:t>d</w:t>
      </w:r>
      <w:r>
        <w:rPr>
          <w:rFonts w:ascii="Tms Rmn" w:hAnsi="Tms Rmn"/>
          <w:sz w:val="12"/>
          <w:lang w:val="fr-CH"/>
        </w:rPr>
        <w:t> </w:t>
      </w:r>
      <w:r>
        <w:rPr>
          <w:lang w:val="fr-CH"/>
        </w:rPr>
        <w:t>:</w:t>
      </w:r>
      <w:r>
        <w:rPr>
          <w:lang w:val="fr-CH"/>
        </w:rPr>
        <w:tab/>
        <w:t>distance entre le satellite et le centre de sa zone de pointage (m).</w:t>
      </w:r>
    </w:p>
    <w:p w:rsidR="003E352C" w:rsidRDefault="003E352C" w:rsidP="003E352C">
      <w:pPr>
        <w:rPr>
          <w:lang w:val="fr-CH"/>
        </w:rPr>
      </w:pPr>
      <w:r>
        <w:rPr>
          <w:lang w:val="fr-CH"/>
        </w:rPr>
        <w:t>Par conséquent, à partir de l'équation (3) et en utilisant les valeurs types existantes que l'on peut généralement trouver dans les textes de l'UIT-R, il est possible de définir des modèles de satellite simples qui peuvent être utilisés dans les études de partage entre le SFS et les services de Terre.</w:t>
      </w:r>
    </w:p>
    <w:p w:rsidR="003E352C" w:rsidRDefault="003E352C" w:rsidP="003E352C">
      <w:pPr>
        <w:rPr>
          <w:lang w:val="fr-CH"/>
        </w:rPr>
      </w:pPr>
      <w:r>
        <w:rPr>
          <w:lang w:val="fr-CH"/>
        </w:rPr>
        <w:t xml:space="preserve">Ainsi, afin de faciliter la compréhension et l'application de la méthode statistique présentée dans cette Annexe, les modèles de satellite ci-dessous, supposés être compatibles avec l'équation (3) (avec un niveau de puissance surfacique aux angles des élévations élevés égal à </w:t>
      </w:r>
      <w:r>
        <w:rPr>
          <w:rFonts w:ascii="Symbol" w:hAnsi="Symbol"/>
          <w:lang w:val="fr-CH"/>
        </w:rPr>
        <w:noBreakHyphen/>
      </w:r>
      <w:r>
        <w:rPr>
          <w:lang w:val="fr-CH"/>
        </w:rPr>
        <w:t>105 dB(W/(m</w:t>
      </w:r>
      <w:r>
        <w:rPr>
          <w:vertAlign w:val="superscript"/>
          <w:lang w:val="fr-CH"/>
        </w:rPr>
        <w:t>2</w:t>
      </w:r>
      <w:r>
        <w:rPr>
          <w:lang w:val="fr-CH"/>
        </w:rPr>
        <w:t> · MHz))) ont été pris en considération:</w:t>
      </w:r>
    </w:p>
    <w:p w:rsidR="003E352C" w:rsidRDefault="003E352C" w:rsidP="003E352C">
      <w:pPr>
        <w:pStyle w:val="Headingb"/>
        <w:rPr>
          <w:lang w:val="fr-CH"/>
        </w:rPr>
      </w:pPr>
      <w:r>
        <w:rPr>
          <w:lang w:val="fr-CH"/>
        </w:rPr>
        <w:t>Satellites OSG:</w:t>
      </w:r>
    </w:p>
    <w:p w:rsidR="003E352C" w:rsidRDefault="003E352C" w:rsidP="003E352C">
      <w:pPr>
        <w:rPr>
          <w:lang w:val="fr-CH"/>
        </w:rPr>
      </w:pPr>
      <w:r>
        <w:rPr>
          <w:i/>
          <w:iCs/>
          <w:lang w:val="fr-CH"/>
        </w:rPr>
        <w:t>Modèle GEO1</w:t>
      </w:r>
      <w:r>
        <w:rPr>
          <w:lang w:val="fr-CH"/>
        </w:rPr>
        <w:t>:</w:t>
      </w:r>
    </w:p>
    <w:p w:rsidR="003E352C" w:rsidRDefault="003E352C" w:rsidP="003E352C">
      <w:pPr>
        <w:pStyle w:val="enumlev1"/>
        <w:rPr>
          <w:lang w:val="fr-CH"/>
        </w:rPr>
      </w:pPr>
      <w:r>
        <w:sym w:font="Symbol" w:char="F02D"/>
      </w:r>
      <w:r>
        <w:rPr>
          <w:lang w:val="fr-CH"/>
        </w:rPr>
        <w:tab/>
        <w:t xml:space="preserve">gain d'antenne pour chaque faisceau: 60 </w:t>
      </w:r>
      <w:proofErr w:type="spellStart"/>
      <w:r>
        <w:rPr>
          <w:lang w:val="fr-CH"/>
        </w:rPr>
        <w:t>dBi</w:t>
      </w:r>
      <w:proofErr w:type="spellEnd"/>
    </w:p>
    <w:p w:rsidR="003E352C" w:rsidRDefault="003E352C" w:rsidP="003E352C">
      <w:pPr>
        <w:pStyle w:val="enumlev1"/>
        <w:rPr>
          <w:lang w:val="fr-CH"/>
        </w:rPr>
      </w:pPr>
      <w:r>
        <w:sym w:font="Symbol" w:char="F02D"/>
      </w:r>
      <w:r>
        <w:rPr>
          <w:lang w:val="fr-CH"/>
        </w:rPr>
        <w:tab/>
        <w:t xml:space="preserve">nombre de faisceaux </w:t>
      </w:r>
      <w:proofErr w:type="spellStart"/>
      <w:r>
        <w:rPr>
          <w:lang w:val="fr-CH"/>
        </w:rPr>
        <w:t>cofréquence</w:t>
      </w:r>
      <w:proofErr w:type="spellEnd"/>
      <w:r>
        <w:rPr>
          <w:lang w:val="fr-CH"/>
        </w:rPr>
        <w:t>: 6</w:t>
      </w:r>
    </w:p>
    <w:p w:rsidR="003E352C" w:rsidRDefault="003E352C" w:rsidP="003E352C">
      <w:pPr>
        <w:pStyle w:val="enumlev1"/>
        <w:rPr>
          <w:lang w:val="fr-CH"/>
        </w:rPr>
      </w:pPr>
      <w:r>
        <w:sym w:font="Symbol" w:char="F02D"/>
      </w:r>
      <w:r>
        <w:rPr>
          <w:lang w:val="fr-CH"/>
        </w:rPr>
        <w:tab/>
        <w:t>puissance totale d'émission (pour tous les faisceaux): 3,5 kW</w:t>
      </w:r>
    </w:p>
    <w:p w:rsidR="003E352C" w:rsidRDefault="003E352C" w:rsidP="003E352C">
      <w:pPr>
        <w:pStyle w:val="enumlev1"/>
        <w:rPr>
          <w:lang w:val="fr-CH"/>
        </w:rPr>
      </w:pPr>
      <w:r>
        <w:sym w:font="Symbol" w:char="F02D"/>
      </w:r>
      <w:r>
        <w:rPr>
          <w:lang w:val="fr-CH"/>
        </w:rPr>
        <w:tab/>
        <w:t>largeur de bande totale: environ 1</w:t>
      </w:r>
      <w:r>
        <w:rPr>
          <w:rFonts w:ascii="Tms Rmn" w:hAnsi="Tms Rmn"/>
          <w:sz w:val="12"/>
          <w:lang w:val="fr-CH"/>
        </w:rPr>
        <w:t> </w:t>
      </w:r>
      <w:r>
        <w:rPr>
          <w:lang w:val="fr-CH"/>
        </w:rPr>
        <w:t>000 MHz</w:t>
      </w:r>
    </w:p>
    <w:p w:rsidR="003E352C" w:rsidRDefault="003E352C" w:rsidP="003E352C">
      <w:pPr>
        <w:rPr>
          <w:lang w:val="fr-CH"/>
        </w:rPr>
      </w:pPr>
      <w:r>
        <w:rPr>
          <w:i/>
          <w:iCs/>
          <w:lang w:val="fr-CH"/>
        </w:rPr>
        <w:t>Modèle GEO2</w:t>
      </w:r>
      <w:r>
        <w:rPr>
          <w:lang w:val="fr-CH"/>
        </w:rPr>
        <w:t>:</w:t>
      </w:r>
    </w:p>
    <w:p w:rsidR="003E352C" w:rsidRDefault="003E352C" w:rsidP="003E352C">
      <w:pPr>
        <w:pStyle w:val="enumlev1"/>
        <w:rPr>
          <w:lang w:val="fr-CH"/>
        </w:rPr>
      </w:pPr>
      <w:r>
        <w:sym w:font="Symbol" w:char="F02D"/>
      </w:r>
      <w:r>
        <w:rPr>
          <w:lang w:val="fr-CH"/>
        </w:rPr>
        <w:tab/>
        <w:t xml:space="preserve">gain d'antenne pour chaque faisceau: 55 </w:t>
      </w:r>
      <w:proofErr w:type="spellStart"/>
      <w:r>
        <w:rPr>
          <w:lang w:val="fr-CH"/>
        </w:rPr>
        <w:t>dBi</w:t>
      </w:r>
      <w:proofErr w:type="spellEnd"/>
    </w:p>
    <w:p w:rsidR="003E352C" w:rsidRDefault="003E352C" w:rsidP="003E352C">
      <w:pPr>
        <w:pStyle w:val="enumlev1"/>
        <w:rPr>
          <w:lang w:val="fr-CH"/>
        </w:rPr>
      </w:pPr>
      <w:r>
        <w:sym w:font="Symbol" w:char="F02D"/>
      </w:r>
      <w:r>
        <w:rPr>
          <w:lang w:val="fr-CH"/>
        </w:rPr>
        <w:tab/>
        <w:t xml:space="preserve">nombre de faisceaux </w:t>
      </w:r>
      <w:proofErr w:type="spellStart"/>
      <w:r>
        <w:rPr>
          <w:lang w:val="fr-CH"/>
        </w:rPr>
        <w:t>cofréquence</w:t>
      </w:r>
      <w:proofErr w:type="spellEnd"/>
      <w:r>
        <w:rPr>
          <w:lang w:val="fr-CH"/>
        </w:rPr>
        <w:t>: 4</w:t>
      </w:r>
    </w:p>
    <w:p w:rsidR="003E352C" w:rsidRDefault="003E352C" w:rsidP="003E352C">
      <w:pPr>
        <w:pStyle w:val="enumlev1"/>
        <w:rPr>
          <w:lang w:val="fr-CH"/>
        </w:rPr>
      </w:pPr>
      <w:r>
        <w:sym w:font="Symbol" w:char="F02D"/>
      </w:r>
      <w:r>
        <w:rPr>
          <w:lang w:val="fr-CH"/>
        </w:rPr>
        <w:tab/>
        <w:t>puissance totale d'émission (pour tous les faisceaux): 3,5 kW</w:t>
      </w:r>
    </w:p>
    <w:p w:rsidR="003E352C" w:rsidRDefault="003E352C" w:rsidP="003E352C">
      <w:pPr>
        <w:pStyle w:val="enumlev1"/>
        <w:rPr>
          <w:lang w:val="fr-CH"/>
        </w:rPr>
      </w:pPr>
      <w:r>
        <w:sym w:font="Symbol" w:char="F02D"/>
      </w:r>
      <w:r>
        <w:rPr>
          <w:lang w:val="fr-CH"/>
        </w:rPr>
        <w:tab/>
        <w:t>largeur de bande totale: environ 500 MHz</w:t>
      </w:r>
    </w:p>
    <w:p w:rsidR="003E352C" w:rsidRDefault="003E352C" w:rsidP="003E352C">
      <w:pPr>
        <w:pStyle w:val="Headingb"/>
        <w:rPr>
          <w:lang w:val="fr-CH"/>
        </w:rPr>
      </w:pPr>
      <w:r>
        <w:rPr>
          <w:lang w:val="fr-CH"/>
        </w:rPr>
        <w:t>Satellites non OSG (altitude prise pour hypothèse: 10 000 km):</w:t>
      </w:r>
    </w:p>
    <w:p w:rsidR="003E352C" w:rsidRDefault="003E352C" w:rsidP="003E352C">
      <w:pPr>
        <w:rPr>
          <w:lang w:val="fr-CH"/>
        </w:rPr>
      </w:pPr>
      <w:r>
        <w:rPr>
          <w:i/>
          <w:iCs/>
          <w:lang w:val="fr-CH"/>
        </w:rPr>
        <w:t>Modèle MEO1</w:t>
      </w:r>
      <w:r>
        <w:rPr>
          <w:lang w:val="fr-CH"/>
        </w:rPr>
        <w:t>:</w:t>
      </w:r>
    </w:p>
    <w:p w:rsidR="003E352C" w:rsidRDefault="003E352C" w:rsidP="003E352C">
      <w:pPr>
        <w:pStyle w:val="enumlev1"/>
        <w:rPr>
          <w:lang w:val="fr-CH"/>
        </w:rPr>
      </w:pPr>
      <w:r>
        <w:sym w:font="Symbol" w:char="F02D"/>
      </w:r>
      <w:r>
        <w:rPr>
          <w:lang w:val="fr-CH"/>
        </w:rPr>
        <w:tab/>
        <w:t xml:space="preserve">gain d'antenne pour chaque faisceau: 50 </w:t>
      </w:r>
      <w:proofErr w:type="spellStart"/>
      <w:r>
        <w:rPr>
          <w:lang w:val="fr-CH"/>
        </w:rPr>
        <w:t>dBi</w:t>
      </w:r>
      <w:proofErr w:type="spellEnd"/>
    </w:p>
    <w:p w:rsidR="003E352C" w:rsidRDefault="003E352C" w:rsidP="003E352C">
      <w:pPr>
        <w:pStyle w:val="enumlev1"/>
        <w:rPr>
          <w:lang w:val="fr-CH"/>
        </w:rPr>
      </w:pPr>
      <w:r>
        <w:sym w:font="Symbol" w:char="F02D"/>
      </w:r>
      <w:r>
        <w:rPr>
          <w:lang w:val="fr-CH"/>
        </w:rPr>
        <w:tab/>
        <w:t xml:space="preserve">nombre de faisceaux </w:t>
      </w:r>
      <w:proofErr w:type="spellStart"/>
      <w:r>
        <w:rPr>
          <w:lang w:val="fr-CH"/>
        </w:rPr>
        <w:t>cofréquence</w:t>
      </w:r>
      <w:proofErr w:type="spellEnd"/>
      <w:r>
        <w:rPr>
          <w:lang w:val="fr-CH"/>
        </w:rPr>
        <w:t>: 4</w:t>
      </w:r>
    </w:p>
    <w:p w:rsidR="003E352C" w:rsidRDefault="003E352C" w:rsidP="003E352C">
      <w:pPr>
        <w:pStyle w:val="enumlev1"/>
        <w:rPr>
          <w:lang w:val="fr-CH"/>
        </w:rPr>
      </w:pPr>
      <w:r>
        <w:lastRenderedPageBreak/>
        <w:sym w:font="Symbol" w:char="F02D"/>
      </w:r>
      <w:r>
        <w:rPr>
          <w:lang w:val="fr-CH"/>
        </w:rPr>
        <w:tab/>
        <w:t>puissance totale d'émission (pour tous les faisceaux): 1,1 kW</w:t>
      </w:r>
    </w:p>
    <w:p w:rsidR="003E352C" w:rsidRDefault="003E352C" w:rsidP="003E352C">
      <w:pPr>
        <w:pStyle w:val="enumlev1"/>
        <w:rPr>
          <w:lang w:val="fr-CH"/>
        </w:rPr>
      </w:pPr>
      <w:r>
        <w:sym w:font="Symbol" w:char="F02D"/>
      </w:r>
      <w:r>
        <w:rPr>
          <w:lang w:val="fr-CH"/>
        </w:rPr>
        <w:tab/>
        <w:t>largeur de bande totale: environ 700 MHz</w:t>
      </w:r>
    </w:p>
    <w:p w:rsidR="003E352C" w:rsidRDefault="003E352C" w:rsidP="003E352C">
      <w:pPr>
        <w:rPr>
          <w:lang w:val="fr-CH"/>
        </w:rPr>
      </w:pPr>
      <w:r>
        <w:rPr>
          <w:i/>
          <w:iCs/>
          <w:lang w:val="fr-CH"/>
        </w:rPr>
        <w:t>Modèle MEO2</w:t>
      </w:r>
      <w:r>
        <w:rPr>
          <w:lang w:val="fr-CH"/>
        </w:rPr>
        <w:t>:</w:t>
      </w:r>
    </w:p>
    <w:p w:rsidR="003E352C" w:rsidRDefault="003E352C" w:rsidP="003E352C">
      <w:pPr>
        <w:pStyle w:val="enumlev1"/>
        <w:rPr>
          <w:lang w:val="fr-CH"/>
        </w:rPr>
      </w:pPr>
      <w:r>
        <w:sym w:font="Symbol" w:char="F02D"/>
      </w:r>
      <w:r>
        <w:rPr>
          <w:lang w:val="fr-CH"/>
        </w:rPr>
        <w:tab/>
        <w:t xml:space="preserve">gain d'antenne pour chaque faisceau: 45 </w:t>
      </w:r>
      <w:proofErr w:type="spellStart"/>
      <w:r>
        <w:rPr>
          <w:lang w:val="fr-CH"/>
        </w:rPr>
        <w:t>dBi</w:t>
      </w:r>
      <w:proofErr w:type="spellEnd"/>
    </w:p>
    <w:p w:rsidR="003E352C" w:rsidRDefault="003E352C" w:rsidP="003E352C">
      <w:pPr>
        <w:pStyle w:val="enumlev1"/>
        <w:rPr>
          <w:lang w:val="fr-CH"/>
        </w:rPr>
      </w:pPr>
      <w:r>
        <w:sym w:font="Symbol" w:char="F02D"/>
      </w:r>
      <w:r>
        <w:rPr>
          <w:lang w:val="fr-CH"/>
        </w:rPr>
        <w:tab/>
        <w:t xml:space="preserve">nombre de faisceaux </w:t>
      </w:r>
      <w:proofErr w:type="spellStart"/>
      <w:r>
        <w:rPr>
          <w:lang w:val="fr-CH"/>
        </w:rPr>
        <w:t>cofréquence</w:t>
      </w:r>
      <w:proofErr w:type="spellEnd"/>
      <w:r>
        <w:rPr>
          <w:lang w:val="fr-CH"/>
        </w:rPr>
        <w:t>: 3</w:t>
      </w:r>
    </w:p>
    <w:p w:rsidR="003E352C" w:rsidRDefault="003E352C" w:rsidP="003E352C">
      <w:pPr>
        <w:pStyle w:val="enumlev1"/>
        <w:rPr>
          <w:lang w:val="fr-CH"/>
        </w:rPr>
      </w:pPr>
      <w:r>
        <w:sym w:font="Symbol" w:char="F02D"/>
      </w:r>
      <w:r>
        <w:rPr>
          <w:lang w:val="fr-CH"/>
        </w:rPr>
        <w:tab/>
        <w:t>puissance totale d'émission (pour tous les faisceaux): 1,1 kW</w:t>
      </w:r>
    </w:p>
    <w:p w:rsidR="003E352C" w:rsidRDefault="003E352C" w:rsidP="003E352C">
      <w:pPr>
        <w:pStyle w:val="enumlev1"/>
        <w:rPr>
          <w:lang w:val="fr-CH"/>
        </w:rPr>
      </w:pPr>
      <w:r>
        <w:sym w:font="Symbol" w:char="F02D"/>
      </w:r>
      <w:r>
        <w:rPr>
          <w:lang w:val="fr-CH"/>
        </w:rPr>
        <w:tab/>
        <w:t>largeur de bande totale: environ 300 MHz</w:t>
      </w:r>
    </w:p>
    <w:p w:rsidR="003E352C" w:rsidRDefault="003E352C" w:rsidP="003E352C">
      <w:pPr>
        <w:pStyle w:val="Heading1"/>
        <w:spacing w:before="240"/>
        <w:rPr>
          <w:lang w:val="fr-CH"/>
        </w:rPr>
      </w:pPr>
      <w:r>
        <w:rPr>
          <w:lang w:val="fr-CH"/>
        </w:rPr>
        <w:t>4</w:t>
      </w:r>
      <w:r>
        <w:rPr>
          <w:lang w:val="fr-CH"/>
        </w:rPr>
        <w:tab/>
        <w:t xml:space="preserve">Distribution de la puissance surfacique </w:t>
      </w:r>
    </w:p>
    <w:p w:rsidR="003E352C" w:rsidRDefault="003E352C" w:rsidP="003E352C">
      <w:pPr>
        <w:pStyle w:val="Heading2"/>
        <w:rPr>
          <w:lang w:val="fr-CH"/>
        </w:rPr>
      </w:pPr>
      <w:r>
        <w:rPr>
          <w:lang w:val="fr-CH"/>
        </w:rPr>
        <w:t>4.1</w:t>
      </w:r>
      <w:r>
        <w:rPr>
          <w:lang w:val="fr-CH"/>
        </w:rPr>
        <w:tab/>
        <w:t>Principes</w:t>
      </w:r>
    </w:p>
    <w:p w:rsidR="003E352C" w:rsidRDefault="003E352C" w:rsidP="003E352C">
      <w:pPr>
        <w:rPr>
          <w:lang w:val="fr-CH"/>
        </w:rPr>
      </w:pPr>
      <w:r>
        <w:rPr>
          <w:lang w:val="fr-CH"/>
        </w:rPr>
        <w:t>Comme précédemment indiqué, la puissance surfacique produite par un satellite donné, en un point quelconque de la surface de la Terre dépend de la puissance d'émission, du gain d'antenne et du diagramme d'antenne.</w:t>
      </w:r>
    </w:p>
    <w:p w:rsidR="003E352C" w:rsidRDefault="003E352C" w:rsidP="003E352C">
      <w:pPr>
        <w:rPr>
          <w:lang w:val="fr-CH"/>
        </w:rPr>
      </w:pPr>
      <w:r>
        <w:rPr>
          <w:lang w:val="fr-CH"/>
        </w:rPr>
        <w:t xml:space="preserve">De plus, comme le montre la Fig. 3, la puissance surfacique maximale disponible dans le faisceau principal dépend essentiellement de la limite de puissance surfacique fixée par la réglementation et du diagramme d'antenne. Dans de nombreux cas, selon l'angle d'élévation du satellite, la puissance surfacique dans le faisceau principal sera inférieure à celle donnée dans le gabarit de puissance surfacique afin de rester dans les limites de ce gabarit pour les faibles angles d'élévation (élévations </w:t>
      </w:r>
      <w:r>
        <w:rPr>
          <w:i/>
          <w:iCs/>
          <w:lang w:val="fr-CH"/>
        </w:rPr>
        <w:t>a</w:t>
      </w:r>
      <w:r>
        <w:rPr>
          <w:lang w:val="fr-CH"/>
        </w:rPr>
        <w:t xml:space="preserve"> et </w:t>
      </w:r>
      <w:r>
        <w:rPr>
          <w:i/>
          <w:iCs/>
          <w:lang w:val="fr-CH"/>
        </w:rPr>
        <w:t>c</w:t>
      </w:r>
      <w:r>
        <w:rPr>
          <w:lang w:val="fr-CH"/>
        </w:rPr>
        <w:t xml:space="preserve"> de la Fig. 3 par exemple).</w:t>
      </w:r>
    </w:p>
    <w:p w:rsidR="003E352C" w:rsidRDefault="003E352C" w:rsidP="00D0134F">
      <w:pPr>
        <w:pStyle w:val="FigureNo"/>
      </w:pPr>
      <w:r>
        <w:rPr>
          <w:noProof/>
          <w:lang w:val="en-US" w:eastAsia="zh-CN"/>
        </w:rPr>
        <w:drawing>
          <wp:inline distT="0" distB="0" distL="0" distR="0" wp14:anchorId="065C3F50" wp14:editId="1BF5A36D">
            <wp:extent cx="3136265" cy="26701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6265" cy="2670175"/>
                    </a:xfrm>
                    <a:prstGeom prst="rect">
                      <a:avLst/>
                    </a:prstGeom>
                    <a:noFill/>
                    <a:ln>
                      <a:noFill/>
                    </a:ln>
                  </pic:spPr>
                </pic:pic>
              </a:graphicData>
            </a:graphic>
          </wp:inline>
        </w:drawing>
      </w:r>
    </w:p>
    <w:p w:rsidR="003E352C" w:rsidRDefault="003E352C" w:rsidP="00AE079A">
      <w:pPr>
        <w:pStyle w:val="Normalaftertitle"/>
        <w:rPr>
          <w:lang w:val="fr-CH"/>
        </w:rPr>
      </w:pPr>
      <w:r>
        <w:rPr>
          <w:lang w:val="fr-CH"/>
        </w:rPr>
        <w:t xml:space="preserve">De plus, comme le montrent les Fig. 4 et 5, un satellite vu depuis un point donné A de la surface de la Terre avec un angle d'élévation </w:t>
      </w:r>
      <w:r>
        <w:rPr>
          <w:i/>
          <w:iCs/>
          <w:lang w:val="fr-CH"/>
        </w:rPr>
        <w:t>x</w:t>
      </w:r>
      <w:r>
        <w:rPr>
          <w:lang w:val="fr-CH"/>
        </w:rPr>
        <w:t xml:space="preserve">, ne produit généralement pas une puissance surfacique constante au point A. Le niveau de puissance surfacique reçu en A </w:t>
      </w:r>
      <w:proofErr w:type="spellStart"/>
      <w:r>
        <w:rPr>
          <w:lang w:val="fr-CH"/>
        </w:rPr>
        <w:t>varie</w:t>
      </w:r>
      <w:proofErr w:type="spellEnd"/>
      <w:r>
        <w:rPr>
          <w:lang w:val="fr-CH"/>
        </w:rPr>
        <w:t xml:space="preserve"> en fonction de la direction de pointage du faisceau de liaison descendante du satellite et éventuellement en fonction de la charge de trafic. Toutefois, cette dernière caractéristique n'est pas prise en considération dans la présente méthode.</w:t>
      </w:r>
    </w:p>
    <w:p w:rsidR="003E352C" w:rsidRDefault="003E352C" w:rsidP="00D0134F">
      <w:pPr>
        <w:pStyle w:val="FigureNo"/>
      </w:pPr>
      <w:r>
        <w:rPr>
          <w:noProof/>
          <w:lang w:val="en-US" w:eastAsia="zh-CN"/>
        </w:rPr>
        <w:lastRenderedPageBreak/>
        <w:drawing>
          <wp:inline distT="0" distB="0" distL="0" distR="0" wp14:anchorId="3BC37C50" wp14:editId="5584EDB1">
            <wp:extent cx="3520440" cy="2304415"/>
            <wp:effectExtent l="0" t="0" r="381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0440" cy="2304415"/>
                    </a:xfrm>
                    <a:prstGeom prst="rect">
                      <a:avLst/>
                    </a:prstGeom>
                    <a:noFill/>
                    <a:ln>
                      <a:noFill/>
                    </a:ln>
                  </pic:spPr>
                </pic:pic>
              </a:graphicData>
            </a:graphic>
          </wp:inline>
        </w:drawing>
      </w:r>
    </w:p>
    <w:p w:rsidR="00D0134F" w:rsidRPr="00D0134F" w:rsidRDefault="00D0134F" w:rsidP="00D0134F">
      <w:pPr>
        <w:pStyle w:val="Figuretitle"/>
      </w:pPr>
    </w:p>
    <w:p w:rsidR="003E352C" w:rsidRDefault="003E352C" w:rsidP="003E352C">
      <w:pPr>
        <w:pStyle w:val="FigureNo"/>
      </w:pPr>
      <w:r>
        <w:rPr>
          <w:noProof/>
          <w:lang w:val="en-US" w:eastAsia="zh-CN"/>
        </w:rPr>
        <w:drawing>
          <wp:inline distT="0" distB="0" distL="0" distR="0" wp14:anchorId="6E578726" wp14:editId="2EE8C10E">
            <wp:extent cx="3520440" cy="291719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0440" cy="2917190"/>
                    </a:xfrm>
                    <a:prstGeom prst="rect">
                      <a:avLst/>
                    </a:prstGeom>
                    <a:noFill/>
                    <a:ln>
                      <a:noFill/>
                    </a:ln>
                  </pic:spPr>
                </pic:pic>
              </a:graphicData>
            </a:graphic>
          </wp:inline>
        </w:drawing>
      </w:r>
    </w:p>
    <w:p w:rsidR="003E352C" w:rsidRDefault="003E352C" w:rsidP="00D0134F">
      <w:pPr>
        <w:pStyle w:val="Normalaftertitle"/>
        <w:rPr>
          <w:lang w:val="fr-CH"/>
        </w:rPr>
      </w:pPr>
      <w:r>
        <w:rPr>
          <w:lang w:val="fr-CH"/>
        </w:rPr>
        <w:t xml:space="preserve">On constate à la Fig. 4, que la direction de pointage du faisceau du satellite est proche du point A et que l'angle de discrimination de l'antenne </w:t>
      </w:r>
      <w:r>
        <w:rPr>
          <w:rFonts w:ascii="Symbol" w:hAnsi="Symbol"/>
        </w:rPr>
        <w:t></w:t>
      </w:r>
      <w:r>
        <w:rPr>
          <w:lang w:val="fr-CH"/>
        </w:rPr>
        <w:t xml:space="preserve"> est relativement faible. Par ailleurs, dans la Fig. 5, la direction de pointage du faisceau du satellite est différente et l'angle de discrimination d'antenne, </w:t>
      </w:r>
      <w:r>
        <w:rPr>
          <w:i/>
          <w:iCs/>
          <w:position w:val="-10"/>
        </w:rPr>
        <w:object w:dxaOrig="340" w:dyaOrig="320">
          <v:shape id="_x0000_i1030" type="#_x0000_t75" style="width:17.25pt;height:16.5pt" o:ole="">
            <v:imagedata r:id="rId28" o:title=""/>
          </v:shape>
          <o:OLEObject Type="Embed" ProgID="Equation.3" ShapeID="_x0000_i1030" DrawAspect="Content" ObjectID="_1385818264" r:id="rId29"/>
        </w:object>
      </w:r>
      <w:r>
        <w:rPr>
          <w:lang w:val="fr-CH"/>
        </w:rPr>
        <w:t xml:space="preserve"> est supérieur à </w:t>
      </w:r>
      <w:r>
        <w:rPr>
          <w:rFonts w:ascii="Symbol" w:hAnsi="Symbol"/>
        </w:rPr>
        <w:t></w:t>
      </w:r>
      <w:r>
        <w:rPr>
          <w:lang w:val="fr-CH"/>
        </w:rPr>
        <w:t>. De plus, comme indiqué plus haut dans ces deux exemples, la puissance surfacique dans le faisceau principal peut être différente.</w:t>
      </w:r>
    </w:p>
    <w:p w:rsidR="003E352C" w:rsidRDefault="003E352C" w:rsidP="003E352C">
      <w:pPr>
        <w:rPr>
          <w:lang w:val="fr-CH"/>
        </w:rPr>
      </w:pPr>
      <w:r>
        <w:rPr>
          <w:lang w:val="fr-CH"/>
        </w:rPr>
        <w:t>Par conséquent, la puissance surfacique produite au point A peut être différente même si le satellite occupe exactement la même position.</w:t>
      </w:r>
    </w:p>
    <w:p w:rsidR="003E352C" w:rsidRDefault="003E352C" w:rsidP="003E352C">
      <w:r>
        <w:t xml:space="preserve">La </w:t>
      </w:r>
      <w:r>
        <w:rPr>
          <w:lang w:val="fr-CH"/>
        </w:rPr>
        <w:t>puissance surfacique</w:t>
      </w:r>
      <w:r>
        <w:t xml:space="preserve"> produite au point A peut être facilement calculée à l'aide de la formule suivante:</w:t>
      </w:r>
    </w:p>
    <w:p w:rsidR="003E352C" w:rsidRPr="009535C9" w:rsidRDefault="003E352C" w:rsidP="003E352C">
      <w:pPr>
        <w:pStyle w:val="Equation"/>
        <w:spacing w:before="240"/>
        <w:rPr>
          <w:lang w:val="fr-CH"/>
        </w:rPr>
      </w:pPr>
      <w:r w:rsidRPr="009535C9">
        <w:rPr>
          <w:lang w:val="fr-CH"/>
        </w:rPr>
        <w:tab/>
      </w:r>
      <w:r w:rsidRPr="009535C9">
        <w:rPr>
          <w:lang w:val="fr-CH"/>
        </w:rPr>
        <w:tab/>
      </w:r>
      <w:r>
        <w:rPr>
          <w:position w:val="-12"/>
        </w:rPr>
        <w:object w:dxaOrig="4140" w:dyaOrig="360">
          <v:shape id="_x0000_i1031" type="#_x0000_t75" style="width:207pt;height:18pt" o:ole="" fillcolor="window">
            <v:imagedata r:id="rId30" o:title=""/>
          </v:shape>
          <o:OLEObject Type="Embed" ProgID="Equation.3" ShapeID="_x0000_i1031" DrawAspect="Content" ObjectID="_1385818265" r:id="rId31"/>
        </w:object>
      </w:r>
      <w:r w:rsidRPr="009535C9">
        <w:rPr>
          <w:lang w:val="fr-CH"/>
        </w:rPr>
        <w:tab/>
        <w:t>(4)</w:t>
      </w:r>
    </w:p>
    <w:p w:rsidR="003E352C" w:rsidRDefault="003E352C" w:rsidP="003E352C">
      <w:r>
        <w:t>dans laquelle:</w:t>
      </w:r>
    </w:p>
    <w:p w:rsidR="003E352C" w:rsidRDefault="003E352C" w:rsidP="003E352C">
      <w:pPr>
        <w:pStyle w:val="Equationlegend"/>
        <w:rPr>
          <w:lang w:val="fr-CH"/>
        </w:rPr>
      </w:pPr>
      <w:r w:rsidRPr="009535C9">
        <w:rPr>
          <w:lang w:val="fr-CH"/>
        </w:rPr>
        <w:tab/>
      </w:r>
      <w:proofErr w:type="spellStart"/>
      <w:r>
        <w:rPr>
          <w:i/>
          <w:iCs/>
          <w:lang w:val="fr-CH"/>
        </w:rPr>
        <w:t>pfd</w:t>
      </w:r>
      <w:r>
        <w:rPr>
          <w:i/>
          <w:iCs/>
          <w:vertAlign w:val="subscript"/>
          <w:lang w:val="fr-CH"/>
        </w:rPr>
        <w:t>A</w:t>
      </w:r>
      <w:proofErr w:type="spellEnd"/>
      <w:r>
        <w:rPr>
          <w:rFonts w:ascii="Tms Rmn" w:hAnsi="Tms Rmn"/>
          <w:sz w:val="12"/>
          <w:lang w:val="fr-CH"/>
        </w:rPr>
        <w:t> </w:t>
      </w:r>
      <w:r>
        <w:rPr>
          <w:lang w:val="fr-CH"/>
        </w:rPr>
        <w:t>:</w:t>
      </w:r>
      <w:r>
        <w:rPr>
          <w:lang w:val="fr-CH"/>
        </w:rPr>
        <w:tab/>
        <w:t>puissance surfacique produite en A (dB(W/MHz))</w:t>
      </w:r>
    </w:p>
    <w:p w:rsidR="003E352C" w:rsidRDefault="003E352C" w:rsidP="003E352C">
      <w:pPr>
        <w:pStyle w:val="Equationlegend"/>
        <w:rPr>
          <w:lang w:val="fr-CH"/>
        </w:rPr>
      </w:pPr>
      <w:r w:rsidRPr="009535C9">
        <w:rPr>
          <w:lang w:val="fr-CH"/>
        </w:rPr>
        <w:tab/>
      </w:r>
      <w:proofErr w:type="spellStart"/>
      <w:r>
        <w:rPr>
          <w:i/>
          <w:iCs/>
          <w:lang w:val="fr-CH"/>
        </w:rPr>
        <w:t>pfd</w:t>
      </w:r>
      <w:r>
        <w:rPr>
          <w:i/>
          <w:iCs/>
          <w:vertAlign w:val="subscript"/>
          <w:lang w:val="fr-CH"/>
        </w:rPr>
        <w:t>mb</w:t>
      </w:r>
      <w:proofErr w:type="spellEnd"/>
      <w:r>
        <w:rPr>
          <w:rFonts w:ascii="Tms Rmn" w:hAnsi="Tms Rmn"/>
          <w:sz w:val="12"/>
          <w:lang w:val="fr-CH"/>
        </w:rPr>
        <w:t> </w:t>
      </w:r>
      <w:r>
        <w:rPr>
          <w:lang w:val="fr-CH"/>
        </w:rPr>
        <w:t>:</w:t>
      </w:r>
      <w:r>
        <w:rPr>
          <w:lang w:val="fr-CH"/>
        </w:rPr>
        <w:tab/>
        <w:t>puissance surfacique produite dans le faisceau principal (dB(W/MHz))</w:t>
      </w:r>
    </w:p>
    <w:p w:rsidR="003E352C" w:rsidRDefault="003E352C" w:rsidP="003E352C">
      <w:pPr>
        <w:pStyle w:val="Equationlegend"/>
        <w:ind w:left="1980" w:hanging="2160"/>
        <w:rPr>
          <w:lang w:val="fr-CH"/>
        </w:rPr>
      </w:pPr>
      <w:r w:rsidRPr="009535C9">
        <w:rPr>
          <w:lang w:val="fr-CH"/>
        </w:rPr>
        <w:lastRenderedPageBreak/>
        <w:tab/>
      </w:r>
      <w:proofErr w:type="spellStart"/>
      <w:r>
        <w:rPr>
          <w:i/>
          <w:iCs/>
          <w:lang w:val="fr-CH"/>
        </w:rPr>
        <w:t>L</w:t>
      </w:r>
      <w:r>
        <w:rPr>
          <w:i/>
          <w:iCs/>
          <w:vertAlign w:val="subscript"/>
          <w:lang w:val="fr-CH"/>
        </w:rPr>
        <w:t>mb</w:t>
      </w:r>
      <w:proofErr w:type="spellEnd"/>
      <w:r>
        <w:rPr>
          <w:rFonts w:ascii="Tms Rmn" w:hAnsi="Tms Rmn"/>
          <w:sz w:val="12"/>
          <w:lang w:val="fr-CH"/>
        </w:rPr>
        <w:t> </w:t>
      </w:r>
      <w:r>
        <w:rPr>
          <w:lang w:val="fr-CH"/>
        </w:rPr>
        <w:t>:</w:t>
      </w:r>
      <w:r>
        <w:rPr>
          <w:lang w:val="fr-CH"/>
        </w:rPr>
        <w:tab/>
        <w:t>affaiblissement en espace libre entre le satellite et le centre de son faisceau à la surface de la Terre (dB)</w:t>
      </w:r>
    </w:p>
    <w:p w:rsidR="003E352C" w:rsidRDefault="003E352C" w:rsidP="003E352C">
      <w:pPr>
        <w:pStyle w:val="Equationlegend"/>
        <w:rPr>
          <w:lang w:val="fr-CH"/>
        </w:rPr>
      </w:pPr>
      <w:r w:rsidRPr="009535C9">
        <w:rPr>
          <w:lang w:val="fr-CH"/>
        </w:rPr>
        <w:tab/>
      </w:r>
      <w:proofErr w:type="spellStart"/>
      <w:r>
        <w:rPr>
          <w:i/>
          <w:iCs/>
          <w:lang w:val="fr-CH"/>
        </w:rPr>
        <w:t>G</w:t>
      </w:r>
      <w:r>
        <w:rPr>
          <w:i/>
          <w:iCs/>
          <w:vertAlign w:val="subscript"/>
          <w:lang w:val="fr-CH"/>
        </w:rPr>
        <w:t>max</w:t>
      </w:r>
      <w:proofErr w:type="spellEnd"/>
      <w:r>
        <w:rPr>
          <w:rFonts w:ascii="Tms Rmn" w:hAnsi="Tms Rmn"/>
          <w:sz w:val="12"/>
          <w:lang w:val="fr-CH"/>
        </w:rPr>
        <w:t> </w:t>
      </w:r>
      <w:r>
        <w:rPr>
          <w:lang w:val="fr-CH"/>
        </w:rPr>
        <w:t>:</w:t>
      </w:r>
      <w:r>
        <w:rPr>
          <w:lang w:val="fr-CH"/>
        </w:rPr>
        <w:tab/>
        <w:t>gain maximal de l'antenne du satellite (</w:t>
      </w:r>
      <w:proofErr w:type="spellStart"/>
      <w:r>
        <w:rPr>
          <w:lang w:val="fr-CH"/>
        </w:rPr>
        <w:t>dBi</w:t>
      </w:r>
      <w:proofErr w:type="spellEnd"/>
      <w:r>
        <w:rPr>
          <w:lang w:val="fr-CH"/>
        </w:rPr>
        <w:t>)</w:t>
      </w:r>
    </w:p>
    <w:p w:rsidR="003E352C" w:rsidRDefault="003E352C" w:rsidP="003E352C">
      <w:pPr>
        <w:pStyle w:val="Equationlegend"/>
        <w:rPr>
          <w:lang w:val="fr-CH"/>
        </w:rPr>
      </w:pPr>
      <w:r w:rsidRPr="009535C9">
        <w:rPr>
          <w:lang w:val="fr-CH"/>
        </w:rPr>
        <w:tab/>
      </w:r>
      <w:proofErr w:type="spellStart"/>
      <w:r>
        <w:rPr>
          <w:i/>
          <w:iCs/>
          <w:lang w:val="fr-CH"/>
        </w:rPr>
        <w:t>G</w:t>
      </w:r>
      <w:r>
        <w:rPr>
          <w:i/>
          <w:iCs/>
          <w:vertAlign w:val="subscript"/>
          <w:lang w:val="fr-CH"/>
        </w:rPr>
        <w:t>discri</w:t>
      </w:r>
      <w:proofErr w:type="spellEnd"/>
      <w:r>
        <w:rPr>
          <w:rFonts w:ascii="Tms Rmn" w:hAnsi="Tms Rmn"/>
          <w:sz w:val="12"/>
          <w:lang w:val="fr-CH"/>
        </w:rPr>
        <w:t> </w:t>
      </w:r>
      <w:r>
        <w:rPr>
          <w:lang w:val="fr-CH"/>
        </w:rPr>
        <w:t>:</w:t>
      </w:r>
      <w:r>
        <w:rPr>
          <w:lang w:val="fr-CH"/>
        </w:rPr>
        <w:tab/>
        <w:t>gain relatif de l'antenne dans la direction du point A (</w:t>
      </w:r>
      <w:proofErr w:type="spellStart"/>
      <w:r>
        <w:rPr>
          <w:lang w:val="fr-CH"/>
        </w:rPr>
        <w:t>dBi</w:t>
      </w:r>
      <w:proofErr w:type="spellEnd"/>
      <w:r>
        <w:rPr>
          <w:lang w:val="fr-CH"/>
        </w:rPr>
        <w:t>)</w:t>
      </w:r>
    </w:p>
    <w:p w:rsidR="003E352C" w:rsidRDefault="003E352C" w:rsidP="003E352C">
      <w:pPr>
        <w:pStyle w:val="Equationlegend"/>
        <w:rPr>
          <w:lang w:val="fr-CH"/>
        </w:rPr>
      </w:pPr>
      <w:r w:rsidRPr="009535C9">
        <w:rPr>
          <w:lang w:val="fr-CH"/>
        </w:rPr>
        <w:tab/>
      </w:r>
      <w:r>
        <w:rPr>
          <w:i/>
          <w:iCs/>
          <w:lang w:val="fr-CH"/>
        </w:rPr>
        <w:t>L</w:t>
      </w:r>
      <w:r>
        <w:rPr>
          <w:i/>
          <w:iCs/>
          <w:vertAlign w:val="subscript"/>
          <w:lang w:val="fr-CH"/>
        </w:rPr>
        <w:t>A</w:t>
      </w:r>
      <w:r>
        <w:rPr>
          <w:rFonts w:ascii="Tms Rmn" w:hAnsi="Tms Rmn"/>
          <w:sz w:val="12"/>
          <w:lang w:val="fr-CH"/>
        </w:rPr>
        <w:t> </w:t>
      </w:r>
      <w:r>
        <w:rPr>
          <w:lang w:val="fr-CH"/>
        </w:rPr>
        <w:t>:</w:t>
      </w:r>
      <w:r>
        <w:rPr>
          <w:vertAlign w:val="subscript"/>
          <w:lang w:val="fr-CH"/>
        </w:rPr>
        <w:tab/>
      </w:r>
      <w:r>
        <w:rPr>
          <w:lang w:val="fr-CH"/>
        </w:rPr>
        <w:t>affaiblissements en espace libre entre le satellite et le point A (dB).</w:t>
      </w:r>
    </w:p>
    <w:p w:rsidR="003E352C" w:rsidRDefault="003E352C" w:rsidP="003E352C">
      <w:r>
        <w:t xml:space="preserve">A partir de cette formule et en faisant varier la direction de pointage du </w:t>
      </w:r>
      <w:r>
        <w:rPr>
          <w:lang w:val="fr-CH"/>
        </w:rPr>
        <w:t>satellite dans toutes les directions possibles depuis sa position, on peut déterminer la distribution des valeurs de puissance surfacique qu'un satellite peut produire pour un angle d'élévation donné</w:t>
      </w:r>
      <w:r>
        <w:t xml:space="preserve"> (voir la Fig. 6).</w:t>
      </w:r>
    </w:p>
    <w:p w:rsidR="003E352C" w:rsidRDefault="003E352C" w:rsidP="003E352C">
      <w:pPr>
        <w:pStyle w:val="FigureNo"/>
        <w:spacing w:before="240" w:after="120"/>
      </w:pPr>
      <w:r>
        <w:rPr>
          <w:noProof/>
          <w:lang w:val="en-US" w:eastAsia="zh-CN"/>
        </w:rPr>
        <w:drawing>
          <wp:inline distT="0" distB="0" distL="0" distR="0" wp14:anchorId="3243007E" wp14:editId="4F76A369">
            <wp:extent cx="4544695" cy="2780030"/>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4695" cy="2780030"/>
                    </a:xfrm>
                    <a:prstGeom prst="rect">
                      <a:avLst/>
                    </a:prstGeom>
                    <a:noFill/>
                    <a:ln>
                      <a:noFill/>
                    </a:ln>
                  </pic:spPr>
                </pic:pic>
              </a:graphicData>
            </a:graphic>
          </wp:inline>
        </w:drawing>
      </w:r>
    </w:p>
    <w:p w:rsidR="003E352C" w:rsidRDefault="003E352C" w:rsidP="003E352C">
      <w:pPr>
        <w:pStyle w:val="Normalaftertitle"/>
      </w:pPr>
      <w:r>
        <w:t xml:space="preserve">En outre, en considérant tous les angles d'élévation correspondant à un cas particulier (voir le calcul à l'Appendice 1), il est possible de tracer un gabarit de </w:t>
      </w:r>
      <w:r>
        <w:rPr>
          <w:lang w:val="fr-CH"/>
        </w:rPr>
        <w:t>puissance surfacique</w:t>
      </w:r>
      <w:r>
        <w:t xml:space="preserve"> </w:t>
      </w:r>
      <w:r>
        <w:rPr>
          <w:lang w:val="fr-CH"/>
        </w:rPr>
        <w:t>correspondant</w:t>
      </w:r>
      <w:r>
        <w:t xml:space="preserve"> au cas le plus défavorable en combinant le maximum de chacune des distributions et en le comparant, avec le gabarit de </w:t>
      </w:r>
      <w:r>
        <w:rPr>
          <w:lang w:val="fr-CH"/>
        </w:rPr>
        <w:t>puissance surfacique</w:t>
      </w:r>
      <w:r>
        <w:t xml:space="preserve"> fixé par la réglementation, comme cela est fait à la Fig. 7.</w:t>
      </w:r>
    </w:p>
    <w:p w:rsidR="003E352C" w:rsidRDefault="003E352C" w:rsidP="003E352C">
      <w:r>
        <w:t xml:space="preserve">Il est également possible, comme cela est fait à la Fig. 7, de tracer similairement un gabarit combiné de </w:t>
      </w:r>
      <w:r>
        <w:rPr>
          <w:lang w:val="fr-CH"/>
        </w:rPr>
        <w:t>puissance surfacique</w:t>
      </w:r>
      <w:r>
        <w:t xml:space="preserve"> </w:t>
      </w:r>
      <w:r>
        <w:rPr>
          <w:lang w:val="fr-CH"/>
        </w:rPr>
        <w:t>représentant</w:t>
      </w:r>
      <w:r>
        <w:t xml:space="preserve"> un pourcentage de temps donné (</w:t>
      </w:r>
      <w:r>
        <w:rPr>
          <w:lang w:val="fr-CH"/>
        </w:rPr>
        <w:t xml:space="preserve">par exemple </w:t>
      </w:r>
      <w:r>
        <w:t>99,9% et 99,5% des cas).</w:t>
      </w:r>
    </w:p>
    <w:p w:rsidR="003E352C" w:rsidRDefault="003E352C" w:rsidP="003E352C">
      <w:pPr>
        <w:pStyle w:val="FigureNo"/>
        <w:spacing w:before="240" w:after="120"/>
      </w:pPr>
      <w:r>
        <w:rPr>
          <w:noProof/>
          <w:lang w:val="en-US" w:eastAsia="zh-CN"/>
        </w:rPr>
        <w:lastRenderedPageBreak/>
        <w:drawing>
          <wp:inline distT="0" distB="0" distL="0" distR="0" wp14:anchorId="1567D17B" wp14:editId="4ADC2975">
            <wp:extent cx="5477510" cy="4050665"/>
            <wp:effectExtent l="0" t="0" r="889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7510" cy="4050665"/>
                    </a:xfrm>
                    <a:prstGeom prst="rect">
                      <a:avLst/>
                    </a:prstGeom>
                    <a:noFill/>
                    <a:ln>
                      <a:noFill/>
                    </a:ln>
                  </pic:spPr>
                </pic:pic>
              </a:graphicData>
            </a:graphic>
          </wp:inline>
        </w:drawing>
      </w:r>
    </w:p>
    <w:p w:rsidR="003E352C" w:rsidRDefault="003E352C" w:rsidP="003E352C">
      <w:pPr>
        <w:pStyle w:val="Heading2"/>
      </w:pPr>
      <w:r>
        <w:t>4.2</w:t>
      </w:r>
      <w:r>
        <w:tab/>
        <w:t>Modèles d'antenne</w:t>
      </w:r>
    </w:p>
    <w:p w:rsidR="003E352C" w:rsidRDefault="003E352C" w:rsidP="003E352C">
      <w:pPr>
        <w:pStyle w:val="Heading3"/>
      </w:pPr>
      <w:r>
        <w:t>4.2.1</w:t>
      </w:r>
      <w:r>
        <w:tab/>
        <w:t xml:space="preserve">Modèles de </w:t>
      </w:r>
      <w:r>
        <w:rPr>
          <w:lang w:val="fr-CH"/>
        </w:rPr>
        <w:t xml:space="preserve">satellites </w:t>
      </w:r>
      <w:proofErr w:type="spellStart"/>
      <w:r>
        <w:rPr>
          <w:lang w:val="fr-CH"/>
        </w:rPr>
        <w:t>monofaisceaux</w:t>
      </w:r>
      <w:proofErr w:type="spellEnd"/>
    </w:p>
    <w:p w:rsidR="003E352C" w:rsidRDefault="003E352C" w:rsidP="003E352C">
      <w:r>
        <w:t xml:space="preserve">Pour un </w:t>
      </w:r>
      <w:r>
        <w:rPr>
          <w:lang w:val="fr-CH"/>
        </w:rPr>
        <w:t xml:space="preserve">satellite </w:t>
      </w:r>
      <w:proofErr w:type="spellStart"/>
      <w:r>
        <w:rPr>
          <w:lang w:val="fr-CH"/>
        </w:rPr>
        <w:t>monofaisceau</w:t>
      </w:r>
      <w:proofErr w:type="spellEnd"/>
      <w:r>
        <w:t xml:space="preserve">, les Fig. 4 et 5 illustrent bien </w:t>
      </w:r>
      <w:r>
        <w:rPr>
          <w:lang w:val="fr-CH"/>
        </w:rPr>
        <w:t>la situation mais la puissance surfacique résultante dépend du diagramme d'antenne pris pour hypothèse</w:t>
      </w:r>
      <w:r>
        <w:t xml:space="preserve">. </w:t>
      </w:r>
    </w:p>
    <w:p w:rsidR="003E352C" w:rsidRDefault="003E352C" w:rsidP="003E352C">
      <w:r>
        <w:t xml:space="preserve">La Recommandation UIT-R S.672 définit un diagramme de rayonnement à utiliser comme </w:t>
      </w:r>
      <w:r>
        <w:rPr>
          <w:lang w:val="fr-CH"/>
        </w:rPr>
        <w:t>objectif de conception pour les antennes de satellite dans le service fixe par satellite employant des satellites géostationnaires</w:t>
      </w:r>
      <w:r>
        <w:t xml:space="preserve">. Pour les satellites non OSG, il n'existe pas de Recommandation générale de ce type, mais la Recommandation UIT-R S.1528 définit des diagrammes de rayonnement pour les antennes de </w:t>
      </w:r>
      <w:r>
        <w:rPr>
          <w:lang w:val="fr-CH"/>
        </w:rPr>
        <w:t>satellites non OSG au-dessous de</w:t>
      </w:r>
      <w:r>
        <w:t xml:space="preserve"> 30 GHz et contient des indications pour les bandes au-dessus de 30 GHz.</w:t>
      </w:r>
    </w:p>
    <w:p w:rsidR="003E352C" w:rsidRDefault="003E352C" w:rsidP="003E352C">
      <w:r>
        <w:t xml:space="preserve">Il convient de noter que le modèle de </w:t>
      </w:r>
      <w:r>
        <w:rPr>
          <w:lang w:val="fr-CH"/>
        </w:rPr>
        <w:t xml:space="preserve">satellite </w:t>
      </w:r>
      <w:proofErr w:type="spellStart"/>
      <w:r>
        <w:rPr>
          <w:lang w:val="fr-CH"/>
        </w:rPr>
        <w:t>monofaisceau</w:t>
      </w:r>
      <w:proofErr w:type="spellEnd"/>
      <w:r>
        <w:rPr>
          <w:lang w:val="fr-CH"/>
        </w:rPr>
        <w:t xml:space="preserve"> peut ne pas être applicable à toutes les bandes de fréquences</w:t>
      </w:r>
      <w:r>
        <w:t>.</w:t>
      </w:r>
    </w:p>
    <w:p w:rsidR="003E352C" w:rsidRDefault="003E352C" w:rsidP="003E352C">
      <w:pPr>
        <w:pStyle w:val="Heading3"/>
      </w:pPr>
      <w:r>
        <w:t>4.2.2</w:t>
      </w:r>
      <w:r>
        <w:tab/>
        <w:t xml:space="preserve">Modèles de </w:t>
      </w:r>
      <w:r>
        <w:rPr>
          <w:lang w:val="fr-CH"/>
        </w:rPr>
        <w:t>satellites multifaisceaux</w:t>
      </w:r>
    </w:p>
    <w:p w:rsidR="003E352C" w:rsidRDefault="003E352C" w:rsidP="003E352C">
      <w:r>
        <w:t xml:space="preserve">Pour les modèles de </w:t>
      </w:r>
      <w:r>
        <w:rPr>
          <w:lang w:val="fr-CH"/>
        </w:rPr>
        <w:t>satellites</w:t>
      </w:r>
      <w:r>
        <w:t xml:space="preserve"> multifaisceaux tels les modèles GEO et MEO décrits dans le § 3, la représentation de la situation est différente puisque dans ce cas, l'effet cumulatif de toutes les antennes doit être pris en considération comme le montre la Fig. 8.</w:t>
      </w:r>
    </w:p>
    <w:p w:rsidR="003E352C" w:rsidRDefault="003E352C" w:rsidP="003E352C">
      <w:pPr>
        <w:pStyle w:val="FigureNo"/>
      </w:pPr>
      <w:r>
        <w:rPr>
          <w:noProof/>
          <w:lang w:val="en-US" w:eastAsia="zh-CN"/>
        </w:rPr>
        <w:lastRenderedPageBreak/>
        <w:drawing>
          <wp:inline distT="0" distB="0" distL="0" distR="0" wp14:anchorId="7B2F5C2B" wp14:editId="62EFE8B0">
            <wp:extent cx="3712210" cy="29171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2210" cy="2917190"/>
                    </a:xfrm>
                    <a:prstGeom prst="rect">
                      <a:avLst/>
                    </a:prstGeom>
                    <a:noFill/>
                    <a:ln>
                      <a:noFill/>
                    </a:ln>
                  </pic:spPr>
                </pic:pic>
              </a:graphicData>
            </a:graphic>
          </wp:inline>
        </w:drawing>
      </w:r>
    </w:p>
    <w:p w:rsidR="003E352C" w:rsidRDefault="003E352C" w:rsidP="00D0134F">
      <w:pPr>
        <w:pStyle w:val="Normalaftertitle"/>
      </w:pPr>
      <w:r>
        <w:t xml:space="preserve">La valeur de la </w:t>
      </w:r>
      <w:r>
        <w:rPr>
          <w:lang w:val="fr-CH"/>
        </w:rPr>
        <w:t>puissance surfacique</w:t>
      </w:r>
      <w:r>
        <w:t xml:space="preserve"> au point A est le total de la </w:t>
      </w:r>
      <w:r>
        <w:rPr>
          <w:lang w:val="fr-CH"/>
        </w:rPr>
        <w:t>puissance surfacique</w:t>
      </w:r>
      <w:r>
        <w:t xml:space="preserve"> produite par chaque antenne </w:t>
      </w:r>
      <w:proofErr w:type="spellStart"/>
      <w:r>
        <w:t>monofaisceau</w:t>
      </w:r>
      <w:proofErr w:type="spellEnd"/>
      <w:r>
        <w:t xml:space="preserve"> dans la direction du point A, associé chacune à une discrimination angulaire spécifique d'antenne (</w:t>
      </w:r>
      <w:r>
        <w:rPr>
          <w:rFonts w:ascii="Symbol" w:hAnsi="Symbol"/>
        </w:rPr>
        <w:t></w:t>
      </w:r>
      <w:r>
        <w:t>,</w:t>
      </w:r>
      <w:r>
        <w:rPr>
          <w:i/>
          <w:iCs/>
          <w:position w:val="-10"/>
        </w:rPr>
        <w:object w:dxaOrig="340" w:dyaOrig="320">
          <v:shape id="_x0000_i1032" type="#_x0000_t75" style="width:17.25pt;height:16.5pt" o:ole="">
            <v:imagedata r:id="rId28" o:title=""/>
          </v:shape>
          <o:OLEObject Type="Embed" ProgID="Equation.3" ShapeID="_x0000_i1032" DrawAspect="Content" ObjectID="_1385818266" r:id="rId35"/>
        </w:object>
      </w:r>
      <w:r>
        <w:t xml:space="preserve">ou </w:t>
      </w:r>
      <w:r>
        <w:rPr>
          <w:i/>
          <w:iCs/>
          <w:position w:val="-6"/>
        </w:rPr>
        <w:object w:dxaOrig="340" w:dyaOrig="279">
          <v:shape id="_x0000_i1033" type="#_x0000_t75" style="width:17.25pt;height:13.5pt" o:ole="">
            <v:imagedata r:id="rId36" o:title=""/>
          </v:shape>
          <o:OLEObject Type="Embed" ProgID="Equation.3" ShapeID="_x0000_i1033" DrawAspect="Content" ObjectID="_1385818267" r:id="rId37"/>
        </w:object>
      </w:r>
      <w:r>
        <w:t xml:space="preserve"> dans l'exemple ci-dessus).</w:t>
      </w:r>
    </w:p>
    <w:p w:rsidR="003E352C" w:rsidRDefault="003E352C" w:rsidP="003E352C">
      <w:pPr>
        <w:rPr>
          <w:lang w:val="fr-CH"/>
        </w:rPr>
      </w:pPr>
      <w:r>
        <w:rPr>
          <w:lang w:val="fr-CH"/>
        </w:rPr>
        <w:t>A partir du gabarit de puissance surfacique fixé par la réglementation, la puissance surfacique rayonnée en A peut être calculée au moyen de la formule suivante:</w:t>
      </w:r>
    </w:p>
    <w:p w:rsidR="003E352C" w:rsidRPr="009535C9" w:rsidRDefault="003E352C" w:rsidP="003E352C">
      <w:pPr>
        <w:pStyle w:val="Equation"/>
        <w:spacing w:before="240"/>
        <w:rPr>
          <w:lang w:val="fr-CH"/>
        </w:rPr>
      </w:pPr>
      <w:r w:rsidRPr="009535C9">
        <w:rPr>
          <w:lang w:val="fr-CH"/>
        </w:rPr>
        <w:tab/>
      </w:r>
      <w:r w:rsidRPr="009535C9">
        <w:rPr>
          <w:lang w:val="fr-CH"/>
        </w:rPr>
        <w:tab/>
      </w:r>
      <w:r>
        <w:rPr>
          <w:position w:val="-38"/>
        </w:rPr>
        <w:object w:dxaOrig="5140" w:dyaOrig="840">
          <v:shape id="_x0000_i1034" type="#_x0000_t75" style="width:256.5pt;height:42pt" o:ole="" fillcolor="window">
            <v:imagedata r:id="rId38" o:title=""/>
          </v:shape>
          <o:OLEObject Type="Embed" ProgID="Equation.3" ShapeID="_x0000_i1034" DrawAspect="Content" ObjectID="_1385818268" r:id="rId39"/>
        </w:object>
      </w:r>
      <w:r w:rsidRPr="009535C9">
        <w:rPr>
          <w:lang w:val="fr-CH"/>
        </w:rPr>
        <w:tab/>
        <w:t>(5)</w:t>
      </w:r>
    </w:p>
    <w:p w:rsidR="003E352C" w:rsidRDefault="003E352C" w:rsidP="003E352C">
      <w:r>
        <w:t>dans laquelle:</w:t>
      </w:r>
    </w:p>
    <w:p w:rsidR="003E352C" w:rsidRDefault="003E352C" w:rsidP="003E352C">
      <w:pPr>
        <w:pStyle w:val="Equationlegend"/>
        <w:rPr>
          <w:lang w:val="fr-CH"/>
        </w:rPr>
      </w:pPr>
      <w:r w:rsidRPr="009535C9">
        <w:rPr>
          <w:lang w:val="fr-CH"/>
        </w:rPr>
        <w:tab/>
      </w:r>
      <w:proofErr w:type="spellStart"/>
      <w:r>
        <w:rPr>
          <w:i/>
          <w:iCs/>
          <w:lang w:val="fr-CH"/>
        </w:rPr>
        <w:t>pfd</w:t>
      </w:r>
      <w:r>
        <w:rPr>
          <w:i/>
          <w:iCs/>
          <w:vertAlign w:val="subscript"/>
          <w:lang w:val="fr-CH"/>
        </w:rPr>
        <w:t>A</w:t>
      </w:r>
      <w:proofErr w:type="spellEnd"/>
      <w:r>
        <w:rPr>
          <w:rFonts w:ascii="Tms Rmn" w:hAnsi="Tms Rmn"/>
          <w:sz w:val="12"/>
          <w:lang w:val="fr-CH"/>
        </w:rPr>
        <w:t> </w:t>
      </w:r>
      <w:r>
        <w:rPr>
          <w:lang w:val="fr-CH"/>
        </w:rPr>
        <w:t>:</w:t>
      </w:r>
      <w:r>
        <w:rPr>
          <w:lang w:val="fr-CH"/>
        </w:rPr>
        <w:tab/>
        <w:t>puissance surfacique produite en A (dB(W/(m</w:t>
      </w:r>
      <w:r>
        <w:rPr>
          <w:vertAlign w:val="superscript"/>
          <w:lang w:val="fr-CH"/>
        </w:rPr>
        <w:t>2</w:t>
      </w:r>
      <w:r>
        <w:rPr>
          <w:lang w:val="fr-CH"/>
        </w:rPr>
        <w:t> · MHz)))</w:t>
      </w:r>
    </w:p>
    <w:p w:rsidR="003E352C" w:rsidRDefault="003E352C" w:rsidP="003E352C">
      <w:pPr>
        <w:pStyle w:val="Equationlegend"/>
        <w:rPr>
          <w:lang w:val="fr-CH"/>
        </w:rPr>
      </w:pPr>
      <w:r>
        <w:rPr>
          <w:lang w:val="fr-CH"/>
        </w:rPr>
        <w:tab/>
      </w:r>
      <w:r>
        <w:rPr>
          <w:i/>
          <w:iCs/>
          <w:lang w:val="fr-CH"/>
        </w:rPr>
        <w:t>N</w:t>
      </w:r>
      <w:r>
        <w:rPr>
          <w:rFonts w:ascii="Tms Rmn" w:hAnsi="Tms Rmn"/>
          <w:sz w:val="12"/>
          <w:lang w:val="fr-CH"/>
        </w:rPr>
        <w:t> </w:t>
      </w:r>
      <w:r>
        <w:rPr>
          <w:lang w:val="fr-CH"/>
        </w:rPr>
        <w:t>:</w:t>
      </w:r>
      <w:r>
        <w:rPr>
          <w:vertAlign w:val="subscript"/>
          <w:lang w:val="fr-CH"/>
        </w:rPr>
        <w:tab/>
      </w:r>
      <w:r>
        <w:rPr>
          <w:lang w:val="fr-CH"/>
        </w:rPr>
        <w:t xml:space="preserve">nombre de faisceaux </w:t>
      </w:r>
      <w:proofErr w:type="spellStart"/>
      <w:r>
        <w:rPr>
          <w:lang w:val="fr-CH"/>
        </w:rPr>
        <w:t>cofréquences</w:t>
      </w:r>
      <w:proofErr w:type="spellEnd"/>
      <w:r>
        <w:rPr>
          <w:lang w:val="fr-CH"/>
        </w:rPr>
        <w:t xml:space="preserve"> par satellite</w:t>
      </w:r>
    </w:p>
    <w:p w:rsidR="003E352C" w:rsidRDefault="003E352C" w:rsidP="003E352C">
      <w:pPr>
        <w:pStyle w:val="Equationlegend"/>
        <w:rPr>
          <w:lang w:val="fr-CH"/>
        </w:rPr>
      </w:pPr>
      <w:r w:rsidRPr="009535C9">
        <w:rPr>
          <w:lang w:val="fr-CH"/>
        </w:rPr>
        <w:tab/>
      </w:r>
      <w:proofErr w:type="spellStart"/>
      <w:r>
        <w:rPr>
          <w:i/>
          <w:iCs/>
          <w:lang w:val="fr-CH"/>
        </w:rPr>
        <w:t>pfd</w:t>
      </w:r>
      <w:r>
        <w:rPr>
          <w:i/>
          <w:iCs/>
          <w:vertAlign w:val="subscript"/>
          <w:lang w:val="fr-CH"/>
        </w:rPr>
        <w:t>mbj</w:t>
      </w:r>
      <w:proofErr w:type="spellEnd"/>
      <w:r>
        <w:rPr>
          <w:rFonts w:ascii="Tms Rmn" w:hAnsi="Tms Rmn"/>
          <w:sz w:val="12"/>
          <w:lang w:val="fr-CH"/>
        </w:rPr>
        <w:t> </w:t>
      </w:r>
      <w:r>
        <w:rPr>
          <w:lang w:val="fr-CH"/>
        </w:rPr>
        <w:t>:</w:t>
      </w:r>
      <w:r>
        <w:rPr>
          <w:lang w:val="fr-CH"/>
        </w:rPr>
        <w:tab/>
        <w:t xml:space="preserve">puissance surfacique rayonnée dans le faisceau principal </w:t>
      </w:r>
      <w:r>
        <w:rPr>
          <w:i/>
          <w:iCs/>
          <w:lang w:val="fr-CH"/>
        </w:rPr>
        <w:t>j</w:t>
      </w:r>
      <w:r>
        <w:rPr>
          <w:lang w:val="fr-CH"/>
        </w:rPr>
        <w:t xml:space="preserve"> (dB(W/(m</w:t>
      </w:r>
      <w:r>
        <w:rPr>
          <w:vertAlign w:val="superscript"/>
          <w:lang w:val="fr-CH"/>
        </w:rPr>
        <w:t>2</w:t>
      </w:r>
      <w:r>
        <w:rPr>
          <w:lang w:val="fr-CH"/>
        </w:rPr>
        <w:t> · MHz)))</w:t>
      </w:r>
    </w:p>
    <w:p w:rsidR="003E352C" w:rsidRDefault="003E352C" w:rsidP="003E352C">
      <w:pPr>
        <w:pStyle w:val="Equationlegend"/>
        <w:rPr>
          <w:lang w:val="fr-CH"/>
        </w:rPr>
      </w:pPr>
      <w:r>
        <w:rPr>
          <w:lang w:val="fr-CH"/>
        </w:rPr>
        <w:tab/>
      </w:r>
      <w:proofErr w:type="spellStart"/>
      <w:r>
        <w:rPr>
          <w:i/>
          <w:iCs/>
          <w:lang w:val="fr-CH"/>
        </w:rPr>
        <w:t>L</w:t>
      </w:r>
      <w:r>
        <w:rPr>
          <w:i/>
          <w:iCs/>
          <w:vertAlign w:val="subscript"/>
          <w:lang w:val="fr-CH"/>
        </w:rPr>
        <w:t>mbj</w:t>
      </w:r>
      <w:proofErr w:type="spellEnd"/>
      <w:r>
        <w:rPr>
          <w:rFonts w:ascii="Tms Rmn" w:hAnsi="Tms Rmn"/>
          <w:sz w:val="12"/>
          <w:lang w:val="fr-CH"/>
        </w:rPr>
        <w:t> </w:t>
      </w:r>
      <w:r>
        <w:rPr>
          <w:lang w:val="fr-CH"/>
        </w:rPr>
        <w:t>:</w:t>
      </w:r>
      <w:r>
        <w:rPr>
          <w:lang w:val="fr-CH"/>
        </w:rPr>
        <w:tab/>
        <w:t xml:space="preserve">affaiblissements en espace libre entre le satellite et le centre du faisceau ponctuel </w:t>
      </w:r>
      <w:r>
        <w:rPr>
          <w:i/>
          <w:iCs/>
          <w:lang w:val="fr-CH"/>
        </w:rPr>
        <w:t>j</w:t>
      </w:r>
      <w:r>
        <w:rPr>
          <w:lang w:val="fr-CH"/>
        </w:rPr>
        <w:t xml:space="preserve"> à la surface de la Terre (dB)</w:t>
      </w:r>
    </w:p>
    <w:p w:rsidR="003E352C" w:rsidRDefault="003E352C" w:rsidP="003E352C">
      <w:pPr>
        <w:pStyle w:val="Equationlegend"/>
        <w:rPr>
          <w:lang w:val="fr-CH"/>
        </w:rPr>
      </w:pPr>
      <w:r w:rsidRPr="009535C9">
        <w:rPr>
          <w:lang w:val="fr-CH"/>
        </w:rPr>
        <w:tab/>
      </w:r>
      <w:proofErr w:type="spellStart"/>
      <w:r>
        <w:rPr>
          <w:i/>
          <w:iCs/>
          <w:lang w:val="fr-CH"/>
        </w:rPr>
        <w:t>G</w:t>
      </w:r>
      <w:r>
        <w:rPr>
          <w:i/>
          <w:iCs/>
          <w:vertAlign w:val="subscript"/>
          <w:lang w:val="fr-CH"/>
        </w:rPr>
        <w:t>max</w:t>
      </w:r>
      <w:proofErr w:type="spellEnd"/>
      <w:r>
        <w:rPr>
          <w:rFonts w:ascii="Tms Rmn" w:hAnsi="Tms Rmn"/>
          <w:sz w:val="12"/>
          <w:lang w:val="fr-CH"/>
        </w:rPr>
        <w:t> </w:t>
      </w:r>
      <w:r>
        <w:rPr>
          <w:lang w:val="fr-CH"/>
        </w:rPr>
        <w:t>:</w:t>
      </w:r>
      <w:r>
        <w:rPr>
          <w:lang w:val="fr-CH"/>
        </w:rPr>
        <w:tab/>
        <w:t>gain d'antenne maximal du satellite (</w:t>
      </w:r>
      <w:proofErr w:type="spellStart"/>
      <w:r>
        <w:rPr>
          <w:lang w:val="fr-CH"/>
        </w:rPr>
        <w:t>dBi</w:t>
      </w:r>
      <w:proofErr w:type="spellEnd"/>
      <w:r>
        <w:rPr>
          <w:lang w:val="fr-CH"/>
        </w:rPr>
        <w:t>)</w:t>
      </w:r>
    </w:p>
    <w:p w:rsidR="003E352C" w:rsidRDefault="003E352C" w:rsidP="003E352C">
      <w:pPr>
        <w:pStyle w:val="Equationlegend"/>
        <w:rPr>
          <w:lang w:val="fr-CH"/>
        </w:rPr>
      </w:pPr>
      <w:r w:rsidRPr="009535C9">
        <w:rPr>
          <w:lang w:val="fr-CH"/>
        </w:rPr>
        <w:tab/>
      </w:r>
      <w:proofErr w:type="spellStart"/>
      <w:r>
        <w:rPr>
          <w:i/>
          <w:iCs/>
          <w:lang w:val="fr-CH"/>
        </w:rPr>
        <w:t>G</w:t>
      </w:r>
      <w:r>
        <w:rPr>
          <w:i/>
          <w:iCs/>
          <w:vertAlign w:val="subscript"/>
          <w:lang w:val="fr-CH"/>
        </w:rPr>
        <w:t>discrij</w:t>
      </w:r>
      <w:proofErr w:type="spellEnd"/>
      <w:r>
        <w:rPr>
          <w:rFonts w:ascii="Tms Rmn" w:hAnsi="Tms Rmn"/>
          <w:sz w:val="12"/>
          <w:lang w:val="fr-CH"/>
        </w:rPr>
        <w:t> </w:t>
      </w:r>
      <w:r>
        <w:rPr>
          <w:lang w:val="fr-CH"/>
        </w:rPr>
        <w:t>:</w:t>
      </w:r>
      <w:r>
        <w:rPr>
          <w:lang w:val="fr-CH"/>
        </w:rPr>
        <w:tab/>
        <w:t xml:space="preserve">gain relatif d'antenne dans la direction du point A pour le faisceau </w:t>
      </w:r>
      <w:r>
        <w:rPr>
          <w:i/>
          <w:iCs/>
          <w:lang w:val="fr-CH"/>
        </w:rPr>
        <w:t>j</w:t>
      </w:r>
      <w:r>
        <w:rPr>
          <w:lang w:val="fr-CH"/>
        </w:rPr>
        <w:t xml:space="preserve"> (</w:t>
      </w:r>
      <w:proofErr w:type="spellStart"/>
      <w:r>
        <w:rPr>
          <w:lang w:val="fr-CH"/>
        </w:rPr>
        <w:t>dBi</w:t>
      </w:r>
      <w:proofErr w:type="spellEnd"/>
      <w:r>
        <w:rPr>
          <w:lang w:val="fr-CH"/>
        </w:rPr>
        <w:t>)</w:t>
      </w:r>
    </w:p>
    <w:p w:rsidR="003E352C" w:rsidRDefault="003E352C" w:rsidP="003E352C">
      <w:pPr>
        <w:pStyle w:val="Equationlegend"/>
        <w:rPr>
          <w:lang w:val="fr-CH"/>
        </w:rPr>
      </w:pPr>
      <w:r>
        <w:rPr>
          <w:lang w:val="fr-CH"/>
        </w:rPr>
        <w:tab/>
      </w:r>
      <w:r>
        <w:rPr>
          <w:i/>
          <w:iCs/>
          <w:lang w:val="fr-CH"/>
        </w:rPr>
        <w:t>L</w:t>
      </w:r>
      <w:r>
        <w:rPr>
          <w:i/>
          <w:iCs/>
          <w:vertAlign w:val="subscript"/>
          <w:lang w:val="fr-CH"/>
        </w:rPr>
        <w:t>A</w:t>
      </w:r>
      <w:r>
        <w:rPr>
          <w:rFonts w:ascii="Tms Rmn" w:hAnsi="Tms Rmn"/>
          <w:sz w:val="12"/>
          <w:lang w:val="fr-CH"/>
        </w:rPr>
        <w:t> </w:t>
      </w:r>
      <w:r>
        <w:rPr>
          <w:lang w:val="fr-CH"/>
        </w:rPr>
        <w:t>:</w:t>
      </w:r>
      <w:r>
        <w:rPr>
          <w:vertAlign w:val="subscript"/>
          <w:lang w:val="fr-CH"/>
        </w:rPr>
        <w:tab/>
      </w:r>
      <w:r>
        <w:rPr>
          <w:lang w:val="fr-CH"/>
        </w:rPr>
        <w:t>affaiblissements en espace libre entre le satellite et le point A (dB).</w:t>
      </w:r>
    </w:p>
    <w:p w:rsidR="003E352C" w:rsidRDefault="003E352C" w:rsidP="003E352C">
      <w:r>
        <w:t xml:space="preserve">Ces faisceaux étant supposés avoir la même fréquence et compte tenu des problèmes de brouillage </w:t>
      </w:r>
      <w:proofErr w:type="spellStart"/>
      <w:r>
        <w:t>intrasystème</w:t>
      </w:r>
      <w:proofErr w:type="spellEnd"/>
      <w:r>
        <w:t>, ils ne couvriront pas la même zone au même instant.</w:t>
      </w:r>
    </w:p>
    <w:p w:rsidR="003E352C" w:rsidRDefault="003E352C" w:rsidP="003E352C">
      <w:r>
        <w:t xml:space="preserve">Par conséquent, hormis certains cas où aucun des faisceaux principaux ne recouvre le point A et où donc la </w:t>
      </w:r>
      <w:r>
        <w:rPr>
          <w:lang w:val="fr-CH"/>
        </w:rPr>
        <w:t>puissance surfacique</w:t>
      </w:r>
      <w:r>
        <w:t xml:space="preserve"> cumulative est uniquement produite par les lobes latéraux lointains de tous les faisceaux, la </w:t>
      </w:r>
      <w:r>
        <w:rPr>
          <w:lang w:val="fr-CH"/>
        </w:rPr>
        <w:t>puissance surfacique</w:t>
      </w:r>
      <w:r>
        <w:t xml:space="preserve"> cumulative à un instant donné dépend pour l'essentiel de celle rayonnée par un seul faisceau.</w:t>
      </w:r>
    </w:p>
    <w:p w:rsidR="003E352C" w:rsidRDefault="003E352C" w:rsidP="003E352C">
      <w:r>
        <w:t xml:space="preserve">Pour éviter les calculs compliqués mettant en œuvre des scénarios multifaisceaux, la </w:t>
      </w:r>
      <w:r>
        <w:rPr>
          <w:lang w:val="fr-CH"/>
        </w:rPr>
        <w:t>puissance surfacique</w:t>
      </w:r>
      <w:r>
        <w:t xml:space="preserve"> au point A </w:t>
      </w:r>
      <w:proofErr w:type="spellStart"/>
      <w:r>
        <w:t>peut être</w:t>
      </w:r>
      <w:proofErr w:type="spellEnd"/>
      <w:r>
        <w:t xml:space="preserve"> alors donnée approximativement, en considérant un seul faisceau, par la formule suivante:</w:t>
      </w:r>
    </w:p>
    <w:p w:rsidR="003E352C" w:rsidRDefault="003E352C" w:rsidP="003E352C">
      <w:pPr>
        <w:pStyle w:val="Equation"/>
        <w:spacing w:before="240"/>
        <w:rPr>
          <w:lang w:val="fr-CH"/>
        </w:rPr>
      </w:pPr>
      <w:r>
        <w:rPr>
          <w:lang w:val="fr-CH"/>
        </w:rPr>
        <w:tab/>
      </w:r>
      <w:r>
        <w:rPr>
          <w:lang w:val="fr-CH"/>
        </w:rPr>
        <w:tab/>
      </w:r>
      <w:r>
        <w:rPr>
          <w:position w:val="-16"/>
        </w:rPr>
        <w:object w:dxaOrig="4160" w:dyaOrig="400">
          <v:shape id="_x0000_i1035" type="#_x0000_t75" style="width:208.5pt;height:20.25pt" o:ole="" fillcolor="window">
            <v:imagedata r:id="rId40" o:title=""/>
          </v:shape>
          <o:OLEObject Type="Embed" ProgID="Equation.3" ShapeID="_x0000_i1035" DrawAspect="Content" ObjectID="_1385818269" r:id="rId41"/>
        </w:object>
      </w:r>
      <w:r>
        <w:rPr>
          <w:lang w:val="fr-CH"/>
        </w:rPr>
        <w:tab/>
        <w:t>(6)</w:t>
      </w:r>
    </w:p>
    <w:p w:rsidR="003E352C" w:rsidRDefault="003E352C" w:rsidP="003E352C">
      <w:r>
        <w:lastRenderedPageBreak/>
        <w:t>dans laquelle:</w:t>
      </w:r>
    </w:p>
    <w:p w:rsidR="003E352C" w:rsidRDefault="003E352C" w:rsidP="003E352C">
      <w:pPr>
        <w:pStyle w:val="Equationlegend"/>
        <w:rPr>
          <w:lang w:val="fr-CH"/>
        </w:rPr>
      </w:pPr>
      <w:r w:rsidRPr="009535C9">
        <w:rPr>
          <w:lang w:val="fr-CH"/>
        </w:rPr>
        <w:tab/>
      </w:r>
      <w:proofErr w:type="spellStart"/>
      <w:r>
        <w:rPr>
          <w:i/>
          <w:iCs/>
          <w:lang w:val="fr-CH"/>
        </w:rPr>
        <w:t>pfd</w:t>
      </w:r>
      <w:r>
        <w:rPr>
          <w:i/>
          <w:iCs/>
          <w:vertAlign w:val="subscript"/>
          <w:lang w:val="fr-CH"/>
        </w:rPr>
        <w:t>A</w:t>
      </w:r>
      <w:proofErr w:type="spellEnd"/>
      <w:r>
        <w:rPr>
          <w:rFonts w:ascii="Tms Rmn" w:hAnsi="Tms Rmn"/>
          <w:sz w:val="12"/>
          <w:lang w:val="fr-CH"/>
        </w:rPr>
        <w:t> </w:t>
      </w:r>
      <w:r>
        <w:rPr>
          <w:lang w:val="fr-CH"/>
        </w:rPr>
        <w:t>:</w:t>
      </w:r>
      <w:r>
        <w:rPr>
          <w:lang w:val="fr-CH"/>
        </w:rPr>
        <w:tab/>
        <w:t>puissance surfacique produite en A (dB(W/(m</w:t>
      </w:r>
      <w:r>
        <w:rPr>
          <w:vertAlign w:val="superscript"/>
          <w:lang w:val="fr-CH"/>
        </w:rPr>
        <w:t>2</w:t>
      </w:r>
      <w:r>
        <w:rPr>
          <w:lang w:val="fr-CH"/>
        </w:rPr>
        <w:t> · MHz)))</w:t>
      </w:r>
    </w:p>
    <w:p w:rsidR="003E352C" w:rsidRDefault="003E352C" w:rsidP="003E352C">
      <w:pPr>
        <w:pStyle w:val="Equationlegend"/>
        <w:rPr>
          <w:lang w:val="fr-CH"/>
        </w:rPr>
      </w:pPr>
      <w:r w:rsidRPr="009535C9">
        <w:rPr>
          <w:lang w:val="fr-CH"/>
        </w:rPr>
        <w:tab/>
      </w:r>
      <w:proofErr w:type="spellStart"/>
      <w:r>
        <w:rPr>
          <w:i/>
          <w:iCs/>
          <w:lang w:val="fr-CH"/>
        </w:rPr>
        <w:t>pfd</w:t>
      </w:r>
      <w:r>
        <w:rPr>
          <w:i/>
          <w:iCs/>
          <w:vertAlign w:val="subscript"/>
          <w:lang w:val="fr-CH"/>
        </w:rPr>
        <w:t>mb</w:t>
      </w:r>
      <w:proofErr w:type="spellEnd"/>
      <w:r>
        <w:rPr>
          <w:rFonts w:ascii="Tms Rmn" w:hAnsi="Tms Rmn"/>
          <w:sz w:val="12"/>
          <w:lang w:val="fr-CH"/>
        </w:rPr>
        <w:t> </w:t>
      </w:r>
      <w:r>
        <w:rPr>
          <w:lang w:val="fr-CH"/>
        </w:rPr>
        <w:t>:</w:t>
      </w:r>
      <w:r>
        <w:rPr>
          <w:lang w:val="fr-CH"/>
        </w:rPr>
        <w:tab/>
        <w:t>puissance surfacique rayonnée dans le faisceau principal (dB(W/(m</w:t>
      </w:r>
      <w:r>
        <w:rPr>
          <w:vertAlign w:val="superscript"/>
          <w:lang w:val="fr-CH"/>
        </w:rPr>
        <w:t>2</w:t>
      </w:r>
      <w:r>
        <w:rPr>
          <w:lang w:val="fr-CH"/>
        </w:rPr>
        <w:t> · MHz)))</w:t>
      </w:r>
    </w:p>
    <w:p w:rsidR="003E352C" w:rsidRDefault="003E352C" w:rsidP="003E352C">
      <w:pPr>
        <w:pStyle w:val="Equationlegend"/>
        <w:rPr>
          <w:lang w:val="fr-CH"/>
        </w:rPr>
      </w:pPr>
      <w:r w:rsidRPr="009535C9">
        <w:rPr>
          <w:lang w:val="fr-CH"/>
        </w:rPr>
        <w:tab/>
      </w:r>
      <w:proofErr w:type="spellStart"/>
      <w:r>
        <w:rPr>
          <w:i/>
          <w:iCs/>
          <w:lang w:val="fr-CH"/>
        </w:rPr>
        <w:t>L</w:t>
      </w:r>
      <w:r>
        <w:rPr>
          <w:i/>
          <w:iCs/>
          <w:vertAlign w:val="subscript"/>
          <w:lang w:val="fr-CH"/>
        </w:rPr>
        <w:t>mb</w:t>
      </w:r>
      <w:proofErr w:type="spellEnd"/>
      <w:r>
        <w:rPr>
          <w:rFonts w:ascii="Tms Rmn" w:hAnsi="Tms Rmn"/>
          <w:sz w:val="12"/>
          <w:lang w:val="fr-CH"/>
        </w:rPr>
        <w:t> </w:t>
      </w:r>
      <w:r>
        <w:rPr>
          <w:lang w:val="fr-CH"/>
        </w:rPr>
        <w:t>:</w:t>
      </w:r>
      <w:r>
        <w:rPr>
          <w:lang w:val="fr-CH"/>
        </w:rPr>
        <w:tab/>
        <w:t xml:space="preserve">affaiblissements en espace libre entre le satellite et le centre du faisceau </w:t>
      </w:r>
      <w:r>
        <w:rPr>
          <w:i/>
          <w:iCs/>
          <w:lang w:val="fr-CH"/>
        </w:rPr>
        <w:t>j</w:t>
      </w:r>
      <w:r>
        <w:rPr>
          <w:lang w:val="fr-CH"/>
        </w:rPr>
        <w:t xml:space="preserve"> à la surface de la Terre (dB)</w:t>
      </w:r>
    </w:p>
    <w:p w:rsidR="003E352C" w:rsidRDefault="003E352C" w:rsidP="003E352C">
      <w:pPr>
        <w:pStyle w:val="Equationlegend"/>
        <w:rPr>
          <w:lang w:val="fr-CH"/>
        </w:rPr>
      </w:pPr>
      <w:r>
        <w:rPr>
          <w:lang w:val="fr-CH"/>
        </w:rPr>
        <w:tab/>
      </w:r>
      <w:r>
        <w:rPr>
          <w:position w:val="-12"/>
        </w:rPr>
        <w:object w:dxaOrig="520" w:dyaOrig="360">
          <v:shape id="_x0000_i1036" type="#_x0000_t75" style="width:25.5pt;height:18pt" o:ole="">
            <v:imagedata r:id="rId42" o:title=""/>
          </v:shape>
          <o:OLEObject Type="Embed" ProgID="Equation.3" ShapeID="_x0000_i1036" DrawAspect="Content" ObjectID="_1385818270" r:id="rId43"/>
        </w:object>
      </w:r>
      <w:r>
        <w:rPr>
          <w:lang w:val="fr-CH"/>
        </w:rPr>
        <w:t>:</w:t>
      </w:r>
      <w:r>
        <w:rPr>
          <w:lang w:val="fr-CH"/>
        </w:rPr>
        <w:tab/>
        <w:t>gain maximal d'antenne cumulatif du satellite (</w:t>
      </w:r>
      <w:proofErr w:type="spellStart"/>
      <w:r>
        <w:rPr>
          <w:lang w:val="fr-CH"/>
        </w:rPr>
        <w:t>dBi</w:t>
      </w:r>
      <w:proofErr w:type="spellEnd"/>
      <w:r>
        <w:rPr>
          <w:lang w:val="fr-CH"/>
        </w:rPr>
        <w:t>)</w:t>
      </w:r>
    </w:p>
    <w:p w:rsidR="003E352C" w:rsidRDefault="003E352C" w:rsidP="003E352C">
      <w:pPr>
        <w:pStyle w:val="Equationlegend"/>
        <w:rPr>
          <w:lang w:val="fr-CH"/>
        </w:rPr>
      </w:pPr>
      <w:r>
        <w:rPr>
          <w:lang w:val="fr-CH"/>
        </w:rPr>
        <w:tab/>
      </w:r>
      <w:r>
        <w:rPr>
          <w:position w:val="-14"/>
        </w:rPr>
        <w:object w:dxaOrig="660" w:dyaOrig="380">
          <v:shape id="_x0000_i1037" type="#_x0000_t75" style="width:33pt;height:19.5pt" o:ole="">
            <v:imagedata r:id="rId44" o:title=""/>
          </v:shape>
          <o:OLEObject Type="Embed" ProgID="Equation.3" ShapeID="_x0000_i1037" DrawAspect="Content" ObjectID="_1385818271" r:id="rId45"/>
        </w:object>
      </w:r>
      <w:r>
        <w:rPr>
          <w:lang w:val="fr-CH"/>
        </w:rPr>
        <w:t>:</w:t>
      </w:r>
      <w:r>
        <w:rPr>
          <w:lang w:val="fr-CH"/>
        </w:rPr>
        <w:tab/>
      </w:r>
      <w:r>
        <w:rPr>
          <w:spacing w:val="-2"/>
          <w:lang w:val="fr-CH"/>
        </w:rPr>
        <w:t xml:space="preserve">gain d'antenne agrégé relatif dans la direction du point A pour le faisceau </w:t>
      </w:r>
      <w:r>
        <w:rPr>
          <w:i/>
          <w:iCs/>
          <w:spacing w:val="-2"/>
          <w:lang w:val="fr-CH"/>
        </w:rPr>
        <w:t>j</w:t>
      </w:r>
      <w:r>
        <w:rPr>
          <w:spacing w:val="-2"/>
          <w:lang w:val="fr-CH"/>
        </w:rPr>
        <w:t xml:space="preserve"> (</w:t>
      </w:r>
      <w:proofErr w:type="spellStart"/>
      <w:r>
        <w:rPr>
          <w:spacing w:val="-2"/>
          <w:lang w:val="fr-CH"/>
        </w:rPr>
        <w:t>dBi</w:t>
      </w:r>
      <w:proofErr w:type="spellEnd"/>
      <w:r>
        <w:rPr>
          <w:spacing w:val="-2"/>
          <w:lang w:val="fr-CH"/>
        </w:rPr>
        <w:t>)</w:t>
      </w:r>
    </w:p>
    <w:p w:rsidR="003E352C" w:rsidRDefault="003E352C" w:rsidP="003E352C">
      <w:pPr>
        <w:pStyle w:val="Equationlegend"/>
        <w:rPr>
          <w:lang w:val="fr-CH"/>
        </w:rPr>
      </w:pPr>
      <w:r>
        <w:rPr>
          <w:lang w:val="fr-CH"/>
        </w:rPr>
        <w:tab/>
      </w:r>
      <w:r>
        <w:rPr>
          <w:i/>
          <w:iCs/>
          <w:lang w:val="fr-CH"/>
        </w:rPr>
        <w:t>L</w:t>
      </w:r>
      <w:r>
        <w:rPr>
          <w:i/>
          <w:iCs/>
          <w:vertAlign w:val="subscript"/>
          <w:lang w:val="fr-CH"/>
        </w:rPr>
        <w:t>A</w:t>
      </w:r>
      <w:r>
        <w:rPr>
          <w:rFonts w:ascii="Tms Rmn" w:hAnsi="Tms Rmn"/>
          <w:sz w:val="12"/>
          <w:lang w:val="fr-CH"/>
        </w:rPr>
        <w:t> </w:t>
      </w:r>
      <w:r>
        <w:rPr>
          <w:lang w:val="fr-CH"/>
        </w:rPr>
        <w:t>:</w:t>
      </w:r>
      <w:r>
        <w:rPr>
          <w:lang w:val="fr-CH"/>
        </w:rPr>
        <w:tab/>
        <w:t>affaiblissements en espace libre entre le satellite et le point A (dB)</w:t>
      </w:r>
    </w:p>
    <w:p w:rsidR="003E352C" w:rsidRDefault="003E352C" w:rsidP="003E352C">
      <w:pPr>
        <w:spacing w:line="280" w:lineRule="exact"/>
      </w:pPr>
      <w:r>
        <w:t xml:space="preserve">et dans laquelle le gain d'antenne agrégé, </w:t>
      </w:r>
      <w:r>
        <w:rPr>
          <w:i/>
          <w:iCs/>
          <w:position w:val="-10"/>
        </w:rPr>
        <w:object w:dxaOrig="340" w:dyaOrig="320">
          <v:shape id="_x0000_i1038" type="#_x0000_t75" style="width:17.25pt;height:16.5pt" o:ole="">
            <v:imagedata r:id="rId46" o:title=""/>
          </v:shape>
          <o:OLEObject Type="Embed" ProgID="Equation.3" ShapeID="_x0000_i1038" DrawAspect="Content" ObjectID="_1385818272" r:id="rId47"/>
        </w:object>
      </w:r>
      <w:r>
        <w:t xml:space="preserve"> correspond au diagramme d'une seule antenne, </w:t>
      </w:r>
      <w:r>
        <w:rPr>
          <w:i/>
          <w:iCs/>
        </w:rPr>
        <w:t>G</w:t>
      </w:r>
      <w:r>
        <w:t xml:space="preserve"> plus l'effet du gain hors axe, </w:t>
      </w:r>
      <w:proofErr w:type="spellStart"/>
      <w:r>
        <w:rPr>
          <w:i/>
          <w:iCs/>
          <w:lang w:val="fr-CH"/>
        </w:rPr>
        <w:t>G</w:t>
      </w:r>
      <w:r>
        <w:rPr>
          <w:i/>
          <w:iCs/>
          <w:vertAlign w:val="subscript"/>
          <w:lang w:val="fr-CH"/>
        </w:rPr>
        <w:t>offaxis</w:t>
      </w:r>
      <w:proofErr w:type="spellEnd"/>
      <w:r>
        <w:t xml:space="preserve">, des </w:t>
      </w:r>
      <w:r>
        <w:rPr>
          <w:i/>
          <w:iCs/>
        </w:rPr>
        <w:t>N</w:t>
      </w:r>
      <w:r>
        <w:t xml:space="preserve"> autres antennes du </w:t>
      </w:r>
      <w:r>
        <w:rPr>
          <w:lang w:val="fr-CH"/>
        </w:rPr>
        <w:t>satellite</w:t>
      </w:r>
      <w:r>
        <w:t xml:space="preserve">. Le gain </w:t>
      </w:r>
      <w:r>
        <w:rPr>
          <w:i/>
          <w:iCs/>
          <w:position w:val="-6"/>
        </w:rPr>
        <w:object w:dxaOrig="300" w:dyaOrig="279">
          <v:shape id="_x0000_i1039" type="#_x0000_t75" style="width:15pt;height:13.5pt" o:ole="">
            <v:imagedata r:id="rId48" o:title=""/>
          </v:shape>
          <o:OLEObject Type="Embed" ProgID="Equation.3" ShapeID="_x0000_i1039" DrawAspect="Content" ObjectID="_1385818273" r:id="rId49"/>
        </w:object>
      </w:r>
      <w:r>
        <w:t>est défini comme suit:</w:t>
      </w:r>
    </w:p>
    <w:p w:rsidR="003E352C" w:rsidRDefault="003E352C" w:rsidP="003E352C">
      <w:pPr>
        <w:pStyle w:val="Equation"/>
        <w:spacing w:before="240"/>
        <w:rPr>
          <w:lang w:val="fr-CH"/>
        </w:rPr>
      </w:pPr>
      <w:r>
        <w:rPr>
          <w:lang w:val="fr-CH"/>
        </w:rPr>
        <w:tab/>
      </w:r>
      <w:r>
        <w:rPr>
          <w:lang w:val="fr-CH"/>
        </w:rPr>
        <w:tab/>
      </w:r>
      <w:r>
        <w:rPr>
          <w:position w:val="-48"/>
        </w:rPr>
        <w:object w:dxaOrig="3300" w:dyaOrig="1080">
          <v:shape id="_x0000_i1040" type="#_x0000_t75" style="width:164.25pt;height:54pt" o:ole="" fillcolor="window">
            <v:imagedata r:id="rId50" o:title=""/>
          </v:shape>
          <o:OLEObject Type="Embed" ProgID="Equation.3" ShapeID="_x0000_i1040" DrawAspect="Content" ObjectID="_1385818274" r:id="rId51"/>
        </w:object>
      </w:r>
      <w:r>
        <w:rPr>
          <w:lang w:val="fr-CH"/>
        </w:rPr>
        <w:tab/>
        <w:t>(7)</w:t>
      </w:r>
    </w:p>
    <w:p w:rsidR="003E352C" w:rsidRDefault="003E352C" w:rsidP="003E352C">
      <w:pPr>
        <w:spacing w:before="240"/>
      </w:pPr>
      <w:r>
        <w:t xml:space="preserve">A titre d'exemple, et en supposant un gain d'antenne hors axe 0 </w:t>
      </w:r>
      <w:proofErr w:type="spellStart"/>
      <w:r>
        <w:t>dBi</w:t>
      </w:r>
      <w:proofErr w:type="spellEnd"/>
      <w:r>
        <w:t xml:space="preserve">, le diagramme d'antenne résultant utilisé pour les modèles de </w:t>
      </w:r>
      <w:r>
        <w:rPr>
          <w:lang w:val="fr-CH"/>
        </w:rPr>
        <w:t xml:space="preserve">satellites multifaisceaux </w:t>
      </w:r>
      <w:r>
        <w:t xml:space="preserve">GEO1 (gain d'antenne 60 </w:t>
      </w:r>
      <w:proofErr w:type="spellStart"/>
      <w:r>
        <w:t>dBi</w:t>
      </w:r>
      <w:proofErr w:type="spellEnd"/>
      <w:r>
        <w:t xml:space="preserve">) ou MEO2 (gain d'antenne 45 </w:t>
      </w:r>
      <w:proofErr w:type="spellStart"/>
      <w:r>
        <w:t>dBi</w:t>
      </w:r>
      <w:proofErr w:type="spellEnd"/>
      <w:r>
        <w:t>) sont représentés dans les Fig. 9a et 9b.</w:t>
      </w:r>
    </w:p>
    <w:p w:rsidR="00D0134F" w:rsidRDefault="00D0134F" w:rsidP="003E352C">
      <w:pPr>
        <w:spacing w:before="240"/>
      </w:pPr>
    </w:p>
    <w:p w:rsidR="003E352C" w:rsidRDefault="003E352C" w:rsidP="00D0134F">
      <w:pPr>
        <w:pStyle w:val="Figure"/>
      </w:pPr>
      <w:r>
        <w:rPr>
          <w:noProof/>
          <w:lang w:val="en-US" w:eastAsia="zh-CN"/>
        </w:rPr>
        <w:drawing>
          <wp:inline distT="0" distB="0" distL="0" distR="0" wp14:anchorId="021F9991" wp14:editId="1153069A">
            <wp:extent cx="4550400" cy="30132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0400" cy="3013200"/>
                    </a:xfrm>
                    <a:prstGeom prst="rect">
                      <a:avLst/>
                    </a:prstGeom>
                    <a:noFill/>
                    <a:ln>
                      <a:noFill/>
                    </a:ln>
                  </pic:spPr>
                </pic:pic>
              </a:graphicData>
            </a:graphic>
          </wp:inline>
        </w:drawing>
      </w:r>
    </w:p>
    <w:p w:rsidR="00D0134F" w:rsidRPr="00D0134F" w:rsidRDefault="00D0134F" w:rsidP="00D0134F">
      <w:pPr>
        <w:pStyle w:val="Figuretitle"/>
      </w:pPr>
    </w:p>
    <w:p w:rsidR="003E352C" w:rsidRDefault="003E352C" w:rsidP="003E352C">
      <w:pPr>
        <w:pStyle w:val="FigureNo"/>
        <w:spacing w:before="120" w:after="120"/>
        <w:rPr>
          <w:lang w:val="en-GB"/>
        </w:rPr>
      </w:pPr>
      <w:r>
        <w:rPr>
          <w:noProof/>
          <w:lang w:val="en-US" w:eastAsia="zh-CN"/>
        </w:rPr>
        <w:drawing>
          <wp:inline distT="0" distB="0" distL="0" distR="0" wp14:anchorId="414BD61F" wp14:editId="15624978">
            <wp:extent cx="4791710" cy="3173095"/>
            <wp:effectExtent l="0" t="0" r="889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1710" cy="3173095"/>
                    </a:xfrm>
                    <a:prstGeom prst="rect">
                      <a:avLst/>
                    </a:prstGeom>
                    <a:noFill/>
                    <a:ln>
                      <a:noFill/>
                    </a:ln>
                  </pic:spPr>
                </pic:pic>
              </a:graphicData>
            </a:graphic>
          </wp:inline>
        </w:drawing>
      </w:r>
    </w:p>
    <w:p w:rsidR="003E352C" w:rsidRDefault="003E352C" w:rsidP="00D0134F">
      <w:pPr>
        <w:pStyle w:val="Normalaftertitle"/>
      </w:pPr>
      <w:r>
        <w:t xml:space="preserve">Enfin, après avoir calculé la distribution de </w:t>
      </w:r>
      <w:r>
        <w:rPr>
          <w:lang w:val="fr-CH"/>
        </w:rPr>
        <w:t>puissance surfacique</w:t>
      </w:r>
      <w:r>
        <w:t xml:space="preserve"> telle que celle qui est donnée dans la Fig. 6 pour un faisceau sur la base d'un diagramme d'antenne composite, la distribution de la </w:t>
      </w:r>
      <w:r>
        <w:rPr>
          <w:lang w:val="fr-CH"/>
        </w:rPr>
        <w:t>puissance surfacique</w:t>
      </w:r>
      <w:r>
        <w:t xml:space="preserve"> pour les </w:t>
      </w:r>
      <w:r>
        <w:rPr>
          <w:i/>
          <w:iCs/>
        </w:rPr>
        <w:t>N</w:t>
      </w:r>
      <w:r>
        <w:t xml:space="preserve"> faisceaux du satellite peut être calculée au moyen de la formule suivante:</w:t>
      </w:r>
    </w:p>
    <w:p w:rsidR="003E352C" w:rsidRPr="009535C9" w:rsidRDefault="003E352C" w:rsidP="003E352C">
      <w:pPr>
        <w:pStyle w:val="Equation"/>
        <w:rPr>
          <w:lang w:val="fr-CH"/>
        </w:rPr>
      </w:pPr>
      <w:r w:rsidRPr="009535C9">
        <w:rPr>
          <w:lang w:val="fr-CH"/>
        </w:rPr>
        <w:tab/>
      </w:r>
      <w:r w:rsidRPr="009535C9">
        <w:rPr>
          <w:lang w:val="fr-CH"/>
        </w:rPr>
        <w:tab/>
      </w:r>
      <w:r>
        <w:rPr>
          <w:position w:val="-10"/>
        </w:rPr>
        <w:object w:dxaOrig="1760" w:dyaOrig="420">
          <v:shape id="_x0000_i1041" type="#_x0000_t75" style="width:88.5pt;height:21pt" o:ole="" fillcolor="window">
            <v:imagedata r:id="rId54" o:title=""/>
          </v:shape>
          <o:OLEObject Type="Embed" ProgID="Equation.3" ShapeID="_x0000_i1041" DrawAspect="Content" ObjectID="_1385818275" r:id="rId55"/>
        </w:object>
      </w:r>
      <w:r w:rsidRPr="009535C9">
        <w:rPr>
          <w:lang w:val="fr-CH"/>
        </w:rPr>
        <w:t xml:space="preserve"> </w:t>
      </w:r>
      <w:r w:rsidRPr="009535C9">
        <w:rPr>
          <w:lang w:val="fr-CH"/>
        </w:rPr>
        <w:tab/>
        <w:t>(8)</w:t>
      </w:r>
    </w:p>
    <w:p w:rsidR="003E352C" w:rsidRDefault="003E352C" w:rsidP="003E352C">
      <w:r>
        <w:t>dans laquelle:</w:t>
      </w:r>
    </w:p>
    <w:p w:rsidR="003E352C" w:rsidRDefault="003E352C" w:rsidP="003E352C">
      <w:pPr>
        <w:pStyle w:val="Equationlegend"/>
        <w:rPr>
          <w:lang w:val="fr-CH"/>
        </w:rPr>
      </w:pPr>
      <w:r w:rsidRPr="009535C9">
        <w:rPr>
          <w:lang w:val="fr-CH"/>
        </w:rPr>
        <w:tab/>
      </w:r>
      <w:r>
        <w:rPr>
          <w:i/>
          <w:iCs/>
          <w:lang w:val="fr-CH"/>
        </w:rPr>
        <w:t>p</w:t>
      </w:r>
      <w:r>
        <w:rPr>
          <w:vertAlign w:val="subscript"/>
          <w:lang w:val="fr-CH"/>
        </w:rPr>
        <w:t xml:space="preserve"> </w:t>
      </w:r>
      <w:r>
        <w:rPr>
          <w:rFonts w:ascii="Tms Rmn" w:hAnsi="Tms Rmn"/>
          <w:sz w:val="12"/>
          <w:lang w:val="fr-CH"/>
        </w:rPr>
        <w:t> </w:t>
      </w:r>
      <w:r>
        <w:rPr>
          <w:lang w:val="fr-CH"/>
        </w:rPr>
        <w:t>:</w:t>
      </w:r>
      <w:r>
        <w:rPr>
          <w:lang w:val="fr-CH"/>
        </w:rPr>
        <w:tab/>
        <w:t>la probabilité d'avoir un certain niveau de puissance surfacique rayonnée en A pour un faisceau</w:t>
      </w:r>
    </w:p>
    <w:p w:rsidR="003E352C" w:rsidRDefault="003E352C" w:rsidP="003E352C">
      <w:pPr>
        <w:pStyle w:val="Equationlegend"/>
        <w:spacing w:line="280" w:lineRule="exact"/>
        <w:rPr>
          <w:lang w:val="fr-CH"/>
        </w:rPr>
      </w:pPr>
      <w:r w:rsidRPr="009535C9">
        <w:rPr>
          <w:lang w:val="fr-CH"/>
        </w:rPr>
        <w:tab/>
      </w:r>
      <w:r>
        <w:rPr>
          <w:i/>
          <w:iCs/>
          <w:position w:val="-10"/>
        </w:rPr>
        <w:object w:dxaOrig="279" w:dyaOrig="320">
          <v:shape id="_x0000_i1042" type="#_x0000_t75" style="width:13.5pt;height:16.5pt" o:ole="">
            <v:imagedata r:id="rId56" o:title=""/>
          </v:shape>
          <o:OLEObject Type="Embed" ProgID="Equation.3" ShapeID="_x0000_i1042" DrawAspect="Content" ObjectID="_1385818276" r:id="rId57"/>
        </w:object>
      </w:r>
      <w:r>
        <w:rPr>
          <w:lang w:val="fr-CH"/>
        </w:rPr>
        <w:t>:</w:t>
      </w:r>
      <w:r>
        <w:rPr>
          <w:lang w:val="fr-CH"/>
        </w:rPr>
        <w:tab/>
        <w:t>la probabilité d'avoir un certain niveau de puissance surfacique rayonnée en A pour tous les faisceaux</w:t>
      </w:r>
    </w:p>
    <w:p w:rsidR="003E352C" w:rsidRDefault="003E352C" w:rsidP="003E352C">
      <w:pPr>
        <w:pStyle w:val="Equationlegend"/>
        <w:rPr>
          <w:lang w:val="fr-CH"/>
        </w:rPr>
      </w:pPr>
      <w:r>
        <w:rPr>
          <w:lang w:val="fr-CH"/>
        </w:rPr>
        <w:tab/>
      </w:r>
      <w:r>
        <w:rPr>
          <w:i/>
          <w:iCs/>
          <w:lang w:val="fr-CH"/>
        </w:rPr>
        <w:t>N</w:t>
      </w:r>
      <w:r>
        <w:rPr>
          <w:rFonts w:ascii="Tms Rmn" w:hAnsi="Tms Rmn"/>
          <w:sz w:val="12"/>
          <w:lang w:val="fr-CH"/>
        </w:rPr>
        <w:t> </w:t>
      </w:r>
      <w:r>
        <w:rPr>
          <w:lang w:val="fr-CH"/>
        </w:rPr>
        <w:t>:</w:t>
      </w:r>
      <w:r>
        <w:rPr>
          <w:lang w:val="fr-CH"/>
        </w:rPr>
        <w:tab/>
        <w:t xml:space="preserve">nombre de faisceaux </w:t>
      </w:r>
      <w:proofErr w:type="spellStart"/>
      <w:r>
        <w:rPr>
          <w:lang w:val="fr-CH"/>
        </w:rPr>
        <w:t>cofréquence</w:t>
      </w:r>
      <w:proofErr w:type="spellEnd"/>
      <w:r>
        <w:rPr>
          <w:lang w:val="fr-CH"/>
        </w:rPr>
        <w:t xml:space="preserve"> par satellite.</w:t>
      </w:r>
    </w:p>
    <w:p w:rsidR="003E352C" w:rsidRDefault="003E352C" w:rsidP="003E352C">
      <w:pPr>
        <w:pStyle w:val="Note"/>
      </w:pPr>
      <w:r>
        <w:t xml:space="preserve">NOTE 1 – L'équation (8) est généralement utilisée pour des événements indépendants, ce qui toutefois n'est pas le cas pour les </w:t>
      </w:r>
      <w:r>
        <w:rPr>
          <w:i/>
          <w:iCs/>
        </w:rPr>
        <w:t>N</w:t>
      </w:r>
      <w:r>
        <w:t xml:space="preserve"> diagrammes d'antenne composite. Dans cet exemple, le lien entre ces faisceaux est pris en considération car on utilise un diagramme d'antenne composite tel qu'exprimé dans les équations (6) et (7). D'autres modèles de dépendance peuvent être appliqués à cette méthode.</w:t>
      </w:r>
    </w:p>
    <w:p w:rsidR="003E352C" w:rsidRDefault="003E352C" w:rsidP="003E352C">
      <w:r>
        <w:t xml:space="preserve">Sur cette base, la Fig. 10 décrit la distribution de </w:t>
      </w:r>
      <w:r>
        <w:rPr>
          <w:lang w:val="fr-CH"/>
        </w:rPr>
        <w:t>puissance surfacique</w:t>
      </w:r>
      <w:r>
        <w:t xml:space="preserve"> calculée pour un seul faisceau (en utilisant le diagramme d'antenne composite) et une autre calculée pour des faisceaux multiples en utilisant la formule (8), obtenue en faisant varier la direction de pointage des faisceaux du satellite dans toutes les directions possibles.</w:t>
      </w:r>
    </w:p>
    <w:p w:rsidR="003E352C" w:rsidRDefault="003E352C" w:rsidP="003E352C">
      <w:pPr>
        <w:pStyle w:val="FigureNo"/>
        <w:spacing w:before="240" w:after="120"/>
      </w:pPr>
      <w:r>
        <w:rPr>
          <w:noProof/>
          <w:lang w:val="en-US" w:eastAsia="zh-CN"/>
        </w:rPr>
        <w:lastRenderedPageBreak/>
        <w:drawing>
          <wp:inline distT="0" distB="0" distL="0" distR="0" wp14:anchorId="76A92AC6" wp14:editId="52DAF83F">
            <wp:extent cx="4544695" cy="3136265"/>
            <wp:effectExtent l="0" t="0" r="825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4695" cy="3136265"/>
                    </a:xfrm>
                    <a:prstGeom prst="rect">
                      <a:avLst/>
                    </a:prstGeom>
                    <a:noFill/>
                    <a:ln>
                      <a:noFill/>
                    </a:ln>
                  </pic:spPr>
                </pic:pic>
              </a:graphicData>
            </a:graphic>
          </wp:inline>
        </w:drawing>
      </w:r>
    </w:p>
    <w:p w:rsidR="003E352C" w:rsidRDefault="003E352C" w:rsidP="003E352C">
      <w:pPr>
        <w:pStyle w:val="Heading2"/>
      </w:pPr>
      <w:r>
        <w:t>4.3</w:t>
      </w:r>
      <w:r>
        <w:tab/>
        <w:t>Angle d'élévation de pointage minimal</w:t>
      </w:r>
    </w:p>
    <w:p w:rsidR="003E352C" w:rsidRDefault="003E352C" w:rsidP="003E352C">
      <w:r>
        <w:t xml:space="preserve">En fonction de la bande de fréquences considérée, l'affaiblissement dû à la pluie ainsi que d'autres contraintes techniques peuvent avoir un effet sur la conception du satellite, ce qui peut conduire à la réalisation de </w:t>
      </w:r>
      <w:r>
        <w:rPr>
          <w:lang w:val="fr-CH"/>
        </w:rPr>
        <w:t>systèmes</w:t>
      </w:r>
      <w:r>
        <w:t xml:space="preserve"> qui ne sont pas conçus pour de faibles angles d'élévation.</w:t>
      </w:r>
    </w:p>
    <w:p w:rsidR="003E352C" w:rsidRDefault="003E352C" w:rsidP="003E352C">
      <w:r>
        <w:t xml:space="preserve">L'angle d'élévation minimal a un effet important sur les conditions de partage entre le SFS et le service fixe étant donné que toutes les stations du service fixe pointant vers un </w:t>
      </w:r>
      <w:r>
        <w:rPr>
          <w:lang w:val="fr-CH"/>
        </w:rPr>
        <w:t>satellite avec un angle d'élévation inférieur à l'angle d'élévation opérationnel minimal du satellite ne subiront pas de brouillage faisceau principal à faisceau principal</w:t>
      </w:r>
      <w:r>
        <w:t>.</w:t>
      </w:r>
    </w:p>
    <w:p w:rsidR="003E352C" w:rsidRDefault="003E352C" w:rsidP="003E352C">
      <w:pPr>
        <w:rPr>
          <w:lang w:val="fr-CH"/>
        </w:rPr>
      </w:pPr>
      <w:r>
        <w:t xml:space="preserve">A titre d'exemple, dans la Fig. 11 ci-dessous on compare deux distributions de </w:t>
      </w:r>
      <w:r>
        <w:rPr>
          <w:lang w:val="fr-CH"/>
        </w:rPr>
        <w:t>puissance surfacique</w:t>
      </w:r>
      <w:r>
        <w:t>, l'une tenant compte d'une limitation d'élévation opérationnelle de 15° pour le satellite OSG du SFS et le deuxième sans limitation de l'angle d'élévation. Cette Figure fait apparaître une différence de puissance surfacique maximale supérieure à 15 dB, ce qui confirme l'influence de l'angle d'élévation opérationnel minimal.</w:t>
      </w:r>
      <w:r>
        <w:rPr>
          <w:lang w:val="fr-CH"/>
        </w:rPr>
        <w:t xml:space="preserve"> </w:t>
      </w:r>
    </w:p>
    <w:p w:rsidR="003E352C" w:rsidRDefault="003E352C" w:rsidP="003E352C">
      <w:pPr>
        <w:pStyle w:val="Heading2"/>
        <w:rPr>
          <w:lang w:val="fr-CH"/>
        </w:rPr>
      </w:pPr>
      <w:r>
        <w:rPr>
          <w:lang w:val="fr-CH"/>
        </w:rPr>
        <w:t>4.4</w:t>
      </w:r>
      <w:r>
        <w:rPr>
          <w:lang w:val="fr-CH"/>
        </w:rPr>
        <w:tab/>
        <w:t>Autres considérations</w:t>
      </w:r>
    </w:p>
    <w:p w:rsidR="003E352C" w:rsidRDefault="003E352C" w:rsidP="003E352C">
      <w:pPr>
        <w:rPr>
          <w:lang w:val="fr-CH"/>
        </w:rPr>
      </w:pPr>
      <w:r>
        <w:rPr>
          <w:lang w:val="fr-CH"/>
        </w:rPr>
        <w:t>Dans les paragraphes précédents, pour l'analyse, on a supposé que les faisceaux du satellite étaient orientés selon une distribution uniforme. Dans la pratique et en fonction de la bande de fréquences et des applications, les faisceaux des satellites seront orientés vers les masses continentales et en particulier vers les centres de population. De même, en fonction de la bande de fréquences et des applications, les réseaux du service fixe, et en particulier les réseaux du service fixe à haute densité, seront selon toute vraisemblance installés dans les mêmes centres de population.</w:t>
      </w:r>
    </w:p>
    <w:p w:rsidR="003E352C" w:rsidRDefault="003E352C" w:rsidP="003E352C">
      <w:pPr>
        <w:pStyle w:val="FigureNo"/>
        <w:spacing w:before="0" w:after="120"/>
        <w:rPr>
          <w:lang w:val="fr-CH"/>
        </w:rPr>
      </w:pPr>
      <w:r>
        <w:rPr>
          <w:noProof/>
          <w:lang w:val="en-US" w:eastAsia="zh-CN"/>
        </w:rPr>
        <w:lastRenderedPageBreak/>
        <w:drawing>
          <wp:inline distT="0" distB="0" distL="0" distR="0" wp14:anchorId="35726EB7" wp14:editId="020E368E">
            <wp:extent cx="4489450" cy="3136265"/>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89450" cy="3136265"/>
                    </a:xfrm>
                    <a:prstGeom prst="rect">
                      <a:avLst/>
                    </a:prstGeom>
                    <a:noFill/>
                    <a:ln>
                      <a:noFill/>
                    </a:ln>
                  </pic:spPr>
                </pic:pic>
              </a:graphicData>
            </a:graphic>
          </wp:inline>
        </w:drawing>
      </w:r>
    </w:p>
    <w:p w:rsidR="003E352C" w:rsidRDefault="003E352C" w:rsidP="00D0134F">
      <w:pPr>
        <w:pStyle w:val="Normalaftertitle"/>
        <w:rPr>
          <w:lang w:val="fr-CH"/>
        </w:rPr>
      </w:pPr>
      <w:r>
        <w:rPr>
          <w:lang w:val="fr-CH"/>
        </w:rPr>
        <w:t>La distribution de corrélation entre les deux services peut devoir être prise en considération lors de l'application de la méthode.</w:t>
      </w:r>
    </w:p>
    <w:p w:rsidR="003E352C" w:rsidRDefault="003E352C" w:rsidP="003E352C">
      <w:pPr>
        <w:pStyle w:val="Heading1"/>
        <w:spacing w:before="320"/>
        <w:rPr>
          <w:lang w:val="fr-CH"/>
        </w:rPr>
      </w:pPr>
      <w:r>
        <w:rPr>
          <w:lang w:val="fr-CH"/>
        </w:rPr>
        <w:t>5</w:t>
      </w:r>
      <w:r>
        <w:rPr>
          <w:lang w:val="fr-CH"/>
        </w:rPr>
        <w:tab/>
        <w:t>Conclusion</w:t>
      </w:r>
    </w:p>
    <w:p w:rsidR="003E352C" w:rsidRDefault="003E352C" w:rsidP="003E352C">
      <w:pPr>
        <w:rPr>
          <w:spacing w:val="-2"/>
          <w:lang w:val="fr-CH"/>
        </w:rPr>
      </w:pPr>
      <w:r>
        <w:rPr>
          <w:spacing w:val="-2"/>
          <w:lang w:val="fr-CH"/>
        </w:rPr>
        <w:t xml:space="preserve">Cette Annexe propose une méthode statistique de calcul des brouillages causés par les satellites aux récepteurs du service fixe. Cette méthode tient compte des caractéristiques réalistes des satellites (tels la puissance maximale, le nombre de faisceaux, le gain d'antenne, le diagramme d'antenne et l'angle d'élévation de pointage minimal). Elle permet une analyse détaillée des effets de satellites sur les systèmes du service fixe et peut être utilisée pour les études de partage dans le but d'évaluer les limites de puissance surfacique à appliquer aux services à satellites de manière à protéger le service fixe dans un contexte </w:t>
      </w:r>
      <w:proofErr w:type="spellStart"/>
      <w:r>
        <w:rPr>
          <w:spacing w:val="-2"/>
          <w:lang w:val="fr-CH"/>
        </w:rPr>
        <w:t>multisatellite</w:t>
      </w:r>
      <w:proofErr w:type="spellEnd"/>
      <w:r>
        <w:rPr>
          <w:spacing w:val="-2"/>
          <w:lang w:val="fr-CH"/>
        </w:rPr>
        <w:t>. Sur cette base, des exemples de calculs effectués au moyen de cette méthode sont donnés dans les Appendices 1 à 6 pour les modèles de satellite décrits dans le § 3:</w:t>
      </w:r>
    </w:p>
    <w:p w:rsidR="003E352C" w:rsidRDefault="003E352C" w:rsidP="003E352C">
      <w:pPr>
        <w:pStyle w:val="enumlev1"/>
        <w:spacing w:before="120"/>
        <w:rPr>
          <w:lang w:val="fr-CH"/>
        </w:rPr>
      </w:pPr>
      <w:r>
        <w:rPr>
          <w:lang w:val="fr-CH"/>
        </w:rPr>
        <w:sym w:font="Symbol" w:char="F02D"/>
      </w:r>
      <w:r>
        <w:rPr>
          <w:lang w:val="fr-CH"/>
        </w:rPr>
        <w:tab/>
        <w:t>pour les satellites OSG (sans limitation de l'angle d'élévation opérationnel):</w:t>
      </w:r>
    </w:p>
    <w:p w:rsidR="003E352C" w:rsidRDefault="003E352C" w:rsidP="003E352C">
      <w:pPr>
        <w:pStyle w:val="enumlev2"/>
        <w:spacing w:before="120"/>
        <w:rPr>
          <w:lang w:val="fr-CH"/>
        </w:rPr>
      </w:pPr>
      <w:r>
        <w:rPr>
          <w:lang w:val="fr-CH"/>
        </w:rPr>
        <w:t>–</w:t>
      </w:r>
      <w:r>
        <w:rPr>
          <w:lang w:val="fr-CH"/>
        </w:rPr>
        <w:tab/>
        <w:t xml:space="preserve">modèle GEO1 (6 faisceaux </w:t>
      </w:r>
      <w:proofErr w:type="spellStart"/>
      <w:r>
        <w:rPr>
          <w:lang w:val="fr-CH"/>
        </w:rPr>
        <w:t>cofréquences</w:t>
      </w:r>
      <w:proofErr w:type="spellEnd"/>
      <w:r>
        <w:rPr>
          <w:lang w:val="fr-CH"/>
        </w:rPr>
        <w:t xml:space="preserve"> avec un gain d'antenne de 60 </w:t>
      </w:r>
      <w:proofErr w:type="spellStart"/>
      <w:r>
        <w:rPr>
          <w:lang w:val="fr-CH"/>
        </w:rPr>
        <w:t>dBi</w:t>
      </w:r>
      <w:proofErr w:type="spellEnd"/>
      <w:r>
        <w:rPr>
          <w:lang w:val="fr-CH"/>
        </w:rPr>
        <w:t>) dans l'Appendice 1;</w:t>
      </w:r>
    </w:p>
    <w:p w:rsidR="003E352C" w:rsidRDefault="003E352C" w:rsidP="003E352C">
      <w:pPr>
        <w:pStyle w:val="enumlev1"/>
        <w:spacing w:before="120"/>
        <w:rPr>
          <w:lang w:val="fr-CH"/>
        </w:rPr>
      </w:pPr>
      <w:r>
        <w:rPr>
          <w:lang w:val="fr-CH"/>
        </w:rPr>
        <w:sym w:font="Symbol" w:char="F02D"/>
      </w:r>
      <w:r>
        <w:rPr>
          <w:lang w:val="fr-CH"/>
        </w:rPr>
        <w:tab/>
        <w:t>pour les satellites OSG (avec une limitation de l'angle d'élévation opérationnel de 15°):</w:t>
      </w:r>
    </w:p>
    <w:p w:rsidR="003E352C" w:rsidRDefault="003E352C" w:rsidP="003E352C">
      <w:pPr>
        <w:pStyle w:val="enumlev2"/>
        <w:spacing w:before="120"/>
        <w:rPr>
          <w:lang w:val="fr-CH"/>
        </w:rPr>
      </w:pPr>
      <w:r>
        <w:rPr>
          <w:lang w:val="fr-CH"/>
        </w:rPr>
        <w:t>–</w:t>
      </w:r>
      <w:r>
        <w:rPr>
          <w:lang w:val="fr-CH"/>
        </w:rPr>
        <w:tab/>
        <w:t xml:space="preserve">modèle GEO1 (6 faisceaux </w:t>
      </w:r>
      <w:proofErr w:type="spellStart"/>
      <w:r>
        <w:rPr>
          <w:lang w:val="fr-CH"/>
        </w:rPr>
        <w:t>cofréquence</w:t>
      </w:r>
      <w:proofErr w:type="spellEnd"/>
      <w:r>
        <w:rPr>
          <w:lang w:val="fr-CH"/>
        </w:rPr>
        <w:t xml:space="preserve"> avec un gain d'antenne de 60 </w:t>
      </w:r>
      <w:proofErr w:type="spellStart"/>
      <w:r>
        <w:rPr>
          <w:lang w:val="fr-CH"/>
        </w:rPr>
        <w:t>dBi</w:t>
      </w:r>
      <w:proofErr w:type="spellEnd"/>
      <w:r>
        <w:rPr>
          <w:lang w:val="fr-CH"/>
        </w:rPr>
        <w:t>) dans l'Appendice 2;</w:t>
      </w:r>
    </w:p>
    <w:p w:rsidR="003E352C" w:rsidRDefault="003E352C" w:rsidP="003E352C">
      <w:pPr>
        <w:pStyle w:val="enumlev2"/>
        <w:spacing w:before="120"/>
        <w:rPr>
          <w:lang w:val="fr-CH"/>
        </w:rPr>
      </w:pPr>
      <w:r>
        <w:rPr>
          <w:lang w:val="fr-CH"/>
        </w:rPr>
        <w:t>–</w:t>
      </w:r>
      <w:r>
        <w:rPr>
          <w:lang w:val="fr-CH"/>
        </w:rPr>
        <w:tab/>
        <w:t xml:space="preserve">modèle GEO2 (4 faisceaux </w:t>
      </w:r>
      <w:proofErr w:type="spellStart"/>
      <w:r>
        <w:rPr>
          <w:lang w:val="fr-CH"/>
        </w:rPr>
        <w:t>cofréquence</w:t>
      </w:r>
      <w:proofErr w:type="spellEnd"/>
      <w:r>
        <w:rPr>
          <w:lang w:val="fr-CH"/>
        </w:rPr>
        <w:t xml:space="preserve"> avec un gain d'antenne de 55 </w:t>
      </w:r>
      <w:proofErr w:type="spellStart"/>
      <w:r>
        <w:rPr>
          <w:lang w:val="fr-CH"/>
        </w:rPr>
        <w:t>dBi</w:t>
      </w:r>
      <w:proofErr w:type="spellEnd"/>
      <w:r>
        <w:rPr>
          <w:lang w:val="fr-CH"/>
        </w:rPr>
        <w:t>) dans l'Appendice 3;</w:t>
      </w:r>
    </w:p>
    <w:p w:rsidR="003E352C" w:rsidRDefault="003E352C" w:rsidP="003E352C">
      <w:pPr>
        <w:pStyle w:val="enumlev1"/>
        <w:spacing w:before="120"/>
        <w:rPr>
          <w:lang w:val="fr-CH"/>
        </w:rPr>
      </w:pPr>
      <w:r>
        <w:rPr>
          <w:lang w:val="fr-CH"/>
        </w:rPr>
        <w:sym w:font="Symbol" w:char="F02D"/>
      </w:r>
      <w:r>
        <w:rPr>
          <w:lang w:val="fr-CH"/>
        </w:rPr>
        <w:tab/>
        <w:t>pour les satellites non OSG (avec une limite d'angle d'élévation opérationnelle de 20°):</w:t>
      </w:r>
    </w:p>
    <w:p w:rsidR="003E352C" w:rsidRDefault="003E352C" w:rsidP="003E352C">
      <w:pPr>
        <w:pStyle w:val="enumlev2"/>
        <w:spacing w:before="120"/>
        <w:rPr>
          <w:lang w:val="fr-CH"/>
        </w:rPr>
      </w:pPr>
      <w:r>
        <w:rPr>
          <w:lang w:val="fr-CH"/>
        </w:rPr>
        <w:t>–</w:t>
      </w:r>
      <w:r>
        <w:rPr>
          <w:lang w:val="fr-CH"/>
        </w:rPr>
        <w:tab/>
        <w:t xml:space="preserve">modèle MEO1 (4 faisceaux </w:t>
      </w:r>
      <w:proofErr w:type="spellStart"/>
      <w:r>
        <w:rPr>
          <w:lang w:val="fr-CH"/>
        </w:rPr>
        <w:t>cofréquence</w:t>
      </w:r>
      <w:proofErr w:type="spellEnd"/>
      <w:r>
        <w:rPr>
          <w:lang w:val="fr-CH"/>
        </w:rPr>
        <w:t xml:space="preserve"> avec un gain d'antenne de 50 </w:t>
      </w:r>
      <w:proofErr w:type="spellStart"/>
      <w:r>
        <w:rPr>
          <w:lang w:val="fr-CH"/>
        </w:rPr>
        <w:t>dBi</w:t>
      </w:r>
      <w:proofErr w:type="spellEnd"/>
      <w:r>
        <w:rPr>
          <w:lang w:val="fr-CH"/>
        </w:rPr>
        <w:t>) dans l'Appendice 4;</w:t>
      </w:r>
    </w:p>
    <w:p w:rsidR="003E352C" w:rsidRDefault="003E352C" w:rsidP="003E352C">
      <w:pPr>
        <w:pStyle w:val="enumlev2"/>
        <w:spacing w:before="120"/>
        <w:rPr>
          <w:lang w:val="fr-CH"/>
        </w:rPr>
      </w:pPr>
      <w:r>
        <w:rPr>
          <w:lang w:val="fr-CH"/>
        </w:rPr>
        <w:t>–</w:t>
      </w:r>
      <w:r>
        <w:rPr>
          <w:lang w:val="fr-CH"/>
        </w:rPr>
        <w:tab/>
        <w:t xml:space="preserve">modèle MEO2 (3 faisceaux </w:t>
      </w:r>
      <w:proofErr w:type="spellStart"/>
      <w:r>
        <w:rPr>
          <w:lang w:val="fr-CH"/>
        </w:rPr>
        <w:t>cofréquence</w:t>
      </w:r>
      <w:proofErr w:type="spellEnd"/>
      <w:r>
        <w:rPr>
          <w:lang w:val="fr-CH"/>
        </w:rPr>
        <w:t xml:space="preserve"> avec un gain d'antenne de 45 </w:t>
      </w:r>
      <w:proofErr w:type="spellStart"/>
      <w:r>
        <w:rPr>
          <w:lang w:val="fr-CH"/>
        </w:rPr>
        <w:t>dBi</w:t>
      </w:r>
      <w:proofErr w:type="spellEnd"/>
      <w:r>
        <w:rPr>
          <w:lang w:val="fr-CH"/>
        </w:rPr>
        <w:t>) dans l'Appendice 5.</w:t>
      </w:r>
    </w:p>
    <w:p w:rsidR="003E352C" w:rsidRDefault="003E352C" w:rsidP="003E352C">
      <w:pPr>
        <w:rPr>
          <w:lang w:val="fr-CH"/>
        </w:rPr>
      </w:pPr>
      <w:r>
        <w:rPr>
          <w:lang w:val="fr-CH"/>
        </w:rPr>
        <w:t>Enfin, l'Appendice 6 contient un exemple d'application des niveaux de puissance surfacique statistiques obtenus par cette méthode à des satellites non OSG.</w:t>
      </w:r>
    </w:p>
    <w:p w:rsidR="003E352C" w:rsidRDefault="003E352C" w:rsidP="003E352C">
      <w:pPr>
        <w:pStyle w:val="AppendixNoTitle"/>
      </w:pPr>
      <w:r>
        <w:br w:type="page"/>
      </w:r>
      <w:r>
        <w:lastRenderedPageBreak/>
        <w:t>Appendice 1</w:t>
      </w:r>
      <w:r>
        <w:br/>
        <w:t>à l'Annexe 1</w:t>
      </w:r>
    </w:p>
    <w:p w:rsidR="003E352C" w:rsidRDefault="003E352C" w:rsidP="003E352C">
      <w:pPr>
        <w:pStyle w:val="FigureNo"/>
      </w:pPr>
      <w:r>
        <w:rPr>
          <w:noProof/>
          <w:lang w:val="en-US" w:eastAsia="zh-CN"/>
        </w:rPr>
        <w:drawing>
          <wp:inline distT="0" distB="0" distL="0" distR="0" wp14:anchorId="764F916A" wp14:editId="658A99AD">
            <wp:extent cx="4544695" cy="28987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4695" cy="2898775"/>
                    </a:xfrm>
                    <a:prstGeom prst="rect">
                      <a:avLst/>
                    </a:prstGeom>
                    <a:noFill/>
                    <a:ln>
                      <a:noFill/>
                    </a:ln>
                  </pic:spPr>
                </pic:pic>
              </a:graphicData>
            </a:graphic>
          </wp:inline>
        </w:drawing>
      </w:r>
    </w:p>
    <w:p w:rsidR="003E352C" w:rsidRDefault="003E352C" w:rsidP="003E352C"/>
    <w:p w:rsidR="003E352C" w:rsidRDefault="003E352C" w:rsidP="003E352C">
      <w:pPr>
        <w:pStyle w:val="FigureNo"/>
      </w:pPr>
      <w:r>
        <w:rPr>
          <w:noProof/>
          <w:lang w:val="en-US" w:eastAsia="zh-CN"/>
        </w:rPr>
        <w:drawing>
          <wp:inline distT="0" distB="0" distL="0" distR="0" wp14:anchorId="113670AB" wp14:editId="708D1C65">
            <wp:extent cx="5477510" cy="4050665"/>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7510" cy="4050665"/>
                    </a:xfrm>
                    <a:prstGeom prst="rect">
                      <a:avLst/>
                    </a:prstGeom>
                    <a:noFill/>
                    <a:ln>
                      <a:noFill/>
                    </a:ln>
                  </pic:spPr>
                </pic:pic>
              </a:graphicData>
            </a:graphic>
          </wp:inline>
        </w:drawing>
      </w:r>
    </w:p>
    <w:p w:rsidR="003E352C" w:rsidRDefault="003E352C" w:rsidP="003E352C"/>
    <w:p w:rsidR="003E352C" w:rsidRDefault="003E352C" w:rsidP="003E352C">
      <w:pPr>
        <w:pStyle w:val="AppendixNoTitle"/>
      </w:pPr>
      <w:r>
        <w:br w:type="page"/>
      </w:r>
      <w:r>
        <w:lastRenderedPageBreak/>
        <w:t>Appendice 2</w:t>
      </w:r>
      <w:r>
        <w:br/>
        <w:t>à l'Annexe 1</w:t>
      </w:r>
    </w:p>
    <w:p w:rsidR="003E352C" w:rsidRDefault="003E352C" w:rsidP="003E352C">
      <w:pPr>
        <w:pStyle w:val="FigureNo"/>
      </w:pPr>
      <w:r>
        <w:rPr>
          <w:noProof/>
          <w:lang w:val="en-US" w:eastAsia="zh-CN"/>
        </w:rPr>
        <w:drawing>
          <wp:inline distT="0" distB="0" distL="0" distR="0" wp14:anchorId="70874B72" wp14:editId="11663EE4">
            <wp:extent cx="4544695" cy="28987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4695" cy="2898775"/>
                    </a:xfrm>
                    <a:prstGeom prst="rect">
                      <a:avLst/>
                    </a:prstGeom>
                    <a:noFill/>
                    <a:ln>
                      <a:noFill/>
                    </a:ln>
                  </pic:spPr>
                </pic:pic>
              </a:graphicData>
            </a:graphic>
          </wp:inline>
        </w:drawing>
      </w:r>
    </w:p>
    <w:p w:rsidR="003E352C" w:rsidRDefault="003E352C" w:rsidP="003E352C">
      <w:pPr>
        <w:pStyle w:val="FigureNo"/>
        <w:rPr>
          <w:lang w:val="fr-CH"/>
        </w:rPr>
      </w:pPr>
      <w:r>
        <w:rPr>
          <w:noProof/>
          <w:lang w:val="en-US" w:eastAsia="zh-CN"/>
        </w:rPr>
        <w:drawing>
          <wp:inline distT="0" distB="0" distL="0" distR="0" wp14:anchorId="1A8768A7" wp14:editId="57C68E81">
            <wp:extent cx="5477510" cy="4050665"/>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7510" cy="4050665"/>
                    </a:xfrm>
                    <a:prstGeom prst="rect">
                      <a:avLst/>
                    </a:prstGeom>
                    <a:noFill/>
                    <a:ln>
                      <a:noFill/>
                    </a:ln>
                  </pic:spPr>
                </pic:pic>
              </a:graphicData>
            </a:graphic>
          </wp:inline>
        </w:drawing>
      </w:r>
    </w:p>
    <w:p w:rsidR="003E352C" w:rsidRDefault="003E352C" w:rsidP="003E352C">
      <w:pPr>
        <w:rPr>
          <w:lang w:val="fr-CH"/>
        </w:rPr>
      </w:pPr>
    </w:p>
    <w:p w:rsidR="003E352C" w:rsidRDefault="003E352C" w:rsidP="003E352C">
      <w:pPr>
        <w:pStyle w:val="AppendixNoTitle"/>
      </w:pPr>
      <w:r>
        <w:rPr>
          <w:lang w:val="fr-CH"/>
        </w:rPr>
        <w:br w:type="page"/>
      </w:r>
      <w:r>
        <w:lastRenderedPageBreak/>
        <w:t>Appendice 3</w:t>
      </w:r>
      <w:r>
        <w:br/>
        <w:t>à l'Annexe 1</w:t>
      </w:r>
    </w:p>
    <w:p w:rsidR="003E352C" w:rsidRDefault="003E352C" w:rsidP="003E352C">
      <w:pPr>
        <w:pStyle w:val="FigureNo"/>
      </w:pPr>
      <w:r>
        <w:rPr>
          <w:noProof/>
          <w:lang w:val="en-US" w:eastAsia="zh-CN"/>
        </w:rPr>
        <w:drawing>
          <wp:inline distT="0" distB="0" distL="0" distR="0" wp14:anchorId="7755E1C5" wp14:editId="34C34CE3">
            <wp:extent cx="4663440" cy="28987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3440" cy="2898775"/>
                    </a:xfrm>
                    <a:prstGeom prst="rect">
                      <a:avLst/>
                    </a:prstGeom>
                    <a:noFill/>
                    <a:ln>
                      <a:noFill/>
                    </a:ln>
                  </pic:spPr>
                </pic:pic>
              </a:graphicData>
            </a:graphic>
          </wp:inline>
        </w:drawing>
      </w:r>
    </w:p>
    <w:p w:rsidR="003E352C" w:rsidRDefault="003E352C" w:rsidP="003E352C"/>
    <w:p w:rsidR="003E352C" w:rsidRDefault="003E352C" w:rsidP="003E352C">
      <w:pPr>
        <w:pStyle w:val="FigureNo"/>
        <w:rPr>
          <w:lang w:val="fr-CH"/>
        </w:rPr>
      </w:pPr>
      <w:r>
        <w:rPr>
          <w:noProof/>
          <w:lang w:val="en-US" w:eastAsia="zh-CN"/>
        </w:rPr>
        <w:drawing>
          <wp:inline distT="0" distB="0" distL="0" distR="0" wp14:anchorId="43695FEE" wp14:editId="3C920188">
            <wp:extent cx="5477510" cy="3858895"/>
            <wp:effectExtent l="0" t="0" r="889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7510" cy="3858895"/>
                    </a:xfrm>
                    <a:prstGeom prst="rect">
                      <a:avLst/>
                    </a:prstGeom>
                    <a:noFill/>
                    <a:ln>
                      <a:noFill/>
                    </a:ln>
                  </pic:spPr>
                </pic:pic>
              </a:graphicData>
            </a:graphic>
          </wp:inline>
        </w:drawing>
      </w:r>
    </w:p>
    <w:p w:rsidR="003E352C" w:rsidRDefault="003E352C" w:rsidP="003E352C">
      <w:pPr>
        <w:pStyle w:val="AppendixNoTitle"/>
      </w:pPr>
      <w:r>
        <w:rPr>
          <w:lang w:val="fr-CH"/>
        </w:rPr>
        <w:br w:type="page"/>
      </w:r>
      <w:r>
        <w:lastRenderedPageBreak/>
        <w:t>Appendice 4</w:t>
      </w:r>
      <w:r>
        <w:br/>
        <w:t>à l'Annexe 1</w:t>
      </w:r>
    </w:p>
    <w:p w:rsidR="003E352C" w:rsidRDefault="003E352C" w:rsidP="003E352C">
      <w:pPr>
        <w:pStyle w:val="FigureNo"/>
        <w:rPr>
          <w:lang w:val="fr-CH"/>
        </w:rPr>
      </w:pPr>
      <w:r>
        <w:rPr>
          <w:noProof/>
          <w:lang w:val="en-US" w:eastAsia="zh-CN"/>
        </w:rPr>
        <w:drawing>
          <wp:inline distT="0" distB="0" distL="0" distR="0" wp14:anchorId="4851909A" wp14:editId="7C2547BF">
            <wp:extent cx="4544695" cy="28987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4695" cy="2898775"/>
                    </a:xfrm>
                    <a:prstGeom prst="rect">
                      <a:avLst/>
                    </a:prstGeom>
                    <a:noFill/>
                    <a:ln>
                      <a:noFill/>
                    </a:ln>
                  </pic:spPr>
                </pic:pic>
              </a:graphicData>
            </a:graphic>
          </wp:inline>
        </w:drawing>
      </w:r>
    </w:p>
    <w:p w:rsidR="003E352C" w:rsidRDefault="003E352C" w:rsidP="003E352C">
      <w:pPr>
        <w:pStyle w:val="FigureNo"/>
        <w:rPr>
          <w:lang w:val="fr-CH"/>
        </w:rPr>
      </w:pPr>
      <w:r>
        <w:rPr>
          <w:noProof/>
          <w:lang w:val="en-US" w:eastAsia="zh-CN"/>
        </w:rPr>
        <w:drawing>
          <wp:inline distT="0" distB="0" distL="0" distR="0" wp14:anchorId="3D3E687E" wp14:editId="1E3B783A">
            <wp:extent cx="5477510" cy="405066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7510" cy="4050665"/>
                    </a:xfrm>
                    <a:prstGeom prst="rect">
                      <a:avLst/>
                    </a:prstGeom>
                    <a:noFill/>
                    <a:ln>
                      <a:noFill/>
                    </a:ln>
                  </pic:spPr>
                </pic:pic>
              </a:graphicData>
            </a:graphic>
          </wp:inline>
        </w:drawing>
      </w:r>
    </w:p>
    <w:p w:rsidR="003E352C" w:rsidRDefault="003E352C" w:rsidP="003E352C">
      <w:pPr>
        <w:pStyle w:val="AppendixNoTitle"/>
      </w:pPr>
      <w:r>
        <w:rPr>
          <w:lang w:val="fr-CH"/>
        </w:rPr>
        <w:br w:type="page"/>
      </w:r>
      <w:r>
        <w:lastRenderedPageBreak/>
        <w:t>Appendice 5</w:t>
      </w:r>
      <w:r>
        <w:br/>
        <w:t>à l'Annexe 1</w:t>
      </w:r>
    </w:p>
    <w:p w:rsidR="003E352C" w:rsidRDefault="003E352C" w:rsidP="003E352C">
      <w:pPr>
        <w:pStyle w:val="FigureNo"/>
        <w:rPr>
          <w:lang w:val="fr-CH"/>
        </w:rPr>
      </w:pPr>
      <w:r>
        <w:rPr>
          <w:noProof/>
          <w:lang w:val="en-US" w:eastAsia="zh-CN"/>
        </w:rPr>
        <w:drawing>
          <wp:inline distT="0" distB="0" distL="0" distR="0" wp14:anchorId="6A80035D" wp14:editId="4C0DECC3">
            <wp:extent cx="4544695" cy="28987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4695" cy="2898775"/>
                    </a:xfrm>
                    <a:prstGeom prst="rect">
                      <a:avLst/>
                    </a:prstGeom>
                    <a:noFill/>
                    <a:ln>
                      <a:noFill/>
                    </a:ln>
                  </pic:spPr>
                </pic:pic>
              </a:graphicData>
            </a:graphic>
          </wp:inline>
        </w:drawing>
      </w:r>
    </w:p>
    <w:p w:rsidR="003E352C" w:rsidRDefault="003E352C" w:rsidP="003E352C"/>
    <w:p w:rsidR="003E352C" w:rsidRDefault="003E352C" w:rsidP="003E352C">
      <w:pPr>
        <w:pStyle w:val="FigureNo"/>
        <w:rPr>
          <w:lang w:val="fr-CH"/>
        </w:rPr>
      </w:pPr>
      <w:r>
        <w:rPr>
          <w:noProof/>
          <w:lang w:val="en-US" w:eastAsia="zh-CN"/>
        </w:rPr>
        <w:drawing>
          <wp:inline distT="0" distB="0" distL="0" distR="0" wp14:anchorId="4D40D6D8" wp14:editId="4B7F0CC9">
            <wp:extent cx="5495290" cy="3840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5290" cy="3840480"/>
                    </a:xfrm>
                    <a:prstGeom prst="rect">
                      <a:avLst/>
                    </a:prstGeom>
                    <a:noFill/>
                    <a:ln>
                      <a:noFill/>
                    </a:ln>
                  </pic:spPr>
                </pic:pic>
              </a:graphicData>
            </a:graphic>
          </wp:inline>
        </w:drawing>
      </w:r>
    </w:p>
    <w:p w:rsidR="003E352C" w:rsidRDefault="003E352C" w:rsidP="003E352C">
      <w:pPr>
        <w:pStyle w:val="AppendixNoTitle"/>
      </w:pPr>
      <w:r>
        <w:rPr>
          <w:lang w:val="fr-CH"/>
        </w:rPr>
        <w:br w:type="page"/>
      </w:r>
      <w:r>
        <w:lastRenderedPageBreak/>
        <w:t>Appendice 6</w:t>
      </w:r>
      <w:r>
        <w:br/>
        <w:t>à l'Annexe 1</w:t>
      </w:r>
    </w:p>
    <w:p w:rsidR="003E352C" w:rsidRDefault="003E352C" w:rsidP="003E352C">
      <w:pPr>
        <w:pStyle w:val="AppendixNoTitle"/>
        <w:rPr>
          <w:lang w:val="fr-CH"/>
        </w:rPr>
      </w:pPr>
      <w:r>
        <w:rPr>
          <w:lang w:val="fr-CH"/>
        </w:rPr>
        <w:t>Exemple d'application de la méthode dans le cas de satellites non OSG</w:t>
      </w:r>
    </w:p>
    <w:p w:rsidR="003E352C" w:rsidRDefault="003E352C" w:rsidP="003E352C">
      <w:pPr>
        <w:pStyle w:val="Normalaftertitle"/>
        <w:rPr>
          <w:lang w:val="fr-CH"/>
        </w:rPr>
      </w:pPr>
      <w:r>
        <w:rPr>
          <w:lang w:val="fr-CH"/>
        </w:rPr>
        <w:t xml:space="preserve">Comme décrit dans le § 2 de l'Annexe 1, les résultats des calculs du brouillage causé par un système non OSG du SFS à une station du service fixe sont généralement présentés sous forme de courbes donnant la distribution du rapport </w:t>
      </w:r>
      <w:r>
        <w:rPr>
          <w:i/>
          <w:iCs/>
          <w:lang w:val="fr-CH"/>
        </w:rPr>
        <w:t>I</w:t>
      </w:r>
      <w:r>
        <w:rPr>
          <w:lang w:val="fr-CH"/>
        </w:rPr>
        <w:t>/</w:t>
      </w:r>
      <w:r>
        <w:rPr>
          <w:i/>
          <w:iCs/>
          <w:lang w:val="fr-CH"/>
        </w:rPr>
        <w:t>N</w:t>
      </w:r>
      <w:r>
        <w:rPr>
          <w:lang w:val="fr-CH"/>
        </w:rPr>
        <w:t xml:space="preserve"> (voir la Fig. 2).</w:t>
      </w:r>
    </w:p>
    <w:p w:rsidR="003E352C" w:rsidRDefault="003E352C" w:rsidP="003E352C">
      <w:pPr>
        <w:rPr>
          <w:lang w:val="fr-CH"/>
        </w:rPr>
      </w:pPr>
      <w:r>
        <w:rPr>
          <w:lang w:val="fr-CH"/>
        </w:rPr>
        <w:t xml:space="preserve">Les scénarios correspondant au rapport </w:t>
      </w:r>
      <w:r>
        <w:rPr>
          <w:i/>
          <w:iCs/>
          <w:lang w:val="fr-CH"/>
        </w:rPr>
        <w:t>I</w:t>
      </w:r>
      <w:r>
        <w:rPr>
          <w:lang w:val="fr-CH"/>
        </w:rPr>
        <w:t>/</w:t>
      </w:r>
      <w:r>
        <w:rPr>
          <w:i/>
          <w:iCs/>
          <w:lang w:val="fr-CH"/>
        </w:rPr>
        <w:t>N</w:t>
      </w:r>
      <w:r>
        <w:rPr>
          <w:lang w:val="fr-CH"/>
        </w:rPr>
        <w:t xml:space="preserve"> maximal à court terme représentent le brouillage causé par un satellite passant dans le lobe principal de la station du service fixe considérée, dans l'hypothèse où ce satellite produit un niveau de puissance surfacique maximale correspondant au gabarit de puissance surfacique considéré.</w:t>
      </w:r>
    </w:p>
    <w:p w:rsidR="003E352C" w:rsidRDefault="003E352C" w:rsidP="003E352C">
      <w:pPr>
        <w:rPr>
          <w:lang w:val="fr-CH"/>
        </w:rPr>
      </w:pPr>
      <w:r>
        <w:rPr>
          <w:lang w:val="fr-CH"/>
        </w:rPr>
        <w:t>Les exemples donnés dans les Figures des Appendices 4 et 5 montrent que, pour tous les angles d'élévation, la probabilité d'occurrence du scénario puissance surfacique maximale est faible et que, dans une grande majorité des cas, la puissance surfacique produite par le satellite non OSG est inférieure au gabarit considéré.</w:t>
      </w:r>
    </w:p>
    <w:p w:rsidR="003E352C" w:rsidRDefault="003E352C" w:rsidP="003E352C">
      <w:pPr>
        <w:rPr>
          <w:lang w:val="fr-CH"/>
        </w:rPr>
      </w:pPr>
      <w:r>
        <w:rPr>
          <w:lang w:val="fr-CH"/>
        </w:rPr>
        <w:t xml:space="preserve">L'effet combiné de la faible occurrence du scénario de puissance surfacique maximale et des niveaux de puissance surfacique inférieurs dans la grande majorité des cas, tendra à faire baisser le pourcentage associé à la distribution du rapport </w:t>
      </w:r>
      <w:r>
        <w:rPr>
          <w:i/>
          <w:iCs/>
          <w:lang w:val="fr-CH"/>
        </w:rPr>
        <w:t>I</w:t>
      </w:r>
      <w:r>
        <w:rPr>
          <w:lang w:val="fr-CH"/>
        </w:rPr>
        <w:t>/</w:t>
      </w:r>
      <w:r>
        <w:rPr>
          <w:i/>
          <w:iCs/>
          <w:lang w:val="fr-CH"/>
        </w:rPr>
        <w:t>N</w:t>
      </w:r>
      <w:r>
        <w:rPr>
          <w:lang w:val="fr-CH"/>
        </w:rPr>
        <w:t xml:space="preserve"> maximal.</w:t>
      </w:r>
    </w:p>
    <w:p w:rsidR="003E352C" w:rsidRDefault="003E352C" w:rsidP="003E352C">
      <w:pPr>
        <w:rPr>
          <w:lang w:val="fr-CH"/>
        </w:rPr>
      </w:pPr>
      <w:r>
        <w:rPr>
          <w:lang w:val="fr-CH"/>
        </w:rPr>
        <w:t xml:space="preserve">Sachant que la partie court terme de la distribution est produite dans le faisceau principal du service fixe et que par conséquent elle est liée au même angle d'élévation correspondant à la valeur de la puissance surfacique, l'effet combiné sur la queue de la distribution peut être obtenu en </w:t>
      </w:r>
      <w:proofErr w:type="spellStart"/>
      <w:r>
        <w:rPr>
          <w:lang w:val="fr-CH"/>
        </w:rPr>
        <w:t>convoluant</w:t>
      </w:r>
      <w:proofErr w:type="spellEnd"/>
      <w:r>
        <w:rPr>
          <w:lang w:val="fr-CH"/>
        </w:rPr>
        <w:t xml:space="preserve"> la distribution du rapport </w:t>
      </w:r>
      <w:r>
        <w:rPr>
          <w:i/>
          <w:iCs/>
          <w:lang w:val="fr-CH"/>
        </w:rPr>
        <w:t>I</w:t>
      </w:r>
      <w:r>
        <w:rPr>
          <w:lang w:val="fr-CH"/>
        </w:rPr>
        <w:t>/</w:t>
      </w:r>
      <w:r>
        <w:rPr>
          <w:i/>
          <w:iCs/>
          <w:lang w:val="fr-CH"/>
        </w:rPr>
        <w:t>N</w:t>
      </w:r>
      <w:r>
        <w:rPr>
          <w:lang w:val="fr-CH"/>
        </w:rPr>
        <w:t xml:space="preserve"> (pour les faibles pourcentages) avec la distribution de la puissance surfacique correspondante pour l'angle d'élévation considéré du service fixe tel que donné dans la Fig. 22 (utilisant la méthodologie décrite dans cette Recommandation).</w:t>
      </w:r>
    </w:p>
    <w:p w:rsidR="003E352C" w:rsidRDefault="003E352C" w:rsidP="003E352C">
      <w:pPr>
        <w:rPr>
          <w:lang w:val="fr-CH"/>
        </w:rPr>
      </w:pPr>
    </w:p>
    <w:p w:rsidR="003E352C" w:rsidRDefault="003E352C" w:rsidP="003E352C">
      <w:pPr>
        <w:pStyle w:val="FigureNo"/>
        <w:rPr>
          <w:lang w:val="fr-CH"/>
        </w:rPr>
      </w:pPr>
      <w:r>
        <w:rPr>
          <w:noProof/>
          <w:lang w:val="en-US" w:eastAsia="zh-CN"/>
        </w:rPr>
        <w:drawing>
          <wp:inline distT="0" distB="0" distL="0" distR="0" wp14:anchorId="641A5F92" wp14:editId="62D15B19">
            <wp:extent cx="4544695" cy="263334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44695" cy="2633345"/>
                    </a:xfrm>
                    <a:prstGeom prst="rect">
                      <a:avLst/>
                    </a:prstGeom>
                    <a:noFill/>
                    <a:ln>
                      <a:noFill/>
                    </a:ln>
                  </pic:spPr>
                </pic:pic>
              </a:graphicData>
            </a:graphic>
          </wp:inline>
        </w:drawing>
      </w:r>
    </w:p>
    <w:p w:rsidR="003E352C" w:rsidRDefault="003E352C" w:rsidP="003E352C">
      <w:pPr>
        <w:rPr>
          <w:lang w:val="fr-CH"/>
        </w:rPr>
      </w:pPr>
    </w:p>
    <w:p w:rsidR="003E352C" w:rsidRDefault="003E352C" w:rsidP="003E352C">
      <w:pPr>
        <w:rPr>
          <w:lang w:val="fr-CH"/>
        </w:rPr>
      </w:pPr>
      <w:r>
        <w:rPr>
          <w:lang w:val="fr-CH"/>
        </w:rPr>
        <w:br w:type="page"/>
      </w:r>
      <w:r>
        <w:rPr>
          <w:lang w:val="fr-CH"/>
        </w:rPr>
        <w:lastRenderedPageBreak/>
        <w:t xml:space="preserve">Sur cette base, la Fig. 23 montre le résultat pour le rapport </w:t>
      </w:r>
      <w:r>
        <w:rPr>
          <w:i/>
          <w:iCs/>
          <w:lang w:val="fr-CH"/>
        </w:rPr>
        <w:t>I</w:t>
      </w:r>
      <w:r>
        <w:rPr>
          <w:lang w:val="fr-CH"/>
        </w:rPr>
        <w:t>/</w:t>
      </w:r>
      <w:r>
        <w:rPr>
          <w:i/>
          <w:iCs/>
          <w:lang w:val="fr-CH"/>
        </w:rPr>
        <w:t>N</w:t>
      </w:r>
      <w:r>
        <w:rPr>
          <w:lang w:val="fr-CH"/>
        </w:rPr>
        <w:t xml:space="preserve"> </w:t>
      </w:r>
      <w:proofErr w:type="spellStart"/>
      <w:r>
        <w:rPr>
          <w:lang w:val="fr-CH"/>
        </w:rPr>
        <w:t>convolué</w:t>
      </w:r>
      <w:proofErr w:type="spellEnd"/>
      <w:r>
        <w:rPr>
          <w:lang w:val="fr-CH"/>
        </w:rPr>
        <w:t xml:space="preserve"> de cet exemple comparé avec le rapport </w:t>
      </w:r>
      <w:r>
        <w:rPr>
          <w:i/>
          <w:iCs/>
          <w:lang w:val="fr-CH"/>
        </w:rPr>
        <w:t>I</w:t>
      </w:r>
      <w:r>
        <w:rPr>
          <w:lang w:val="fr-CH"/>
        </w:rPr>
        <w:t>/</w:t>
      </w:r>
      <w:r>
        <w:rPr>
          <w:i/>
          <w:iCs/>
          <w:lang w:val="fr-CH"/>
        </w:rPr>
        <w:t>N</w:t>
      </w:r>
      <w:r>
        <w:rPr>
          <w:lang w:val="fr-CH"/>
        </w:rPr>
        <w:t xml:space="preserve"> obtenu à partir du gabarit de puissance surfacique étudié.</w:t>
      </w:r>
    </w:p>
    <w:p w:rsidR="003E352C" w:rsidRDefault="003E352C" w:rsidP="003E352C">
      <w:pPr>
        <w:rPr>
          <w:lang w:val="fr-CH"/>
        </w:rPr>
      </w:pPr>
    </w:p>
    <w:p w:rsidR="003E352C" w:rsidRDefault="003E352C" w:rsidP="003E352C">
      <w:pPr>
        <w:pStyle w:val="FigureNo"/>
        <w:rPr>
          <w:lang w:val="fr-CH"/>
        </w:rPr>
      </w:pPr>
      <w:r>
        <w:rPr>
          <w:noProof/>
          <w:lang w:val="en-US" w:eastAsia="zh-CN"/>
        </w:rPr>
        <w:drawing>
          <wp:inline distT="0" distB="0" distL="0" distR="0" wp14:anchorId="14A0BFFA" wp14:editId="75F190E4">
            <wp:extent cx="4855210" cy="39230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5210" cy="3923030"/>
                    </a:xfrm>
                    <a:prstGeom prst="rect">
                      <a:avLst/>
                    </a:prstGeom>
                    <a:noFill/>
                    <a:ln>
                      <a:noFill/>
                    </a:ln>
                  </pic:spPr>
                </pic:pic>
              </a:graphicData>
            </a:graphic>
          </wp:inline>
        </w:drawing>
      </w:r>
    </w:p>
    <w:p w:rsidR="003E352C" w:rsidRDefault="003E352C" w:rsidP="003E352C"/>
    <w:p w:rsidR="003E352C" w:rsidRDefault="003E352C" w:rsidP="003E352C">
      <w:pPr>
        <w:pStyle w:val="Line"/>
        <w:rPr>
          <w:lang w:val="fr-CH"/>
        </w:rPr>
      </w:pPr>
    </w:p>
    <w:p w:rsidR="003E352C" w:rsidRDefault="003E352C" w:rsidP="003E352C">
      <w:pPr>
        <w:rPr>
          <w:lang w:val="fr-CH"/>
        </w:rPr>
      </w:pPr>
    </w:p>
    <w:p w:rsidR="003E352C" w:rsidRPr="003E352C" w:rsidRDefault="003E352C" w:rsidP="003E352C">
      <w:pPr>
        <w:rPr>
          <w:lang w:val="es-ES_tradnl"/>
        </w:rPr>
      </w:pPr>
    </w:p>
    <w:sectPr w:rsidR="003E352C" w:rsidRPr="003E352C" w:rsidSect="002E0C9C">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52C" w:rsidRDefault="003E352C">
      <w:r>
        <w:separator/>
      </w:r>
    </w:p>
    <w:p w:rsidR="0073239C" w:rsidRDefault="0073239C"/>
  </w:endnote>
  <w:endnote w:type="continuationSeparator" w:id="0">
    <w:p w:rsidR="003E352C" w:rsidRDefault="003E352C">
      <w:r>
        <w:continuationSeparator/>
      </w:r>
    </w:p>
    <w:p w:rsidR="0073239C" w:rsidRDefault="007323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52C" w:rsidRDefault="003E352C">
      <w:r>
        <w:separator/>
      </w:r>
    </w:p>
    <w:p w:rsidR="0073239C" w:rsidRDefault="0073239C"/>
  </w:footnote>
  <w:footnote w:type="continuationSeparator" w:id="0">
    <w:p w:rsidR="003E352C" w:rsidRDefault="003E352C">
      <w:r>
        <w:continuationSeparator/>
      </w:r>
    </w:p>
    <w:p w:rsidR="0073239C" w:rsidRDefault="0073239C"/>
  </w:footnote>
  <w:footnote w:id="1">
    <w:p w:rsidR="00AE079A" w:rsidRPr="003138FE" w:rsidRDefault="00AE079A" w:rsidP="006543CB">
      <w:pPr>
        <w:pStyle w:val="FootnoteText"/>
        <w:rPr>
          <w:lang w:val="fr-CH"/>
        </w:rPr>
      </w:pPr>
      <w:r>
        <w:rPr>
          <w:rStyle w:val="FootnoteReference"/>
        </w:rPr>
        <w:t>*</w:t>
      </w:r>
      <w:r>
        <w:t xml:space="preserve"> </w:t>
      </w:r>
      <w:r w:rsidR="002E0C9C">
        <w:tab/>
      </w:r>
      <w:r>
        <w:rPr>
          <w:lang w:val="fr-CH"/>
        </w:rPr>
        <w:t xml:space="preserve">Les Commissions d'études </w:t>
      </w:r>
      <w:r w:rsidR="006543CB">
        <w:rPr>
          <w:lang w:val="fr-CH"/>
        </w:rPr>
        <w:t>5</w:t>
      </w:r>
      <w:r>
        <w:rPr>
          <w:lang w:val="fr-CH"/>
        </w:rPr>
        <w:t xml:space="preserve"> et </w:t>
      </w:r>
      <w:r w:rsidR="006543CB">
        <w:rPr>
          <w:lang w:val="fr-CH"/>
        </w:rPr>
        <w:t>4</w:t>
      </w:r>
      <w:r>
        <w:rPr>
          <w:lang w:val="fr-CH"/>
        </w:rPr>
        <w:t xml:space="preserve"> des radiocommunications ont apporté des modifications rédactionnelles à cette Recommandation, respectivement en </w:t>
      </w:r>
      <w:r w:rsidR="006543CB">
        <w:rPr>
          <w:lang w:val="fr-CH"/>
        </w:rPr>
        <w:t>novembre 2010 et</w:t>
      </w:r>
      <w:r w:rsidR="006543CB">
        <w:rPr>
          <w:lang w:val="fr-CH"/>
        </w:rPr>
        <w:t xml:space="preserve"> </w:t>
      </w:r>
      <w:r>
        <w:rPr>
          <w:lang w:val="fr-CH"/>
        </w:rPr>
        <w:t>septembre 2011, conformément à la Résolution UIT-R 1.</w:t>
      </w:r>
      <w:bookmarkStart w:id="3" w:name="_GoBack"/>
      <w:bookmarkEnd w:id="3"/>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52C" w:rsidRDefault="003E352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52C" w:rsidRDefault="003E352C" w:rsidP="00C668C8">
    <w:pPr>
      <w:pStyle w:val="Header"/>
      <w:ind w:right="360" w:firstLine="360"/>
    </w:pPr>
    <w:r>
      <w:rPr>
        <w:noProof/>
        <w:lang w:val="en-US" w:eastAsia="zh-CN"/>
      </w:rPr>
      <w:drawing>
        <wp:anchor distT="0" distB="0" distL="114300" distR="114300" simplePos="0" relativeHeight="251659264" behindDoc="1" locked="0" layoutInCell="1" allowOverlap="1" wp14:anchorId="51B984A1" wp14:editId="5521E63C">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52C" w:rsidRPr="00837CB5" w:rsidRDefault="003E352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543CB">
      <w:rPr>
        <w:rStyle w:val="PageNumber"/>
        <w:b/>
        <w:bCs/>
        <w:noProof/>
      </w:rPr>
      <w:t>ii</w:t>
    </w:r>
    <w:r>
      <w:rPr>
        <w:rStyle w:val="PageNumber"/>
        <w:b/>
        <w:bCs/>
      </w:rPr>
      <w:fldChar w:fldCharType="end"/>
    </w:r>
    <w:r w:rsidRPr="00837CB5">
      <w:tab/>
    </w:r>
    <w:r w:rsidR="006543CB">
      <w:fldChar w:fldCharType="begin"/>
    </w:r>
    <w:r w:rsidR="006543CB">
      <w:instrText xml:space="preserve"> DOCPROPERTY "Header" \* MERGEFORMAT </w:instrText>
    </w:r>
    <w:r w:rsidR="006543CB">
      <w:fldChar w:fldCharType="separate"/>
    </w:r>
    <w:r w:rsidR="00485E87" w:rsidRPr="00485E87">
      <w:rPr>
        <w:b/>
        <w:bCs/>
      </w:rPr>
      <w:t xml:space="preserve">Rec. </w:t>
    </w:r>
    <w:r w:rsidR="006543C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543CB">
      <w:rPr>
        <w:b/>
        <w:bCs/>
        <w:noProof/>
      </w:rPr>
      <w:t>UIT-R  SF.1602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52C" w:rsidRDefault="003E352C">
    <w:pPr>
      <w:pStyle w:val="Header"/>
    </w:pPr>
    <w:r>
      <w:tab/>
    </w:r>
    <w:r w:rsidR="006543CB">
      <w:fldChar w:fldCharType="begin"/>
    </w:r>
    <w:r w:rsidR="006543CB">
      <w:instrText xml:space="preserve"> DOCPROPERTY "Header" \* MERGEFORMAT </w:instrText>
    </w:r>
    <w:r w:rsidR="006543CB">
      <w:fldChar w:fldCharType="separate"/>
    </w:r>
    <w:r w:rsidR="00485E87" w:rsidRPr="00485E87">
      <w:rPr>
        <w:b/>
        <w:bCs/>
      </w:rPr>
      <w:t xml:space="preserve">Rec. </w:t>
    </w:r>
    <w:r w:rsidR="006543CB">
      <w:rPr>
        <w:b/>
        <w:bCs/>
      </w:rPr>
      <w:fldChar w:fldCharType="end"/>
    </w:r>
    <w:r>
      <w:rPr>
        <w:b/>
        <w:bCs/>
      </w:rPr>
      <w:t xml:space="preserve"> </w:t>
    </w:r>
    <w:r>
      <w:rPr>
        <w:b/>
        <w:bCs/>
      </w:rPr>
      <w:fldChar w:fldCharType="begin"/>
    </w:r>
    <w:r>
      <w:rPr>
        <w:b/>
        <w:bCs/>
      </w:rPr>
      <w:instrText>styleref href</w:instrText>
    </w:r>
    <w:r>
      <w:rPr>
        <w:b/>
        <w:bCs/>
      </w:rPr>
      <w:fldChar w:fldCharType="separate"/>
    </w:r>
    <w:r w:rsidR="00485E87">
      <w:rPr>
        <w:b/>
        <w:bCs/>
        <w:noProof/>
      </w:rPr>
      <w:t>UIT-R  SF.1602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7465B">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85E87" w:rsidRPr="00485E8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7465B">
      <w:rPr>
        <w:b/>
        <w:bCs/>
        <w:noProof/>
      </w:rPr>
      <w:t>UIT-R  SF.1602</w:t>
    </w:r>
    <w:r>
      <w:rPr>
        <w:b/>
        <w:bCs/>
      </w:rPr>
      <w:fldChar w:fldCharType="end"/>
    </w:r>
  </w:p>
  <w:p w:rsidR="0073239C" w:rsidRDefault="0073239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6543CB">
      <w:fldChar w:fldCharType="begin"/>
    </w:r>
    <w:r w:rsidR="006543CB">
      <w:instrText xml:space="preserve"> DOCPROPERTY "Header" \* MERGEFORMAT </w:instrText>
    </w:r>
    <w:r w:rsidR="006543CB">
      <w:fldChar w:fldCharType="separate"/>
    </w:r>
    <w:r w:rsidR="00485E87" w:rsidRPr="00485E87">
      <w:rPr>
        <w:b/>
        <w:bCs/>
      </w:rPr>
      <w:t xml:space="preserve">Rec. </w:t>
    </w:r>
    <w:r w:rsidR="006543CB">
      <w:rPr>
        <w:b/>
        <w:bCs/>
      </w:rPr>
      <w:fldChar w:fldCharType="end"/>
    </w:r>
    <w:r>
      <w:rPr>
        <w:b/>
        <w:bCs/>
      </w:rPr>
      <w:t xml:space="preserve"> </w:t>
    </w:r>
    <w:r>
      <w:rPr>
        <w:b/>
        <w:bCs/>
      </w:rPr>
      <w:fldChar w:fldCharType="begin"/>
    </w:r>
    <w:r>
      <w:rPr>
        <w:b/>
        <w:bCs/>
      </w:rPr>
      <w:instrText>styleref href</w:instrText>
    </w:r>
    <w:r>
      <w:rPr>
        <w:b/>
        <w:bCs/>
      </w:rPr>
      <w:fldChar w:fldCharType="separate"/>
    </w:r>
    <w:r w:rsidR="006543CB">
      <w:rPr>
        <w:b/>
        <w:bCs/>
        <w:noProof/>
      </w:rPr>
      <w:t>UIT-R  SF.1602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543CB">
      <w:rPr>
        <w:rStyle w:val="PageNumber"/>
        <w:b/>
        <w:bCs/>
        <w:noProof/>
      </w:rPr>
      <w:t>1</w:t>
    </w:r>
    <w:r>
      <w:rPr>
        <w:rStyle w:val="PageNumber"/>
        <w:b/>
        <w:bCs/>
      </w:rPr>
      <w:fldChar w:fldCharType="end"/>
    </w:r>
  </w:p>
  <w:p w:rsidR="0073239C" w:rsidRDefault="0073239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52C"/>
    <w:rsid w:val="00217EBF"/>
    <w:rsid w:val="00242AEE"/>
    <w:rsid w:val="002D76C4"/>
    <w:rsid w:val="002E0C9C"/>
    <w:rsid w:val="003E352C"/>
    <w:rsid w:val="00485E87"/>
    <w:rsid w:val="0052529D"/>
    <w:rsid w:val="00553B5A"/>
    <w:rsid w:val="00607D68"/>
    <w:rsid w:val="006543CB"/>
    <w:rsid w:val="0073239C"/>
    <w:rsid w:val="007468DA"/>
    <w:rsid w:val="009E00A8"/>
    <w:rsid w:val="00A6617B"/>
    <w:rsid w:val="00AB0DC8"/>
    <w:rsid w:val="00AE079A"/>
    <w:rsid w:val="00B44E24"/>
    <w:rsid w:val="00D0134F"/>
    <w:rsid w:val="00D7465B"/>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35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352C"/>
    <w:rPr>
      <w:color w:val="0000FF"/>
      <w:u w:val="single"/>
    </w:rPr>
  </w:style>
  <w:style w:type="character" w:customStyle="1" w:styleId="Heading1Char">
    <w:name w:val="Heading 1 Char"/>
    <w:basedOn w:val="DefaultParagraphFont"/>
    <w:link w:val="Heading1"/>
    <w:rsid w:val="003E352C"/>
    <w:rPr>
      <w:b/>
      <w:sz w:val="24"/>
      <w:lang w:val="fr-FR" w:eastAsia="en-US"/>
    </w:rPr>
  </w:style>
  <w:style w:type="character" w:customStyle="1" w:styleId="Heading2Char">
    <w:name w:val="Heading 2 Char"/>
    <w:basedOn w:val="DefaultParagraphFont"/>
    <w:link w:val="Heading2"/>
    <w:rsid w:val="003E352C"/>
    <w:rPr>
      <w:b/>
      <w:sz w:val="24"/>
      <w:lang w:val="fr-FR" w:eastAsia="en-US"/>
    </w:rPr>
  </w:style>
  <w:style w:type="character" w:customStyle="1" w:styleId="Heading3Char">
    <w:name w:val="Heading 3 Char"/>
    <w:basedOn w:val="DefaultParagraphFont"/>
    <w:link w:val="Heading3"/>
    <w:rsid w:val="003E352C"/>
    <w:rPr>
      <w:b/>
      <w:sz w:val="24"/>
      <w:lang w:val="fr-FR" w:eastAsia="en-US"/>
    </w:rPr>
  </w:style>
  <w:style w:type="paragraph" w:styleId="BalloonText">
    <w:name w:val="Balloon Text"/>
    <w:basedOn w:val="Normal"/>
    <w:link w:val="BalloonTextChar"/>
    <w:rsid w:val="00AE079A"/>
    <w:pPr>
      <w:spacing w:before="0"/>
    </w:pPr>
    <w:rPr>
      <w:rFonts w:ascii="Tahoma" w:hAnsi="Tahoma" w:cs="Tahoma"/>
      <w:sz w:val="16"/>
      <w:szCs w:val="16"/>
    </w:rPr>
  </w:style>
  <w:style w:type="character" w:customStyle="1" w:styleId="BalloonTextChar">
    <w:name w:val="Balloon Text Char"/>
    <w:basedOn w:val="DefaultParagraphFont"/>
    <w:link w:val="BalloonText"/>
    <w:rsid w:val="00AE079A"/>
    <w:rPr>
      <w:rFonts w:ascii="Tahoma" w:hAnsi="Tahoma" w:cs="Tahoma"/>
      <w:sz w:val="16"/>
      <w:szCs w:val="16"/>
      <w:lang w:val="fr-FR" w:eastAsia="en-US"/>
    </w:rPr>
  </w:style>
  <w:style w:type="character" w:customStyle="1" w:styleId="FootnoteTextChar">
    <w:name w:val="Footnote Text Char"/>
    <w:basedOn w:val="DefaultParagraphFont"/>
    <w:link w:val="FootnoteText"/>
    <w:rsid w:val="00AE079A"/>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35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352C"/>
    <w:rPr>
      <w:color w:val="0000FF"/>
      <w:u w:val="single"/>
    </w:rPr>
  </w:style>
  <w:style w:type="character" w:customStyle="1" w:styleId="Heading1Char">
    <w:name w:val="Heading 1 Char"/>
    <w:basedOn w:val="DefaultParagraphFont"/>
    <w:link w:val="Heading1"/>
    <w:rsid w:val="003E352C"/>
    <w:rPr>
      <w:b/>
      <w:sz w:val="24"/>
      <w:lang w:val="fr-FR" w:eastAsia="en-US"/>
    </w:rPr>
  </w:style>
  <w:style w:type="character" w:customStyle="1" w:styleId="Heading2Char">
    <w:name w:val="Heading 2 Char"/>
    <w:basedOn w:val="DefaultParagraphFont"/>
    <w:link w:val="Heading2"/>
    <w:rsid w:val="003E352C"/>
    <w:rPr>
      <w:b/>
      <w:sz w:val="24"/>
      <w:lang w:val="fr-FR" w:eastAsia="en-US"/>
    </w:rPr>
  </w:style>
  <w:style w:type="character" w:customStyle="1" w:styleId="Heading3Char">
    <w:name w:val="Heading 3 Char"/>
    <w:basedOn w:val="DefaultParagraphFont"/>
    <w:link w:val="Heading3"/>
    <w:rsid w:val="003E352C"/>
    <w:rPr>
      <w:b/>
      <w:sz w:val="24"/>
      <w:lang w:val="fr-FR" w:eastAsia="en-US"/>
    </w:rPr>
  </w:style>
  <w:style w:type="paragraph" w:styleId="BalloonText">
    <w:name w:val="Balloon Text"/>
    <w:basedOn w:val="Normal"/>
    <w:link w:val="BalloonTextChar"/>
    <w:rsid w:val="00AE079A"/>
    <w:pPr>
      <w:spacing w:before="0"/>
    </w:pPr>
    <w:rPr>
      <w:rFonts w:ascii="Tahoma" w:hAnsi="Tahoma" w:cs="Tahoma"/>
      <w:sz w:val="16"/>
      <w:szCs w:val="16"/>
    </w:rPr>
  </w:style>
  <w:style w:type="character" w:customStyle="1" w:styleId="BalloonTextChar">
    <w:name w:val="Balloon Text Char"/>
    <w:basedOn w:val="DefaultParagraphFont"/>
    <w:link w:val="BalloonText"/>
    <w:rsid w:val="00AE079A"/>
    <w:rPr>
      <w:rFonts w:ascii="Tahoma" w:hAnsi="Tahoma" w:cs="Tahoma"/>
      <w:sz w:val="16"/>
      <w:szCs w:val="16"/>
      <w:lang w:val="fr-FR" w:eastAsia="en-US"/>
    </w:rPr>
  </w:style>
  <w:style w:type="character" w:customStyle="1" w:styleId="FootnoteTextChar">
    <w:name w:val="Footnote Text Char"/>
    <w:basedOn w:val="DefaultParagraphFont"/>
    <w:link w:val="FootnoteText"/>
    <w:rsid w:val="00AE079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oleObject" Target="embeddings/oleObject10.bin"/><Relationship Id="rId21" Type="http://schemas.openxmlformats.org/officeDocument/2006/relationships/image" Target="media/image7.wmf"/><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4.bin"/><Relationship Id="rId50" Type="http://schemas.openxmlformats.org/officeDocument/2006/relationships/image" Target="media/image24.wmf"/><Relationship Id="rId55" Type="http://schemas.openxmlformats.org/officeDocument/2006/relationships/oleObject" Target="embeddings/oleObject17.bin"/><Relationship Id="rId63" Type="http://schemas.openxmlformats.org/officeDocument/2006/relationships/image" Target="media/image34.wmf"/><Relationship Id="rId68" Type="http://schemas.openxmlformats.org/officeDocument/2006/relationships/image" Target="media/image39.wmf"/><Relationship Id="rId7" Type="http://schemas.openxmlformats.org/officeDocument/2006/relationships/header" Target="header1.xml"/><Relationship Id="rId71" Type="http://schemas.openxmlformats.org/officeDocument/2006/relationships/image" Target="media/image42.wmf"/><Relationship Id="rId2" Type="http://schemas.microsoft.com/office/2007/relationships/stylesWithEffects" Target="stylesWithEffects.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6.wmf"/><Relationship Id="rId58" Type="http://schemas.openxmlformats.org/officeDocument/2006/relationships/image" Target="media/image29.wmf"/><Relationship Id="rId66" Type="http://schemas.openxmlformats.org/officeDocument/2006/relationships/image" Target="media/image37.wmf"/><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oleObject" Target="embeddings/oleObject18.bin"/><Relationship Id="rId61" Type="http://schemas.openxmlformats.org/officeDocument/2006/relationships/image" Target="media/image32.wmf"/><Relationship Id="rId10" Type="http://schemas.openxmlformats.org/officeDocument/2006/relationships/hyperlink" Target="http://www.itu.int/publ/R-REC/fr" TargetMode="External"/><Relationship Id="rId19" Type="http://schemas.openxmlformats.org/officeDocument/2006/relationships/image" Target="media/image6.wmf"/><Relationship Id="rId31" Type="http://schemas.openxmlformats.org/officeDocument/2006/relationships/oleObject" Target="embeddings/oleObject7.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31.wmf"/><Relationship Id="rId65" Type="http://schemas.openxmlformats.org/officeDocument/2006/relationships/image" Target="media/image36.wmf"/><Relationship Id="rId73"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3.wmf"/><Relationship Id="rId56" Type="http://schemas.openxmlformats.org/officeDocument/2006/relationships/image" Target="media/image28.wmf"/><Relationship Id="rId64" Type="http://schemas.openxmlformats.org/officeDocument/2006/relationships/image" Target="media/image35.wmf"/><Relationship Id="rId69" Type="http://schemas.openxmlformats.org/officeDocument/2006/relationships/image" Target="media/image40.wmf"/><Relationship Id="rId8" Type="http://schemas.openxmlformats.org/officeDocument/2006/relationships/header" Target="header2.xml"/><Relationship Id="rId51" Type="http://schemas.openxmlformats.org/officeDocument/2006/relationships/oleObject" Target="embeddings/oleObject16.bin"/><Relationship Id="rId72"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30.wmf"/><Relationship Id="rId67" Type="http://schemas.openxmlformats.org/officeDocument/2006/relationships/image" Target="media/image38.wmf"/><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image" Target="media/image27.wmf"/><Relationship Id="rId62" Type="http://schemas.openxmlformats.org/officeDocument/2006/relationships/image" Target="media/image33.wmf"/><Relationship Id="rId70" Type="http://schemas.openxmlformats.org/officeDocument/2006/relationships/image" Target="media/image41.wmf"/><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23</Pages>
  <Words>4314</Words>
  <Characters>24064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fernande</cp:lastModifiedBy>
  <cp:revision>3</cp:revision>
  <cp:lastPrinted>2005-02-10T15:54:00Z</cp:lastPrinted>
  <dcterms:created xsi:type="dcterms:W3CDTF">2011-12-19T15:36:00Z</dcterms:created>
  <dcterms:modified xsi:type="dcterms:W3CDTF">2011-12-19T15:40:00Z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