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536E" w:rsidRDefault="00A7536E" w:rsidP="00A7536E"/>
    <w:p w:rsidR="00A7536E" w:rsidRDefault="00A7536E" w:rsidP="00A7536E"/>
    <w:p w:rsidR="00A7536E" w:rsidRDefault="00A7536E" w:rsidP="00A7536E"/>
    <w:p w:rsidR="00A7536E" w:rsidRDefault="00A7536E" w:rsidP="00A7536E"/>
    <w:p w:rsidR="00A7536E" w:rsidRDefault="00A7536E" w:rsidP="00A7536E"/>
    <w:p w:rsidR="00A7536E" w:rsidRDefault="00A7536E" w:rsidP="00A7536E"/>
    <w:p w:rsidR="00A7536E" w:rsidRDefault="00A7536E" w:rsidP="00A7536E"/>
    <w:p w:rsidR="00A7536E" w:rsidRDefault="00A7536E" w:rsidP="00A7536E"/>
    <w:p w:rsidR="00A7536E" w:rsidRDefault="00A7536E" w:rsidP="00A7536E"/>
    <w:p w:rsidR="00A7536E" w:rsidRDefault="00A7536E" w:rsidP="00A7536E"/>
    <w:p w:rsidR="00A7536E" w:rsidRDefault="00A7536E" w:rsidP="00A7536E"/>
    <w:p w:rsidR="00A7536E" w:rsidRDefault="00A7536E" w:rsidP="00A7536E"/>
    <w:tbl>
      <w:tblPr>
        <w:tblW w:w="10089" w:type="dxa"/>
        <w:tblLook w:val="01E0" w:firstRow="1" w:lastRow="1" w:firstColumn="1" w:lastColumn="1" w:noHBand="0" w:noVBand="0"/>
      </w:tblPr>
      <w:tblGrid>
        <w:gridCol w:w="10089"/>
      </w:tblGrid>
      <w:tr w:rsidR="00A7536E" w:rsidRPr="00A443C2" w:rsidTr="007E5FC8">
        <w:tc>
          <w:tcPr>
            <w:tcW w:w="10089" w:type="dxa"/>
          </w:tcPr>
          <w:p w:rsidR="00A7536E" w:rsidRPr="00B033C8" w:rsidRDefault="00A7536E" w:rsidP="007E5FC8">
            <w:pPr>
              <w:spacing w:before="380" w:line="280" w:lineRule="exact"/>
              <w:jc w:val="right"/>
              <w:rPr>
                <w:rFonts w:ascii="Tahoma" w:hAnsi="Tahoma" w:cs="Tahoma"/>
                <w:b/>
                <w:bCs/>
                <w:iCs/>
                <w:color w:val="243285"/>
                <w:sz w:val="32"/>
                <w:szCs w:val="32"/>
                <w:lang w:val="en-US"/>
              </w:rPr>
            </w:pPr>
          </w:p>
          <w:p w:rsidR="00A7536E" w:rsidRPr="00A443C2" w:rsidRDefault="00A7536E" w:rsidP="00A7536E">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SF</w:t>
            </w:r>
            <w:r w:rsidRPr="00A443C2">
              <w:rPr>
                <w:rFonts w:ascii="Tahoma" w:hAnsi="Tahoma" w:cs="Tahoma"/>
                <w:b/>
                <w:bCs/>
                <w:iCs/>
                <w:color w:val="243285"/>
                <w:sz w:val="36"/>
                <w:szCs w:val="36"/>
              </w:rPr>
              <w:t>.</w:t>
            </w:r>
            <w:r>
              <w:rPr>
                <w:rFonts w:ascii="Tahoma" w:hAnsi="Tahoma" w:cs="Tahoma"/>
                <w:b/>
                <w:bCs/>
                <w:iCs/>
                <w:color w:val="243285"/>
                <w:sz w:val="36"/>
                <w:szCs w:val="36"/>
              </w:rPr>
              <w:t>675-4</w:t>
            </w:r>
          </w:p>
          <w:p w:rsidR="00A7536E" w:rsidRPr="00A443C2" w:rsidRDefault="00A7536E" w:rsidP="00A7536E">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1</w:t>
            </w:r>
            <w:r w:rsidRPr="00A443C2">
              <w:rPr>
                <w:rFonts w:ascii="Tahoma" w:hAnsi="Tahoma" w:cs="Tahoma"/>
                <w:b/>
                <w:bCs/>
                <w:iCs/>
                <w:color w:val="243285"/>
                <w:szCs w:val="24"/>
              </w:rPr>
              <w:t>/</w:t>
            </w:r>
            <w:r>
              <w:rPr>
                <w:rFonts w:ascii="Tahoma" w:hAnsi="Tahoma" w:cs="Tahoma"/>
                <w:b/>
                <w:bCs/>
                <w:iCs/>
                <w:color w:val="243285"/>
                <w:szCs w:val="24"/>
              </w:rPr>
              <w:t>2012</w:t>
            </w:r>
            <w:r w:rsidRPr="00A443C2">
              <w:rPr>
                <w:rFonts w:ascii="Tahoma" w:hAnsi="Tahoma" w:cs="Tahoma"/>
                <w:b/>
                <w:bCs/>
                <w:iCs/>
                <w:color w:val="243285"/>
                <w:szCs w:val="24"/>
              </w:rPr>
              <w:t>)</w:t>
            </w:r>
          </w:p>
        </w:tc>
      </w:tr>
      <w:tr w:rsidR="00A7536E" w:rsidRPr="00F54FBD" w:rsidTr="007E5FC8">
        <w:tc>
          <w:tcPr>
            <w:tcW w:w="10089" w:type="dxa"/>
          </w:tcPr>
          <w:p w:rsidR="00A7536E" w:rsidRDefault="00A7536E" w:rsidP="007E5FC8">
            <w:pPr>
              <w:spacing w:before="80" w:line="500" w:lineRule="exact"/>
              <w:jc w:val="right"/>
              <w:rPr>
                <w:rFonts w:ascii="Tahoma" w:hAnsi="Tahoma" w:cs="Tahoma"/>
                <w:b/>
                <w:bCs/>
                <w:iCs/>
                <w:color w:val="243285"/>
                <w:sz w:val="44"/>
                <w:szCs w:val="44"/>
              </w:rPr>
            </w:pPr>
          </w:p>
          <w:p w:rsidR="00A7536E" w:rsidRDefault="00382656" w:rsidP="00382656">
            <w:pPr>
              <w:spacing w:before="80" w:line="500" w:lineRule="exact"/>
              <w:jc w:val="right"/>
              <w:rPr>
                <w:rFonts w:ascii="Tahoma" w:hAnsi="Tahoma" w:cs="Tahoma"/>
                <w:b/>
                <w:bCs/>
                <w:iCs/>
                <w:color w:val="243285"/>
                <w:sz w:val="44"/>
                <w:szCs w:val="44"/>
              </w:rPr>
            </w:pPr>
            <w:r w:rsidRPr="00382656">
              <w:rPr>
                <w:rFonts w:ascii="Tahoma" w:hAnsi="Tahoma" w:cs="Tahoma"/>
                <w:b/>
                <w:bCs/>
                <w:iCs/>
                <w:color w:val="243285"/>
                <w:sz w:val="44"/>
                <w:szCs w:val="44"/>
              </w:rPr>
              <w:t>Calcul de la densité maximale de puissance (moyennée sur 4 kHz ou 1 MHz) de porteuses à modulation angulaire et numériques</w:t>
            </w:r>
          </w:p>
          <w:p w:rsidR="00A7536E" w:rsidRPr="00F54FBD" w:rsidRDefault="00A7536E" w:rsidP="007E5FC8">
            <w:pPr>
              <w:spacing w:before="80" w:line="500" w:lineRule="exact"/>
              <w:jc w:val="right"/>
              <w:rPr>
                <w:rFonts w:ascii="Tahoma" w:hAnsi="Tahoma" w:cs="Tahoma"/>
                <w:b/>
                <w:bCs/>
                <w:iCs/>
                <w:color w:val="243285"/>
                <w:sz w:val="44"/>
                <w:szCs w:val="44"/>
              </w:rPr>
            </w:pPr>
          </w:p>
        </w:tc>
      </w:tr>
      <w:tr w:rsidR="00A7536E" w:rsidRPr="00F54FBD" w:rsidTr="007E5FC8">
        <w:tc>
          <w:tcPr>
            <w:tcW w:w="10089" w:type="dxa"/>
          </w:tcPr>
          <w:p w:rsidR="00A7536E" w:rsidRPr="00F54FBD" w:rsidRDefault="00A7536E" w:rsidP="007E5FC8">
            <w:pPr>
              <w:spacing w:before="80" w:line="280" w:lineRule="exact"/>
              <w:ind w:right="640"/>
              <w:rPr>
                <w:rFonts w:ascii="Tahoma" w:hAnsi="Tahoma" w:cs="Tahoma"/>
                <w:b/>
                <w:bCs/>
                <w:iCs/>
                <w:color w:val="243285"/>
                <w:sz w:val="32"/>
                <w:szCs w:val="32"/>
              </w:rPr>
            </w:pPr>
          </w:p>
          <w:p w:rsidR="00A7536E" w:rsidRPr="00F54FBD" w:rsidRDefault="00A7536E" w:rsidP="007E5FC8">
            <w:pPr>
              <w:spacing w:before="80" w:line="280" w:lineRule="exact"/>
              <w:ind w:right="640"/>
              <w:rPr>
                <w:rFonts w:ascii="Tahoma" w:hAnsi="Tahoma" w:cs="Tahoma"/>
                <w:b/>
                <w:bCs/>
                <w:iCs/>
                <w:color w:val="243285"/>
                <w:sz w:val="32"/>
                <w:szCs w:val="32"/>
              </w:rPr>
            </w:pPr>
          </w:p>
          <w:p w:rsidR="00A7536E" w:rsidRPr="00F54FBD" w:rsidRDefault="00A7536E" w:rsidP="007E5FC8">
            <w:pPr>
              <w:spacing w:before="80" w:after="180" w:line="360" w:lineRule="exact"/>
              <w:ind w:right="720"/>
              <w:rPr>
                <w:rFonts w:ascii="Tahoma" w:hAnsi="Tahoma" w:cs="Tahoma"/>
                <w:b/>
                <w:bCs/>
                <w:iCs/>
                <w:color w:val="243285"/>
                <w:sz w:val="36"/>
                <w:szCs w:val="36"/>
              </w:rPr>
            </w:pPr>
          </w:p>
          <w:p w:rsidR="00A7536E" w:rsidRPr="00F54FBD" w:rsidRDefault="00A7536E" w:rsidP="007E5FC8">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SF</w:t>
            </w:r>
          </w:p>
          <w:p w:rsidR="00A7536E" w:rsidRPr="00F54FBD" w:rsidRDefault="00A7536E" w:rsidP="007E5FC8">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Partage des fréquences et coordination entre</w:t>
            </w:r>
            <w:r>
              <w:rPr>
                <w:rFonts w:ascii="Tahoma" w:hAnsi="Tahoma" w:cs="Tahoma"/>
                <w:b/>
                <w:bCs/>
                <w:iCs/>
                <w:color w:val="243285"/>
                <w:sz w:val="36"/>
                <w:szCs w:val="36"/>
              </w:rPr>
              <w:br/>
              <w:t>les systèmes du service fixe par satellite</w:t>
            </w:r>
            <w:r>
              <w:rPr>
                <w:rFonts w:ascii="Tahoma" w:hAnsi="Tahoma" w:cs="Tahoma"/>
                <w:b/>
                <w:bCs/>
                <w:iCs/>
                <w:color w:val="243285"/>
                <w:sz w:val="36"/>
                <w:szCs w:val="36"/>
              </w:rPr>
              <w:br/>
              <w:t xml:space="preserve">et du service fixe </w:t>
            </w:r>
          </w:p>
        </w:tc>
      </w:tr>
    </w:tbl>
    <w:p w:rsidR="00A7536E" w:rsidRPr="00F54FBD" w:rsidRDefault="00A7536E" w:rsidP="00A7536E">
      <w:pPr>
        <w:spacing w:before="80"/>
        <w:rPr>
          <w:i/>
          <w:sz w:val="22"/>
        </w:rPr>
      </w:pPr>
    </w:p>
    <w:p w:rsidR="00A7536E" w:rsidRPr="00F54FBD" w:rsidRDefault="00A7536E" w:rsidP="00A7536E">
      <w:pPr>
        <w:spacing w:before="80"/>
        <w:rPr>
          <w:i/>
          <w:sz w:val="22"/>
        </w:rPr>
      </w:pPr>
    </w:p>
    <w:p w:rsidR="00A7536E" w:rsidRPr="00F54FBD" w:rsidRDefault="00A7536E" w:rsidP="00A7536E">
      <w:pPr>
        <w:spacing w:before="80"/>
        <w:rPr>
          <w:i/>
          <w:sz w:val="22"/>
        </w:rPr>
      </w:pPr>
    </w:p>
    <w:p w:rsidR="00A7536E" w:rsidRPr="00F54FBD" w:rsidRDefault="00A7536E" w:rsidP="00A7536E">
      <w:pPr>
        <w:spacing w:before="80"/>
        <w:rPr>
          <w:i/>
          <w:sz w:val="22"/>
        </w:rPr>
      </w:pPr>
    </w:p>
    <w:p w:rsidR="00A7536E" w:rsidRPr="00F54FBD" w:rsidRDefault="00A7536E" w:rsidP="00A7536E">
      <w:pPr>
        <w:spacing w:before="80"/>
        <w:rPr>
          <w:i/>
          <w:sz w:val="22"/>
        </w:rPr>
      </w:pPr>
    </w:p>
    <w:p w:rsidR="00A7536E" w:rsidRPr="00F54FBD" w:rsidRDefault="00A7536E" w:rsidP="00A7536E">
      <w:pPr>
        <w:spacing w:before="80"/>
        <w:rPr>
          <w:i/>
          <w:sz w:val="22"/>
        </w:rPr>
      </w:pPr>
    </w:p>
    <w:p w:rsidR="00A7536E" w:rsidRPr="00F54FBD" w:rsidRDefault="00A7536E" w:rsidP="00A7536E">
      <w:pPr>
        <w:pStyle w:val="Equation"/>
        <w:tabs>
          <w:tab w:val="clear" w:pos="4820"/>
          <w:tab w:val="clear" w:pos="9639"/>
          <w:tab w:val="left" w:pos="1191"/>
          <w:tab w:val="left" w:pos="1588"/>
          <w:tab w:val="left" w:pos="1985"/>
        </w:tabs>
        <w:rPr>
          <w:rFonts w:ascii="Palatino Linotype" w:hAnsi="Palatino Linotype"/>
        </w:rPr>
        <w:sectPr w:rsidR="00A7536E" w:rsidRPr="00F54FBD">
          <w:headerReference w:type="even" r:id="rId7"/>
          <w:headerReference w:type="default" r:id="rId8"/>
          <w:pgSz w:w="11907" w:h="16840" w:code="9"/>
          <w:pgMar w:top="1089" w:right="1089" w:bottom="284" w:left="1089" w:header="567" w:footer="284" w:gutter="0"/>
          <w:pgNumType w:start="1"/>
          <w:cols w:space="720"/>
        </w:sectPr>
      </w:pPr>
    </w:p>
    <w:p w:rsidR="00A7536E" w:rsidRPr="00F54FBD" w:rsidRDefault="00A7536E" w:rsidP="00A753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A7536E" w:rsidRPr="00F54FBD" w:rsidRDefault="00A7536E" w:rsidP="00A7536E">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A7536E" w:rsidRPr="00F54FBD" w:rsidRDefault="00A7536E" w:rsidP="00A7536E">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A7536E" w:rsidRPr="00E44CBB" w:rsidRDefault="00A7536E" w:rsidP="00A7536E">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A7536E" w:rsidRPr="00E44CBB" w:rsidRDefault="00A7536E" w:rsidP="00A7536E">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A7536E" w:rsidRPr="007F23A6" w:rsidRDefault="00A7536E" w:rsidP="00A7536E">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A7536E" w:rsidRPr="009454F8" w:rsidTr="007E5FC8">
        <w:tc>
          <w:tcPr>
            <w:tcW w:w="9360" w:type="dxa"/>
            <w:gridSpan w:val="2"/>
          </w:tcPr>
          <w:p w:rsidR="00A7536E" w:rsidRPr="009454F8" w:rsidRDefault="00A7536E" w:rsidP="007E5FC8">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A7536E" w:rsidRPr="009454F8" w:rsidRDefault="00A7536E" w:rsidP="007E5FC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A7536E" w:rsidRPr="00036EE3" w:rsidTr="007E5FC8">
        <w:tc>
          <w:tcPr>
            <w:tcW w:w="1140" w:type="dxa"/>
            <w:tcBorders>
              <w:bottom w:val="nil"/>
            </w:tcBorders>
          </w:tcPr>
          <w:p w:rsidR="00A7536E" w:rsidRPr="00614CC6" w:rsidRDefault="00A7536E" w:rsidP="007E5FC8">
            <w:pPr>
              <w:spacing w:before="90" w:after="100"/>
              <w:ind w:left="57"/>
              <w:rPr>
                <w:b/>
                <w:bCs/>
                <w:sz w:val="20"/>
                <w:lang w:val="en-US"/>
              </w:rPr>
            </w:pPr>
            <w:r w:rsidRPr="00614CC6">
              <w:rPr>
                <w:b/>
                <w:bCs/>
                <w:sz w:val="20"/>
                <w:lang w:val="en-US"/>
              </w:rPr>
              <w:t>Séries</w:t>
            </w:r>
          </w:p>
        </w:tc>
        <w:tc>
          <w:tcPr>
            <w:tcW w:w="8220" w:type="dxa"/>
            <w:tcBorders>
              <w:bottom w:val="nil"/>
            </w:tcBorders>
          </w:tcPr>
          <w:p w:rsidR="00A7536E" w:rsidRPr="00614CC6" w:rsidRDefault="00A7536E" w:rsidP="007E5FC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A7536E" w:rsidRPr="005E427C" w:rsidTr="007E5FC8">
        <w:tc>
          <w:tcPr>
            <w:tcW w:w="1140" w:type="dxa"/>
            <w:tcBorders>
              <w:top w:val="nil"/>
              <w:bottom w:val="nil"/>
            </w:tcBorders>
            <w:shd w:val="clear" w:color="auto" w:fill="auto"/>
          </w:tcPr>
          <w:p w:rsidR="00A7536E" w:rsidRPr="005E427C" w:rsidRDefault="00A7536E" w:rsidP="007E5FC8">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A7536E" w:rsidRPr="005E427C" w:rsidRDefault="00A7536E" w:rsidP="007E5FC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A7536E" w:rsidRPr="009454F8" w:rsidTr="007E5FC8">
        <w:tc>
          <w:tcPr>
            <w:tcW w:w="1140" w:type="dxa"/>
            <w:tcBorders>
              <w:top w:val="nil"/>
              <w:bottom w:val="nil"/>
            </w:tcBorders>
          </w:tcPr>
          <w:p w:rsidR="00A7536E" w:rsidRPr="00614CC6" w:rsidRDefault="00A7536E" w:rsidP="007E5FC8">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A7536E" w:rsidRPr="00614CC6" w:rsidRDefault="00A7536E" w:rsidP="007E5FC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A7536E" w:rsidRPr="00E80F1D" w:rsidTr="007E5FC8">
        <w:tc>
          <w:tcPr>
            <w:tcW w:w="1140" w:type="dxa"/>
            <w:tcBorders>
              <w:top w:val="nil"/>
              <w:bottom w:val="nil"/>
            </w:tcBorders>
            <w:shd w:val="clear" w:color="auto" w:fill="auto"/>
          </w:tcPr>
          <w:p w:rsidR="00A7536E" w:rsidRPr="00E80F1D" w:rsidRDefault="00A7536E" w:rsidP="007E5FC8">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A7536E" w:rsidRPr="00E80F1D" w:rsidRDefault="00A7536E" w:rsidP="007E5FC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A7536E" w:rsidRPr="00ED2695" w:rsidTr="007E5FC8">
        <w:tc>
          <w:tcPr>
            <w:tcW w:w="1140" w:type="dxa"/>
            <w:tcBorders>
              <w:top w:val="nil"/>
              <w:bottom w:val="nil"/>
            </w:tcBorders>
            <w:shd w:val="clear" w:color="auto" w:fill="auto"/>
          </w:tcPr>
          <w:p w:rsidR="00A7536E" w:rsidRPr="00614CC6" w:rsidRDefault="00A7536E" w:rsidP="007E5FC8">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A7536E" w:rsidRPr="00614CC6" w:rsidRDefault="00A7536E" w:rsidP="007E5FC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A7536E" w:rsidRPr="00DE5EA2" w:rsidTr="007E5FC8">
        <w:tc>
          <w:tcPr>
            <w:tcW w:w="1140" w:type="dxa"/>
            <w:tcBorders>
              <w:top w:val="nil"/>
              <w:bottom w:val="nil"/>
            </w:tcBorders>
            <w:shd w:val="clear" w:color="auto" w:fill="auto"/>
          </w:tcPr>
          <w:p w:rsidR="00A7536E" w:rsidRPr="00DE5EA2" w:rsidRDefault="00A7536E" w:rsidP="007E5FC8">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A7536E" w:rsidRPr="00DE5EA2" w:rsidRDefault="00A7536E" w:rsidP="007E5FC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A7536E" w:rsidRPr="00B21066" w:rsidTr="007E5FC8">
        <w:tc>
          <w:tcPr>
            <w:tcW w:w="1140" w:type="dxa"/>
            <w:tcBorders>
              <w:top w:val="nil"/>
              <w:bottom w:val="nil"/>
            </w:tcBorders>
            <w:shd w:val="clear" w:color="auto" w:fill="auto"/>
          </w:tcPr>
          <w:p w:rsidR="00A7536E" w:rsidRPr="00B21066" w:rsidRDefault="00A7536E" w:rsidP="007E5FC8">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A7536E" w:rsidRPr="00B21066" w:rsidRDefault="00A7536E" w:rsidP="007E5FC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A7536E" w:rsidRPr="00EC361D" w:rsidTr="007E5FC8">
        <w:tc>
          <w:tcPr>
            <w:tcW w:w="1140" w:type="dxa"/>
            <w:tcBorders>
              <w:top w:val="nil"/>
              <w:bottom w:val="nil"/>
            </w:tcBorders>
            <w:shd w:val="clear" w:color="auto" w:fill="auto"/>
          </w:tcPr>
          <w:p w:rsidR="00A7536E" w:rsidRPr="00EC361D" w:rsidRDefault="00A7536E" w:rsidP="007E5FC8">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A7536E" w:rsidRPr="00EC361D" w:rsidRDefault="00A7536E" w:rsidP="007E5FC8">
            <w:pPr>
              <w:spacing w:before="30" w:after="30"/>
              <w:jc w:val="left"/>
              <w:rPr>
                <w:sz w:val="20"/>
                <w:lang w:val="fr-CH"/>
              </w:rPr>
            </w:pPr>
            <w:r w:rsidRPr="00EC361D">
              <w:rPr>
                <w:sz w:val="20"/>
              </w:rPr>
              <w:t>Propagation des ondes radioélectriques</w:t>
            </w:r>
          </w:p>
        </w:tc>
      </w:tr>
      <w:tr w:rsidR="00A7536E" w:rsidRPr="004822EF" w:rsidTr="007E5FC8">
        <w:tc>
          <w:tcPr>
            <w:tcW w:w="1140" w:type="dxa"/>
            <w:tcBorders>
              <w:top w:val="nil"/>
              <w:bottom w:val="nil"/>
            </w:tcBorders>
            <w:shd w:val="clear" w:color="auto" w:fill="auto"/>
          </w:tcPr>
          <w:p w:rsidR="00A7536E" w:rsidRPr="004822EF" w:rsidRDefault="00A7536E" w:rsidP="007E5FC8">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A7536E" w:rsidRPr="004822EF" w:rsidRDefault="00A7536E" w:rsidP="007E5FC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A7536E" w:rsidRPr="00326525" w:rsidTr="007E5FC8">
        <w:tc>
          <w:tcPr>
            <w:tcW w:w="1140" w:type="dxa"/>
            <w:tcBorders>
              <w:top w:val="nil"/>
              <w:bottom w:val="nil"/>
            </w:tcBorders>
            <w:shd w:val="clear" w:color="auto" w:fill="auto"/>
          </w:tcPr>
          <w:p w:rsidR="00A7536E" w:rsidRPr="00326525" w:rsidRDefault="00A7536E" w:rsidP="007E5FC8">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A7536E" w:rsidRPr="00326525" w:rsidRDefault="00A7536E" w:rsidP="007E5FC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A7536E" w:rsidRPr="00C40D3E" w:rsidTr="007E5FC8">
        <w:tc>
          <w:tcPr>
            <w:tcW w:w="1140" w:type="dxa"/>
            <w:tcBorders>
              <w:top w:val="nil"/>
              <w:bottom w:val="nil"/>
            </w:tcBorders>
            <w:shd w:val="clear" w:color="auto" w:fill="auto"/>
          </w:tcPr>
          <w:p w:rsidR="00A7536E" w:rsidRPr="00C40D3E" w:rsidRDefault="00A7536E" w:rsidP="007E5FC8">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rsidR="00A7536E" w:rsidRPr="00C40D3E" w:rsidRDefault="00A7536E" w:rsidP="007E5FC8">
            <w:pPr>
              <w:spacing w:before="30" w:after="30"/>
              <w:jc w:val="left"/>
              <w:rPr>
                <w:sz w:val="20"/>
                <w:lang w:val="en-US"/>
              </w:rPr>
            </w:pPr>
            <w:r w:rsidRPr="00C40D3E">
              <w:rPr>
                <w:sz w:val="20"/>
              </w:rPr>
              <w:t>Service fixe par satellite</w:t>
            </w:r>
          </w:p>
        </w:tc>
      </w:tr>
      <w:tr w:rsidR="00A7536E" w:rsidRPr="00595D3D" w:rsidTr="007E5FC8">
        <w:tc>
          <w:tcPr>
            <w:tcW w:w="1140" w:type="dxa"/>
            <w:tcBorders>
              <w:top w:val="nil"/>
              <w:bottom w:val="nil"/>
            </w:tcBorders>
            <w:shd w:val="clear" w:color="auto" w:fill="auto"/>
          </w:tcPr>
          <w:p w:rsidR="00A7536E" w:rsidRPr="00595D3D" w:rsidRDefault="00A7536E" w:rsidP="007E5FC8">
            <w:pPr>
              <w:spacing w:before="30" w:after="30"/>
              <w:ind w:left="57"/>
              <w:jc w:val="left"/>
              <w:rPr>
                <w:b/>
                <w:bCs/>
                <w:sz w:val="20"/>
                <w:lang w:val="en-US"/>
              </w:rPr>
            </w:pPr>
            <w:r w:rsidRPr="00595D3D">
              <w:rPr>
                <w:b/>
                <w:bCs/>
                <w:sz w:val="20"/>
                <w:lang w:val="en-US"/>
              </w:rPr>
              <w:t>SA</w:t>
            </w:r>
          </w:p>
        </w:tc>
        <w:tc>
          <w:tcPr>
            <w:tcW w:w="8220" w:type="dxa"/>
            <w:tcBorders>
              <w:top w:val="nil"/>
              <w:bottom w:val="nil"/>
            </w:tcBorders>
            <w:shd w:val="clear" w:color="auto" w:fill="auto"/>
          </w:tcPr>
          <w:p w:rsidR="00A7536E" w:rsidRPr="00595D3D" w:rsidRDefault="00A7536E" w:rsidP="007E5FC8">
            <w:pPr>
              <w:spacing w:before="30" w:after="30"/>
              <w:jc w:val="left"/>
              <w:rPr>
                <w:sz w:val="20"/>
                <w:lang w:val="en-US"/>
              </w:rPr>
            </w:pPr>
            <w:r w:rsidRPr="00595D3D">
              <w:rPr>
                <w:sz w:val="20"/>
              </w:rPr>
              <w:t>Applications spatiales et météorologie</w:t>
            </w:r>
          </w:p>
        </w:tc>
      </w:tr>
      <w:tr w:rsidR="00A7536E" w:rsidRPr="00595D3D" w:rsidTr="007E5FC8">
        <w:tc>
          <w:tcPr>
            <w:tcW w:w="1140" w:type="dxa"/>
            <w:tcBorders>
              <w:top w:val="nil"/>
              <w:bottom w:val="nil"/>
            </w:tcBorders>
            <w:shd w:val="clear" w:color="auto" w:fill="F3F3F3"/>
          </w:tcPr>
          <w:p w:rsidR="00A7536E" w:rsidRPr="00595D3D" w:rsidRDefault="00A7536E" w:rsidP="007E5FC8">
            <w:pPr>
              <w:spacing w:before="30" w:after="30"/>
              <w:ind w:left="57"/>
              <w:jc w:val="left"/>
              <w:rPr>
                <w:b/>
                <w:bCs/>
                <w:color w:val="000080"/>
                <w:sz w:val="20"/>
                <w:lang w:val="en-US"/>
              </w:rPr>
            </w:pPr>
            <w:r w:rsidRPr="00595D3D">
              <w:rPr>
                <w:b/>
                <w:bCs/>
                <w:color w:val="000080"/>
                <w:sz w:val="20"/>
                <w:lang w:val="en-US"/>
              </w:rPr>
              <w:t>SF</w:t>
            </w:r>
          </w:p>
        </w:tc>
        <w:tc>
          <w:tcPr>
            <w:tcW w:w="8220" w:type="dxa"/>
            <w:tcBorders>
              <w:top w:val="nil"/>
              <w:bottom w:val="nil"/>
            </w:tcBorders>
            <w:shd w:val="clear" w:color="auto" w:fill="F3F3F3"/>
          </w:tcPr>
          <w:p w:rsidR="00A7536E" w:rsidRPr="00595D3D" w:rsidRDefault="00A7536E" w:rsidP="007E5FC8">
            <w:pPr>
              <w:spacing w:before="30" w:after="30"/>
              <w:jc w:val="left"/>
              <w:rPr>
                <w:b/>
                <w:bCs/>
                <w:color w:val="000080"/>
                <w:sz w:val="20"/>
              </w:rPr>
            </w:pPr>
            <w:r w:rsidRPr="00595D3D">
              <w:rPr>
                <w:b/>
                <w:bCs/>
                <w:color w:val="000080"/>
                <w:sz w:val="20"/>
              </w:rPr>
              <w:t>Partage des fréquences et coordination entre les systèmes du service fixe par satellite et du service fixe</w:t>
            </w:r>
          </w:p>
        </w:tc>
      </w:tr>
      <w:tr w:rsidR="00A7536E" w:rsidRPr="00036EE3" w:rsidTr="007E5FC8">
        <w:tc>
          <w:tcPr>
            <w:tcW w:w="1140" w:type="dxa"/>
            <w:tcBorders>
              <w:top w:val="nil"/>
            </w:tcBorders>
            <w:shd w:val="clear" w:color="auto" w:fill="auto"/>
          </w:tcPr>
          <w:p w:rsidR="00A7536E" w:rsidRPr="00592F9F" w:rsidRDefault="00A7536E" w:rsidP="007E5FC8">
            <w:pPr>
              <w:spacing w:before="30" w:after="30"/>
              <w:ind w:left="57"/>
              <w:jc w:val="left"/>
              <w:rPr>
                <w:b/>
                <w:bCs/>
                <w:sz w:val="20"/>
                <w:lang w:val="en-US"/>
              </w:rPr>
            </w:pPr>
            <w:r w:rsidRPr="00592F9F">
              <w:rPr>
                <w:b/>
                <w:bCs/>
                <w:sz w:val="20"/>
                <w:lang w:val="en-US"/>
              </w:rPr>
              <w:t>SM</w:t>
            </w:r>
          </w:p>
        </w:tc>
        <w:tc>
          <w:tcPr>
            <w:tcW w:w="8220" w:type="dxa"/>
            <w:tcBorders>
              <w:top w:val="nil"/>
            </w:tcBorders>
            <w:shd w:val="clear" w:color="auto" w:fill="auto"/>
          </w:tcPr>
          <w:p w:rsidR="00A7536E" w:rsidRPr="00592F9F" w:rsidRDefault="00A7536E" w:rsidP="007E5FC8">
            <w:pPr>
              <w:spacing w:before="30" w:after="30"/>
              <w:jc w:val="left"/>
              <w:rPr>
                <w:sz w:val="20"/>
                <w:lang w:val="en-US"/>
              </w:rPr>
            </w:pPr>
            <w:r w:rsidRPr="00592F9F">
              <w:rPr>
                <w:sz w:val="20"/>
              </w:rPr>
              <w:t>Gestion du spectre</w:t>
            </w:r>
          </w:p>
        </w:tc>
      </w:tr>
      <w:tr w:rsidR="00A7536E" w:rsidRPr="00036EE3" w:rsidTr="007E5FC8">
        <w:tc>
          <w:tcPr>
            <w:tcW w:w="1140" w:type="dxa"/>
          </w:tcPr>
          <w:p w:rsidR="00A7536E" w:rsidRPr="00614CC6" w:rsidRDefault="00A7536E" w:rsidP="007E5FC8">
            <w:pPr>
              <w:spacing w:before="30" w:after="30"/>
              <w:ind w:left="57"/>
              <w:jc w:val="left"/>
              <w:rPr>
                <w:b/>
                <w:bCs/>
                <w:sz w:val="20"/>
                <w:lang w:val="en-US"/>
              </w:rPr>
            </w:pPr>
            <w:r w:rsidRPr="00614CC6">
              <w:rPr>
                <w:b/>
                <w:bCs/>
                <w:sz w:val="20"/>
                <w:lang w:val="en-US"/>
              </w:rPr>
              <w:t>SNG</w:t>
            </w:r>
          </w:p>
        </w:tc>
        <w:tc>
          <w:tcPr>
            <w:tcW w:w="8220" w:type="dxa"/>
          </w:tcPr>
          <w:p w:rsidR="00A7536E" w:rsidRPr="00614CC6" w:rsidRDefault="00A7536E" w:rsidP="007E5FC8">
            <w:pPr>
              <w:spacing w:before="30" w:after="30"/>
              <w:jc w:val="left"/>
              <w:rPr>
                <w:sz w:val="20"/>
                <w:lang w:val="en-US"/>
              </w:rPr>
            </w:pPr>
            <w:r w:rsidRPr="00614CC6">
              <w:rPr>
                <w:sz w:val="20"/>
              </w:rPr>
              <w:t>Reportage d'actualités par satellite</w:t>
            </w:r>
          </w:p>
        </w:tc>
      </w:tr>
      <w:tr w:rsidR="00A7536E" w:rsidRPr="00614CC6" w:rsidTr="007E5FC8">
        <w:tc>
          <w:tcPr>
            <w:tcW w:w="1140" w:type="dxa"/>
          </w:tcPr>
          <w:p w:rsidR="00A7536E" w:rsidRPr="00614CC6" w:rsidRDefault="00A7536E" w:rsidP="007E5FC8">
            <w:pPr>
              <w:spacing w:before="30" w:after="30"/>
              <w:ind w:left="57"/>
              <w:jc w:val="left"/>
              <w:rPr>
                <w:b/>
                <w:bCs/>
                <w:sz w:val="20"/>
                <w:lang w:val="en-US"/>
              </w:rPr>
            </w:pPr>
            <w:r w:rsidRPr="00614CC6">
              <w:rPr>
                <w:b/>
                <w:bCs/>
                <w:sz w:val="20"/>
                <w:lang w:val="en-US"/>
              </w:rPr>
              <w:t>TF</w:t>
            </w:r>
          </w:p>
        </w:tc>
        <w:tc>
          <w:tcPr>
            <w:tcW w:w="8220" w:type="dxa"/>
          </w:tcPr>
          <w:p w:rsidR="00A7536E" w:rsidRPr="00614CC6" w:rsidRDefault="00A7536E" w:rsidP="007E5FC8">
            <w:pPr>
              <w:spacing w:before="30" w:after="30"/>
              <w:jc w:val="left"/>
              <w:rPr>
                <w:sz w:val="20"/>
              </w:rPr>
            </w:pPr>
            <w:r w:rsidRPr="00614CC6">
              <w:rPr>
                <w:sz w:val="20"/>
              </w:rPr>
              <w:t>Emissions de fréquences étalon et de signaux horaires</w:t>
            </w:r>
          </w:p>
        </w:tc>
      </w:tr>
      <w:tr w:rsidR="00A7536E" w:rsidRPr="00036EE3" w:rsidTr="007E5FC8">
        <w:tc>
          <w:tcPr>
            <w:tcW w:w="1140" w:type="dxa"/>
          </w:tcPr>
          <w:p w:rsidR="00A7536E" w:rsidRPr="00614CC6" w:rsidRDefault="00A7536E" w:rsidP="007E5FC8">
            <w:pPr>
              <w:spacing w:before="30" w:after="30"/>
              <w:ind w:left="57"/>
              <w:jc w:val="left"/>
              <w:rPr>
                <w:b/>
                <w:bCs/>
                <w:sz w:val="20"/>
                <w:lang w:val="en-US"/>
              </w:rPr>
            </w:pPr>
            <w:r w:rsidRPr="00614CC6">
              <w:rPr>
                <w:b/>
                <w:bCs/>
                <w:sz w:val="20"/>
                <w:lang w:val="en-US"/>
              </w:rPr>
              <w:t>V</w:t>
            </w:r>
          </w:p>
        </w:tc>
        <w:tc>
          <w:tcPr>
            <w:tcW w:w="8220" w:type="dxa"/>
          </w:tcPr>
          <w:p w:rsidR="00A7536E" w:rsidRPr="00614CC6" w:rsidRDefault="00A7536E" w:rsidP="007E5FC8">
            <w:pPr>
              <w:spacing w:before="30" w:after="140"/>
              <w:jc w:val="left"/>
              <w:rPr>
                <w:sz w:val="20"/>
                <w:lang w:val="en-US"/>
              </w:rPr>
            </w:pPr>
            <w:r w:rsidRPr="00614CC6">
              <w:rPr>
                <w:sz w:val="20"/>
              </w:rPr>
              <w:t>Vocabulaire et sujets associés</w:t>
            </w:r>
          </w:p>
        </w:tc>
      </w:tr>
    </w:tbl>
    <w:p w:rsidR="00A7536E" w:rsidRPr="00036EE3" w:rsidRDefault="00A7536E" w:rsidP="00A7536E">
      <w:pPr>
        <w:spacing w:before="0"/>
        <w:jc w:val="center"/>
        <w:rPr>
          <w:sz w:val="20"/>
          <w:lang w:val="en-US"/>
        </w:rPr>
      </w:pPr>
    </w:p>
    <w:p w:rsidR="00A7536E" w:rsidRPr="00036EE3" w:rsidRDefault="00A7536E" w:rsidP="00A7536E">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A7536E" w:rsidRPr="00756B4D" w:rsidTr="007E5FC8">
        <w:tc>
          <w:tcPr>
            <w:tcW w:w="9360" w:type="dxa"/>
          </w:tcPr>
          <w:p w:rsidR="00A7536E" w:rsidRPr="00756B4D" w:rsidRDefault="00A7536E" w:rsidP="007E5FC8">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A7536E" w:rsidRPr="00756B4D" w:rsidRDefault="00A7536E" w:rsidP="00A7536E">
      <w:pPr>
        <w:spacing w:before="0"/>
        <w:jc w:val="center"/>
        <w:rPr>
          <w:sz w:val="22"/>
        </w:rPr>
      </w:pPr>
    </w:p>
    <w:p w:rsidR="00A7536E" w:rsidRPr="00614CC6" w:rsidRDefault="00A7536E" w:rsidP="00A7536E">
      <w:pPr>
        <w:spacing w:before="100"/>
        <w:jc w:val="right"/>
        <w:rPr>
          <w:i/>
          <w:iCs/>
          <w:sz w:val="20"/>
        </w:rPr>
      </w:pPr>
      <w:r w:rsidRPr="00614CC6">
        <w:rPr>
          <w:i/>
          <w:iCs/>
          <w:sz w:val="20"/>
        </w:rPr>
        <w:t>Publication électronique</w:t>
      </w:r>
    </w:p>
    <w:p w:rsidR="00A7536E" w:rsidRPr="00614CC6" w:rsidRDefault="00A7536E" w:rsidP="00A7536E">
      <w:pPr>
        <w:spacing w:before="0"/>
        <w:jc w:val="right"/>
        <w:rPr>
          <w:sz w:val="20"/>
        </w:rPr>
      </w:pPr>
      <w:r w:rsidRPr="00614CC6">
        <w:rPr>
          <w:sz w:val="20"/>
        </w:rPr>
        <w:t>Genève, 20</w:t>
      </w:r>
      <w:r>
        <w:rPr>
          <w:sz w:val="20"/>
        </w:rPr>
        <w:t>12</w:t>
      </w:r>
    </w:p>
    <w:p w:rsidR="00A7536E" w:rsidRPr="00614CC6" w:rsidRDefault="00A7536E" w:rsidP="00A7536E">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12</w:t>
      </w:r>
    </w:p>
    <w:p w:rsidR="00A7536E" w:rsidRPr="00614CC6" w:rsidRDefault="00A7536E" w:rsidP="00A7536E">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A7536E" w:rsidRPr="00614CC6" w:rsidRDefault="00A7536E" w:rsidP="00A7536E">
      <w:pPr>
        <w:spacing w:before="160"/>
        <w:rPr>
          <w:i/>
          <w:sz w:val="20"/>
          <w:highlight w:val="yellow"/>
        </w:rPr>
        <w:sectPr w:rsidR="00A7536E"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A7536E" w:rsidRPr="00756B4D" w:rsidRDefault="00A7536E" w:rsidP="00382656">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SF</w:t>
      </w:r>
      <w:r w:rsidRPr="00756B4D">
        <w:rPr>
          <w:rStyle w:val="href"/>
        </w:rPr>
        <w:t>.</w:t>
      </w:r>
      <w:r w:rsidR="00382656">
        <w:rPr>
          <w:rStyle w:val="href"/>
        </w:rPr>
        <w:t>675-4</w:t>
      </w:r>
    </w:p>
    <w:p w:rsidR="00382656" w:rsidRPr="000A7987" w:rsidRDefault="00382656" w:rsidP="00382656">
      <w:pPr>
        <w:pStyle w:val="Rectitle"/>
      </w:pPr>
      <w:r w:rsidRPr="000A7987">
        <w:t>Calcul de la densité maximale de puissance (moyennée sur 4 kHz ou 1 MHz) de porteuses à modulation angulaire et numériques</w:t>
      </w:r>
    </w:p>
    <w:p w:rsidR="00382656" w:rsidRPr="000A7987" w:rsidRDefault="00382656" w:rsidP="00382656">
      <w:pPr>
        <w:pStyle w:val="Recdate"/>
      </w:pPr>
      <w:r w:rsidRPr="000A7987">
        <w:t>(1990-1992-1993-1994-2012)</w:t>
      </w:r>
    </w:p>
    <w:p w:rsidR="00382656" w:rsidRPr="007A62C6" w:rsidRDefault="00382656" w:rsidP="00884ACC">
      <w:pPr>
        <w:pStyle w:val="HeadingSum"/>
        <w:rPr>
          <w:lang w:val="fr-CH"/>
        </w:rPr>
      </w:pPr>
      <w:r w:rsidRPr="007A62C6">
        <w:rPr>
          <w:lang w:val="fr-CH" w:eastAsia="ko-KR"/>
        </w:rPr>
        <w:t>Domaine d'application</w:t>
      </w:r>
    </w:p>
    <w:p w:rsidR="00382656" w:rsidRPr="000A7987" w:rsidRDefault="00382656" w:rsidP="00382656">
      <w:pPr>
        <w:pStyle w:val="Summary"/>
        <w:rPr>
          <w:lang w:val="fr-FR"/>
        </w:rPr>
      </w:pPr>
      <w:r w:rsidRPr="000A7987">
        <w:rPr>
          <w:lang w:val="fr-FR"/>
        </w:rPr>
        <w:t xml:space="preserve">La présente </w:t>
      </w:r>
      <w:r w:rsidRPr="000A7987">
        <w:rPr>
          <w:lang w:val="fr-FR" w:eastAsia="ko-KR"/>
        </w:rPr>
        <w:t>Recommandation décrit des méthodes de calcul de la densité maximale de puissance de divers types de porteuses moyennée sur 4 kHz ou 1 MHz.</w:t>
      </w:r>
    </w:p>
    <w:p w:rsidR="00382656" w:rsidRPr="000A7987" w:rsidRDefault="00382656" w:rsidP="00AA3F7B">
      <w:pPr>
        <w:pStyle w:val="Normalaftertitle"/>
      </w:pPr>
      <w:r w:rsidRPr="000A7987">
        <w:t>L'Assemblée des radiocommunications de l'UIT,</w:t>
      </w:r>
    </w:p>
    <w:p w:rsidR="00382656" w:rsidRPr="000A7987" w:rsidRDefault="00382656" w:rsidP="00AA3F7B">
      <w:pPr>
        <w:pStyle w:val="Call"/>
      </w:pPr>
      <w:r w:rsidRPr="000A7987">
        <w:t>considérant</w:t>
      </w:r>
    </w:p>
    <w:p w:rsidR="00382656" w:rsidRPr="000A7987" w:rsidRDefault="00382656" w:rsidP="00382656">
      <w:r w:rsidRPr="000A7987">
        <w:t>a)</w:t>
      </w:r>
      <w:r w:rsidRPr="000A7987">
        <w:tab/>
        <w:t>que les administrations sont invitées à préparer les renseignements énumérés dans les Appendices 3 et 4 du Règlement des radiocommunications (RR) aux fins de coordination et de notification;</w:t>
      </w:r>
    </w:p>
    <w:p w:rsidR="00382656" w:rsidRPr="000A7987" w:rsidRDefault="00382656" w:rsidP="00382656">
      <w:r w:rsidRPr="000A7987">
        <w:t>b)</w:t>
      </w:r>
      <w:r w:rsidRPr="000A7987">
        <w:tab/>
        <w:t>que la densité maximale de puissance par Hz à l'entrée de l'antenne est l'un des renseignements énumérés dans les Appendices 3 et 4 du RR;</w:t>
      </w:r>
    </w:p>
    <w:p w:rsidR="00382656" w:rsidRPr="000A7987" w:rsidRDefault="00382656" w:rsidP="00382656">
      <w:r w:rsidRPr="000A7987">
        <w:t>c)</w:t>
      </w:r>
      <w:r w:rsidRPr="000A7987">
        <w:tab/>
        <w:t>que, conformément à l'Appendice 4 du RR, la densité maximale de puissance par Hz d'une porteuse doit être moyennée sur la bande de 4 kHz la plus défavorable pour les fréquences inférieures à 15 GHz et sur la bande de 1 MHz la plus défavorable pour les fréquences supérieures à 15 GHz;</w:t>
      </w:r>
    </w:p>
    <w:p w:rsidR="00382656" w:rsidRPr="000A7987" w:rsidRDefault="00382656" w:rsidP="00382656">
      <w:r w:rsidRPr="000A7987">
        <w:t>d)</w:t>
      </w:r>
      <w:r w:rsidRPr="000A7987">
        <w:tab/>
        <w:t>qu'il est nécessaire de disposer de méthodes généralisées pour calculer la densité maximale de puissance d'une porteuse à modulation angulaire;</w:t>
      </w:r>
    </w:p>
    <w:p w:rsidR="00382656" w:rsidRPr="000A7987" w:rsidRDefault="00382656" w:rsidP="00382656">
      <w:r w:rsidRPr="000A7987">
        <w:t>e)</w:t>
      </w:r>
      <w:r w:rsidRPr="000A7987">
        <w:tab/>
        <w:t>que les porteuses de poursuite, télémesure et télécommande (TT&amp;C) ont généralement des caractéristiques de modulation, et par conséquent des caractéristiques de densité spectrale, différentes de celles des autres types de porteuses,</w:t>
      </w:r>
    </w:p>
    <w:p w:rsidR="00382656" w:rsidRPr="000A7987" w:rsidRDefault="00382656" w:rsidP="00AA3F7B">
      <w:pPr>
        <w:pStyle w:val="Call"/>
      </w:pPr>
      <w:r w:rsidRPr="000A7987">
        <w:t>recommande</w:t>
      </w:r>
    </w:p>
    <w:p w:rsidR="00382656" w:rsidRPr="000A7987" w:rsidRDefault="00382656" w:rsidP="00382656">
      <w:r w:rsidRPr="000A7987">
        <w:rPr>
          <w:b/>
          <w:bCs/>
        </w:rPr>
        <w:t>1</w:t>
      </w:r>
      <w:r w:rsidRPr="000A7987">
        <w:tab/>
        <w:t>d'utiliser les méthodes décrites dans l'Annexe 1 pour calculer la densité maximale de puissance, moyennée sur 4 kHz, de porteuses à modulation angulaire, numériques ou de poursuite, télémesure et télécommande</w:t>
      </w:r>
      <w:r>
        <w:t xml:space="preserve"> (TT&amp;C)</w:t>
      </w:r>
      <w:r w:rsidRPr="000A7987">
        <w:t>;</w:t>
      </w:r>
    </w:p>
    <w:p w:rsidR="00382656" w:rsidRPr="000A7987" w:rsidRDefault="00382656" w:rsidP="00382656">
      <w:r w:rsidRPr="000A7987">
        <w:rPr>
          <w:b/>
        </w:rPr>
        <w:t>2</w:t>
      </w:r>
      <w:r w:rsidRPr="000A7987">
        <w:tab/>
        <w:t>d'utiliser les méthodes décrites dans l'Annexe 2 pour calculer la densité maximale de puissance, moyennée sur 1 MHz, de porteuses numériques ou TT&amp;C;</w:t>
      </w:r>
    </w:p>
    <w:p w:rsidR="00382656" w:rsidRPr="000A7987" w:rsidRDefault="00382656" w:rsidP="00382656">
      <w:r w:rsidRPr="000A7987">
        <w:rPr>
          <w:b/>
          <w:bCs/>
        </w:rPr>
        <w:t>3</w:t>
      </w:r>
      <w:r w:rsidRPr="000A7987">
        <w:tab/>
      </w:r>
      <w:r>
        <w:t>lors de la détermination de</w:t>
      </w:r>
      <w:r w:rsidRPr="000A7987">
        <w:t xml:space="preserve"> la densité spectrale maximale de puissance, en accord avec les autres administrations concernées, de respecter les objectifs de la Résolution 703 (Rév.CMR-07).</w:t>
      </w:r>
    </w:p>
    <w:p w:rsidR="00382656" w:rsidRPr="000A7987" w:rsidRDefault="00382656" w:rsidP="00382656"/>
    <w:p w:rsidR="00382656" w:rsidRPr="000A7987" w:rsidRDefault="00382656" w:rsidP="00382656"/>
    <w:p w:rsidR="00382656" w:rsidRPr="000A7987" w:rsidRDefault="00382656" w:rsidP="00382656">
      <w:pPr>
        <w:pStyle w:val="AnnexNoTitle"/>
      </w:pPr>
      <w:r w:rsidRPr="000A7987">
        <w:lastRenderedPageBreak/>
        <w:t>Annexe 1</w:t>
      </w:r>
      <w:r w:rsidRPr="000A7987">
        <w:br/>
      </w:r>
      <w:r w:rsidRPr="000A7987">
        <w:br/>
        <w:t>Calcul de la densité maximale de puissance (moyennée sur 4 kHz) d'une porteuse à modulation angulaire</w:t>
      </w:r>
    </w:p>
    <w:p w:rsidR="00382656" w:rsidRPr="000A7987" w:rsidRDefault="00382656" w:rsidP="00AA3F7B">
      <w:pPr>
        <w:pStyle w:val="Normalaftertitle"/>
      </w:pPr>
      <w:r w:rsidRPr="000A7987">
        <w:t>On trouvera ci-dessous la description de la méthode de calcul du niveau de puissance dans la bande de 4 kHz la plus défavorable (W/4 kHz). On obtient la densité de puissance par Hz demandée dans le RR en divisant cette valeur par 4</w:t>
      </w:r>
      <w:r w:rsidRPr="000A7987">
        <w:rPr>
          <w:rFonts w:ascii="Tms Rmn" w:hAnsi="Tms Rmn"/>
          <w:sz w:val="12"/>
        </w:rPr>
        <w:t> </w:t>
      </w:r>
      <w:r w:rsidRPr="000A7987">
        <w:t>000.</w:t>
      </w:r>
    </w:p>
    <w:p w:rsidR="00382656" w:rsidRPr="000A7987" w:rsidRDefault="00382656" w:rsidP="001018EA">
      <w:pPr>
        <w:pStyle w:val="Heading1"/>
      </w:pPr>
      <w:r w:rsidRPr="000A7987">
        <w:t>1</w:t>
      </w:r>
      <w:r w:rsidRPr="000A7987">
        <w:tab/>
        <w:t>Porteuse modulée en fréquence (MF)</w:t>
      </w:r>
    </w:p>
    <w:p w:rsidR="00382656" w:rsidRPr="000A7987" w:rsidRDefault="00382656" w:rsidP="001018EA">
      <w:pPr>
        <w:pStyle w:val="Heading2"/>
      </w:pPr>
      <w:r w:rsidRPr="000A7987">
        <w:t>1.1</w:t>
      </w:r>
      <w:r w:rsidRPr="000A7987">
        <w:tab/>
        <w:t>Porteuse MF modulée par un signal de téléphonie multivoie</w:t>
      </w:r>
    </w:p>
    <w:p w:rsidR="00382656" w:rsidRPr="000A7987" w:rsidRDefault="00382656" w:rsidP="001018EA">
      <w:r w:rsidRPr="000A7987">
        <w:t>La densité spectrale maximale de puissance, lorsque la bande de base est à pleine charge, est déterminée par la porteuse résiduelle ou par les crêtes du spectre continu, selon la nature de la modulation.</w:t>
      </w:r>
    </w:p>
    <w:p w:rsidR="00382656" w:rsidRPr="000A7987" w:rsidRDefault="00382656" w:rsidP="00382656">
      <w:r w:rsidRPr="000A7987">
        <w:t>La puissance de la porteuse résiduelle est donnée par l'expression:</w:t>
      </w:r>
    </w:p>
    <w:p w:rsidR="00382656" w:rsidRPr="000A7987" w:rsidRDefault="00382656" w:rsidP="00382656">
      <w:pPr>
        <w:pStyle w:val="Equation"/>
      </w:pPr>
      <w:bookmarkStart w:id="3" w:name="f001"/>
      <w:r w:rsidRPr="000A7987">
        <w:rPr>
          <w:b/>
        </w:rPr>
        <w:tab/>
      </w:r>
      <w:r w:rsidRPr="000A7987">
        <w:rPr>
          <w:i/>
        </w:rPr>
        <w:tab/>
      </w:r>
      <w:r w:rsidRPr="000A7987">
        <w:fldChar w:fldCharType="begin"/>
      </w:r>
      <w:r w:rsidRPr="000A7987">
        <w:instrText xml:space="preserve">eq </w:instrText>
      </w:r>
      <w:r w:rsidRPr="000A7987">
        <w:rPr>
          <w:i/>
        </w:rPr>
        <w:instrText>P</w:instrText>
      </w:r>
      <w:r w:rsidRPr="000A7987">
        <w:rPr>
          <w:i/>
          <w:position w:val="-4"/>
          <w:sz w:val="18"/>
        </w:rPr>
        <w:instrText>t</w:instrText>
      </w:r>
      <w:r w:rsidRPr="000A7987">
        <w:instrText xml:space="preserve">  </w:instrText>
      </w:r>
      <w:r w:rsidRPr="000A7987">
        <w:rPr>
          <w:rFonts w:ascii="Symbol" w:hAnsi="Symbol"/>
        </w:rPr>
        <w:instrText>×</w:instrText>
      </w:r>
      <w:r w:rsidRPr="000A7987">
        <w:instrText xml:space="preserve">  e\s\up4(</w:instrText>
      </w:r>
      <w:r w:rsidRPr="000A7987">
        <w:rPr>
          <w:sz w:val="18"/>
        </w:rPr>
        <w:instrText>–</w:instrText>
      </w:r>
      <w:r w:rsidRPr="000A7987">
        <w:rPr>
          <w:rFonts w:ascii="Symbol" w:hAnsi="Symbol"/>
          <w:sz w:val="18"/>
        </w:rPr>
        <w:instrText>y</w:instrText>
      </w:r>
      <w:r w:rsidRPr="000A7987">
        <w:instrText>)\s\up2(</w:instrText>
      </w:r>
      <w:r w:rsidRPr="000A7987">
        <w:rPr>
          <w:rFonts w:ascii="Symbol" w:hAnsi="Symbol"/>
          <w:sz w:val="18"/>
        </w:rPr>
        <w:instrText>0</w:instrText>
      </w:r>
      <w:r w:rsidRPr="000A7987">
        <w:rPr>
          <w:rFonts w:ascii="Symbol" w:hAnsi="Symbol"/>
        </w:rPr>
        <w:instrText>)</w:instrText>
      </w:r>
      <w:r w:rsidRPr="000A7987">
        <w:rPr>
          <w:color w:val="FFFFFF"/>
        </w:rPr>
        <w:instrText>mmmmmm</w:instrText>
      </w:r>
      <w:r w:rsidRPr="000A7987">
        <w:instrText>W</w:instrText>
      </w:r>
      <w:r w:rsidRPr="000A7987">
        <w:fldChar w:fldCharType="end"/>
      </w:r>
      <w:r w:rsidRPr="000A7987">
        <w:tab/>
        <w:t>(1)</w:t>
      </w:r>
      <w:bookmarkEnd w:id="3"/>
    </w:p>
    <w:p w:rsidR="00382656" w:rsidRPr="000A7987" w:rsidRDefault="00382656" w:rsidP="00382656">
      <w:r w:rsidRPr="000A7987">
        <w:t>où:</w:t>
      </w:r>
    </w:p>
    <w:p w:rsidR="00382656" w:rsidRPr="000A7987" w:rsidRDefault="00382656" w:rsidP="00382656">
      <w:pPr>
        <w:pStyle w:val="Equation"/>
      </w:pPr>
      <w:bookmarkStart w:id="4" w:name="F002"/>
      <w:r w:rsidRPr="000A7987">
        <w:rPr>
          <w:b/>
        </w:rPr>
        <w:tab/>
      </w:r>
      <w:r w:rsidRPr="000A7987">
        <w:tab/>
      </w:r>
      <w:r w:rsidRPr="000A7987">
        <w:rPr>
          <w:position w:val="-28"/>
        </w:rPr>
        <w:object w:dxaOrig="372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95pt;height:36.3pt" o:ole="">
            <v:imagedata r:id="rId13" o:title=""/>
          </v:shape>
          <o:OLEObject Type="Embed" ProgID="Equation.3" ShapeID="_x0000_i1025" DrawAspect="Content" ObjectID="_1402143845" r:id="rId14"/>
        </w:object>
      </w:r>
      <w:r w:rsidRPr="000A7987">
        <w:tab/>
        <w:t>(2)</w:t>
      </w:r>
      <w:bookmarkEnd w:id="4"/>
    </w:p>
    <w:p w:rsidR="00382656" w:rsidRPr="000A7987" w:rsidRDefault="00382656" w:rsidP="00382656">
      <w:r w:rsidRPr="000A7987">
        <w:t>Dans l'expression (2),</w:t>
      </w:r>
      <w:r w:rsidRPr="000A7987">
        <w:rPr>
          <w:i/>
        </w:rPr>
        <w:t xml:space="preserve"> m</w:t>
      </w:r>
      <w:r w:rsidRPr="000A7987">
        <w:t xml:space="preserve"> est l'indice de modulation multivoie quadratique moyen et</w:t>
      </w:r>
      <w:r w:rsidRPr="000A7987">
        <w:rPr>
          <w:i/>
        </w:rPr>
        <w:t xml:space="preserve"> C</w:t>
      </w:r>
      <w:r w:rsidRPr="000A7987">
        <w:rPr>
          <w:position w:val="-4"/>
          <w:sz w:val="16"/>
        </w:rPr>
        <w:t>0</w:t>
      </w:r>
      <w:r w:rsidRPr="000A7987">
        <w:t>,</w:t>
      </w:r>
      <w:r w:rsidRPr="000A7987">
        <w:rPr>
          <w:i/>
        </w:rPr>
        <w:t xml:space="preserve"> C</w:t>
      </w:r>
      <w:r w:rsidRPr="000A7987">
        <w:rPr>
          <w:position w:val="-4"/>
          <w:sz w:val="16"/>
        </w:rPr>
        <w:t>2</w:t>
      </w:r>
      <w:r w:rsidRPr="000A7987">
        <w:t xml:space="preserve"> et</w:t>
      </w:r>
      <w:r w:rsidRPr="000A7987">
        <w:rPr>
          <w:i/>
        </w:rPr>
        <w:t xml:space="preserve"> C</w:t>
      </w:r>
      <w:r w:rsidRPr="000A7987">
        <w:rPr>
          <w:position w:val="-4"/>
          <w:sz w:val="16"/>
        </w:rPr>
        <w:t>4</w:t>
      </w:r>
      <w:r w:rsidRPr="000A7987">
        <w:t xml:space="preserve"> sont les coefficients caractérisant la préaccentuation utilisée qui est donnée par l'expression générale suivante:</w:t>
      </w:r>
    </w:p>
    <w:p w:rsidR="00382656" w:rsidRPr="000A7987" w:rsidRDefault="00382656" w:rsidP="00382656">
      <w:pPr>
        <w:pStyle w:val="Equation"/>
      </w:pPr>
      <w:bookmarkStart w:id="5" w:name="F003"/>
      <w:r w:rsidRPr="000A7987">
        <w:tab/>
      </w:r>
      <w:r w:rsidRPr="000A7987">
        <w:tab/>
      </w:r>
      <w:r w:rsidRPr="000A7987">
        <w:rPr>
          <w:i/>
        </w:rPr>
        <w:t>p</w:t>
      </w:r>
      <w:r w:rsidRPr="000A7987">
        <w:t>(</w:t>
      </w:r>
      <w:r w:rsidRPr="000A7987">
        <w:rPr>
          <w:rFonts w:ascii="Symbol" w:hAnsi="Symbol"/>
        </w:rPr>
        <w:t></w:t>
      </w:r>
      <w:r w:rsidRPr="000A7987">
        <w:t>/</w:t>
      </w:r>
      <w:r w:rsidRPr="000A7987">
        <w:rPr>
          <w:rFonts w:ascii="Symbol" w:hAnsi="Symbol"/>
        </w:rPr>
        <w:t></w:t>
      </w:r>
      <w:r w:rsidRPr="000A7987">
        <w:rPr>
          <w:i/>
          <w:position w:val="-4"/>
          <w:sz w:val="18"/>
        </w:rPr>
        <w:t>h</w:t>
      </w:r>
      <w:r w:rsidRPr="000A7987">
        <w:t xml:space="preserve">)  </w:t>
      </w:r>
      <w:r w:rsidRPr="000A7987">
        <w:rPr>
          <w:rFonts w:ascii="Symbol" w:hAnsi="Symbol"/>
        </w:rPr>
        <w:t></w:t>
      </w:r>
      <w:r w:rsidRPr="000A7987">
        <w:t xml:space="preserve"> </w:t>
      </w:r>
      <w:r w:rsidRPr="000A7987">
        <w:rPr>
          <w:i/>
        </w:rPr>
        <w:t xml:space="preserve"> C</w:t>
      </w:r>
      <w:r w:rsidRPr="000A7987">
        <w:rPr>
          <w:position w:val="-4"/>
          <w:sz w:val="18"/>
        </w:rPr>
        <w:t>0</w:t>
      </w:r>
      <w:r w:rsidRPr="000A7987">
        <w:t xml:space="preserve">  </w:t>
      </w:r>
      <w:r w:rsidRPr="000A7987">
        <w:rPr>
          <w:rFonts w:ascii="Symbol" w:hAnsi="Symbol"/>
        </w:rPr>
        <w:t></w:t>
      </w:r>
      <w:r w:rsidRPr="000A7987">
        <w:t xml:space="preserve">  </w:t>
      </w:r>
      <w:r w:rsidRPr="000A7987">
        <w:rPr>
          <w:i/>
        </w:rPr>
        <w:t>C</w:t>
      </w:r>
      <w:r w:rsidRPr="000A7987">
        <w:rPr>
          <w:position w:val="-4"/>
          <w:sz w:val="18"/>
        </w:rPr>
        <w:t>2</w:t>
      </w:r>
      <w:r w:rsidRPr="000A7987">
        <w:t>(</w:t>
      </w:r>
      <w:r w:rsidRPr="000A7987">
        <w:rPr>
          <w:rFonts w:ascii="Symbol" w:hAnsi="Symbol"/>
        </w:rPr>
        <w:t></w:t>
      </w:r>
      <w:r w:rsidRPr="000A7987">
        <w:t>/</w:t>
      </w:r>
      <w:r w:rsidRPr="000A7987">
        <w:rPr>
          <w:rFonts w:ascii="Symbol" w:hAnsi="Symbol"/>
        </w:rPr>
        <w:t></w:t>
      </w:r>
      <w:r w:rsidRPr="000A7987">
        <w:rPr>
          <w:i/>
          <w:position w:val="-4"/>
          <w:sz w:val="18"/>
        </w:rPr>
        <w:t>h</w:t>
      </w:r>
      <w:r w:rsidRPr="000A7987">
        <w:t>)</w:t>
      </w:r>
      <w:r w:rsidRPr="000A7987">
        <w:rPr>
          <w:position w:val="6"/>
          <w:sz w:val="18"/>
        </w:rPr>
        <w:t>2</w:t>
      </w:r>
      <w:r w:rsidRPr="000A7987">
        <w:t xml:space="preserve">  </w:t>
      </w:r>
      <w:r w:rsidRPr="000A7987">
        <w:rPr>
          <w:rFonts w:ascii="Symbol" w:hAnsi="Symbol"/>
        </w:rPr>
        <w:t></w:t>
      </w:r>
      <w:r w:rsidRPr="000A7987">
        <w:t xml:space="preserve"> </w:t>
      </w:r>
      <w:r w:rsidRPr="000A7987">
        <w:rPr>
          <w:i/>
        </w:rPr>
        <w:t xml:space="preserve"> C</w:t>
      </w:r>
      <w:r w:rsidRPr="000A7987">
        <w:rPr>
          <w:position w:val="-4"/>
          <w:sz w:val="18"/>
        </w:rPr>
        <w:t>4</w:t>
      </w:r>
      <w:r w:rsidRPr="000A7987">
        <w:t>(</w:t>
      </w:r>
      <w:r w:rsidRPr="000A7987">
        <w:rPr>
          <w:rFonts w:ascii="Symbol" w:hAnsi="Symbol"/>
        </w:rPr>
        <w:t></w:t>
      </w:r>
      <w:r w:rsidRPr="000A7987">
        <w:t>/</w:t>
      </w:r>
      <w:r w:rsidRPr="000A7987">
        <w:rPr>
          <w:rFonts w:ascii="Symbol" w:hAnsi="Symbol"/>
        </w:rPr>
        <w:t></w:t>
      </w:r>
      <w:r w:rsidRPr="000A7987">
        <w:rPr>
          <w:i/>
          <w:position w:val="-4"/>
          <w:sz w:val="18"/>
        </w:rPr>
        <w:t>h</w:t>
      </w:r>
      <w:r w:rsidRPr="000A7987">
        <w:t>)</w:t>
      </w:r>
      <w:r w:rsidRPr="000A7987">
        <w:rPr>
          <w:position w:val="6"/>
          <w:sz w:val="18"/>
        </w:rPr>
        <w:t>4</w:t>
      </w:r>
      <w:r w:rsidRPr="000A7987">
        <w:rPr>
          <w:position w:val="6"/>
        </w:rPr>
        <w:tab/>
      </w:r>
      <w:r w:rsidRPr="000A7987">
        <w:t>(3)</w:t>
      </w:r>
      <w:bookmarkEnd w:id="5"/>
    </w:p>
    <w:p w:rsidR="00382656" w:rsidRPr="000A7987" w:rsidRDefault="00382656" w:rsidP="00382656">
      <w:r w:rsidRPr="000A7987">
        <w:t xml:space="preserve">Dans cette expression, </w:t>
      </w:r>
      <w:r w:rsidRPr="000A7987">
        <w:rPr>
          <w:rFonts w:ascii="Symbol" w:hAnsi="Symbol"/>
        </w:rPr>
        <w:t></w:t>
      </w:r>
      <w:r w:rsidRPr="000A7987">
        <w:t xml:space="preserve"> est la fréquence spécifique en bande de base prise en compte. Cette fréquence doit être exprimée dans la même unité que</w:t>
      </w:r>
      <w:r w:rsidRPr="000A7987">
        <w:rPr>
          <w:i/>
        </w:rPr>
        <w:t xml:space="preserve"> </w:t>
      </w:r>
      <w:r w:rsidRPr="000A7987">
        <w:rPr>
          <w:rFonts w:ascii="Symbol" w:hAnsi="Symbol"/>
        </w:rPr>
        <w:t></w:t>
      </w:r>
      <w:r w:rsidRPr="000A7987">
        <w:rPr>
          <w:i/>
          <w:position w:val="-4"/>
          <w:sz w:val="16"/>
        </w:rPr>
        <w:t>h</w:t>
      </w:r>
      <w:r w:rsidRPr="000A7987">
        <w:t xml:space="preserve">. Pour </w:t>
      </w:r>
      <w:r w:rsidRPr="000A7987">
        <w:rPr>
          <w:rFonts w:ascii="Symbol" w:hAnsi="Symbol"/>
        </w:rPr>
        <w:t></w:t>
      </w:r>
      <w:r w:rsidRPr="000A7987">
        <w:rPr>
          <w:sz w:val="12"/>
        </w:rPr>
        <w:t>  </w:t>
      </w:r>
      <w:r w:rsidRPr="000A7987">
        <w:rPr>
          <w:rFonts w:ascii="Symbol" w:hAnsi="Symbol"/>
        </w:rPr>
        <w:t></w:t>
      </w:r>
      <w:r w:rsidRPr="000A7987">
        <w:t> </w:t>
      </w:r>
      <w:r w:rsidRPr="000A7987">
        <w:rPr>
          <w:sz w:val="12"/>
        </w:rPr>
        <w:t> </w:t>
      </w:r>
      <w:r w:rsidRPr="000A7987">
        <w:rPr>
          <w:rFonts w:ascii="Symbol" w:hAnsi="Symbol"/>
        </w:rPr>
        <w:t></w:t>
      </w:r>
      <w:r w:rsidRPr="000A7987">
        <w:t>/</w:t>
      </w:r>
      <w:r w:rsidRPr="000A7987">
        <w:rPr>
          <w:rFonts w:ascii="Symbol" w:hAnsi="Symbol"/>
        </w:rPr>
        <w:t></w:t>
      </w:r>
      <w:r w:rsidRPr="000A7987">
        <w:rPr>
          <w:i/>
          <w:position w:val="-4"/>
          <w:sz w:val="16"/>
        </w:rPr>
        <w:t>h</w:t>
      </w:r>
      <w:r w:rsidRPr="000A7987">
        <w:rPr>
          <w:position w:val="-3"/>
          <w:sz w:val="12"/>
        </w:rPr>
        <w:t>  </w:t>
      </w:r>
      <w:r w:rsidRPr="000A7987">
        <w:rPr>
          <w:rFonts w:ascii="Symbol" w:hAnsi="Symbol"/>
        </w:rPr>
        <w:t></w:t>
      </w:r>
      <w:r w:rsidRPr="000A7987">
        <w:rPr>
          <w:sz w:val="12"/>
        </w:rPr>
        <w:t>  </w:t>
      </w:r>
      <w:r w:rsidRPr="000A7987">
        <w:t>1, une bonne approximation de la caractéristique de préaccentuation est donnée par l'expression:</w:t>
      </w:r>
    </w:p>
    <w:p w:rsidR="00382656" w:rsidRPr="000A7987" w:rsidRDefault="00382656" w:rsidP="00382656">
      <w:pPr>
        <w:pStyle w:val="Equation"/>
      </w:pPr>
      <w:bookmarkStart w:id="6" w:name="F004"/>
      <w:r w:rsidRPr="000A7987">
        <w:tab/>
      </w:r>
      <w:r w:rsidRPr="000A7987">
        <w:tab/>
      </w:r>
      <w:r w:rsidRPr="000A7987">
        <w:fldChar w:fldCharType="begin"/>
      </w:r>
      <w:r w:rsidRPr="000A7987">
        <w:instrText xml:space="preserve">eq </w:instrText>
      </w:r>
      <w:r w:rsidRPr="000A7987">
        <w:rPr>
          <w:i/>
        </w:rPr>
        <w:instrText>p</w:instrText>
      </w:r>
      <w:r w:rsidRPr="000A7987">
        <w:instrText>(</w:instrText>
      </w:r>
      <w:r w:rsidRPr="000A7987">
        <w:rPr>
          <w:rFonts w:ascii="Symbol" w:hAnsi="Symbol"/>
        </w:rPr>
        <w:instrText>¦</w:instrText>
      </w:r>
      <w:r w:rsidRPr="000A7987">
        <w:instrText>/</w:instrText>
      </w:r>
      <w:r w:rsidRPr="000A7987">
        <w:rPr>
          <w:rFonts w:ascii="Symbol" w:hAnsi="Symbol"/>
        </w:rPr>
        <w:instrText>¦</w:instrText>
      </w:r>
      <w:r w:rsidRPr="000A7987">
        <w:rPr>
          <w:i/>
          <w:position w:val="-4"/>
          <w:sz w:val="18"/>
        </w:rPr>
        <w:instrText>h</w:instrText>
      </w:r>
      <w:r w:rsidRPr="000A7987">
        <w:instrText xml:space="preserve">)  </w:instrText>
      </w:r>
      <w:r w:rsidRPr="000A7987">
        <w:rPr>
          <w:rFonts w:ascii="Symbol" w:hAnsi="Symbol"/>
        </w:rPr>
        <w:instrText>=</w:instrText>
      </w:r>
      <w:r w:rsidRPr="000A7987">
        <w:instrText xml:space="preserve">  0,4  </w:instrText>
      </w:r>
      <w:r w:rsidRPr="000A7987">
        <w:rPr>
          <w:rFonts w:ascii="Symbol" w:hAnsi="Symbol"/>
        </w:rPr>
        <w:instrText>+</w:instrText>
      </w:r>
      <w:r w:rsidRPr="000A7987">
        <w:instrText xml:space="preserve">  1,35(</w:instrText>
      </w:r>
      <w:r w:rsidRPr="000A7987">
        <w:rPr>
          <w:rFonts w:ascii="Symbol" w:hAnsi="Symbol"/>
        </w:rPr>
        <w:instrText>¦</w:instrText>
      </w:r>
      <w:r w:rsidRPr="000A7987">
        <w:instrText>/</w:instrText>
      </w:r>
      <w:r w:rsidRPr="000A7987">
        <w:rPr>
          <w:rFonts w:ascii="Symbol" w:hAnsi="Symbol"/>
        </w:rPr>
        <w:instrText>¦</w:instrText>
      </w:r>
      <w:r w:rsidRPr="000A7987">
        <w:rPr>
          <w:i/>
          <w:position w:val="-3"/>
          <w:sz w:val="16"/>
        </w:rPr>
        <w:instrText>h</w:instrText>
      </w:r>
      <w:r w:rsidRPr="000A7987">
        <w:instrText>)</w:instrText>
      </w:r>
      <w:r w:rsidRPr="000A7987">
        <w:rPr>
          <w:position w:val="6"/>
          <w:sz w:val="18"/>
        </w:rPr>
        <w:instrText>2</w:instrText>
      </w:r>
      <w:r w:rsidRPr="000A7987">
        <w:instrText xml:space="preserve">  </w:instrText>
      </w:r>
      <w:r w:rsidRPr="000A7987">
        <w:rPr>
          <w:rFonts w:ascii="Symbol" w:hAnsi="Symbol"/>
        </w:rPr>
        <w:instrText>+</w:instrText>
      </w:r>
      <w:r w:rsidRPr="000A7987">
        <w:instrText xml:space="preserve">  0,75(</w:instrText>
      </w:r>
      <w:r w:rsidRPr="000A7987">
        <w:rPr>
          <w:rFonts w:ascii="Symbol" w:hAnsi="Symbol"/>
        </w:rPr>
        <w:instrText>¦</w:instrText>
      </w:r>
      <w:r w:rsidRPr="000A7987">
        <w:instrText>/</w:instrText>
      </w:r>
      <w:r w:rsidRPr="000A7987">
        <w:rPr>
          <w:rFonts w:ascii="Symbol" w:hAnsi="Symbol"/>
        </w:rPr>
        <w:instrText>¦</w:instrText>
      </w:r>
      <w:r w:rsidRPr="000A7987">
        <w:rPr>
          <w:i/>
          <w:position w:val="-3"/>
          <w:sz w:val="16"/>
        </w:rPr>
        <w:instrText>h</w:instrText>
      </w:r>
      <w:r w:rsidRPr="000A7987">
        <w:instrText>)</w:instrText>
      </w:r>
      <w:r w:rsidRPr="000A7987">
        <w:rPr>
          <w:position w:val="6"/>
          <w:sz w:val="18"/>
        </w:rPr>
        <w:instrText>4</w:instrText>
      </w:r>
      <w:r w:rsidRPr="000A7987">
        <w:fldChar w:fldCharType="end"/>
      </w:r>
      <w:r w:rsidRPr="000A7987">
        <w:tab/>
        <w:t>(4)</w:t>
      </w:r>
      <w:bookmarkEnd w:id="6"/>
    </w:p>
    <w:p w:rsidR="00382656" w:rsidRPr="000A7987" w:rsidRDefault="00382656" w:rsidP="00382656">
      <w:r w:rsidRPr="000A7987">
        <w:t>Par conséquent, pour un système avec préaccentuation, on a:</w:t>
      </w:r>
    </w:p>
    <w:p w:rsidR="00382656" w:rsidRPr="000A7987" w:rsidRDefault="00382656" w:rsidP="00382656">
      <w:pPr>
        <w:pStyle w:val="Equation"/>
      </w:pPr>
      <w:bookmarkStart w:id="7" w:name="F005"/>
      <w:r w:rsidRPr="000A7987">
        <w:tab/>
      </w:r>
      <w:r w:rsidRPr="000A7987">
        <w:tab/>
      </w:r>
      <w:r w:rsidRPr="000A7987">
        <w:rPr>
          <w:position w:val="-20"/>
        </w:rPr>
        <w:object w:dxaOrig="4820" w:dyaOrig="580">
          <v:shape id="_x0000_i1026" type="#_x0000_t75" style="width:241.05pt;height:28.8pt" o:ole="">
            <v:imagedata r:id="rId15" o:title=""/>
          </v:shape>
          <o:OLEObject Type="Embed" ProgID="Equation" ShapeID="_x0000_i1026" DrawAspect="Content" ObjectID="_1402143846" r:id="rId16"/>
        </w:object>
      </w:r>
      <w:r w:rsidRPr="000A7987">
        <w:tab/>
        <w:t>(5)</w:t>
      </w:r>
      <w:bookmarkEnd w:id="7"/>
    </w:p>
    <w:p w:rsidR="00382656" w:rsidRPr="000A7987" w:rsidRDefault="00382656" w:rsidP="00382656">
      <w:r w:rsidRPr="000A7987">
        <w:t>où</w:t>
      </w:r>
      <w:r w:rsidRPr="000A7987">
        <w:rPr>
          <w:i/>
        </w:rPr>
        <w:t xml:space="preserve"> m</w:t>
      </w:r>
      <w:r w:rsidRPr="000A7987">
        <w:t xml:space="preserve">  </w:t>
      </w:r>
      <w:r w:rsidRPr="000A7987">
        <w:rPr>
          <w:rFonts w:ascii="Symbol" w:hAnsi="Symbol"/>
        </w:rPr>
        <w:t></w:t>
      </w:r>
      <w:r w:rsidRPr="000A7987">
        <w:t xml:space="preserve"> </w:t>
      </w:r>
      <w:r w:rsidRPr="000A7987">
        <w:rPr>
          <w:i/>
        </w:rPr>
        <w:t xml:space="preserve"> </w:t>
      </w:r>
      <w:r w:rsidRPr="000A7987">
        <w:rPr>
          <w:rFonts w:ascii="Symbol" w:hAnsi="Symbol"/>
        </w:rPr>
        <w:t></w:t>
      </w:r>
      <w:r w:rsidRPr="000A7987">
        <w:rPr>
          <w:rFonts w:ascii="Symbol" w:hAnsi="Symbol"/>
          <w:position w:val="-4"/>
          <w:sz w:val="16"/>
        </w:rPr>
        <w:t></w:t>
      </w:r>
      <w:r w:rsidRPr="000A7987">
        <w:t xml:space="preserve"> / </w:t>
      </w:r>
      <w:r w:rsidRPr="000A7987">
        <w:rPr>
          <w:rFonts w:ascii="Symbol" w:hAnsi="Symbol"/>
        </w:rPr>
        <w:t></w:t>
      </w:r>
      <w:r w:rsidRPr="000A7987">
        <w:rPr>
          <w:i/>
          <w:position w:val="-4"/>
          <w:sz w:val="16"/>
        </w:rPr>
        <w:t>h</w:t>
      </w:r>
      <w:r w:rsidRPr="000A7987">
        <w:t>.</w:t>
      </w:r>
    </w:p>
    <w:p w:rsidR="00382656" w:rsidRPr="000A7987" w:rsidRDefault="00382656" w:rsidP="00382656">
      <w:pPr>
        <w:pStyle w:val="Note"/>
      </w:pPr>
      <w:r w:rsidRPr="000A7987">
        <w:rPr>
          <w:iCs/>
        </w:rPr>
        <w:t>NOTE 1</w:t>
      </w:r>
      <w:r w:rsidRPr="000A7987">
        <w:t xml:space="preserve"> – Les administrations sont invitées à fournir des renseignements sur la forme du spectre et la valeur des coefficients utilisés dans les équations (2) et (3), aux fins de coordination détaillée.</w:t>
      </w:r>
    </w:p>
    <w:p w:rsidR="00382656" w:rsidRPr="000A7987" w:rsidRDefault="00382656" w:rsidP="00382656">
      <w:r w:rsidRPr="000A7987">
        <w:t>On peut obtenir, à partir des Fig. 1 et 2, la valeur approchée de la densité spectrale maximale de puissance dans la partie continue du spectre.</w:t>
      </w:r>
    </w:p>
    <w:p w:rsidR="00382656" w:rsidRDefault="001018EA" w:rsidP="001018EA">
      <w:pPr>
        <w:pStyle w:val="FigureNo"/>
      </w:pPr>
      <w:r>
        <w:lastRenderedPageBreak/>
        <w:t>figure 1</w:t>
      </w:r>
    </w:p>
    <w:p w:rsidR="001018EA" w:rsidRPr="001018EA" w:rsidRDefault="001018EA" w:rsidP="001018EA">
      <w:pPr>
        <w:pStyle w:val="Figuretitle"/>
      </w:pPr>
      <w:r>
        <w:t>Densité spectrale maximale d'un signal (partie continue du spectre)</w:t>
      </w:r>
      <w:r>
        <w:br/>
        <w:t>modulé en fréquence par un bruit gaussi</w:t>
      </w:r>
      <w:r w:rsidR="00465C36">
        <w:t>e</w:t>
      </w:r>
      <w:r>
        <w:t>n</w:t>
      </w:r>
    </w:p>
    <w:p w:rsidR="00382656" w:rsidRDefault="00465C36" w:rsidP="00AA3F7B">
      <w:pPr>
        <w:pStyle w:val="Figure"/>
      </w:pPr>
      <w:r>
        <w:object w:dxaOrig="7199" w:dyaOrig="7896">
          <v:shape id="_x0000_i1027" type="#_x0000_t75" style="width:335.6pt;height:368.75pt" o:ole="">
            <v:imagedata r:id="rId17" o:title=""/>
          </v:shape>
          <o:OLEObject Type="Embed" ProgID="CorelDRAW.Graphic.14" ShapeID="_x0000_i1027" DrawAspect="Content" ObjectID="_1402143847" r:id="rId18"/>
        </w:object>
      </w:r>
    </w:p>
    <w:p w:rsidR="001018EA" w:rsidRPr="001018EA" w:rsidRDefault="001018EA" w:rsidP="001018EA"/>
    <w:p w:rsidR="00465C36" w:rsidRDefault="00465C36" w:rsidP="00465C36">
      <w:pPr>
        <w:pStyle w:val="FigureNo"/>
      </w:pPr>
      <w:r>
        <w:lastRenderedPageBreak/>
        <w:t>figure 2</w:t>
      </w:r>
    </w:p>
    <w:p w:rsidR="00465C36" w:rsidRPr="00465C36" w:rsidRDefault="00465C36" w:rsidP="00465C36">
      <w:pPr>
        <w:pStyle w:val="Figuretitle"/>
      </w:pPr>
      <w:r>
        <w:t>Courbe d'égale densité spectrale maximale</w:t>
      </w:r>
      <w:r>
        <w:br/>
        <w:t>(</w:t>
      </w:r>
      <w:r>
        <w:rPr>
          <w:i/>
          <w:iCs/>
        </w:rPr>
        <w:t>V</w:t>
      </w:r>
      <w:r w:rsidRPr="00465C36">
        <w:rPr>
          <w:i/>
          <w:iCs/>
          <w:vertAlign w:val="subscript"/>
        </w:rPr>
        <w:t>max</w:t>
      </w:r>
      <w:r>
        <w:t>) du signal MF-MRF</w:t>
      </w:r>
    </w:p>
    <w:p w:rsidR="00382656" w:rsidRPr="000A7987" w:rsidRDefault="007A62C6" w:rsidP="00AA3F7B">
      <w:pPr>
        <w:pStyle w:val="Figure"/>
      </w:pPr>
      <w:r>
        <w:object w:dxaOrig="6878" w:dyaOrig="5696">
          <v:shape id="_x0000_i1043" type="#_x0000_t75" style="width:331.85pt;height:274.85pt" o:ole="">
            <v:imagedata r:id="rId19" o:title=""/>
          </v:shape>
          <o:OLEObject Type="Embed" ProgID="CorelDRAW.Graphic.14" ShapeID="_x0000_i1043" DrawAspect="Content" ObjectID="_1402143848" r:id="rId20"/>
        </w:object>
      </w:r>
    </w:p>
    <w:p w:rsidR="00382656" w:rsidRPr="000A7987" w:rsidRDefault="00382656" w:rsidP="00465C36">
      <w:pPr>
        <w:pStyle w:val="Normalaftertitle"/>
      </w:pPr>
      <w:r w:rsidRPr="000A7987">
        <w:t>Dans les équations et sur les figures, les symboles ont les significations suivantes:</w:t>
      </w:r>
    </w:p>
    <w:p w:rsidR="00382656" w:rsidRPr="00D6213B" w:rsidRDefault="00465C36" w:rsidP="00465C36">
      <w:pPr>
        <w:pStyle w:val="Equationlegend"/>
        <w:rPr>
          <w:lang w:val="fr-CH"/>
        </w:rPr>
      </w:pPr>
      <w:r w:rsidRPr="00D6213B">
        <w:rPr>
          <w:i/>
          <w:lang w:val="fr-CH"/>
        </w:rPr>
        <w:tab/>
      </w:r>
      <w:r w:rsidR="00382656" w:rsidRPr="00D6213B">
        <w:rPr>
          <w:i/>
          <w:lang w:val="fr-CH"/>
        </w:rPr>
        <w:t>P</w:t>
      </w:r>
      <w:r w:rsidR="00382656" w:rsidRPr="00D6213B">
        <w:rPr>
          <w:i/>
          <w:position w:val="-4"/>
          <w:sz w:val="16"/>
          <w:lang w:val="fr-CH"/>
        </w:rPr>
        <w:t>t</w:t>
      </w:r>
      <w:r w:rsidR="00382656" w:rsidRPr="00D6213B">
        <w:rPr>
          <w:rFonts w:ascii="Tms Rmn" w:hAnsi="Tms Rmn"/>
          <w:sz w:val="12"/>
          <w:lang w:val="fr-CH"/>
        </w:rPr>
        <w:t> </w:t>
      </w:r>
      <w:r w:rsidR="00382656" w:rsidRPr="00D6213B">
        <w:rPr>
          <w:lang w:val="fr-CH"/>
        </w:rPr>
        <w:t>:</w:t>
      </w:r>
      <w:r w:rsidR="00382656" w:rsidRPr="00D6213B">
        <w:rPr>
          <w:lang w:val="fr-CH"/>
        </w:rPr>
        <w:tab/>
      </w:r>
      <w:r w:rsidR="00382656" w:rsidRPr="00D6213B">
        <w:rPr>
          <w:lang w:val="fr-CH"/>
        </w:rPr>
        <w:tab/>
        <w:t>puissance totale de la porteuse (W)</w:t>
      </w:r>
    </w:p>
    <w:p w:rsidR="00382656" w:rsidRPr="00D6213B" w:rsidRDefault="00465C36" w:rsidP="00465C36">
      <w:pPr>
        <w:pStyle w:val="Equationlegend"/>
        <w:rPr>
          <w:lang w:val="fr-CH"/>
        </w:rPr>
      </w:pPr>
      <w:r w:rsidRPr="00D6213B">
        <w:rPr>
          <w:rFonts w:ascii="Symbol" w:hAnsi="Symbol"/>
          <w:lang w:val="fr-CH"/>
        </w:rPr>
        <w:tab/>
      </w:r>
      <w:r w:rsidR="00382656" w:rsidRPr="000A7987">
        <w:rPr>
          <w:rFonts w:ascii="Symbol" w:hAnsi="Symbol"/>
        </w:rPr>
        <w:t></w:t>
      </w:r>
      <w:r w:rsidR="00382656" w:rsidRPr="000A7987">
        <w:rPr>
          <w:rFonts w:ascii="Symbol" w:hAnsi="Symbol"/>
          <w:position w:val="-4"/>
          <w:sz w:val="16"/>
        </w:rPr>
        <w:t></w:t>
      </w:r>
      <w:r w:rsidR="00382656" w:rsidRPr="00D6213B">
        <w:rPr>
          <w:rFonts w:ascii="Tms Rmn" w:hAnsi="Tms Rmn"/>
          <w:position w:val="-4"/>
          <w:sz w:val="12"/>
          <w:lang w:val="fr-CH"/>
        </w:rPr>
        <w:t> </w:t>
      </w:r>
      <w:r w:rsidR="00382656" w:rsidRPr="00D6213B">
        <w:rPr>
          <w:lang w:val="fr-CH"/>
        </w:rPr>
        <w:t>:</w:t>
      </w:r>
      <w:r w:rsidR="00382656" w:rsidRPr="00D6213B">
        <w:rPr>
          <w:rFonts w:ascii="Helvetica" w:hAnsi="Helvetica"/>
          <w:lang w:val="fr-CH"/>
        </w:rPr>
        <w:tab/>
      </w:r>
      <w:r w:rsidR="00382656" w:rsidRPr="00D6213B">
        <w:rPr>
          <w:rFonts w:ascii="Helvetica" w:hAnsi="Helvetica"/>
          <w:lang w:val="fr-CH"/>
        </w:rPr>
        <w:tab/>
      </w:r>
      <w:r w:rsidR="00382656" w:rsidRPr="00D6213B">
        <w:rPr>
          <w:lang w:val="fr-CH"/>
        </w:rPr>
        <w:t>excursion multivoie, valeur quadratique moyenne (Hz)</w:t>
      </w:r>
    </w:p>
    <w:p w:rsidR="00382656" w:rsidRPr="000A7987" w:rsidRDefault="00382656" w:rsidP="00382656">
      <w:pPr>
        <w:pStyle w:val="Equation"/>
        <w:tabs>
          <w:tab w:val="left" w:pos="1474"/>
          <w:tab w:val="left" w:pos="1702"/>
        </w:tabs>
        <w:rPr>
          <w:b/>
        </w:rPr>
      </w:pPr>
      <w:bookmarkStart w:id="8" w:name="F006"/>
      <w:r w:rsidRPr="000A7987">
        <w:rPr>
          <w:b/>
        </w:rPr>
        <w:tab/>
      </w:r>
      <w:r w:rsidRPr="000A7987">
        <w:rPr>
          <w:b/>
        </w:rPr>
        <w:tab/>
      </w:r>
      <w:r w:rsidRPr="000A7987">
        <w:rPr>
          <w:position w:val="-54"/>
        </w:rPr>
        <w:object w:dxaOrig="4540" w:dyaOrig="1180">
          <v:shape id="_x0000_i1029" type="#_x0000_t75" style="width:227.25pt;height:58.85pt" o:ole="">
            <v:imagedata r:id="rId21" o:title=""/>
          </v:shape>
          <o:OLEObject Type="Embed" ProgID="Equation.3" ShapeID="_x0000_i1029" DrawAspect="Content" ObjectID="_1402143849" r:id="rId22"/>
        </w:object>
      </w:r>
    </w:p>
    <w:p w:rsidR="00382656" w:rsidRPr="000A7987" w:rsidRDefault="00382656" w:rsidP="00382656">
      <w:pPr>
        <w:pStyle w:val="Equation"/>
        <w:tabs>
          <w:tab w:val="left" w:pos="1474"/>
          <w:tab w:val="left" w:pos="1701"/>
        </w:tabs>
      </w:pPr>
      <w:r w:rsidRPr="000A7987">
        <w:tab/>
      </w:r>
      <w:r w:rsidRPr="000A7987">
        <w:tab/>
      </w:r>
      <w:r w:rsidRPr="000A7987">
        <w:rPr>
          <w:position w:val="-34"/>
        </w:rPr>
        <w:object w:dxaOrig="4540" w:dyaOrig="780">
          <v:shape id="_x0000_i1030" type="#_x0000_t75" style="width:227.25pt;height:39.45pt" o:ole="">
            <v:imagedata r:id="rId23" o:title=""/>
          </v:shape>
          <o:OLEObject Type="Embed" ProgID="Equation.3" ShapeID="_x0000_i1030" DrawAspect="Content" ObjectID="_1402143850" r:id="rId24"/>
        </w:object>
      </w:r>
      <w:bookmarkEnd w:id="8"/>
    </w:p>
    <w:p w:rsidR="00382656" w:rsidRPr="00D6213B" w:rsidRDefault="00465C36" w:rsidP="00465C36">
      <w:pPr>
        <w:pStyle w:val="Equationlegend"/>
        <w:rPr>
          <w:lang w:val="fr-CH"/>
        </w:rPr>
      </w:pPr>
      <w:r>
        <w:rPr>
          <w:rFonts w:ascii="Symbol" w:hAnsi="Symbol"/>
        </w:rPr>
        <w:tab/>
      </w:r>
      <w:r w:rsidR="00382656" w:rsidRPr="000A7987">
        <w:rPr>
          <w:rFonts w:ascii="Symbol" w:hAnsi="Symbol"/>
        </w:rPr>
        <w:t></w:t>
      </w:r>
      <w:r w:rsidR="00382656" w:rsidRPr="00D6213B">
        <w:rPr>
          <w:i/>
          <w:position w:val="-4"/>
          <w:sz w:val="16"/>
          <w:lang w:val="fr-CH"/>
        </w:rPr>
        <w:t>d</w:t>
      </w:r>
      <w:r w:rsidR="00382656" w:rsidRPr="00D6213B">
        <w:rPr>
          <w:rFonts w:ascii="Tms Rmn" w:hAnsi="Tms Rmn"/>
          <w:sz w:val="12"/>
          <w:lang w:val="fr-CH"/>
        </w:rPr>
        <w:t> </w:t>
      </w:r>
      <w:r w:rsidR="00382656" w:rsidRPr="00D6213B">
        <w:rPr>
          <w:lang w:val="fr-CH"/>
        </w:rPr>
        <w:t>:</w:t>
      </w:r>
      <w:r w:rsidR="00382656" w:rsidRPr="00D6213B">
        <w:rPr>
          <w:lang w:val="fr-CH"/>
        </w:rPr>
        <w:tab/>
      </w:r>
      <w:r w:rsidR="00382656" w:rsidRPr="00D6213B">
        <w:rPr>
          <w:lang w:val="fr-CH"/>
        </w:rPr>
        <w:tab/>
        <w:t>excursion quadratique moyenne du signal d'essai (Hz)</w:t>
      </w:r>
    </w:p>
    <w:p w:rsidR="00382656" w:rsidRPr="00D6213B" w:rsidRDefault="00465C36" w:rsidP="00465C36">
      <w:pPr>
        <w:pStyle w:val="Equationlegend"/>
        <w:rPr>
          <w:lang w:val="fr-CH"/>
        </w:rPr>
      </w:pPr>
      <w:r w:rsidRPr="00D6213B">
        <w:rPr>
          <w:i/>
          <w:sz w:val="18"/>
          <w:lang w:val="fr-CH"/>
        </w:rPr>
        <w:tab/>
      </w:r>
      <w:r w:rsidR="00382656" w:rsidRPr="00D6213B">
        <w:rPr>
          <w:i/>
          <w:sz w:val="18"/>
          <w:lang w:val="fr-CH"/>
        </w:rPr>
        <w:t>N</w:t>
      </w:r>
      <w:r w:rsidR="00382656" w:rsidRPr="00D6213B">
        <w:rPr>
          <w:i/>
          <w:position w:val="-4"/>
          <w:sz w:val="16"/>
          <w:lang w:val="fr-CH"/>
        </w:rPr>
        <w:t>c</w:t>
      </w:r>
      <w:r w:rsidR="00382656" w:rsidRPr="00D6213B">
        <w:rPr>
          <w:rFonts w:ascii="Tms Rmn" w:hAnsi="Tms Rmn"/>
          <w:sz w:val="12"/>
          <w:lang w:val="fr-CH"/>
        </w:rPr>
        <w:t> </w:t>
      </w:r>
      <w:r w:rsidR="00382656" w:rsidRPr="00D6213B">
        <w:rPr>
          <w:lang w:val="fr-CH"/>
        </w:rPr>
        <w:t>:</w:t>
      </w:r>
      <w:r w:rsidR="00382656" w:rsidRPr="00D6213B">
        <w:rPr>
          <w:lang w:val="fr-CH"/>
        </w:rPr>
        <w:tab/>
      </w:r>
      <w:r w:rsidR="00382656" w:rsidRPr="00D6213B">
        <w:rPr>
          <w:lang w:val="fr-CH"/>
        </w:rPr>
        <w:tab/>
        <w:t>nombre de voies</w:t>
      </w:r>
    </w:p>
    <w:p w:rsidR="00382656" w:rsidRPr="00465C36" w:rsidRDefault="00465C36" w:rsidP="00465C36">
      <w:pPr>
        <w:pStyle w:val="Equationlegend"/>
        <w:rPr>
          <w:lang w:val="fr-CH"/>
        </w:rPr>
      </w:pPr>
      <w:r w:rsidRPr="00D6213B">
        <w:rPr>
          <w:rFonts w:ascii="Symbol" w:hAnsi="Symbol"/>
          <w:lang w:val="fr-CH"/>
        </w:rPr>
        <w:tab/>
      </w:r>
      <w:r w:rsidR="00382656" w:rsidRPr="000A7987">
        <w:rPr>
          <w:rFonts w:ascii="Symbol" w:hAnsi="Symbol"/>
        </w:rPr>
        <w:t></w:t>
      </w:r>
      <w:r w:rsidR="00382656" w:rsidRPr="00465C36">
        <w:rPr>
          <w:i/>
          <w:position w:val="-4"/>
          <w:sz w:val="16"/>
          <w:lang w:val="fr-CH"/>
        </w:rPr>
        <w:t>h</w:t>
      </w:r>
      <w:r w:rsidR="00382656" w:rsidRPr="00465C36">
        <w:rPr>
          <w:rFonts w:ascii="Tms Rmn" w:hAnsi="Tms Rmn"/>
          <w:sz w:val="12"/>
          <w:lang w:val="fr-CH"/>
        </w:rPr>
        <w:t> </w:t>
      </w:r>
      <w:r w:rsidR="00382656" w:rsidRPr="00465C36">
        <w:rPr>
          <w:lang w:val="fr-CH"/>
        </w:rPr>
        <w:t>:</w:t>
      </w:r>
      <w:r w:rsidR="00382656" w:rsidRPr="00465C36">
        <w:rPr>
          <w:lang w:val="fr-CH"/>
        </w:rPr>
        <w:tab/>
      </w:r>
      <w:r w:rsidR="00382656" w:rsidRPr="00465C36">
        <w:rPr>
          <w:lang w:val="fr-CH"/>
        </w:rPr>
        <w:tab/>
        <w:t>fréquence la plus élevée de la bande de base (Hz)</w:t>
      </w:r>
    </w:p>
    <w:p w:rsidR="00382656" w:rsidRPr="00465C36" w:rsidRDefault="00465C36" w:rsidP="00465C36">
      <w:pPr>
        <w:pStyle w:val="Equationlegend"/>
        <w:rPr>
          <w:lang w:val="fr-CH"/>
        </w:rPr>
      </w:pPr>
      <w:r w:rsidRPr="00D6213B">
        <w:rPr>
          <w:rFonts w:ascii="Symbol" w:hAnsi="Symbol"/>
          <w:lang w:val="fr-CH"/>
        </w:rPr>
        <w:tab/>
      </w:r>
      <w:r w:rsidR="00382656" w:rsidRPr="000A7987">
        <w:rPr>
          <w:rFonts w:ascii="Symbol" w:hAnsi="Symbol"/>
        </w:rPr>
        <w:t></w:t>
      </w:r>
      <w:r w:rsidR="00382656" w:rsidRPr="00465C36">
        <w:rPr>
          <w:position w:val="-4"/>
          <w:sz w:val="16"/>
          <w:lang w:val="fr-CH"/>
        </w:rPr>
        <w:t>1</w:t>
      </w:r>
      <w:r w:rsidR="00382656" w:rsidRPr="00465C36">
        <w:rPr>
          <w:rFonts w:ascii="Tms Rmn" w:hAnsi="Tms Rmn"/>
          <w:sz w:val="12"/>
          <w:lang w:val="fr-CH"/>
        </w:rPr>
        <w:t> </w:t>
      </w:r>
      <w:r w:rsidR="00382656" w:rsidRPr="00465C36">
        <w:rPr>
          <w:lang w:val="fr-CH"/>
        </w:rPr>
        <w:t>:</w:t>
      </w:r>
      <w:r w:rsidR="00382656" w:rsidRPr="00465C36">
        <w:rPr>
          <w:lang w:val="fr-CH"/>
        </w:rPr>
        <w:tab/>
      </w:r>
      <w:r w:rsidR="00382656" w:rsidRPr="00465C36">
        <w:rPr>
          <w:lang w:val="fr-CH"/>
        </w:rPr>
        <w:tab/>
        <w:t>fréquence la plus basse de la bande de base (Hz)</w:t>
      </w:r>
    </w:p>
    <w:p w:rsidR="00382656" w:rsidRPr="00D6213B" w:rsidRDefault="00465C36" w:rsidP="00465C36">
      <w:pPr>
        <w:pStyle w:val="Equationlegend"/>
        <w:rPr>
          <w:lang w:val="fr-CH"/>
        </w:rPr>
      </w:pPr>
      <w:r w:rsidRPr="00D6213B">
        <w:rPr>
          <w:i/>
          <w:lang w:val="fr-CH"/>
        </w:rPr>
        <w:tab/>
      </w:r>
      <w:r w:rsidR="00382656" w:rsidRPr="00D6213B">
        <w:rPr>
          <w:i/>
          <w:lang w:val="fr-CH"/>
        </w:rPr>
        <w:t>m</w:t>
      </w:r>
      <w:r w:rsidR="00382656" w:rsidRPr="00D6213B">
        <w:rPr>
          <w:rFonts w:ascii="Tms Rmn" w:hAnsi="Tms Rmn"/>
          <w:sz w:val="12"/>
          <w:lang w:val="fr-CH"/>
        </w:rPr>
        <w:t> </w:t>
      </w:r>
      <w:r w:rsidR="00382656" w:rsidRPr="00D6213B">
        <w:rPr>
          <w:lang w:val="fr-CH"/>
        </w:rPr>
        <w:t>:</w:t>
      </w:r>
      <w:r w:rsidR="00382656" w:rsidRPr="00D6213B">
        <w:rPr>
          <w:lang w:val="fr-CH"/>
        </w:rPr>
        <w:tab/>
      </w:r>
      <w:r w:rsidR="00382656" w:rsidRPr="00D6213B">
        <w:rPr>
          <w:lang w:val="fr-CH"/>
        </w:rPr>
        <w:tab/>
        <w:t>indice de modulation multivoie (=</w:t>
      </w:r>
      <w:r w:rsidR="00382656" w:rsidRPr="00D6213B">
        <w:rPr>
          <w:i/>
          <w:lang w:val="fr-CH"/>
        </w:rPr>
        <w:t xml:space="preserve"> </w:t>
      </w:r>
      <w:r w:rsidR="00382656" w:rsidRPr="000A7987">
        <w:rPr>
          <w:rFonts w:ascii="Symbol" w:hAnsi="Symbol"/>
        </w:rPr>
        <w:t></w:t>
      </w:r>
      <w:r w:rsidR="00382656" w:rsidRPr="000A7987">
        <w:rPr>
          <w:rFonts w:ascii="Symbol" w:hAnsi="Symbol"/>
          <w:position w:val="-4"/>
          <w:sz w:val="16"/>
        </w:rPr>
        <w:t></w:t>
      </w:r>
      <w:r w:rsidR="00382656" w:rsidRPr="00D6213B">
        <w:rPr>
          <w:lang w:val="fr-CH"/>
        </w:rPr>
        <w:t xml:space="preserve"> / </w:t>
      </w:r>
      <w:r w:rsidR="00382656" w:rsidRPr="000A7987">
        <w:rPr>
          <w:rFonts w:ascii="Symbol" w:hAnsi="Symbol"/>
        </w:rPr>
        <w:t></w:t>
      </w:r>
      <w:r w:rsidR="00382656" w:rsidRPr="00D6213B">
        <w:rPr>
          <w:i/>
          <w:position w:val="-4"/>
          <w:sz w:val="16"/>
          <w:lang w:val="fr-CH"/>
        </w:rPr>
        <w:t>h</w:t>
      </w:r>
      <w:r w:rsidR="00382656" w:rsidRPr="00D6213B">
        <w:rPr>
          <w:lang w:val="fr-CH"/>
        </w:rPr>
        <w:t>)</w:t>
      </w:r>
    </w:p>
    <w:p w:rsidR="00382656" w:rsidRPr="00D6213B" w:rsidRDefault="00465C36" w:rsidP="00465C36">
      <w:pPr>
        <w:pStyle w:val="Equationlegend"/>
        <w:rPr>
          <w:lang w:val="fr-CH"/>
        </w:rPr>
      </w:pPr>
      <w:r w:rsidRPr="00D6213B">
        <w:rPr>
          <w:rFonts w:ascii="Symbol" w:hAnsi="Symbol"/>
          <w:lang w:val="fr-CH"/>
        </w:rPr>
        <w:tab/>
      </w:r>
      <w:r w:rsidR="00382656" w:rsidRPr="000A7987">
        <w:rPr>
          <w:rFonts w:ascii="Symbol" w:hAnsi="Symbol"/>
        </w:rPr>
        <w:t></w:t>
      </w:r>
      <w:r w:rsidR="00382656" w:rsidRPr="00D6213B">
        <w:rPr>
          <w:lang w:val="fr-CH"/>
        </w:rPr>
        <w:t xml:space="preserve">  </w:t>
      </w:r>
      <w:r w:rsidR="00382656" w:rsidRPr="000A7987">
        <w:rPr>
          <w:rFonts w:ascii="Symbol" w:hAnsi="Symbol"/>
        </w:rPr>
        <w:t></w:t>
      </w:r>
      <w:r w:rsidR="00382656" w:rsidRPr="00D6213B">
        <w:rPr>
          <w:lang w:val="fr-CH"/>
        </w:rPr>
        <w:tab/>
      </w:r>
      <w:r w:rsidR="00382656" w:rsidRPr="00D6213B">
        <w:rPr>
          <w:lang w:val="fr-CH"/>
        </w:rPr>
        <w:tab/>
      </w:r>
      <w:r w:rsidR="00382656" w:rsidRPr="000A7987">
        <w:rPr>
          <w:rFonts w:ascii="Symbol" w:hAnsi="Symbol"/>
        </w:rPr>
        <w:t></w:t>
      </w:r>
      <w:r w:rsidR="00382656" w:rsidRPr="00D6213B">
        <w:rPr>
          <w:position w:val="-4"/>
          <w:sz w:val="16"/>
          <w:lang w:val="fr-CH"/>
        </w:rPr>
        <w:t>1</w:t>
      </w:r>
      <w:r w:rsidR="00382656" w:rsidRPr="00D6213B">
        <w:rPr>
          <w:sz w:val="12"/>
          <w:lang w:val="fr-CH"/>
        </w:rPr>
        <w:t> </w:t>
      </w:r>
      <w:r w:rsidR="00382656" w:rsidRPr="00D6213B">
        <w:rPr>
          <w:lang w:val="fr-CH"/>
        </w:rPr>
        <w:t>/</w:t>
      </w:r>
      <w:r w:rsidR="00382656" w:rsidRPr="00D6213B">
        <w:rPr>
          <w:sz w:val="12"/>
          <w:lang w:val="fr-CH"/>
        </w:rPr>
        <w:t> </w:t>
      </w:r>
      <w:r w:rsidR="00382656" w:rsidRPr="000A7987">
        <w:rPr>
          <w:rFonts w:ascii="Symbol" w:hAnsi="Symbol"/>
        </w:rPr>
        <w:t></w:t>
      </w:r>
      <w:r w:rsidR="00382656" w:rsidRPr="00D6213B">
        <w:rPr>
          <w:i/>
          <w:position w:val="-4"/>
          <w:sz w:val="16"/>
          <w:lang w:val="fr-CH"/>
        </w:rPr>
        <w:t>h</w:t>
      </w:r>
    </w:p>
    <w:p w:rsidR="00382656" w:rsidRPr="00D6213B" w:rsidRDefault="00465C36" w:rsidP="00465C36">
      <w:pPr>
        <w:pStyle w:val="Equationlegend"/>
        <w:rPr>
          <w:lang w:val="fr-CH"/>
        </w:rPr>
      </w:pPr>
      <w:r w:rsidRPr="00D6213B">
        <w:rPr>
          <w:i/>
          <w:lang w:val="fr-CH"/>
        </w:rPr>
        <w:tab/>
      </w:r>
      <w:r w:rsidR="00382656" w:rsidRPr="00D6213B">
        <w:rPr>
          <w:i/>
          <w:lang w:val="fr-CH"/>
        </w:rPr>
        <w:t>V</w:t>
      </w:r>
      <w:r w:rsidR="00382656" w:rsidRPr="00D6213B">
        <w:rPr>
          <w:i/>
          <w:position w:val="-4"/>
          <w:sz w:val="16"/>
          <w:lang w:val="fr-CH"/>
        </w:rPr>
        <w:t>max</w:t>
      </w:r>
      <w:r w:rsidR="00382656" w:rsidRPr="00D6213B">
        <w:rPr>
          <w:lang w:val="fr-CH"/>
        </w:rPr>
        <w:t xml:space="preserve">  =</w:t>
      </w:r>
      <w:r w:rsidR="00382656" w:rsidRPr="00D6213B">
        <w:rPr>
          <w:lang w:val="fr-CH"/>
        </w:rPr>
        <w:tab/>
      </w:r>
      <w:r w:rsidR="00382656" w:rsidRPr="00D6213B">
        <w:rPr>
          <w:i/>
          <w:lang w:val="fr-CH"/>
        </w:rPr>
        <w:t>W</w:t>
      </w:r>
      <w:r w:rsidR="00382656" w:rsidRPr="00D6213B">
        <w:rPr>
          <w:i/>
          <w:position w:val="-4"/>
          <w:sz w:val="16"/>
          <w:lang w:val="fr-CH"/>
        </w:rPr>
        <w:t>max</w:t>
      </w:r>
      <w:r w:rsidR="00382656" w:rsidRPr="00D6213B">
        <w:rPr>
          <w:i/>
          <w:lang w:val="fr-CH"/>
        </w:rPr>
        <w:t xml:space="preserve"> </w:t>
      </w:r>
      <w:r w:rsidR="00382656" w:rsidRPr="000A7987">
        <w:rPr>
          <w:rFonts w:ascii="Symbol" w:hAnsi="Symbol"/>
        </w:rPr>
        <w:t></w:t>
      </w:r>
      <w:r w:rsidR="00382656" w:rsidRPr="00D6213B">
        <w:rPr>
          <w:i/>
          <w:position w:val="-4"/>
          <w:sz w:val="16"/>
          <w:lang w:val="fr-CH"/>
        </w:rPr>
        <w:t>h</w:t>
      </w:r>
      <w:r w:rsidR="00382656" w:rsidRPr="00D6213B">
        <w:rPr>
          <w:i/>
          <w:position w:val="-3"/>
          <w:sz w:val="12"/>
          <w:lang w:val="fr-CH"/>
        </w:rPr>
        <w:t> </w:t>
      </w:r>
      <w:r w:rsidR="00382656" w:rsidRPr="00D6213B">
        <w:rPr>
          <w:lang w:val="fr-CH"/>
        </w:rPr>
        <w:t>/</w:t>
      </w:r>
      <w:r w:rsidR="00382656" w:rsidRPr="00D6213B">
        <w:rPr>
          <w:sz w:val="12"/>
          <w:lang w:val="fr-CH"/>
        </w:rPr>
        <w:t> </w:t>
      </w:r>
      <w:r w:rsidR="00382656" w:rsidRPr="00D6213B">
        <w:rPr>
          <w:i/>
          <w:lang w:val="fr-CH"/>
        </w:rPr>
        <w:t>P</w:t>
      </w:r>
      <w:r w:rsidR="00382656" w:rsidRPr="00D6213B">
        <w:rPr>
          <w:i/>
          <w:position w:val="-4"/>
          <w:sz w:val="16"/>
          <w:lang w:val="fr-CH"/>
        </w:rPr>
        <w:t>t</w:t>
      </w:r>
    </w:p>
    <w:p w:rsidR="00382656" w:rsidRPr="00465C36" w:rsidRDefault="00465C36" w:rsidP="00465C36">
      <w:pPr>
        <w:pStyle w:val="Equationlegend"/>
        <w:rPr>
          <w:lang w:val="fr-CH"/>
        </w:rPr>
      </w:pPr>
      <w:r w:rsidRPr="00D6213B">
        <w:rPr>
          <w:i/>
          <w:lang w:val="fr-CH"/>
        </w:rPr>
        <w:tab/>
      </w:r>
      <w:r w:rsidR="00382656" w:rsidRPr="00465C36">
        <w:rPr>
          <w:i/>
          <w:lang w:val="fr-CH"/>
        </w:rPr>
        <w:t>W</w:t>
      </w:r>
      <w:r w:rsidR="00382656" w:rsidRPr="00465C36">
        <w:rPr>
          <w:i/>
          <w:position w:val="-4"/>
          <w:sz w:val="16"/>
          <w:lang w:val="fr-CH"/>
        </w:rPr>
        <w:t>max</w:t>
      </w:r>
      <w:r w:rsidR="00382656" w:rsidRPr="00465C36">
        <w:rPr>
          <w:lang w:val="fr-CH"/>
        </w:rPr>
        <w:t xml:space="preserve"> :</w:t>
      </w:r>
      <w:r w:rsidR="00382656" w:rsidRPr="00465C36">
        <w:rPr>
          <w:lang w:val="fr-CH"/>
        </w:rPr>
        <w:tab/>
        <w:t>puissance spectrale maximale par unité de largeur de bande (W/Hz).</w:t>
      </w:r>
    </w:p>
    <w:p w:rsidR="00382656" w:rsidRPr="000A7987" w:rsidRDefault="00382656" w:rsidP="00382656">
      <w:r w:rsidRPr="000A7987">
        <w:t>Dans le cas de porteuses où 1 &lt;</w:t>
      </w:r>
      <w:r w:rsidRPr="000A7987">
        <w:rPr>
          <w:i/>
        </w:rPr>
        <w:t xml:space="preserve"> N </w:t>
      </w:r>
      <w:r w:rsidRPr="000A7987">
        <w:rPr>
          <w:rFonts w:ascii="Symbol" w:hAnsi="Symbol"/>
        </w:rPr>
        <w:t></w:t>
      </w:r>
      <w:r w:rsidRPr="000A7987">
        <w:t xml:space="preserve"> 12, la </w:t>
      </w:r>
      <w:r>
        <w:t xml:space="preserve">densité </w:t>
      </w:r>
      <w:r w:rsidRPr="000A7987">
        <w:t xml:space="preserve">maximale </w:t>
      </w:r>
      <w:r>
        <w:t xml:space="preserve">de </w:t>
      </w:r>
      <w:r w:rsidRPr="000A7987">
        <w:t>puissance dans une bande de 4 kHz est donnée approximativement par:</w:t>
      </w:r>
    </w:p>
    <w:p w:rsidR="00382656" w:rsidRPr="000A7987" w:rsidRDefault="00382656" w:rsidP="00382656">
      <w:pPr>
        <w:pStyle w:val="Equation"/>
      </w:pPr>
      <w:bookmarkStart w:id="9" w:name="F007"/>
      <w:r w:rsidRPr="000A7987">
        <w:lastRenderedPageBreak/>
        <w:tab/>
      </w:r>
      <w:r w:rsidRPr="000A7987">
        <w:tab/>
      </w:r>
      <w:r w:rsidRPr="00722517">
        <w:rPr>
          <w:position w:val="-28"/>
        </w:rPr>
        <w:object w:dxaOrig="1060" w:dyaOrig="660">
          <v:shape id="_x0000_i1031" type="#_x0000_t75" style="width:52.6pt;height:34.45pt" o:ole="">
            <v:imagedata r:id="rId25" o:title=""/>
          </v:shape>
          <o:OLEObject Type="Embed" ProgID="Equation.3" ShapeID="_x0000_i1031" DrawAspect="Content" ObjectID="_1402143851" r:id="rId26"/>
        </w:object>
      </w:r>
      <w:r w:rsidRPr="000A7987">
        <w:t>              </w:t>
      </w:r>
      <w:r w:rsidRPr="000A7987">
        <w:rPr>
          <w:position w:val="-10"/>
        </w:rPr>
        <w:object w:dxaOrig="920" w:dyaOrig="320">
          <v:shape id="_x0000_i1032" type="#_x0000_t75" style="width:47.6pt;height:15.05pt" o:ole="">
            <v:imagedata r:id="rId27" o:title=""/>
          </v:shape>
          <o:OLEObject Type="Embed" ProgID="Equation.3" ShapeID="_x0000_i1032" DrawAspect="Content" ObjectID="_1402143852" r:id="rId28"/>
        </w:object>
      </w:r>
      <w:r w:rsidRPr="000A7987">
        <w:t>                  </w:t>
      </w:r>
      <w:r>
        <w:t xml:space="preserve">pour </w:t>
      </w:r>
      <w:r w:rsidRPr="000A7987">
        <w:rPr>
          <w:i/>
        </w:rPr>
        <w:t>m</w:t>
      </w:r>
      <w:r w:rsidRPr="000A7987">
        <w:rPr>
          <w:i/>
          <w:position w:val="-4"/>
          <w:sz w:val="16"/>
        </w:rPr>
        <w:t>b</w:t>
      </w:r>
      <w:r w:rsidRPr="000A7987">
        <w:rPr>
          <w:rFonts w:ascii="Tms Rmn" w:hAnsi="Tms Rmn"/>
          <w:sz w:val="12"/>
        </w:rPr>
        <w:t> </w:t>
      </w:r>
      <w:r w:rsidRPr="000A7987">
        <w:t xml:space="preserve"> </w:t>
      </w:r>
      <w:r>
        <w:t>&lt; 1</w:t>
      </w:r>
      <w:r w:rsidRPr="000A7987">
        <w:tab/>
        <w:t>(6)</w:t>
      </w:r>
      <w:bookmarkEnd w:id="9"/>
    </w:p>
    <w:p w:rsidR="00382656" w:rsidRPr="000A7987" w:rsidRDefault="00382656" w:rsidP="00382656">
      <w:r>
        <w:t>où</w:t>
      </w:r>
      <w:r w:rsidRPr="000A7987">
        <w:t>:</w:t>
      </w:r>
    </w:p>
    <w:p w:rsidR="00382656" w:rsidRPr="00D6213B" w:rsidRDefault="00465C36" w:rsidP="00465C36">
      <w:pPr>
        <w:pStyle w:val="Equationlegend"/>
        <w:rPr>
          <w:lang w:val="fr-CH"/>
        </w:rPr>
      </w:pPr>
      <w:r w:rsidRPr="00D6213B">
        <w:rPr>
          <w:i/>
          <w:lang w:val="fr-CH"/>
        </w:rPr>
        <w:tab/>
      </w:r>
      <w:r w:rsidR="00382656" w:rsidRPr="00D6213B">
        <w:rPr>
          <w:i/>
          <w:lang w:val="fr-CH"/>
        </w:rPr>
        <w:t>P</w:t>
      </w:r>
      <w:r w:rsidR="00382656" w:rsidRPr="00D6213B">
        <w:rPr>
          <w:i/>
          <w:position w:val="-4"/>
          <w:sz w:val="16"/>
          <w:lang w:val="fr-CH"/>
        </w:rPr>
        <w:t>t</w:t>
      </w:r>
      <w:r w:rsidR="00382656" w:rsidRPr="00D6213B">
        <w:rPr>
          <w:rFonts w:ascii="Tms Rmn" w:hAnsi="Tms Rmn"/>
          <w:sz w:val="12"/>
          <w:lang w:val="fr-CH"/>
        </w:rPr>
        <w:t> </w:t>
      </w:r>
      <w:r w:rsidR="00382656" w:rsidRPr="00D6213B">
        <w:rPr>
          <w:lang w:val="fr-CH"/>
        </w:rPr>
        <w:t>:</w:t>
      </w:r>
      <w:r w:rsidR="00382656" w:rsidRPr="00D6213B">
        <w:rPr>
          <w:lang w:val="fr-CH"/>
        </w:rPr>
        <w:tab/>
      </w:r>
      <w:r w:rsidR="00382656" w:rsidRPr="00D6213B">
        <w:rPr>
          <w:lang w:val="fr-CH"/>
        </w:rPr>
        <w:tab/>
        <w:t xml:space="preserve">puissance totale de la porteuse (W) </w:t>
      </w:r>
    </w:p>
    <w:p w:rsidR="00382656" w:rsidRPr="00465C36" w:rsidRDefault="00465C36" w:rsidP="007A62C6">
      <w:pPr>
        <w:pStyle w:val="Equationlegend"/>
        <w:ind w:left="2160" w:hanging="2160"/>
        <w:rPr>
          <w:lang w:val="fr-CH"/>
        </w:rPr>
      </w:pPr>
      <w:r w:rsidRPr="00D6213B">
        <w:rPr>
          <w:i/>
          <w:lang w:val="fr-CH"/>
        </w:rPr>
        <w:tab/>
      </w:r>
      <w:r w:rsidR="00382656" w:rsidRPr="00465C36">
        <w:rPr>
          <w:i/>
          <w:lang w:val="fr-CH"/>
        </w:rPr>
        <w:t>m</w:t>
      </w:r>
      <w:r w:rsidR="00382656" w:rsidRPr="00465C36">
        <w:rPr>
          <w:i/>
          <w:position w:val="-4"/>
          <w:sz w:val="16"/>
          <w:lang w:val="fr-CH"/>
        </w:rPr>
        <w:t>b</w:t>
      </w:r>
      <w:r w:rsidR="00382656" w:rsidRPr="00465C36">
        <w:rPr>
          <w:rFonts w:ascii="Tms Rmn" w:hAnsi="Tms Rmn"/>
          <w:sz w:val="12"/>
          <w:lang w:val="fr-CH"/>
        </w:rPr>
        <w:t> </w:t>
      </w:r>
      <w:r w:rsidR="00382656" w:rsidRPr="00465C36">
        <w:rPr>
          <w:lang w:val="fr-CH"/>
        </w:rPr>
        <w:t>:</w:t>
      </w:r>
      <w:r w:rsidR="00382656" w:rsidRPr="00465C36">
        <w:rPr>
          <w:lang w:val="fr-CH"/>
        </w:rPr>
        <w:tab/>
      </w:r>
      <w:r w:rsidR="00382656" w:rsidRPr="00465C36">
        <w:rPr>
          <w:lang w:val="fr-CH"/>
        </w:rPr>
        <w:tab/>
        <w:t xml:space="preserve">indice de modulation de crête (rad) dû à une tonalité d'essai à 0 dBm dans la voie la plus élevée de la bande de base. </w:t>
      </w:r>
    </w:p>
    <w:p w:rsidR="00382656" w:rsidRPr="000A7987" w:rsidRDefault="00382656" w:rsidP="00465C36">
      <w:pPr>
        <w:pStyle w:val="Heading2"/>
      </w:pPr>
      <w:r w:rsidRPr="000A7987">
        <w:t>1.2</w:t>
      </w:r>
      <w:r w:rsidRPr="000A7987">
        <w:tab/>
        <w:t>Porteuse MF modulée par un signal de téléphonie multivoie et un signal de dispersion d'énergie de forme d'onde triangulaire et d'amplitude fixe</w:t>
      </w:r>
    </w:p>
    <w:p w:rsidR="00382656" w:rsidRPr="000A7987" w:rsidRDefault="00382656" w:rsidP="00382656">
      <w:r w:rsidRPr="000A7987">
        <w:t>Les systèmes de dispersion d'énergie à onde triangulaire sont normalement conçus de façon que la densité spectrale maximale de puissance dans une bande de 4 kHz centrée sur la fréquence de la porteuse soit maintenue, à 3 dB près, à la valeur qu'elle a en charge complète.</w:t>
      </w:r>
    </w:p>
    <w:p w:rsidR="00382656" w:rsidRPr="000A7987" w:rsidRDefault="00382656" w:rsidP="00382656">
      <w:r w:rsidRPr="000A7987">
        <w:t>La densité spectrale de puissance centrée sur la fréquence porteuse est donnée par la formule:</w:t>
      </w:r>
    </w:p>
    <w:p w:rsidR="00382656" w:rsidRPr="000A7987" w:rsidRDefault="00382656" w:rsidP="00382656">
      <w:pPr>
        <w:pStyle w:val="Equation"/>
      </w:pPr>
      <w:bookmarkStart w:id="10" w:name="F008"/>
      <w:r w:rsidRPr="000A7987">
        <w:rPr>
          <w:b/>
        </w:rPr>
        <w:tab/>
      </w:r>
      <w:r w:rsidRPr="000A7987">
        <w:tab/>
      </w:r>
      <w:r w:rsidRPr="000A7987">
        <w:rPr>
          <w:position w:val="-24"/>
        </w:rPr>
        <w:object w:dxaOrig="1080" w:dyaOrig="639">
          <v:shape id="_x0000_i1033" type="#_x0000_t75" style="width:53.85pt;height:33.2pt" o:ole="">
            <v:imagedata r:id="rId29" o:title=""/>
          </v:shape>
          <o:OLEObject Type="Embed" ProgID="Equation.3" ShapeID="_x0000_i1033" DrawAspect="Content" ObjectID="_1402143853" r:id="rId30"/>
        </w:object>
      </w:r>
      <w:r w:rsidRPr="000A7987">
        <w:t>                     </w:t>
      </w:r>
      <w:r w:rsidRPr="000A7987">
        <w:rPr>
          <w:position w:val="-10"/>
        </w:rPr>
        <w:object w:dxaOrig="920" w:dyaOrig="320">
          <v:shape id="_x0000_i1034" type="#_x0000_t75" style="width:47.6pt;height:15.05pt" o:ole="">
            <v:imagedata r:id="rId27" o:title=""/>
          </v:shape>
          <o:OLEObject Type="Embed" ProgID="Equation.3" ShapeID="_x0000_i1034" DrawAspect="Content" ObjectID="_1402143854" r:id="rId31"/>
        </w:object>
      </w:r>
      <w:r w:rsidRPr="000A7987">
        <w:tab/>
        <w:t>(7)</w:t>
      </w:r>
      <w:bookmarkEnd w:id="10"/>
    </w:p>
    <w:p w:rsidR="00382656" w:rsidRPr="000A7987" w:rsidRDefault="00382656" w:rsidP="00382656">
      <w:r>
        <w:t>où</w:t>
      </w:r>
      <w:r w:rsidRPr="000A7987">
        <w:t>:</w:t>
      </w:r>
    </w:p>
    <w:p w:rsidR="00382656" w:rsidRPr="00D6213B" w:rsidRDefault="00465C36" w:rsidP="00465C36">
      <w:pPr>
        <w:pStyle w:val="Equationlegend"/>
        <w:rPr>
          <w:lang w:val="fr-CH"/>
        </w:rPr>
      </w:pPr>
      <w:r w:rsidRPr="00D6213B">
        <w:rPr>
          <w:i/>
          <w:lang w:val="fr-CH"/>
        </w:rPr>
        <w:tab/>
      </w:r>
      <w:r w:rsidR="00382656" w:rsidRPr="00D6213B">
        <w:rPr>
          <w:i/>
          <w:lang w:val="fr-CH"/>
        </w:rPr>
        <w:t>P</w:t>
      </w:r>
      <w:r w:rsidR="00382656" w:rsidRPr="00D6213B">
        <w:rPr>
          <w:i/>
          <w:position w:val="-4"/>
          <w:sz w:val="16"/>
          <w:lang w:val="fr-CH"/>
        </w:rPr>
        <w:t>t</w:t>
      </w:r>
      <w:r w:rsidR="00382656" w:rsidRPr="00D6213B">
        <w:rPr>
          <w:rFonts w:ascii="Tms Rmn" w:hAnsi="Tms Rmn"/>
          <w:sz w:val="12"/>
          <w:lang w:val="fr-CH"/>
        </w:rPr>
        <w:t> </w:t>
      </w:r>
      <w:r w:rsidR="00382656" w:rsidRPr="00D6213B">
        <w:rPr>
          <w:lang w:val="fr-CH"/>
        </w:rPr>
        <w:t>:</w:t>
      </w:r>
      <w:r w:rsidR="00382656" w:rsidRPr="00D6213B">
        <w:rPr>
          <w:lang w:val="fr-CH"/>
        </w:rPr>
        <w:tab/>
      </w:r>
      <w:r w:rsidR="00382656" w:rsidRPr="00D6213B">
        <w:rPr>
          <w:lang w:val="fr-CH"/>
        </w:rPr>
        <w:tab/>
        <w:t xml:space="preserve">puissance totale de la porteuse (W) </w:t>
      </w:r>
    </w:p>
    <w:p w:rsidR="00382656" w:rsidRPr="00465C36" w:rsidRDefault="00465C36" w:rsidP="007A62C6">
      <w:pPr>
        <w:pStyle w:val="Equationlegend"/>
        <w:ind w:left="2160" w:hanging="2160"/>
        <w:rPr>
          <w:lang w:val="fr-CH"/>
        </w:rPr>
      </w:pPr>
      <w:r w:rsidRPr="00D6213B">
        <w:rPr>
          <w:rFonts w:ascii="Symbol" w:hAnsi="Symbol"/>
          <w:lang w:val="fr-CH"/>
        </w:rPr>
        <w:tab/>
      </w:r>
      <w:r w:rsidR="00382656" w:rsidRPr="000A7987">
        <w:rPr>
          <w:rFonts w:ascii="Symbol" w:hAnsi="Symbol"/>
        </w:rPr>
        <w:t></w:t>
      </w:r>
      <w:r w:rsidR="00382656" w:rsidRPr="00465C36">
        <w:rPr>
          <w:i/>
          <w:lang w:val="fr-CH"/>
        </w:rPr>
        <w:t>F</w:t>
      </w:r>
      <w:r w:rsidR="00382656" w:rsidRPr="00465C36">
        <w:rPr>
          <w:rFonts w:ascii="Tms Rmn" w:hAnsi="Tms Rmn"/>
          <w:sz w:val="12"/>
          <w:lang w:val="fr-CH"/>
        </w:rPr>
        <w:t> </w:t>
      </w:r>
      <w:r w:rsidR="00382656" w:rsidRPr="00465C36">
        <w:rPr>
          <w:lang w:val="fr-CH"/>
        </w:rPr>
        <w:t>:</w:t>
      </w:r>
      <w:r w:rsidR="00382656" w:rsidRPr="00465C36">
        <w:rPr>
          <w:lang w:val="fr-CH"/>
        </w:rPr>
        <w:tab/>
      </w:r>
      <w:r w:rsidR="00382656" w:rsidRPr="00465C36">
        <w:rPr>
          <w:lang w:val="fr-CH"/>
        </w:rPr>
        <w:tab/>
        <w:t xml:space="preserve">excursion de fréquence crête-à-crête due au signal de dispersion d'énergie (Hz). </w:t>
      </w:r>
    </w:p>
    <w:p w:rsidR="00382656" w:rsidRPr="000A7987" w:rsidRDefault="00382656" w:rsidP="00465C36">
      <w:pPr>
        <w:pStyle w:val="Note"/>
      </w:pPr>
      <w:r w:rsidRPr="000A7987">
        <w:rPr>
          <w:iCs/>
        </w:rPr>
        <w:t>NOTE 1</w:t>
      </w:r>
      <w:r w:rsidRPr="000A7987">
        <w:t xml:space="preserve"> – L'équation (7) suppose l'utilisation d'une onde de dispersion triangulaire parfaitement linéaire.</w:t>
      </w:r>
    </w:p>
    <w:p w:rsidR="00382656" w:rsidRPr="000A7987" w:rsidRDefault="00382656" w:rsidP="00465C36">
      <w:pPr>
        <w:pStyle w:val="Heading2"/>
      </w:pPr>
      <w:r w:rsidRPr="000A7987">
        <w:t>1.3</w:t>
      </w:r>
      <w:r w:rsidRPr="000A7987">
        <w:tab/>
        <w:t>Porteuse MF modulée par un signal vidéo de télévision</w:t>
      </w:r>
    </w:p>
    <w:p w:rsidR="00382656" w:rsidRPr="000A7987" w:rsidRDefault="00382656" w:rsidP="00465C36">
      <w:pPr>
        <w:pStyle w:val="enumlev1"/>
      </w:pPr>
      <w:r w:rsidRPr="000A7987">
        <w:t>–</w:t>
      </w:r>
      <w:r w:rsidRPr="000A7987">
        <w:tab/>
        <w:t>Dans le cas où un signal de dispersion d'énergie de forme d'onde triangulaire est superposé au signal vidéo, la densité maximale de puissance dans une bande de 4 kHz dans le cas le plus défavorable est donnée par la formule:</w:t>
      </w:r>
    </w:p>
    <w:p w:rsidR="00382656" w:rsidRPr="000A7987" w:rsidRDefault="00382656" w:rsidP="00382656">
      <w:pPr>
        <w:pStyle w:val="Equation"/>
      </w:pPr>
      <w:bookmarkStart w:id="11" w:name="F009"/>
      <w:r w:rsidRPr="000A7987">
        <w:rPr>
          <w:b/>
        </w:rPr>
        <w:tab/>
      </w:r>
      <w:r w:rsidRPr="000A7987">
        <w:tab/>
      </w:r>
      <w:r w:rsidRPr="000A7987">
        <w:rPr>
          <w:position w:val="-24"/>
        </w:rPr>
        <w:object w:dxaOrig="1080" w:dyaOrig="639">
          <v:shape id="_x0000_i1035" type="#_x0000_t75" style="width:53.85pt;height:33.2pt" o:ole="">
            <v:imagedata r:id="rId32" o:title=""/>
          </v:shape>
          <o:OLEObject Type="Embed" ProgID="Equation.3" ShapeID="_x0000_i1035" DrawAspect="Content" ObjectID="_1402143855" r:id="rId33"/>
        </w:object>
      </w:r>
      <w:r w:rsidRPr="000A7987">
        <w:object w:dxaOrig="180" w:dyaOrig="340">
          <v:shape id="_x0000_i1036" type="#_x0000_t75" style="width:9.4pt;height:17.55pt" o:ole="">
            <v:imagedata r:id="rId34" o:title=""/>
          </v:shape>
          <o:OLEObject Type="Embed" ProgID="Equation.3" ShapeID="_x0000_i1036" DrawAspect="Content" ObjectID="_1402143856" r:id="rId35"/>
        </w:object>
      </w:r>
      <w:r w:rsidRPr="000A7987">
        <w:t>                     </w:t>
      </w:r>
      <w:r w:rsidRPr="000A7987">
        <w:object w:dxaOrig="920" w:dyaOrig="320">
          <v:shape id="_x0000_i1037" type="#_x0000_t75" style="width:47.6pt;height:15.05pt" o:ole="">
            <v:imagedata r:id="rId27" o:title=""/>
          </v:shape>
          <o:OLEObject Type="Embed" ProgID="Equation.3" ShapeID="_x0000_i1037" DrawAspect="Content" ObjectID="_1402143857" r:id="rId36"/>
        </w:object>
      </w:r>
      <w:r w:rsidRPr="000A7987">
        <w:tab/>
        <w:t>(8)</w:t>
      </w:r>
      <w:bookmarkEnd w:id="11"/>
    </w:p>
    <w:p w:rsidR="00382656" w:rsidRPr="000A7987" w:rsidRDefault="00382656" w:rsidP="00382656">
      <w:r w:rsidRPr="000A7987">
        <w:t>où:</w:t>
      </w:r>
    </w:p>
    <w:p w:rsidR="00382656" w:rsidRPr="00D6213B" w:rsidRDefault="00465C36" w:rsidP="00465C36">
      <w:pPr>
        <w:pStyle w:val="Equationlegend"/>
        <w:rPr>
          <w:lang w:val="fr-CH"/>
        </w:rPr>
      </w:pPr>
      <w:r w:rsidRPr="00D6213B">
        <w:rPr>
          <w:i/>
          <w:lang w:val="fr-CH"/>
        </w:rPr>
        <w:tab/>
      </w:r>
      <w:r w:rsidR="00382656" w:rsidRPr="00D6213B">
        <w:rPr>
          <w:i/>
          <w:lang w:val="fr-CH"/>
        </w:rPr>
        <w:t>P</w:t>
      </w:r>
      <w:r w:rsidR="00382656" w:rsidRPr="00D6213B">
        <w:rPr>
          <w:i/>
          <w:position w:val="-4"/>
          <w:sz w:val="16"/>
          <w:lang w:val="fr-CH"/>
        </w:rPr>
        <w:t>t</w:t>
      </w:r>
      <w:r w:rsidR="00382656" w:rsidRPr="00D6213B">
        <w:rPr>
          <w:rFonts w:ascii="Tms Rmn" w:hAnsi="Tms Rmn"/>
          <w:sz w:val="12"/>
          <w:lang w:val="fr-CH"/>
        </w:rPr>
        <w:t> </w:t>
      </w:r>
      <w:r w:rsidR="00382656" w:rsidRPr="00D6213B">
        <w:rPr>
          <w:lang w:val="fr-CH"/>
        </w:rPr>
        <w:t>:</w:t>
      </w:r>
      <w:r w:rsidR="00382656" w:rsidRPr="00D6213B">
        <w:rPr>
          <w:lang w:val="fr-CH"/>
        </w:rPr>
        <w:tab/>
      </w:r>
      <w:r w:rsidR="00382656" w:rsidRPr="00D6213B">
        <w:rPr>
          <w:lang w:val="fr-CH"/>
        </w:rPr>
        <w:tab/>
        <w:t xml:space="preserve">puissance totale de la porteuse (W) </w:t>
      </w:r>
    </w:p>
    <w:p w:rsidR="00382656" w:rsidRPr="00465C36" w:rsidRDefault="00465C36" w:rsidP="007A62C6">
      <w:pPr>
        <w:pStyle w:val="Equationlegend"/>
        <w:ind w:left="2160" w:hanging="2160"/>
        <w:rPr>
          <w:lang w:val="fr-CH"/>
        </w:rPr>
      </w:pPr>
      <w:r w:rsidRPr="00D6213B">
        <w:rPr>
          <w:rFonts w:ascii="Symbol" w:hAnsi="Symbol"/>
          <w:lang w:val="fr-CH"/>
        </w:rPr>
        <w:tab/>
      </w:r>
      <w:r w:rsidR="00382656" w:rsidRPr="000A7987">
        <w:rPr>
          <w:rFonts w:ascii="Symbol" w:hAnsi="Symbol"/>
        </w:rPr>
        <w:t></w:t>
      </w:r>
      <w:r w:rsidR="00382656" w:rsidRPr="00465C36">
        <w:rPr>
          <w:i/>
          <w:lang w:val="fr-CH"/>
        </w:rPr>
        <w:t>F</w:t>
      </w:r>
      <w:r w:rsidR="00382656" w:rsidRPr="00465C36">
        <w:rPr>
          <w:rFonts w:ascii="Tms Rmn" w:hAnsi="Tms Rmn"/>
          <w:sz w:val="12"/>
          <w:lang w:val="fr-CH"/>
        </w:rPr>
        <w:t> </w:t>
      </w:r>
      <w:r w:rsidR="00382656" w:rsidRPr="00465C36">
        <w:rPr>
          <w:lang w:val="fr-CH"/>
        </w:rPr>
        <w:t>:</w:t>
      </w:r>
      <w:r w:rsidR="00382656" w:rsidRPr="00465C36">
        <w:rPr>
          <w:lang w:val="fr-CH"/>
        </w:rPr>
        <w:tab/>
      </w:r>
      <w:r w:rsidR="00382656" w:rsidRPr="00465C36">
        <w:rPr>
          <w:lang w:val="fr-CH"/>
        </w:rPr>
        <w:tab/>
        <w:t xml:space="preserve">excursion de fréquence crête-à-crête, due au signal de dispersion d'énergie (Hz). </w:t>
      </w:r>
    </w:p>
    <w:p w:rsidR="00382656" w:rsidRPr="000A7987" w:rsidRDefault="00382656" w:rsidP="00382656">
      <w:pPr>
        <w:pStyle w:val="Note"/>
      </w:pPr>
      <w:r w:rsidRPr="000A7987">
        <w:rPr>
          <w:iCs/>
        </w:rPr>
        <w:t xml:space="preserve">NOTE 1 </w:t>
      </w:r>
      <w:r w:rsidRPr="000A7987">
        <w:t>– L'équation (8) suppose l'utilisation d'une onde de dispersion triangulaire parfaitement linéaire. Pour les émissions courante</w:t>
      </w:r>
      <w:r>
        <w:t>s</w:t>
      </w:r>
      <w:r w:rsidRPr="000A7987">
        <w:t xml:space="preserve"> de télévision à modulation de fréquence, l'erreur qui découle de cette hypothèse est négligeable.</w:t>
      </w:r>
    </w:p>
    <w:p w:rsidR="00382656" w:rsidRPr="000A7987" w:rsidRDefault="00382656" w:rsidP="00465C36">
      <w:pPr>
        <w:pStyle w:val="enumlev1"/>
      </w:pPr>
      <w:r w:rsidRPr="000A7987">
        <w:t>–</w:t>
      </w:r>
      <w:r w:rsidRPr="000A7987">
        <w:tab/>
        <w:t>Dans le cas où il n'y a pas de modulation ni vidéo ni par signal de dispersion d'énergie, la densité maximale de puissance dans une bande de 4 kHz dans le cas le plus défavorable est donnée par:</w:t>
      </w:r>
    </w:p>
    <w:p w:rsidR="00382656" w:rsidRPr="000A7987" w:rsidRDefault="00382656" w:rsidP="00382656">
      <w:pPr>
        <w:pStyle w:val="Equation"/>
        <w:rPr>
          <w:b/>
        </w:rPr>
      </w:pPr>
      <w:bookmarkStart w:id="12" w:name="F010"/>
      <w:r w:rsidRPr="000A7987">
        <w:rPr>
          <w:b/>
        </w:rPr>
        <w:tab/>
      </w:r>
      <w:r w:rsidRPr="000A7987">
        <w:rPr>
          <w:b/>
        </w:rPr>
        <w:tab/>
      </w:r>
      <w:r w:rsidRPr="000A7987">
        <w:rPr>
          <w:i/>
        </w:rPr>
        <w:t>P</w:t>
      </w:r>
      <w:r w:rsidRPr="000A7987">
        <w:rPr>
          <w:i/>
          <w:position w:val="-4"/>
          <w:sz w:val="18"/>
        </w:rPr>
        <w:t>t</w:t>
      </w:r>
      <w:r w:rsidRPr="000A7987">
        <w:rPr>
          <w:color w:val="FFFFFF"/>
        </w:rPr>
        <w:t>mmmmmm</w:t>
      </w:r>
      <w:r w:rsidRPr="000A7987">
        <w:rPr>
          <w:color w:val="000000"/>
        </w:rPr>
        <w:t>W/4 kHz</w:t>
      </w:r>
      <w:bookmarkEnd w:id="12"/>
    </w:p>
    <w:p w:rsidR="00382656" w:rsidRPr="000A7987" w:rsidRDefault="00382656" w:rsidP="00465C36">
      <w:pPr>
        <w:pStyle w:val="Heading1"/>
      </w:pPr>
      <w:r w:rsidRPr="000A7987">
        <w:t>2</w:t>
      </w:r>
      <w:r w:rsidRPr="000A7987">
        <w:tab/>
        <w:t xml:space="preserve">Porteuse modulée en phase (MP) par un signal de téléphonie multivoie </w:t>
      </w:r>
    </w:p>
    <w:p w:rsidR="00382656" w:rsidRPr="000A7987" w:rsidRDefault="00382656" w:rsidP="00382656">
      <w:r w:rsidRPr="000A7987">
        <w:t xml:space="preserve">Lorsque la fréquence supérieure de la bande de base d'un signal de téléphonie multivoie est beaucoup plus grande que la fréquence inférieure de la bande de base, la densité maximale de </w:t>
      </w:r>
      <w:r w:rsidRPr="000A7987">
        <w:lastRenderedPageBreak/>
        <w:t>puissance d'une porteuse modulée en phase (MP) par ce signal se trouve sur la fréquence centrale de la porteuse et est donnée par la formule suivante:</w:t>
      </w:r>
    </w:p>
    <w:p w:rsidR="00382656" w:rsidRPr="000A7987" w:rsidRDefault="00382656" w:rsidP="00465C36">
      <w:pPr>
        <w:pStyle w:val="enumlev1"/>
        <w:tabs>
          <w:tab w:val="clear" w:pos="1985"/>
          <w:tab w:val="left" w:pos="2552"/>
          <w:tab w:val="left" w:pos="9356"/>
        </w:tabs>
      </w:pPr>
      <w:bookmarkStart w:id="13" w:name="F011"/>
      <w:r w:rsidRPr="000A7987">
        <w:t>–</w:t>
      </w:r>
      <w:r w:rsidRPr="000A7987">
        <w:tab/>
        <w:t xml:space="preserve">pour </w:t>
      </w:r>
      <w:r w:rsidRPr="000A7987">
        <w:rPr>
          <w:rFonts w:ascii="Symbol" w:hAnsi="Symbol"/>
        </w:rPr>
        <w:t></w:t>
      </w:r>
      <w:r w:rsidRPr="000A7987">
        <w:rPr>
          <w:rFonts w:ascii="Symbol" w:hAnsi="Symbol"/>
        </w:rPr>
        <w:t></w:t>
      </w:r>
      <w:r w:rsidRPr="000A7987">
        <w:rPr>
          <w:i/>
          <w:position w:val="-4"/>
          <w:sz w:val="18"/>
        </w:rPr>
        <w:t>a</w:t>
      </w:r>
      <w:r w:rsidRPr="000A7987">
        <w:t xml:space="preserve">  </w:t>
      </w:r>
      <w:r w:rsidRPr="000A7987">
        <w:rPr>
          <w:rFonts w:ascii="Symbol" w:hAnsi="Symbol"/>
        </w:rPr>
        <w:t></w:t>
      </w:r>
      <w:r w:rsidRPr="000A7987">
        <w:t xml:space="preserve">  2:</w:t>
      </w:r>
      <w:r w:rsidRPr="000A7987">
        <w:tab/>
      </w:r>
      <w:r w:rsidR="007A62C6" w:rsidRPr="00722517">
        <w:rPr>
          <w:position w:val="-30"/>
        </w:rPr>
        <w:object w:dxaOrig="2079" w:dyaOrig="740">
          <v:shape id="_x0000_i1048" type="#_x0000_t75" style="width:103.95pt;height:38.8pt" o:ole="">
            <v:imagedata r:id="rId37" o:title=""/>
          </v:shape>
          <o:OLEObject Type="Embed" ProgID="Equation.3" ShapeID="_x0000_i1048" DrawAspect="Content" ObjectID="_1402143858" r:id="rId38"/>
        </w:object>
      </w:r>
      <w:r w:rsidRPr="000A7987">
        <w:t>              </w:t>
      </w:r>
      <w:r w:rsidRPr="000A7987">
        <w:rPr>
          <w:position w:val="-10"/>
        </w:rPr>
        <w:object w:dxaOrig="920" w:dyaOrig="320">
          <v:shape id="_x0000_i1039" type="#_x0000_t75" style="width:47.6pt;height:15.05pt" o:ole="">
            <v:imagedata r:id="rId27" o:title=""/>
          </v:shape>
          <o:OLEObject Type="Embed" ProgID="Equation.3" ShapeID="_x0000_i1039" DrawAspect="Content" ObjectID="_1402143859" r:id="rId39"/>
        </w:object>
      </w:r>
      <w:r w:rsidR="00465C36">
        <w:tab/>
      </w:r>
      <w:r w:rsidRPr="000A7987">
        <w:t>(9)</w:t>
      </w:r>
      <w:bookmarkEnd w:id="13"/>
    </w:p>
    <w:p w:rsidR="00382656" w:rsidRPr="000A7987" w:rsidRDefault="00382656" w:rsidP="00465C36">
      <w:pPr>
        <w:pStyle w:val="enumlev1"/>
      </w:pPr>
      <w:r w:rsidRPr="000A7987">
        <w:t>–</w:t>
      </w:r>
      <w:r w:rsidRPr="000A7987">
        <w:tab/>
        <w:t xml:space="preserve">pour </w:t>
      </w:r>
      <w:r w:rsidRPr="000A7987">
        <w:rPr>
          <w:rFonts w:ascii="Symbol" w:hAnsi="Symbol"/>
        </w:rPr>
        <w:t></w:t>
      </w:r>
      <w:r w:rsidRPr="000A7987">
        <w:rPr>
          <w:rFonts w:ascii="Symbol" w:hAnsi="Symbol"/>
        </w:rPr>
        <w:t></w:t>
      </w:r>
      <w:r w:rsidRPr="000A7987">
        <w:rPr>
          <w:i/>
          <w:position w:val="-4"/>
          <w:sz w:val="16"/>
        </w:rPr>
        <w:t>a</w:t>
      </w:r>
      <w:r w:rsidRPr="000A7987">
        <w:t xml:space="preserve"> &lt; 2, la densité maximale de puissance dans une bande de 4 kHz est la somme des deux termes suivants:</w:t>
      </w:r>
    </w:p>
    <w:p w:rsidR="00382656" w:rsidRPr="000A7987" w:rsidRDefault="00382656" w:rsidP="00465C36">
      <w:pPr>
        <w:pStyle w:val="Equation"/>
        <w:tabs>
          <w:tab w:val="left" w:pos="1247"/>
          <w:tab w:val="left" w:pos="1588"/>
        </w:tabs>
      </w:pPr>
      <w:bookmarkStart w:id="14" w:name="F012"/>
      <w:r w:rsidRPr="000A7987">
        <w:tab/>
        <w:t>–</w:t>
      </w:r>
      <w:r w:rsidRPr="000A7987">
        <w:tab/>
        <w:t>spectre continu:</w:t>
      </w:r>
      <w:r w:rsidRPr="000A7987">
        <w:rPr>
          <w:i/>
        </w:rPr>
        <w:t xml:space="preserve"> </w:t>
      </w:r>
      <w:r w:rsidRPr="000A7987">
        <w:fldChar w:fldCharType="begin"/>
      </w:r>
      <w:r w:rsidRPr="000A7987">
        <w:instrText xml:space="preserve">eq </w:instrText>
      </w:r>
      <w:r w:rsidRPr="000A7987">
        <w:rPr>
          <w:i/>
        </w:rPr>
        <w:instrText>P</w:instrText>
      </w:r>
      <w:r w:rsidRPr="000A7987">
        <w:rPr>
          <w:i/>
          <w:position w:val="-4"/>
          <w:sz w:val="18"/>
        </w:rPr>
        <w:instrText>t</w:instrText>
      </w:r>
      <w:r w:rsidRPr="000A7987">
        <w:instrText xml:space="preserve">  </w:instrText>
      </w:r>
      <w:r w:rsidRPr="000A7987">
        <w:rPr>
          <w:rFonts w:ascii="Symbol" w:hAnsi="Symbol"/>
        </w:rPr>
        <w:instrText>´</w:instrText>
      </w:r>
      <w:r w:rsidRPr="000A7987">
        <w:instrText xml:space="preserve">  </w:instrText>
      </w:r>
      <w:r w:rsidRPr="000A7987">
        <w:rPr>
          <w:i/>
        </w:rPr>
        <w:instrText>S</w:instrText>
      </w:r>
      <w:r w:rsidRPr="000A7987">
        <w:instrText xml:space="preserve">(0)  </w:instrText>
      </w:r>
      <w:r w:rsidRPr="000A7987">
        <w:rPr>
          <w:rFonts w:ascii="Symbol" w:hAnsi="Symbol"/>
        </w:rPr>
        <w:instrText>´</w:instrText>
      </w:r>
      <w:r w:rsidRPr="000A7987">
        <w:instrText xml:space="preserve">  4</w:instrText>
      </w:r>
      <w:r w:rsidRPr="000A7987">
        <w:rPr>
          <w:sz w:val="12"/>
        </w:rPr>
        <w:instrText> </w:instrText>
      </w:r>
      <w:r w:rsidRPr="000A7987">
        <w:instrText>000</w:instrText>
      </w:r>
      <w:r w:rsidRPr="000A7987">
        <w:rPr>
          <w:color w:val="FFFFFF"/>
        </w:rPr>
        <w:instrText>mmmmmm</w:instrText>
      </w:r>
      <w:r w:rsidRPr="000A7987">
        <w:instrText>W/4 kHz</w:instrText>
      </w:r>
      <w:r w:rsidRPr="000A7987">
        <w:fldChar w:fldCharType="end"/>
      </w:r>
      <w:r w:rsidRPr="000A7987">
        <w:tab/>
        <w:t>(10)</w:t>
      </w:r>
      <w:bookmarkEnd w:id="14"/>
    </w:p>
    <w:p w:rsidR="00382656" w:rsidRPr="000A7987" w:rsidRDefault="00465C36" w:rsidP="00465C36">
      <w:pPr>
        <w:pStyle w:val="enumlev2"/>
      </w:pPr>
      <w:r>
        <w:rPr>
          <w:i/>
        </w:rPr>
        <w:tab/>
      </w:r>
      <w:r w:rsidR="00382656" w:rsidRPr="000A7987">
        <w:rPr>
          <w:i/>
        </w:rPr>
        <w:t>S</w:t>
      </w:r>
      <w:r w:rsidR="00382656" w:rsidRPr="000A7987">
        <w:t>(0) peut être tiré de la Fig. 3, qui donne</w:t>
      </w:r>
      <w:r w:rsidR="00382656" w:rsidRPr="000A7987">
        <w:rPr>
          <w:i/>
        </w:rPr>
        <w:t xml:space="preserve"> </w:t>
      </w:r>
      <w:r w:rsidR="00382656" w:rsidRPr="000A7987">
        <w:t>les valeurs du rapport de la puissance totale de la porteuse à la densité de puissance dans une bande de largeur</w:t>
      </w:r>
      <w:r w:rsidR="00382656" w:rsidRPr="000A7987">
        <w:rPr>
          <w:i/>
        </w:rPr>
        <w:t xml:space="preserve"> </w:t>
      </w:r>
      <w:r w:rsidR="00382656" w:rsidRPr="000A7987">
        <w:rPr>
          <w:rFonts w:ascii="Symbol" w:hAnsi="Symbol"/>
        </w:rPr>
        <w:t></w:t>
      </w:r>
      <w:r w:rsidR="00382656" w:rsidRPr="000A7987">
        <w:rPr>
          <w:i/>
          <w:position w:val="-4"/>
          <w:sz w:val="16"/>
        </w:rPr>
        <w:t>h</w:t>
      </w:r>
      <w:r w:rsidR="00382656" w:rsidRPr="000A7987">
        <w:t xml:space="preserve"> (Hz)</w:t>
      </w:r>
    </w:p>
    <w:p w:rsidR="00382656" w:rsidRPr="000A7987" w:rsidRDefault="00382656" w:rsidP="00382656">
      <w:pPr>
        <w:pStyle w:val="Equation"/>
        <w:tabs>
          <w:tab w:val="left" w:pos="1191"/>
          <w:tab w:val="left" w:pos="1588"/>
        </w:tabs>
      </w:pPr>
      <w:bookmarkStart w:id="15" w:name="F013"/>
      <w:r w:rsidRPr="000A7987">
        <w:rPr>
          <w:b/>
        </w:rPr>
        <w:tab/>
      </w:r>
      <w:r w:rsidRPr="000A7987">
        <w:t>–</w:t>
      </w:r>
      <w:r w:rsidRPr="000A7987">
        <w:tab/>
        <w:t>porteuse résiduelle:</w:t>
      </w:r>
      <w:r w:rsidRPr="000A7987">
        <w:rPr>
          <w:i/>
        </w:rPr>
        <w:t xml:space="preserve"> </w:t>
      </w:r>
      <w:r w:rsidRPr="000A7987">
        <w:fldChar w:fldCharType="begin"/>
      </w:r>
      <w:r w:rsidRPr="000A7987">
        <w:instrText xml:space="preserve">eq </w:instrText>
      </w:r>
      <w:r w:rsidRPr="000A7987">
        <w:rPr>
          <w:i/>
        </w:rPr>
        <w:instrText>P</w:instrText>
      </w:r>
      <w:r w:rsidRPr="000A7987">
        <w:rPr>
          <w:i/>
          <w:position w:val="-4"/>
          <w:sz w:val="18"/>
        </w:rPr>
        <w:instrText>t</w:instrText>
      </w:r>
      <w:r w:rsidRPr="000A7987">
        <w:instrText xml:space="preserve"> exp {– (</w:instrText>
      </w:r>
      <w:r w:rsidRPr="000A7987">
        <w:rPr>
          <w:rFonts w:ascii="Symbol" w:hAnsi="Symbol"/>
        </w:rPr>
        <w:instrText>bs</w:instrText>
      </w:r>
      <w:r w:rsidRPr="000A7987">
        <w:rPr>
          <w:i/>
          <w:position w:val="-4"/>
          <w:sz w:val="18"/>
        </w:rPr>
        <w:instrText>a</w:instrText>
      </w:r>
      <w:r w:rsidRPr="000A7987">
        <w:instrText>)</w:instrText>
      </w:r>
      <w:r w:rsidRPr="000A7987">
        <w:rPr>
          <w:position w:val="6"/>
          <w:sz w:val="18"/>
        </w:rPr>
        <w:instrText>2</w:instrText>
      </w:r>
      <w:r w:rsidRPr="000A7987">
        <w:instrText>}</w:instrText>
      </w:r>
      <w:r w:rsidRPr="000A7987">
        <w:rPr>
          <w:color w:val="FFFFFF"/>
        </w:rPr>
        <w:instrText>mmmmmm</w:instrText>
      </w:r>
      <w:r w:rsidRPr="000A7987">
        <w:instrText>W</w:instrText>
      </w:r>
      <w:r w:rsidRPr="000A7987">
        <w:fldChar w:fldCharType="end"/>
      </w:r>
      <w:r w:rsidRPr="000A7987">
        <w:tab/>
        <w:t>(11)</w:t>
      </w:r>
      <w:bookmarkEnd w:id="15"/>
    </w:p>
    <w:p w:rsidR="00382656" w:rsidRPr="000A7987" w:rsidRDefault="00382656" w:rsidP="00465C36">
      <w:r w:rsidRPr="000A7987">
        <w:tab/>
      </w:r>
      <w:r w:rsidRPr="000A7987">
        <w:tab/>
        <w:t>où:</w:t>
      </w:r>
    </w:p>
    <w:p w:rsidR="00382656" w:rsidRPr="00D6213B" w:rsidRDefault="00465C36" w:rsidP="00465C36">
      <w:pPr>
        <w:pStyle w:val="Equationlegend"/>
        <w:rPr>
          <w:lang w:val="fr-CH"/>
        </w:rPr>
      </w:pPr>
      <w:r w:rsidRPr="00D6213B">
        <w:rPr>
          <w:i/>
          <w:lang w:val="fr-CH"/>
        </w:rPr>
        <w:tab/>
      </w:r>
      <w:r w:rsidR="00382656" w:rsidRPr="00D6213B">
        <w:rPr>
          <w:i/>
          <w:lang w:val="fr-CH"/>
        </w:rPr>
        <w:t>P</w:t>
      </w:r>
      <w:r w:rsidR="00382656" w:rsidRPr="00D6213B">
        <w:rPr>
          <w:i/>
          <w:position w:val="-4"/>
          <w:sz w:val="16"/>
          <w:lang w:val="fr-CH"/>
        </w:rPr>
        <w:t>t</w:t>
      </w:r>
      <w:r w:rsidR="00382656" w:rsidRPr="00D6213B">
        <w:rPr>
          <w:rFonts w:ascii="Tms Rmn" w:hAnsi="Tms Rmn"/>
          <w:sz w:val="12"/>
          <w:lang w:val="fr-CH"/>
        </w:rPr>
        <w:t> </w:t>
      </w:r>
      <w:r w:rsidR="00382656" w:rsidRPr="00D6213B">
        <w:rPr>
          <w:lang w:val="fr-CH"/>
        </w:rPr>
        <w:t>:</w:t>
      </w:r>
      <w:r w:rsidR="00382656" w:rsidRPr="00D6213B">
        <w:rPr>
          <w:lang w:val="fr-CH"/>
        </w:rPr>
        <w:tab/>
      </w:r>
      <w:r w:rsidR="00382656" w:rsidRPr="00D6213B">
        <w:rPr>
          <w:lang w:val="fr-CH"/>
        </w:rPr>
        <w:tab/>
        <w:t xml:space="preserve">puissance totale de la porteuse (W) </w:t>
      </w:r>
    </w:p>
    <w:p w:rsidR="00382656" w:rsidRPr="00D6213B" w:rsidRDefault="00465C36" w:rsidP="00465C36">
      <w:pPr>
        <w:pStyle w:val="Equationlegend"/>
        <w:rPr>
          <w:lang w:val="fr-CH"/>
        </w:rPr>
      </w:pPr>
      <w:r w:rsidRPr="00D6213B">
        <w:rPr>
          <w:rFonts w:ascii="Symbol" w:hAnsi="Symbol"/>
          <w:lang w:val="fr-CH"/>
        </w:rPr>
        <w:tab/>
      </w:r>
      <w:r w:rsidR="00382656" w:rsidRPr="000A7987">
        <w:rPr>
          <w:rFonts w:ascii="Symbol" w:hAnsi="Symbol"/>
        </w:rPr>
        <w:t></w:t>
      </w:r>
      <w:r w:rsidR="00382656" w:rsidRPr="000A7987">
        <w:rPr>
          <w:rFonts w:ascii="Symbol" w:hAnsi="Symbol"/>
        </w:rPr>
        <w:t></w:t>
      </w:r>
      <w:r w:rsidR="00382656" w:rsidRPr="00D6213B">
        <w:rPr>
          <w:i/>
          <w:position w:val="-4"/>
          <w:sz w:val="16"/>
          <w:lang w:val="fr-CH"/>
        </w:rPr>
        <w:t>a</w:t>
      </w:r>
      <w:r w:rsidR="00382656" w:rsidRPr="00D6213B">
        <w:rPr>
          <w:rFonts w:ascii="Tms Rmn" w:hAnsi="Tms Rmn"/>
          <w:sz w:val="12"/>
          <w:lang w:val="fr-CH"/>
        </w:rPr>
        <w:t> </w:t>
      </w:r>
      <w:r w:rsidR="00382656" w:rsidRPr="00D6213B">
        <w:rPr>
          <w:lang w:val="fr-CH"/>
        </w:rPr>
        <w:t>:</w:t>
      </w:r>
      <w:r w:rsidR="00382656" w:rsidRPr="00D6213B">
        <w:rPr>
          <w:lang w:val="fr-CH"/>
        </w:rPr>
        <w:tab/>
      </w:r>
      <w:r w:rsidR="007A62C6">
        <w:rPr>
          <w:lang w:val="fr-CH"/>
        </w:rPr>
        <w:tab/>
      </w:r>
      <w:r w:rsidR="00382656" w:rsidRPr="00D6213B">
        <w:rPr>
          <w:lang w:val="fr-CH"/>
        </w:rPr>
        <w:t xml:space="preserve">excursion de phase multivoie (rad) </w:t>
      </w:r>
    </w:p>
    <w:p w:rsidR="00382656" w:rsidRPr="00465C36" w:rsidRDefault="00465C36" w:rsidP="00465C36">
      <w:pPr>
        <w:pStyle w:val="Equationlegend"/>
        <w:rPr>
          <w:lang w:val="fr-CH"/>
        </w:rPr>
      </w:pPr>
      <w:r w:rsidRPr="00D6213B">
        <w:rPr>
          <w:rFonts w:ascii="Symbol" w:hAnsi="Symbol"/>
          <w:lang w:val="fr-CH"/>
        </w:rPr>
        <w:tab/>
      </w:r>
      <w:r w:rsidR="00382656" w:rsidRPr="000A7987">
        <w:rPr>
          <w:rFonts w:ascii="Symbol" w:hAnsi="Symbol"/>
        </w:rPr>
        <w:t></w:t>
      </w:r>
      <w:r w:rsidR="00382656" w:rsidRPr="00465C36">
        <w:rPr>
          <w:rFonts w:ascii="Tms Rmn" w:hAnsi="Tms Rmn"/>
          <w:sz w:val="12"/>
          <w:lang w:val="fr-CH"/>
        </w:rPr>
        <w:t> </w:t>
      </w:r>
      <w:r w:rsidR="00382656" w:rsidRPr="00465C36">
        <w:rPr>
          <w:lang w:val="fr-CH"/>
        </w:rPr>
        <w:t>:</w:t>
      </w:r>
      <w:r w:rsidR="00382656" w:rsidRPr="00465C36">
        <w:rPr>
          <w:lang w:val="fr-CH"/>
        </w:rPr>
        <w:tab/>
      </w:r>
      <w:r w:rsidR="00382656" w:rsidRPr="00465C36">
        <w:rPr>
          <w:lang w:val="fr-CH"/>
        </w:rPr>
        <w:tab/>
        <w:t xml:space="preserve">valeur efficace de l'excursion de phase de la tonalité d'essai (rad) </w:t>
      </w:r>
    </w:p>
    <w:p w:rsidR="00382656" w:rsidRPr="00D6213B" w:rsidRDefault="00465C36" w:rsidP="00465C36">
      <w:pPr>
        <w:pStyle w:val="Equationlegend"/>
        <w:rPr>
          <w:lang w:val="fr-CH"/>
        </w:rPr>
      </w:pPr>
      <w:r w:rsidRPr="00D6213B">
        <w:rPr>
          <w:rFonts w:ascii="Symbol" w:hAnsi="Symbol"/>
          <w:lang w:val="fr-CH"/>
        </w:rPr>
        <w:tab/>
      </w:r>
      <w:r w:rsidR="00382656" w:rsidRPr="000A7987">
        <w:rPr>
          <w:rFonts w:ascii="Symbol" w:hAnsi="Symbol"/>
        </w:rPr>
        <w:t></w:t>
      </w:r>
      <w:r w:rsidR="00382656" w:rsidRPr="00D6213B">
        <w:rPr>
          <w:i/>
          <w:position w:val="-4"/>
          <w:sz w:val="16"/>
          <w:lang w:val="fr-CH"/>
        </w:rPr>
        <w:t>a</w:t>
      </w:r>
      <w:r w:rsidR="00382656" w:rsidRPr="00D6213B">
        <w:rPr>
          <w:rFonts w:ascii="Tms Rmn" w:hAnsi="Tms Rmn"/>
          <w:sz w:val="12"/>
          <w:lang w:val="fr-CH"/>
        </w:rPr>
        <w:t> </w:t>
      </w:r>
      <w:r w:rsidR="00382656" w:rsidRPr="00D6213B">
        <w:rPr>
          <w:lang w:val="fr-CH"/>
        </w:rPr>
        <w:t>:</w:t>
      </w:r>
      <w:r w:rsidR="00382656" w:rsidRPr="00D6213B">
        <w:rPr>
          <w:lang w:val="fr-CH"/>
        </w:rPr>
        <w:tab/>
      </w:r>
      <w:r w:rsidR="00382656" w:rsidRPr="00D6213B">
        <w:rPr>
          <w:lang w:val="fr-CH"/>
        </w:rPr>
        <w:tab/>
        <w:t>facteur de charge du signal de téléphonie multivoie</w:t>
      </w:r>
    </w:p>
    <w:p w:rsidR="00382656" w:rsidRPr="000A7987" w:rsidRDefault="00382656" w:rsidP="00382656">
      <w:pPr>
        <w:pStyle w:val="Equation"/>
        <w:tabs>
          <w:tab w:val="clear" w:pos="794"/>
          <w:tab w:val="left" w:pos="2155"/>
        </w:tabs>
      </w:pPr>
      <w:r w:rsidRPr="000A7987">
        <w:rPr>
          <w:b/>
        </w:rPr>
        <w:tab/>
      </w:r>
      <w:r w:rsidRPr="000A7987">
        <w:rPr>
          <w:rFonts w:ascii="Symbol" w:hAnsi="Symbol"/>
        </w:rPr>
        <w:t></w:t>
      </w:r>
      <w:r w:rsidRPr="000A7987">
        <w:rPr>
          <w:i/>
          <w:position w:val="-4"/>
          <w:sz w:val="18"/>
        </w:rPr>
        <w:t>a</w:t>
      </w:r>
      <w:r w:rsidRPr="000A7987">
        <w:t xml:space="preserve">  </w:t>
      </w:r>
      <w:r w:rsidRPr="000A7987">
        <w:rPr>
          <w:rFonts w:ascii="Symbol" w:hAnsi="Symbol"/>
        </w:rPr>
        <w:t></w:t>
      </w:r>
      <w:r w:rsidRPr="000A7987">
        <w:t xml:space="preserve">  </w:t>
      </w:r>
      <w:r w:rsidRPr="000A7987">
        <w:tab/>
      </w:r>
      <w:r w:rsidRPr="000A7987">
        <w:rPr>
          <w:position w:val="-32"/>
        </w:rPr>
        <w:object w:dxaOrig="3240" w:dyaOrig="760">
          <v:shape id="_x0000_i1040" type="#_x0000_t75" style="width:162.15pt;height:38.2pt" o:ole="">
            <v:imagedata r:id="rId40" o:title=""/>
          </v:shape>
          <o:OLEObject Type="Embed" ProgID="Equation.3" ShapeID="_x0000_i1040" DrawAspect="Content" ObjectID="_1402143860" r:id="rId41"/>
        </w:object>
      </w:r>
    </w:p>
    <w:p w:rsidR="00382656" w:rsidRPr="00D6213B" w:rsidRDefault="00465C36" w:rsidP="00465C36">
      <w:pPr>
        <w:pStyle w:val="Equationlegend"/>
        <w:rPr>
          <w:lang w:val="fr-CH"/>
        </w:rPr>
      </w:pPr>
      <w:r w:rsidRPr="00D6213B">
        <w:rPr>
          <w:i/>
          <w:lang w:val="fr-CH"/>
        </w:rPr>
        <w:tab/>
      </w:r>
      <w:r w:rsidR="00382656" w:rsidRPr="00D6213B">
        <w:rPr>
          <w:i/>
          <w:lang w:val="fr-CH"/>
        </w:rPr>
        <w:t>N</w:t>
      </w:r>
      <w:r w:rsidR="00382656" w:rsidRPr="00D6213B">
        <w:rPr>
          <w:rFonts w:ascii="Tms Rmn" w:hAnsi="Tms Rmn"/>
          <w:sz w:val="12"/>
          <w:lang w:val="fr-CH"/>
        </w:rPr>
        <w:t> </w:t>
      </w:r>
      <w:r w:rsidR="00382656" w:rsidRPr="00D6213B">
        <w:rPr>
          <w:lang w:val="fr-CH"/>
        </w:rPr>
        <w:t>:</w:t>
      </w:r>
      <w:r w:rsidR="00382656" w:rsidRPr="00D6213B">
        <w:rPr>
          <w:lang w:val="fr-CH"/>
        </w:rPr>
        <w:tab/>
      </w:r>
      <w:r w:rsidR="00382656" w:rsidRPr="00D6213B">
        <w:rPr>
          <w:lang w:val="fr-CH"/>
        </w:rPr>
        <w:tab/>
        <w:t>nombre de voies</w:t>
      </w:r>
    </w:p>
    <w:p w:rsidR="00382656" w:rsidRPr="00465C36" w:rsidRDefault="00465C36" w:rsidP="00465C36">
      <w:pPr>
        <w:pStyle w:val="Equationlegend"/>
        <w:rPr>
          <w:lang w:val="fr-CH"/>
        </w:rPr>
      </w:pPr>
      <w:r w:rsidRPr="00D6213B">
        <w:rPr>
          <w:rFonts w:ascii="Symbol" w:hAnsi="Symbol"/>
          <w:lang w:val="fr-CH"/>
        </w:rPr>
        <w:tab/>
      </w:r>
      <w:r w:rsidR="00382656" w:rsidRPr="000A7987">
        <w:rPr>
          <w:rFonts w:ascii="Symbol" w:hAnsi="Symbol"/>
        </w:rPr>
        <w:t></w:t>
      </w:r>
      <w:r w:rsidR="00382656" w:rsidRPr="00465C36">
        <w:rPr>
          <w:i/>
          <w:position w:val="-4"/>
          <w:sz w:val="16"/>
          <w:lang w:val="fr-CH"/>
        </w:rPr>
        <w:t>h</w:t>
      </w:r>
      <w:r w:rsidR="00382656" w:rsidRPr="00465C36">
        <w:rPr>
          <w:rFonts w:ascii="Tms Rmn" w:hAnsi="Tms Rmn"/>
          <w:sz w:val="12"/>
          <w:lang w:val="fr-CH"/>
        </w:rPr>
        <w:t> </w:t>
      </w:r>
      <w:r w:rsidR="00382656" w:rsidRPr="00465C36">
        <w:rPr>
          <w:lang w:val="fr-CH"/>
        </w:rPr>
        <w:t>:</w:t>
      </w:r>
      <w:r w:rsidR="00382656" w:rsidRPr="00465C36">
        <w:rPr>
          <w:lang w:val="fr-CH"/>
        </w:rPr>
        <w:tab/>
      </w:r>
      <w:r w:rsidR="00382656" w:rsidRPr="00465C36">
        <w:rPr>
          <w:lang w:val="fr-CH"/>
        </w:rPr>
        <w:tab/>
        <w:t xml:space="preserve">fréquence la plus élevée de la bande de base (Hz). </w:t>
      </w:r>
    </w:p>
    <w:p w:rsidR="00465C36" w:rsidRDefault="00465C36" w:rsidP="00465C36">
      <w:pPr>
        <w:pStyle w:val="FigureNo"/>
      </w:pPr>
      <w:r>
        <w:lastRenderedPageBreak/>
        <w:t>figure 3</w:t>
      </w:r>
    </w:p>
    <w:p w:rsidR="00465C36" w:rsidRDefault="00465C36" w:rsidP="007A62C6">
      <w:pPr>
        <w:pStyle w:val="Figuretitle"/>
        <w:rPr>
          <w:i/>
          <w:iCs/>
          <w:vertAlign w:val="subscript"/>
        </w:rPr>
      </w:pPr>
      <w:r>
        <w:t>Densité de puissance à la fréquence centrale du spectre de puissance continu</w:t>
      </w:r>
      <w:r>
        <w:br/>
        <w:t>d'une porteuse modulée en p</w:t>
      </w:r>
      <w:bookmarkStart w:id="16" w:name="_GoBack"/>
      <w:bookmarkEnd w:id="16"/>
      <w:r>
        <w:t xml:space="preserve">hase (MP) dans une bande de largeur </w:t>
      </w:r>
      <w:r w:rsidRPr="00465C36">
        <w:rPr>
          <w:i/>
          <w:iCs/>
        </w:rPr>
        <w:t>f</w:t>
      </w:r>
      <w:r w:rsidRPr="00465C36">
        <w:rPr>
          <w:i/>
          <w:iCs/>
          <w:vertAlign w:val="subscript"/>
        </w:rPr>
        <w:t>h</w:t>
      </w:r>
    </w:p>
    <w:p w:rsidR="00465C36" w:rsidRPr="00465C36" w:rsidRDefault="00492003" w:rsidP="00465C36">
      <w:pPr>
        <w:pStyle w:val="Figure"/>
      </w:pPr>
      <w:r>
        <w:object w:dxaOrig="9521" w:dyaOrig="7121">
          <v:shape id="_x0000_i1041" type="#_x0000_t75" style="width:443.25pt;height:331.85pt" o:ole="">
            <v:imagedata r:id="rId42" o:title=""/>
          </v:shape>
          <o:OLEObject Type="Embed" ProgID="CorelDRAW.Graphic.14" ShapeID="_x0000_i1041" DrawAspect="Content" ObjectID="_1402143861" r:id="rId43"/>
        </w:object>
      </w:r>
    </w:p>
    <w:p w:rsidR="00382656" w:rsidRPr="000A7987" w:rsidRDefault="00382656" w:rsidP="00465C36">
      <w:pPr>
        <w:pStyle w:val="Heading1"/>
      </w:pPr>
      <w:r w:rsidRPr="000A7987">
        <w:t>3</w:t>
      </w:r>
      <w:r w:rsidRPr="000A7987">
        <w:tab/>
        <w:t>Porteuse numérique avec une largeur de bande nécessaire supérieure à 4 kHz</w:t>
      </w:r>
    </w:p>
    <w:p w:rsidR="00382656" w:rsidRPr="000A7987" w:rsidRDefault="00382656" w:rsidP="00382656">
      <w:r w:rsidRPr="000A7987">
        <w:t>La densité maximale de puissance par Hz d'une porteuse numérique est donnée par:</w:t>
      </w:r>
    </w:p>
    <w:p w:rsidR="00382656" w:rsidRPr="000A7987" w:rsidRDefault="00382656" w:rsidP="00382656">
      <w:pPr>
        <w:pStyle w:val="Equation"/>
      </w:pPr>
      <w:bookmarkStart w:id="17" w:name="F015"/>
      <w:r w:rsidRPr="000A7987">
        <w:rPr>
          <w:b/>
          <w:bCs/>
        </w:rPr>
        <w:tab/>
      </w:r>
      <w:r w:rsidRPr="000A7987">
        <w:rPr>
          <w:b/>
          <w:bCs/>
        </w:rPr>
        <w:tab/>
      </w:r>
      <w:r w:rsidRPr="000A7987">
        <w:rPr>
          <w:i/>
          <w:iCs/>
        </w:rPr>
        <w:t>P</w:t>
      </w:r>
      <w:r w:rsidRPr="000A7987">
        <w:rPr>
          <w:i/>
          <w:iCs/>
          <w:vertAlign w:val="subscript"/>
        </w:rPr>
        <w:t>o</w:t>
      </w:r>
      <w:r w:rsidRPr="000A7987">
        <w:rPr>
          <w:vertAlign w:val="subscript"/>
        </w:rPr>
        <w:t xml:space="preserve"> </w:t>
      </w:r>
      <w:r w:rsidRPr="000A7987">
        <w:t xml:space="preserve">= </w:t>
      </w:r>
      <w:r w:rsidRPr="000A7987">
        <w:rPr>
          <w:i/>
          <w:iCs/>
        </w:rPr>
        <w:t>P</w:t>
      </w:r>
      <w:r w:rsidRPr="000A7987">
        <w:rPr>
          <w:i/>
          <w:iCs/>
          <w:vertAlign w:val="subscript"/>
        </w:rPr>
        <w:t>t</w:t>
      </w:r>
      <w:r w:rsidRPr="000A7987">
        <w:t>/</w:t>
      </w:r>
      <w:r w:rsidRPr="000A7987">
        <w:rPr>
          <w:i/>
          <w:iCs/>
        </w:rPr>
        <w:t>B</w:t>
      </w:r>
      <w:r w:rsidRPr="000A7987">
        <w:t xml:space="preserve">     </w:t>
      </w:r>
      <w:r w:rsidRPr="000A7987">
        <w:tab/>
        <w:t>(12)</w:t>
      </w:r>
      <w:bookmarkEnd w:id="17"/>
    </w:p>
    <w:p w:rsidR="00382656" w:rsidRPr="000A7987" w:rsidRDefault="00382656" w:rsidP="00382656">
      <w:r w:rsidRPr="000A7987">
        <w:t>où:</w:t>
      </w:r>
    </w:p>
    <w:p w:rsidR="00382656" w:rsidRPr="00D6213B" w:rsidRDefault="00382656" w:rsidP="00D6213B">
      <w:pPr>
        <w:pStyle w:val="Equationlegend"/>
        <w:rPr>
          <w:lang w:val="fr-CH"/>
        </w:rPr>
      </w:pPr>
      <w:r w:rsidRPr="00D6213B">
        <w:rPr>
          <w:lang w:val="fr-CH"/>
        </w:rPr>
        <w:tab/>
      </w:r>
      <w:r w:rsidR="00D6213B" w:rsidRPr="00D6213B">
        <w:rPr>
          <w:i/>
          <w:iCs/>
          <w:lang w:val="fr-CH"/>
        </w:rPr>
        <w:t>P</w:t>
      </w:r>
      <w:r w:rsidR="00D6213B" w:rsidRPr="00D6213B">
        <w:rPr>
          <w:i/>
          <w:iCs/>
          <w:vertAlign w:val="subscript"/>
          <w:lang w:val="fr-CH"/>
        </w:rPr>
        <w:t>t</w:t>
      </w:r>
      <w:r w:rsidRPr="00D6213B">
        <w:rPr>
          <w:lang w:val="fr-CH"/>
        </w:rPr>
        <w:t> :</w:t>
      </w:r>
      <w:r w:rsidRPr="00D6213B">
        <w:rPr>
          <w:lang w:val="fr-CH"/>
        </w:rPr>
        <w:tab/>
      </w:r>
      <w:r w:rsidRPr="00D6213B">
        <w:rPr>
          <w:lang w:val="fr-CH"/>
        </w:rPr>
        <w:tab/>
        <w:t>puissance totale de la porteuse (W)</w:t>
      </w:r>
    </w:p>
    <w:p w:rsidR="00382656" w:rsidRPr="00D6213B" w:rsidRDefault="00382656" w:rsidP="00D6213B">
      <w:pPr>
        <w:pStyle w:val="Equationlegend"/>
        <w:rPr>
          <w:lang w:val="fr-CH"/>
        </w:rPr>
      </w:pPr>
      <w:r w:rsidRPr="00D6213B">
        <w:rPr>
          <w:lang w:val="fr-CH"/>
        </w:rPr>
        <w:tab/>
      </w:r>
      <w:r w:rsidRPr="00D6213B">
        <w:rPr>
          <w:i/>
          <w:iCs/>
          <w:lang w:val="fr-CH"/>
        </w:rPr>
        <w:t>B</w:t>
      </w:r>
      <w:r w:rsidRPr="00D6213B">
        <w:rPr>
          <w:lang w:val="fr-CH"/>
        </w:rPr>
        <w:t> :</w:t>
      </w:r>
      <w:r w:rsidRPr="00D6213B">
        <w:rPr>
          <w:lang w:val="fr-CH"/>
        </w:rPr>
        <w:tab/>
      </w:r>
      <w:r w:rsidRPr="00D6213B">
        <w:rPr>
          <w:lang w:val="fr-CH"/>
        </w:rPr>
        <w:tab/>
        <w:t>largeur de bande nécessaire de l'émission numérique (Hz).</w:t>
      </w:r>
    </w:p>
    <w:p w:rsidR="00382656" w:rsidRPr="000A7987" w:rsidRDefault="00382656" w:rsidP="00382656">
      <w:r w:rsidRPr="000A7987">
        <w:t xml:space="preserve">La densité maximale de puissance </w:t>
      </w:r>
      <w:r>
        <w:t xml:space="preserve">dans une bande de </w:t>
      </w:r>
      <w:r w:rsidRPr="000A7987">
        <w:t xml:space="preserve">4 kHz dans le cas le plus défavorable s'obtient en multipliant le résultat de l'expression (12) par 4 </w:t>
      </w:r>
      <w:r w:rsidRPr="000A7987">
        <w:rPr>
          <w:rFonts w:ascii="Times" w:hAnsi="Times"/>
        </w:rPr>
        <w:t>×</w:t>
      </w:r>
      <w:r w:rsidRPr="000A7987">
        <w:t xml:space="preserve"> 10</w:t>
      </w:r>
      <w:r w:rsidRPr="000A7987">
        <w:rPr>
          <w:vertAlign w:val="superscript"/>
        </w:rPr>
        <w:t>3</w:t>
      </w:r>
      <w:r w:rsidRPr="000A7987">
        <w:t>:</w:t>
      </w:r>
    </w:p>
    <w:p w:rsidR="00382656" w:rsidRPr="000A7987" w:rsidRDefault="00382656" w:rsidP="00382656">
      <w:pPr>
        <w:pStyle w:val="Equation"/>
      </w:pPr>
      <w:r w:rsidRPr="000A7987">
        <w:tab/>
      </w:r>
      <w:r w:rsidRPr="000A7987">
        <w:tab/>
      </w:r>
      <w:r w:rsidRPr="000A7987">
        <w:rPr>
          <w:i/>
          <w:iCs/>
        </w:rPr>
        <w:t>P</w:t>
      </w:r>
      <w:r w:rsidRPr="000A7987">
        <w:rPr>
          <w:vertAlign w:val="subscript"/>
        </w:rPr>
        <w:t>4 kHz</w:t>
      </w:r>
      <w:r w:rsidRPr="000A7987">
        <w:t xml:space="preserve"> = </w:t>
      </w:r>
      <w:r w:rsidRPr="000A7987">
        <w:rPr>
          <w:i/>
          <w:iCs/>
        </w:rPr>
        <w:t>P</w:t>
      </w:r>
      <w:r w:rsidRPr="000A7987">
        <w:rPr>
          <w:i/>
          <w:iCs/>
          <w:vertAlign w:val="subscript"/>
        </w:rPr>
        <w:t>o</w:t>
      </w:r>
      <w:r w:rsidRPr="000A7987">
        <w:rPr>
          <w:i/>
          <w:iCs/>
        </w:rPr>
        <w:t xml:space="preserve"> </w:t>
      </w:r>
      <w:r w:rsidRPr="000A7987">
        <w:t xml:space="preserve">* 4 </w:t>
      </w:r>
      <w:r w:rsidRPr="000A7987">
        <w:rPr>
          <w:rFonts w:ascii="Times" w:hAnsi="Times"/>
        </w:rPr>
        <w:t>×</w:t>
      </w:r>
      <w:r w:rsidRPr="000A7987">
        <w:t xml:space="preserve"> 10</w:t>
      </w:r>
      <w:r w:rsidRPr="000A7987">
        <w:rPr>
          <w:vertAlign w:val="superscript"/>
        </w:rPr>
        <w:t>3</w:t>
      </w:r>
      <w:r w:rsidRPr="000A7987">
        <w:t xml:space="preserve">  (W/4 kHz)</w:t>
      </w:r>
      <w:r w:rsidRPr="000A7987">
        <w:tab/>
        <w:t>(13)</w:t>
      </w:r>
    </w:p>
    <w:p w:rsidR="00382656" w:rsidRPr="000A7987" w:rsidRDefault="00382656" w:rsidP="00D6213B">
      <w:pPr>
        <w:pStyle w:val="Heading1"/>
      </w:pPr>
      <w:r w:rsidRPr="000A7987">
        <w:rPr>
          <w:lang w:eastAsia="ja-JP"/>
        </w:rPr>
        <w:t>4</w:t>
      </w:r>
      <w:r w:rsidRPr="000A7987">
        <w:tab/>
        <w:t>Porteuse numérique avec une largeur de bande nécessaire inférieure à 4 kHz</w:t>
      </w:r>
    </w:p>
    <w:p w:rsidR="00382656" w:rsidRPr="000A7987" w:rsidRDefault="00382656" w:rsidP="00382656">
      <w:r w:rsidRPr="000A7987">
        <w:t xml:space="preserve">Dans les cas </w:t>
      </w:r>
      <w:r>
        <w:t xml:space="preserve">où on a </w:t>
      </w:r>
      <w:r w:rsidRPr="000A7987">
        <w:t xml:space="preserve">plusieurs porteuses identiques avec une largeur de bande inférieure à </w:t>
      </w:r>
      <w:r w:rsidRPr="000A7987">
        <w:rPr>
          <w:lang w:eastAsia="ja-JP"/>
        </w:rPr>
        <w:t xml:space="preserve">4 kHz </w:t>
      </w:r>
      <w:r>
        <w:rPr>
          <w:lang w:eastAsia="ja-JP"/>
        </w:rPr>
        <w:t xml:space="preserve">et </w:t>
      </w:r>
      <w:r w:rsidRPr="000A7987">
        <w:rPr>
          <w:lang w:eastAsia="ja-JP"/>
        </w:rPr>
        <w:t xml:space="preserve">où on sait qu'une </w:t>
      </w:r>
      <w:r w:rsidRPr="000A7987">
        <w:t xml:space="preserve">bande quelconque de </w:t>
      </w:r>
      <w:r w:rsidRPr="000A7987">
        <w:rPr>
          <w:lang w:eastAsia="ja-JP"/>
        </w:rPr>
        <w:t>4</w:t>
      </w:r>
      <w:r w:rsidRPr="000A7987">
        <w:t> </w:t>
      </w:r>
      <w:r w:rsidRPr="000A7987">
        <w:rPr>
          <w:lang w:eastAsia="ja-JP"/>
        </w:rPr>
        <w:t>k</w:t>
      </w:r>
      <w:r w:rsidRPr="000A7987">
        <w:t>Hz ne sera pas complètement remplie par ces porteuses, il convient d'appliquer la formule suivante:</w:t>
      </w:r>
    </w:p>
    <w:p w:rsidR="00382656" w:rsidRPr="00382656" w:rsidRDefault="00382656" w:rsidP="00382656">
      <w:pPr>
        <w:pStyle w:val="Equation"/>
        <w:rPr>
          <w:lang w:val="en-US"/>
        </w:rPr>
      </w:pPr>
      <w:r w:rsidRPr="000A7987">
        <w:tab/>
      </w:r>
      <w:r w:rsidRPr="000A7987">
        <w:tab/>
      </w:r>
      <w:r w:rsidRPr="00382656">
        <w:rPr>
          <w:i/>
          <w:iCs/>
          <w:lang w:val="en-US"/>
        </w:rPr>
        <w:t>P</w:t>
      </w:r>
      <w:r w:rsidRPr="00382656">
        <w:rPr>
          <w:vertAlign w:val="subscript"/>
          <w:lang w:val="en-US" w:eastAsia="ja-JP"/>
        </w:rPr>
        <w:t>4 k</w:t>
      </w:r>
      <w:r w:rsidRPr="00382656">
        <w:rPr>
          <w:vertAlign w:val="subscript"/>
          <w:lang w:val="en-US"/>
        </w:rPr>
        <w:t>Hz</w:t>
      </w:r>
      <w:r w:rsidRPr="00382656">
        <w:rPr>
          <w:lang w:val="en-US"/>
        </w:rPr>
        <w:t xml:space="preserve"> = (</w:t>
      </w:r>
      <w:r w:rsidRPr="00382656">
        <w:rPr>
          <w:i/>
          <w:iCs/>
          <w:lang w:val="en-US"/>
        </w:rPr>
        <w:t>P</w:t>
      </w:r>
      <w:r w:rsidRPr="00382656">
        <w:rPr>
          <w:i/>
          <w:iCs/>
          <w:vertAlign w:val="subscript"/>
          <w:lang w:val="en-US"/>
        </w:rPr>
        <w:t>t</w:t>
      </w:r>
      <w:r w:rsidRPr="00382656">
        <w:rPr>
          <w:lang w:val="en-US"/>
        </w:rPr>
        <w:t xml:space="preserve"> * </w:t>
      </w:r>
      <w:r w:rsidRPr="00382656">
        <w:rPr>
          <w:i/>
          <w:iCs/>
          <w:lang w:val="en-US"/>
        </w:rPr>
        <w:t>N</w:t>
      </w:r>
      <w:r w:rsidRPr="00382656">
        <w:rPr>
          <w:lang w:val="en-US"/>
        </w:rPr>
        <w:t>)  (W/</w:t>
      </w:r>
      <w:r w:rsidRPr="00382656">
        <w:rPr>
          <w:lang w:val="en-US" w:eastAsia="ja-JP"/>
        </w:rPr>
        <w:t>4 k</w:t>
      </w:r>
      <w:r w:rsidRPr="00382656">
        <w:rPr>
          <w:lang w:val="en-US"/>
        </w:rPr>
        <w:t>Hz)</w:t>
      </w:r>
      <w:r w:rsidRPr="00382656">
        <w:rPr>
          <w:lang w:val="en-US"/>
        </w:rPr>
        <w:tab/>
        <w:t>(</w:t>
      </w:r>
      <w:r w:rsidRPr="00382656">
        <w:rPr>
          <w:lang w:val="en-US" w:eastAsia="ja-JP"/>
        </w:rPr>
        <w:t>14</w:t>
      </w:r>
      <w:r w:rsidRPr="00382656">
        <w:rPr>
          <w:lang w:val="en-US"/>
        </w:rPr>
        <w:t>)</w:t>
      </w:r>
    </w:p>
    <w:p w:rsidR="00382656" w:rsidRPr="000A7987" w:rsidRDefault="00382656" w:rsidP="00382656">
      <w:r w:rsidRPr="000A7987">
        <w:t>où:</w:t>
      </w:r>
    </w:p>
    <w:p w:rsidR="00382656" w:rsidRPr="007A62C6" w:rsidRDefault="00382656" w:rsidP="00D6213B">
      <w:pPr>
        <w:pStyle w:val="Equationlegend"/>
        <w:rPr>
          <w:lang w:val="fr-CH"/>
        </w:rPr>
      </w:pPr>
      <w:r w:rsidRPr="007A62C6">
        <w:rPr>
          <w:lang w:val="fr-CH"/>
        </w:rPr>
        <w:tab/>
      </w:r>
      <w:r w:rsidRPr="007A62C6">
        <w:rPr>
          <w:i/>
          <w:iCs/>
          <w:lang w:val="fr-CH"/>
        </w:rPr>
        <w:t>P</w:t>
      </w:r>
      <w:r w:rsidRPr="007A62C6">
        <w:rPr>
          <w:i/>
          <w:iCs/>
          <w:vertAlign w:val="subscript"/>
          <w:lang w:val="fr-CH"/>
        </w:rPr>
        <w:t>t</w:t>
      </w:r>
      <w:r w:rsidRPr="007A62C6">
        <w:rPr>
          <w:lang w:val="fr-CH"/>
        </w:rPr>
        <w:t>:</w:t>
      </w:r>
      <w:r w:rsidRPr="007A62C6">
        <w:rPr>
          <w:lang w:val="fr-CH"/>
        </w:rPr>
        <w:tab/>
        <w:t>puissance totale d'une seule porteuse (W)</w:t>
      </w:r>
    </w:p>
    <w:p w:rsidR="00382656" w:rsidRPr="00A12CDA" w:rsidRDefault="00382656" w:rsidP="00A12CDA">
      <w:pPr>
        <w:pStyle w:val="Equationlegend"/>
        <w:rPr>
          <w:lang w:val="fr-CH"/>
        </w:rPr>
      </w:pPr>
      <w:r w:rsidRPr="007A62C6">
        <w:rPr>
          <w:lang w:val="fr-CH"/>
        </w:rPr>
        <w:lastRenderedPageBreak/>
        <w:tab/>
      </w:r>
      <w:r w:rsidRPr="00A12CDA">
        <w:rPr>
          <w:i/>
          <w:iCs/>
          <w:lang w:val="fr-CH"/>
        </w:rPr>
        <w:t>N</w:t>
      </w:r>
      <w:r w:rsidRPr="00A12CDA">
        <w:rPr>
          <w:lang w:val="fr-CH"/>
        </w:rPr>
        <w:t>:</w:t>
      </w:r>
      <w:r w:rsidRPr="00A12CDA">
        <w:rPr>
          <w:lang w:val="fr-CH"/>
        </w:rPr>
        <w:tab/>
        <w:t>nombre maximal de porteuses, ou de parties de porteuses, avec une largeur de bande inférieure à 4 kHz qui occupent une bande quelconque de 4 kHz.</w:t>
      </w:r>
    </w:p>
    <w:p w:rsidR="00382656" w:rsidRPr="000A7987" w:rsidRDefault="00382656" w:rsidP="00382656">
      <w:pPr>
        <w:rPr>
          <w:iCs/>
        </w:rPr>
      </w:pPr>
      <w:r w:rsidRPr="000A7987">
        <w:t>La formule (</w:t>
      </w:r>
      <w:r w:rsidRPr="000A7987">
        <w:rPr>
          <w:lang w:eastAsia="ja-JP"/>
        </w:rPr>
        <w:t>14)</w:t>
      </w:r>
      <w:r w:rsidRPr="000A7987">
        <w:t xml:space="preserve"> peut être généralisée au cas où on sait </w:t>
      </w:r>
      <w:r>
        <w:t>qu'</w:t>
      </w:r>
      <w:r w:rsidRPr="000A7987">
        <w:t xml:space="preserve">une bande quelconque de </w:t>
      </w:r>
      <w:r w:rsidRPr="000A7987">
        <w:rPr>
          <w:lang w:eastAsia="ja-JP"/>
        </w:rPr>
        <w:t>4</w:t>
      </w:r>
      <w:r w:rsidRPr="000A7987">
        <w:t> </w:t>
      </w:r>
      <w:r w:rsidRPr="000A7987">
        <w:rPr>
          <w:lang w:eastAsia="ja-JP"/>
        </w:rPr>
        <w:t>k</w:t>
      </w:r>
      <w:r w:rsidRPr="000A7987">
        <w:t xml:space="preserve">Hz </w:t>
      </w:r>
      <w:r>
        <w:t xml:space="preserve">sera occupée par </w:t>
      </w:r>
      <w:r w:rsidRPr="000A7987">
        <w:t xml:space="preserve">différents types de porteuses avec des largeurs de bande inférieures à </w:t>
      </w:r>
      <w:r w:rsidRPr="000A7987">
        <w:rPr>
          <w:lang w:eastAsia="ja-JP"/>
        </w:rPr>
        <w:t>4</w:t>
      </w:r>
      <w:r w:rsidRPr="000A7987">
        <w:t> </w:t>
      </w:r>
      <w:r w:rsidRPr="000A7987">
        <w:rPr>
          <w:lang w:eastAsia="ja-JP"/>
        </w:rPr>
        <w:t>k</w:t>
      </w:r>
      <w:r w:rsidRPr="000A7987">
        <w:t>Hz</w:t>
      </w:r>
      <w:r>
        <w:t>,</w:t>
      </w:r>
      <w:r w:rsidRPr="000A7987">
        <w:t xml:space="preserve"> en faisant la somme des puissances des divers types de porteuses qui occupent la bande de </w:t>
      </w:r>
      <w:r w:rsidRPr="000A7987">
        <w:rPr>
          <w:lang w:eastAsia="ja-JP"/>
        </w:rPr>
        <w:t>4</w:t>
      </w:r>
      <w:r w:rsidRPr="000A7987">
        <w:t> </w:t>
      </w:r>
      <w:r w:rsidRPr="000A7987">
        <w:rPr>
          <w:lang w:eastAsia="ja-JP"/>
        </w:rPr>
        <w:t>k</w:t>
      </w:r>
      <w:r w:rsidRPr="000A7987">
        <w:t xml:space="preserve">Hz et en supposant que la puissance totale </w:t>
      </w:r>
      <w:r>
        <w:t xml:space="preserve">ainsi obtenue </w:t>
      </w:r>
      <w:r w:rsidRPr="000A7987">
        <w:t xml:space="preserve">est la puissance </w:t>
      </w:r>
      <w:r>
        <w:t xml:space="preserve">dans une bande de </w:t>
      </w:r>
      <w:r w:rsidRPr="000A7987">
        <w:rPr>
          <w:lang w:eastAsia="ja-JP"/>
        </w:rPr>
        <w:t>4</w:t>
      </w:r>
      <w:r w:rsidRPr="000A7987">
        <w:t> </w:t>
      </w:r>
      <w:r w:rsidRPr="000A7987">
        <w:rPr>
          <w:lang w:eastAsia="ja-JP"/>
        </w:rPr>
        <w:t>k</w:t>
      </w:r>
      <w:r w:rsidRPr="000A7987">
        <w:t>Hz.</w:t>
      </w:r>
    </w:p>
    <w:p w:rsidR="00382656" w:rsidRPr="000A7987" w:rsidRDefault="00382656" w:rsidP="00D6213B">
      <w:pPr>
        <w:pStyle w:val="Heading1"/>
      </w:pPr>
      <w:r w:rsidRPr="000A7987">
        <w:t>5</w:t>
      </w:r>
      <w:r w:rsidRPr="000A7987">
        <w:tab/>
        <w:t xml:space="preserve">Porteuse TT&amp;C </w:t>
      </w:r>
    </w:p>
    <w:p w:rsidR="00382656" w:rsidRPr="000A7987" w:rsidRDefault="00382656" w:rsidP="00382656">
      <w:r w:rsidRPr="000A7987">
        <w:t xml:space="preserve">Dans le cas de porteuses TT&amp;C à bande étroite, </w:t>
      </w:r>
      <w:r>
        <w:t xml:space="preserve">exploitées dans le cadre du </w:t>
      </w:r>
      <w:r w:rsidRPr="000A7987">
        <w:t>numéro </w:t>
      </w:r>
      <w:r w:rsidRPr="000A7987">
        <w:rPr>
          <w:bCs/>
        </w:rPr>
        <w:t>1.23 du RR, dans les bandes de fr</w:t>
      </w:r>
      <w:r>
        <w:rPr>
          <w:bCs/>
        </w:rPr>
        <w:t>équenc</w:t>
      </w:r>
      <w:r w:rsidRPr="000A7987">
        <w:rPr>
          <w:bCs/>
        </w:rPr>
        <w:t xml:space="preserve">es inférieures </w:t>
      </w:r>
      <w:r w:rsidRPr="000A7987">
        <w:t xml:space="preserve">à 15 GHz, il faut prendre certaines précautions pour évaluer la puissance maximale </w:t>
      </w:r>
      <w:r>
        <w:t xml:space="preserve">dans une bande de </w:t>
      </w:r>
      <w:r w:rsidRPr="000A7987">
        <w:t>4 kHz de ces porteuses. En effet, ces porteuses peuvent avoir plusieurs composantes spectrales distinctes et significatives. Il est donc important de tenir compte de la forme spectrale réelle de ces porteuses TT&amp;C lors du choix de la largeur de bande de 4 kHz la plus défavorable pour évaluer la densité maximale de puissance.</w:t>
      </w:r>
    </w:p>
    <w:p w:rsidR="00382656" w:rsidRPr="000A7987" w:rsidRDefault="00382656" w:rsidP="00382656"/>
    <w:p w:rsidR="00382656" w:rsidRPr="000A7987" w:rsidRDefault="00382656" w:rsidP="00382656">
      <w:pPr>
        <w:rPr>
          <w:lang w:eastAsia="ja-JP"/>
        </w:rPr>
      </w:pPr>
    </w:p>
    <w:p w:rsidR="00382656" w:rsidRPr="000A7987" w:rsidRDefault="00382656" w:rsidP="00382656">
      <w:pPr>
        <w:pStyle w:val="AnnexNoTitle"/>
      </w:pPr>
      <w:r w:rsidRPr="000A7987">
        <w:t>Annexe 2</w:t>
      </w:r>
      <w:r w:rsidRPr="000A7987">
        <w:br/>
      </w:r>
      <w:r w:rsidRPr="000A7987">
        <w:br/>
      </w:r>
      <w:r w:rsidRPr="000A7987">
        <w:rPr>
          <w:rFonts w:eastAsia="MS Mincho"/>
          <w:szCs w:val="28"/>
        </w:rPr>
        <w:t>Calcul</w:t>
      </w:r>
      <w:r>
        <w:rPr>
          <w:rFonts w:eastAsia="MS Mincho"/>
          <w:szCs w:val="28"/>
        </w:rPr>
        <w:t xml:space="preserve"> de la densité maximale de puissance </w:t>
      </w:r>
      <w:r w:rsidRPr="000A7987">
        <w:rPr>
          <w:rFonts w:eastAsia="MS Mincho"/>
          <w:szCs w:val="28"/>
        </w:rPr>
        <w:t>(</w:t>
      </w:r>
      <w:r>
        <w:rPr>
          <w:rFonts w:eastAsia="MS Mincho"/>
          <w:szCs w:val="28"/>
        </w:rPr>
        <w:t xml:space="preserve">moyennée sur </w:t>
      </w:r>
      <w:r w:rsidRPr="000A7987">
        <w:rPr>
          <w:rFonts w:eastAsia="MS Mincho"/>
          <w:szCs w:val="28"/>
        </w:rPr>
        <w:t xml:space="preserve">1 MHz) </w:t>
      </w:r>
      <w:r w:rsidRPr="000A7987">
        <w:rPr>
          <w:szCs w:val="28"/>
        </w:rPr>
        <w:br/>
      </w:r>
      <w:r>
        <w:rPr>
          <w:rFonts w:eastAsia="MS Mincho"/>
          <w:szCs w:val="28"/>
        </w:rPr>
        <w:t xml:space="preserve">d'une porteuse numérique ou </w:t>
      </w:r>
      <w:r w:rsidRPr="000A7987">
        <w:rPr>
          <w:rFonts w:eastAsia="MS Mincho"/>
          <w:szCs w:val="28"/>
        </w:rPr>
        <w:t xml:space="preserve">TT&amp;C </w:t>
      </w:r>
    </w:p>
    <w:p w:rsidR="00382656" w:rsidRDefault="00382656" w:rsidP="00382656">
      <w:pPr>
        <w:pStyle w:val="Normalaftertitle"/>
      </w:pPr>
      <w:r w:rsidRPr="000A7987">
        <w:t xml:space="preserve">On trouvera ci-dessous la description de la méthode de calcul du niveau de puissance dans la bande de </w:t>
      </w:r>
      <w:r>
        <w:t>1</w:t>
      </w:r>
      <w:r w:rsidRPr="000A7987">
        <w:t> </w:t>
      </w:r>
      <w:r>
        <w:t>M</w:t>
      </w:r>
      <w:r w:rsidRPr="000A7987">
        <w:t>Hz la plus défavorable (W/</w:t>
      </w:r>
      <w:r>
        <w:t>M</w:t>
      </w:r>
      <w:r w:rsidRPr="000A7987">
        <w:t xml:space="preserve">Hz). </w:t>
      </w:r>
    </w:p>
    <w:p w:rsidR="00382656" w:rsidRPr="000A7987" w:rsidRDefault="00382656" w:rsidP="00D6213B">
      <w:pPr>
        <w:pStyle w:val="Heading1"/>
      </w:pPr>
      <w:r w:rsidRPr="000A7987">
        <w:t>1</w:t>
      </w:r>
      <w:r w:rsidRPr="000A7987">
        <w:tab/>
      </w:r>
      <w:r>
        <w:t xml:space="preserve">Porteuse numérique avec une largeur de bande nécessaire supérieure à </w:t>
      </w:r>
      <w:r w:rsidRPr="000A7987">
        <w:t>1 MHz</w:t>
      </w:r>
    </w:p>
    <w:p w:rsidR="00382656" w:rsidRPr="000A7987" w:rsidRDefault="00382656" w:rsidP="00382656">
      <w:r w:rsidRPr="000A7987">
        <w:t>La densité maximale de puissance par Hz d'une porteuse numérique est donnée par:</w:t>
      </w:r>
    </w:p>
    <w:p w:rsidR="00382656" w:rsidRPr="000A7987" w:rsidRDefault="00382656" w:rsidP="00382656">
      <w:pPr>
        <w:pStyle w:val="Equation"/>
        <w:keepNext/>
        <w:keepLines/>
      </w:pPr>
      <w:r w:rsidRPr="000A7987">
        <w:tab/>
      </w:r>
      <w:r w:rsidRPr="000A7987">
        <w:tab/>
      </w:r>
      <w:r w:rsidRPr="000A7987">
        <w:rPr>
          <w:i/>
          <w:iCs/>
        </w:rPr>
        <w:t>P</w:t>
      </w:r>
      <w:r w:rsidRPr="000A7987">
        <w:rPr>
          <w:i/>
          <w:iCs/>
          <w:vertAlign w:val="subscript"/>
        </w:rPr>
        <w:t>o</w:t>
      </w:r>
      <w:r w:rsidRPr="000A7987">
        <w:t xml:space="preserve"> = </w:t>
      </w:r>
      <w:r w:rsidRPr="000A7987">
        <w:rPr>
          <w:i/>
          <w:iCs/>
        </w:rPr>
        <w:t>P</w:t>
      </w:r>
      <w:r w:rsidRPr="000A7987">
        <w:rPr>
          <w:i/>
          <w:iCs/>
          <w:vertAlign w:val="subscript"/>
        </w:rPr>
        <w:t>t</w:t>
      </w:r>
      <w:r w:rsidRPr="000A7987">
        <w:t xml:space="preserve"> /</w:t>
      </w:r>
      <w:r w:rsidRPr="000A7987">
        <w:rPr>
          <w:i/>
          <w:iCs/>
        </w:rPr>
        <w:t xml:space="preserve">B </w:t>
      </w:r>
      <w:r w:rsidRPr="000A7987">
        <w:t xml:space="preserve">    (W/Hz)</w:t>
      </w:r>
      <w:r w:rsidRPr="000A7987">
        <w:tab/>
        <w:t>(15)</w:t>
      </w:r>
    </w:p>
    <w:p w:rsidR="00382656" w:rsidRPr="000A7987" w:rsidRDefault="00382656" w:rsidP="00382656">
      <w:r w:rsidRPr="000A7987">
        <w:t>où:</w:t>
      </w:r>
    </w:p>
    <w:p w:rsidR="00382656" w:rsidRPr="007A62C6" w:rsidRDefault="00382656" w:rsidP="00D6213B">
      <w:pPr>
        <w:pStyle w:val="Equationlegend"/>
        <w:rPr>
          <w:lang w:val="fr-CH"/>
        </w:rPr>
      </w:pPr>
      <w:r w:rsidRPr="007A62C6">
        <w:rPr>
          <w:lang w:val="fr-CH"/>
        </w:rPr>
        <w:tab/>
      </w:r>
      <w:r w:rsidRPr="007A62C6">
        <w:rPr>
          <w:i/>
          <w:iCs/>
          <w:lang w:val="fr-CH"/>
        </w:rPr>
        <w:t>P</w:t>
      </w:r>
      <w:r w:rsidRPr="007A62C6">
        <w:rPr>
          <w:i/>
          <w:iCs/>
          <w:vertAlign w:val="subscript"/>
          <w:lang w:val="fr-CH"/>
        </w:rPr>
        <w:t>t</w:t>
      </w:r>
      <w:r w:rsidRPr="007A62C6">
        <w:rPr>
          <w:lang w:val="fr-CH"/>
        </w:rPr>
        <w:t> :</w:t>
      </w:r>
      <w:r w:rsidRPr="007A62C6">
        <w:rPr>
          <w:lang w:val="fr-CH"/>
        </w:rPr>
        <w:tab/>
      </w:r>
      <w:r w:rsidRPr="007A62C6">
        <w:rPr>
          <w:lang w:val="fr-CH"/>
        </w:rPr>
        <w:tab/>
        <w:t>puissance totale de la porteuse (W)</w:t>
      </w:r>
    </w:p>
    <w:p w:rsidR="00382656" w:rsidRPr="000A7987" w:rsidRDefault="00382656" w:rsidP="00D6213B">
      <w:pPr>
        <w:pStyle w:val="Equationlegend"/>
        <w:rPr>
          <w:lang w:val="fr-FR"/>
        </w:rPr>
      </w:pPr>
      <w:r w:rsidRPr="007A62C6">
        <w:rPr>
          <w:lang w:val="fr-CH"/>
        </w:rPr>
        <w:tab/>
      </w:r>
      <w:r w:rsidRPr="007A62C6">
        <w:rPr>
          <w:i/>
          <w:iCs/>
          <w:lang w:val="fr-CH"/>
        </w:rPr>
        <w:t>B</w:t>
      </w:r>
      <w:r w:rsidRPr="007A62C6">
        <w:rPr>
          <w:lang w:val="fr-CH"/>
        </w:rPr>
        <w:t> :</w:t>
      </w:r>
      <w:r w:rsidRPr="007A62C6">
        <w:rPr>
          <w:lang w:val="fr-CH"/>
        </w:rPr>
        <w:tab/>
      </w:r>
      <w:r w:rsidRPr="007A62C6">
        <w:rPr>
          <w:lang w:val="fr-CH"/>
        </w:rPr>
        <w:tab/>
        <w:t>largeur</w:t>
      </w:r>
      <w:r w:rsidRPr="000A7987">
        <w:rPr>
          <w:lang w:val="fr-FR"/>
        </w:rPr>
        <w:t xml:space="preserve"> de bande nécessaire de l'émission numérique (Hz).</w:t>
      </w:r>
    </w:p>
    <w:p w:rsidR="00382656" w:rsidRPr="000A7987" w:rsidRDefault="00382656" w:rsidP="00382656">
      <w:r w:rsidRPr="000A7987">
        <w:t xml:space="preserve">La densité maximale de puissance </w:t>
      </w:r>
      <w:r>
        <w:t>dans une bande de 1 M</w:t>
      </w:r>
      <w:r w:rsidRPr="000A7987">
        <w:t>Hz dans le cas le plus défavorable s'obtient en multipliant le résultat de l'expression (1</w:t>
      </w:r>
      <w:r>
        <w:t>5</w:t>
      </w:r>
      <w:r w:rsidRPr="000A7987">
        <w:t>) par 1 </w:t>
      </w:r>
      <w:r w:rsidRPr="000A7987">
        <w:rPr>
          <w:rFonts w:ascii="Times" w:hAnsi="Times"/>
        </w:rPr>
        <w:t>×</w:t>
      </w:r>
      <w:r w:rsidRPr="000A7987">
        <w:t> 10</w:t>
      </w:r>
      <w:r w:rsidRPr="000A7987">
        <w:rPr>
          <w:vertAlign w:val="superscript"/>
        </w:rPr>
        <w:t>6</w:t>
      </w:r>
      <w:r w:rsidRPr="000A7987">
        <w:t>:</w:t>
      </w:r>
    </w:p>
    <w:p w:rsidR="00382656" w:rsidRPr="000A7987" w:rsidRDefault="00382656" w:rsidP="00382656">
      <w:pPr>
        <w:pStyle w:val="Equation"/>
      </w:pPr>
      <w:r w:rsidRPr="000A7987">
        <w:tab/>
      </w:r>
      <w:r w:rsidRPr="000A7987">
        <w:tab/>
      </w:r>
      <w:r w:rsidRPr="000A7987">
        <w:rPr>
          <w:i/>
          <w:iCs/>
        </w:rPr>
        <w:t>P</w:t>
      </w:r>
      <w:r w:rsidRPr="000A7987">
        <w:rPr>
          <w:vertAlign w:val="subscript"/>
        </w:rPr>
        <w:t>1 MHz</w:t>
      </w:r>
      <w:r w:rsidRPr="000A7987">
        <w:t xml:space="preserve"> = </w:t>
      </w:r>
      <w:r w:rsidRPr="000A7987">
        <w:rPr>
          <w:i/>
          <w:iCs/>
        </w:rPr>
        <w:t>P</w:t>
      </w:r>
      <w:r w:rsidRPr="000A7987">
        <w:rPr>
          <w:i/>
          <w:iCs/>
          <w:vertAlign w:val="subscript"/>
        </w:rPr>
        <w:t>o</w:t>
      </w:r>
      <w:r w:rsidRPr="000A7987">
        <w:t xml:space="preserve"> * 1 </w:t>
      </w:r>
      <w:r w:rsidRPr="000A7987">
        <w:rPr>
          <w:rFonts w:ascii="Times" w:hAnsi="Times"/>
        </w:rPr>
        <w:t>×</w:t>
      </w:r>
      <w:r w:rsidRPr="000A7987">
        <w:t xml:space="preserve"> 10</w:t>
      </w:r>
      <w:r w:rsidRPr="000A7987">
        <w:rPr>
          <w:vertAlign w:val="superscript"/>
        </w:rPr>
        <w:t>6</w:t>
      </w:r>
      <w:r w:rsidRPr="000A7987">
        <w:t xml:space="preserve">  (W/MHz)</w:t>
      </w:r>
      <w:r w:rsidRPr="000A7987">
        <w:tab/>
        <w:t>(16)</w:t>
      </w:r>
    </w:p>
    <w:p w:rsidR="00382656" w:rsidRPr="000A7987" w:rsidRDefault="00382656" w:rsidP="00D6213B">
      <w:pPr>
        <w:pStyle w:val="Heading1"/>
      </w:pPr>
      <w:r w:rsidRPr="000A7987">
        <w:rPr>
          <w:lang w:eastAsia="ja-JP"/>
        </w:rPr>
        <w:t>2</w:t>
      </w:r>
      <w:r w:rsidRPr="000A7987">
        <w:tab/>
      </w:r>
      <w:r>
        <w:rPr>
          <w:lang w:eastAsia="ja-JP"/>
        </w:rPr>
        <w:t xml:space="preserve">Porteuse numérique avec une largeur de bande nécessaire inférieure à </w:t>
      </w:r>
      <w:r w:rsidRPr="000A7987">
        <w:rPr>
          <w:lang w:eastAsia="ja-JP"/>
        </w:rPr>
        <w:t>1 MHz</w:t>
      </w:r>
    </w:p>
    <w:p w:rsidR="00382656" w:rsidRPr="000A7987" w:rsidRDefault="00382656" w:rsidP="00382656">
      <w:r>
        <w:t>Il est à noter que pour les porteuses numériques avec une largeur de bande nécessaire inférieure à 1 M</w:t>
      </w:r>
      <w:r w:rsidRPr="000A7987">
        <w:t xml:space="preserve">Hz, </w:t>
      </w:r>
      <w:r>
        <w:t>il faut déterminer le nombre maximal de porteuses</w:t>
      </w:r>
      <w:r w:rsidRPr="000A7987">
        <w:t xml:space="preserve">, </w:t>
      </w:r>
      <w:r>
        <w:t>et de parties de porteuses</w:t>
      </w:r>
      <w:r w:rsidRPr="000A7987">
        <w:t xml:space="preserve">, </w:t>
      </w:r>
      <w:r>
        <w:t xml:space="preserve">qui seront exploitées dans une bande quelconque de </w:t>
      </w:r>
      <w:r w:rsidRPr="000A7987">
        <w:t xml:space="preserve">1 MHz. </w:t>
      </w:r>
      <w:r>
        <w:t>Lorsqu'on ne connaît pas ce nombre maximal de porteuses</w:t>
      </w:r>
      <w:r w:rsidRPr="000A7987">
        <w:t xml:space="preserve">, </w:t>
      </w:r>
      <w:r>
        <w:t xml:space="preserve">on supposera que la largeur de bande de référence de </w:t>
      </w:r>
      <w:r w:rsidRPr="000A7987">
        <w:t xml:space="preserve">1 MHz </w:t>
      </w:r>
      <w:r>
        <w:t>est remplie de plusieurs porteuses identiques</w:t>
      </w:r>
      <w:r w:rsidRPr="000A7987">
        <w:t xml:space="preserve">. </w:t>
      </w:r>
      <w:r>
        <w:t xml:space="preserve">Avec cette hypothèse, les formules </w:t>
      </w:r>
      <w:r w:rsidRPr="000A7987">
        <w:t xml:space="preserve">(15) </w:t>
      </w:r>
      <w:r>
        <w:t>et </w:t>
      </w:r>
      <w:r w:rsidRPr="000A7987">
        <w:t xml:space="preserve">(16) </w:t>
      </w:r>
      <w:r>
        <w:t>permettent d'évaluer la densité maximale de puissance dans une bande de 1 </w:t>
      </w:r>
      <w:r w:rsidRPr="000A7987">
        <w:t xml:space="preserve">MHz </w:t>
      </w:r>
      <w:r>
        <w:t>dans le cas le plus défavorable</w:t>
      </w:r>
      <w:r w:rsidRPr="000A7987">
        <w:t xml:space="preserve">. Dans les cas </w:t>
      </w:r>
      <w:r>
        <w:t xml:space="preserve">où on a des </w:t>
      </w:r>
      <w:r w:rsidRPr="000A7987">
        <w:t xml:space="preserve">porteuses avec une largeur de bande </w:t>
      </w:r>
      <w:r>
        <w:t xml:space="preserve">nécessaire </w:t>
      </w:r>
      <w:r w:rsidRPr="000A7987">
        <w:t xml:space="preserve">inférieure à </w:t>
      </w:r>
      <w:r>
        <w:rPr>
          <w:lang w:eastAsia="ja-JP"/>
        </w:rPr>
        <w:t>1</w:t>
      </w:r>
      <w:r w:rsidRPr="000A7987">
        <w:rPr>
          <w:lang w:eastAsia="ja-JP"/>
        </w:rPr>
        <w:t xml:space="preserve"> </w:t>
      </w:r>
      <w:r>
        <w:rPr>
          <w:lang w:eastAsia="ja-JP"/>
        </w:rPr>
        <w:t>M</w:t>
      </w:r>
      <w:r w:rsidRPr="000A7987">
        <w:rPr>
          <w:lang w:eastAsia="ja-JP"/>
        </w:rPr>
        <w:t xml:space="preserve">Hz </w:t>
      </w:r>
      <w:r>
        <w:rPr>
          <w:lang w:eastAsia="ja-JP"/>
        </w:rPr>
        <w:t xml:space="preserve">et </w:t>
      </w:r>
      <w:r w:rsidRPr="000A7987">
        <w:rPr>
          <w:lang w:eastAsia="ja-JP"/>
        </w:rPr>
        <w:t xml:space="preserve">où on sait qu'une </w:t>
      </w:r>
      <w:r w:rsidRPr="000A7987">
        <w:lastRenderedPageBreak/>
        <w:t xml:space="preserve">bande quelconque de </w:t>
      </w:r>
      <w:r>
        <w:rPr>
          <w:lang w:eastAsia="ja-JP"/>
        </w:rPr>
        <w:t>1</w:t>
      </w:r>
      <w:r w:rsidRPr="000A7987">
        <w:t> </w:t>
      </w:r>
      <w:r>
        <w:rPr>
          <w:lang w:eastAsia="ja-JP"/>
        </w:rPr>
        <w:t>M</w:t>
      </w:r>
      <w:r w:rsidRPr="000A7987">
        <w:t xml:space="preserve">Hz ne sera pas complètement remplie par </w:t>
      </w:r>
      <w:r>
        <w:t xml:space="preserve">plusieurs </w:t>
      </w:r>
      <w:r w:rsidRPr="000A7987">
        <w:t>porteuses</w:t>
      </w:r>
      <w:r>
        <w:t xml:space="preserve"> identiques</w:t>
      </w:r>
      <w:r w:rsidRPr="000A7987">
        <w:t>, il convient d'appliquer la formule suivante</w:t>
      </w:r>
      <w:r>
        <w:t xml:space="preserve"> pour calculer la densité maximale de puissance dans une bande de 1 </w:t>
      </w:r>
      <w:r w:rsidRPr="000A7987">
        <w:t>MHz:</w:t>
      </w:r>
    </w:p>
    <w:p w:rsidR="00382656" w:rsidRPr="000A7987" w:rsidRDefault="00382656" w:rsidP="00382656">
      <w:pPr>
        <w:pStyle w:val="Equation"/>
      </w:pPr>
      <w:r w:rsidRPr="000A7987">
        <w:tab/>
      </w:r>
      <w:r w:rsidRPr="000A7987">
        <w:tab/>
      </w:r>
      <w:r w:rsidRPr="000A7987">
        <w:rPr>
          <w:i/>
          <w:iCs/>
        </w:rPr>
        <w:t>P</w:t>
      </w:r>
      <w:r w:rsidRPr="000A7987">
        <w:rPr>
          <w:vertAlign w:val="subscript"/>
        </w:rPr>
        <w:t>1 MHz</w:t>
      </w:r>
      <w:r w:rsidRPr="000A7987">
        <w:t xml:space="preserve"> = (</w:t>
      </w:r>
      <w:r w:rsidRPr="000A7987">
        <w:rPr>
          <w:i/>
          <w:iCs/>
        </w:rPr>
        <w:t>P</w:t>
      </w:r>
      <w:r w:rsidRPr="000A7987">
        <w:rPr>
          <w:i/>
          <w:iCs/>
          <w:vertAlign w:val="subscript"/>
        </w:rPr>
        <w:t>t</w:t>
      </w:r>
      <w:r w:rsidRPr="000A7987">
        <w:t xml:space="preserve"> * </w:t>
      </w:r>
      <w:r w:rsidRPr="000A7987">
        <w:rPr>
          <w:i/>
          <w:iCs/>
        </w:rPr>
        <w:t>N</w:t>
      </w:r>
      <w:r w:rsidRPr="000A7987">
        <w:t>)  (W/MHz)</w:t>
      </w:r>
      <w:r w:rsidRPr="000A7987">
        <w:tab/>
        <w:t>(17)</w:t>
      </w:r>
    </w:p>
    <w:p w:rsidR="00382656" w:rsidRPr="000A7987" w:rsidRDefault="00382656" w:rsidP="00382656">
      <w:r>
        <w:t>où</w:t>
      </w:r>
      <w:r w:rsidRPr="000A7987">
        <w:t>:</w:t>
      </w:r>
    </w:p>
    <w:p w:rsidR="00382656" w:rsidRPr="007A62C6" w:rsidRDefault="00382656" w:rsidP="00D6213B">
      <w:pPr>
        <w:pStyle w:val="Equationlegend"/>
        <w:rPr>
          <w:lang w:val="fr-CH"/>
        </w:rPr>
      </w:pPr>
      <w:r w:rsidRPr="007A62C6">
        <w:rPr>
          <w:lang w:val="fr-CH"/>
        </w:rPr>
        <w:tab/>
      </w:r>
      <w:r w:rsidRPr="007A62C6">
        <w:rPr>
          <w:i/>
          <w:iCs/>
          <w:lang w:val="fr-CH"/>
        </w:rPr>
        <w:t>P</w:t>
      </w:r>
      <w:r w:rsidRPr="007A62C6">
        <w:rPr>
          <w:i/>
          <w:iCs/>
          <w:vertAlign w:val="subscript"/>
          <w:lang w:val="fr-CH"/>
        </w:rPr>
        <w:t>t</w:t>
      </w:r>
      <w:r w:rsidRPr="007A62C6">
        <w:rPr>
          <w:lang w:val="fr-CH"/>
        </w:rPr>
        <w:t>:</w:t>
      </w:r>
      <w:r w:rsidRPr="007A62C6">
        <w:rPr>
          <w:lang w:val="fr-CH"/>
        </w:rPr>
        <w:tab/>
        <w:t>puissance totale d'une seule porteuse (W)</w:t>
      </w:r>
    </w:p>
    <w:p w:rsidR="00382656" w:rsidRPr="000A7987" w:rsidRDefault="00382656" w:rsidP="00D6213B">
      <w:pPr>
        <w:pStyle w:val="Equationlegend"/>
        <w:rPr>
          <w:lang w:val="fr-FR"/>
        </w:rPr>
      </w:pPr>
      <w:r w:rsidRPr="007A62C6">
        <w:rPr>
          <w:lang w:val="fr-CH"/>
        </w:rPr>
        <w:tab/>
      </w:r>
      <w:r w:rsidRPr="007A62C6">
        <w:rPr>
          <w:i/>
          <w:iCs/>
          <w:lang w:val="fr-CH"/>
        </w:rPr>
        <w:t>N</w:t>
      </w:r>
      <w:r w:rsidRPr="007A62C6">
        <w:rPr>
          <w:lang w:val="fr-CH"/>
        </w:rPr>
        <w:t>:</w:t>
      </w:r>
      <w:r w:rsidRPr="007A62C6">
        <w:rPr>
          <w:lang w:val="fr-CH"/>
        </w:rPr>
        <w:tab/>
        <w:t>nombre maximal de porteuses, ou de parties de porteuses, avec une largeur de bande nécessaire inférieure à 1 MHz qui occupent une bande quelconque</w:t>
      </w:r>
      <w:r>
        <w:rPr>
          <w:lang w:val="fr-FR"/>
        </w:rPr>
        <w:t xml:space="preserve"> de </w:t>
      </w:r>
      <w:r w:rsidRPr="000A7987">
        <w:rPr>
          <w:lang w:val="fr-FR"/>
        </w:rPr>
        <w:t>1 MHz.</w:t>
      </w:r>
    </w:p>
    <w:p w:rsidR="00382656" w:rsidRPr="000A7987" w:rsidRDefault="00382656" w:rsidP="00382656">
      <w:pPr>
        <w:rPr>
          <w:iCs/>
        </w:rPr>
      </w:pPr>
      <w:r w:rsidRPr="000A7987">
        <w:t>La formule (</w:t>
      </w:r>
      <w:r w:rsidRPr="000A7987">
        <w:rPr>
          <w:lang w:eastAsia="ja-JP"/>
        </w:rPr>
        <w:t>1</w:t>
      </w:r>
      <w:r>
        <w:rPr>
          <w:lang w:eastAsia="ja-JP"/>
        </w:rPr>
        <w:t>7</w:t>
      </w:r>
      <w:r w:rsidRPr="000A7987">
        <w:rPr>
          <w:lang w:eastAsia="ja-JP"/>
        </w:rPr>
        <w:t>)</w:t>
      </w:r>
      <w:r w:rsidRPr="000A7987">
        <w:t xml:space="preserve"> peut être généralisée au cas où on sait </w:t>
      </w:r>
      <w:r>
        <w:t>qu'</w:t>
      </w:r>
      <w:r w:rsidRPr="000A7987">
        <w:t xml:space="preserve">une bande quelconque de </w:t>
      </w:r>
      <w:r>
        <w:rPr>
          <w:lang w:eastAsia="ja-JP"/>
        </w:rPr>
        <w:t>1</w:t>
      </w:r>
      <w:r w:rsidRPr="000A7987">
        <w:t> </w:t>
      </w:r>
      <w:r>
        <w:rPr>
          <w:lang w:eastAsia="ja-JP"/>
        </w:rPr>
        <w:t>M</w:t>
      </w:r>
      <w:r w:rsidRPr="000A7987">
        <w:t xml:space="preserve">Hz </w:t>
      </w:r>
      <w:r>
        <w:t xml:space="preserve">sera occupée par </w:t>
      </w:r>
      <w:r w:rsidRPr="000A7987">
        <w:t xml:space="preserve">différents types de porteuses avec des largeurs de bande </w:t>
      </w:r>
      <w:r>
        <w:t xml:space="preserve">nécessaires </w:t>
      </w:r>
      <w:r w:rsidRPr="000A7987">
        <w:t xml:space="preserve">inférieures à </w:t>
      </w:r>
      <w:r>
        <w:rPr>
          <w:lang w:eastAsia="ja-JP"/>
        </w:rPr>
        <w:t>1</w:t>
      </w:r>
      <w:r w:rsidRPr="000A7987">
        <w:t> </w:t>
      </w:r>
      <w:r>
        <w:rPr>
          <w:lang w:eastAsia="ja-JP"/>
        </w:rPr>
        <w:t>M</w:t>
      </w:r>
      <w:r w:rsidRPr="000A7987">
        <w:t>Hz</w:t>
      </w:r>
      <w:r>
        <w:t>,</w:t>
      </w:r>
      <w:r w:rsidRPr="000A7987">
        <w:t xml:space="preserve"> en faisant la somme des puissances des divers types de porteuses qui occupent la bande de </w:t>
      </w:r>
      <w:r>
        <w:rPr>
          <w:lang w:eastAsia="ja-JP"/>
        </w:rPr>
        <w:t>1</w:t>
      </w:r>
      <w:r w:rsidRPr="000A7987">
        <w:t> </w:t>
      </w:r>
      <w:r>
        <w:rPr>
          <w:lang w:eastAsia="ja-JP"/>
        </w:rPr>
        <w:t>M</w:t>
      </w:r>
      <w:r w:rsidRPr="000A7987">
        <w:t xml:space="preserve">Hz et en supposant que la puissance totale </w:t>
      </w:r>
      <w:r>
        <w:t xml:space="preserve">ainsi obtenue </w:t>
      </w:r>
      <w:r w:rsidRPr="000A7987">
        <w:t xml:space="preserve">est la puissance </w:t>
      </w:r>
      <w:r>
        <w:t>dans une bande de 1 </w:t>
      </w:r>
      <w:r>
        <w:rPr>
          <w:lang w:eastAsia="ja-JP"/>
        </w:rPr>
        <w:t>M</w:t>
      </w:r>
      <w:r w:rsidRPr="000A7987">
        <w:t>Hz.</w:t>
      </w:r>
    </w:p>
    <w:p w:rsidR="00382656" w:rsidRPr="000A7987" w:rsidRDefault="00382656" w:rsidP="00D6213B">
      <w:pPr>
        <w:pStyle w:val="Heading1"/>
      </w:pPr>
      <w:r w:rsidRPr="000A7987">
        <w:t>3</w:t>
      </w:r>
      <w:bookmarkStart w:id="18" w:name="OLE_LINK1"/>
      <w:bookmarkStart w:id="19" w:name="OLE_LINK4"/>
      <w:r w:rsidRPr="000A7987">
        <w:tab/>
      </w:r>
      <w:r>
        <w:t xml:space="preserve">Porteuse </w:t>
      </w:r>
      <w:r w:rsidRPr="000A7987">
        <w:t xml:space="preserve">TT&amp;C </w:t>
      </w:r>
    </w:p>
    <w:p w:rsidR="00382656" w:rsidRPr="000A7987" w:rsidRDefault="00382656" w:rsidP="00382656">
      <w:r>
        <w:t xml:space="preserve">Dans le cas de porteuses </w:t>
      </w:r>
      <w:r w:rsidRPr="000A7987">
        <w:t>TT&amp;C</w:t>
      </w:r>
      <w:r>
        <w:t xml:space="preserve"> à bande étroite</w:t>
      </w:r>
      <w:r w:rsidRPr="000A7987">
        <w:t xml:space="preserve">, </w:t>
      </w:r>
      <w:r>
        <w:t xml:space="preserve">exploitées dans le cadre du numéro </w:t>
      </w:r>
      <w:r w:rsidRPr="000A7987">
        <w:rPr>
          <w:bCs/>
        </w:rPr>
        <w:t>1.23</w:t>
      </w:r>
      <w:r>
        <w:rPr>
          <w:bCs/>
        </w:rPr>
        <w:t xml:space="preserve"> du RR</w:t>
      </w:r>
      <w:r w:rsidRPr="000A7987">
        <w:rPr>
          <w:bCs/>
        </w:rPr>
        <w:t xml:space="preserve">, </w:t>
      </w:r>
      <w:r>
        <w:t>le calcul</w:t>
      </w:r>
      <w:r w:rsidRPr="000A7987">
        <w:t xml:space="preserve"> </w:t>
      </w:r>
      <w:r>
        <w:t xml:space="preserve">de la densité maximale de puissance dans une bande de </w:t>
      </w:r>
      <w:r w:rsidRPr="000A7987">
        <w:t xml:space="preserve">MHz </w:t>
      </w:r>
      <w:r>
        <w:t>peut conduire à une sur</w:t>
      </w:r>
      <w:r w:rsidRPr="000A7987">
        <w:t xml:space="preserve">estimation </w:t>
      </w:r>
      <w:r>
        <w:t>de la puissance brouilleuse potentielle</w:t>
      </w:r>
      <w:r w:rsidRPr="000A7987">
        <w:t xml:space="preserve">. </w:t>
      </w:r>
      <w:r>
        <w:t xml:space="preserve">En effet, le fait de multiplier la puissance d'une seule porteuse </w:t>
      </w:r>
      <w:r w:rsidRPr="000A7987">
        <w:t xml:space="preserve">TT&amp;C </w:t>
      </w:r>
      <w:r>
        <w:t xml:space="preserve">par un facteur correspondant au rapport entre sa largeur de bande et </w:t>
      </w:r>
      <w:r w:rsidRPr="000A7987">
        <w:t xml:space="preserve">1 MHz </w:t>
      </w:r>
      <w:r>
        <w:t xml:space="preserve">se traduirait par un niveau de puissance supérieur à celui de la porteuse </w:t>
      </w:r>
      <w:r w:rsidRPr="000A7987">
        <w:t xml:space="preserve">TT&amp;C </w:t>
      </w:r>
      <w:r>
        <w:t xml:space="preserve">proprement dite lorsqu'une seule porteuse </w:t>
      </w:r>
      <w:r w:rsidRPr="000A7987">
        <w:t xml:space="preserve">TT&amp;C </w:t>
      </w:r>
      <w:r>
        <w:t xml:space="preserve">avec une largeur de bande nécessaire inférieure à </w:t>
      </w:r>
      <w:r w:rsidRPr="000A7987">
        <w:t xml:space="preserve">1 MHz </w:t>
      </w:r>
      <w:r>
        <w:t>est utilisée pour une assignation de fréquence donnée</w:t>
      </w:r>
      <w:r w:rsidRPr="000A7987">
        <w:t xml:space="preserve">. </w:t>
      </w:r>
      <w:r>
        <w:t>En pareil cas</w:t>
      </w:r>
      <w:r w:rsidRPr="000A7987">
        <w:t xml:space="preserve">, </w:t>
      </w:r>
      <w:r>
        <w:t xml:space="preserve">le risque de brouillage causé par une porteuse </w:t>
      </w:r>
      <w:r w:rsidRPr="000A7987">
        <w:t xml:space="preserve">TT&amp;C </w:t>
      </w:r>
      <w:r>
        <w:t>sera évalué avec davantage de précision si on reconnaît que</w:t>
      </w:r>
      <w:r w:rsidRPr="000A7987">
        <w:t xml:space="preserve">, </w:t>
      </w:r>
      <w:r>
        <w:t>dans la plupart des cas</w:t>
      </w:r>
      <w:r w:rsidRPr="000A7987">
        <w:t xml:space="preserve">, </w:t>
      </w:r>
      <w:r>
        <w:t xml:space="preserve">une seule porteuse </w:t>
      </w:r>
      <w:r w:rsidRPr="000A7987">
        <w:t xml:space="preserve">TT&amp;C </w:t>
      </w:r>
      <w:r>
        <w:t xml:space="preserve">est transmise dans une bande quelconque de </w:t>
      </w:r>
      <w:r w:rsidRPr="000A7987">
        <w:t>1 MHz.</w:t>
      </w:r>
    </w:p>
    <w:bookmarkEnd w:id="18"/>
    <w:bookmarkEnd w:id="19"/>
    <w:p w:rsidR="00382656" w:rsidRPr="000A7987" w:rsidRDefault="00382656" w:rsidP="00382656">
      <w:r>
        <w:t>La densité maximale de puissance dans une bande de 1 </w:t>
      </w:r>
      <w:r w:rsidRPr="000A7987">
        <w:t xml:space="preserve">MHz </w:t>
      </w:r>
      <w:r>
        <w:t xml:space="preserve">d'une porteuse </w:t>
      </w:r>
      <w:r w:rsidRPr="000A7987">
        <w:t xml:space="preserve">TT&amp;C </w:t>
      </w:r>
      <w:r>
        <w:t xml:space="preserve">ayant une largeur de bande nécessaire inférieure à </w:t>
      </w:r>
      <w:r w:rsidRPr="000A7987">
        <w:t xml:space="preserve">1 MHz </w:t>
      </w:r>
      <w:r>
        <w:t>est alors donnée par</w:t>
      </w:r>
      <w:r w:rsidRPr="000A7987">
        <w:t>:</w:t>
      </w:r>
    </w:p>
    <w:p w:rsidR="00382656" w:rsidRPr="000A7987" w:rsidRDefault="00382656" w:rsidP="00382656">
      <w:pPr>
        <w:pStyle w:val="Equation"/>
      </w:pPr>
      <w:r w:rsidRPr="000A7987">
        <w:tab/>
      </w:r>
      <w:r w:rsidRPr="000A7987">
        <w:tab/>
      </w:r>
      <w:r w:rsidRPr="000A7987">
        <w:rPr>
          <w:i/>
          <w:iCs/>
        </w:rPr>
        <w:t>P</w:t>
      </w:r>
      <w:r w:rsidRPr="000A7987">
        <w:rPr>
          <w:i/>
          <w:iCs/>
          <w:vertAlign w:val="subscript"/>
        </w:rPr>
        <w:t>t</w:t>
      </w:r>
      <w:r w:rsidRPr="000A7987">
        <w:t xml:space="preserve">      (W/MHz)     </w:t>
      </w:r>
      <w:r w:rsidRPr="000A7987">
        <w:tab/>
        <w:t>(18)</w:t>
      </w:r>
    </w:p>
    <w:p w:rsidR="00382656" w:rsidRPr="000A7987" w:rsidRDefault="00382656" w:rsidP="00382656">
      <w:pPr>
        <w:rPr>
          <w:iCs/>
        </w:rPr>
      </w:pPr>
      <w:r>
        <w:rPr>
          <w:iCs/>
        </w:rPr>
        <w:t>où</w:t>
      </w:r>
      <w:r w:rsidRPr="000A7987">
        <w:rPr>
          <w:iCs/>
        </w:rPr>
        <w:t>:</w:t>
      </w:r>
    </w:p>
    <w:p w:rsidR="00382656" w:rsidRPr="000A7987" w:rsidRDefault="00382656" w:rsidP="00D6213B">
      <w:pPr>
        <w:pStyle w:val="Equationlegend"/>
        <w:rPr>
          <w:lang w:val="fr-FR"/>
        </w:rPr>
      </w:pPr>
      <w:r w:rsidRPr="000A7987">
        <w:rPr>
          <w:lang w:val="fr-FR"/>
        </w:rPr>
        <w:tab/>
      </w:r>
      <w:r w:rsidRPr="000A7987">
        <w:rPr>
          <w:i/>
          <w:iCs/>
          <w:lang w:val="fr-FR"/>
        </w:rPr>
        <w:t>P</w:t>
      </w:r>
      <w:r w:rsidRPr="000A7987">
        <w:rPr>
          <w:i/>
          <w:iCs/>
          <w:vertAlign w:val="subscript"/>
          <w:lang w:val="fr-FR"/>
        </w:rPr>
        <w:t>t</w:t>
      </w:r>
      <w:r w:rsidRPr="000A7987">
        <w:rPr>
          <w:lang w:val="fr-FR"/>
        </w:rPr>
        <w:t>:</w:t>
      </w:r>
      <w:r w:rsidRPr="000A7987">
        <w:rPr>
          <w:lang w:val="fr-FR"/>
        </w:rPr>
        <w:tab/>
      </w:r>
      <w:r w:rsidRPr="007A62C6">
        <w:rPr>
          <w:lang w:val="fr-CH"/>
        </w:rPr>
        <w:t>puissance</w:t>
      </w:r>
      <w:r>
        <w:rPr>
          <w:lang w:val="fr-FR"/>
        </w:rPr>
        <w:t xml:space="preserve"> </w:t>
      </w:r>
      <w:r w:rsidRPr="000A7987">
        <w:rPr>
          <w:lang w:val="fr-FR"/>
        </w:rPr>
        <w:t>total</w:t>
      </w:r>
      <w:r>
        <w:rPr>
          <w:lang w:val="fr-FR"/>
        </w:rPr>
        <w:t>e</w:t>
      </w:r>
      <w:r w:rsidRPr="000A7987">
        <w:rPr>
          <w:lang w:val="fr-FR"/>
        </w:rPr>
        <w:t xml:space="preserve"> </w:t>
      </w:r>
      <w:r>
        <w:rPr>
          <w:lang w:val="fr-FR"/>
        </w:rPr>
        <w:t xml:space="preserve">de la porteuse </w:t>
      </w:r>
      <w:r w:rsidRPr="000A7987">
        <w:rPr>
          <w:lang w:val="fr-FR"/>
        </w:rPr>
        <w:t>TT&amp;C (W).</w:t>
      </w:r>
    </w:p>
    <w:p w:rsidR="00382656" w:rsidRPr="000A7987" w:rsidRDefault="00382656" w:rsidP="00382656">
      <w:pPr>
        <w:rPr>
          <w:iCs/>
        </w:rPr>
      </w:pPr>
      <w:r>
        <w:rPr>
          <w:iCs/>
        </w:rPr>
        <w:t xml:space="preserve">Dans le cas d'une porteuse </w:t>
      </w:r>
      <w:r w:rsidRPr="000A7987">
        <w:rPr>
          <w:iCs/>
        </w:rPr>
        <w:t xml:space="preserve">TT&amp;C </w:t>
      </w:r>
      <w:r>
        <w:rPr>
          <w:iCs/>
        </w:rPr>
        <w:t xml:space="preserve">ayant une largeur de bande nécessaire supérieure à </w:t>
      </w:r>
      <w:r w:rsidRPr="000A7987">
        <w:rPr>
          <w:iCs/>
        </w:rPr>
        <w:t>1</w:t>
      </w:r>
      <w:r w:rsidRPr="000A7987">
        <w:t> </w:t>
      </w:r>
      <w:r w:rsidRPr="000A7987">
        <w:rPr>
          <w:iCs/>
        </w:rPr>
        <w:t xml:space="preserve">MHz, </w:t>
      </w:r>
      <w:r>
        <w:rPr>
          <w:iCs/>
        </w:rPr>
        <w:t xml:space="preserve">mais inférieure à </w:t>
      </w:r>
      <w:r w:rsidRPr="000A7987">
        <w:rPr>
          <w:iCs/>
        </w:rPr>
        <w:t>1</w:t>
      </w:r>
      <w:r>
        <w:rPr>
          <w:iCs/>
        </w:rPr>
        <w:t>,</w:t>
      </w:r>
      <w:r w:rsidRPr="000A7987">
        <w:rPr>
          <w:iCs/>
        </w:rPr>
        <w:t>5</w:t>
      </w:r>
      <w:r w:rsidRPr="000A7987">
        <w:t> </w:t>
      </w:r>
      <w:r w:rsidRPr="000A7987">
        <w:rPr>
          <w:iCs/>
        </w:rPr>
        <w:t xml:space="preserve">MHz, </w:t>
      </w:r>
      <w:r>
        <w:rPr>
          <w:iCs/>
        </w:rPr>
        <w:t xml:space="preserve">la densité maximale de puissance </w:t>
      </w:r>
      <w:r>
        <w:t>dans une bande de 1 </w:t>
      </w:r>
      <w:r w:rsidRPr="000A7987">
        <w:rPr>
          <w:iCs/>
        </w:rPr>
        <w:t xml:space="preserve">MHz </w:t>
      </w:r>
      <w:r>
        <w:rPr>
          <w:iCs/>
        </w:rPr>
        <w:t>est donnée par</w:t>
      </w:r>
      <w:r w:rsidRPr="000A7987">
        <w:rPr>
          <w:iCs/>
        </w:rPr>
        <w:t>:</w:t>
      </w:r>
    </w:p>
    <w:p w:rsidR="00382656" w:rsidRPr="000A7987" w:rsidRDefault="00382656" w:rsidP="00382656">
      <w:pPr>
        <w:pStyle w:val="Equation"/>
      </w:pPr>
      <w:r w:rsidRPr="000A7987">
        <w:tab/>
      </w:r>
      <w:r w:rsidRPr="000A7987">
        <w:tab/>
      </w:r>
      <w:r w:rsidRPr="000A7987">
        <w:rPr>
          <w:i/>
          <w:iCs/>
        </w:rPr>
        <w:t>P</w:t>
      </w:r>
      <w:r w:rsidRPr="000A7987">
        <w:rPr>
          <w:i/>
          <w:iCs/>
          <w:vertAlign w:val="subscript"/>
        </w:rPr>
        <w:t>t</w:t>
      </w:r>
      <w:r w:rsidRPr="000A7987">
        <w:rPr>
          <w:i/>
          <w:iCs/>
        </w:rPr>
        <w:t xml:space="preserve"> </w:t>
      </w:r>
      <w:r w:rsidRPr="000A7987">
        <w:rPr>
          <w:rFonts w:ascii="Times" w:hAnsi="Times"/>
        </w:rPr>
        <w:t>×</w:t>
      </w:r>
      <w:r w:rsidRPr="000A7987">
        <w:t xml:space="preserve"> (1 </w:t>
      </w:r>
      <w:r w:rsidRPr="000A7987">
        <w:rPr>
          <w:rFonts w:ascii="Times" w:hAnsi="Times"/>
        </w:rPr>
        <w:t xml:space="preserve">× </w:t>
      </w:r>
      <w:r w:rsidRPr="000A7987">
        <w:t>10</w:t>
      </w:r>
      <w:r w:rsidRPr="000A7987">
        <w:rPr>
          <w:vertAlign w:val="superscript"/>
        </w:rPr>
        <w:t>6</w:t>
      </w:r>
      <w:r w:rsidRPr="000A7987">
        <w:t>/</w:t>
      </w:r>
      <w:r w:rsidRPr="000A7987">
        <w:rPr>
          <w:i/>
          <w:iCs/>
        </w:rPr>
        <w:t>B</w:t>
      </w:r>
      <w:r w:rsidRPr="000A7987">
        <w:t>)     (W/MHz)</w:t>
      </w:r>
      <w:r w:rsidRPr="000A7987">
        <w:tab/>
        <w:t>(19)</w:t>
      </w:r>
    </w:p>
    <w:p w:rsidR="00382656" w:rsidRPr="000A7987" w:rsidRDefault="00382656" w:rsidP="00382656">
      <w:pPr>
        <w:rPr>
          <w:iCs/>
        </w:rPr>
      </w:pPr>
      <w:r>
        <w:rPr>
          <w:iCs/>
        </w:rPr>
        <w:t>où</w:t>
      </w:r>
      <w:r w:rsidRPr="000A7987">
        <w:rPr>
          <w:iCs/>
        </w:rPr>
        <w:t>:</w:t>
      </w:r>
    </w:p>
    <w:p w:rsidR="00382656" w:rsidRPr="007A62C6" w:rsidRDefault="00382656" w:rsidP="00D6213B">
      <w:pPr>
        <w:pStyle w:val="Equationlegend"/>
        <w:rPr>
          <w:lang w:val="fr-CH"/>
        </w:rPr>
      </w:pPr>
      <w:r w:rsidRPr="007A62C6">
        <w:rPr>
          <w:lang w:val="fr-CH"/>
        </w:rPr>
        <w:tab/>
      </w:r>
      <w:r w:rsidRPr="007A62C6">
        <w:rPr>
          <w:i/>
          <w:iCs/>
          <w:lang w:val="fr-CH"/>
        </w:rPr>
        <w:t>P</w:t>
      </w:r>
      <w:r w:rsidRPr="007A62C6">
        <w:rPr>
          <w:i/>
          <w:iCs/>
          <w:vertAlign w:val="subscript"/>
          <w:lang w:val="fr-CH"/>
        </w:rPr>
        <w:t>t</w:t>
      </w:r>
      <w:r w:rsidRPr="007A62C6">
        <w:rPr>
          <w:lang w:val="fr-CH"/>
        </w:rPr>
        <w:t>:</w:t>
      </w:r>
      <w:r w:rsidRPr="007A62C6">
        <w:rPr>
          <w:lang w:val="fr-CH"/>
        </w:rPr>
        <w:tab/>
        <w:t>puissance totale de la porteuse TT&amp;C (W)</w:t>
      </w:r>
    </w:p>
    <w:p w:rsidR="00382656" w:rsidRPr="000A7987" w:rsidRDefault="00382656" w:rsidP="00D6213B">
      <w:pPr>
        <w:pStyle w:val="Equationlegend"/>
        <w:rPr>
          <w:lang w:val="fr-FR"/>
        </w:rPr>
      </w:pPr>
      <w:r w:rsidRPr="007A62C6">
        <w:rPr>
          <w:lang w:val="fr-CH"/>
        </w:rPr>
        <w:tab/>
      </w:r>
      <w:r w:rsidRPr="007A62C6">
        <w:rPr>
          <w:i/>
          <w:iCs/>
          <w:lang w:val="fr-CH"/>
        </w:rPr>
        <w:t>B</w:t>
      </w:r>
      <w:r w:rsidRPr="007A62C6">
        <w:rPr>
          <w:lang w:val="fr-CH"/>
        </w:rPr>
        <w:t>:</w:t>
      </w:r>
      <w:r w:rsidRPr="007A62C6">
        <w:rPr>
          <w:lang w:val="fr-CH"/>
        </w:rPr>
        <w:tab/>
        <w:t>largeur de bande nécessaire de l'émission TT&amp;C qui est supérieure à 1 MHz</w:t>
      </w:r>
      <w:r w:rsidRPr="000A7987">
        <w:rPr>
          <w:lang w:val="fr-FR"/>
        </w:rPr>
        <w:t> (Hz).</w:t>
      </w:r>
    </w:p>
    <w:p w:rsidR="00382656" w:rsidRPr="000A7987" w:rsidRDefault="00382656" w:rsidP="00382656"/>
    <w:p w:rsidR="00382656" w:rsidRPr="000A7987" w:rsidRDefault="00382656" w:rsidP="00382656"/>
    <w:p w:rsidR="00A6617B" w:rsidRPr="00A6617B" w:rsidRDefault="00382656" w:rsidP="00884ACC">
      <w:pPr>
        <w:jc w:val="center"/>
      </w:pPr>
      <w:r w:rsidRPr="000A7987">
        <w:t>______________</w:t>
      </w:r>
    </w:p>
    <w:sectPr w:rsidR="00A6617B" w:rsidRPr="00A6617B" w:rsidSect="00AA3F7B">
      <w:headerReference w:type="even" r:id="rId44"/>
      <w:headerReference w:type="default" r:id="rId4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536E" w:rsidRDefault="00A7536E">
      <w:r>
        <w:separator/>
      </w:r>
    </w:p>
  </w:endnote>
  <w:endnote w:type="continuationSeparator" w:id="0">
    <w:p w:rsidR="00A7536E" w:rsidRDefault="00A753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Times">
    <w:panose1 w:val="02020603050405020304"/>
    <w:charset w:val="00"/>
    <w:family w:val="roman"/>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536E" w:rsidRDefault="00A7536E">
      <w:r>
        <w:separator/>
      </w:r>
    </w:p>
  </w:footnote>
  <w:footnote w:type="continuationSeparator" w:id="0">
    <w:p w:rsidR="00A7536E" w:rsidRDefault="00A753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36E" w:rsidRDefault="00A7536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36E" w:rsidRDefault="00A7536E" w:rsidP="00C668C8">
    <w:pPr>
      <w:pStyle w:val="Header"/>
      <w:ind w:right="360" w:firstLine="360"/>
    </w:pPr>
    <w:r>
      <w:rPr>
        <w:noProof/>
        <w:lang w:val="en-US" w:eastAsia="zh-CN"/>
      </w:rPr>
      <w:drawing>
        <wp:anchor distT="0" distB="0" distL="114300" distR="114300" simplePos="0" relativeHeight="251659264" behindDoc="1" locked="0" layoutInCell="1" allowOverlap="1" wp14:anchorId="2A7C1D78" wp14:editId="768358E3">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36E" w:rsidRPr="00837CB5" w:rsidRDefault="00A7536E">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7A62C6">
      <w:rPr>
        <w:rStyle w:val="PageNumber"/>
        <w:b/>
        <w:bCs/>
        <w:noProof/>
      </w:rPr>
      <w:t>ii</w:t>
    </w:r>
    <w:r>
      <w:rPr>
        <w:rStyle w:val="PageNumber"/>
        <w:b/>
        <w:bCs/>
      </w:rPr>
      <w:fldChar w:fldCharType="end"/>
    </w:r>
    <w:r w:rsidRPr="00837CB5">
      <w:tab/>
    </w:r>
    <w:r w:rsidR="007A62C6">
      <w:fldChar w:fldCharType="begin"/>
    </w:r>
    <w:r w:rsidR="007A62C6">
      <w:instrText xml:space="preserve"> DOCPROPERTY "Header" \* MERGEFORMAT </w:instrText>
    </w:r>
    <w:r w:rsidR="007A62C6">
      <w:fldChar w:fldCharType="separate"/>
    </w:r>
    <w:r w:rsidR="00884ACC" w:rsidRPr="00884ACC">
      <w:rPr>
        <w:b/>
        <w:bCs/>
      </w:rPr>
      <w:t xml:space="preserve">Rec. </w:t>
    </w:r>
    <w:r w:rsidR="007A62C6">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7A62C6">
      <w:rPr>
        <w:b/>
        <w:bCs/>
        <w:noProof/>
      </w:rPr>
      <w:t>UIT-R  SF.675-4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36E" w:rsidRDefault="00A7536E">
    <w:pPr>
      <w:pStyle w:val="Header"/>
    </w:pPr>
    <w:r>
      <w:tab/>
    </w:r>
    <w:r w:rsidR="007A62C6">
      <w:fldChar w:fldCharType="begin"/>
    </w:r>
    <w:r w:rsidR="007A62C6">
      <w:instrText xml:space="preserve"> DOCPROPERTY "Header" \* MERGEFORMAT </w:instrText>
    </w:r>
    <w:r w:rsidR="007A62C6">
      <w:fldChar w:fldCharType="separate"/>
    </w:r>
    <w:r w:rsidR="00884ACC" w:rsidRPr="00884ACC">
      <w:rPr>
        <w:b/>
        <w:bCs/>
      </w:rPr>
      <w:t xml:space="preserve">Rec. </w:t>
    </w:r>
    <w:r w:rsidR="007A62C6">
      <w:rPr>
        <w:b/>
        <w:bCs/>
      </w:rPr>
      <w:fldChar w:fldCharType="end"/>
    </w:r>
    <w:r>
      <w:rPr>
        <w:b/>
        <w:bCs/>
      </w:rPr>
      <w:t xml:space="preserve"> </w:t>
    </w:r>
    <w:r>
      <w:rPr>
        <w:b/>
        <w:bCs/>
      </w:rPr>
      <w:fldChar w:fldCharType="begin"/>
    </w:r>
    <w:r>
      <w:rPr>
        <w:b/>
        <w:bCs/>
      </w:rPr>
      <w:instrText>styleref href</w:instrText>
    </w:r>
    <w:r>
      <w:rPr>
        <w:b/>
        <w:bCs/>
      </w:rPr>
      <w:fldChar w:fldCharType="separate"/>
    </w:r>
    <w:r w:rsidR="00884ACC">
      <w:rPr>
        <w:b/>
        <w:bCs/>
        <w:noProof/>
      </w:rPr>
      <w:t>UIT-R  SF.675-4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A62C6">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884ACC" w:rsidRPr="00884ACC">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A62C6">
      <w:rPr>
        <w:b/>
        <w:bCs/>
        <w:noProof/>
      </w:rPr>
      <w:t>UIT-R  SF.675-4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r w:rsidR="007A62C6">
      <w:fldChar w:fldCharType="begin"/>
    </w:r>
    <w:r w:rsidR="007A62C6">
      <w:instrText xml:space="preserve"> DOCPROPERTY "Header" \* MERGEFORMAT </w:instrText>
    </w:r>
    <w:r w:rsidR="007A62C6">
      <w:fldChar w:fldCharType="separate"/>
    </w:r>
    <w:r w:rsidR="00884ACC" w:rsidRPr="00884ACC">
      <w:rPr>
        <w:b/>
        <w:bCs/>
      </w:rPr>
      <w:t xml:space="preserve">Rec. </w:t>
    </w:r>
    <w:r w:rsidR="007A62C6">
      <w:rPr>
        <w:b/>
        <w:bCs/>
      </w:rPr>
      <w:fldChar w:fldCharType="end"/>
    </w:r>
    <w:r>
      <w:rPr>
        <w:b/>
        <w:bCs/>
      </w:rPr>
      <w:t xml:space="preserve"> </w:t>
    </w:r>
    <w:r>
      <w:rPr>
        <w:b/>
        <w:bCs/>
      </w:rPr>
      <w:fldChar w:fldCharType="begin"/>
    </w:r>
    <w:r>
      <w:rPr>
        <w:b/>
        <w:bCs/>
      </w:rPr>
      <w:instrText>styleref href</w:instrText>
    </w:r>
    <w:r>
      <w:rPr>
        <w:b/>
        <w:bCs/>
      </w:rPr>
      <w:fldChar w:fldCharType="separate"/>
    </w:r>
    <w:r w:rsidR="007A62C6">
      <w:rPr>
        <w:b/>
        <w:bCs/>
        <w:noProof/>
      </w:rPr>
      <w:t>UIT-R  SF.675-4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A62C6">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536E"/>
    <w:rsid w:val="001018EA"/>
    <w:rsid w:val="00217EBF"/>
    <w:rsid w:val="00242AEE"/>
    <w:rsid w:val="002D76C4"/>
    <w:rsid w:val="00382656"/>
    <w:rsid w:val="00465C36"/>
    <w:rsid w:val="00492003"/>
    <w:rsid w:val="0052529D"/>
    <w:rsid w:val="00607D68"/>
    <w:rsid w:val="007468DA"/>
    <w:rsid w:val="007A62C6"/>
    <w:rsid w:val="00884ACC"/>
    <w:rsid w:val="009E00A8"/>
    <w:rsid w:val="00A12CDA"/>
    <w:rsid w:val="00A6617B"/>
    <w:rsid w:val="00A7536E"/>
    <w:rsid w:val="00AA3F7B"/>
    <w:rsid w:val="00AB0DC8"/>
    <w:rsid w:val="00B44E24"/>
    <w:rsid w:val="00D6213B"/>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65C3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465C36"/>
    <w:pPr>
      <w:keepNext/>
      <w:keepLines/>
      <w:spacing w:before="480"/>
      <w:ind w:left="794" w:hanging="794"/>
      <w:outlineLvl w:val="0"/>
    </w:pPr>
    <w:rPr>
      <w:b/>
    </w:rPr>
  </w:style>
  <w:style w:type="paragraph" w:styleId="Heading2">
    <w:name w:val="heading 2"/>
    <w:basedOn w:val="Heading1"/>
    <w:next w:val="Normal"/>
    <w:link w:val="Heading2Char"/>
    <w:qFormat/>
    <w:rsid w:val="00465C36"/>
    <w:pPr>
      <w:spacing w:before="320"/>
      <w:outlineLvl w:val="1"/>
    </w:pPr>
  </w:style>
  <w:style w:type="paragraph" w:styleId="Heading3">
    <w:name w:val="heading 3"/>
    <w:basedOn w:val="Heading1"/>
    <w:next w:val="Normal"/>
    <w:qFormat/>
    <w:rsid w:val="00465C36"/>
    <w:pPr>
      <w:spacing w:before="200"/>
      <w:outlineLvl w:val="2"/>
    </w:pPr>
  </w:style>
  <w:style w:type="paragraph" w:styleId="Heading4">
    <w:name w:val="heading 4"/>
    <w:basedOn w:val="Heading3"/>
    <w:next w:val="Normal"/>
    <w:qFormat/>
    <w:rsid w:val="00465C36"/>
    <w:pPr>
      <w:tabs>
        <w:tab w:val="clear" w:pos="794"/>
        <w:tab w:val="left" w:pos="992"/>
      </w:tabs>
      <w:ind w:left="992" w:hanging="992"/>
      <w:outlineLvl w:val="3"/>
    </w:pPr>
  </w:style>
  <w:style w:type="paragraph" w:styleId="Heading5">
    <w:name w:val="heading 5"/>
    <w:basedOn w:val="Heading4"/>
    <w:next w:val="Normal"/>
    <w:qFormat/>
    <w:rsid w:val="00465C36"/>
    <w:pPr>
      <w:outlineLvl w:val="4"/>
    </w:pPr>
  </w:style>
  <w:style w:type="paragraph" w:styleId="Heading6">
    <w:name w:val="heading 6"/>
    <w:basedOn w:val="Heading4"/>
    <w:next w:val="Normal"/>
    <w:qFormat/>
    <w:rsid w:val="00465C36"/>
    <w:pPr>
      <w:tabs>
        <w:tab w:val="clear" w:pos="992"/>
        <w:tab w:val="clear" w:pos="1191"/>
      </w:tabs>
      <w:ind w:left="1588" w:hanging="1588"/>
      <w:outlineLvl w:val="5"/>
    </w:pPr>
  </w:style>
  <w:style w:type="paragraph" w:styleId="Heading7">
    <w:name w:val="heading 7"/>
    <w:basedOn w:val="Heading6"/>
    <w:next w:val="Normal"/>
    <w:qFormat/>
    <w:rsid w:val="00465C36"/>
    <w:pPr>
      <w:outlineLvl w:val="6"/>
    </w:pPr>
  </w:style>
  <w:style w:type="paragraph" w:styleId="Heading8">
    <w:name w:val="heading 8"/>
    <w:basedOn w:val="Heading6"/>
    <w:next w:val="Normal"/>
    <w:qFormat/>
    <w:rsid w:val="00465C36"/>
    <w:pPr>
      <w:outlineLvl w:val="7"/>
    </w:pPr>
  </w:style>
  <w:style w:type="paragraph" w:styleId="Heading9">
    <w:name w:val="heading 9"/>
    <w:basedOn w:val="Heading6"/>
    <w:next w:val="Normal"/>
    <w:qFormat/>
    <w:rsid w:val="00465C3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65C3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465C3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65C36"/>
  </w:style>
  <w:style w:type="paragraph" w:customStyle="1" w:styleId="Headingb">
    <w:name w:val="Heading_b"/>
    <w:basedOn w:val="Heading3"/>
    <w:next w:val="Normal"/>
    <w:rsid w:val="00465C36"/>
    <w:pPr>
      <w:spacing w:before="160"/>
      <w:ind w:left="0" w:firstLine="0"/>
      <w:outlineLvl w:val="9"/>
    </w:pPr>
  </w:style>
  <w:style w:type="paragraph" w:customStyle="1" w:styleId="Headingi">
    <w:name w:val="Heading_i"/>
    <w:basedOn w:val="Heading3"/>
    <w:next w:val="Normal"/>
    <w:rsid w:val="00465C36"/>
    <w:pPr>
      <w:spacing w:before="160"/>
      <w:ind w:left="0" w:firstLine="0"/>
    </w:pPr>
    <w:rPr>
      <w:b w:val="0"/>
      <w:i/>
    </w:rPr>
  </w:style>
  <w:style w:type="character" w:customStyle="1" w:styleId="href">
    <w:name w:val="href"/>
    <w:basedOn w:val="DefaultParagraphFont"/>
    <w:rsid w:val="00465C36"/>
  </w:style>
  <w:style w:type="paragraph" w:customStyle="1" w:styleId="enumlev1">
    <w:name w:val="enumlev1"/>
    <w:basedOn w:val="Normal"/>
    <w:rsid w:val="00465C36"/>
    <w:pPr>
      <w:spacing w:before="80"/>
      <w:ind w:left="794" w:hanging="794"/>
    </w:pPr>
  </w:style>
  <w:style w:type="paragraph" w:customStyle="1" w:styleId="enumlev2">
    <w:name w:val="enumlev2"/>
    <w:basedOn w:val="enumlev1"/>
    <w:rsid w:val="00465C36"/>
    <w:pPr>
      <w:ind w:left="1191" w:hanging="397"/>
    </w:pPr>
  </w:style>
  <w:style w:type="paragraph" w:customStyle="1" w:styleId="enumlev3">
    <w:name w:val="enumlev3"/>
    <w:basedOn w:val="enumlev2"/>
    <w:rsid w:val="00465C36"/>
    <w:pPr>
      <w:ind w:left="1588"/>
    </w:pPr>
  </w:style>
  <w:style w:type="paragraph" w:customStyle="1" w:styleId="Normalaftertitle">
    <w:name w:val="Normal_after_title"/>
    <w:basedOn w:val="Normal"/>
    <w:next w:val="Normal"/>
    <w:rsid w:val="00465C36"/>
    <w:pPr>
      <w:spacing w:before="320"/>
    </w:pPr>
  </w:style>
  <w:style w:type="paragraph" w:customStyle="1" w:styleId="Note">
    <w:name w:val="Note"/>
    <w:basedOn w:val="Normal"/>
    <w:rsid w:val="00465C3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65C3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884ACC"/>
    <w:pPr>
      <w:spacing w:before="240"/>
      <w:jc w:val="left"/>
    </w:pPr>
    <w:rPr>
      <w:sz w:val="22"/>
      <w:lang w:val="es-ES_tradnl"/>
    </w:rPr>
  </w:style>
  <w:style w:type="paragraph" w:customStyle="1" w:styleId="Recref">
    <w:name w:val="Rec_ref"/>
    <w:basedOn w:val="Normal"/>
    <w:next w:val="Recdate"/>
    <w:rsid w:val="00465C36"/>
    <w:pPr>
      <w:jc w:val="center"/>
    </w:pPr>
  </w:style>
  <w:style w:type="paragraph" w:customStyle="1" w:styleId="Recdate">
    <w:name w:val="Rec_date"/>
    <w:basedOn w:val="Recref"/>
    <w:next w:val="Normalaftertitle"/>
    <w:rsid w:val="00465C36"/>
    <w:pPr>
      <w:jc w:val="right"/>
    </w:pPr>
  </w:style>
  <w:style w:type="paragraph" w:customStyle="1" w:styleId="AnnexNoTitle">
    <w:name w:val="Annex_NoTitle"/>
    <w:basedOn w:val="Normal"/>
    <w:next w:val="Normalaftertitle"/>
    <w:rsid w:val="00465C36"/>
    <w:pPr>
      <w:keepNext/>
      <w:keepLines/>
      <w:spacing w:before="480" w:after="80"/>
      <w:jc w:val="center"/>
    </w:pPr>
    <w:rPr>
      <w:b/>
      <w:sz w:val="28"/>
    </w:rPr>
  </w:style>
  <w:style w:type="paragraph" w:customStyle="1" w:styleId="AppendixNoTitle">
    <w:name w:val="Appendix_NoTitle"/>
    <w:basedOn w:val="AnnexNoTitle"/>
    <w:next w:val="Normal"/>
    <w:rsid w:val="00465C36"/>
  </w:style>
  <w:style w:type="paragraph" w:customStyle="1" w:styleId="Tablefin">
    <w:name w:val="Table_fin"/>
    <w:basedOn w:val="Normal"/>
    <w:next w:val="Normal"/>
    <w:rsid w:val="00465C36"/>
    <w:pPr>
      <w:spacing w:before="0"/>
    </w:pPr>
    <w:rPr>
      <w:sz w:val="20"/>
      <w:lang w:val="en-GB"/>
    </w:rPr>
  </w:style>
  <w:style w:type="paragraph" w:customStyle="1" w:styleId="Tablehead">
    <w:name w:val="Table_head"/>
    <w:basedOn w:val="Normal"/>
    <w:next w:val="Normal"/>
    <w:rsid w:val="00465C3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65C3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65C36"/>
    <w:pPr>
      <w:keepNext/>
      <w:spacing w:before="360" w:after="120"/>
      <w:jc w:val="center"/>
    </w:pPr>
  </w:style>
  <w:style w:type="paragraph" w:customStyle="1" w:styleId="Tabletext">
    <w:name w:val="Table_text"/>
    <w:basedOn w:val="Normal"/>
    <w:rsid w:val="00465C3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465C36"/>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465C3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65C36"/>
    <w:pPr>
      <w:ind w:left="794"/>
    </w:pPr>
  </w:style>
  <w:style w:type="paragraph" w:customStyle="1" w:styleId="Figurelegend">
    <w:name w:val="Figure_legend"/>
    <w:basedOn w:val="Normal"/>
    <w:rsid w:val="00465C3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465C36"/>
    <w:pPr>
      <w:keepNext/>
      <w:keepLines/>
      <w:spacing w:before="480" w:after="80"/>
      <w:jc w:val="center"/>
    </w:pPr>
    <w:rPr>
      <w:caps/>
      <w:sz w:val="18"/>
    </w:rPr>
  </w:style>
  <w:style w:type="paragraph" w:customStyle="1" w:styleId="tocpart">
    <w:name w:val="tocpart"/>
    <w:basedOn w:val="Normal"/>
    <w:rsid w:val="00465C3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65C36"/>
    <w:pPr>
      <w:keepNext/>
      <w:keepLines/>
      <w:spacing w:before="480"/>
      <w:jc w:val="center"/>
    </w:pPr>
    <w:rPr>
      <w:sz w:val="28"/>
    </w:rPr>
  </w:style>
  <w:style w:type="paragraph" w:customStyle="1" w:styleId="Arttitle">
    <w:name w:val="Art_title"/>
    <w:basedOn w:val="Normal"/>
    <w:next w:val="Normalaftertitle"/>
    <w:rsid w:val="00465C36"/>
    <w:pPr>
      <w:keepNext/>
      <w:keepLines/>
      <w:spacing w:before="240"/>
      <w:jc w:val="center"/>
    </w:pPr>
    <w:rPr>
      <w:b/>
      <w:sz w:val="28"/>
    </w:rPr>
  </w:style>
  <w:style w:type="paragraph" w:customStyle="1" w:styleId="Blanc">
    <w:name w:val="Blanc"/>
    <w:basedOn w:val="Normal"/>
    <w:next w:val="Tabletext"/>
    <w:rsid w:val="00465C3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65C3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65C36"/>
    <w:pPr>
      <w:keepNext/>
      <w:keepLines/>
      <w:spacing w:before="160"/>
      <w:ind w:left="794"/>
    </w:pPr>
    <w:rPr>
      <w:i/>
    </w:rPr>
  </w:style>
  <w:style w:type="paragraph" w:customStyle="1" w:styleId="ChapNo">
    <w:name w:val="Chap_No"/>
    <w:basedOn w:val="ArtNo"/>
    <w:next w:val="Chaptitle"/>
    <w:rsid w:val="00465C36"/>
    <w:rPr>
      <w:b/>
    </w:rPr>
  </w:style>
  <w:style w:type="paragraph" w:customStyle="1" w:styleId="Chaptitle">
    <w:name w:val="Chap_title"/>
    <w:basedOn w:val="Arttitle"/>
    <w:next w:val="Normalaftertitle"/>
    <w:rsid w:val="00465C36"/>
  </w:style>
  <w:style w:type="character" w:styleId="FootnoteReference">
    <w:name w:val="footnote reference"/>
    <w:basedOn w:val="DefaultParagraphFont"/>
    <w:semiHidden/>
    <w:rsid w:val="00465C36"/>
    <w:rPr>
      <w:position w:val="6"/>
      <w:sz w:val="18"/>
    </w:rPr>
  </w:style>
  <w:style w:type="paragraph" w:styleId="FootnoteText">
    <w:name w:val="footnote text"/>
    <w:basedOn w:val="Normal"/>
    <w:semiHidden/>
    <w:rsid w:val="00465C36"/>
    <w:pPr>
      <w:keepLines/>
      <w:tabs>
        <w:tab w:val="left" w:pos="255"/>
      </w:tabs>
      <w:ind w:left="255" w:hanging="255"/>
    </w:pPr>
    <w:rPr>
      <w:sz w:val="22"/>
    </w:rPr>
  </w:style>
  <w:style w:type="paragraph" w:styleId="Index1">
    <w:name w:val="index 1"/>
    <w:basedOn w:val="Normal"/>
    <w:next w:val="Normal"/>
    <w:semiHidden/>
    <w:rsid w:val="00465C36"/>
  </w:style>
  <w:style w:type="paragraph" w:styleId="Index2">
    <w:name w:val="index 2"/>
    <w:basedOn w:val="Normal"/>
    <w:next w:val="Normal"/>
    <w:semiHidden/>
    <w:rsid w:val="00465C36"/>
    <w:pPr>
      <w:ind w:left="283"/>
    </w:pPr>
  </w:style>
  <w:style w:type="paragraph" w:styleId="Index3">
    <w:name w:val="index 3"/>
    <w:basedOn w:val="Normal"/>
    <w:next w:val="Normal"/>
    <w:semiHidden/>
    <w:rsid w:val="00465C36"/>
    <w:pPr>
      <w:ind w:left="566"/>
    </w:pPr>
  </w:style>
  <w:style w:type="paragraph" w:styleId="IndexHeading">
    <w:name w:val="index heading"/>
    <w:basedOn w:val="Normal"/>
    <w:next w:val="Index1"/>
    <w:semiHidden/>
    <w:rsid w:val="00465C36"/>
  </w:style>
  <w:style w:type="paragraph" w:customStyle="1" w:styleId="Line">
    <w:name w:val="Line"/>
    <w:basedOn w:val="Normal"/>
    <w:next w:val="Normal"/>
    <w:rsid w:val="00465C3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65C3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65C36"/>
  </w:style>
  <w:style w:type="paragraph" w:customStyle="1" w:styleId="Partref">
    <w:name w:val="Part_ref"/>
    <w:basedOn w:val="Normal"/>
    <w:next w:val="Normal"/>
    <w:rsid w:val="00465C36"/>
    <w:pPr>
      <w:keepNext/>
      <w:keepLines/>
      <w:spacing w:after="280"/>
      <w:jc w:val="center"/>
    </w:pPr>
  </w:style>
  <w:style w:type="paragraph" w:customStyle="1" w:styleId="Parttitle">
    <w:name w:val="Part_title"/>
    <w:basedOn w:val="Normal"/>
    <w:next w:val="Normalaftertitle"/>
    <w:rsid w:val="00465C3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65C36"/>
  </w:style>
  <w:style w:type="paragraph" w:customStyle="1" w:styleId="QuestionNo">
    <w:name w:val="Question_No"/>
    <w:basedOn w:val="RecNo"/>
    <w:next w:val="Normal"/>
    <w:rsid w:val="00465C36"/>
  </w:style>
  <w:style w:type="paragraph" w:customStyle="1" w:styleId="Questionref">
    <w:name w:val="Question_ref"/>
    <w:basedOn w:val="Recref"/>
    <w:next w:val="Questiondate"/>
    <w:rsid w:val="00465C36"/>
  </w:style>
  <w:style w:type="paragraph" w:customStyle="1" w:styleId="Questiontitle">
    <w:name w:val="Question_title"/>
    <w:basedOn w:val="Normal"/>
    <w:next w:val="Questionref"/>
    <w:rsid w:val="00465C36"/>
  </w:style>
  <w:style w:type="paragraph" w:customStyle="1" w:styleId="Reftext">
    <w:name w:val="Ref_text"/>
    <w:basedOn w:val="Normal"/>
    <w:rsid w:val="00465C36"/>
    <w:pPr>
      <w:ind w:left="794" w:hanging="794"/>
    </w:pPr>
    <w:rPr>
      <w:sz w:val="22"/>
    </w:rPr>
  </w:style>
  <w:style w:type="paragraph" w:customStyle="1" w:styleId="Reftitle">
    <w:name w:val="Ref_title"/>
    <w:basedOn w:val="Normal"/>
    <w:next w:val="Reftext"/>
    <w:rsid w:val="00465C3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65C36"/>
  </w:style>
  <w:style w:type="paragraph" w:customStyle="1" w:styleId="RepNo">
    <w:name w:val="Rep_No"/>
    <w:basedOn w:val="RecNo"/>
    <w:next w:val="Reptitle"/>
    <w:rsid w:val="00465C36"/>
  </w:style>
  <w:style w:type="paragraph" w:customStyle="1" w:styleId="Repref">
    <w:name w:val="Rep_ref"/>
    <w:basedOn w:val="Recref"/>
    <w:next w:val="Repdate"/>
    <w:rsid w:val="00465C36"/>
  </w:style>
  <w:style w:type="paragraph" w:customStyle="1" w:styleId="Reptitle">
    <w:name w:val="Rep_title"/>
    <w:basedOn w:val="Rectitle"/>
    <w:next w:val="Repref"/>
    <w:rsid w:val="00465C36"/>
  </w:style>
  <w:style w:type="paragraph" w:customStyle="1" w:styleId="Resdate">
    <w:name w:val="Res_date"/>
    <w:basedOn w:val="Recdate"/>
    <w:next w:val="Normalaftertitle"/>
    <w:rsid w:val="00465C36"/>
  </w:style>
  <w:style w:type="paragraph" w:customStyle="1" w:styleId="ResNo">
    <w:name w:val="Res_No"/>
    <w:basedOn w:val="RecNo"/>
    <w:next w:val="Restitle"/>
    <w:rsid w:val="00465C36"/>
  </w:style>
  <w:style w:type="paragraph" w:customStyle="1" w:styleId="Resref">
    <w:name w:val="Res_ref"/>
    <w:basedOn w:val="Recref"/>
    <w:next w:val="Resdate"/>
    <w:rsid w:val="00465C36"/>
  </w:style>
  <w:style w:type="paragraph" w:customStyle="1" w:styleId="Restitle">
    <w:name w:val="Res_title"/>
    <w:basedOn w:val="Normal"/>
    <w:next w:val="Resref"/>
    <w:rsid w:val="00465C36"/>
    <w:pPr>
      <w:spacing w:before="240"/>
      <w:jc w:val="center"/>
    </w:pPr>
    <w:rPr>
      <w:b/>
      <w:sz w:val="28"/>
    </w:rPr>
  </w:style>
  <w:style w:type="paragraph" w:customStyle="1" w:styleId="SectionNo">
    <w:name w:val="Section_No"/>
    <w:basedOn w:val="Normal"/>
    <w:next w:val="Normal"/>
    <w:rsid w:val="00465C36"/>
  </w:style>
  <w:style w:type="paragraph" w:customStyle="1" w:styleId="Sectiontitle">
    <w:name w:val="Section_title"/>
    <w:basedOn w:val="Normal"/>
    <w:next w:val="Normalaftertitle"/>
    <w:rsid w:val="00465C3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65C36"/>
    <w:pPr>
      <w:tabs>
        <w:tab w:val="clear" w:pos="794"/>
        <w:tab w:val="clear" w:pos="1191"/>
        <w:tab w:val="clear" w:pos="1588"/>
        <w:tab w:val="clear" w:pos="1985"/>
        <w:tab w:val="right" w:pos="9611"/>
      </w:tabs>
    </w:pPr>
    <w:rPr>
      <w:i/>
    </w:rPr>
  </w:style>
  <w:style w:type="paragraph" w:styleId="TOC1">
    <w:name w:val="toc 1"/>
    <w:basedOn w:val="Normal"/>
    <w:semiHidden/>
    <w:rsid w:val="00465C3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65C36"/>
    <w:pPr>
      <w:tabs>
        <w:tab w:val="clear" w:pos="567"/>
        <w:tab w:val="left" w:pos="1276"/>
      </w:tabs>
      <w:spacing w:before="160"/>
      <w:ind w:left="1276" w:hanging="709"/>
    </w:pPr>
  </w:style>
  <w:style w:type="paragraph" w:styleId="TOC3">
    <w:name w:val="toc 3"/>
    <w:basedOn w:val="TOC2"/>
    <w:semiHidden/>
    <w:rsid w:val="00465C36"/>
    <w:pPr>
      <w:tabs>
        <w:tab w:val="clear" w:pos="1276"/>
        <w:tab w:val="left" w:pos="2155"/>
      </w:tabs>
      <w:ind w:left="2155" w:hanging="879"/>
    </w:pPr>
  </w:style>
  <w:style w:type="paragraph" w:styleId="TOC4">
    <w:name w:val="toc 4"/>
    <w:basedOn w:val="TOC3"/>
    <w:semiHidden/>
    <w:rsid w:val="00465C36"/>
    <w:pPr>
      <w:tabs>
        <w:tab w:val="left" w:pos="3261"/>
      </w:tabs>
      <w:spacing w:before="80"/>
      <w:ind w:left="3261" w:hanging="993"/>
    </w:pPr>
  </w:style>
  <w:style w:type="paragraph" w:styleId="TOC5">
    <w:name w:val="toc 5"/>
    <w:basedOn w:val="TOC4"/>
    <w:semiHidden/>
    <w:rsid w:val="00465C36"/>
  </w:style>
  <w:style w:type="paragraph" w:styleId="TOC6">
    <w:name w:val="toc 6"/>
    <w:basedOn w:val="TOC4"/>
    <w:semiHidden/>
    <w:rsid w:val="00465C36"/>
  </w:style>
  <w:style w:type="paragraph" w:styleId="TOC7">
    <w:name w:val="toc 7"/>
    <w:basedOn w:val="TOC4"/>
    <w:semiHidden/>
    <w:rsid w:val="00465C36"/>
  </w:style>
  <w:style w:type="paragraph" w:styleId="TOC8">
    <w:name w:val="toc 8"/>
    <w:basedOn w:val="TOC4"/>
    <w:semiHidden/>
    <w:rsid w:val="00465C36"/>
  </w:style>
  <w:style w:type="paragraph" w:customStyle="1" w:styleId="Rectitle">
    <w:name w:val="Rec_title"/>
    <w:basedOn w:val="Normal"/>
    <w:next w:val="Recref"/>
    <w:rsid w:val="00465C36"/>
    <w:pPr>
      <w:keepNext/>
      <w:keepLines/>
      <w:spacing w:before="240"/>
      <w:jc w:val="center"/>
    </w:pPr>
    <w:rPr>
      <w:b/>
      <w:sz w:val="28"/>
    </w:rPr>
  </w:style>
  <w:style w:type="paragraph" w:customStyle="1" w:styleId="Annexref">
    <w:name w:val="Annex_ref"/>
    <w:basedOn w:val="Normal"/>
    <w:next w:val="Normalaftertitle"/>
    <w:rsid w:val="00465C36"/>
    <w:pPr>
      <w:keepNext/>
      <w:keepLines/>
      <w:spacing w:after="280"/>
      <w:jc w:val="center"/>
    </w:pPr>
  </w:style>
  <w:style w:type="paragraph" w:customStyle="1" w:styleId="Appendixref">
    <w:name w:val="Appendix_ref"/>
    <w:basedOn w:val="Annexref"/>
    <w:next w:val="Normalaftertitle"/>
    <w:rsid w:val="00465C36"/>
  </w:style>
  <w:style w:type="paragraph" w:customStyle="1" w:styleId="Figuretitle">
    <w:name w:val="Figure_title"/>
    <w:basedOn w:val="Normal"/>
    <w:next w:val="Figure"/>
    <w:rsid w:val="00465C36"/>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465C36"/>
    <w:pPr>
      <w:keepNext/>
      <w:spacing w:before="0" w:after="120"/>
      <w:jc w:val="center"/>
    </w:pPr>
    <w:rPr>
      <w:b/>
    </w:rPr>
  </w:style>
  <w:style w:type="paragraph" w:customStyle="1" w:styleId="Summary">
    <w:name w:val="Summary"/>
    <w:basedOn w:val="Normal"/>
    <w:next w:val="Normalaftertitle"/>
    <w:autoRedefine/>
    <w:rsid w:val="00465C36"/>
    <w:pPr>
      <w:spacing w:after="480"/>
    </w:pPr>
    <w:rPr>
      <w:sz w:val="22"/>
      <w:lang w:val="es-ES_tradnl"/>
    </w:rPr>
  </w:style>
  <w:style w:type="paragraph" w:customStyle="1" w:styleId="TableLegendNote">
    <w:name w:val="Table_Legend_Note"/>
    <w:basedOn w:val="Tablelegend"/>
    <w:next w:val="Tablelegend"/>
    <w:rsid w:val="00465C36"/>
    <w:pPr>
      <w:ind w:left="-85" w:firstLine="0"/>
    </w:pPr>
    <w:rPr>
      <w:lang w:val="en-US"/>
    </w:rPr>
  </w:style>
  <w:style w:type="paragraph" w:customStyle="1" w:styleId="Figure">
    <w:name w:val="Figure"/>
    <w:basedOn w:val="FigureNo"/>
    <w:next w:val="Normal"/>
    <w:rsid w:val="00465C36"/>
    <w:pPr>
      <w:keepNext w:val="0"/>
      <w:spacing w:before="0" w:after="240"/>
    </w:pPr>
  </w:style>
  <w:style w:type="character" w:customStyle="1" w:styleId="Heading1Char">
    <w:name w:val="Heading 1 Char"/>
    <w:basedOn w:val="DefaultParagraphFont"/>
    <w:link w:val="Heading1"/>
    <w:rsid w:val="00A7536E"/>
    <w:rPr>
      <w:b/>
      <w:sz w:val="24"/>
      <w:lang w:val="fr-FR" w:eastAsia="en-US"/>
    </w:rPr>
  </w:style>
  <w:style w:type="character" w:customStyle="1" w:styleId="HeaderChar">
    <w:name w:val="Header Char"/>
    <w:basedOn w:val="DefaultParagraphFont"/>
    <w:link w:val="Header"/>
    <w:rsid w:val="00A7536E"/>
    <w:rPr>
      <w:sz w:val="24"/>
      <w:lang w:val="fr-FR" w:eastAsia="en-US"/>
    </w:rPr>
  </w:style>
  <w:style w:type="character" w:styleId="Hyperlink">
    <w:name w:val="Hyperlink"/>
    <w:basedOn w:val="DefaultParagraphFont"/>
    <w:rsid w:val="00A7536E"/>
    <w:rPr>
      <w:color w:val="0000FF"/>
      <w:u w:val="single"/>
    </w:rPr>
  </w:style>
  <w:style w:type="character" w:customStyle="1" w:styleId="Heading2Char">
    <w:name w:val="Heading 2 Char"/>
    <w:basedOn w:val="DefaultParagraphFont"/>
    <w:link w:val="Heading2"/>
    <w:rsid w:val="00382656"/>
    <w:rPr>
      <w:b/>
      <w:sz w:val="24"/>
      <w:lang w:val="fr-FR" w:eastAsia="en-US"/>
    </w:rPr>
  </w:style>
  <w:style w:type="paragraph" w:styleId="BalloonText">
    <w:name w:val="Balloon Text"/>
    <w:basedOn w:val="Normal"/>
    <w:link w:val="BalloonTextChar"/>
    <w:rsid w:val="00AA3F7B"/>
    <w:pPr>
      <w:spacing w:before="0"/>
    </w:pPr>
    <w:rPr>
      <w:rFonts w:ascii="Tahoma" w:hAnsi="Tahoma" w:cs="Tahoma"/>
      <w:sz w:val="16"/>
      <w:szCs w:val="16"/>
    </w:rPr>
  </w:style>
  <w:style w:type="character" w:customStyle="1" w:styleId="EquationChar">
    <w:name w:val="Equation Char"/>
    <w:link w:val="Equation"/>
    <w:locked/>
    <w:rsid w:val="00382656"/>
    <w:rPr>
      <w:sz w:val="24"/>
      <w:lang w:val="fr-FR" w:eastAsia="en-US"/>
    </w:rPr>
  </w:style>
  <w:style w:type="character" w:customStyle="1" w:styleId="EquationlegendChar">
    <w:name w:val="Equation_legend Char"/>
    <w:link w:val="Equationlegend"/>
    <w:locked/>
    <w:rsid w:val="00382656"/>
    <w:rPr>
      <w:sz w:val="24"/>
      <w:lang w:eastAsia="en-US"/>
    </w:rPr>
  </w:style>
  <w:style w:type="character" w:customStyle="1" w:styleId="BalloonTextChar">
    <w:name w:val="Balloon Text Char"/>
    <w:basedOn w:val="DefaultParagraphFont"/>
    <w:link w:val="BalloonText"/>
    <w:rsid w:val="00AA3F7B"/>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65C3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465C36"/>
    <w:pPr>
      <w:keepNext/>
      <w:keepLines/>
      <w:spacing w:before="480"/>
      <w:ind w:left="794" w:hanging="794"/>
      <w:outlineLvl w:val="0"/>
    </w:pPr>
    <w:rPr>
      <w:b/>
    </w:rPr>
  </w:style>
  <w:style w:type="paragraph" w:styleId="Heading2">
    <w:name w:val="heading 2"/>
    <w:basedOn w:val="Heading1"/>
    <w:next w:val="Normal"/>
    <w:link w:val="Heading2Char"/>
    <w:qFormat/>
    <w:rsid w:val="00465C36"/>
    <w:pPr>
      <w:spacing w:before="320"/>
      <w:outlineLvl w:val="1"/>
    </w:pPr>
  </w:style>
  <w:style w:type="paragraph" w:styleId="Heading3">
    <w:name w:val="heading 3"/>
    <w:basedOn w:val="Heading1"/>
    <w:next w:val="Normal"/>
    <w:qFormat/>
    <w:rsid w:val="00465C36"/>
    <w:pPr>
      <w:spacing w:before="200"/>
      <w:outlineLvl w:val="2"/>
    </w:pPr>
  </w:style>
  <w:style w:type="paragraph" w:styleId="Heading4">
    <w:name w:val="heading 4"/>
    <w:basedOn w:val="Heading3"/>
    <w:next w:val="Normal"/>
    <w:qFormat/>
    <w:rsid w:val="00465C36"/>
    <w:pPr>
      <w:tabs>
        <w:tab w:val="clear" w:pos="794"/>
        <w:tab w:val="left" w:pos="992"/>
      </w:tabs>
      <w:ind w:left="992" w:hanging="992"/>
      <w:outlineLvl w:val="3"/>
    </w:pPr>
  </w:style>
  <w:style w:type="paragraph" w:styleId="Heading5">
    <w:name w:val="heading 5"/>
    <w:basedOn w:val="Heading4"/>
    <w:next w:val="Normal"/>
    <w:qFormat/>
    <w:rsid w:val="00465C36"/>
    <w:pPr>
      <w:outlineLvl w:val="4"/>
    </w:pPr>
  </w:style>
  <w:style w:type="paragraph" w:styleId="Heading6">
    <w:name w:val="heading 6"/>
    <w:basedOn w:val="Heading4"/>
    <w:next w:val="Normal"/>
    <w:qFormat/>
    <w:rsid w:val="00465C36"/>
    <w:pPr>
      <w:tabs>
        <w:tab w:val="clear" w:pos="992"/>
        <w:tab w:val="clear" w:pos="1191"/>
      </w:tabs>
      <w:ind w:left="1588" w:hanging="1588"/>
      <w:outlineLvl w:val="5"/>
    </w:pPr>
  </w:style>
  <w:style w:type="paragraph" w:styleId="Heading7">
    <w:name w:val="heading 7"/>
    <w:basedOn w:val="Heading6"/>
    <w:next w:val="Normal"/>
    <w:qFormat/>
    <w:rsid w:val="00465C36"/>
    <w:pPr>
      <w:outlineLvl w:val="6"/>
    </w:pPr>
  </w:style>
  <w:style w:type="paragraph" w:styleId="Heading8">
    <w:name w:val="heading 8"/>
    <w:basedOn w:val="Heading6"/>
    <w:next w:val="Normal"/>
    <w:qFormat/>
    <w:rsid w:val="00465C36"/>
    <w:pPr>
      <w:outlineLvl w:val="7"/>
    </w:pPr>
  </w:style>
  <w:style w:type="paragraph" w:styleId="Heading9">
    <w:name w:val="heading 9"/>
    <w:basedOn w:val="Heading6"/>
    <w:next w:val="Normal"/>
    <w:qFormat/>
    <w:rsid w:val="00465C3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65C3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465C3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65C36"/>
  </w:style>
  <w:style w:type="paragraph" w:customStyle="1" w:styleId="Headingb">
    <w:name w:val="Heading_b"/>
    <w:basedOn w:val="Heading3"/>
    <w:next w:val="Normal"/>
    <w:rsid w:val="00465C36"/>
    <w:pPr>
      <w:spacing w:before="160"/>
      <w:ind w:left="0" w:firstLine="0"/>
      <w:outlineLvl w:val="9"/>
    </w:pPr>
  </w:style>
  <w:style w:type="paragraph" w:customStyle="1" w:styleId="Headingi">
    <w:name w:val="Heading_i"/>
    <w:basedOn w:val="Heading3"/>
    <w:next w:val="Normal"/>
    <w:rsid w:val="00465C36"/>
    <w:pPr>
      <w:spacing w:before="160"/>
      <w:ind w:left="0" w:firstLine="0"/>
    </w:pPr>
    <w:rPr>
      <w:b w:val="0"/>
      <w:i/>
    </w:rPr>
  </w:style>
  <w:style w:type="character" w:customStyle="1" w:styleId="href">
    <w:name w:val="href"/>
    <w:basedOn w:val="DefaultParagraphFont"/>
    <w:rsid w:val="00465C36"/>
  </w:style>
  <w:style w:type="paragraph" w:customStyle="1" w:styleId="enumlev1">
    <w:name w:val="enumlev1"/>
    <w:basedOn w:val="Normal"/>
    <w:rsid w:val="00465C36"/>
    <w:pPr>
      <w:spacing w:before="80"/>
      <w:ind w:left="794" w:hanging="794"/>
    </w:pPr>
  </w:style>
  <w:style w:type="paragraph" w:customStyle="1" w:styleId="enumlev2">
    <w:name w:val="enumlev2"/>
    <w:basedOn w:val="enumlev1"/>
    <w:rsid w:val="00465C36"/>
    <w:pPr>
      <w:ind w:left="1191" w:hanging="397"/>
    </w:pPr>
  </w:style>
  <w:style w:type="paragraph" w:customStyle="1" w:styleId="enumlev3">
    <w:name w:val="enumlev3"/>
    <w:basedOn w:val="enumlev2"/>
    <w:rsid w:val="00465C36"/>
    <w:pPr>
      <w:ind w:left="1588"/>
    </w:pPr>
  </w:style>
  <w:style w:type="paragraph" w:customStyle="1" w:styleId="Normalaftertitle">
    <w:name w:val="Normal_after_title"/>
    <w:basedOn w:val="Normal"/>
    <w:next w:val="Normal"/>
    <w:rsid w:val="00465C36"/>
    <w:pPr>
      <w:spacing w:before="320"/>
    </w:pPr>
  </w:style>
  <w:style w:type="paragraph" w:customStyle="1" w:styleId="Note">
    <w:name w:val="Note"/>
    <w:basedOn w:val="Normal"/>
    <w:rsid w:val="00465C3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65C3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884ACC"/>
    <w:pPr>
      <w:spacing w:before="240"/>
      <w:jc w:val="left"/>
    </w:pPr>
    <w:rPr>
      <w:sz w:val="22"/>
      <w:lang w:val="es-ES_tradnl"/>
    </w:rPr>
  </w:style>
  <w:style w:type="paragraph" w:customStyle="1" w:styleId="Recref">
    <w:name w:val="Rec_ref"/>
    <w:basedOn w:val="Normal"/>
    <w:next w:val="Recdate"/>
    <w:rsid w:val="00465C36"/>
    <w:pPr>
      <w:jc w:val="center"/>
    </w:pPr>
  </w:style>
  <w:style w:type="paragraph" w:customStyle="1" w:styleId="Recdate">
    <w:name w:val="Rec_date"/>
    <w:basedOn w:val="Recref"/>
    <w:next w:val="Normalaftertitle"/>
    <w:rsid w:val="00465C36"/>
    <w:pPr>
      <w:jc w:val="right"/>
    </w:pPr>
  </w:style>
  <w:style w:type="paragraph" w:customStyle="1" w:styleId="AnnexNoTitle">
    <w:name w:val="Annex_NoTitle"/>
    <w:basedOn w:val="Normal"/>
    <w:next w:val="Normalaftertitle"/>
    <w:rsid w:val="00465C36"/>
    <w:pPr>
      <w:keepNext/>
      <w:keepLines/>
      <w:spacing w:before="480" w:after="80"/>
      <w:jc w:val="center"/>
    </w:pPr>
    <w:rPr>
      <w:b/>
      <w:sz w:val="28"/>
    </w:rPr>
  </w:style>
  <w:style w:type="paragraph" w:customStyle="1" w:styleId="AppendixNoTitle">
    <w:name w:val="Appendix_NoTitle"/>
    <w:basedOn w:val="AnnexNoTitle"/>
    <w:next w:val="Normal"/>
    <w:rsid w:val="00465C36"/>
  </w:style>
  <w:style w:type="paragraph" w:customStyle="1" w:styleId="Tablefin">
    <w:name w:val="Table_fin"/>
    <w:basedOn w:val="Normal"/>
    <w:next w:val="Normal"/>
    <w:rsid w:val="00465C36"/>
    <w:pPr>
      <w:spacing w:before="0"/>
    </w:pPr>
    <w:rPr>
      <w:sz w:val="20"/>
      <w:lang w:val="en-GB"/>
    </w:rPr>
  </w:style>
  <w:style w:type="paragraph" w:customStyle="1" w:styleId="Tablehead">
    <w:name w:val="Table_head"/>
    <w:basedOn w:val="Normal"/>
    <w:next w:val="Normal"/>
    <w:rsid w:val="00465C3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65C3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65C36"/>
    <w:pPr>
      <w:keepNext/>
      <w:spacing w:before="360" w:after="120"/>
      <w:jc w:val="center"/>
    </w:pPr>
  </w:style>
  <w:style w:type="paragraph" w:customStyle="1" w:styleId="Tabletext">
    <w:name w:val="Table_text"/>
    <w:basedOn w:val="Normal"/>
    <w:rsid w:val="00465C3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465C36"/>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465C3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65C36"/>
    <w:pPr>
      <w:ind w:left="794"/>
    </w:pPr>
  </w:style>
  <w:style w:type="paragraph" w:customStyle="1" w:styleId="Figurelegend">
    <w:name w:val="Figure_legend"/>
    <w:basedOn w:val="Normal"/>
    <w:rsid w:val="00465C3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465C36"/>
    <w:pPr>
      <w:keepNext/>
      <w:keepLines/>
      <w:spacing w:before="480" w:after="80"/>
      <w:jc w:val="center"/>
    </w:pPr>
    <w:rPr>
      <w:caps/>
      <w:sz w:val="18"/>
    </w:rPr>
  </w:style>
  <w:style w:type="paragraph" w:customStyle="1" w:styleId="tocpart">
    <w:name w:val="tocpart"/>
    <w:basedOn w:val="Normal"/>
    <w:rsid w:val="00465C3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65C36"/>
    <w:pPr>
      <w:keepNext/>
      <w:keepLines/>
      <w:spacing w:before="480"/>
      <w:jc w:val="center"/>
    </w:pPr>
    <w:rPr>
      <w:sz w:val="28"/>
    </w:rPr>
  </w:style>
  <w:style w:type="paragraph" w:customStyle="1" w:styleId="Arttitle">
    <w:name w:val="Art_title"/>
    <w:basedOn w:val="Normal"/>
    <w:next w:val="Normalaftertitle"/>
    <w:rsid w:val="00465C36"/>
    <w:pPr>
      <w:keepNext/>
      <w:keepLines/>
      <w:spacing w:before="240"/>
      <w:jc w:val="center"/>
    </w:pPr>
    <w:rPr>
      <w:b/>
      <w:sz w:val="28"/>
    </w:rPr>
  </w:style>
  <w:style w:type="paragraph" w:customStyle="1" w:styleId="Blanc">
    <w:name w:val="Blanc"/>
    <w:basedOn w:val="Normal"/>
    <w:next w:val="Tabletext"/>
    <w:rsid w:val="00465C3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65C3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65C36"/>
    <w:pPr>
      <w:keepNext/>
      <w:keepLines/>
      <w:spacing w:before="160"/>
      <w:ind w:left="794"/>
    </w:pPr>
    <w:rPr>
      <w:i/>
    </w:rPr>
  </w:style>
  <w:style w:type="paragraph" w:customStyle="1" w:styleId="ChapNo">
    <w:name w:val="Chap_No"/>
    <w:basedOn w:val="ArtNo"/>
    <w:next w:val="Chaptitle"/>
    <w:rsid w:val="00465C36"/>
    <w:rPr>
      <w:b/>
    </w:rPr>
  </w:style>
  <w:style w:type="paragraph" w:customStyle="1" w:styleId="Chaptitle">
    <w:name w:val="Chap_title"/>
    <w:basedOn w:val="Arttitle"/>
    <w:next w:val="Normalaftertitle"/>
    <w:rsid w:val="00465C36"/>
  </w:style>
  <w:style w:type="character" w:styleId="FootnoteReference">
    <w:name w:val="footnote reference"/>
    <w:basedOn w:val="DefaultParagraphFont"/>
    <w:semiHidden/>
    <w:rsid w:val="00465C36"/>
    <w:rPr>
      <w:position w:val="6"/>
      <w:sz w:val="18"/>
    </w:rPr>
  </w:style>
  <w:style w:type="paragraph" w:styleId="FootnoteText">
    <w:name w:val="footnote text"/>
    <w:basedOn w:val="Normal"/>
    <w:semiHidden/>
    <w:rsid w:val="00465C36"/>
    <w:pPr>
      <w:keepLines/>
      <w:tabs>
        <w:tab w:val="left" w:pos="255"/>
      </w:tabs>
      <w:ind w:left="255" w:hanging="255"/>
    </w:pPr>
    <w:rPr>
      <w:sz w:val="22"/>
    </w:rPr>
  </w:style>
  <w:style w:type="paragraph" w:styleId="Index1">
    <w:name w:val="index 1"/>
    <w:basedOn w:val="Normal"/>
    <w:next w:val="Normal"/>
    <w:semiHidden/>
    <w:rsid w:val="00465C36"/>
  </w:style>
  <w:style w:type="paragraph" w:styleId="Index2">
    <w:name w:val="index 2"/>
    <w:basedOn w:val="Normal"/>
    <w:next w:val="Normal"/>
    <w:semiHidden/>
    <w:rsid w:val="00465C36"/>
    <w:pPr>
      <w:ind w:left="283"/>
    </w:pPr>
  </w:style>
  <w:style w:type="paragraph" w:styleId="Index3">
    <w:name w:val="index 3"/>
    <w:basedOn w:val="Normal"/>
    <w:next w:val="Normal"/>
    <w:semiHidden/>
    <w:rsid w:val="00465C36"/>
    <w:pPr>
      <w:ind w:left="566"/>
    </w:pPr>
  </w:style>
  <w:style w:type="paragraph" w:styleId="IndexHeading">
    <w:name w:val="index heading"/>
    <w:basedOn w:val="Normal"/>
    <w:next w:val="Index1"/>
    <w:semiHidden/>
    <w:rsid w:val="00465C36"/>
  </w:style>
  <w:style w:type="paragraph" w:customStyle="1" w:styleId="Line">
    <w:name w:val="Line"/>
    <w:basedOn w:val="Normal"/>
    <w:next w:val="Normal"/>
    <w:rsid w:val="00465C3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65C3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65C36"/>
  </w:style>
  <w:style w:type="paragraph" w:customStyle="1" w:styleId="Partref">
    <w:name w:val="Part_ref"/>
    <w:basedOn w:val="Normal"/>
    <w:next w:val="Normal"/>
    <w:rsid w:val="00465C36"/>
    <w:pPr>
      <w:keepNext/>
      <w:keepLines/>
      <w:spacing w:after="280"/>
      <w:jc w:val="center"/>
    </w:pPr>
  </w:style>
  <w:style w:type="paragraph" w:customStyle="1" w:styleId="Parttitle">
    <w:name w:val="Part_title"/>
    <w:basedOn w:val="Normal"/>
    <w:next w:val="Normalaftertitle"/>
    <w:rsid w:val="00465C3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65C36"/>
  </w:style>
  <w:style w:type="paragraph" w:customStyle="1" w:styleId="QuestionNo">
    <w:name w:val="Question_No"/>
    <w:basedOn w:val="RecNo"/>
    <w:next w:val="Normal"/>
    <w:rsid w:val="00465C36"/>
  </w:style>
  <w:style w:type="paragraph" w:customStyle="1" w:styleId="Questionref">
    <w:name w:val="Question_ref"/>
    <w:basedOn w:val="Recref"/>
    <w:next w:val="Questiondate"/>
    <w:rsid w:val="00465C36"/>
  </w:style>
  <w:style w:type="paragraph" w:customStyle="1" w:styleId="Questiontitle">
    <w:name w:val="Question_title"/>
    <w:basedOn w:val="Normal"/>
    <w:next w:val="Questionref"/>
    <w:rsid w:val="00465C36"/>
  </w:style>
  <w:style w:type="paragraph" w:customStyle="1" w:styleId="Reftext">
    <w:name w:val="Ref_text"/>
    <w:basedOn w:val="Normal"/>
    <w:rsid w:val="00465C36"/>
    <w:pPr>
      <w:ind w:left="794" w:hanging="794"/>
    </w:pPr>
    <w:rPr>
      <w:sz w:val="22"/>
    </w:rPr>
  </w:style>
  <w:style w:type="paragraph" w:customStyle="1" w:styleId="Reftitle">
    <w:name w:val="Ref_title"/>
    <w:basedOn w:val="Normal"/>
    <w:next w:val="Reftext"/>
    <w:rsid w:val="00465C3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65C36"/>
  </w:style>
  <w:style w:type="paragraph" w:customStyle="1" w:styleId="RepNo">
    <w:name w:val="Rep_No"/>
    <w:basedOn w:val="RecNo"/>
    <w:next w:val="Reptitle"/>
    <w:rsid w:val="00465C36"/>
  </w:style>
  <w:style w:type="paragraph" w:customStyle="1" w:styleId="Repref">
    <w:name w:val="Rep_ref"/>
    <w:basedOn w:val="Recref"/>
    <w:next w:val="Repdate"/>
    <w:rsid w:val="00465C36"/>
  </w:style>
  <w:style w:type="paragraph" w:customStyle="1" w:styleId="Reptitle">
    <w:name w:val="Rep_title"/>
    <w:basedOn w:val="Rectitle"/>
    <w:next w:val="Repref"/>
    <w:rsid w:val="00465C36"/>
  </w:style>
  <w:style w:type="paragraph" w:customStyle="1" w:styleId="Resdate">
    <w:name w:val="Res_date"/>
    <w:basedOn w:val="Recdate"/>
    <w:next w:val="Normalaftertitle"/>
    <w:rsid w:val="00465C36"/>
  </w:style>
  <w:style w:type="paragraph" w:customStyle="1" w:styleId="ResNo">
    <w:name w:val="Res_No"/>
    <w:basedOn w:val="RecNo"/>
    <w:next w:val="Restitle"/>
    <w:rsid w:val="00465C36"/>
  </w:style>
  <w:style w:type="paragraph" w:customStyle="1" w:styleId="Resref">
    <w:name w:val="Res_ref"/>
    <w:basedOn w:val="Recref"/>
    <w:next w:val="Resdate"/>
    <w:rsid w:val="00465C36"/>
  </w:style>
  <w:style w:type="paragraph" w:customStyle="1" w:styleId="Restitle">
    <w:name w:val="Res_title"/>
    <w:basedOn w:val="Normal"/>
    <w:next w:val="Resref"/>
    <w:rsid w:val="00465C36"/>
    <w:pPr>
      <w:spacing w:before="240"/>
      <w:jc w:val="center"/>
    </w:pPr>
    <w:rPr>
      <w:b/>
      <w:sz w:val="28"/>
    </w:rPr>
  </w:style>
  <w:style w:type="paragraph" w:customStyle="1" w:styleId="SectionNo">
    <w:name w:val="Section_No"/>
    <w:basedOn w:val="Normal"/>
    <w:next w:val="Normal"/>
    <w:rsid w:val="00465C36"/>
  </w:style>
  <w:style w:type="paragraph" w:customStyle="1" w:styleId="Sectiontitle">
    <w:name w:val="Section_title"/>
    <w:basedOn w:val="Normal"/>
    <w:next w:val="Normalaftertitle"/>
    <w:rsid w:val="00465C3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65C36"/>
    <w:pPr>
      <w:tabs>
        <w:tab w:val="clear" w:pos="794"/>
        <w:tab w:val="clear" w:pos="1191"/>
        <w:tab w:val="clear" w:pos="1588"/>
        <w:tab w:val="clear" w:pos="1985"/>
        <w:tab w:val="right" w:pos="9611"/>
      </w:tabs>
    </w:pPr>
    <w:rPr>
      <w:i/>
    </w:rPr>
  </w:style>
  <w:style w:type="paragraph" w:styleId="TOC1">
    <w:name w:val="toc 1"/>
    <w:basedOn w:val="Normal"/>
    <w:semiHidden/>
    <w:rsid w:val="00465C3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65C36"/>
    <w:pPr>
      <w:tabs>
        <w:tab w:val="clear" w:pos="567"/>
        <w:tab w:val="left" w:pos="1276"/>
      </w:tabs>
      <w:spacing w:before="160"/>
      <w:ind w:left="1276" w:hanging="709"/>
    </w:pPr>
  </w:style>
  <w:style w:type="paragraph" w:styleId="TOC3">
    <w:name w:val="toc 3"/>
    <w:basedOn w:val="TOC2"/>
    <w:semiHidden/>
    <w:rsid w:val="00465C36"/>
    <w:pPr>
      <w:tabs>
        <w:tab w:val="clear" w:pos="1276"/>
        <w:tab w:val="left" w:pos="2155"/>
      </w:tabs>
      <w:ind w:left="2155" w:hanging="879"/>
    </w:pPr>
  </w:style>
  <w:style w:type="paragraph" w:styleId="TOC4">
    <w:name w:val="toc 4"/>
    <w:basedOn w:val="TOC3"/>
    <w:semiHidden/>
    <w:rsid w:val="00465C36"/>
    <w:pPr>
      <w:tabs>
        <w:tab w:val="left" w:pos="3261"/>
      </w:tabs>
      <w:spacing w:before="80"/>
      <w:ind w:left="3261" w:hanging="993"/>
    </w:pPr>
  </w:style>
  <w:style w:type="paragraph" w:styleId="TOC5">
    <w:name w:val="toc 5"/>
    <w:basedOn w:val="TOC4"/>
    <w:semiHidden/>
    <w:rsid w:val="00465C36"/>
  </w:style>
  <w:style w:type="paragraph" w:styleId="TOC6">
    <w:name w:val="toc 6"/>
    <w:basedOn w:val="TOC4"/>
    <w:semiHidden/>
    <w:rsid w:val="00465C36"/>
  </w:style>
  <w:style w:type="paragraph" w:styleId="TOC7">
    <w:name w:val="toc 7"/>
    <w:basedOn w:val="TOC4"/>
    <w:semiHidden/>
    <w:rsid w:val="00465C36"/>
  </w:style>
  <w:style w:type="paragraph" w:styleId="TOC8">
    <w:name w:val="toc 8"/>
    <w:basedOn w:val="TOC4"/>
    <w:semiHidden/>
    <w:rsid w:val="00465C36"/>
  </w:style>
  <w:style w:type="paragraph" w:customStyle="1" w:styleId="Rectitle">
    <w:name w:val="Rec_title"/>
    <w:basedOn w:val="Normal"/>
    <w:next w:val="Recref"/>
    <w:rsid w:val="00465C36"/>
    <w:pPr>
      <w:keepNext/>
      <w:keepLines/>
      <w:spacing w:before="240"/>
      <w:jc w:val="center"/>
    </w:pPr>
    <w:rPr>
      <w:b/>
      <w:sz w:val="28"/>
    </w:rPr>
  </w:style>
  <w:style w:type="paragraph" w:customStyle="1" w:styleId="Annexref">
    <w:name w:val="Annex_ref"/>
    <w:basedOn w:val="Normal"/>
    <w:next w:val="Normalaftertitle"/>
    <w:rsid w:val="00465C36"/>
    <w:pPr>
      <w:keepNext/>
      <w:keepLines/>
      <w:spacing w:after="280"/>
      <w:jc w:val="center"/>
    </w:pPr>
  </w:style>
  <w:style w:type="paragraph" w:customStyle="1" w:styleId="Appendixref">
    <w:name w:val="Appendix_ref"/>
    <w:basedOn w:val="Annexref"/>
    <w:next w:val="Normalaftertitle"/>
    <w:rsid w:val="00465C36"/>
  </w:style>
  <w:style w:type="paragraph" w:customStyle="1" w:styleId="Figuretitle">
    <w:name w:val="Figure_title"/>
    <w:basedOn w:val="Normal"/>
    <w:next w:val="Figure"/>
    <w:rsid w:val="00465C36"/>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465C36"/>
    <w:pPr>
      <w:keepNext/>
      <w:spacing w:before="0" w:after="120"/>
      <w:jc w:val="center"/>
    </w:pPr>
    <w:rPr>
      <w:b/>
    </w:rPr>
  </w:style>
  <w:style w:type="paragraph" w:customStyle="1" w:styleId="Summary">
    <w:name w:val="Summary"/>
    <w:basedOn w:val="Normal"/>
    <w:next w:val="Normalaftertitle"/>
    <w:autoRedefine/>
    <w:rsid w:val="00465C36"/>
    <w:pPr>
      <w:spacing w:after="480"/>
    </w:pPr>
    <w:rPr>
      <w:sz w:val="22"/>
      <w:lang w:val="es-ES_tradnl"/>
    </w:rPr>
  </w:style>
  <w:style w:type="paragraph" w:customStyle="1" w:styleId="TableLegendNote">
    <w:name w:val="Table_Legend_Note"/>
    <w:basedOn w:val="Tablelegend"/>
    <w:next w:val="Tablelegend"/>
    <w:rsid w:val="00465C36"/>
    <w:pPr>
      <w:ind w:left="-85" w:firstLine="0"/>
    </w:pPr>
    <w:rPr>
      <w:lang w:val="en-US"/>
    </w:rPr>
  </w:style>
  <w:style w:type="paragraph" w:customStyle="1" w:styleId="Figure">
    <w:name w:val="Figure"/>
    <w:basedOn w:val="FigureNo"/>
    <w:next w:val="Normal"/>
    <w:rsid w:val="00465C36"/>
    <w:pPr>
      <w:keepNext w:val="0"/>
      <w:spacing w:before="0" w:after="240"/>
    </w:pPr>
  </w:style>
  <w:style w:type="character" w:customStyle="1" w:styleId="Heading1Char">
    <w:name w:val="Heading 1 Char"/>
    <w:basedOn w:val="DefaultParagraphFont"/>
    <w:link w:val="Heading1"/>
    <w:rsid w:val="00A7536E"/>
    <w:rPr>
      <w:b/>
      <w:sz w:val="24"/>
      <w:lang w:val="fr-FR" w:eastAsia="en-US"/>
    </w:rPr>
  </w:style>
  <w:style w:type="character" w:customStyle="1" w:styleId="HeaderChar">
    <w:name w:val="Header Char"/>
    <w:basedOn w:val="DefaultParagraphFont"/>
    <w:link w:val="Header"/>
    <w:rsid w:val="00A7536E"/>
    <w:rPr>
      <w:sz w:val="24"/>
      <w:lang w:val="fr-FR" w:eastAsia="en-US"/>
    </w:rPr>
  </w:style>
  <w:style w:type="character" w:styleId="Hyperlink">
    <w:name w:val="Hyperlink"/>
    <w:basedOn w:val="DefaultParagraphFont"/>
    <w:rsid w:val="00A7536E"/>
    <w:rPr>
      <w:color w:val="0000FF"/>
      <w:u w:val="single"/>
    </w:rPr>
  </w:style>
  <w:style w:type="character" w:customStyle="1" w:styleId="Heading2Char">
    <w:name w:val="Heading 2 Char"/>
    <w:basedOn w:val="DefaultParagraphFont"/>
    <w:link w:val="Heading2"/>
    <w:rsid w:val="00382656"/>
    <w:rPr>
      <w:b/>
      <w:sz w:val="24"/>
      <w:lang w:val="fr-FR" w:eastAsia="en-US"/>
    </w:rPr>
  </w:style>
  <w:style w:type="paragraph" w:styleId="BalloonText">
    <w:name w:val="Balloon Text"/>
    <w:basedOn w:val="Normal"/>
    <w:link w:val="BalloonTextChar"/>
    <w:rsid w:val="00AA3F7B"/>
    <w:pPr>
      <w:spacing w:before="0"/>
    </w:pPr>
    <w:rPr>
      <w:rFonts w:ascii="Tahoma" w:hAnsi="Tahoma" w:cs="Tahoma"/>
      <w:sz w:val="16"/>
      <w:szCs w:val="16"/>
    </w:rPr>
  </w:style>
  <w:style w:type="character" w:customStyle="1" w:styleId="EquationChar">
    <w:name w:val="Equation Char"/>
    <w:link w:val="Equation"/>
    <w:locked/>
    <w:rsid w:val="00382656"/>
    <w:rPr>
      <w:sz w:val="24"/>
      <w:lang w:val="fr-FR" w:eastAsia="en-US"/>
    </w:rPr>
  </w:style>
  <w:style w:type="character" w:customStyle="1" w:styleId="EquationlegendChar">
    <w:name w:val="Equation_legend Char"/>
    <w:link w:val="Equationlegend"/>
    <w:locked/>
    <w:rsid w:val="00382656"/>
    <w:rPr>
      <w:sz w:val="24"/>
      <w:lang w:eastAsia="en-US"/>
    </w:rPr>
  </w:style>
  <w:style w:type="character" w:customStyle="1" w:styleId="BalloonTextChar">
    <w:name w:val="Balloon Text Char"/>
    <w:basedOn w:val="DefaultParagraphFont"/>
    <w:link w:val="BalloonText"/>
    <w:rsid w:val="00AA3F7B"/>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oleObject" Target="embeddings/oleObject15.bin"/><Relationship Id="rId3" Type="http://schemas.openxmlformats.org/officeDocument/2006/relationships/settings" Target="settings.xml"/><Relationship Id="rId21" Type="http://schemas.openxmlformats.org/officeDocument/2006/relationships/image" Target="media/image6.wmf"/><Relationship Id="rId34" Type="http://schemas.openxmlformats.org/officeDocument/2006/relationships/image" Target="media/image12.wmf"/><Relationship Id="rId42" Type="http://schemas.openxmlformats.org/officeDocument/2006/relationships/image" Target="media/image15.emf"/><Relationship Id="rId47"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image" Target="media/image8.wmf"/><Relationship Id="rId33" Type="http://schemas.openxmlformats.org/officeDocument/2006/relationships/oleObject" Target="embeddings/oleObject11.bin"/><Relationship Id="rId38" Type="http://schemas.openxmlformats.org/officeDocument/2006/relationships/oleObject" Target="embeddings/oleObject14.bin"/><Relationship Id="rId46"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wmf"/><Relationship Id="rId41" Type="http://schemas.openxmlformats.org/officeDocument/2006/relationships/oleObject" Target="embeddings/oleObject16.bin"/><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image" Target="media/image11.wmf"/><Relationship Id="rId37" Type="http://schemas.openxmlformats.org/officeDocument/2006/relationships/image" Target="media/image13.wmf"/><Relationship Id="rId40" Type="http://schemas.openxmlformats.org/officeDocument/2006/relationships/image" Target="media/image14.wmf"/><Relationship Id="rId45"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3.bin"/><Relationship Id="rId10" Type="http://schemas.openxmlformats.org/officeDocument/2006/relationships/hyperlink" Target="http://www.itu.int/publ/R-REC/fr" TargetMode="External"/><Relationship Id="rId19" Type="http://schemas.openxmlformats.org/officeDocument/2006/relationships/image" Target="media/image5.emf"/><Relationship Id="rId31" Type="http://schemas.openxmlformats.org/officeDocument/2006/relationships/oleObject" Target="embeddings/oleObject10.bin"/><Relationship Id="rId44"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oleObject" Target="embeddings/oleObject12.bin"/><Relationship Id="rId43" Type="http://schemas.openxmlformats.org/officeDocument/2006/relationships/oleObject" Target="embeddings/oleObject17.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36</TotalTime>
  <Pages>11</Pages>
  <Words>2548</Words>
  <Characters>14524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17038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10</cp:revision>
  <cp:lastPrinted>2005-02-10T15:54:00Z</cp:lastPrinted>
  <dcterms:created xsi:type="dcterms:W3CDTF">2012-06-25T09:46:00Z</dcterms:created>
  <dcterms:modified xsi:type="dcterms:W3CDTF">2012-06-25T13:33:00Z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