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47D" w:rsidRDefault="0059747D" w:rsidP="0059747D"/>
    <w:p w:rsidR="0059747D" w:rsidRDefault="0059747D" w:rsidP="0059747D"/>
    <w:p w:rsidR="0059747D" w:rsidRDefault="0059747D" w:rsidP="0059747D"/>
    <w:p w:rsidR="0059747D" w:rsidRDefault="0059747D" w:rsidP="0059747D"/>
    <w:p w:rsidR="0059747D" w:rsidRDefault="0059747D" w:rsidP="0059747D"/>
    <w:p w:rsidR="0059747D" w:rsidRDefault="0059747D" w:rsidP="0059747D"/>
    <w:p w:rsidR="0059747D" w:rsidRDefault="0059747D" w:rsidP="0059747D"/>
    <w:p w:rsidR="0059747D" w:rsidRDefault="0059747D" w:rsidP="0059747D"/>
    <w:p w:rsidR="0059747D" w:rsidRDefault="0059747D" w:rsidP="0059747D"/>
    <w:p w:rsidR="0059747D" w:rsidRDefault="0059747D" w:rsidP="0059747D"/>
    <w:p w:rsidR="0059747D" w:rsidRDefault="0059747D" w:rsidP="0059747D"/>
    <w:tbl>
      <w:tblPr>
        <w:tblW w:w="10089" w:type="dxa"/>
        <w:tblLook w:val="01E0" w:firstRow="1" w:lastRow="1" w:firstColumn="1" w:lastColumn="1" w:noHBand="0" w:noVBand="0"/>
      </w:tblPr>
      <w:tblGrid>
        <w:gridCol w:w="10089"/>
      </w:tblGrid>
      <w:tr w:rsidR="0059747D" w:rsidTr="00E159C0">
        <w:tc>
          <w:tcPr>
            <w:tcW w:w="10089" w:type="dxa"/>
          </w:tcPr>
          <w:p w:rsidR="0059747D" w:rsidRPr="001511A6" w:rsidRDefault="0059747D" w:rsidP="00E159C0">
            <w:pPr>
              <w:spacing w:before="380" w:line="280" w:lineRule="exact"/>
              <w:jc w:val="right"/>
              <w:rPr>
                <w:rFonts w:ascii="Tahoma" w:hAnsi="Tahoma" w:cs="Tahoma"/>
                <w:b/>
                <w:bCs/>
                <w:iCs/>
                <w:color w:val="243285"/>
                <w:sz w:val="32"/>
                <w:szCs w:val="32"/>
                <w:lang w:val="en-US"/>
              </w:rPr>
            </w:pPr>
          </w:p>
          <w:p w:rsidR="0059747D" w:rsidRPr="001511A6" w:rsidRDefault="0059747D" w:rsidP="00E159C0">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Pr>
                <w:rFonts w:ascii="Tahoma" w:hAnsi="Tahoma" w:cs="Tahoma"/>
                <w:b/>
                <w:bCs/>
                <w:iCs/>
                <w:color w:val="243285"/>
                <w:sz w:val="36"/>
                <w:szCs w:val="36"/>
                <w:lang w:val="en-US"/>
              </w:rPr>
              <w:t>1046-2</w:t>
            </w:r>
          </w:p>
          <w:p w:rsidR="0059747D" w:rsidRPr="001511A6" w:rsidRDefault="0059747D" w:rsidP="00E159C0">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05</w:t>
            </w:r>
            <w:r w:rsidRPr="001511A6">
              <w:rPr>
                <w:rFonts w:ascii="Tahoma" w:hAnsi="Tahoma" w:cs="Tahoma"/>
                <w:b/>
                <w:bCs/>
                <w:iCs/>
                <w:color w:val="243285"/>
                <w:szCs w:val="24"/>
                <w:lang w:val="en-US"/>
              </w:rPr>
              <w:t>/</w:t>
            </w:r>
            <w:r>
              <w:rPr>
                <w:rFonts w:ascii="Tahoma" w:hAnsi="Tahoma" w:cs="Tahoma"/>
                <w:b/>
                <w:bCs/>
                <w:iCs/>
                <w:color w:val="243285"/>
                <w:szCs w:val="24"/>
                <w:lang w:val="en-US"/>
              </w:rPr>
              <w:t>2006</w:t>
            </w:r>
            <w:r w:rsidRPr="001511A6">
              <w:rPr>
                <w:rFonts w:ascii="Tahoma" w:hAnsi="Tahoma" w:cs="Tahoma"/>
                <w:b/>
                <w:bCs/>
                <w:iCs/>
                <w:color w:val="243285"/>
                <w:szCs w:val="24"/>
                <w:lang w:val="en-US"/>
              </w:rPr>
              <w:t>)</w:t>
            </w:r>
          </w:p>
        </w:tc>
      </w:tr>
      <w:tr w:rsidR="0059747D" w:rsidRPr="00E64C3F" w:rsidTr="00E159C0">
        <w:tc>
          <w:tcPr>
            <w:tcW w:w="10089" w:type="dxa"/>
          </w:tcPr>
          <w:p w:rsidR="0059747D" w:rsidRPr="001511A6" w:rsidRDefault="0059747D" w:rsidP="00E159C0">
            <w:pPr>
              <w:spacing w:before="80" w:line="500" w:lineRule="exact"/>
              <w:jc w:val="right"/>
              <w:rPr>
                <w:rFonts w:ascii="Tahoma" w:hAnsi="Tahoma" w:cs="Tahoma"/>
                <w:b/>
                <w:bCs/>
                <w:iCs/>
                <w:color w:val="243285"/>
                <w:sz w:val="44"/>
                <w:szCs w:val="44"/>
                <w:lang w:val="en-US"/>
              </w:rPr>
            </w:pPr>
          </w:p>
          <w:p w:rsidR="0059747D" w:rsidRPr="001511A6" w:rsidRDefault="0059747D" w:rsidP="00E159C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Definition of spectrum use and efficiency</w:t>
            </w:r>
            <w:r>
              <w:rPr>
                <w:rFonts w:ascii="Tahoma" w:hAnsi="Tahoma" w:cs="Tahoma"/>
                <w:b/>
                <w:bCs/>
                <w:iCs/>
                <w:color w:val="243285"/>
                <w:sz w:val="44"/>
                <w:szCs w:val="44"/>
                <w:lang w:val="en-US"/>
              </w:rPr>
              <w:br/>
              <w:t>of a radio system</w:t>
            </w:r>
          </w:p>
          <w:p w:rsidR="0059747D" w:rsidRPr="001511A6" w:rsidRDefault="0059747D" w:rsidP="00E159C0">
            <w:pPr>
              <w:spacing w:before="80" w:line="500" w:lineRule="exact"/>
              <w:jc w:val="right"/>
              <w:rPr>
                <w:rFonts w:ascii="Tahoma" w:hAnsi="Tahoma" w:cs="Tahoma"/>
                <w:b/>
                <w:bCs/>
                <w:iCs/>
                <w:color w:val="243285"/>
                <w:sz w:val="40"/>
                <w:szCs w:val="40"/>
                <w:lang w:val="en-US"/>
              </w:rPr>
            </w:pPr>
          </w:p>
        </w:tc>
      </w:tr>
      <w:tr w:rsidR="0059747D" w:rsidTr="00E159C0">
        <w:tc>
          <w:tcPr>
            <w:tcW w:w="10089" w:type="dxa"/>
          </w:tcPr>
          <w:p w:rsidR="0059747D" w:rsidRPr="007B3EA0" w:rsidRDefault="0059747D" w:rsidP="00E159C0">
            <w:pPr>
              <w:spacing w:before="80" w:line="280" w:lineRule="exact"/>
              <w:ind w:right="640"/>
              <w:rPr>
                <w:rFonts w:ascii="Tahoma" w:hAnsi="Tahoma" w:cs="Tahoma"/>
                <w:b/>
                <w:bCs/>
                <w:iCs/>
                <w:color w:val="243285"/>
                <w:sz w:val="32"/>
                <w:szCs w:val="32"/>
                <w:lang w:val="en-US"/>
              </w:rPr>
            </w:pPr>
          </w:p>
          <w:p w:rsidR="0059747D" w:rsidRPr="007B3EA0" w:rsidRDefault="0059747D" w:rsidP="00E159C0">
            <w:pPr>
              <w:spacing w:before="80" w:line="280" w:lineRule="exact"/>
              <w:ind w:right="640"/>
              <w:rPr>
                <w:rFonts w:ascii="Tahoma" w:hAnsi="Tahoma" w:cs="Tahoma"/>
                <w:b/>
                <w:bCs/>
                <w:iCs/>
                <w:color w:val="243285"/>
                <w:sz w:val="32"/>
                <w:szCs w:val="32"/>
                <w:lang w:val="en-US"/>
              </w:rPr>
            </w:pPr>
          </w:p>
          <w:p w:rsidR="0059747D" w:rsidRPr="007B3EA0" w:rsidRDefault="0059747D" w:rsidP="00E159C0">
            <w:pPr>
              <w:spacing w:before="80" w:after="180" w:line="360" w:lineRule="exact"/>
              <w:ind w:right="720"/>
              <w:rPr>
                <w:rFonts w:ascii="Tahoma" w:hAnsi="Tahoma" w:cs="Tahoma"/>
                <w:b/>
                <w:bCs/>
                <w:iCs/>
                <w:color w:val="243285"/>
                <w:sz w:val="36"/>
                <w:szCs w:val="36"/>
                <w:lang w:val="en-US"/>
              </w:rPr>
            </w:pPr>
          </w:p>
          <w:p w:rsidR="0059747D" w:rsidRPr="001511A6" w:rsidRDefault="0059747D" w:rsidP="00E159C0">
            <w:pPr>
              <w:spacing w:before="80" w:after="180" w:line="360" w:lineRule="exact"/>
              <w:jc w:val="right"/>
              <w:rPr>
                <w:rFonts w:ascii="Tahoma" w:hAnsi="Tahoma" w:cs="Tahoma"/>
                <w:b/>
                <w:bCs/>
                <w:iCs/>
                <w:color w:val="243285"/>
                <w:sz w:val="36"/>
                <w:szCs w:val="36"/>
                <w:lang w:val="en-US"/>
              </w:rPr>
            </w:pPr>
          </w:p>
          <w:p w:rsidR="0059747D" w:rsidRPr="001511A6" w:rsidRDefault="0059747D" w:rsidP="00E159C0">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rsidR="0059747D" w:rsidRPr="001511A6" w:rsidRDefault="0059747D" w:rsidP="00E159C0">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59747D" w:rsidRPr="001511A6" w:rsidRDefault="0059747D" w:rsidP="00E159C0">
            <w:pPr>
              <w:spacing w:before="80" w:line="360" w:lineRule="exact"/>
              <w:jc w:val="right"/>
              <w:rPr>
                <w:rFonts w:ascii="Tahoma" w:hAnsi="Tahoma" w:cs="Tahoma"/>
                <w:b/>
                <w:bCs/>
                <w:iCs/>
                <w:color w:val="243285"/>
                <w:sz w:val="32"/>
                <w:szCs w:val="32"/>
                <w:lang w:val="en-US"/>
              </w:rPr>
            </w:pPr>
          </w:p>
        </w:tc>
      </w:tr>
    </w:tbl>
    <w:p w:rsidR="0059747D" w:rsidRDefault="0059747D" w:rsidP="0059747D">
      <w:pPr>
        <w:spacing w:before="80"/>
        <w:rPr>
          <w:i/>
          <w:sz w:val="22"/>
          <w:lang w:val="en-US"/>
        </w:rPr>
      </w:pPr>
    </w:p>
    <w:p w:rsidR="0059747D" w:rsidRDefault="0059747D" w:rsidP="0059747D">
      <w:pPr>
        <w:spacing w:before="80"/>
        <w:rPr>
          <w:i/>
          <w:sz w:val="22"/>
          <w:lang w:val="en-US"/>
        </w:rPr>
      </w:pPr>
    </w:p>
    <w:p w:rsidR="0059747D" w:rsidRDefault="0059747D" w:rsidP="0059747D">
      <w:pPr>
        <w:spacing w:before="80"/>
        <w:rPr>
          <w:i/>
          <w:sz w:val="22"/>
          <w:lang w:val="en-US"/>
        </w:rPr>
      </w:pPr>
    </w:p>
    <w:p w:rsidR="0059747D" w:rsidRDefault="0059747D" w:rsidP="0059747D">
      <w:pPr>
        <w:spacing w:before="80"/>
        <w:rPr>
          <w:i/>
          <w:sz w:val="22"/>
          <w:lang w:val="en-US"/>
        </w:rPr>
      </w:pPr>
    </w:p>
    <w:p w:rsidR="0059747D" w:rsidRDefault="0059747D" w:rsidP="0059747D">
      <w:pPr>
        <w:spacing w:before="80"/>
        <w:rPr>
          <w:i/>
          <w:sz w:val="22"/>
          <w:lang w:val="en-US"/>
        </w:rPr>
      </w:pPr>
    </w:p>
    <w:p w:rsidR="0059747D" w:rsidRDefault="0059747D" w:rsidP="0059747D">
      <w:pPr>
        <w:spacing w:before="80"/>
        <w:rPr>
          <w:i/>
          <w:sz w:val="22"/>
          <w:lang w:val="en-US"/>
        </w:rPr>
      </w:pPr>
    </w:p>
    <w:p w:rsidR="0059747D" w:rsidRDefault="0059747D" w:rsidP="0059747D">
      <w:pPr>
        <w:pStyle w:val="Equation"/>
        <w:tabs>
          <w:tab w:val="clear" w:pos="4820"/>
          <w:tab w:val="clear" w:pos="9639"/>
          <w:tab w:val="left" w:pos="1191"/>
          <w:tab w:val="left" w:pos="1588"/>
          <w:tab w:val="left" w:pos="1985"/>
        </w:tabs>
        <w:rPr>
          <w:rFonts w:ascii="Palatino Linotype" w:hAnsi="Palatino Linotype"/>
          <w:lang w:val="en-US"/>
        </w:rPr>
        <w:sectPr w:rsidR="0059747D">
          <w:headerReference w:type="even" r:id="rId7"/>
          <w:headerReference w:type="default" r:id="rId8"/>
          <w:pgSz w:w="11907" w:h="16840" w:code="9"/>
          <w:pgMar w:top="1089" w:right="1089" w:bottom="284" w:left="1089" w:header="567" w:footer="284" w:gutter="0"/>
          <w:pgNumType w:start="1"/>
          <w:cols w:space="720"/>
        </w:sectPr>
      </w:pPr>
    </w:p>
    <w:p w:rsidR="0059747D" w:rsidRPr="00586EF8" w:rsidRDefault="0059747D" w:rsidP="005974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9747D" w:rsidRDefault="0059747D" w:rsidP="0059747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9747D" w:rsidRDefault="0059747D" w:rsidP="0059747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9747D" w:rsidRPr="00B714F3" w:rsidRDefault="0059747D" w:rsidP="0059747D">
      <w:pPr>
        <w:pStyle w:val="Heading1"/>
        <w:spacing w:before="680"/>
        <w:jc w:val="center"/>
        <w:rPr>
          <w:szCs w:val="24"/>
          <w:lang w:val="en-US"/>
        </w:rPr>
      </w:pPr>
      <w:r w:rsidRPr="00B714F3">
        <w:rPr>
          <w:szCs w:val="24"/>
          <w:lang w:val="en-US"/>
        </w:rPr>
        <w:t>Policy on Intellectual Property Right (IPR)</w:t>
      </w:r>
    </w:p>
    <w:p w:rsidR="0059747D" w:rsidRPr="00B714F3" w:rsidRDefault="0059747D" w:rsidP="0059747D">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9747D" w:rsidRDefault="0059747D" w:rsidP="0059747D">
      <w:pPr>
        <w:jc w:val="center"/>
        <w:rPr>
          <w:sz w:val="22"/>
          <w:lang w:val="en-US"/>
        </w:rPr>
      </w:pPr>
    </w:p>
    <w:p w:rsidR="0059747D" w:rsidRDefault="0059747D" w:rsidP="0059747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9747D" w:rsidRPr="00E64C3F" w:rsidTr="00E159C0">
        <w:tc>
          <w:tcPr>
            <w:tcW w:w="9360" w:type="dxa"/>
            <w:gridSpan w:val="2"/>
          </w:tcPr>
          <w:p w:rsidR="0059747D" w:rsidRPr="00036EE3" w:rsidRDefault="0059747D" w:rsidP="00E159C0">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9747D" w:rsidRPr="00036EE3" w:rsidRDefault="0059747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59747D" w:rsidRPr="00036EE3" w:rsidTr="00E159C0">
        <w:tc>
          <w:tcPr>
            <w:tcW w:w="1140" w:type="dxa"/>
          </w:tcPr>
          <w:p w:rsidR="0059747D" w:rsidRPr="00036EE3" w:rsidRDefault="0059747D" w:rsidP="00E159C0">
            <w:pPr>
              <w:spacing w:before="200" w:after="100"/>
              <w:ind w:left="57"/>
              <w:rPr>
                <w:b/>
                <w:bCs/>
                <w:sz w:val="20"/>
                <w:lang w:val="en-US"/>
              </w:rPr>
            </w:pPr>
            <w:r w:rsidRPr="00036EE3">
              <w:rPr>
                <w:b/>
                <w:bCs/>
                <w:sz w:val="20"/>
                <w:lang w:val="en-US"/>
              </w:rPr>
              <w:t>Series</w:t>
            </w:r>
          </w:p>
        </w:tc>
        <w:tc>
          <w:tcPr>
            <w:tcW w:w="8220" w:type="dxa"/>
          </w:tcPr>
          <w:p w:rsidR="0059747D" w:rsidRPr="00036EE3" w:rsidRDefault="0059747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9747D" w:rsidRPr="00036EE3"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BO</w:t>
            </w:r>
          </w:p>
        </w:tc>
        <w:tc>
          <w:tcPr>
            <w:tcW w:w="8220" w:type="dxa"/>
          </w:tcPr>
          <w:p w:rsidR="0059747D" w:rsidRPr="00036EE3" w:rsidRDefault="0059747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9747D" w:rsidRPr="00E64C3F"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BR</w:t>
            </w:r>
          </w:p>
        </w:tc>
        <w:tc>
          <w:tcPr>
            <w:tcW w:w="8220" w:type="dxa"/>
          </w:tcPr>
          <w:p w:rsidR="0059747D" w:rsidRPr="00036EE3" w:rsidRDefault="0059747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9747D" w:rsidRPr="00036EE3"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BS</w:t>
            </w:r>
          </w:p>
        </w:tc>
        <w:tc>
          <w:tcPr>
            <w:tcW w:w="8220" w:type="dxa"/>
          </w:tcPr>
          <w:p w:rsidR="0059747D" w:rsidRPr="00036EE3" w:rsidRDefault="0059747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59747D" w:rsidRPr="00ED2695" w:rsidTr="00E159C0">
        <w:tc>
          <w:tcPr>
            <w:tcW w:w="1140" w:type="dxa"/>
            <w:shd w:val="clear" w:color="auto" w:fill="auto"/>
          </w:tcPr>
          <w:p w:rsidR="0059747D" w:rsidRPr="00ED2695" w:rsidRDefault="0059747D" w:rsidP="00E159C0">
            <w:pPr>
              <w:spacing w:before="30" w:after="30"/>
              <w:ind w:left="57"/>
              <w:jc w:val="left"/>
              <w:rPr>
                <w:b/>
                <w:bCs/>
                <w:sz w:val="20"/>
                <w:lang w:val="en-US"/>
              </w:rPr>
            </w:pPr>
            <w:r w:rsidRPr="00ED2695">
              <w:rPr>
                <w:b/>
                <w:bCs/>
                <w:sz w:val="20"/>
                <w:lang w:val="en-US"/>
              </w:rPr>
              <w:t>BT</w:t>
            </w:r>
          </w:p>
        </w:tc>
        <w:tc>
          <w:tcPr>
            <w:tcW w:w="8220" w:type="dxa"/>
            <w:shd w:val="clear" w:color="auto" w:fill="auto"/>
          </w:tcPr>
          <w:p w:rsidR="0059747D" w:rsidRPr="00ED2695" w:rsidRDefault="0059747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9747D" w:rsidRPr="00036EE3" w:rsidTr="00E159C0">
        <w:tc>
          <w:tcPr>
            <w:tcW w:w="1140" w:type="dxa"/>
            <w:shd w:val="clear" w:color="auto" w:fill="auto"/>
          </w:tcPr>
          <w:p w:rsidR="0059747D" w:rsidRPr="00036EE3" w:rsidRDefault="0059747D" w:rsidP="00E159C0">
            <w:pPr>
              <w:spacing w:before="30" w:after="30"/>
              <w:ind w:left="57"/>
              <w:jc w:val="left"/>
              <w:rPr>
                <w:b/>
                <w:bCs/>
                <w:sz w:val="20"/>
                <w:lang w:val="fr-CH"/>
              </w:rPr>
            </w:pPr>
            <w:r w:rsidRPr="00036EE3">
              <w:rPr>
                <w:b/>
                <w:bCs/>
                <w:sz w:val="20"/>
                <w:lang w:val="fr-CH"/>
              </w:rPr>
              <w:t>F</w:t>
            </w:r>
          </w:p>
        </w:tc>
        <w:tc>
          <w:tcPr>
            <w:tcW w:w="8220" w:type="dxa"/>
            <w:shd w:val="clear" w:color="auto" w:fill="auto"/>
          </w:tcPr>
          <w:p w:rsidR="0059747D" w:rsidRPr="00036EE3" w:rsidRDefault="0059747D" w:rsidP="00E159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59747D" w:rsidRPr="00036EE3" w:rsidTr="00E159C0">
        <w:tc>
          <w:tcPr>
            <w:tcW w:w="1140" w:type="dxa"/>
            <w:shd w:val="clear" w:color="auto" w:fill="auto"/>
          </w:tcPr>
          <w:p w:rsidR="0059747D" w:rsidRPr="00906589" w:rsidRDefault="0059747D" w:rsidP="00E159C0">
            <w:pPr>
              <w:spacing w:before="30" w:after="30"/>
              <w:ind w:left="57"/>
              <w:jc w:val="left"/>
              <w:rPr>
                <w:b/>
                <w:bCs/>
                <w:sz w:val="20"/>
                <w:lang w:val="en-US"/>
              </w:rPr>
            </w:pPr>
            <w:r w:rsidRPr="00906589">
              <w:rPr>
                <w:b/>
                <w:bCs/>
                <w:sz w:val="20"/>
                <w:lang w:val="en-US"/>
              </w:rPr>
              <w:t>M</w:t>
            </w:r>
          </w:p>
        </w:tc>
        <w:tc>
          <w:tcPr>
            <w:tcW w:w="8220" w:type="dxa"/>
            <w:shd w:val="clear" w:color="auto" w:fill="auto"/>
          </w:tcPr>
          <w:p w:rsidR="0059747D" w:rsidRPr="00906589" w:rsidRDefault="0059747D" w:rsidP="00E159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59747D" w:rsidRPr="00036EE3" w:rsidTr="00E159C0">
        <w:tc>
          <w:tcPr>
            <w:tcW w:w="1140" w:type="dxa"/>
          </w:tcPr>
          <w:p w:rsidR="0059747D" w:rsidRPr="00036EE3" w:rsidRDefault="0059747D" w:rsidP="00E159C0">
            <w:pPr>
              <w:spacing w:before="30" w:after="30"/>
              <w:ind w:left="57"/>
              <w:jc w:val="left"/>
              <w:rPr>
                <w:b/>
                <w:bCs/>
                <w:sz w:val="20"/>
                <w:lang w:val="fr-CH"/>
              </w:rPr>
            </w:pPr>
            <w:r w:rsidRPr="00036EE3">
              <w:rPr>
                <w:b/>
                <w:bCs/>
                <w:sz w:val="20"/>
                <w:lang w:val="fr-CH"/>
              </w:rPr>
              <w:t>P</w:t>
            </w:r>
          </w:p>
        </w:tc>
        <w:tc>
          <w:tcPr>
            <w:tcW w:w="8220" w:type="dxa"/>
          </w:tcPr>
          <w:p w:rsidR="0059747D" w:rsidRPr="00036EE3" w:rsidRDefault="0059747D" w:rsidP="00E159C0">
            <w:pPr>
              <w:spacing w:before="30" w:after="30"/>
              <w:jc w:val="left"/>
              <w:rPr>
                <w:sz w:val="20"/>
                <w:lang w:val="fr-CH"/>
              </w:rPr>
            </w:pPr>
            <w:r w:rsidRPr="00036EE3">
              <w:rPr>
                <w:sz w:val="20"/>
                <w:lang w:val="fr-CH"/>
              </w:rPr>
              <w:t>Radiowave propagation</w:t>
            </w:r>
          </w:p>
        </w:tc>
      </w:tr>
      <w:tr w:rsidR="0059747D" w:rsidRPr="00036EE3"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RA</w:t>
            </w:r>
          </w:p>
        </w:tc>
        <w:tc>
          <w:tcPr>
            <w:tcW w:w="8220" w:type="dxa"/>
          </w:tcPr>
          <w:p w:rsidR="0059747D" w:rsidRPr="00036EE3" w:rsidRDefault="0059747D" w:rsidP="00E159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9747D" w:rsidRPr="00036EE3"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RS</w:t>
            </w:r>
          </w:p>
        </w:tc>
        <w:tc>
          <w:tcPr>
            <w:tcW w:w="8220" w:type="dxa"/>
          </w:tcPr>
          <w:p w:rsidR="0059747D" w:rsidRPr="00036EE3" w:rsidRDefault="0059747D" w:rsidP="00E159C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9747D" w:rsidRPr="00036EE3"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S</w:t>
            </w:r>
          </w:p>
        </w:tc>
        <w:tc>
          <w:tcPr>
            <w:tcW w:w="8220" w:type="dxa"/>
          </w:tcPr>
          <w:p w:rsidR="0059747D" w:rsidRPr="00036EE3" w:rsidRDefault="0059747D" w:rsidP="00E159C0">
            <w:pPr>
              <w:spacing w:before="30" w:after="30"/>
              <w:jc w:val="left"/>
              <w:rPr>
                <w:sz w:val="20"/>
                <w:lang w:val="en-US"/>
              </w:rPr>
            </w:pPr>
            <w:r w:rsidRPr="00036EE3">
              <w:rPr>
                <w:sz w:val="20"/>
                <w:lang w:val="en-US"/>
              </w:rPr>
              <w:t>Fixed-satellite service</w:t>
            </w:r>
          </w:p>
        </w:tc>
      </w:tr>
      <w:tr w:rsidR="0059747D" w:rsidRPr="00036EE3"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SA</w:t>
            </w:r>
          </w:p>
        </w:tc>
        <w:tc>
          <w:tcPr>
            <w:tcW w:w="8220" w:type="dxa"/>
          </w:tcPr>
          <w:p w:rsidR="0059747D" w:rsidRPr="00036EE3" w:rsidRDefault="0059747D" w:rsidP="00E159C0">
            <w:pPr>
              <w:spacing w:before="30" w:after="30"/>
              <w:jc w:val="left"/>
              <w:rPr>
                <w:sz w:val="20"/>
                <w:lang w:val="en-US"/>
              </w:rPr>
            </w:pPr>
            <w:r w:rsidRPr="00036EE3">
              <w:rPr>
                <w:sz w:val="20"/>
                <w:lang w:val="en-US"/>
              </w:rPr>
              <w:t>Space applications and meteorology</w:t>
            </w:r>
          </w:p>
        </w:tc>
      </w:tr>
      <w:tr w:rsidR="0059747D" w:rsidRPr="00E64C3F"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SF</w:t>
            </w:r>
          </w:p>
        </w:tc>
        <w:tc>
          <w:tcPr>
            <w:tcW w:w="8220" w:type="dxa"/>
          </w:tcPr>
          <w:p w:rsidR="0059747D" w:rsidRPr="00036EE3" w:rsidRDefault="0059747D" w:rsidP="00E159C0">
            <w:pPr>
              <w:spacing w:before="30" w:after="30"/>
              <w:jc w:val="left"/>
              <w:rPr>
                <w:sz w:val="20"/>
                <w:lang w:val="en-US"/>
              </w:rPr>
            </w:pPr>
            <w:r w:rsidRPr="00036EE3">
              <w:rPr>
                <w:sz w:val="20"/>
                <w:lang w:val="en-US"/>
              </w:rPr>
              <w:t>Frequency sharing and coordination between fixed-satellite and fixed service systems</w:t>
            </w:r>
          </w:p>
        </w:tc>
      </w:tr>
      <w:tr w:rsidR="0059747D" w:rsidRPr="00036EE3" w:rsidTr="00E159C0">
        <w:tc>
          <w:tcPr>
            <w:tcW w:w="1140" w:type="dxa"/>
            <w:shd w:val="clear" w:color="auto" w:fill="F3F3F3"/>
          </w:tcPr>
          <w:p w:rsidR="0059747D" w:rsidRPr="00906589" w:rsidRDefault="0059747D" w:rsidP="00E159C0">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59747D" w:rsidRPr="00906589" w:rsidRDefault="0059747D" w:rsidP="00E159C0">
            <w:pPr>
              <w:spacing w:before="30" w:after="30"/>
              <w:jc w:val="left"/>
              <w:rPr>
                <w:b/>
                <w:bCs/>
                <w:color w:val="000080"/>
                <w:sz w:val="20"/>
                <w:lang w:val="en-US"/>
              </w:rPr>
            </w:pPr>
            <w:r w:rsidRPr="00906589">
              <w:rPr>
                <w:b/>
                <w:bCs/>
                <w:color w:val="000080"/>
                <w:sz w:val="20"/>
                <w:lang w:val="en-US"/>
              </w:rPr>
              <w:t>Spectrum management</w:t>
            </w:r>
          </w:p>
        </w:tc>
      </w:tr>
      <w:tr w:rsidR="0059747D" w:rsidRPr="00036EE3"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SNG</w:t>
            </w:r>
          </w:p>
        </w:tc>
        <w:tc>
          <w:tcPr>
            <w:tcW w:w="8220" w:type="dxa"/>
          </w:tcPr>
          <w:p w:rsidR="0059747D" w:rsidRPr="00036EE3" w:rsidRDefault="0059747D" w:rsidP="00E159C0">
            <w:pPr>
              <w:spacing w:before="30" w:after="30"/>
              <w:jc w:val="left"/>
              <w:rPr>
                <w:sz w:val="20"/>
                <w:lang w:val="en-US"/>
              </w:rPr>
            </w:pPr>
            <w:r w:rsidRPr="00036EE3">
              <w:rPr>
                <w:sz w:val="20"/>
                <w:lang w:val="en-US"/>
              </w:rPr>
              <w:t>Satellite news gathering</w:t>
            </w:r>
          </w:p>
        </w:tc>
      </w:tr>
      <w:tr w:rsidR="0059747D" w:rsidRPr="00E64C3F"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TF</w:t>
            </w:r>
          </w:p>
        </w:tc>
        <w:tc>
          <w:tcPr>
            <w:tcW w:w="8220" w:type="dxa"/>
          </w:tcPr>
          <w:p w:rsidR="0059747D" w:rsidRPr="00036EE3" w:rsidRDefault="0059747D" w:rsidP="00E159C0">
            <w:pPr>
              <w:spacing w:before="30" w:after="30"/>
              <w:jc w:val="left"/>
              <w:rPr>
                <w:sz w:val="20"/>
                <w:lang w:val="en-US"/>
              </w:rPr>
            </w:pPr>
            <w:r w:rsidRPr="00036EE3">
              <w:rPr>
                <w:sz w:val="20"/>
                <w:lang w:val="en-US"/>
              </w:rPr>
              <w:t>Time signals and frequency standards emissions</w:t>
            </w:r>
          </w:p>
        </w:tc>
      </w:tr>
      <w:tr w:rsidR="0059747D" w:rsidRPr="00036EE3" w:rsidTr="00E159C0">
        <w:tc>
          <w:tcPr>
            <w:tcW w:w="1140" w:type="dxa"/>
          </w:tcPr>
          <w:p w:rsidR="0059747D" w:rsidRPr="00036EE3" w:rsidRDefault="0059747D" w:rsidP="00E159C0">
            <w:pPr>
              <w:spacing w:before="30" w:after="30"/>
              <w:ind w:left="57"/>
              <w:jc w:val="left"/>
              <w:rPr>
                <w:b/>
                <w:bCs/>
                <w:sz w:val="20"/>
                <w:lang w:val="en-US"/>
              </w:rPr>
            </w:pPr>
            <w:r w:rsidRPr="00036EE3">
              <w:rPr>
                <w:b/>
                <w:bCs/>
                <w:sz w:val="20"/>
                <w:lang w:val="en-US"/>
              </w:rPr>
              <w:t>V</w:t>
            </w:r>
          </w:p>
        </w:tc>
        <w:tc>
          <w:tcPr>
            <w:tcW w:w="8220" w:type="dxa"/>
          </w:tcPr>
          <w:p w:rsidR="0059747D" w:rsidRPr="00036EE3" w:rsidRDefault="0059747D" w:rsidP="00E159C0">
            <w:pPr>
              <w:spacing w:before="30" w:after="180"/>
              <w:jc w:val="left"/>
              <w:rPr>
                <w:sz w:val="20"/>
                <w:lang w:val="en-US"/>
              </w:rPr>
            </w:pPr>
            <w:r w:rsidRPr="00036EE3">
              <w:rPr>
                <w:sz w:val="20"/>
                <w:lang w:val="en-US"/>
              </w:rPr>
              <w:t>Vocabulary and related subjects</w:t>
            </w:r>
          </w:p>
        </w:tc>
      </w:tr>
    </w:tbl>
    <w:p w:rsidR="0059747D" w:rsidRPr="00036EE3" w:rsidRDefault="0059747D" w:rsidP="0059747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9747D" w:rsidTr="00E159C0">
        <w:tc>
          <w:tcPr>
            <w:tcW w:w="720" w:type="dxa"/>
          </w:tcPr>
          <w:p w:rsidR="0059747D" w:rsidRDefault="0059747D" w:rsidP="00E159C0">
            <w:pPr>
              <w:jc w:val="center"/>
              <w:rPr>
                <w:sz w:val="22"/>
                <w:lang w:val="en-US"/>
              </w:rPr>
            </w:pPr>
          </w:p>
        </w:tc>
      </w:tr>
    </w:tbl>
    <w:p w:rsidR="0059747D" w:rsidRPr="00036EE3" w:rsidRDefault="0059747D" w:rsidP="0059747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9747D" w:rsidRPr="00E64C3F" w:rsidTr="00E159C0">
        <w:tc>
          <w:tcPr>
            <w:tcW w:w="9360" w:type="dxa"/>
          </w:tcPr>
          <w:p w:rsidR="0059747D" w:rsidRPr="002F5199" w:rsidRDefault="0059747D" w:rsidP="00E159C0">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9747D" w:rsidRDefault="0059747D" w:rsidP="0059747D">
      <w:pPr>
        <w:spacing w:before="0"/>
        <w:jc w:val="center"/>
        <w:rPr>
          <w:sz w:val="22"/>
          <w:lang w:val="en-US"/>
        </w:rPr>
      </w:pPr>
    </w:p>
    <w:p w:rsidR="0059747D" w:rsidRDefault="0059747D" w:rsidP="0059747D">
      <w:pPr>
        <w:spacing w:before="0"/>
        <w:jc w:val="center"/>
        <w:rPr>
          <w:sz w:val="22"/>
          <w:lang w:val="en-US"/>
        </w:rPr>
      </w:pPr>
    </w:p>
    <w:p w:rsidR="0059747D" w:rsidRPr="002F5199" w:rsidRDefault="0059747D" w:rsidP="0059747D">
      <w:pPr>
        <w:spacing w:before="0"/>
        <w:jc w:val="right"/>
        <w:rPr>
          <w:i/>
          <w:iCs/>
          <w:sz w:val="20"/>
          <w:lang w:val="en-US"/>
        </w:rPr>
      </w:pPr>
      <w:r w:rsidRPr="002F5199">
        <w:rPr>
          <w:i/>
          <w:iCs/>
          <w:sz w:val="20"/>
          <w:lang w:val="en-US"/>
        </w:rPr>
        <w:t>Electronic Publication</w:t>
      </w:r>
    </w:p>
    <w:p w:rsidR="0059747D" w:rsidRPr="002F5199" w:rsidRDefault="0059747D" w:rsidP="0059747D">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11</w:t>
      </w:r>
    </w:p>
    <w:p w:rsidR="0059747D" w:rsidRDefault="0059747D" w:rsidP="0059747D">
      <w:pPr>
        <w:jc w:val="center"/>
        <w:rPr>
          <w:sz w:val="22"/>
          <w:lang w:val="en-US"/>
        </w:rPr>
      </w:pPr>
    </w:p>
    <w:p w:rsidR="0059747D" w:rsidRPr="00470E28" w:rsidRDefault="0059747D" w:rsidP="0059747D">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11</w:t>
      </w:r>
    </w:p>
    <w:p w:rsidR="0059747D" w:rsidRPr="00470E28" w:rsidRDefault="0059747D" w:rsidP="0059747D">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9747D" w:rsidRDefault="0059747D" w:rsidP="0059747D">
      <w:pPr>
        <w:spacing w:before="160"/>
        <w:rPr>
          <w:i/>
          <w:sz w:val="20"/>
          <w:lang w:val="en-US"/>
        </w:rPr>
        <w:sectPr w:rsidR="0059747D"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4B059B" w:rsidRPr="0088226A" w:rsidRDefault="004B059B" w:rsidP="0088226A">
      <w:pPr>
        <w:pStyle w:val="RecNo"/>
        <w:spacing w:before="0"/>
        <w:rPr>
          <w:lang w:val="en-US"/>
        </w:rPr>
      </w:pPr>
      <w:r w:rsidRPr="0088226A">
        <w:rPr>
          <w:lang w:val="en-US"/>
        </w:rPr>
        <w:lastRenderedPageBreak/>
        <w:t xml:space="preserve">RECOMMENDATION  </w:t>
      </w:r>
      <w:r w:rsidRPr="0088226A">
        <w:rPr>
          <w:rStyle w:val="href"/>
          <w:lang w:val="en-US"/>
        </w:rPr>
        <w:t>ITU-R  SM.1046-</w:t>
      </w:r>
      <w:r w:rsidR="0088226A" w:rsidRPr="0088226A">
        <w:rPr>
          <w:rStyle w:val="href"/>
          <w:lang w:val="en-US"/>
        </w:rPr>
        <w:t>2</w:t>
      </w:r>
      <w:r w:rsidR="00491279">
        <w:rPr>
          <w:rStyle w:val="FootnoteReference"/>
          <w:lang w:val="en-US"/>
        </w:rPr>
        <w:footnoteReference w:customMarkFollows="1" w:id="1"/>
        <w:t>*</w:t>
      </w:r>
    </w:p>
    <w:p w:rsidR="004B059B" w:rsidRPr="0088226A" w:rsidRDefault="004B059B" w:rsidP="0088226A">
      <w:pPr>
        <w:pStyle w:val="Rectitle"/>
        <w:rPr>
          <w:lang w:val="en-US"/>
        </w:rPr>
      </w:pPr>
      <w:r w:rsidRPr="0088226A">
        <w:rPr>
          <w:lang w:val="en-US"/>
        </w:rPr>
        <w:t>D</w:t>
      </w:r>
      <w:r w:rsidR="0088226A" w:rsidRPr="0088226A">
        <w:rPr>
          <w:lang w:val="en-US"/>
        </w:rPr>
        <w:t>efinition of spectrum use and efficiency of a radio system</w:t>
      </w:r>
    </w:p>
    <w:p w:rsidR="0088226A" w:rsidRPr="00E64C3F" w:rsidRDefault="0088226A" w:rsidP="0088226A">
      <w:pPr>
        <w:pStyle w:val="Recdate"/>
        <w:rPr>
          <w:lang w:val="en-US"/>
        </w:rPr>
      </w:pPr>
    </w:p>
    <w:p w:rsidR="004B059B" w:rsidRPr="00E64C3F" w:rsidRDefault="004B059B" w:rsidP="0088226A">
      <w:pPr>
        <w:pStyle w:val="Recdate"/>
        <w:rPr>
          <w:lang w:val="en-US"/>
        </w:rPr>
      </w:pPr>
      <w:r w:rsidRPr="00E64C3F">
        <w:rPr>
          <w:lang w:val="en-US"/>
        </w:rPr>
        <w:t>(1994-1997</w:t>
      </w:r>
      <w:r w:rsidR="0088226A" w:rsidRPr="00E64C3F">
        <w:rPr>
          <w:lang w:val="en-US"/>
        </w:rPr>
        <w:t>-200</w:t>
      </w:r>
      <w:r w:rsidR="00683D05" w:rsidRPr="00E64C3F">
        <w:rPr>
          <w:lang w:val="en-US"/>
        </w:rPr>
        <w:t>6</w:t>
      </w:r>
      <w:r w:rsidRPr="00E64C3F">
        <w:rPr>
          <w:lang w:val="en-US"/>
        </w:rPr>
        <w:t>)</w:t>
      </w:r>
    </w:p>
    <w:p w:rsidR="0088226A" w:rsidRPr="00E64C3F" w:rsidRDefault="0088226A" w:rsidP="0088226A">
      <w:pPr>
        <w:pStyle w:val="HeadingSum"/>
        <w:rPr>
          <w:szCs w:val="22"/>
          <w:lang w:val="en-US"/>
        </w:rPr>
      </w:pPr>
      <w:r w:rsidRPr="00E64C3F">
        <w:rPr>
          <w:szCs w:val="22"/>
          <w:lang w:val="en-US"/>
        </w:rPr>
        <w:t>Scope</w:t>
      </w:r>
    </w:p>
    <w:p w:rsidR="0088226A" w:rsidRPr="0088226A" w:rsidRDefault="0088226A" w:rsidP="0088226A">
      <w:pPr>
        <w:pStyle w:val="Summary"/>
        <w:rPr>
          <w:lang w:val="en-US"/>
        </w:rPr>
      </w:pPr>
      <w:r w:rsidRPr="0088226A">
        <w:rPr>
          <w:szCs w:val="22"/>
          <w:lang w:val="en-US"/>
        </w:rPr>
        <w:t>The revision to this Recommendation is giving an alternative for determining the spectrum utilization efficiency (SUE) for various radiocommunication systems (mobile, point-to-point, etc.)</w:t>
      </w:r>
    </w:p>
    <w:p w:rsidR="004B059B" w:rsidRPr="00E64C3F" w:rsidRDefault="004B059B" w:rsidP="0088226A">
      <w:pPr>
        <w:pStyle w:val="Normalaftertitle"/>
        <w:rPr>
          <w:lang w:val="en-US"/>
        </w:rPr>
      </w:pPr>
      <w:r w:rsidRPr="00E64C3F">
        <w:rPr>
          <w:lang w:val="en-US"/>
        </w:rPr>
        <w:t>The ITU Radiocommunication Assembly,</w:t>
      </w:r>
    </w:p>
    <w:p w:rsidR="004B059B" w:rsidRPr="00E64C3F" w:rsidRDefault="004B059B" w:rsidP="0088226A">
      <w:pPr>
        <w:pStyle w:val="Call"/>
        <w:rPr>
          <w:lang w:val="en-US"/>
        </w:rPr>
      </w:pPr>
      <w:r w:rsidRPr="00E64C3F">
        <w:rPr>
          <w:lang w:val="en-US"/>
        </w:rPr>
        <w:t>considering</w:t>
      </w:r>
    </w:p>
    <w:p w:rsidR="004B059B" w:rsidRPr="004B059B" w:rsidRDefault="004B059B" w:rsidP="004B059B">
      <w:pPr>
        <w:rPr>
          <w:lang w:val="en-US"/>
        </w:rPr>
      </w:pPr>
      <w:r w:rsidRPr="004B059B">
        <w:rPr>
          <w:lang w:val="en-US"/>
        </w:rPr>
        <w:t>a)</w:t>
      </w:r>
      <w:r w:rsidRPr="004B059B">
        <w:rPr>
          <w:lang w:val="en-US"/>
        </w:rPr>
        <w:tab/>
        <w:t>that the spectrum is a limited natural resource of great economic and social value;</w:t>
      </w:r>
    </w:p>
    <w:p w:rsidR="004B059B" w:rsidRPr="004B059B" w:rsidRDefault="004B059B" w:rsidP="004B059B">
      <w:pPr>
        <w:rPr>
          <w:lang w:val="en-US"/>
        </w:rPr>
      </w:pPr>
      <w:r w:rsidRPr="004B059B">
        <w:rPr>
          <w:lang w:val="en-US"/>
        </w:rPr>
        <w:t>b)</w:t>
      </w:r>
      <w:r w:rsidRPr="004B059B">
        <w:rPr>
          <w:lang w:val="en-US"/>
        </w:rPr>
        <w:tab/>
        <w:t>that demand for use of the spectrum is increasing rapidly;</w:t>
      </w:r>
    </w:p>
    <w:p w:rsidR="004B059B" w:rsidRPr="004B059B" w:rsidRDefault="004B059B" w:rsidP="004B059B">
      <w:pPr>
        <w:rPr>
          <w:lang w:val="en-US"/>
        </w:rPr>
      </w:pPr>
      <w:r w:rsidRPr="004B059B">
        <w:rPr>
          <w:lang w:val="en-US"/>
        </w:rPr>
        <w:t>c)</w:t>
      </w:r>
      <w:r w:rsidRPr="004B059B">
        <w:rPr>
          <w:lang w:val="en-US"/>
        </w:rPr>
        <w:tab/>
        <w:t>that a number of different factors, such as the use of different frequency bands for particular radio services, relevant spectrum management methods for networks in those services, the technical characteristics of transmitters, receivers and antennas used in the services, etc., significantly influence spectrum use and efficiency and through their optimization, particularly in respect of new or improved technologies, significant economies of spectrum can be achieved;</w:t>
      </w:r>
    </w:p>
    <w:p w:rsidR="004B059B" w:rsidRPr="004B059B" w:rsidRDefault="004B059B" w:rsidP="004B059B">
      <w:pPr>
        <w:rPr>
          <w:lang w:val="en-US"/>
        </w:rPr>
      </w:pPr>
      <w:r w:rsidRPr="004B059B">
        <w:rPr>
          <w:lang w:val="en-US"/>
        </w:rPr>
        <w:t>d)</w:t>
      </w:r>
      <w:r w:rsidRPr="004B059B">
        <w:rPr>
          <w:lang w:val="en-US"/>
        </w:rPr>
        <w:tab/>
        <w:t>that there is a need for defining the degree and efficiency of spectrum use, as a tool for comparison and analysis for assessing the gains achieved with new or improved technologies, particularly by administrations in the national long-term planning of spectrum utilization and the development of radiocommunications;</w:t>
      </w:r>
    </w:p>
    <w:p w:rsidR="004B059B" w:rsidRPr="004B059B" w:rsidRDefault="004B059B" w:rsidP="004B059B">
      <w:pPr>
        <w:rPr>
          <w:lang w:val="en-US"/>
        </w:rPr>
      </w:pPr>
      <w:r w:rsidRPr="004B059B">
        <w:rPr>
          <w:lang w:val="en-US"/>
        </w:rPr>
        <w:t>e)</w:t>
      </w:r>
      <w:r w:rsidRPr="004B059B">
        <w:rPr>
          <w:lang w:val="en-US"/>
        </w:rPr>
        <w:tab/>
        <w:t>that comparison of spectrum efficiency between actual radio systems would be very useful, when developing new or improved technologies and assessing performance of existing systems,</w:t>
      </w:r>
    </w:p>
    <w:p w:rsidR="004B059B" w:rsidRPr="00E64C3F" w:rsidRDefault="004B059B" w:rsidP="0088226A">
      <w:pPr>
        <w:pStyle w:val="Call"/>
        <w:rPr>
          <w:lang w:val="en-US"/>
        </w:rPr>
      </w:pPr>
      <w:r w:rsidRPr="00E64C3F">
        <w:rPr>
          <w:lang w:val="en-US"/>
        </w:rPr>
        <w:t>recommends</w:t>
      </w:r>
    </w:p>
    <w:p w:rsidR="004B059B" w:rsidRPr="004B059B" w:rsidRDefault="004B059B" w:rsidP="004B059B">
      <w:pPr>
        <w:rPr>
          <w:lang w:val="en-US"/>
        </w:rPr>
      </w:pPr>
      <w:r w:rsidRPr="004B059B">
        <w:rPr>
          <w:b/>
          <w:lang w:val="en-US"/>
        </w:rPr>
        <w:t>1</w:t>
      </w:r>
      <w:r w:rsidRPr="004B059B">
        <w:rPr>
          <w:lang w:val="en-US"/>
        </w:rPr>
        <w:tab/>
        <w:t>that, as a basic concept, the composite bandwidth-space-time domain should be used as a measure of spectrum utilization – the “spectrum utilization factor”, as illustrated in Annex 1 for transmitting and receiving radio equipment;</w:t>
      </w:r>
    </w:p>
    <w:p w:rsidR="004B059B" w:rsidRPr="004B059B" w:rsidRDefault="004B059B" w:rsidP="004B059B">
      <w:pPr>
        <w:rPr>
          <w:lang w:val="en-US"/>
        </w:rPr>
      </w:pPr>
      <w:r w:rsidRPr="004B059B">
        <w:rPr>
          <w:b/>
          <w:lang w:val="en-US"/>
        </w:rPr>
        <w:t>2</w:t>
      </w:r>
      <w:r w:rsidRPr="004B059B">
        <w:rPr>
          <w:lang w:val="en-US"/>
        </w:rPr>
        <w:tab/>
        <w:t>that</w:t>
      </w:r>
      <w:r w:rsidR="0088226A">
        <w:rPr>
          <w:lang w:val="en-US"/>
        </w:rPr>
        <w:t xml:space="preserve"> the</w:t>
      </w:r>
      <w:r w:rsidRPr="004B059B">
        <w:rPr>
          <w:lang w:val="en-US"/>
        </w:rPr>
        <w:t xml:space="preserve"> basi</w:t>
      </w:r>
      <w:r w:rsidR="0088226A">
        <w:rPr>
          <w:lang w:val="en-US"/>
        </w:rPr>
        <w:t>s for calculating</w:t>
      </w:r>
      <w:r w:rsidRPr="004B059B">
        <w:rPr>
          <w:lang w:val="en-US"/>
        </w:rPr>
        <w:t xml:space="preserve"> spectrum utilization efficiency (SUE), or spectrum efficiency in short, should be </w:t>
      </w:r>
      <w:r w:rsidR="0088226A">
        <w:rPr>
          <w:lang w:val="en-US"/>
        </w:rPr>
        <w:t>the determination of the useful effect obtained by the radio systems through the utilization of the spectrum and</w:t>
      </w:r>
      <w:r w:rsidRPr="004B059B">
        <w:rPr>
          <w:lang w:val="en-US"/>
        </w:rPr>
        <w:t xml:space="preserve"> the spectrum utilization factor, as illustrated in Annex 1. Some examples of how to use this concept may be found in Annex</w:t>
      </w:r>
      <w:r w:rsidRPr="00E64C3F">
        <w:rPr>
          <w:lang w:val="en-US"/>
        </w:rPr>
        <w:t xml:space="preserve"> </w:t>
      </w:r>
      <w:r w:rsidRPr="004B059B">
        <w:rPr>
          <w:lang w:val="en-US"/>
        </w:rPr>
        <w:t>2;</w:t>
      </w:r>
    </w:p>
    <w:p w:rsidR="004B059B" w:rsidRPr="004B059B" w:rsidRDefault="004B059B" w:rsidP="004B059B">
      <w:pPr>
        <w:rPr>
          <w:lang w:val="en-US"/>
        </w:rPr>
      </w:pPr>
      <w:r w:rsidRPr="004B059B">
        <w:rPr>
          <w:b/>
          <w:lang w:val="en-US"/>
        </w:rPr>
        <w:t>3</w:t>
      </w:r>
      <w:r w:rsidRPr="004B059B">
        <w:rPr>
          <w:lang w:val="en-US"/>
        </w:rPr>
        <w:tab/>
        <w:t>that the basic concept of relative spectrum efficiency as outlined in Annex 1 should be used to compare spectrum efficiencies between radio systems;</w:t>
      </w:r>
    </w:p>
    <w:p w:rsidR="004B059B" w:rsidRPr="004B059B" w:rsidRDefault="004B059B" w:rsidP="004B059B">
      <w:pPr>
        <w:rPr>
          <w:lang w:val="en-US"/>
        </w:rPr>
      </w:pPr>
      <w:r w:rsidRPr="004B059B">
        <w:rPr>
          <w:b/>
          <w:lang w:val="en-US"/>
        </w:rPr>
        <w:t>4</w:t>
      </w:r>
      <w:r w:rsidRPr="004B059B">
        <w:rPr>
          <w:lang w:val="en-US"/>
        </w:rPr>
        <w:tab/>
        <w:t>that any comparison of spectrum efficiencies should be performed only between similar types of radio systems providing identical radiocommunication services as explained in § 4 of Annex 1;</w:t>
      </w:r>
    </w:p>
    <w:p w:rsidR="004B059B" w:rsidRPr="004B059B" w:rsidRDefault="004B059B" w:rsidP="004B059B">
      <w:pPr>
        <w:rPr>
          <w:lang w:val="en-US"/>
        </w:rPr>
      </w:pPr>
      <w:r w:rsidRPr="004B059B">
        <w:rPr>
          <w:b/>
          <w:lang w:val="en-US"/>
        </w:rPr>
        <w:t>5</w:t>
      </w:r>
      <w:r w:rsidRPr="004B059B">
        <w:rPr>
          <w:lang w:val="en-US"/>
        </w:rPr>
        <w:tab/>
        <w:t>that in determining the spectrum efficiency, the interactions of various radio systems and networks within a particular electromagnetic environment should be considered.</w:t>
      </w:r>
    </w:p>
    <w:p w:rsidR="004B059B" w:rsidRPr="0088226A" w:rsidRDefault="004B059B" w:rsidP="0088226A">
      <w:pPr>
        <w:pStyle w:val="AnnexNoTitle"/>
        <w:rPr>
          <w:lang w:val="en-US"/>
        </w:rPr>
      </w:pPr>
      <w:r w:rsidRPr="0088226A">
        <w:rPr>
          <w:lang w:val="en-US"/>
        </w:rPr>
        <w:lastRenderedPageBreak/>
        <w:t>A</w:t>
      </w:r>
      <w:r w:rsidR="0088226A" w:rsidRPr="0088226A">
        <w:rPr>
          <w:lang w:val="en-US"/>
        </w:rPr>
        <w:t>nnex</w:t>
      </w:r>
      <w:r w:rsidRPr="0088226A">
        <w:rPr>
          <w:lang w:val="en-US"/>
        </w:rPr>
        <w:t xml:space="preserve">  1</w:t>
      </w:r>
      <w:r w:rsidR="0088226A" w:rsidRPr="0088226A">
        <w:rPr>
          <w:lang w:val="en-US"/>
        </w:rPr>
        <w:br/>
      </w:r>
      <w:r w:rsidR="0088226A">
        <w:rPr>
          <w:lang w:val="en-US"/>
        </w:rPr>
        <w:br/>
      </w:r>
      <w:r w:rsidRPr="0088226A">
        <w:rPr>
          <w:lang w:val="en-US"/>
        </w:rPr>
        <w:t>General criteria for the evaluation of spectrum utilization factor</w:t>
      </w:r>
      <w:r w:rsidRPr="0088226A">
        <w:rPr>
          <w:lang w:val="en-US"/>
        </w:rPr>
        <w:br/>
        <w:t>and spectrum efficiency</w:t>
      </w:r>
    </w:p>
    <w:p w:rsidR="004B059B" w:rsidRPr="004B059B" w:rsidRDefault="004B059B" w:rsidP="004B059B">
      <w:pPr>
        <w:pStyle w:val="Heading1"/>
        <w:rPr>
          <w:lang w:val="en-US"/>
        </w:rPr>
      </w:pPr>
      <w:r w:rsidRPr="004B059B">
        <w:rPr>
          <w:lang w:val="en-US"/>
        </w:rPr>
        <w:t>1</w:t>
      </w:r>
      <w:r w:rsidRPr="004B059B">
        <w:rPr>
          <w:lang w:val="en-US"/>
        </w:rPr>
        <w:tab/>
        <w:t>Spectrum utilization factor</w:t>
      </w:r>
    </w:p>
    <w:p w:rsidR="004B059B" w:rsidRPr="004B059B" w:rsidRDefault="004B059B" w:rsidP="004B059B">
      <w:pPr>
        <w:rPr>
          <w:lang w:val="en-US"/>
        </w:rPr>
      </w:pPr>
      <w:r w:rsidRPr="004B059B">
        <w:rPr>
          <w:lang w:val="en-US"/>
        </w:rPr>
        <w:t xml:space="preserve">Efficient use of spectrum is achieved by (among other things) the isolation obtained from antenna directivity, geographical spacing, frequency sharing, or orthogonal frequency use and time-sharing or time division and these considerations reflected in definition of spectrum utilization. Therefore, the measure of spectrum utilization – spectrum utilization factor, </w:t>
      </w:r>
      <w:r w:rsidRPr="004B059B">
        <w:rPr>
          <w:i/>
          <w:lang w:val="en-US"/>
        </w:rPr>
        <w:t>U</w:t>
      </w:r>
      <w:r w:rsidRPr="004B059B">
        <w:rPr>
          <w:lang w:val="en-US"/>
        </w:rPr>
        <w:t>, is defined to be the product of the frequency bandwidth, the geometric (geographic) space, and the time denied to other potential users:</w:t>
      </w:r>
    </w:p>
    <w:p w:rsidR="004B059B" w:rsidRPr="004B059B" w:rsidRDefault="004B059B" w:rsidP="004B059B">
      <w:pPr>
        <w:pStyle w:val="Equation"/>
        <w:rPr>
          <w:lang w:val="en-US"/>
        </w:rPr>
      </w:pPr>
      <w:r w:rsidRPr="004B059B">
        <w:rPr>
          <w:lang w:val="en-US"/>
        </w:rPr>
        <w:tab/>
      </w:r>
      <w:r w:rsidRPr="004B059B">
        <w:rPr>
          <w:lang w:val="en-US"/>
        </w:rPr>
        <w:tab/>
      </w:r>
      <w:r>
        <w:fldChar w:fldCharType="begin"/>
      </w:r>
      <w:r w:rsidRPr="004B059B">
        <w:rPr>
          <w:lang w:val="en-US"/>
        </w:rPr>
        <w:instrText xml:space="preserve">eq </w:instrText>
      </w:r>
      <w:r w:rsidRPr="004B059B">
        <w:rPr>
          <w:i/>
          <w:lang w:val="en-US"/>
        </w:rPr>
        <w:instrText>U</w:instrText>
      </w:r>
      <w:r w:rsidRPr="004B059B">
        <w:rPr>
          <w:lang w:val="en-US"/>
        </w:rPr>
        <w:instrText xml:space="preserve">  </w:instrText>
      </w:r>
      <w:r w:rsidRPr="004B059B">
        <w:rPr>
          <w:rFonts w:ascii="Symbol" w:hAnsi="Symbol"/>
          <w:lang w:val="en-US"/>
        </w:rPr>
        <w:instrText>=</w:instrText>
      </w:r>
      <w:r w:rsidRPr="004B059B">
        <w:rPr>
          <w:lang w:val="en-US"/>
        </w:rPr>
        <w:instrText xml:space="preserve">  </w:instrText>
      </w:r>
      <w:r w:rsidRPr="004B059B">
        <w:rPr>
          <w:i/>
          <w:lang w:val="en-US"/>
        </w:rPr>
        <w:instrText>B</w:instrText>
      </w:r>
      <w:r w:rsidRPr="004B059B">
        <w:rPr>
          <w:lang w:val="en-US"/>
        </w:rPr>
        <w:instrText xml:space="preserve">  ·  </w:instrText>
      </w:r>
      <w:r w:rsidRPr="004B059B">
        <w:rPr>
          <w:i/>
          <w:lang w:val="en-US"/>
        </w:rPr>
        <w:instrText>S</w:instrText>
      </w:r>
      <w:r w:rsidRPr="004B059B">
        <w:rPr>
          <w:lang w:val="en-US"/>
        </w:rPr>
        <w:instrText xml:space="preserve">  ·  </w:instrText>
      </w:r>
      <w:r w:rsidRPr="004B059B">
        <w:rPr>
          <w:i/>
          <w:lang w:val="en-US"/>
        </w:rPr>
        <w:instrText>T</w:instrText>
      </w:r>
      <w:r>
        <w:fldChar w:fldCharType="end"/>
      </w:r>
      <w:r w:rsidRPr="004B059B">
        <w:rPr>
          <w:lang w:val="en-US"/>
        </w:rPr>
        <w:tab/>
        <w:t>(1)</w:t>
      </w:r>
    </w:p>
    <w:p w:rsidR="004B059B" w:rsidRPr="004B059B" w:rsidRDefault="004B059B" w:rsidP="004B059B">
      <w:pPr>
        <w:rPr>
          <w:lang w:val="en-US"/>
        </w:rPr>
      </w:pPr>
      <w:r w:rsidRPr="004B059B">
        <w:rPr>
          <w:lang w:val="en-US"/>
        </w:rPr>
        <w:t>where:</w:t>
      </w:r>
    </w:p>
    <w:p w:rsidR="004B059B" w:rsidRPr="004B059B" w:rsidRDefault="004B059B" w:rsidP="0088226A">
      <w:pPr>
        <w:pStyle w:val="Equationlegend"/>
      </w:pPr>
      <w:r w:rsidRPr="004B059B">
        <w:rPr>
          <w:i/>
        </w:rPr>
        <w:tab/>
        <w:t>B</w:t>
      </w:r>
      <w:r w:rsidRPr="004B059B">
        <w:rPr>
          <w:rFonts w:ascii="Tms Rmn" w:hAnsi="Tms Rmn"/>
          <w:sz w:val="12"/>
        </w:rPr>
        <w:t> </w:t>
      </w:r>
      <w:r w:rsidRPr="004B059B">
        <w:t>:</w:t>
      </w:r>
      <w:r w:rsidRPr="004B059B">
        <w:tab/>
        <w:t>frequency bandwidth</w:t>
      </w:r>
    </w:p>
    <w:p w:rsidR="004B059B" w:rsidRPr="004B059B" w:rsidRDefault="004B059B" w:rsidP="0088226A">
      <w:pPr>
        <w:pStyle w:val="Equationlegend"/>
      </w:pPr>
      <w:r w:rsidRPr="004B059B">
        <w:rPr>
          <w:i/>
        </w:rPr>
        <w:tab/>
        <w:t>S</w:t>
      </w:r>
      <w:r w:rsidRPr="004B059B">
        <w:rPr>
          <w:rFonts w:ascii="Tms Rmn" w:hAnsi="Tms Rmn"/>
          <w:sz w:val="12"/>
        </w:rPr>
        <w:t> </w:t>
      </w:r>
      <w:r w:rsidRPr="004B059B">
        <w:t>:</w:t>
      </w:r>
      <w:r w:rsidRPr="004B059B">
        <w:rPr>
          <w:rFonts w:ascii="Courier" w:hAnsi="Courier"/>
        </w:rPr>
        <w:tab/>
      </w:r>
      <w:r w:rsidRPr="004B059B">
        <w:t>geometric space (usually area) and</w:t>
      </w:r>
    </w:p>
    <w:p w:rsidR="004B059B" w:rsidRPr="004B059B" w:rsidRDefault="004B059B" w:rsidP="0088226A">
      <w:pPr>
        <w:pStyle w:val="Equationlegend"/>
      </w:pPr>
      <w:r w:rsidRPr="004B059B">
        <w:rPr>
          <w:i/>
        </w:rPr>
        <w:tab/>
        <w:t>T</w:t>
      </w:r>
      <w:r w:rsidRPr="004B059B">
        <w:rPr>
          <w:rFonts w:ascii="Tms Rmn" w:hAnsi="Tms Rmn"/>
          <w:sz w:val="12"/>
        </w:rPr>
        <w:t> </w:t>
      </w:r>
      <w:r w:rsidRPr="004B059B">
        <w:t>:</w:t>
      </w:r>
      <w:r w:rsidRPr="004B059B">
        <w:tab/>
        <w:t>time.</w:t>
      </w:r>
    </w:p>
    <w:p w:rsidR="004B059B" w:rsidRPr="004B059B" w:rsidRDefault="004B059B" w:rsidP="004B059B">
      <w:pPr>
        <w:rPr>
          <w:lang w:val="en-US"/>
        </w:rPr>
      </w:pPr>
      <w:r w:rsidRPr="004B059B">
        <w:rPr>
          <w:lang w:val="en-US"/>
        </w:rPr>
        <w:t>The geometric space of interest may also be a volume, a line (e.g. the geostationary orbit), or an angular sector around a point. The amount of space denied depends on the spectral power density. For many applications, the dimension of time can be ignored, because the service operates continuously. But in some services, for example, broadcast and single channel mobile, the time factor is important to sharing and all three factors should be considered simultaneously, and optimized.</w:t>
      </w:r>
    </w:p>
    <w:p w:rsidR="004B059B" w:rsidRPr="004B059B" w:rsidRDefault="004B059B" w:rsidP="004B059B">
      <w:pPr>
        <w:rPr>
          <w:lang w:val="en-US"/>
        </w:rPr>
      </w:pPr>
      <w:r w:rsidRPr="004B059B">
        <w:rPr>
          <w:lang w:val="en-US"/>
        </w:rPr>
        <w:t>The measure of spectrum may be computed by multiplication of a bandwidth bounding the emission (e.g. occupied bandwidth) and its interference area, or may take into account the actual shape of the power spectrum density of the emission and the antenna radiation characteristics.</w:t>
      </w:r>
    </w:p>
    <w:p w:rsidR="004B059B" w:rsidRPr="004B059B" w:rsidRDefault="004B059B" w:rsidP="004B059B">
      <w:pPr>
        <w:rPr>
          <w:lang w:val="en-US"/>
        </w:rPr>
      </w:pPr>
      <w:r w:rsidRPr="004B059B">
        <w:rPr>
          <w:lang w:val="en-US"/>
        </w:rPr>
        <w:t>Traditionally, radio transmitters have been considered the users of the spectrum resource. They use the spectrum-space by filling some portion of it with radio power – so much power that receivers of other systems cannot operate in certain locations, times and frequencies because of unacceptable interference. Notice that the transmitter denies the space to receivers only. The mere fact that the space contains power in no way prevents another transmitter from emitting power into the same location; that is, the transmitter does not deny operation of another transmitter.</w:t>
      </w:r>
    </w:p>
    <w:p w:rsidR="004B059B" w:rsidRPr="004B059B" w:rsidRDefault="004B059B" w:rsidP="004B059B">
      <w:pPr>
        <w:rPr>
          <w:lang w:val="en-US"/>
        </w:rPr>
      </w:pPr>
      <w:r w:rsidRPr="004B059B">
        <w:rPr>
          <w:lang w:val="en-US"/>
        </w:rPr>
        <w:t>Receivers use spectrum-space because they deny it to transmitters. The mere physical operation of the receiver interferes with no one (except as it inadvertently acts as a transmitter or power source). Even then the space used physically is relatively small. However, the authorities deny licences to transmitters in an attempt to guarantee interference-free reception. The protection may be in space (separation distance, coordination distance), in frequency (guardbands) or even in time (in the United States of America, some MF broadcasting stations are limited to daylight operation). This denial constitutes “use” of the space by the receiver. The radioastronomy bands are a familiar example of the recognition of receiver use of the spectrum space.</w:t>
      </w:r>
    </w:p>
    <w:p w:rsidR="004B059B" w:rsidRPr="004B059B" w:rsidRDefault="004B059B" w:rsidP="004B059B">
      <w:pPr>
        <w:rPr>
          <w:lang w:val="en-US"/>
        </w:rPr>
      </w:pPr>
      <w:r w:rsidRPr="004B059B">
        <w:rPr>
          <w:lang w:val="en-US"/>
        </w:rPr>
        <w:t xml:space="preserve">One way to incorporate these facts into a unit of measure of spectrum space is to partition the resource into two spaces – the transmitter space and receiver space – and define dual units to measure the usage of each space. Where simplicity is most important, the two units can be recombined into a single measure for system use. </w:t>
      </w:r>
    </w:p>
    <w:p w:rsidR="004B059B" w:rsidRPr="004B059B" w:rsidRDefault="004B059B" w:rsidP="00E64C3F">
      <w:pPr>
        <w:rPr>
          <w:lang w:val="en-US"/>
        </w:rPr>
      </w:pPr>
      <w:r w:rsidRPr="004B059B">
        <w:rPr>
          <w:lang w:val="en-US"/>
        </w:rPr>
        <w:lastRenderedPageBreak/>
        <w:t>Further information concerning the general approach to calculate the spectrum utilization factor may be found in Chapter </w:t>
      </w:r>
      <w:r w:rsidR="00E64C3F">
        <w:rPr>
          <w:lang w:val="en-US"/>
        </w:rPr>
        <w:t>8</w:t>
      </w:r>
      <w:bookmarkStart w:id="2" w:name="_GoBack"/>
      <w:bookmarkEnd w:id="2"/>
      <w:r w:rsidRPr="004B059B">
        <w:rPr>
          <w:lang w:val="en-US"/>
        </w:rPr>
        <w:t xml:space="preserve"> of the National Spectrum Management Handbook (Geneva, </w:t>
      </w:r>
      <w:r w:rsidR="00491279">
        <w:rPr>
          <w:lang w:val="en-US"/>
        </w:rPr>
        <w:t>200</w:t>
      </w:r>
      <w:r w:rsidRPr="004B059B">
        <w:rPr>
          <w:lang w:val="en-US"/>
        </w:rPr>
        <w:t>5).</w:t>
      </w:r>
    </w:p>
    <w:p w:rsidR="004B059B" w:rsidRPr="004B059B" w:rsidRDefault="004B059B" w:rsidP="004B059B">
      <w:pPr>
        <w:pStyle w:val="Heading1"/>
        <w:rPr>
          <w:lang w:val="en-US"/>
        </w:rPr>
      </w:pPr>
      <w:r w:rsidRPr="004B059B">
        <w:rPr>
          <w:lang w:val="en-US"/>
        </w:rPr>
        <w:t>2</w:t>
      </w:r>
      <w:r w:rsidRPr="004B059B">
        <w:rPr>
          <w:lang w:val="en-US"/>
        </w:rPr>
        <w:tab/>
        <w:t>Spectrum utilization efficiency (SUE)</w:t>
      </w:r>
    </w:p>
    <w:p w:rsidR="004B059B" w:rsidRPr="004B059B" w:rsidRDefault="004B059B" w:rsidP="004B059B">
      <w:pPr>
        <w:rPr>
          <w:lang w:val="en-US"/>
        </w:rPr>
      </w:pPr>
      <w:r w:rsidRPr="004B059B">
        <w:rPr>
          <w:lang w:val="en-US"/>
        </w:rPr>
        <w:t>According to the definition of SUE (or spectrum efficiency as a shortened term) of a radiocommunication system, it can be expressed by</w:t>
      </w:r>
      <w:r w:rsidR="0088226A">
        <w:rPr>
          <w:lang w:val="en-US"/>
        </w:rPr>
        <w:t xml:space="preserve"> a complex criterion</w:t>
      </w:r>
      <w:r w:rsidRPr="004B059B">
        <w:rPr>
          <w:lang w:val="en-US"/>
        </w:rPr>
        <w:t>:</w:t>
      </w:r>
    </w:p>
    <w:p w:rsidR="00483296" w:rsidRDefault="00483296" w:rsidP="00483296">
      <w:pPr>
        <w:pStyle w:val="Blanc"/>
      </w:pPr>
      <w:bookmarkStart w:id="3" w:name="f002"/>
    </w:p>
    <w:p w:rsidR="0088226A" w:rsidRPr="0088226A" w:rsidRDefault="0088226A" w:rsidP="004B059B">
      <w:pPr>
        <w:pStyle w:val="Equation"/>
        <w:rPr>
          <w:lang w:val="en-US"/>
        </w:rPr>
      </w:pPr>
      <w:r>
        <w:rPr>
          <w:i/>
          <w:lang w:val="en-US"/>
        </w:rPr>
        <w:tab/>
      </w:r>
      <w:r>
        <w:rPr>
          <w:i/>
          <w:lang w:val="en-US"/>
        </w:rPr>
        <w:tab/>
        <w:t>SUE</w:t>
      </w:r>
      <w:r w:rsidRPr="0088226A">
        <w:rPr>
          <w:lang w:val="en-US"/>
        </w:rPr>
        <w:t xml:space="preserve"> </w:t>
      </w:r>
      <w:r>
        <w:rPr>
          <w:lang w:val="en-US"/>
        </w:rPr>
        <w:t xml:space="preserve"> </w:t>
      </w:r>
      <w:r>
        <w:rPr>
          <w:lang w:val="en-US"/>
        </w:rPr>
        <w:sym w:font="Symbol" w:char="F03D"/>
      </w:r>
      <w:r>
        <w:rPr>
          <w:lang w:val="en-US"/>
        </w:rPr>
        <w:t xml:space="preserve">  {</w:t>
      </w:r>
      <w:r>
        <w:rPr>
          <w:i/>
          <w:lang w:val="en-US"/>
        </w:rPr>
        <w:t>M</w:t>
      </w:r>
      <w:r>
        <w:rPr>
          <w:lang w:val="en-US"/>
        </w:rPr>
        <w:t xml:space="preserve">,  </w:t>
      </w:r>
      <w:r w:rsidRPr="0088226A">
        <w:rPr>
          <w:i/>
          <w:lang w:val="en-US"/>
        </w:rPr>
        <w:t>U</w:t>
      </w:r>
      <w:r>
        <w:rPr>
          <w:lang w:val="en-US"/>
        </w:rPr>
        <w:t xml:space="preserve">}  </w:t>
      </w:r>
      <w:r>
        <w:rPr>
          <w:lang w:val="en-US"/>
        </w:rPr>
        <w:sym w:font="Symbol" w:char="F03D"/>
      </w:r>
      <w:r>
        <w:rPr>
          <w:lang w:val="en-US"/>
        </w:rPr>
        <w:t xml:space="preserve">  {</w:t>
      </w:r>
      <w:r>
        <w:rPr>
          <w:i/>
          <w:lang w:val="en-US"/>
        </w:rPr>
        <w:t>M</w:t>
      </w:r>
      <w:r>
        <w:rPr>
          <w:lang w:val="en-US"/>
        </w:rPr>
        <w:t xml:space="preserve">,  </w:t>
      </w:r>
      <w:r w:rsidRPr="0088226A">
        <w:rPr>
          <w:i/>
          <w:lang w:val="en-US"/>
        </w:rPr>
        <w:t>B</w:t>
      </w:r>
      <w:r w:rsidRPr="0088226A">
        <w:rPr>
          <w:lang w:val="en-US"/>
        </w:rPr>
        <w:t xml:space="preserve">  </w:t>
      </w:r>
      <w:r>
        <w:rPr>
          <w:lang w:val="en-US"/>
        </w:rPr>
        <w:sym w:font="Symbol" w:char="F0D7"/>
      </w:r>
      <w:r>
        <w:rPr>
          <w:lang w:val="en-US"/>
        </w:rPr>
        <w:t xml:space="preserve">  </w:t>
      </w:r>
      <w:r w:rsidRPr="0088226A">
        <w:rPr>
          <w:i/>
          <w:lang w:val="en-US"/>
        </w:rPr>
        <w:t>S</w:t>
      </w:r>
      <w:r w:rsidRPr="0088226A">
        <w:rPr>
          <w:lang w:val="en-US"/>
        </w:rPr>
        <w:t xml:space="preserve">  </w:t>
      </w:r>
      <w:r>
        <w:rPr>
          <w:lang w:val="en-US"/>
        </w:rPr>
        <w:sym w:font="Symbol" w:char="F0D7"/>
      </w:r>
      <w:r>
        <w:rPr>
          <w:lang w:val="en-US"/>
        </w:rPr>
        <w:t xml:space="preserve">  </w:t>
      </w:r>
      <w:r w:rsidRPr="0088226A">
        <w:rPr>
          <w:i/>
          <w:lang w:val="en-US"/>
        </w:rPr>
        <w:t>T</w:t>
      </w:r>
      <w:r>
        <w:rPr>
          <w:lang w:val="en-US"/>
        </w:rPr>
        <w:t>}</w:t>
      </w:r>
      <w:r>
        <w:rPr>
          <w:lang w:val="en-US"/>
        </w:rPr>
        <w:tab/>
        <w:t>(2)</w:t>
      </w:r>
    </w:p>
    <w:bookmarkEnd w:id="3"/>
    <w:p w:rsidR="00483296" w:rsidRDefault="00483296" w:rsidP="00483296">
      <w:pPr>
        <w:pStyle w:val="Blanc"/>
      </w:pPr>
    </w:p>
    <w:p w:rsidR="004B059B" w:rsidRPr="004B059B" w:rsidRDefault="004B059B" w:rsidP="004B059B">
      <w:pPr>
        <w:rPr>
          <w:lang w:val="en-US"/>
        </w:rPr>
      </w:pPr>
      <w:r w:rsidRPr="004B059B">
        <w:rPr>
          <w:lang w:val="en-US"/>
        </w:rPr>
        <w:t>where:</w:t>
      </w:r>
    </w:p>
    <w:p w:rsidR="0088226A" w:rsidRPr="00C12926" w:rsidRDefault="0088226A" w:rsidP="0088226A">
      <w:pPr>
        <w:pStyle w:val="Equationlegend"/>
      </w:pPr>
      <w:r w:rsidRPr="00C12926">
        <w:rPr>
          <w:i/>
          <w:iCs/>
        </w:rPr>
        <w:tab/>
        <w:t>M</w:t>
      </w:r>
      <w:r w:rsidRPr="00C12926">
        <w:t>:</w:t>
      </w:r>
      <w:r w:rsidRPr="00C12926">
        <w:rPr>
          <w:i/>
          <w:iCs/>
        </w:rPr>
        <w:tab/>
      </w:r>
      <w:r w:rsidRPr="00C12926">
        <w:t>useful effect obtained with the aid of the communication system in question</w:t>
      </w:r>
    </w:p>
    <w:p w:rsidR="0088226A" w:rsidRPr="00C12926" w:rsidRDefault="0088226A" w:rsidP="0088226A">
      <w:pPr>
        <w:pStyle w:val="Equationlegend"/>
        <w:rPr>
          <w:iCs/>
        </w:rPr>
      </w:pPr>
      <w:r w:rsidRPr="00C12926">
        <w:rPr>
          <w:i/>
        </w:rPr>
        <w:tab/>
        <w:t>U</w:t>
      </w:r>
      <w:r w:rsidRPr="00C12926">
        <w:t>:</w:t>
      </w:r>
      <w:r w:rsidRPr="00C12926">
        <w:rPr>
          <w:i/>
        </w:rPr>
        <w:tab/>
      </w:r>
      <w:r w:rsidRPr="00C12926">
        <w:rPr>
          <w:iCs/>
        </w:rPr>
        <w:t>spectrum utilization factor for that system.</w:t>
      </w:r>
    </w:p>
    <w:p w:rsidR="0088226A" w:rsidRPr="0088226A" w:rsidRDefault="0088226A" w:rsidP="0088226A">
      <w:pPr>
        <w:rPr>
          <w:lang w:val="en-US"/>
        </w:rPr>
      </w:pPr>
      <w:r w:rsidRPr="0088226A">
        <w:rPr>
          <w:lang w:val="en-US"/>
        </w:rPr>
        <w:t>If necessary, the complex spectrum efficiency indicator may be reduced to a simple indicator: the ratio of useful effect to spectrum utilization factor:</w:t>
      </w:r>
    </w:p>
    <w:p w:rsidR="0088226A" w:rsidRPr="00E64C3F" w:rsidRDefault="0088226A" w:rsidP="0088226A">
      <w:pPr>
        <w:pStyle w:val="Equation"/>
        <w:rPr>
          <w:lang w:val="en-US"/>
        </w:rPr>
      </w:pPr>
      <w:r w:rsidRPr="0088226A">
        <w:rPr>
          <w:lang w:val="en-US"/>
        </w:rPr>
        <w:tab/>
      </w:r>
      <w:r w:rsidRPr="0088226A">
        <w:rPr>
          <w:lang w:val="en-US"/>
        </w:rPr>
        <w:tab/>
      </w:r>
      <w:r w:rsidRPr="00C62D41">
        <w:rPr>
          <w:position w:val="-30"/>
        </w:rPr>
        <w:object w:dxaOrig="19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8pt;height:34.2pt" o:ole="" fillcolor="window">
            <v:imagedata r:id="rId13" o:title=""/>
          </v:shape>
          <o:OLEObject Type="Embed" ProgID="Equation.3" ShapeID="_x0000_i1025" DrawAspect="Content" ObjectID="_1370947757" r:id="rId14"/>
        </w:object>
      </w:r>
      <w:r w:rsidRPr="00E64C3F">
        <w:rPr>
          <w:lang w:val="en-US"/>
        </w:rPr>
        <w:tab/>
        <w:t>(2</w:t>
      </w:r>
      <w:r w:rsidRPr="00C12926">
        <w:t>а</w:t>
      </w:r>
      <w:r w:rsidRPr="00E64C3F">
        <w:rPr>
          <w:lang w:val="en-US"/>
        </w:rPr>
        <w:t>)</w:t>
      </w:r>
    </w:p>
    <w:p w:rsidR="004B059B" w:rsidRPr="004B059B" w:rsidRDefault="004B059B" w:rsidP="004B059B">
      <w:pPr>
        <w:pStyle w:val="Heading1"/>
        <w:rPr>
          <w:lang w:val="en-US"/>
        </w:rPr>
      </w:pPr>
      <w:r w:rsidRPr="004B059B">
        <w:rPr>
          <w:lang w:val="en-US"/>
        </w:rPr>
        <w:t>3</w:t>
      </w:r>
      <w:r w:rsidRPr="004B059B">
        <w:rPr>
          <w:lang w:val="en-US"/>
        </w:rPr>
        <w:tab/>
        <w:t>Relative spectrum efficiency (RSE)</w:t>
      </w:r>
    </w:p>
    <w:p w:rsidR="004B059B" w:rsidRPr="004B059B" w:rsidRDefault="004B059B" w:rsidP="004B059B">
      <w:pPr>
        <w:rPr>
          <w:lang w:val="en-US"/>
        </w:rPr>
      </w:pPr>
      <w:r w:rsidRPr="004B059B">
        <w:rPr>
          <w:lang w:val="en-US"/>
        </w:rPr>
        <w:t>The concept of relative RSE can be used effectively to compare the spectrum efficiencies of two similar types of radio systems providing the same service.</w:t>
      </w:r>
    </w:p>
    <w:p w:rsidR="004B059B" w:rsidRPr="004B059B" w:rsidRDefault="004B059B" w:rsidP="004B059B">
      <w:pPr>
        <w:rPr>
          <w:lang w:val="en-US"/>
        </w:rPr>
      </w:pPr>
      <w:r w:rsidRPr="004B059B">
        <w:rPr>
          <w:lang w:val="en-US"/>
        </w:rPr>
        <w:t>RSE is defined as the ratio of two spectrum efficiencies, one of which may be the efficiency of a system used as a standard of comparison. Hence,</w:t>
      </w:r>
    </w:p>
    <w:p w:rsidR="00483296" w:rsidRDefault="00483296" w:rsidP="00483296">
      <w:pPr>
        <w:pStyle w:val="Blanc"/>
      </w:pPr>
    </w:p>
    <w:p w:rsidR="004B059B" w:rsidRPr="004B059B" w:rsidRDefault="004B059B" w:rsidP="004B059B">
      <w:pPr>
        <w:pStyle w:val="Equation"/>
        <w:rPr>
          <w:lang w:val="en-US"/>
        </w:rPr>
      </w:pPr>
      <w:r w:rsidRPr="004B059B">
        <w:rPr>
          <w:lang w:val="en-US"/>
        </w:rPr>
        <w:tab/>
      </w:r>
      <w:r w:rsidRPr="004B059B">
        <w:rPr>
          <w:lang w:val="en-US"/>
        </w:rPr>
        <w:tab/>
      </w:r>
      <w:r w:rsidRPr="004B059B">
        <w:rPr>
          <w:i/>
          <w:lang w:val="en-US"/>
        </w:rPr>
        <w:t>RSE</w:t>
      </w:r>
      <w:r w:rsidRPr="004B059B">
        <w:rPr>
          <w:lang w:val="en-US"/>
        </w:rPr>
        <w:t xml:space="preserve">  </w:t>
      </w:r>
      <w:r>
        <w:rPr>
          <w:rFonts w:ascii="Symbol" w:hAnsi="Symbol"/>
        </w:rPr>
        <w:t></w:t>
      </w:r>
      <w:r w:rsidRPr="004B059B">
        <w:rPr>
          <w:lang w:val="en-US"/>
        </w:rPr>
        <w:t xml:space="preserve">  </w:t>
      </w:r>
      <w:r w:rsidRPr="004B059B">
        <w:rPr>
          <w:i/>
          <w:lang w:val="en-US"/>
        </w:rPr>
        <w:t>SUE</w:t>
      </w:r>
      <w:r w:rsidRPr="004B059B">
        <w:rPr>
          <w:i/>
          <w:position w:val="-4"/>
          <w:sz w:val="18"/>
          <w:lang w:val="en-US"/>
        </w:rPr>
        <w:t>a</w:t>
      </w:r>
      <w:r w:rsidRPr="004B059B">
        <w:rPr>
          <w:lang w:val="en-US"/>
        </w:rPr>
        <w:t xml:space="preserve"> / </w:t>
      </w:r>
      <w:r w:rsidRPr="004B059B">
        <w:rPr>
          <w:i/>
          <w:lang w:val="en-US"/>
        </w:rPr>
        <w:t>SUE</w:t>
      </w:r>
      <w:r w:rsidRPr="004B059B">
        <w:rPr>
          <w:i/>
          <w:position w:val="-4"/>
          <w:sz w:val="18"/>
          <w:lang w:val="en-US"/>
        </w:rPr>
        <w:t>std</w:t>
      </w:r>
      <w:r w:rsidRPr="004B059B">
        <w:rPr>
          <w:lang w:val="en-US"/>
        </w:rPr>
        <w:tab/>
        <w:t>(3)</w:t>
      </w:r>
    </w:p>
    <w:p w:rsidR="00483296" w:rsidRDefault="00483296" w:rsidP="00483296">
      <w:pPr>
        <w:pStyle w:val="Blanc"/>
      </w:pPr>
    </w:p>
    <w:p w:rsidR="004B059B" w:rsidRPr="004B059B" w:rsidRDefault="004B059B" w:rsidP="004B059B">
      <w:pPr>
        <w:rPr>
          <w:lang w:val="en-US"/>
        </w:rPr>
      </w:pPr>
      <w:r w:rsidRPr="004B059B">
        <w:rPr>
          <w:lang w:val="en-US"/>
        </w:rPr>
        <w:t>where:</w:t>
      </w:r>
    </w:p>
    <w:p w:rsidR="004B059B" w:rsidRPr="004B059B" w:rsidRDefault="004B059B" w:rsidP="0088226A">
      <w:pPr>
        <w:pStyle w:val="Equationlegend"/>
      </w:pPr>
      <w:r w:rsidRPr="004B059B">
        <w:rPr>
          <w:i/>
        </w:rPr>
        <w:tab/>
        <w:t>RSE</w:t>
      </w:r>
      <w:r w:rsidRPr="004B059B">
        <w:rPr>
          <w:rFonts w:ascii="Tms Rmn" w:hAnsi="Tms Rmn"/>
          <w:sz w:val="12"/>
        </w:rPr>
        <w:t> </w:t>
      </w:r>
      <w:r w:rsidRPr="004B059B">
        <w:t>:</w:t>
      </w:r>
      <w:r w:rsidRPr="004B059B">
        <w:tab/>
        <w:t xml:space="preserve">relative spectrum efficiency </w:t>
      </w:r>
      <w:r>
        <w:rPr>
          <w:rFonts w:ascii="Symbol" w:hAnsi="Symbol"/>
        </w:rPr>
        <w:t></w:t>
      </w:r>
      <w:r w:rsidRPr="004B059B">
        <w:t>ratio of SUEs)</w:t>
      </w:r>
    </w:p>
    <w:p w:rsidR="004B059B" w:rsidRPr="004B059B" w:rsidRDefault="004B059B" w:rsidP="0088226A">
      <w:pPr>
        <w:pStyle w:val="Equationlegend"/>
      </w:pPr>
      <w:r w:rsidRPr="004B059B">
        <w:rPr>
          <w:i/>
        </w:rPr>
        <w:tab/>
        <w:t>SUE</w:t>
      </w:r>
      <w:r w:rsidRPr="0088226A">
        <w:rPr>
          <w:i/>
          <w:szCs w:val="24"/>
          <w:vertAlign w:val="subscript"/>
        </w:rPr>
        <w:t>std</w:t>
      </w:r>
      <w:r w:rsidRPr="004B059B">
        <w:rPr>
          <w:rFonts w:ascii="Tms Rmn" w:hAnsi="Tms Rmn"/>
          <w:position w:val="-4"/>
          <w:sz w:val="12"/>
        </w:rPr>
        <w:t> </w:t>
      </w:r>
      <w:r w:rsidRPr="004B059B">
        <w:t>:</w:t>
      </w:r>
      <w:r w:rsidRPr="004B059B">
        <w:tab/>
        <w:t>SUE of a “standard” system</w:t>
      </w:r>
    </w:p>
    <w:p w:rsidR="004B059B" w:rsidRPr="004B059B" w:rsidRDefault="004B059B" w:rsidP="0088226A">
      <w:pPr>
        <w:pStyle w:val="Equationlegend"/>
      </w:pPr>
      <w:r w:rsidRPr="004B059B">
        <w:rPr>
          <w:i/>
        </w:rPr>
        <w:tab/>
        <w:t>SUE</w:t>
      </w:r>
      <w:r w:rsidRPr="0088226A">
        <w:rPr>
          <w:i/>
          <w:szCs w:val="24"/>
          <w:vertAlign w:val="subscript"/>
        </w:rPr>
        <w:t>a</w:t>
      </w:r>
      <w:r w:rsidRPr="004B059B">
        <w:rPr>
          <w:rFonts w:ascii="Tms Rmn" w:hAnsi="Tms Rmn"/>
          <w:position w:val="-4"/>
          <w:sz w:val="12"/>
        </w:rPr>
        <w:t> </w:t>
      </w:r>
      <w:r w:rsidRPr="004B059B">
        <w:t>:</w:t>
      </w:r>
      <w:r w:rsidRPr="004B059B">
        <w:tab/>
        <w:t>SUE of an actual system.</w:t>
      </w:r>
    </w:p>
    <w:p w:rsidR="004B059B" w:rsidRPr="004B059B" w:rsidRDefault="004B059B" w:rsidP="004B059B">
      <w:pPr>
        <w:rPr>
          <w:lang w:val="en-US"/>
        </w:rPr>
      </w:pPr>
      <w:r w:rsidRPr="004B059B">
        <w:rPr>
          <w:lang w:val="en-US"/>
        </w:rPr>
        <w:t>The likely candidates for a standard system are:</w:t>
      </w:r>
    </w:p>
    <w:p w:rsidR="004B059B" w:rsidRPr="004B059B" w:rsidRDefault="004B059B" w:rsidP="004B059B">
      <w:pPr>
        <w:pStyle w:val="enumlev1"/>
        <w:rPr>
          <w:lang w:val="en-US"/>
        </w:rPr>
      </w:pPr>
      <w:r w:rsidRPr="004B059B">
        <w:rPr>
          <w:lang w:val="en-US"/>
        </w:rPr>
        <w:t>–</w:t>
      </w:r>
      <w:r w:rsidRPr="004B059B">
        <w:rPr>
          <w:lang w:val="en-US"/>
        </w:rPr>
        <w:tab/>
        <w:t>the most theoretically efficient system,</w:t>
      </w:r>
    </w:p>
    <w:p w:rsidR="004B059B" w:rsidRPr="004B059B" w:rsidRDefault="004B059B" w:rsidP="004B059B">
      <w:pPr>
        <w:pStyle w:val="enumlev1"/>
        <w:rPr>
          <w:lang w:val="en-US"/>
        </w:rPr>
      </w:pPr>
      <w:r w:rsidRPr="004B059B">
        <w:rPr>
          <w:lang w:val="en-US"/>
        </w:rPr>
        <w:t>–</w:t>
      </w:r>
      <w:r w:rsidRPr="004B059B">
        <w:rPr>
          <w:lang w:val="en-US"/>
        </w:rPr>
        <w:tab/>
        <w:t>a system which can be easily defined and understood,</w:t>
      </w:r>
    </w:p>
    <w:p w:rsidR="004B059B" w:rsidRPr="004B059B" w:rsidRDefault="004B059B" w:rsidP="004B059B">
      <w:pPr>
        <w:pStyle w:val="enumlev1"/>
        <w:rPr>
          <w:lang w:val="en-US"/>
        </w:rPr>
      </w:pPr>
      <w:r w:rsidRPr="004B059B">
        <w:rPr>
          <w:lang w:val="en-US"/>
        </w:rPr>
        <w:t>–</w:t>
      </w:r>
      <w:r w:rsidRPr="004B059B">
        <w:rPr>
          <w:lang w:val="en-US"/>
        </w:rPr>
        <w:tab/>
        <w:t xml:space="preserve">a system which is widely used – a </w:t>
      </w:r>
      <w:r w:rsidRPr="004B059B">
        <w:rPr>
          <w:i/>
          <w:lang w:val="en-US"/>
        </w:rPr>
        <w:t>de facto</w:t>
      </w:r>
      <w:r w:rsidRPr="004B059B">
        <w:rPr>
          <w:lang w:val="en-US"/>
        </w:rPr>
        <w:t xml:space="preserve"> industry standard.</w:t>
      </w:r>
    </w:p>
    <w:p w:rsidR="004B059B" w:rsidRPr="004B059B" w:rsidRDefault="004B059B" w:rsidP="004B059B">
      <w:pPr>
        <w:rPr>
          <w:lang w:val="en-US"/>
        </w:rPr>
      </w:pPr>
      <w:r w:rsidRPr="004B059B">
        <w:rPr>
          <w:lang w:val="en-US"/>
        </w:rPr>
        <w:t>The RSE will be a positive number with values ranging between zero and infinity. If the standard system is chosen to be the most theoretically efficient system, the RSE will typically range between zero and one.</w:t>
      </w:r>
    </w:p>
    <w:p w:rsidR="004B059B" w:rsidRPr="004B059B" w:rsidRDefault="004B059B" w:rsidP="0088226A">
      <w:pPr>
        <w:keepNext/>
        <w:rPr>
          <w:lang w:val="en-US"/>
        </w:rPr>
      </w:pPr>
      <w:r w:rsidRPr="004B059B">
        <w:rPr>
          <w:lang w:val="en-US"/>
        </w:rPr>
        <w:t>As an example, the most theoretically efficient system may be characterized according to the principles of information theory. The communication capacity of a communication channel on which a subscriber or a listener receives a wanted communication is determined by the relation:</w:t>
      </w:r>
    </w:p>
    <w:p w:rsidR="00483296" w:rsidRPr="00E6129A" w:rsidRDefault="00483296" w:rsidP="00E6129A">
      <w:pPr>
        <w:pStyle w:val="Blanc"/>
        <w:keepNext w:val="0"/>
        <w:rPr>
          <w:lang w:val="en-US"/>
        </w:rPr>
      </w:pPr>
    </w:p>
    <w:p w:rsidR="004B059B" w:rsidRPr="004B059B" w:rsidRDefault="004B059B" w:rsidP="00E6129A">
      <w:pPr>
        <w:pStyle w:val="Equation"/>
        <w:rPr>
          <w:lang w:val="en-US"/>
        </w:rPr>
      </w:pPr>
      <w:r w:rsidRPr="004B059B">
        <w:rPr>
          <w:i/>
          <w:lang w:val="en-US"/>
        </w:rPr>
        <w:tab/>
      </w:r>
      <w:r w:rsidRPr="004B059B">
        <w:rPr>
          <w:i/>
          <w:lang w:val="en-US"/>
        </w:rPr>
        <w:tab/>
        <w:t>C</w:t>
      </w:r>
      <w:r w:rsidRPr="004B059B">
        <w:rPr>
          <w:position w:val="-4"/>
          <w:sz w:val="18"/>
          <w:lang w:val="en-US"/>
        </w:rPr>
        <w:t>0</w:t>
      </w:r>
      <w:r w:rsidRPr="004B059B">
        <w:rPr>
          <w:lang w:val="en-US"/>
        </w:rPr>
        <w:t xml:space="preserve">  </w:t>
      </w:r>
      <w:r>
        <w:rPr>
          <w:rFonts w:ascii="Symbol" w:hAnsi="Symbol"/>
        </w:rPr>
        <w:t></w:t>
      </w:r>
      <w:r w:rsidRPr="004B059B">
        <w:rPr>
          <w:lang w:val="en-US"/>
        </w:rPr>
        <w:t xml:space="preserve">  </w:t>
      </w:r>
      <w:r w:rsidRPr="004B059B">
        <w:rPr>
          <w:i/>
          <w:lang w:val="en-US"/>
        </w:rPr>
        <w:t>F</w:t>
      </w:r>
      <w:r w:rsidRPr="004B059B">
        <w:rPr>
          <w:position w:val="-4"/>
          <w:sz w:val="18"/>
          <w:lang w:val="en-US"/>
        </w:rPr>
        <w:t>0</w:t>
      </w:r>
      <w:r w:rsidRPr="004B059B">
        <w:rPr>
          <w:lang w:val="en-US"/>
        </w:rPr>
        <w:t xml:space="preserve"> ln</w:t>
      </w:r>
      <w:r w:rsidRPr="004B059B">
        <w:rPr>
          <w:rFonts w:ascii="Tms Rmn" w:hAnsi="Tms Rmn"/>
          <w:i/>
          <w:sz w:val="12"/>
          <w:lang w:val="en-US"/>
        </w:rPr>
        <w:t> </w:t>
      </w:r>
      <w:r w:rsidRPr="004B059B">
        <w:rPr>
          <w:lang w:val="en-US"/>
        </w:rPr>
        <w:t xml:space="preserve">(1  </w:t>
      </w:r>
      <w:r>
        <w:rPr>
          <w:rFonts w:ascii="Symbol" w:hAnsi="Symbol"/>
        </w:rPr>
        <w:t></w:t>
      </w:r>
      <w:r w:rsidRPr="004B059B">
        <w:rPr>
          <w:lang w:val="en-US"/>
        </w:rPr>
        <w:t xml:space="preserve">  </w:t>
      </w:r>
      <w:r>
        <w:rPr>
          <w:rFonts w:ascii="Symbol" w:hAnsi="Symbol"/>
        </w:rPr>
        <w:t></w:t>
      </w:r>
      <w:r w:rsidRPr="004B059B">
        <w:rPr>
          <w:position w:val="-4"/>
          <w:sz w:val="18"/>
          <w:lang w:val="en-US"/>
        </w:rPr>
        <w:t>0</w:t>
      </w:r>
      <w:r w:rsidRPr="004B059B">
        <w:rPr>
          <w:lang w:val="en-US"/>
        </w:rPr>
        <w:t>)</w:t>
      </w:r>
    </w:p>
    <w:p w:rsidR="00483296" w:rsidRDefault="00483296" w:rsidP="00E6129A">
      <w:pPr>
        <w:pStyle w:val="Blanc"/>
        <w:keepNext w:val="0"/>
      </w:pPr>
    </w:p>
    <w:p w:rsidR="004B059B" w:rsidRPr="004B059B" w:rsidRDefault="004B059B" w:rsidP="00E6129A">
      <w:pPr>
        <w:keepNext/>
        <w:rPr>
          <w:lang w:val="en-US"/>
        </w:rPr>
      </w:pPr>
      <w:r w:rsidRPr="004B059B">
        <w:rPr>
          <w:lang w:val="en-US"/>
        </w:rPr>
        <w:lastRenderedPageBreak/>
        <w:t>where:</w:t>
      </w:r>
    </w:p>
    <w:p w:rsidR="004B059B" w:rsidRPr="004B059B" w:rsidRDefault="004B059B" w:rsidP="00E6129A">
      <w:pPr>
        <w:pStyle w:val="Equationlegend"/>
        <w:keepNext/>
      </w:pPr>
      <w:r w:rsidRPr="004B059B">
        <w:rPr>
          <w:i/>
        </w:rPr>
        <w:tab/>
        <w:t>F</w:t>
      </w:r>
      <w:r w:rsidRPr="004B059B">
        <w:rPr>
          <w:position w:val="-4"/>
          <w:sz w:val="16"/>
        </w:rPr>
        <w:t>0</w:t>
      </w:r>
      <w:r w:rsidRPr="004B059B">
        <w:rPr>
          <w:sz w:val="12"/>
        </w:rPr>
        <w:t> </w:t>
      </w:r>
      <w:r w:rsidRPr="004B059B">
        <w:t>:</w:t>
      </w:r>
      <w:r w:rsidRPr="004B059B">
        <w:tab/>
        <w:t>bandwidth of the wanted communication</w:t>
      </w:r>
    </w:p>
    <w:p w:rsidR="004B059B" w:rsidRPr="004B059B" w:rsidRDefault="004B059B" w:rsidP="0088226A">
      <w:pPr>
        <w:pStyle w:val="Equationlegend"/>
      </w:pPr>
      <w:r w:rsidRPr="004B059B">
        <w:rPr>
          <w:rFonts w:ascii="Symbol" w:hAnsi="Symbol"/>
        </w:rPr>
        <w:tab/>
      </w:r>
      <w:r w:rsidR="0088226A">
        <w:rPr>
          <w:rFonts w:ascii="Symbol" w:hAnsi="Symbol"/>
        </w:rPr>
        <w:sym w:font="Symbol" w:char="F072"/>
      </w:r>
      <w:r w:rsidRPr="004B059B">
        <w:rPr>
          <w:position w:val="-4"/>
          <w:sz w:val="16"/>
        </w:rPr>
        <w:t>0</w:t>
      </w:r>
      <w:r w:rsidRPr="004B059B">
        <w:rPr>
          <w:rFonts w:ascii="Tms Rmn" w:hAnsi="Tms Rmn"/>
          <w:position w:val="-4"/>
          <w:sz w:val="12"/>
        </w:rPr>
        <w:t> </w:t>
      </w:r>
      <w:r w:rsidRPr="004B059B">
        <w:rPr>
          <w:position w:val="-4"/>
        </w:rPr>
        <w:t>:</w:t>
      </w:r>
      <w:r w:rsidRPr="004B059B">
        <w:rPr>
          <w:position w:val="-4"/>
        </w:rPr>
        <w:tab/>
      </w:r>
      <w:r w:rsidRPr="004B059B">
        <w:t>signal/noise ratio at the receiver output.</w:t>
      </w:r>
    </w:p>
    <w:p w:rsidR="004B059B" w:rsidRPr="004B059B" w:rsidRDefault="004B059B" w:rsidP="004B059B">
      <w:pPr>
        <w:rPr>
          <w:lang w:val="en-US"/>
        </w:rPr>
      </w:pPr>
      <w:r w:rsidRPr="004B059B">
        <w:rPr>
          <w:lang w:val="en-US"/>
        </w:rPr>
        <w:t xml:space="preserve">If the signal/noise ratio at the receiver input is equal to the protection ratio </w:t>
      </w:r>
      <w:r>
        <w:rPr>
          <w:rFonts w:ascii="Symbol" w:hAnsi="Symbol"/>
        </w:rPr>
        <w:t></w:t>
      </w:r>
      <w:r w:rsidRPr="004B059B">
        <w:rPr>
          <w:i/>
          <w:position w:val="-4"/>
          <w:sz w:val="16"/>
          <w:lang w:val="en-US"/>
        </w:rPr>
        <w:t>s</w:t>
      </w:r>
      <w:r w:rsidRPr="004B059B">
        <w:rPr>
          <w:lang w:val="en-US"/>
        </w:rPr>
        <w:t xml:space="preserve"> and the bandwidth of the communication channel over which the signals are transmitted is equal to </w:t>
      </w:r>
      <w:r w:rsidRPr="004B059B">
        <w:rPr>
          <w:i/>
          <w:lang w:val="en-US"/>
        </w:rPr>
        <w:t>F</w:t>
      </w:r>
      <w:r w:rsidRPr="004B059B">
        <w:rPr>
          <w:i/>
          <w:position w:val="-4"/>
          <w:sz w:val="16"/>
          <w:lang w:val="en-US"/>
        </w:rPr>
        <w:t>m</w:t>
      </w:r>
      <w:r w:rsidRPr="004B059B">
        <w:rPr>
          <w:lang w:val="en-US"/>
        </w:rPr>
        <w:t xml:space="preserve">, then the communication capacity is </w:t>
      </w:r>
      <w:r w:rsidRPr="004B059B">
        <w:rPr>
          <w:i/>
          <w:lang w:val="en-US"/>
        </w:rPr>
        <w:t>C</w:t>
      </w:r>
      <w:r w:rsidRPr="004B059B">
        <w:rPr>
          <w:i/>
          <w:position w:val="-4"/>
          <w:sz w:val="16"/>
          <w:lang w:val="en-US"/>
        </w:rPr>
        <w:t>p</w:t>
      </w:r>
      <w:r w:rsidRPr="004B059B">
        <w:rPr>
          <w:lang w:val="en-US"/>
        </w:rPr>
        <w:t> </w:t>
      </w:r>
      <w:r>
        <w:rPr>
          <w:rFonts w:ascii="Symbol" w:hAnsi="Symbol"/>
        </w:rPr>
        <w:t></w:t>
      </w:r>
      <w:r w:rsidRPr="004B059B">
        <w:rPr>
          <w:lang w:val="en-US"/>
        </w:rPr>
        <w:t> </w:t>
      </w:r>
      <w:r w:rsidRPr="004B059B">
        <w:rPr>
          <w:i/>
          <w:lang w:val="en-US"/>
        </w:rPr>
        <w:t>F</w:t>
      </w:r>
      <w:r w:rsidRPr="004B059B">
        <w:rPr>
          <w:i/>
          <w:position w:val="-4"/>
          <w:sz w:val="16"/>
          <w:lang w:val="en-US"/>
        </w:rPr>
        <w:t>m</w:t>
      </w:r>
      <w:r w:rsidRPr="004B059B">
        <w:rPr>
          <w:lang w:val="en-US"/>
        </w:rPr>
        <w:t xml:space="preserve"> ln</w:t>
      </w:r>
      <w:r w:rsidRPr="004B059B">
        <w:rPr>
          <w:rFonts w:ascii="Courier" w:hAnsi="Courier"/>
          <w:i/>
          <w:sz w:val="12"/>
          <w:lang w:val="en-US"/>
        </w:rPr>
        <w:t> </w:t>
      </w:r>
      <w:r w:rsidRPr="004B059B">
        <w:rPr>
          <w:lang w:val="en-US"/>
        </w:rPr>
        <w:t>(1 </w:t>
      </w:r>
      <w:r>
        <w:rPr>
          <w:rFonts w:ascii="Symbol" w:hAnsi="Symbol"/>
        </w:rPr>
        <w:t></w:t>
      </w:r>
      <w:r w:rsidRPr="004B059B">
        <w:rPr>
          <w:lang w:val="en-US"/>
        </w:rPr>
        <w:t> </w:t>
      </w:r>
      <w:r>
        <w:rPr>
          <w:rFonts w:ascii="Symbol" w:hAnsi="Symbol"/>
        </w:rPr>
        <w:t></w:t>
      </w:r>
      <w:r w:rsidRPr="004B059B">
        <w:rPr>
          <w:i/>
          <w:position w:val="-4"/>
          <w:sz w:val="16"/>
          <w:lang w:val="en-US"/>
        </w:rPr>
        <w:t>s</w:t>
      </w:r>
      <w:r w:rsidRPr="004B059B">
        <w:rPr>
          <w:lang w:val="en-US"/>
        </w:rPr>
        <w:t xml:space="preserve">). It must exceed or at least be equal to the communication capacity of the channel over which the subscriber receives a wanted communication, i.e. </w:t>
      </w:r>
      <w:r w:rsidRPr="004B059B">
        <w:rPr>
          <w:i/>
          <w:lang w:val="en-US"/>
        </w:rPr>
        <w:t>C</w:t>
      </w:r>
      <w:r w:rsidRPr="004B059B">
        <w:rPr>
          <w:i/>
          <w:position w:val="-4"/>
          <w:sz w:val="16"/>
          <w:lang w:val="en-US"/>
        </w:rPr>
        <w:t>p</w:t>
      </w:r>
      <w:r w:rsidRPr="004B059B">
        <w:rPr>
          <w:lang w:val="en-US"/>
        </w:rPr>
        <w:t xml:space="preserve"> </w:t>
      </w:r>
      <w:r>
        <w:rPr>
          <w:rFonts w:ascii="Symbol" w:hAnsi="Symbol"/>
        </w:rPr>
        <w:t></w:t>
      </w:r>
      <w:r w:rsidRPr="004B059B">
        <w:rPr>
          <w:lang w:val="en-US"/>
        </w:rPr>
        <w:t xml:space="preserve"> </w:t>
      </w:r>
      <w:r w:rsidRPr="004B059B">
        <w:rPr>
          <w:i/>
          <w:lang w:val="en-US"/>
        </w:rPr>
        <w:t>C</w:t>
      </w:r>
      <w:r w:rsidRPr="004B059B">
        <w:rPr>
          <w:position w:val="-4"/>
          <w:sz w:val="16"/>
          <w:lang w:val="en-US"/>
        </w:rPr>
        <w:t>0</w:t>
      </w:r>
      <w:r w:rsidRPr="004B059B">
        <w:rPr>
          <w:lang w:val="en-US"/>
        </w:rPr>
        <w:t xml:space="preserve">. Hence the minimum possible value of the protection ratio </w:t>
      </w:r>
      <w:r>
        <w:rPr>
          <w:rFonts w:ascii="Symbol" w:hAnsi="Symbol"/>
        </w:rPr>
        <w:t></w:t>
      </w:r>
      <w:r w:rsidRPr="004B059B">
        <w:rPr>
          <w:i/>
          <w:position w:val="-4"/>
          <w:sz w:val="16"/>
          <w:lang w:val="en-US"/>
        </w:rPr>
        <w:t>s</w:t>
      </w:r>
      <w:r w:rsidRPr="004B059B">
        <w:rPr>
          <w:lang w:val="en-US"/>
        </w:rPr>
        <w:t xml:space="preserve"> at which the subscriber will receive a communication with a signal/noise ratio equal to </w:t>
      </w:r>
      <w:r>
        <w:rPr>
          <w:rFonts w:ascii="Symbol" w:hAnsi="Symbol"/>
        </w:rPr>
        <w:t></w:t>
      </w:r>
      <w:r w:rsidRPr="004B059B">
        <w:rPr>
          <w:position w:val="-4"/>
          <w:sz w:val="16"/>
          <w:lang w:val="en-US"/>
        </w:rPr>
        <w:t>0</w:t>
      </w:r>
      <w:r w:rsidRPr="004B059B">
        <w:rPr>
          <w:lang w:val="en-US"/>
        </w:rPr>
        <w:t xml:space="preserve"> is defined as:</w:t>
      </w:r>
    </w:p>
    <w:p w:rsidR="00483296" w:rsidRDefault="00483296" w:rsidP="00483296">
      <w:pPr>
        <w:pStyle w:val="Blanc"/>
      </w:pPr>
      <w:bookmarkStart w:id="4" w:name="f004"/>
    </w:p>
    <w:p w:rsidR="004B059B" w:rsidRPr="004B059B" w:rsidRDefault="004B059B" w:rsidP="004B059B">
      <w:pPr>
        <w:pStyle w:val="Equation"/>
        <w:rPr>
          <w:lang w:val="en-US"/>
        </w:rPr>
      </w:pPr>
      <w:r w:rsidRPr="004B059B">
        <w:rPr>
          <w:lang w:val="en-US"/>
        </w:rPr>
        <w:tab/>
      </w:r>
      <w:r w:rsidRPr="004B059B">
        <w:rPr>
          <w:lang w:val="en-US"/>
        </w:rPr>
        <w:tab/>
      </w:r>
      <w:r>
        <w:fldChar w:fldCharType="begin"/>
      </w:r>
      <w:r w:rsidRPr="004B059B">
        <w:rPr>
          <w:lang w:val="en-US"/>
        </w:rPr>
        <w:instrText xml:space="preserve">eq </w:instrText>
      </w:r>
      <w:r w:rsidRPr="004B059B">
        <w:rPr>
          <w:rFonts w:ascii="Symbol" w:hAnsi="Symbol"/>
          <w:lang w:val="en-US"/>
        </w:rPr>
        <w:instrText>r</w:instrText>
      </w:r>
      <w:r w:rsidRPr="004B059B">
        <w:rPr>
          <w:i/>
          <w:position w:val="-4"/>
          <w:sz w:val="18"/>
          <w:lang w:val="en-US"/>
        </w:rPr>
        <w:instrText>s</w:instrText>
      </w:r>
      <w:r w:rsidRPr="004B059B">
        <w:rPr>
          <w:lang w:val="en-US"/>
        </w:rPr>
        <w:instrText xml:space="preserve">  =  (1  +  </w:instrText>
      </w:r>
      <w:r w:rsidRPr="004B059B">
        <w:rPr>
          <w:rFonts w:ascii="Symbol" w:hAnsi="Symbol"/>
          <w:lang w:val="en-US"/>
        </w:rPr>
        <w:instrText>r</w:instrText>
      </w:r>
      <w:r w:rsidRPr="004B059B">
        <w:rPr>
          <w:position w:val="-6"/>
          <w:sz w:val="18"/>
          <w:lang w:val="en-US"/>
        </w:rPr>
        <w:instrText>0</w:instrText>
      </w:r>
      <w:r w:rsidRPr="004B059B">
        <w:rPr>
          <w:lang w:val="en-US"/>
        </w:rPr>
        <w:instrText>)\s\up6(</w:instrText>
      </w:r>
      <w:r w:rsidRPr="004B059B">
        <w:rPr>
          <w:i/>
          <w:sz w:val="18"/>
          <w:lang w:val="en-US"/>
        </w:rPr>
        <w:instrText>F</w:instrText>
      </w:r>
      <w:r w:rsidRPr="004B059B">
        <w:rPr>
          <w:position w:val="-4"/>
          <w:sz w:val="14"/>
          <w:lang w:val="en-US"/>
        </w:rPr>
        <w:instrText>0</w:instrText>
      </w:r>
      <w:r w:rsidRPr="004B059B">
        <w:rPr>
          <w:rFonts w:ascii="Tms Rmn" w:hAnsi="Tms Rmn"/>
          <w:position w:val="-4"/>
          <w:sz w:val="18"/>
          <w:lang w:val="en-US"/>
        </w:rPr>
        <w:instrText> </w:instrText>
      </w:r>
      <w:r w:rsidRPr="004B059B">
        <w:rPr>
          <w:sz w:val="18"/>
          <w:lang w:val="en-US"/>
        </w:rPr>
        <w:instrText>/</w:instrText>
      </w:r>
      <w:r w:rsidRPr="004B059B">
        <w:rPr>
          <w:i/>
          <w:sz w:val="18"/>
          <w:lang w:val="en-US"/>
        </w:rPr>
        <w:instrText>F</w:instrText>
      </w:r>
      <w:r w:rsidRPr="004B059B">
        <w:rPr>
          <w:i/>
          <w:position w:val="-4"/>
          <w:sz w:val="14"/>
          <w:lang w:val="en-US"/>
        </w:rPr>
        <w:instrText>m</w:instrText>
      </w:r>
      <w:r w:rsidRPr="004B059B">
        <w:rPr>
          <w:lang w:val="en-US"/>
        </w:rPr>
        <w:instrText>)  –  1</w:instrText>
      </w:r>
      <w:r>
        <w:fldChar w:fldCharType="end"/>
      </w:r>
      <w:r w:rsidRPr="004B059B">
        <w:rPr>
          <w:lang w:val="en-US"/>
        </w:rPr>
        <w:tab/>
        <w:t>(4)</w:t>
      </w:r>
    </w:p>
    <w:bookmarkEnd w:id="4"/>
    <w:p w:rsidR="00483296" w:rsidRDefault="00483296" w:rsidP="00483296">
      <w:pPr>
        <w:pStyle w:val="Blanc"/>
      </w:pPr>
    </w:p>
    <w:p w:rsidR="004B059B" w:rsidRPr="004B059B" w:rsidRDefault="004B059B" w:rsidP="004B059B">
      <w:pPr>
        <w:rPr>
          <w:lang w:val="en-US"/>
        </w:rPr>
      </w:pPr>
      <w:r w:rsidRPr="004B059B">
        <w:rPr>
          <w:lang w:val="en-US"/>
        </w:rPr>
        <w:t>The major advantage of directly computing the RSE is that it will often be much easier than computing the SUEs. Since the systems provide the same service, they will usually have many factors (sometimes even physical components) in common. This means that many factors will “cancel out” in the calculation before they need to be actually calculated. Often this will greatly reduce the complexity of the calculation.</w:t>
      </w:r>
    </w:p>
    <w:p w:rsidR="004B059B" w:rsidRPr="004B059B" w:rsidRDefault="004B059B" w:rsidP="00491279">
      <w:pPr>
        <w:rPr>
          <w:lang w:val="en-US"/>
        </w:rPr>
      </w:pPr>
      <w:r w:rsidRPr="004B059B">
        <w:rPr>
          <w:lang w:val="en-US"/>
        </w:rPr>
        <w:t>Some examples of RSE calculations are presented in Annex 2 and in Chapter</w:t>
      </w:r>
      <w:r w:rsidR="00491279">
        <w:rPr>
          <w:lang w:val="en-US"/>
        </w:rPr>
        <w:t xml:space="preserve"> 8 </w:t>
      </w:r>
      <w:r w:rsidRPr="004B059B">
        <w:rPr>
          <w:lang w:val="en-US"/>
        </w:rPr>
        <w:t xml:space="preserve">of the National Spectrum Management Handbook (Geneva, </w:t>
      </w:r>
      <w:r w:rsidR="00491279">
        <w:rPr>
          <w:lang w:val="en-US"/>
        </w:rPr>
        <w:t>200</w:t>
      </w:r>
      <w:r w:rsidRPr="004B059B">
        <w:rPr>
          <w:lang w:val="en-US"/>
        </w:rPr>
        <w:t>5).</w:t>
      </w:r>
    </w:p>
    <w:p w:rsidR="004B059B" w:rsidRPr="004B059B" w:rsidRDefault="004B059B" w:rsidP="004B059B">
      <w:pPr>
        <w:pStyle w:val="Heading1"/>
        <w:rPr>
          <w:lang w:val="en-US"/>
        </w:rPr>
      </w:pPr>
      <w:r w:rsidRPr="004B059B">
        <w:rPr>
          <w:lang w:val="en-US"/>
        </w:rPr>
        <w:t>4</w:t>
      </w:r>
      <w:r w:rsidRPr="004B059B">
        <w:rPr>
          <w:lang w:val="en-US"/>
        </w:rPr>
        <w:tab/>
        <w:t>Comparison of spectrum efficiencies</w:t>
      </w:r>
    </w:p>
    <w:p w:rsidR="004B059B" w:rsidRPr="004B059B" w:rsidRDefault="004B059B" w:rsidP="004B059B">
      <w:pPr>
        <w:rPr>
          <w:lang w:val="en-US"/>
        </w:rPr>
      </w:pPr>
      <w:r w:rsidRPr="004B059B">
        <w:rPr>
          <w:lang w:val="en-US"/>
        </w:rPr>
        <w:t>As described in previous sections, values for SUE could be computed for several different systems and could indeed be compared to obtain the relative efficiencies of the systems. Such comparisons, however, will have to be conducted with caution. For example, the SUEs computed for a land mobile radio system and a radar system are very different. The information transfer rate, the receivers and transmitters in these two systems are so different that the two SUEs are not commensurate. It would not be particularly useful to try to compare them. Hence, the comparison of spectrum efficiency should be only done between similar types of systems and which provide identical radiocommunication services. It would be beneficial to conduct the comparison of the spectrum efficiency or utilization of the same system over time to see if there is any improvement in the specific area under study.</w:t>
      </w:r>
    </w:p>
    <w:p w:rsidR="004B059B" w:rsidRPr="004B059B" w:rsidRDefault="004B059B" w:rsidP="004B059B">
      <w:pPr>
        <w:rPr>
          <w:lang w:val="en-US"/>
        </w:rPr>
      </w:pPr>
      <w:r w:rsidRPr="004B059B">
        <w:rPr>
          <w:lang w:val="en-US"/>
        </w:rPr>
        <w:t>It should also be noted that although spectrum efficiency is an important factor, because it allows the maximum amount of service to be derived from the radio spectrum, it is not the only factor to be considered. Other factors to be included in the selection of a technology or a system include the cost, the availability of equipment, the compatibility with existing equipment and techniques, the reliability of the system, and operational factors.</w:t>
      </w:r>
    </w:p>
    <w:p w:rsidR="004B059B" w:rsidRPr="0088226A" w:rsidRDefault="004B059B" w:rsidP="0088226A">
      <w:pPr>
        <w:pStyle w:val="AnnexNoTitle"/>
        <w:rPr>
          <w:lang w:val="en-US"/>
        </w:rPr>
      </w:pPr>
      <w:r w:rsidRPr="0088226A">
        <w:rPr>
          <w:lang w:val="en-US"/>
        </w:rPr>
        <w:lastRenderedPageBreak/>
        <w:t>A</w:t>
      </w:r>
      <w:r w:rsidR="0088226A" w:rsidRPr="0088226A">
        <w:rPr>
          <w:lang w:val="en-US"/>
        </w:rPr>
        <w:t>nnex</w:t>
      </w:r>
      <w:r w:rsidRPr="0088226A">
        <w:rPr>
          <w:lang w:val="en-US"/>
        </w:rPr>
        <w:t xml:space="preserve">  2</w:t>
      </w:r>
      <w:r w:rsidR="0088226A" w:rsidRPr="0088226A">
        <w:rPr>
          <w:lang w:val="en-US"/>
        </w:rPr>
        <w:br/>
      </w:r>
      <w:r w:rsidR="0088226A" w:rsidRPr="0088226A">
        <w:rPr>
          <w:lang w:val="en-US"/>
        </w:rPr>
        <w:br/>
      </w:r>
      <w:r w:rsidRPr="0088226A">
        <w:rPr>
          <w:lang w:val="en-US"/>
        </w:rPr>
        <w:t>Examples</w:t>
      </w:r>
    </w:p>
    <w:p w:rsidR="004B059B" w:rsidRPr="004B059B" w:rsidRDefault="004B059B" w:rsidP="004B059B">
      <w:pPr>
        <w:pStyle w:val="Heading1"/>
        <w:rPr>
          <w:lang w:val="en-US"/>
        </w:rPr>
      </w:pPr>
      <w:r w:rsidRPr="004B059B">
        <w:rPr>
          <w:lang w:val="en-US"/>
        </w:rPr>
        <w:t>1</w:t>
      </w:r>
      <w:r w:rsidRPr="004B059B">
        <w:rPr>
          <w:lang w:val="en-US"/>
        </w:rPr>
        <w:tab/>
        <w:t>Spectrum use by land mobile radio systems</w:t>
      </w:r>
    </w:p>
    <w:p w:rsidR="004B059B" w:rsidRPr="004B059B" w:rsidRDefault="004B059B" w:rsidP="004B059B">
      <w:pPr>
        <w:pStyle w:val="Heading2"/>
        <w:rPr>
          <w:lang w:val="en-US"/>
        </w:rPr>
      </w:pPr>
      <w:r w:rsidRPr="004B059B">
        <w:rPr>
          <w:lang w:val="en-US"/>
        </w:rPr>
        <w:t>1.1</w:t>
      </w:r>
      <w:r w:rsidRPr="004B059B">
        <w:rPr>
          <w:lang w:val="en-US"/>
        </w:rPr>
        <w:tab/>
        <w:t>Spectrum efficiency of an indoor pico-cellular radio system</w:t>
      </w:r>
    </w:p>
    <w:p w:rsidR="004B059B" w:rsidRPr="004B059B" w:rsidRDefault="004B059B" w:rsidP="004B059B">
      <w:pPr>
        <w:rPr>
          <w:lang w:val="en-US"/>
        </w:rPr>
      </w:pPr>
      <w:r w:rsidRPr="004B059B">
        <w:rPr>
          <w:lang w:val="en-US"/>
        </w:rPr>
        <w:t>In the case of an indoor pico-cellular system in the frequency band between 900 MHz and 60 GHz, the spectrum efficiency can also be derived using equation (2). From this equation, the spectrum efficiency of an indoor pico-cellular radio system may be defined as:</w:t>
      </w:r>
    </w:p>
    <w:p w:rsidR="004B059B" w:rsidRPr="004B059B" w:rsidRDefault="004B059B" w:rsidP="0088226A">
      <w:pPr>
        <w:pStyle w:val="Equation"/>
        <w:rPr>
          <w:lang w:val="en-US"/>
        </w:rPr>
      </w:pPr>
      <w:r w:rsidRPr="004B059B">
        <w:rPr>
          <w:lang w:val="en-US"/>
        </w:rPr>
        <w:tab/>
      </w:r>
      <w:r w:rsidRPr="004B059B">
        <w:rPr>
          <w:lang w:val="en-US"/>
        </w:rPr>
        <w:tab/>
        <w:t xml:space="preserve">Erlangs / (bandwidth  </w:t>
      </w:r>
      <w:r w:rsidR="0088226A">
        <w:rPr>
          <w:lang w:val="en-US"/>
        </w:rPr>
        <w:sym w:font="Symbol" w:char="F0B4"/>
      </w:r>
      <w:r w:rsidRPr="004B059B">
        <w:rPr>
          <w:lang w:val="en-US"/>
        </w:rPr>
        <w:t xml:space="preserve">  area)</w:t>
      </w:r>
      <w:r w:rsidRPr="004B059B">
        <w:rPr>
          <w:lang w:val="en-US"/>
        </w:rPr>
        <w:tab/>
        <w:t>(5)</w:t>
      </w:r>
    </w:p>
    <w:p w:rsidR="004B059B" w:rsidRPr="004B059B" w:rsidRDefault="004B059B" w:rsidP="004B059B">
      <w:pPr>
        <w:rPr>
          <w:lang w:val="en-US"/>
        </w:rPr>
      </w:pPr>
      <w:r w:rsidRPr="004B059B">
        <w:rPr>
          <w:lang w:val="en-US"/>
        </w:rPr>
        <w:t>where erlangs is the total voice traffic carried by the pico-cellular system, bandwidth is the total amount of spectrum used by the system and area is the total service area covered by the system. Since the pico-cellular system is to be implemented in a high-rise building, the total floor area is used in the calculation of spectrum efficiency. The number of channels required per cell can then be calculated based on the Erlang B Tables for a given number of users on the floor and traffic per user.</w:t>
      </w:r>
    </w:p>
    <w:p w:rsidR="004B059B" w:rsidRPr="004B059B" w:rsidRDefault="004B059B" w:rsidP="004B059B">
      <w:pPr>
        <w:pStyle w:val="Heading3"/>
        <w:rPr>
          <w:lang w:val="en-US"/>
        </w:rPr>
      </w:pPr>
      <w:r w:rsidRPr="004B059B">
        <w:rPr>
          <w:lang w:val="en-US"/>
        </w:rPr>
        <w:t>1.1.1</w:t>
      </w:r>
      <w:r w:rsidRPr="004B059B">
        <w:rPr>
          <w:lang w:val="en-US"/>
        </w:rPr>
        <w:tab/>
        <w:t>Pico-cellular system covering a building</w:t>
      </w:r>
    </w:p>
    <w:p w:rsidR="004B059B" w:rsidRPr="0088226A" w:rsidRDefault="004B059B" w:rsidP="004B059B">
      <w:pPr>
        <w:rPr>
          <w:lang w:val="en-US"/>
        </w:rPr>
      </w:pPr>
      <w:r w:rsidRPr="004B059B">
        <w:rPr>
          <w:lang w:val="en-US"/>
        </w:rPr>
        <w:t xml:space="preserve">In order to calculate the total bandwidth required for the whole building, the vertical re-use distance in terms of the number of floors is required. </w:t>
      </w:r>
      <w:r w:rsidRPr="0088226A">
        <w:rPr>
          <w:lang w:val="en-US"/>
        </w:rPr>
        <w:t>This parameter is dependent on the floor losses and is different for different types of buildings.</w:t>
      </w:r>
    </w:p>
    <w:p w:rsidR="004B059B" w:rsidRPr="0088226A" w:rsidRDefault="004B059B" w:rsidP="004B059B">
      <w:pPr>
        <w:rPr>
          <w:lang w:val="en-US"/>
        </w:rPr>
      </w:pPr>
      <w:r w:rsidRPr="0088226A">
        <w:rPr>
          <w:lang w:val="en-US"/>
        </w:rPr>
        <w:t>The total number of half duplex channels required for the building can then be calculated and is equal to:</w:t>
      </w:r>
    </w:p>
    <w:p w:rsidR="004B059B" w:rsidRPr="0088226A" w:rsidRDefault="0088226A" w:rsidP="0088226A">
      <w:pPr>
        <w:pStyle w:val="Equation"/>
        <w:rPr>
          <w:lang w:val="en-US"/>
        </w:rPr>
      </w:pPr>
      <w:r>
        <w:rPr>
          <w:lang w:val="en-US"/>
        </w:rPr>
        <w:tab/>
      </w:r>
      <w:r>
        <w:rPr>
          <w:lang w:val="en-US"/>
        </w:rPr>
        <w:tab/>
      </w:r>
      <w:r w:rsidR="004B059B" w:rsidRPr="0088226A">
        <w:rPr>
          <w:lang w:val="en-US"/>
        </w:rPr>
        <w:t xml:space="preserve">2  </w:t>
      </w:r>
      <w:r w:rsidR="004B059B">
        <w:rPr>
          <w:rFonts w:ascii="Symbol" w:hAnsi="Symbol"/>
        </w:rPr>
        <w:t></w:t>
      </w:r>
      <w:r w:rsidR="004B059B" w:rsidRPr="0088226A">
        <w:rPr>
          <w:lang w:val="en-US"/>
        </w:rPr>
        <w:t xml:space="preserve">  No. of channels per cell  </w:t>
      </w:r>
      <w:r w:rsidR="004B059B">
        <w:rPr>
          <w:rFonts w:ascii="Symbol" w:hAnsi="Symbol"/>
        </w:rPr>
        <w:t></w:t>
      </w:r>
      <w:r w:rsidR="004B059B" w:rsidRPr="0088226A">
        <w:rPr>
          <w:lang w:val="en-US"/>
        </w:rPr>
        <w:t xml:space="preserve">  No. of cells per floor  </w:t>
      </w:r>
      <w:r w:rsidR="004B059B">
        <w:rPr>
          <w:rFonts w:ascii="Symbol" w:hAnsi="Symbol"/>
        </w:rPr>
        <w:t></w:t>
      </w:r>
      <w:r w:rsidR="004B059B" w:rsidRPr="0088226A">
        <w:rPr>
          <w:lang w:val="en-US"/>
        </w:rPr>
        <w:t xml:space="preserve">  No. of floors of separation</w:t>
      </w:r>
    </w:p>
    <w:p w:rsidR="004B059B" w:rsidRPr="0088226A" w:rsidRDefault="004B059B" w:rsidP="004B059B">
      <w:pPr>
        <w:rPr>
          <w:lang w:val="en-US"/>
        </w:rPr>
      </w:pPr>
      <w:r w:rsidRPr="0088226A">
        <w:rPr>
          <w:lang w:val="en-US"/>
        </w:rPr>
        <w:t>The factor 2 is needed here to reflect the number of channels needed for two-way communications.</w:t>
      </w:r>
    </w:p>
    <w:p w:rsidR="004B059B" w:rsidRPr="0088226A" w:rsidRDefault="004B059B" w:rsidP="004B059B">
      <w:pPr>
        <w:rPr>
          <w:lang w:val="en-US"/>
        </w:rPr>
      </w:pPr>
      <w:r w:rsidRPr="0088226A">
        <w:rPr>
          <w:lang w:val="en-US"/>
        </w:rPr>
        <w:t xml:space="preserve">The spectrum efficiency, </w:t>
      </w:r>
      <w:r w:rsidRPr="0088226A">
        <w:rPr>
          <w:i/>
          <w:lang w:val="en-US"/>
        </w:rPr>
        <w:t>SUE</w:t>
      </w:r>
      <w:r w:rsidRPr="0088226A">
        <w:rPr>
          <w:i/>
          <w:position w:val="-4"/>
          <w:sz w:val="16"/>
          <w:lang w:val="en-US"/>
        </w:rPr>
        <w:t>building</w:t>
      </w:r>
      <w:r w:rsidRPr="0088226A">
        <w:rPr>
          <w:lang w:val="en-US"/>
        </w:rPr>
        <w:t>, of the system providing coverage in the building can then be calculated using equation (5):</w:t>
      </w:r>
    </w:p>
    <w:p w:rsidR="004B059B" w:rsidRPr="0088226A" w:rsidRDefault="0088226A" w:rsidP="0088226A">
      <w:pPr>
        <w:pStyle w:val="Equation"/>
        <w:rPr>
          <w:lang w:val="en-US"/>
        </w:rPr>
      </w:pPr>
      <w:r>
        <w:rPr>
          <w:lang w:val="en-US"/>
        </w:rPr>
        <w:tab/>
      </w:r>
      <w:r>
        <w:rPr>
          <w:lang w:val="en-US"/>
        </w:rPr>
        <w:tab/>
      </w:r>
      <w:r w:rsidRPr="00166AF9">
        <w:rPr>
          <w:position w:val="-30"/>
        </w:rPr>
        <w:object w:dxaOrig="7580" w:dyaOrig="680">
          <v:shape id="_x0000_i1026" type="#_x0000_t75" style="width:378.6pt;height:33.6pt" o:ole="" o:allowoverlap="f">
            <v:imagedata r:id="rId15" o:title=""/>
          </v:shape>
          <o:OLEObject Type="Embed" ProgID="Equation.3" ShapeID="_x0000_i1026" DrawAspect="Content" ObjectID="_1370947758" r:id="rId16"/>
        </w:object>
      </w:r>
      <w:r>
        <w:rPr>
          <w:lang w:val="en-US"/>
        </w:rPr>
        <w:tab/>
      </w:r>
      <w:r w:rsidR="004B059B" w:rsidRPr="0088226A">
        <w:rPr>
          <w:lang w:val="en-US"/>
        </w:rPr>
        <w:t>(6)</w:t>
      </w:r>
    </w:p>
    <w:p w:rsidR="004B059B" w:rsidRPr="0088226A" w:rsidRDefault="004B059B" w:rsidP="004B059B">
      <w:pPr>
        <w:rPr>
          <w:lang w:val="en-US"/>
        </w:rPr>
      </w:pPr>
      <w:r w:rsidRPr="0088226A">
        <w:rPr>
          <w:lang w:val="en-US"/>
        </w:rPr>
        <w:t>Example:</w:t>
      </w:r>
    </w:p>
    <w:p w:rsidR="004B059B" w:rsidRPr="0088226A" w:rsidRDefault="004B059B" w:rsidP="0088226A">
      <w:pPr>
        <w:pStyle w:val="Headingi"/>
        <w:rPr>
          <w:lang w:val="en-US"/>
        </w:rPr>
      </w:pPr>
      <w:r w:rsidRPr="0088226A">
        <w:rPr>
          <w:lang w:val="en-US"/>
        </w:rPr>
        <w:t>In this indoor system operating at 900 MHz</w:t>
      </w:r>
    </w:p>
    <w:p w:rsidR="004B059B" w:rsidRPr="0088226A" w:rsidRDefault="004B059B" w:rsidP="0088226A">
      <w:pPr>
        <w:pStyle w:val="enumlev1"/>
        <w:tabs>
          <w:tab w:val="left" w:pos="5103"/>
        </w:tabs>
        <w:rPr>
          <w:lang w:val="en-US"/>
        </w:rPr>
      </w:pPr>
      <w:r w:rsidRPr="0088226A">
        <w:rPr>
          <w:lang w:val="en-US"/>
        </w:rPr>
        <w:tab/>
        <w:t>Bandwidth of a (half duplex) channel</w:t>
      </w:r>
      <w:r w:rsidRPr="0088226A">
        <w:rPr>
          <w:lang w:val="en-US"/>
        </w:rPr>
        <w:tab/>
      </w:r>
      <w:r>
        <w:t> </w:t>
      </w:r>
      <w:r w:rsidRPr="0088226A">
        <w:rPr>
          <w:lang w:val="en-US"/>
        </w:rPr>
        <w:t>25 kHz</w:t>
      </w:r>
    </w:p>
    <w:p w:rsidR="004B059B" w:rsidRPr="0088226A" w:rsidRDefault="004B059B" w:rsidP="0088226A">
      <w:pPr>
        <w:pStyle w:val="enumlev1"/>
        <w:tabs>
          <w:tab w:val="left" w:pos="5103"/>
        </w:tabs>
        <w:rPr>
          <w:lang w:val="en-US"/>
        </w:rPr>
      </w:pPr>
      <w:r w:rsidRPr="0088226A">
        <w:rPr>
          <w:lang w:val="en-US"/>
        </w:rPr>
        <w:tab/>
        <w:t>No. of channels per cell</w:t>
      </w:r>
      <w:r w:rsidRPr="0088226A">
        <w:rPr>
          <w:lang w:val="en-US"/>
        </w:rPr>
        <w:tab/>
      </w:r>
      <w:r>
        <w:t> </w:t>
      </w:r>
      <w:r w:rsidRPr="0088226A">
        <w:rPr>
          <w:lang w:val="en-US"/>
        </w:rPr>
        <w:t>10</w:t>
      </w:r>
    </w:p>
    <w:p w:rsidR="004B059B" w:rsidRPr="0088226A" w:rsidRDefault="004B059B" w:rsidP="0088226A">
      <w:pPr>
        <w:pStyle w:val="enumlev1"/>
        <w:tabs>
          <w:tab w:val="left" w:pos="5103"/>
        </w:tabs>
        <w:rPr>
          <w:lang w:val="en-US"/>
        </w:rPr>
      </w:pPr>
      <w:r w:rsidRPr="0088226A">
        <w:rPr>
          <w:lang w:val="en-US"/>
        </w:rPr>
        <w:tab/>
        <w:t>No. of cells per floor</w:t>
      </w:r>
      <w:r w:rsidRPr="0088226A">
        <w:rPr>
          <w:lang w:val="en-US"/>
        </w:rPr>
        <w:tab/>
      </w:r>
      <w:r>
        <w:t> </w:t>
      </w:r>
      <w:r w:rsidRPr="0088226A">
        <w:rPr>
          <w:lang w:val="en-US"/>
        </w:rPr>
        <w:t>4</w:t>
      </w:r>
    </w:p>
    <w:p w:rsidR="004B059B" w:rsidRPr="0088226A" w:rsidRDefault="004B059B" w:rsidP="0088226A">
      <w:pPr>
        <w:pStyle w:val="enumlev1"/>
        <w:tabs>
          <w:tab w:val="left" w:pos="5103"/>
        </w:tabs>
        <w:rPr>
          <w:lang w:val="en-US"/>
        </w:rPr>
      </w:pPr>
      <w:r w:rsidRPr="0088226A">
        <w:rPr>
          <w:lang w:val="en-US"/>
        </w:rPr>
        <w:tab/>
        <w:t>No. of floors of separation</w:t>
      </w:r>
      <w:r w:rsidRPr="0088226A">
        <w:rPr>
          <w:lang w:val="en-US"/>
        </w:rPr>
        <w:tab/>
      </w:r>
      <w:r>
        <w:t> </w:t>
      </w:r>
      <w:r w:rsidRPr="0088226A">
        <w:rPr>
          <w:lang w:val="en-US"/>
        </w:rPr>
        <w:t>3</w:t>
      </w:r>
    </w:p>
    <w:p w:rsidR="004B059B" w:rsidRPr="0088226A" w:rsidRDefault="004B059B" w:rsidP="0088226A">
      <w:pPr>
        <w:pStyle w:val="enumlev1"/>
        <w:tabs>
          <w:tab w:val="left" w:pos="5103"/>
        </w:tabs>
        <w:rPr>
          <w:lang w:val="en-US"/>
        </w:rPr>
      </w:pPr>
      <w:r w:rsidRPr="0088226A">
        <w:rPr>
          <w:lang w:val="en-US"/>
        </w:rPr>
        <w:tab/>
        <w:t>Total No. of channels required</w:t>
      </w:r>
      <w:r w:rsidRPr="0088226A">
        <w:rPr>
          <w:lang w:val="en-US"/>
        </w:rPr>
        <w:tab/>
        <w:t>120</w:t>
      </w:r>
    </w:p>
    <w:p w:rsidR="004B059B" w:rsidRPr="0088226A" w:rsidRDefault="004B059B" w:rsidP="004B059B">
      <w:pPr>
        <w:rPr>
          <w:lang w:val="en-US"/>
        </w:rPr>
      </w:pPr>
      <w:r w:rsidRPr="0088226A">
        <w:rPr>
          <w:lang w:val="en-US"/>
        </w:rPr>
        <w:t xml:space="preserve">At a grade of service of 0.5%, the traffic carried on one floor </w:t>
      </w:r>
      <w:r>
        <w:rPr>
          <w:rFonts w:ascii="Symbol" w:hAnsi="Symbol"/>
        </w:rPr>
        <w:t></w:t>
      </w:r>
      <w:r w:rsidRPr="0088226A">
        <w:rPr>
          <w:lang w:val="en-US"/>
        </w:rPr>
        <w:t xml:space="preserve"> </w:t>
      </w:r>
      <w:r w:rsidRPr="0088226A">
        <w:rPr>
          <w:i/>
          <w:lang w:val="en-US"/>
        </w:rPr>
        <w:t>T</w:t>
      </w:r>
      <w:r w:rsidRPr="0088226A">
        <w:rPr>
          <w:i/>
          <w:position w:val="-4"/>
          <w:sz w:val="16"/>
          <w:lang w:val="en-US"/>
        </w:rPr>
        <w:t>f</w:t>
      </w:r>
      <w:r w:rsidRPr="0088226A">
        <w:rPr>
          <w:lang w:val="en-US"/>
        </w:rPr>
        <w:t xml:space="preserve">  </w:t>
      </w:r>
      <w:r>
        <w:rPr>
          <w:rFonts w:ascii="Symbol" w:hAnsi="Symbol"/>
        </w:rPr>
        <w:t></w:t>
      </w:r>
      <w:r w:rsidRPr="0088226A">
        <w:rPr>
          <w:lang w:val="en-US"/>
        </w:rPr>
        <w:t xml:space="preserve"> 16 E or 2 </w:t>
      </w:r>
      <w:r w:rsidRPr="0088226A">
        <w:rPr>
          <w:i/>
          <w:lang w:val="en-US"/>
        </w:rPr>
        <w:t>T</w:t>
      </w:r>
      <w:r w:rsidRPr="0088226A">
        <w:rPr>
          <w:i/>
          <w:position w:val="-4"/>
          <w:sz w:val="16"/>
          <w:lang w:val="en-US"/>
        </w:rPr>
        <w:t>f</w:t>
      </w:r>
      <w:r w:rsidRPr="0088226A">
        <w:rPr>
          <w:lang w:val="en-US"/>
        </w:rPr>
        <w:t xml:space="preserve">  due to both base and mobile stations.</w:t>
      </w:r>
    </w:p>
    <w:p w:rsidR="0088226A" w:rsidRPr="0088226A" w:rsidRDefault="0088226A" w:rsidP="0088226A">
      <w:pPr>
        <w:pStyle w:val="Equation"/>
        <w:rPr>
          <w:lang w:val="en-US"/>
        </w:rPr>
      </w:pPr>
      <w:r>
        <w:rPr>
          <w:lang w:val="en-US"/>
        </w:rPr>
        <w:tab/>
      </w:r>
      <w:r>
        <w:rPr>
          <w:lang w:val="en-US"/>
        </w:rPr>
        <w:tab/>
      </w:r>
      <w:r w:rsidRPr="00166AF9">
        <w:rPr>
          <w:position w:val="-30"/>
        </w:rPr>
        <w:object w:dxaOrig="4560" w:dyaOrig="680">
          <v:shape id="_x0000_i1027" type="#_x0000_t75" style="width:228pt;height:33.6pt" o:ole="">
            <v:imagedata r:id="rId17" o:title=""/>
          </v:shape>
          <o:OLEObject Type="Embed" ProgID="Equation.3" ShapeID="_x0000_i1027" DrawAspect="Content" ObjectID="_1370947759" r:id="rId18"/>
        </w:object>
      </w:r>
      <w:r>
        <w:rPr>
          <w:lang w:val="en-US"/>
        </w:rPr>
        <w:tab/>
      </w:r>
      <w:r w:rsidRPr="0088226A">
        <w:rPr>
          <w:lang w:val="en-US"/>
        </w:rPr>
        <w:t>(</w:t>
      </w:r>
      <w:r>
        <w:rPr>
          <w:lang w:val="en-US"/>
        </w:rPr>
        <w:t>7</w:t>
      </w:r>
      <w:r w:rsidRPr="0088226A">
        <w:rPr>
          <w:lang w:val="en-US"/>
        </w:rPr>
        <w:t>)</w:t>
      </w:r>
    </w:p>
    <w:p w:rsidR="004B059B" w:rsidRPr="0088226A" w:rsidRDefault="004B059B" w:rsidP="0088226A">
      <w:pPr>
        <w:rPr>
          <w:lang w:val="en-US"/>
        </w:rPr>
      </w:pPr>
      <w:r w:rsidRPr="0088226A">
        <w:rPr>
          <w:lang w:val="en-US"/>
        </w:rPr>
        <w:lastRenderedPageBreak/>
        <w:t xml:space="preserve">If the floor is 25 m by 55 m, </w:t>
      </w:r>
      <w:r w:rsidRPr="0088226A">
        <w:rPr>
          <w:i/>
          <w:lang w:val="en-US"/>
        </w:rPr>
        <w:t>SUE</w:t>
      </w:r>
      <w:r w:rsidRPr="0088226A">
        <w:rPr>
          <w:i/>
          <w:szCs w:val="24"/>
          <w:vertAlign w:val="subscript"/>
          <w:lang w:val="en-US"/>
        </w:rPr>
        <w:t>building</w:t>
      </w:r>
      <w:r w:rsidRPr="0088226A">
        <w:rPr>
          <w:lang w:val="en-US"/>
        </w:rPr>
        <w:t xml:space="preserve">  </w:t>
      </w:r>
      <w:r>
        <w:rPr>
          <w:rFonts w:ascii="Symbol" w:hAnsi="Symbol"/>
        </w:rPr>
        <w:t></w:t>
      </w:r>
      <w:r w:rsidRPr="0088226A">
        <w:rPr>
          <w:lang w:val="en-US"/>
        </w:rPr>
        <w:t xml:space="preserve">  3</w:t>
      </w:r>
      <w:r w:rsidRPr="0088226A">
        <w:rPr>
          <w:rFonts w:ascii="Tms Rmn" w:hAnsi="Tms Rmn"/>
          <w:sz w:val="12"/>
          <w:lang w:val="en-US"/>
        </w:rPr>
        <w:t> </w:t>
      </w:r>
      <w:r w:rsidRPr="0088226A">
        <w:rPr>
          <w:lang w:val="en-US"/>
        </w:rPr>
        <w:t>880 E/MHz/km</w:t>
      </w:r>
      <w:r w:rsidRPr="0088226A">
        <w:rPr>
          <w:szCs w:val="24"/>
          <w:vertAlign w:val="superscript"/>
          <w:lang w:val="en-US"/>
        </w:rPr>
        <w:t>2</w:t>
      </w:r>
      <w:r w:rsidRPr="0088226A">
        <w:rPr>
          <w:lang w:val="en-US"/>
        </w:rPr>
        <w:t>.</w:t>
      </w:r>
    </w:p>
    <w:p w:rsidR="004B059B" w:rsidRPr="0088226A" w:rsidRDefault="004B059B" w:rsidP="004B059B">
      <w:pPr>
        <w:pStyle w:val="Heading3"/>
        <w:rPr>
          <w:lang w:val="en-US"/>
        </w:rPr>
      </w:pPr>
      <w:r w:rsidRPr="0088226A">
        <w:rPr>
          <w:lang w:val="en-US"/>
        </w:rPr>
        <w:t>1.1.2</w:t>
      </w:r>
      <w:r w:rsidRPr="0088226A">
        <w:rPr>
          <w:lang w:val="en-US"/>
        </w:rPr>
        <w:tab/>
        <w:t>Pico-cellular system covering a down-town area</w:t>
      </w:r>
    </w:p>
    <w:p w:rsidR="004B059B" w:rsidRPr="0088226A" w:rsidRDefault="004B059B" w:rsidP="004B059B">
      <w:pPr>
        <w:rPr>
          <w:lang w:val="en-US"/>
        </w:rPr>
      </w:pPr>
      <w:r w:rsidRPr="0088226A">
        <w:rPr>
          <w:lang w:val="en-US"/>
        </w:rPr>
        <w:t>Similarly, the bandwidth required for the whole down-town area may also be calculated if the horizontal re-use distance is known. Again, this parameter is dependent on the building material and the propagation loss of a signal into and out of a building. This re-use distance directly affects the number of buildings that can be placed in a cluster (or interference group).</w:t>
      </w:r>
    </w:p>
    <w:p w:rsidR="004B059B" w:rsidRPr="0088226A" w:rsidRDefault="004B059B" w:rsidP="004B059B">
      <w:pPr>
        <w:rPr>
          <w:lang w:val="en-US"/>
        </w:rPr>
      </w:pPr>
      <w:r w:rsidRPr="0088226A">
        <w:rPr>
          <w:lang w:val="en-US"/>
        </w:rPr>
        <w:t>In this case, the total number of half duplex channels required in the down-town area is equal to:</w:t>
      </w:r>
    </w:p>
    <w:p w:rsidR="004B059B" w:rsidRPr="0088226A" w:rsidRDefault="0088226A" w:rsidP="0088226A">
      <w:pPr>
        <w:pStyle w:val="Equation"/>
        <w:rPr>
          <w:lang w:val="en-US"/>
        </w:rPr>
      </w:pPr>
      <w:r>
        <w:rPr>
          <w:lang w:val="en-US"/>
        </w:rPr>
        <w:tab/>
      </w:r>
      <w:r w:rsidR="004B059B" w:rsidRPr="0088226A">
        <w:rPr>
          <w:lang w:val="en-US"/>
        </w:rPr>
        <w:tab/>
        <w:t xml:space="preserve">2 </w:t>
      </w:r>
      <w:r w:rsidR="004B059B">
        <w:rPr>
          <w:rFonts w:ascii="Symbol" w:hAnsi="Symbol"/>
        </w:rPr>
        <w:t></w:t>
      </w:r>
      <w:r w:rsidR="004B059B" w:rsidRPr="0088226A">
        <w:rPr>
          <w:lang w:val="en-US"/>
        </w:rPr>
        <w:t xml:space="preserve"> No. of channels per building </w:t>
      </w:r>
      <w:r w:rsidR="004B059B">
        <w:rPr>
          <w:rFonts w:ascii="Symbol" w:hAnsi="Symbol"/>
        </w:rPr>
        <w:t></w:t>
      </w:r>
      <w:r w:rsidR="004B059B" w:rsidRPr="0088226A">
        <w:rPr>
          <w:lang w:val="en-US"/>
        </w:rPr>
        <w:t xml:space="preserve"> No. of buildings per cluster</w:t>
      </w:r>
    </w:p>
    <w:p w:rsidR="004B059B" w:rsidRPr="0088226A" w:rsidRDefault="004B059B" w:rsidP="004B059B">
      <w:pPr>
        <w:rPr>
          <w:lang w:val="en-US"/>
        </w:rPr>
      </w:pPr>
      <w:r w:rsidRPr="0088226A">
        <w:rPr>
          <w:lang w:val="en-US"/>
        </w:rPr>
        <w:t>Again the factor 2 is needed here to reflect the number of channels needed for two-way communications.</w:t>
      </w:r>
    </w:p>
    <w:p w:rsidR="004B059B" w:rsidRPr="0088226A" w:rsidRDefault="004B059B" w:rsidP="004B059B">
      <w:pPr>
        <w:rPr>
          <w:lang w:val="en-US"/>
        </w:rPr>
      </w:pPr>
      <w:r w:rsidRPr="0088226A">
        <w:rPr>
          <w:lang w:val="en-US"/>
        </w:rPr>
        <w:t xml:space="preserve">The spectrum efficiency, </w:t>
      </w:r>
      <w:r w:rsidRPr="0088226A">
        <w:rPr>
          <w:i/>
          <w:lang w:val="en-US"/>
        </w:rPr>
        <w:t>SUE</w:t>
      </w:r>
      <w:r w:rsidRPr="0088226A">
        <w:rPr>
          <w:i/>
          <w:szCs w:val="24"/>
          <w:vertAlign w:val="subscript"/>
          <w:lang w:val="en-US"/>
        </w:rPr>
        <w:t>area</w:t>
      </w:r>
      <w:r w:rsidRPr="0088226A">
        <w:rPr>
          <w:lang w:val="en-US"/>
        </w:rPr>
        <w:t>, of the system providing coverage to the entire down-town area can then be calculated using equation (5):</w:t>
      </w:r>
    </w:p>
    <w:p w:rsidR="0088226A" w:rsidRPr="0088226A" w:rsidRDefault="0088226A" w:rsidP="0088226A">
      <w:pPr>
        <w:pStyle w:val="Equation"/>
        <w:rPr>
          <w:lang w:val="en-US"/>
        </w:rPr>
      </w:pPr>
      <w:r>
        <w:rPr>
          <w:lang w:val="en-US"/>
        </w:rPr>
        <w:tab/>
      </w:r>
      <w:r>
        <w:rPr>
          <w:lang w:val="en-US"/>
        </w:rPr>
        <w:tab/>
      </w:r>
      <w:r w:rsidRPr="00166AF9">
        <w:rPr>
          <w:position w:val="-30"/>
        </w:rPr>
        <w:object w:dxaOrig="7500" w:dyaOrig="680">
          <v:shape id="_x0000_i1028" type="#_x0000_t75" style="width:374.4pt;height:33.6pt" o:ole="">
            <v:imagedata r:id="rId19" o:title=""/>
          </v:shape>
          <o:OLEObject Type="Embed" ProgID="Equation.3" ShapeID="_x0000_i1028" DrawAspect="Content" ObjectID="_1370947760" r:id="rId20"/>
        </w:object>
      </w:r>
      <w:r>
        <w:rPr>
          <w:lang w:val="en-US"/>
        </w:rPr>
        <w:tab/>
      </w:r>
      <w:r w:rsidRPr="0088226A">
        <w:rPr>
          <w:lang w:val="en-US"/>
        </w:rPr>
        <w:t>(</w:t>
      </w:r>
      <w:r>
        <w:rPr>
          <w:lang w:val="en-US"/>
        </w:rPr>
        <w:t>8</w:t>
      </w:r>
      <w:r w:rsidRPr="0088226A">
        <w:rPr>
          <w:lang w:val="en-US"/>
        </w:rPr>
        <w:t>)</w:t>
      </w:r>
    </w:p>
    <w:p w:rsidR="004B059B" w:rsidRPr="0088226A" w:rsidRDefault="004B059B" w:rsidP="004B059B">
      <w:pPr>
        <w:rPr>
          <w:lang w:val="en-US"/>
        </w:rPr>
      </w:pPr>
      <w:r w:rsidRPr="0088226A">
        <w:rPr>
          <w:lang w:val="en-US"/>
        </w:rPr>
        <w:t>Here, the total service area is the total floor area of the buildings covered by the pico-cellular system.</w:t>
      </w:r>
    </w:p>
    <w:p w:rsidR="004B059B" w:rsidRPr="0088226A" w:rsidRDefault="004B059B" w:rsidP="004B059B">
      <w:pPr>
        <w:rPr>
          <w:lang w:val="en-US"/>
        </w:rPr>
      </w:pPr>
      <w:r w:rsidRPr="0088226A">
        <w:rPr>
          <w:lang w:val="en-US"/>
        </w:rPr>
        <w:t>Example:</w:t>
      </w:r>
    </w:p>
    <w:p w:rsidR="004B059B" w:rsidRPr="0088226A" w:rsidRDefault="004B059B" w:rsidP="0088226A">
      <w:pPr>
        <w:pStyle w:val="Headingi"/>
        <w:rPr>
          <w:lang w:val="en-US"/>
        </w:rPr>
      </w:pPr>
      <w:r w:rsidRPr="0088226A">
        <w:rPr>
          <w:lang w:val="en-US"/>
        </w:rPr>
        <w:t>In this indoor system operating at 900 MHz</w:t>
      </w:r>
    </w:p>
    <w:p w:rsidR="004B059B" w:rsidRPr="0088226A" w:rsidRDefault="004B059B" w:rsidP="0088226A">
      <w:pPr>
        <w:pStyle w:val="enumlev1"/>
        <w:tabs>
          <w:tab w:val="left" w:pos="5103"/>
        </w:tabs>
        <w:rPr>
          <w:lang w:val="en-US"/>
        </w:rPr>
      </w:pPr>
      <w:r w:rsidRPr="0088226A">
        <w:rPr>
          <w:lang w:val="en-US"/>
        </w:rPr>
        <w:tab/>
        <w:t>No. of channels per building</w:t>
      </w:r>
      <w:r w:rsidRPr="0088226A">
        <w:rPr>
          <w:lang w:val="en-US"/>
        </w:rPr>
        <w:tab/>
        <w:t>120</w:t>
      </w:r>
    </w:p>
    <w:p w:rsidR="004B059B" w:rsidRPr="0088226A" w:rsidRDefault="004B059B" w:rsidP="0088226A">
      <w:pPr>
        <w:pStyle w:val="enumlev1"/>
        <w:tabs>
          <w:tab w:val="left" w:pos="5103"/>
        </w:tabs>
        <w:rPr>
          <w:lang w:val="en-US"/>
        </w:rPr>
      </w:pPr>
      <w:r w:rsidRPr="0088226A">
        <w:rPr>
          <w:lang w:val="en-US"/>
        </w:rPr>
        <w:tab/>
        <w:t>No. of buildings per cluster</w:t>
      </w:r>
      <w:r w:rsidRPr="0088226A">
        <w:rPr>
          <w:lang w:val="en-US"/>
        </w:rPr>
        <w:tab/>
      </w:r>
      <w:r>
        <w:t> </w:t>
      </w:r>
      <w:r w:rsidRPr="0088226A">
        <w:rPr>
          <w:lang w:val="en-US"/>
        </w:rPr>
        <w:t>4</w:t>
      </w:r>
    </w:p>
    <w:p w:rsidR="004B059B" w:rsidRPr="0088226A" w:rsidRDefault="004B059B" w:rsidP="0088226A">
      <w:pPr>
        <w:pStyle w:val="enumlev1"/>
        <w:tabs>
          <w:tab w:val="left" w:pos="5103"/>
        </w:tabs>
        <w:rPr>
          <w:lang w:val="en-US"/>
        </w:rPr>
      </w:pPr>
      <w:r w:rsidRPr="0088226A">
        <w:rPr>
          <w:lang w:val="en-US"/>
        </w:rPr>
        <w:tab/>
        <w:t>Bandwidth of a (half duplex) channel</w:t>
      </w:r>
      <w:r w:rsidRPr="0088226A">
        <w:rPr>
          <w:lang w:val="en-US"/>
        </w:rPr>
        <w:tab/>
      </w:r>
      <w:r>
        <w:t> </w:t>
      </w:r>
      <w:r w:rsidRPr="0088226A">
        <w:rPr>
          <w:lang w:val="en-US"/>
        </w:rPr>
        <w:t>25 kHz</w:t>
      </w:r>
    </w:p>
    <w:p w:rsidR="004B059B" w:rsidRPr="0088226A" w:rsidRDefault="004B059B" w:rsidP="0088226A">
      <w:pPr>
        <w:pStyle w:val="enumlev1"/>
        <w:tabs>
          <w:tab w:val="left" w:pos="5103"/>
        </w:tabs>
        <w:rPr>
          <w:lang w:val="en-US"/>
        </w:rPr>
      </w:pPr>
      <w:r w:rsidRPr="0088226A">
        <w:rPr>
          <w:lang w:val="en-US"/>
        </w:rPr>
        <w:tab/>
        <w:t>Total No. of channels required</w:t>
      </w:r>
      <w:r w:rsidRPr="0088226A">
        <w:rPr>
          <w:lang w:val="en-US"/>
        </w:rPr>
        <w:tab/>
        <w:t>480</w:t>
      </w:r>
    </w:p>
    <w:p w:rsidR="00795F03" w:rsidRPr="0088226A" w:rsidRDefault="00795F03" w:rsidP="00795F03">
      <w:pPr>
        <w:pStyle w:val="Equation"/>
        <w:rPr>
          <w:lang w:val="en-US"/>
        </w:rPr>
      </w:pPr>
      <w:r>
        <w:rPr>
          <w:lang w:val="en-US"/>
        </w:rPr>
        <w:tab/>
      </w:r>
      <w:r>
        <w:rPr>
          <w:lang w:val="en-US"/>
        </w:rPr>
        <w:tab/>
      </w:r>
      <w:r w:rsidR="00281ED9" w:rsidRPr="00166AF9">
        <w:rPr>
          <w:position w:val="-30"/>
        </w:rPr>
        <w:object w:dxaOrig="6880" w:dyaOrig="680">
          <v:shape id="_x0000_i1029" type="#_x0000_t75" style="width:343.8pt;height:33.6pt" o:ole="">
            <v:imagedata r:id="rId21" o:title=""/>
          </v:shape>
          <o:OLEObject Type="Embed" ProgID="Equation.3" ShapeID="_x0000_i1029" DrawAspect="Content" ObjectID="_1370947761" r:id="rId22"/>
        </w:object>
      </w:r>
      <w:r>
        <w:rPr>
          <w:lang w:val="en-US"/>
        </w:rPr>
        <w:tab/>
      </w:r>
      <w:r w:rsidRPr="0088226A">
        <w:rPr>
          <w:lang w:val="en-US"/>
        </w:rPr>
        <w:t>(</w:t>
      </w:r>
      <w:r>
        <w:rPr>
          <w:lang w:val="en-US"/>
        </w:rPr>
        <w:t>9</w:t>
      </w:r>
      <w:r w:rsidRPr="0088226A">
        <w:rPr>
          <w:lang w:val="en-US"/>
        </w:rPr>
        <w:t>)</w:t>
      </w:r>
    </w:p>
    <w:p w:rsidR="004B059B" w:rsidRPr="0088226A" w:rsidRDefault="004B059B" w:rsidP="004B059B">
      <w:pPr>
        <w:pStyle w:val="Note"/>
        <w:rPr>
          <w:lang w:val="en-US"/>
        </w:rPr>
      </w:pPr>
      <w:r w:rsidRPr="0088226A">
        <w:rPr>
          <w:lang w:val="en-US"/>
        </w:rPr>
        <w:t>NOTE 1 – Additional information may be found in:</w:t>
      </w:r>
    </w:p>
    <w:p w:rsidR="004B059B" w:rsidRPr="00E64C3F" w:rsidRDefault="004B059B" w:rsidP="0088226A">
      <w:pPr>
        <w:pStyle w:val="Reftext"/>
        <w:rPr>
          <w:lang w:val="en-US"/>
        </w:rPr>
      </w:pPr>
      <w:r w:rsidRPr="00E64C3F">
        <w:rPr>
          <w:lang w:val="en-US"/>
        </w:rPr>
        <w:t>CHAN, G. and HACHEM, H. [September, 1991] Spectrum efficiency of a pico-cell system in an indoor environment. Canadian Conference on Electrical and Computer Engineering, Quebec City, Canada.</w:t>
      </w:r>
    </w:p>
    <w:p w:rsidR="004B059B" w:rsidRPr="00E64C3F" w:rsidRDefault="004B059B" w:rsidP="0088226A">
      <w:pPr>
        <w:pStyle w:val="Reftext"/>
        <w:rPr>
          <w:lang w:val="en-US"/>
        </w:rPr>
      </w:pPr>
      <w:r w:rsidRPr="00E64C3F">
        <w:rPr>
          <w:lang w:val="en-US"/>
        </w:rPr>
        <w:t xml:space="preserve">HATFIELD, D.N. [August, 1977] Measures of spectral efficiency in land mobile radio. </w:t>
      </w:r>
      <w:r w:rsidRPr="00E64C3F">
        <w:rPr>
          <w:i/>
          <w:lang w:val="en-US"/>
        </w:rPr>
        <w:t>IEEE Trans. Electromag. Compt</w:t>
      </w:r>
      <w:r w:rsidRPr="00E64C3F">
        <w:rPr>
          <w:lang w:val="en-US"/>
        </w:rPr>
        <w:t>., Vol. EMC</w:t>
      </w:r>
      <w:r w:rsidRPr="00E64C3F">
        <w:rPr>
          <w:lang w:val="en-US"/>
        </w:rPr>
        <w:noBreakHyphen/>
        <w:t xml:space="preserve">19, </w:t>
      </w:r>
      <w:r w:rsidRPr="00E64C3F">
        <w:rPr>
          <w:b/>
          <w:lang w:val="en-US"/>
        </w:rPr>
        <w:t>3</w:t>
      </w:r>
      <w:r w:rsidRPr="00E64C3F">
        <w:rPr>
          <w:lang w:val="en-US"/>
        </w:rPr>
        <w:t>, 266-268.</w:t>
      </w:r>
    </w:p>
    <w:p w:rsidR="004B059B" w:rsidRPr="0088226A" w:rsidRDefault="004B059B" w:rsidP="004B059B">
      <w:pPr>
        <w:pStyle w:val="Heading2"/>
        <w:rPr>
          <w:lang w:val="en-US"/>
        </w:rPr>
      </w:pPr>
      <w:r w:rsidRPr="0088226A">
        <w:rPr>
          <w:lang w:val="en-US"/>
        </w:rPr>
        <w:t>1.2</w:t>
      </w:r>
      <w:r w:rsidRPr="0088226A">
        <w:rPr>
          <w:lang w:val="en-US"/>
        </w:rPr>
        <w:tab/>
        <w:t>RSE of land mobile radio systems</w:t>
      </w:r>
    </w:p>
    <w:p w:rsidR="004B059B" w:rsidRPr="0088226A" w:rsidRDefault="004B059B" w:rsidP="004B059B">
      <w:pPr>
        <w:rPr>
          <w:lang w:val="en-US"/>
        </w:rPr>
      </w:pPr>
      <w:r w:rsidRPr="0088226A">
        <w:rPr>
          <w:lang w:val="en-US"/>
        </w:rPr>
        <w:t>RSE values of land mobile radio systems using different types of modulation were compared in the relation to the most theoretically efficient system (see Annex 1, § 3 and equation (4)).</w:t>
      </w:r>
    </w:p>
    <w:p w:rsidR="004B059B" w:rsidRPr="0088226A" w:rsidRDefault="004B059B" w:rsidP="004B059B">
      <w:pPr>
        <w:rPr>
          <w:lang w:val="en-US"/>
        </w:rPr>
      </w:pPr>
      <w:r w:rsidRPr="0088226A">
        <w:rPr>
          <w:lang w:val="en-US"/>
        </w:rPr>
        <w:t>For the sake of simplicity and to obtain finite analytical expressions, calculations were made for the simplest models of a network in the form of an ideal rectangular lattice and propagation conditions typical for the UHF frequency band. However, the general laws will be the same for more complex models of real networks with more sophisticated propagation models.</w:t>
      </w:r>
    </w:p>
    <w:p w:rsidR="004B059B" w:rsidRPr="0088226A" w:rsidRDefault="004B059B" w:rsidP="004B059B">
      <w:pPr>
        <w:rPr>
          <w:lang w:val="en-US"/>
        </w:rPr>
      </w:pPr>
      <w:r w:rsidRPr="0088226A">
        <w:rPr>
          <w:lang w:val="en-US"/>
        </w:rPr>
        <w:t xml:space="preserve">The network model is made up of squares of equal dimensions with the central (base) station being located in the centre of the square (see Fig. 1). The dimension (radius), </w:t>
      </w:r>
      <w:r w:rsidRPr="0088226A">
        <w:rPr>
          <w:i/>
          <w:lang w:val="en-US"/>
        </w:rPr>
        <w:t>r</w:t>
      </w:r>
      <w:r w:rsidRPr="0088226A">
        <w:rPr>
          <w:lang w:val="en-US"/>
        </w:rPr>
        <w:t xml:space="preserve">, of the service area is considered to be given. In areas bearing the same digit in Fig. 1, the same set of frequency channels can be used if the separation distance, </w:t>
      </w:r>
      <w:r w:rsidRPr="0088226A">
        <w:rPr>
          <w:i/>
          <w:lang w:val="en-US"/>
        </w:rPr>
        <w:t>R</w:t>
      </w:r>
      <w:r w:rsidRPr="0088226A">
        <w:rPr>
          <w:lang w:val="en-US"/>
        </w:rPr>
        <w:t xml:space="preserve">, between these areas provides sufficient interference </w:t>
      </w:r>
      <w:r w:rsidRPr="0088226A">
        <w:rPr>
          <w:lang w:val="en-US"/>
        </w:rPr>
        <w:lastRenderedPageBreak/>
        <w:t>attenuation. The antennas of the base stations are not directive ones in the horizontal plane and only use one type of polarization.</w:t>
      </w:r>
    </w:p>
    <w:p w:rsidR="004B059B" w:rsidRPr="0088226A" w:rsidRDefault="004B059B" w:rsidP="004B059B">
      <w:pPr>
        <w:rPr>
          <w:lang w:val="en-US"/>
        </w:rPr>
      </w:pPr>
      <w:r w:rsidRPr="0088226A">
        <w:rPr>
          <w:lang w:val="en-US"/>
        </w:rPr>
        <w:t>In this model, all base station transmitters have the same power and a stable carrier frequency and they do not produce any out-of-band or spurious radiation; base station receivers have ideal selectivity characteristics.</w:t>
      </w:r>
    </w:p>
    <w:p w:rsidR="004B059B" w:rsidRPr="0088226A" w:rsidRDefault="004B059B" w:rsidP="004B059B">
      <w:pPr>
        <w:rPr>
          <w:lang w:val="en-US"/>
        </w:rPr>
      </w:pPr>
      <w:r w:rsidRPr="0088226A">
        <w:rPr>
          <w:lang w:val="en-US"/>
        </w:rPr>
        <w:t xml:space="preserve">Results of RSE calculations for several specific types of modulation and different signal-to-noise ratios at the receiver output </w:t>
      </w:r>
      <w:r>
        <w:rPr>
          <w:rFonts w:ascii="Symbol" w:hAnsi="Symbol"/>
        </w:rPr>
        <w:t></w:t>
      </w:r>
      <w:r w:rsidRPr="0088226A">
        <w:rPr>
          <w:position w:val="-4"/>
          <w:sz w:val="16"/>
          <w:lang w:val="en-US"/>
        </w:rPr>
        <w:t>0</w:t>
      </w:r>
      <w:r w:rsidRPr="0088226A">
        <w:rPr>
          <w:lang w:val="en-US"/>
        </w:rPr>
        <w:t xml:space="preserve"> are presented in Fig. 2. Considered types of modulation are:</w:t>
      </w:r>
    </w:p>
    <w:p w:rsidR="004B059B" w:rsidRPr="0088226A" w:rsidRDefault="004B059B" w:rsidP="004B059B">
      <w:pPr>
        <w:pStyle w:val="enumlev1"/>
        <w:rPr>
          <w:lang w:val="en-US"/>
        </w:rPr>
      </w:pPr>
      <w:r w:rsidRPr="0088226A">
        <w:rPr>
          <w:lang w:val="en-US"/>
        </w:rPr>
        <w:t>–</w:t>
      </w:r>
      <w:r w:rsidRPr="0088226A">
        <w:rPr>
          <w:lang w:val="en-US"/>
        </w:rPr>
        <w:tab/>
        <w:t>Amplitude modulation – single-side band (AM-SSB),</w:t>
      </w:r>
    </w:p>
    <w:p w:rsidR="004B059B" w:rsidRPr="0088226A" w:rsidRDefault="004B059B" w:rsidP="004B059B">
      <w:pPr>
        <w:pStyle w:val="enumlev1"/>
        <w:rPr>
          <w:lang w:val="en-US"/>
        </w:rPr>
      </w:pPr>
      <w:r w:rsidRPr="0088226A">
        <w:rPr>
          <w:lang w:val="en-US"/>
        </w:rPr>
        <w:t>–</w:t>
      </w:r>
      <w:r w:rsidRPr="0088226A">
        <w:rPr>
          <w:lang w:val="en-US"/>
        </w:rPr>
        <w:tab/>
        <w:t>Frequency modulation (FM),</w:t>
      </w:r>
    </w:p>
    <w:p w:rsidR="004B059B" w:rsidRPr="0088226A" w:rsidRDefault="004B059B" w:rsidP="004B059B">
      <w:pPr>
        <w:pStyle w:val="enumlev1"/>
        <w:rPr>
          <w:lang w:val="en-US"/>
        </w:rPr>
      </w:pPr>
      <w:r w:rsidRPr="0088226A">
        <w:rPr>
          <w:lang w:val="en-US"/>
        </w:rPr>
        <w:t>–</w:t>
      </w:r>
      <w:r w:rsidRPr="0088226A">
        <w:rPr>
          <w:lang w:val="en-US"/>
        </w:rPr>
        <w:tab/>
        <w:t>4 (8) phase phase-shift keying (4(8) PSK),</w:t>
      </w:r>
    </w:p>
    <w:p w:rsidR="004B059B" w:rsidRDefault="004B059B" w:rsidP="004B059B">
      <w:pPr>
        <w:pStyle w:val="enumlev1"/>
      </w:pPr>
      <w:bookmarkStart w:id="5" w:name="dsgno"/>
      <w:bookmarkEnd w:id="5"/>
      <w:r>
        <w:t>–</w:t>
      </w:r>
      <w:r>
        <w:tab/>
        <w:t>16 state quadrature amplitude modulation (16-QAM).</w:t>
      </w:r>
    </w:p>
    <w:p w:rsidR="004B059B" w:rsidRDefault="0088226A" w:rsidP="0088226A">
      <w:pPr>
        <w:pStyle w:val="FigureNo"/>
      </w:pPr>
      <w:r>
        <w:object w:dxaOrig="2993" w:dyaOrig="4923">
          <v:shape id="_x0000_i1030" type="#_x0000_t75" style="width:150pt;height:246pt" o:ole="" o:allowoverlap="f">
            <v:imagedata r:id="rId23" o:title=""/>
          </v:shape>
          <o:OLEObject Type="Embed" ProgID="CorelDRAW.Graphic.12" ShapeID="_x0000_i1030" DrawAspect="Content" ObjectID="_1370947762" r:id="rId24"/>
        </w:object>
      </w:r>
    </w:p>
    <w:p w:rsidR="004B059B" w:rsidRPr="0088226A" w:rsidRDefault="004B059B" w:rsidP="004B059B">
      <w:pPr>
        <w:rPr>
          <w:lang w:val="en-US"/>
        </w:rPr>
      </w:pPr>
      <w:r w:rsidRPr="0088226A">
        <w:rPr>
          <w:lang w:val="en-US"/>
        </w:rPr>
        <w:t>As it follows from Fig. 2, the FM land mobile systems have the lowest RSE, since when this type of modulation is used, the bandwidth required for a network development is approximately five times greater than in the case of the most theoretically efficient system (MTES). On the other hand, the type of modulation which is closest to the MTES case for all values of the noise protection ratio is 16-QAM. For a relevant network development it requires only 1.5 times the bandwidth needed for the MTES. If the reception quality requirements are not very high, the closest with respect to the MTES is an AM-SSB. However, the RSE of the AM-SSB drops appreciably as the reception quality requirements are increased, particularly if account is taken of the effect of the frequency instability of real transmitters.</w:t>
      </w:r>
    </w:p>
    <w:p w:rsidR="004B059B" w:rsidRPr="0088226A" w:rsidRDefault="004B059B" w:rsidP="004B059B">
      <w:pPr>
        <w:pStyle w:val="Note"/>
        <w:rPr>
          <w:lang w:val="en-US"/>
        </w:rPr>
      </w:pPr>
      <w:r w:rsidRPr="0088226A">
        <w:rPr>
          <w:lang w:val="en-US"/>
        </w:rPr>
        <w:t>NOTE 1 – Additional information may be found in: Annex IV Report 662-3 (Düsseldorf, 1990).</w:t>
      </w:r>
    </w:p>
    <w:p w:rsidR="004B059B" w:rsidRPr="0088226A" w:rsidRDefault="004B059B" w:rsidP="004B059B">
      <w:pPr>
        <w:pStyle w:val="Heading2"/>
        <w:rPr>
          <w:lang w:val="en-US"/>
        </w:rPr>
      </w:pPr>
      <w:r w:rsidRPr="0088226A">
        <w:rPr>
          <w:lang w:val="en-US"/>
        </w:rPr>
        <w:t>1.3</w:t>
      </w:r>
      <w:r w:rsidRPr="0088226A">
        <w:rPr>
          <w:lang w:val="en-US"/>
        </w:rPr>
        <w:tab/>
        <w:t>SUE of land mobile radio systems</w:t>
      </w:r>
    </w:p>
    <w:p w:rsidR="004B059B" w:rsidRPr="0088226A" w:rsidRDefault="004B059B" w:rsidP="004B059B">
      <w:pPr>
        <w:rPr>
          <w:lang w:val="en-US"/>
        </w:rPr>
      </w:pPr>
      <w:r w:rsidRPr="0088226A">
        <w:rPr>
          <w:lang w:val="en-US"/>
        </w:rPr>
        <w:t>For general dispatched land mobile radio systems the SUE may be obtained using equation (2) in the following way.</w:t>
      </w:r>
    </w:p>
    <w:p w:rsidR="004B059B" w:rsidRPr="0088226A" w:rsidRDefault="004B059B" w:rsidP="004B059B">
      <w:pPr>
        <w:pStyle w:val="Equation"/>
        <w:spacing w:before="0"/>
        <w:rPr>
          <w:lang w:val="en-US"/>
        </w:rPr>
      </w:pPr>
      <w:r w:rsidRPr="0088226A">
        <w:rPr>
          <w:lang w:val="en-US"/>
        </w:rPr>
        <w:tab/>
      </w:r>
      <w:r w:rsidRPr="0088226A">
        <w:rPr>
          <w:lang w:val="en-US"/>
        </w:rPr>
        <w:tab/>
      </w:r>
      <w:r>
        <w:rPr>
          <w:position w:val="-28"/>
        </w:rPr>
        <w:object w:dxaOrig="2960" w:dyaOrig="639">
          <v:shape id="_x0000_i1031" type="#_x0000_t75" style="width:148.2pt;height:31.8pt" o:ole="">
            <v:imagedata r:id="rId25" o:title=""/>
          </v:shape>
          <o:OLEObject Type="Embed" ProgID="Equation.2" ShapeID="_x0000_i1031" DrawAspect="Content" ObjectID="_1370947763" r:id="rId26"/>
        </w:object>
      </w:r>
      <w:r w:rsidRPr="0088226A">
        <w:rPr>
          <w:lang w:val="en-US"/>
        </w:rPr>
        <w:tab/>
        <w:t>(10)</w:t>
      </w:r>
    </w:p>
    <w:p w:rsidR="00491279" w:rsidRDefault="00491279" w:rsidP="004B059B">
      <w:pPr>
        <w:rPr>
          <w:lang w:val="en-US"/>
        </w:rPr>
      </w:pPr>
      <w:r>
        <w:rPr>
          <w:lang w:val="en-US"/>
        </w:rPr>
        <w:br w:type="page"/>
      </w:r>
    </w:p>
    <w:p w:rsidR="004B059B" w:rsidRPr="0088226A" w:rsidRDefault="00491279" w:rsidP="004B059B">
      <w:pPr>
        <w:rPr>
          <w:lang w:val="en-US"/>
        </w:rPr>
      </w:pPr>
      <w:r>
        <w:rPr>
          <w:lang w:val="en-US"/>
        </w:rPr>
        <w:lastRenderedPageBreak/>
        <w:tab/>
      </w:r>
      <w:r w:rsidR="004B059B" w:rsidRPr="0088226A">
        <w:rPr>
          <w:lang w:val="en-US"/>
        </w:rPr>
        <w:t>where</w:t>
      </w:r>
    </w:p>
    <w:p w:rsidR="004B059B" w:rsidRPr="0088226A" w:rsidRDefault="004B059B" w:rsidP="0088226A">
      <w:pPr>
        <w:pStyle w:val="Equationlegend"/>
      </w:pPr>
      <w:r w:rsidRPr="0088226A">
        <w:tab/>
      </w:r>
      <w:r w:rsidRPr="0088226A">
        <w:rPr>
          <w:i/>
        </w:rPr>
        <w:t>B</w:t>
      </w:r>
      <w:r w:rsidRPr="0088226A">
        <w:rPr>
          <w:rFonts w:ascii="Tms Rmn" w:hAnsi="Tms Rmn"/>
          <w:sz w:val="12"/>
        </w:rPr>
        <w:t> </w:t>
      </w:r>
      <w:r w:rsidRPr="0088226A">
        <w:t>:</w:t>
      </w:r>
      <w:r w:rsidRPr="0088226A">
        <w:tab/>
        <w:t>total amount of spectrum considered in the land mobile band of frequencies,</w:t>
      </w:r>
    </w:p>
    <w:p w:rsidR="004B059B" w:rsidRPr="0088226A" w:rsidRDefault="004B059B" w:rsidP="0088226A">
      <w:pPr>
        <w:pStyle w:val="Equationlegend"/>
      </w:pPr>
      <w:r w:rsidRPr="0088226A">
        <w:tab/>
      </w:r>
      <w:r w:rsidRPr="0088226A">
        <w:rPr>
          <w:i/>
        </w:rPr>
        <w:t>S</w:t>
      </w:r>
      <w:r w:rsidRPr="0088226A">
        <w:rPr>
          <w:rFonts w:ascii="Tms Rmn" w:hAnsi="Tms Rmn"/>
          <w:sz w:val="12"/>
        </w:rPr>
        <w:t> </w:t>
      </w:r>
      <w:r w:rsidRPr="0088226A">
        <w:t>:</w:t>
      </w:r>
      <w:r w:rsidRPr="0088226A">
        <w:tab/>
        <w:t>the area under study, and</w:t>
      </w:r>
    </w:p>
    <w:p w:rsidR="004B059B" w:rsidRPr="0088226A" w:rsidRDefault="004B059B" w:rsidP="0088226A">
      <w:pPr>
        <w:pStyle w:val="Equationlegend"/>
      </w:pPr>
      <w:r w:rsidRPr="0088226A">
        <w:rPr>
          <w:i/>
        </w:rPr>
        <w:tab/>
        <w:t>Occ</w:t>
      </w:r>
      <w:r w:rsidRPr="0088226A">
        <w:rPr>
          <w:rFonts w:ascii="Tms Rmn" w:hAnsi="Tms Rmn"/>
          <w:sz w:val="12"/>
        </w:rPr>
        <w:t> </w:t>
      </w:r>
      <w:r w:rsidRPr="0088226A">
        <w:t>:</w:t>
      </w:r>
      <w:r w:rsidRPr="0088226A">
        <w:tab/>
        <w:t>total occupancy in the area</w:t>
      </w:r>
    </w:p>
    <w:p w:rsidR="004B059B" w:rsidRPr="0088226A" w:rsidRDefault="004B059B" w:rsidP="0088226A">
      <w:pPr>
        <w:pStyle w:val="Equationlegend"/>
      </w:pPr>
      <w:r w:rsidRPr="0088226A">
        <w:tab/>
      </w:r>
      <w:r w:rsidRPr="0088226A">
        <w:tab/>
      </w:r>
      <w:r>
        <w:rPr>
          <w:rFonts w:ascii="Symbol" w:hAnsi="Symbol"/>
        </w:rPr>
        <w:t></w:t>
      </w:r>
      <w:r w:rsidR="0088226A">
        <w:tab/>
      </w:r>
      <w:r w:rsidRPr="0088226A">
        <w:t xml:space="preserve">Occupancy per transmission  </w:t>
      </w:r>
      <w:r>
        <w:rPr>
          <w:rFonts w:ascii="Symbol" w:hAnsi="Symbol"/>
        </w:rPr>
        <w:t></w:t>
      </w:r>
      <w:r w:rsidRPr="0088226A">
        <w:t xml:space="preserve">  No. of transmissions in the area  </w:t>
      </w:r>
      <w:r>
        <w:rPr>
          <w:rFonts w:ascii="Symbol" w:hAnsi="Symbol"/>
        </w:rPr>
        <w:t></w:t>
      </w:r>
      <w:r w:rsidRPr="0088226A">
        <w:t xml:space="preserve">  </w:t>
      </w:r>
      <w:r w:rsidRPr="0088226A">
        <w:rPr>
          <w:i/>
        </w:rPr>
        <w:t>M/T</w:t>
      </w:r>
      <w:r w:rsidRPr="0088226A">
        <w:t>.</w:t>
      </w:r>
    </w:p>
    <w:p w:rsidR="004B059B" w:rsidRDefault="004B059B" w:rsidP="004B059B">
      <w:pPr>
        <w:rPr>
          <w:lang w:val="en-US"/>
        </w:rPr>
      </w:pPr>
      <w:r w:rsidRPr="0088226A">
        <w:rPr>
          <w:lang w:val="en-US"/>
        </w:rPr>
        <w:t>The main issue is therefore to calculate the total occupancy in the area. The approach taken is to divide the area under study into a number of cells in which the base stations are located. Depending on the transmitter power and propagation characteristics, the transmitted signal will cover a certain area, in this case, a number of cells. Hence by adding up the cells that are covered by this signal, the occupancy due to this transmission may be calculated. However, if a number of stations share the same frequency, the occupancy will be divided by the number of stations which share the same frequency. All the stations will be accounted for in the total number of transmissions.</w:t>
      </w:r>
    </w:p>
    <w:p w:rsidR="00483296" w:rsidRPr="0088226A" w:rsidRDefault="00483296" w:rsidP="004B059B">
      <w:pPr>
        <w:rPr>
          <w:lang w:val="en-US"/>
        </w:rPr>
      </w:pPr>
    </w:p>
    <w:p w:rsidR="004B059B" w:rsidRDefault="0088226A" w:rsidP="0088226A">
      <w:pPr>
        <w:pStyle w:val="FigureNo"/>
      </w:pPr>
      <w:r>
        <w:object w:dxaOrig="5888" w:dyaOrig="7460">
          <v:shape id="_x0000_i1032" type="#_x0000_t75" style="width:294.6pt;height:372.6pt" o:ole="" o:allowoverlap="f">
            <v:imagedata r:id="rId27" o:title=""/>
          </v:shape>
          <o:OLEObject Type="Embed" ProgID="CorelDRAW.Graphic.12" ShapeID="_x0000_i1032" DrawAspect="Content" ObjectID="_1370947764" r:id="rId28"/>
        </w:object>
      </w:r>
    </w:p>
    <w:p w:rsidR="00483296" w:rsidRDefault="00483296" w:rsidP="004B059B">
      <w:pPr>
        <w:rPr>
          <w:lang w:val="en-US"/>
        </w:rPr>
      </w:pPr>
    </w:p>
    <w:p w:rsidR="004B059B" w:rsidRPr="0088226A" w:rsidRDefault="004B059B" w:rsidP="004B059B">
      <w:pPr>
        <w:rPr>
          <w:lang w:val="en-US"/>
        </w:rPr>
      </w:pPr>
      <w:r w:rsidRPr="0088226A">
        <w:rPr>
          <w:lang w:val="en-US"/>
        </w:rPr>
        <w:t xml:space="preserve">In this example, the geographical area of 76 km by 76 km is computationally represented as a matrix of cell values. Each cell is defined as an area of 2 km by 2 km. The cell is considered to be occupied if the coverage circle defined by </w:t>
      </w:r>
      <w:r w:rsidRPr="0088226A">
        <w:rPr>
          <w:i/>
          <w:lang w:val="en-US"/>
        </w:rPr>
        <w:t>d</w:t>
      </w:r>
      <w:r w:rsidRPr="0088226A">
        <w:rPr>
          <w:lang w:val="en-US"/>
        </w:rPr>
        <w:t xml:space="preserve"> (to be further explained in the next section) occupies more than 10% of the area of the cell. The total occupancy of the cell is obtained from each active licence, or station, in the frequency band.</w:t>
      </w:r>
    </w:p>
    <w:p w:rsidR="004B059B" w:rsidRPr="0088226A" w:rsidRDefault="004B059B" w:rsidP="00483296">
      <w:pPr>
        <w:keepNext/>
        <w:rPr>
          <w:lang w:val="en-US"/>
        </w:rPr>
      </w:pPr>
      <w:r w:rsidRPr="0088226A">
        <w:rPr>
          <w:lang w:val="en-US"/>
        </w:rPr>
        <w:lastRenderedPageBreak/>
        <w:t xml:space="preserve">If </w:t>
      </w:r>
      <w:r w:rsidRPr="0088226A">
        <w:rPr>
          <w:i/>
          <w:lang w:val="en-US"/>
        </w:rPr>
        <w:t>F</w:t>
      </w:r>
      <w:r w:rsidRPr="0088226A">
        <w:rPr>
          <w:i/>
          <w:position w:val="-4"/>
          <w:sz w:val="16"/>
          <w:lang w:val="en-US"/>
        </w:rPr>
        <w:t>n</w:t>
      </w:r>
      <w:r w:rsidRPr="0088226A">
        <w:rPr>
          <w:lang w:val="en-US"/>
        </w:rPr>
        <w:t xml:space="preserve"> is the total occupancy of the cell by all </w:t>
      </w:r>
      <w:r w:rsidRPr="0088226A">
        <w:rPr>
          <w:i/>
          <w:lang w:val="en-US"/>
        </w:rPr>
        <w:t>n</w:t>
      </w:r>
      <w:r w:rsidRPr="0088226A">
        <w:rPr>
          <w:lang w:val="en-US"/>
        </w:rPr>
        <w:t xml:space="preserve"> stations in the area, then the </w:t>
      </w:r>
      <w:r w:rsidRPr="0088226A">
        <w:rPr>
          <w:i/>
          <w:lang w:val="en-US"/>
        </w:rPr>
        <w:t>Occ</w:t>
      </w:r>
      <w:r w:rsidRPr="0088226A">
        <w:rPr>
          <w:lang w:val="en-US"/>
        </w:rPr>
        <w:t xml:space="preserve"> is given by:</w:t>
      </w:r>
    </w:p>
    <w:p w:rsidR="00483296" w:rsidRDefault="00483296" w:rsidP="00483296">
      <w:pPr>
        <w:pStyle w:val="Blanc"/>
      </w:pPr>
    </w:p>
    <w:p w:rsidR="004B059B" w:rsidRPr="0088226A" w:rsidRDefault="004B059B" w:rsidP="004B059B">
      <w:pPr>
        <w:pStyle w:val="Equation"/>
        <w:spacing w:before="100"/>
        <w:rPr>
          <w:lang w:val="en-US"/>
        </w:rPr>
      </w:pPr>
      <w:r w:rsidRPr="0088226A">
        <w:rPr>
          <w:lang w:val="en-US"/>
        </w:rPr>
        <w:tab/>
      </w:r>
      <w:r w:rsidRPr="0088226A">
        <w:rPr>
          <w:lang w:val="en-US"/>
        </w:rPr>
        <w:tab/>
      </w:r>
      <w:r>
        <w:rPr>
          <w:position w:val="-34"/>
        </w:rPr>
        <w:object w:dxaOrig="1340" w:dyaOrig="780">
          <v:shape id="_x0000_i1033" type="#_x0000_t75" style="width:67.2pt;height:39pt" o:ole="">
            <v:imagedata r:id="rId29" o:title=""/>
          </v:shape>
          <o:OLEObject Type="Embed" ProgID="Equation.2" ShapeID="_x0000_i1033" DrawAspect="Content" ObjectID="_1370947765" r:id="rId30"/>
        </w:object>
      </w:r>
      <w:r>
        <w:rPr>
          <w:position w:val="-10"/>
        </w:rPr>
        <w:object w:dxaOrig="180" w:dyaOrig="320">
          <v:shape id="_x0000_i1034" type="#_x0000_t75" style="width:9pt;height:16.2pt" o:ole="">
            <v:imagedata r:id="rId31" o:title=""/>
          </v:shape>
          <o:OLEObject Type="Embed" ProgID="Equation.2" ShapeID="_x0000_i1034" DrawAspect="Content" ObjectID="_1370947766" r:id="rId32"/>
        </w:object>
      </w:r>
      <w:r w:rsidRPr="0088226A">
        <w:rPr>
          <w:lang w:val="en-US"/>
        </w:rPr>
        <w:tab/>
        <w:t>(11)</w:t>
      </w:r>
    </w:p>
    <w:p w:rsidR="004B059B" w:rsidRPr="0088226A" w:rsidRDefault="004B059B" w:rsidP="004B059B">
      <w:pPr>
        <w:rPr>
          <w:lang w:val="en-US"/>
        </w:rPr>
      </w:pPr>
      <w:r w:rsidRPr="0088226A">
        <w:rPr>
          <w:lang w:val="en-US"/>
        </w:rPr>
        <w:t xml:space="preserve">where </w:t>
      </w:r>
      <w:r w:rsidRPr="0088226A">
        <w:rPr>
          <w:i/>
          <w:lang w:val="en-US"/>
        </w:rPr>
        <w:t>m</w:t>
      </w:r>
      <w:r w:rsidRPr="0088226A">
        <w:rPr>
          <w:lang w:val="en-US"/>
        </w:rPr>
        <w:t xml:space="preserve"> is the size of the matrix.</w:t>
      </w:r>
    </w:p>
    <w:p w:rsidR="004B059B" w:rsidRPr="0088226A" w:rsidRDefault="004B059B" w:rsidP="004B059B">
      <w:pPr>
        <w:rPr>
          <w:lang w:val="en-US"/>
        </w:rPr>
      </w:pPr>
      <w:r w:rsidRPr="0088226A">
        <w:rPr>
          <w:lang w:val="en-US"/>
        </w:rPr>
        <w:t>The SUE cell index is defined as the total occupancy in the cell by all</w:t>
      </w:r>
      <w:r w:rsidRPr="0088226A">
        <w:rPr>
          <w:i/>
          <w:lang w:val="en-US"/>
        </w:rPr>
        <w:t xml:space="preserve"> n</w:t>
      </w:r>
      <w:r w:rsidRPr="0088226A">
        <w:rPr>
          <w:lang w:val="en-US"/>
        </w:rPr>
        <w:t xml:space="preserve"> stations in that geographical area divided by the total amount of spectrum considered, </w:t>
      </w:r>
      <w:r w:rsidRPr="0088226A">
        <w:rPr>
          <w:i/>
          <w:lang w:val="en-US"/>
        </w:rPr>
        <w:t>B</w:t>
      </w:r>
      <w:r w:rsidRPr="0088226A">
        <w:rPr>
          <w:lang w:val="en-US"/>
        </w:rPr>
        <w:t xml:space="preserve">, and the area of the cell, </w:t>
      </w:r>
      <w:r w:rsidRPr="0088226A">
        <w:rPr>
          <w:i/>
          <w:lang w:val="en-US"/>
        </w:rPr>
        <w:t>a</w:t>
      </w:r>
      <w:r w:rsidRPr="0088226A">
        <w:rPr>
          <w:lang w:val="en-US"/>
        </w:rPr>
        <w:t xml:space="preserve">. The SUE average index of a geographical area can hence be obtained from the total occupancy in the city divided by the total amount of spectrum considered and the total area, </w:t>
      </w:r>
      <w:r w:rsidRPr="0088226A">
        <w:rPr>
          <w:i/>
          <w:lang w:val="en-US"/>
        </w:rPr>
        <w:t>S</w:t>
      </w:r>
      <w:r w:rsidRPr="0088226A">
        <w:rPr>
          <w:lang w:val="en-US"/>
        </w:rPr>
        <w:t>.</w:t>
      </w:r>
    </w:p>
    <w:p w:rsidR="00483296" w:rsidRDefault="00483296" w:rsidP="00483296">
      <w:pPr>
        <w:pStyle w:val="Blanc"/>
      </w:pPr>
    </w:p>
    <w:p w:rsidR="004B059B" w:rsidRPr="0088226A" w:rsidRDefault="004B059B" w:rsidP="004B059B">
      <w:pPr>
        <w:pStyle w:val="Equation"/>
        <w:rPr>
          <w:lang w:val="en-US"/>
        </w:rPr>
      </w:pPr>
      <w:r w:rsidRPr="0088226A">
        <w:rPr>
          <w:lang w:val="en-US"/>
        </w:rPr>
        <w:tab/>
      </w:r>
      <w:r w:rsidRPr="0088226A">
        <w:rPr>
          <w:lang w:val="en-US"/>
        </w:rPr>
        <w:tab/>
      </w:r>
      <w:r>
        <w:rPr>
          <w:position w:val="-28"/>
          <w:sz w:val="20"/>
        </w:rPr>
        <w:object w:dxaOrig="1960" w:dyaOrig="639">
          <v:shape id="_x0000_i1035" type="#_x0000_t75" style="width:97.8pt;height:31.8pt" o:ole="">
            <v:imagedata r:id="rId33" o:title=""/>
          </v:shape>
          <o:OLEObject Type="Embed" ProgID="Equation.2" ShapeID="_x0000_i1035" DrawAspect="Content" ObjectID="_1370947767" r:id="rId34"/>
        </w:object>
      </w:r>
      <w:r w:rsidRPr="0088226A">
        <w:rPr>
          <w:lang w:val="en-US"/>
        </w:rPr>
        <w:tab/>
        <w:t>(12)</w:t>
      </w:r>
    </w:p>
    <w:p w:rsidR="004B059B" w:rsidRPr="0088226A" w:rsidRDefault="004B059B" w:rsidP="004B059B">
      <w:pPr>
        <w:pStyle w:val="Equation"/>
        <w:rPr>
          <w:lang w:val="en-US"/>
        </w:rPr>
      </w:pPr>
      <w:r w:rsidRPr="0088226A">
        <w:rPr>
          <w:lang w:val="en-US"/>
        </w:rPr>
        <w:tab/>
      </w:r>
      <w:r w:rsidRPr="0088226A">
        <w:rPr>
          <w:lang w:val="en-US"/>
        </w:rPr>
        <w:tab/>
      </w:r>
      <w:r>
        <w:rPr>
          <w:position w:val="-28"/>
          <w:sz w:val="20"/>
        </w:rPr>
        <w:object w:dxaOrig="2360" w:dyaOrig="639">
          <v:shape id="_x0000_i1036" type="#_x0000_t75" style="width:118.2pt;height:31.8pt" o:ole="">
            <v:imagedata r:id="rId35" o:title=""/>
          </v:shape>
          <o:OLEObject Type="Embed" ProgID="Equation.2" ShapeID="_x0000_i1036" DrawAspect="Content" ObjectID="_1370947768" r:id="rId36"/>
        </w:object>
      </w:r>
      <w:r w:rsidRPr="0088226A">
        <w:rPr>
          <w:lang w:val="en-US"/>
        </w:rPr>
        <w:tab/>
        <w:t>(13)</w:t>
      </w:r>
    </w:p>
    <w:p w:rsidR="00483296" w:rsidRDefault="00483296" w:rsidP="00483296">
      <w:pPr>
        <w:pStyle w:val="Blanc"/>
      </w:pPr>
    </w:p>
    <w:p w:rsidR="004B059B" w:rsidRPr="0088226A" w:rsidRDefault="004B059B" w:rsidP="004B059B">
      <w:pPr>
        <w:pStyle w:val="Heading3"/>
        <w:rPr>
          <w:lang w:val="en-US"/>
        </w:rPr>
      </w:pPr>
      <w:r w:rsidRPr="0088226A">
        <w:rPr>
          <w:lang w:val="en-US"/>
        </w:rPr>
        <w:t>1.3.1</w:t>
      </w:r>
      <w:r w:rsidRPr="0088226A">
        <w:rPr>
          <w:lang w:val="en-US"/>
        </w:rPr>
        <w:tab/>
        <w:t>Calculation of the occupied and denied spectrum index</w:t>
      </w:r>
    </w:p>
    <w:p w:rsidR="004B059B" w:rsidRPr="0088226A" w:rsidRDefault="004B059B" w:rsidP="004B059B">
      <w:pPr>
        <w:rPr>
          <w:lang w:val="en-US"/>
        </w:rPr>
      </w:pPr>
      <w:r w:rsidRPr="0088226A">
        <w:rPr>
          <w:lang w:val="en-US"/>
        </w:rPr>
        <w:t>In this analysis, the occupied spectrum index and the composite occupied and denied spectrum index are calculated. The former provides a measure of how a given band of spectrum is utilized, while the latter is an indication as to how the spectrum is used and denied to other users.</w:t>
      </w:r>
    </w:p>
    <w:p w:rsidR="004B059B" w:rsidRPr="0088226A" w:rsidRDefault="004B059B" w:rsidP="004B059B">
      <w:pPr>
        <w:rPr>
          <w:lang w:val="en-US"/>
        </w:rPr>
      </w:pPr>
      <w:r w:rsidRPr="0088226A">
        <w:rPr>
          <w:lang w:val="en-US"/>
        </w:rPr>
        <w:t xml:space="preserve">As described in the last section, in calculating the index, it is necessary first to estimate the value of the coverage distance, </w:t>
      </w:r>
      <w:r w:rsidRPr="0088226A">
        <w:rPr>
          <w:i/>
          <w:lang w:val="en-US"/>
        </w:rPr>
        <w:t>d</w:t>
      </w:r>
      <w:r w:rsidRPr="0088226A">
        <w:rPr>
          <w:lang w:val="en-US"/>
        </w:rPr>
        <w:t>, based on Recommendation ITU-R P.529:</w:t>
      </w:r>
    </w:p>
    <w:p w:rsidR="00483296" w:rsidRDefault="00483296" w:rsidP="00483296">
      <w:pPr>
        <w:pStyle w:val="Blanc"/>
      </w:pPr>
    </w:p>
    <w:p w:rsidR="004B059B" w:rsidRPr="0088226A" w:rsidRDefault="0088226A" w:rsidP="0088226A">
      <w:pPr>
        <w:pStyle w:val="Equation"/>
        <w:rPr>
          <w:lang w:val="en-US"/>
        </w:rPr>
      </w:pPr>
      <w:r w:rsidRPr="00E64C3F">
        <w:rPr>
          <w:lang w:val="en-US"/>
        </w:rPr>
        <w:t xml:space="preserve">  </w:t>
      </w:r>
      <w:r w:rsidR="004B059B">
        <w:rPr>
          <w:position w:val="-32"/>
        </w:rPr>
        <w:object w:dxaOrig="8640" w:dyaOrig="740">
          <v:shape id="_x0000_i1037" type="#_x0000_t75" style="width:6in;height:37.2pt" o:ole="">
            <v:imagedata r:id="rId37" o:title=""/>
          </v:shape>
          <o:OLEObject Type="Embed" ProgID="Equation.2" ShapeID="_x0000_i1037" DrawAspect="Content" ObjectID="_1370947769" r:id="rId38"/>
        </w:object>
      </w:r>
      <w:r w:rsidR="004B059B" w:rsidRPr="0088226A">
        <w:rPr>
          <w:lang w:val="en-US"/>
        </w:rPr>
        <w:tab/>
        <w:t>(14)</w:t>
      </w:r>
    </w:p>
    <w:p w:rsidR="004B059B" w:rsidRPr="00E64C3F" w:rsidRDefault="004B059B" w:rsidP="0088226A">
      <w:pPr>
        <w:pStyle w:val="Normalaftertitle"/>
        <w:rPr>
          <w:lang w:val="en-US"/>
        </w:rPr>
      </w:pPr>
      <w:r w:rsidRPr="00E64C3F">
        <w:rPr>
          <w:lang w:val="en-US"/>
        </w:rPr>
        <w:t>where:</w:t>
      </w:r>
    </w:p>
    <w:p w:rsidR="004B059B" w:rsidRPr="0088226A" w:rsidRDefault="004B059B" w:rsidP="0088226A">
      <w:pPr>
        <w:pStyle w:val="Equationlegend"/>
      </w:pPr>
      <w:r w:rsidRPr="0088226A">
        <w:rPr>
          <w:i/>
        </w:rPr>
        <w:tab/>
        <w:t>P</w:t>
      </w:r>
      <w:r w:rsidRPr="0088226A">
        <w:rPr>
          <w:i/>
          <w:position w:val="-4"/>
          <w:sz w:val="16"/>
        </w:rPr>
        <w:t>t</w:t>
      </w:r>
      <w:r w:rsidRPr="0088226A">
        <w:rPr>
          <w:rFonts w:ascii="Tms Rmn" w:hAnsi="Tms Rmn"/>
          <w:sz w:val="12"/>
        </w:rPr>
        <w:t> </w:t>
      </w:r>
      <w:r w:rsidRPr="0088226A">
        <w:t>:</w:t>
      </w:r>
      <w:r w:rsidRPr="0088226A">
        <w:tab/>
        <w:t>e.i.r.p. (dBW)</w:t>
      </w:r>
    </w:p>
    <w:p w:rsidR="004B059B" w:rsidRPr="0088226A" w:rsidRDefault="004B059B" w:rsidP="0088226A">
      <w:pPr>
        <w:pStyle w:val="Equationlegend"/>
      </w:pPr>
      <w:r w:rsidRPr="0088226A">
        <w:tab/>
      </w:r>
      <w:r w:rsidRPr="0088226A">
        <w:rPr>
          <w:i/>
        </w:rPr>
        <w:t>G</w:t>
      </w:r>
      <w:r w:rsidRPr="0088226A">
        <w:rPr>
          <w:i/>
          <w:position w:val="-4"/>
          <w:sz w:val="16"/>
        </w:rPr>
        <w:t>r</w:t>
      </w:r>
      <w:r w:rsidRPr="0088226A">
        <w:rPr>
          <w:rFonts w:ascii="Tms Rmn" w:hAnsi="Tms Rmn"/>
          <w:sz w:val="12"/>
        </w:rPr>
        <w:t> </w:t>
      </w:r>
      <w:r w:rsidRPr="0088226A">
        <w:t>:</w:t>
      </w:r>
      <w:r w:rsidRPr="0088226A">
        <w:tab/>
        <w:t>gain of the receiving antenna (dB)</w:t>
      </w:r>
    </w:p>
    <w:p w:rsidR="004B059B" w:rsidRPr="0088226A" w:rsidRDefault="004B059B" w:rsidP="0088226A">
      <w:pPr>
        <w:pStyle w:val="Equationlegend"/>
      </w:pPr>
      <w:r w:rsidRPr="0088226A">
        <w:tab/>
      </w:r>
      <w:r w:rsidRPr="0088226A">
        <w:rPr>
          <w:i/>
        </w:rPr>
        <w:t>P</w:t>
      </w:r>
      <w:r w:rsidRPr="0088226A">
        <w:rPr>
          <w:i/>
          <w:position w:val="-4"/>
          <w:sz w:val="16"/>
        </w:rPr>
        <w:t>ibm</w:t>
      </w:r>
      <w:r w:rsidRPr="0088226A">
        <w:rPr>
          <w:rFonts w:ascii="Tms Rmn" w:hAnsi="Tms Rmn"/>
          <w:sz w:val="12"/>
        </w:rPr>
        <w:t> </w:t>
      </w:r>
      <w:r w:rsidRPr="0088226A">
        <w:t>:</w:t>
      </w:r>
      <w:r w:rsidRPr="0088226A">
        <w:tab/>
        <w:t>average received power at the mobile (dBW)</w:t>
      </w:r>
    </w:p>
    <w:p w:rsidR="004B059B" w:rsidRPr="0088226A" w:rsidRDefault="004B059B" w:rsidP="0088226A">
      <w:pPr>
        <w:pStyle w:val="Equationlegend"/>
      </w:pPr>
      <w:r w:rsidRPr="0088226A">
        <w:tab/>
      </w:r>
      <w:r w:rsidRPr="0088226A">
        <w:rPr>
          <w:i/>
        </w:rPr>
        <w:t>OCR</w:t>
      </w:r>
      <w:r w:rsidRPr="0088226A">
        <w:t>:</w:t>
      </w:r>
      <w:r w:rsidRPr="0088226A">
        <w:tab/>
        <w:t>off-channel-rejection</w:t>
      </w:r>
    </w:p>
    <w:p w:rsidR="004B059B" w:rsidRPr="0088226A" w:rsidRDefault="004B059B" w:rsidP="0088226A">
      <w:pPr>
        <w:pStyle w:val="Equationlegend"/>
      </w:pPr>
      <w:r w:rsidRPr="0088226A">
        <w:tab/>
      </w:r>
      <w:r w:rsidRPr="0088226A">
        <w:rPr>
          <w:i/>
        </w:rPr>
        <w:t>f</w:t>
      </w:r>
      <w:r w:rsidRPr="0088226A">
        <w:rPr>
          <w:rFonts w:ascii="Tms Rmn" w:hAnsi="Tms Rmn"/>
          <w:sz w:val="12"/>
        </w:rPr>
        <w:t> </w:t>
      </w:r>
      <w:r w:rsidRPr="0088226A">
        <w:t>:</w:t>
      </w:r>
      <w:r w:rsidRPr="0088226A">
        <w:tab/>
        <w:t>transmitter frequency (MHz)</w:t>
      </w:r>
    </w:p>
    <w:p w:rsidR="004B059B" w:rsidRPr="0088226A" w:rsidRDefault="004B059B" w:rsidP="0088226A">
      <w:pPr>
        <w:pStyle w:val="Equationlegend"/>
      </w:pPr>
      <w:r w:rsidRPr="0088226A">
        <w:tab/>
      </w:r>
      <w:r w:rsidRPr="0088226A">
        <w:rPr>
          <w:i/>
        </w:rPr>
        <w:t>h</w:t>
      </w:r>
      <w:r w:rsidRPr="0088226A">
        <w:rPr>
          <w:i/>
          <w:position w:val="-4"/>
          <w:sz w:val="16"/>
        </w:rPr>
        <w:t>t</w:t>
      </w:r>
      <w:r w:rsidRPr="0088226A">
        <w:rPr>
          <w:rFonts w:ascii="Tms Rmn" w:hAnsi="Tms Rmn"/>
          <w:sz w:val="12"/>
        </w:rPr>
        <w:t> </w:t>
      </w:r>
      <w:r w:rsidRPr="0088226A">
        <w:t>:</w:t>
      </w:r>
      <w:r w:rsidRPr="0088226A">
        <w:tab/>
        <w:t>base station antenna height (m)</w:t>
      </w:r>
    </w:p>
    <w:p w:rsidR="004B059B" w:rsidRPr="0088226A" w:rsidRDefault="004B059B" w:rsidP="0088226A">
      <w:pPr>
        <w:pStyle w:val="Equationlegend"/>
      </w:pPr>
      <w:r w:rsidRPr="0088226A">
        <w:tab/>
      </w:r>
      <w:r w:rsidRPr="0088226A">
        <w:rPr>
          <w:i/>
        </w:rPr>
        <w:t>h</w:t>
      </w:r>
      <w:r w:rsidRPr="0088226A">
        <w:rPr>
          <w:i/>
          <w:position w:val="-4"/>
          <w:sz w:val="16"/>
        </w:rPr>
        <w:t>r</w:t>
      </w:r>
      <w:r w:rsidRPr="0088226A">
        <w:rPr>
          <w:rFonts w:ascii="Tms Rmn" w:hAnsi="Tms Rmn"/>
          <w:sz w:val="12"/>
        </w:rPr>
        <w:t> </w:t>
      </w:r>
      <w:r w:rsidRPr="0088226A">
        <w:t>:</w:t>
      </w:r>
      <w:r w:rsidRPr="0088226A">
        <w:tab/>
        <w:t>mobile antenna height (m)</w:t>
      </w:r>
    </w:p>
    <w:p w:rsidR="004B059B" w:rsidRPr="0088226A" w:rsidRDefault="004B059B" w:rsidP="004B059B">
      <w:pPr>
        <w:rPr>
          <w:lang w:val="en-US"/>
        </w:rPr>
      </w:pPr>
      <w:r w:rsidRPr="0088226A">
        <w:rPr>
          <w:lang w:val="en-US"/>
        </w:rPr>
        <w:t>The base station antenna is assumed to be omni-directional. Coordinates of the base station which determine the location of the centre of the coverage circle in the matrix of cells are also used.</w:t>
      </w:r>
    </w:p>
    <w:p w:rsidR="004B059B" w:rsidRPr="0088226A" w:rsidRDefault="004B059B" w:rsidP="004B059B">
      <w:pPr>
        <w:rPr>
          <w:lang w:val="en-US"/>
        </w:rPr>
      </w:pPr>
      <w:r w:rsidRPr="0088226A">
        <w:rPr>
          <w:lang w:val="en-US"/>
        </w:rPr>
        <w:t xml:space="preserve">To obtain an index for the occupied spectrum, </w:t>
      </w:r>
      <w:r w:rsidRPr="0088226A">
        <w:rPr>
          <w:i/>
          <w:lang w:val="en-US"/>
        </w:rPr>
        <w:t>P</w:t>
      </w:r>
      <w:r w:rsidRPr="0088226A">
        <w:rPr>
          <w:i/>
          <w:position w:val="-4"/>
          <w:sz w:val="16"/>
          <w:lang w:val="en-US"/>
        </w:rPr>
        <w:t>ibm</w:t>
      </w:r>
      <w:r w:rsidRPr="0088226A">
        <w:rPr>
          <w:lang w:val="en-US"/>
        </w:rPr>
        <w:t xml:space="preserve"> is –128 dBW and </w:t>
      </w:r>
      <w:r w:rsidRPr="0088226A">
        <w:rPr>
          <w:i/>
          <w:lang w:val="en-US"/>
        </w:rPr>
        <w:t>OCR</w:t>
      </w:r>
      <w:r w:rsidRPr="0088226A">
        <w:rPr>
          <w:rFonts w:ascii="Tms Rmn" w:hAnsi="Tms Rmn"/>
          <w:sz w:val="8"/>
          <w:lang w:val="en-US"/>
        </w:rPr>
        <w:t> </w:t>
      </w:r>
      <w:r w:rsidRPr="0088226A">
        <w:rPr>
          <w:lang w:val="en-US"/>
        </w:rPr>
        <w:t>(</w:t>
      </w:r>
      <w:r>
        <w:rPr>
          <w:rFonts w:ascii="Symbol" w:hAnsi="Symbol"/>
        </w:rPr>
        <w:t></w:t>
      </w:r>
      <w:r w:rsidRPr="0088226A">
        <w:rPr>
          <w:i/>
          <w:lang w:val="en-US"/>
        </w:rPr>
        <w:t>f</w:t>
      </w:r>
      <w:r w:rsidRPr="0088226A">
        <w:rPr>
          <w:rFonts w:ascii="Tms Rmn" w:hAnsi="Tms Rmn"/>
          <w:sz w:val="10"/>
          <w:lang w:val="en-US"/>
        </w:rPr>
        <w:t> </w:t>
      </w:r>
      <w:r w:rsidRPr="0088226A">
        <w:rPr>
          <w:lang w:val="en-US"/>
        </w:rPr>
        <w:t>) is equal to zero.</w:t>
      </w:r>
    </w:p>
    <w:p w:rsidR="004B059B" w:rsidRPr="0088226A" w:rsidRDefault="004B059B" w:rsidP="004B059B">
      <w:pPr>
        <w:rPr>
          <w:lang w:val="en-US"/>
        </w:rPr>
      </w:pPr>
      <w:r w:rsidRPr="0088226A">
        <w:rPr>
          <w:lang w:val="en-US"/>
        </w:rPr>
        <w:t xml:space="preserve">For land mobile radio systems, we are interested not only in the occupied spectrum index, but also the denied spectrum index. The denied spectrum results from the fact that adjacent channels of assigned frequencies cannot be used within a certain distance of separation from the particular base station due to interference. This distance is dependent on the frequency separation, among other parameters. To calculate this distance for various frequency separations, </w:t>
      </w:r>
      <w:r w:rsidRPr="0088226A">
        <w:rPr>
          <w:i/>
          <w:lang w:val="en-US"/>
        </w:rPr>
        <w:t>P</w:t>
      </w:r>
      <w:r w:rsidRPr="0088226A">
        <w:rPr>
          <w:i/>
          <w:position w:val="-4"/>
          <w:sz w:val="16"/>
          <w:lang w:val="en-US"/>
        </w:rPr>
        <w:t>ibm</w:t>
      </w:r>
      <w:r w:rsidRPr="0088226A">
        <w:rPr>
          <w:lang w:val="en-US"/>
        </w:rPr>
        <w:t xml:space="preserve"> is assumed to be –145 dBW and various values of </w:t>
      </w:r>
      <w:r w:rsidRPr="0088226A">
        <w:rPr>
          <w:i/>
          <w:lang w:val="en-US"/>
        </w:rPr>
        <w:t>OCR</w:t>
      </w:r>
      <w:r w:rsidRPr="0088226A">
        <w:rPr>
          <w:rFonts w:ascii="Tms Rmn" w:hAnsi="Tms Rmn"/>
          <w:sz w:val="8"/>
          <w:lang w:val="en-US"/>
        </w:rPr>
        <w:t> </w:t>
      </w:r>
      <w:r w:rsidRPr="0088226A">
        <w:rPr>
          <w:lang w:val="en-US"/>
        </w:rPr>
        <w:t>(</w:t>
      </w:r>
      <w:r>
        <w:rPr>
          <w:rFonts w:ascii="Symbol" w:hAnsi="Symbol"/>
        </w:rPr>
        <w:t></w:t>
      </w:r>
      <w:r w:rsidRPr="0088226A">
        <w:rPr>
          <w:i/>
          <w:lang w:val="en-US"/>
        </w:rPr>
        <w:t>f</w:t>
      </w:r>
      <w:r w:rsidRPr="0088226A">
        <w:rPr>
          <w:rFonts w:ascii="Tms Rmn" w:hAnsi="Tms Rmn"/>
          <w:sz w:val="10"/>
          <w:lang w:val="en-US"/>
        </w:rPr>
        <w:t> </w:t>
      </w:r>
      <w:r w:rsidRPr="0088226A">
        <w:rPr>
          <w:lang w:val="en-US"/>
        </w:rPr>
        <w:t>) have to be used.</w:t>
      </w:r>
    </w:p>
    <w:p w:rsidR="004B059B" w:rsidRPr="0088226A" w:rsidRDefault="004B059B" w:rsidP="00483296">
      <w:pPr>
        <w:keepNext/>
        <w:rPr>
          <w:lang w:val="en-US"/>
        </w:rPr>
      </w:pPr>
      <w:r w:rsidRPr="0088226A">
        <w:rPr>
          <w:lang w:val="en-US"/>
        </w:rPr>
        <w:lastRenderedPageBreak/>
        <w:t xml:space="preserve">Based on the mask of out-of-band emission, the values used for the OCR factor (dB) at the channel offset of </w:t>
      </w:r>
      <w:r>
        <w:rPr>
          <w:rFonts w:ascii="Symbol" w:hAnsi="Symbol"/>
        </w:rPr>
        <w:t></w:t>
      </w:r>
      <w:r w:rsidRPr="0088226A">
        <w:rPr>
          <w:i/>
          <w:lang w:val="en-US"/>
        </w:rPr>
        <w:t>f</w:t>
      </w:r>
      <w:r w:rsidRPr="0088226A">
        <w:rPr>
          <w:lang w:val="en-US"/>
        </w:rPr>
        <w:t> (kHz) are:</w:t>
      </w:r>
    </w:p>
    <w:p w:rsidR="004B059B" w:rsidRPr="0088226A" w:rsidRDefault="004B059B" w:rsidP="004B059B">
      <w:pPr>
        <w:tabs>
          <w:tab w:val="clear" w:pos="794"/>
          <w:tab w:val="clear" w:pos="1191"/>
          <w:tab w:val="clear" w:pos="1588"/>
          <w:tab w:val="clear" w:pos="1985"/>
          <w:tab w:val="left" w:pos="2835"/>
          <w:tab w:val="left" w:pos="3657"/>
          <w:tab w:val="left" w:pos="4054"/>
          <w:tab w:val="left" w:pos="4678"/>
          <w:tab w:val="left" w:pos="5387"/>
          <w:tab w:val="left" w:pos="5954"/>
        </w:tabs>
        <w:jc w:val="left"/>
        <w:rPr>
          <w:lang w:val="en-US"/>
        </w:rPr>
      </w:pPr>
      <w:r w:rsidRPr="0088226A">
        <w:rPr>
          <w:lang w:val="en-US"/>
        </w:rPr>
        <w:tab/>
      </w:r>
      <w:r>
        <w:rPr>
          <w:rFonts w:ascii="Symbol" w:hAnsi="Symbol"/>
        </w:rPr>
        <w:t></w:t>
      </w:r>
      <w:r w:rsidRPr="0088226A">
        <w:rPr>
          <w:i/>
          <w:lang w:val="en-US"/>
        </w:rPr>
        <w:t>f</w:t>
      </w:r>
      <w:r w:rsidRPr="0088226A">
        <w:rPr>
          <w:lang w:val="en-US"/>
        </w:rPr>
        <w:tab/>
        <w:t>0</w:t>
      </w:r>
      <w:r w:rsidRPr="0088226A">
        <w:rPr>
          <w:lang w:val="en-US"/>
        </w:rPr>
        <w:tab/>
      </w:r>
      <w:r>
        <w:sym w:font="Symbol" w:char="F0B1"/>
      </w:r>
      <w:r w:rsidRPr="0088226A">
        <w:rPr>
          <w:lang w:val="en-US"/>
        </w:rPr>
        <w:t>25</w:t>
      </w:r>
      <w:r w:rsidRPr="0088226A">
        <w:rPr>
          <w:lang w:val="en-US"/>
        </w:rPr>
        <w:tab/>
      </w:r>
      <w:r>
        <w:sym w:font="Symbol" w:char="F0B1"/>
      </w:r>
      <w:r w:rsidRPr="0088226A">
        <w:rPr>
          <w:lang w:val="en-US"/>
        </w:rPr>
        <w:t>50</w:t>
      </w:r>
      <w:r w:rsidRPr="0088226A">
        <w:rPr>
          <w:lang w:val="en-US"/>
        </w:rPr>
        <w:tab/>
      </w:r>
      <w:r>
        <w:sym w:font="Symbol" w:char="F0B1"/>
      </w:r>
      <w:r w:rsidRPr="0088226A">
        <w:rPr>
          <w:lang w:val="en-US"/>
        </w:rPr>
        <w:t>75</w:t>
      </w:r>
      <w:r w:rsidRPr="0088226A">
        <w:rPr>
          <w:lang w:val="en-US"/>
        </w:rPr>
        <w:tab/>
      </w:r>
      <w:r>
        <w:sym w:font="Symbol" w:char="F0B1"/>
      </w:r>
      <w:r w:rsidRPr="0088226A">
        <w:rPr>
          <w:lang w:val="en-US"/>
        </w:rPr>
        <w:t>100</w:t>
      </w:r>
    </w:p>
    <w:p w:rsidR="004B059B" w:rsidRPr="0088226A" w:rsidRDefault="004B059B" w:rsidP="004B059B">
      <w:pPr>
        <w:tabs>
          <w:tab w:val="clear" w:pos="794"/>
          <w:tab w:val="clear" w:pos="1191"/>
          <w:tab w:val="clear" w:pos="1588"/>
          <w:tab w:val="clear" w:pos="1985"/>
          <w:tab w:val="left" w:pos="2835"/>
          <w:tab w:val="left" w:pos="3657"/>
          <w:tab w:val="left" w:pos="4054"/>
          <w:tab w:val="left" w:pos="4678"/>
          <w:tab w:val="left" w:pos="5387"/>
          <w:tab w:val="left" w:pos="5954"/>
        </w:tabs>
        <w:jc w:val="left"/>
        <w:rPr>
          <w:lang w:val="en-US"/>
        </w:rPr>
      </w:pPr>
      <w:r w:rsidRPr="0088226A">
        <w:rPr>
          <w:lang w:val="en-US"/>
        </w:rPr>
        <w:tab/>
        <w:t>OCR</w:t>
      </w:r>
      <w:r w:rsidRPr="0088226A">
        <w:rPr>
          <w:lang w:val="en-US"/>
        </w:rPr>
        <w:tab/>
        <w:t>0</w:t>
      </w:r>
      <w:r w:rsidRPr="0088226A">
        <w:rPr>
          <w:lang w:val="en-US"/>
        </w:rPr>
        <w:tab/>
        <w:t>57.1</w:t>
      </w:r>
      <w:r w:rsidRPr="0088226A">
        <w:rPr>
          <w:lang w:val="en-US"/>
        </w:rPr>
        <w:tab/>
        <w:t>58.6</w:t>
      </w:r>
      <w:r w:rsidRPr="0088226A">
        <w:rPr>
          <w:lang w:val="en-US"/>
        </w:rPr>
        <w:tab/>
        <w:t>58.6</w:t>
      </w:r>
      <w:r w:rsidRPr="0088226A">
        <w:rPr>
          <w:lang w:val="en-US"/>
        </w:rPr>
        <w:tab/>
        <w:t>58.6</w:t>
      </w:r>
    </w:p>
    <w:p w:rsidR="004B059B" w:rsidRPr="0088226A" w:rsidRDefault="004B059B" w:rsidP="004B059B">
      <w:pPr>
        <w:rPr>
          <w:lang w:val="en-US"/>
        </w:rPr>
      </w:pPr>
      <w:r w:rsidRPr="0088226A">
        <w:rPr>
          <w:lang w:val="en-US"/>
        </w:rPr>
        <w:t xml:space="preserve">By using these values it is possible to obtain distances comparable to actual propagation conditions, from one set of sample data and according to the calculation of the coverage distances, the occupied distance is 21.9 km. The corresponding denied distances for </w:t>
      </w:r>
      <w:r>
        <w:rPr>
          <w:rFonts w:ascii="Symbol" w:hAnsi="Symbol"/>
        </w:rPr>
        <w:t></w:t>
      </w:r>
      <w:r w:rsidRPr="0088226A">
        <w:rPr>
          <w:i/>
          <w:lang w:val="en-US"/>
        </w:rPr>
        <w:t>f</w:t>
      </w:r>
      <w:r w:rsidRPr="0088226A">
        <w:rPr>
          <w:lang w:val="en-US"/>
        </w:rPr>
        <w:t xml:space="preserve"> </w:t>
      </w:r>
      <w:r>
        <w:rPr>
          <w:rFonts w:ascii="Symbol" w:hAnsi="Symbol"/>
        </w:rPr>
        <w:t></w:t>
      </w:r>
      <w:r w:rsidRPr="0088226A">
        <w:rPr>
          <w:lang w:val="en-US"/>
        </w:rPr>
        <w:t xml:space="preserve"> 0, </w:t>
      </w:r>
      <w:r>
        <w:rPr>
          <w:rFonts w:ascii="Symbol" w:hAnsi="Symbol"/>
        </w:rPr>
        <w:t></w:t>
      </w:r>
      <w:r w:rsidRPr="0088226A">
        <w:rPr>
          <w:rFonts w:ascii="Tms Rmn" w:hAnsi="Tms Rmn"/>
          <w:sz w:val="4"/>
          <w:lang w:val="en-US"/>
        </w:rPr>
        <w:t> </w:t>
      </w:r>
      <w:r w:rsidRPr="0088226A">
        <w:rPr>
          <w:lang w:val="en-US"/>
        </w:rPr>
        <w:t xml:space="preserve">25 kHz, </w:t>
      </w:r>
      <w:r>
        <w:rPr>
          <w:rFonts w:ascii="Symbol" w:hAnsi="Symbol"/>
        </w:rPr>
        <w:t></w:t>
      </w:r>
      <w:r w:rsidRPr="0088226A">
        <w:rPr>
          <w:rFonts w:ascii="Tms Rmn" w:hAnsi="Tms Rmn"/>
          <w:sz w:val="4"/>
          <w:lang w:val="en-US"/>
        </w:rPr>
        <w:t> </w:t>
      </w:r>
      <w:r w:rsidRPr="0088226A">
        <w:rPr>
          <w:lang w:val="en-US"/>
        </w:rPr>
        <w:t>50 kHz, and beyond are 69.2 km, 1.5 km, and 1.3 km, respectively.</w:t>
      </w:r>
    </w:p>
    <w:p w:rsidR="004B059B" w:rsidRPr="0088226A" w:rsidRDefault="004B059B" w:rsidP="004B059B">
      <w:pPr>
        <w:pStyle w:val="Heading3"/>
        <w:rPr>
          <w:lang w:val="en-US"/>
        </w:rPr>
      </w:pPr>
      <w:r w:rsidRPr="0088226A">
        <w:rPr>
          <w:lang w:val="en-US"/>
        </w:rPr>
        <w:t>1.3.2</w:t>
      </w:r>
      <w:r w:rsidRPr="0088226A">
        <w:rPr>
          <w:lang w:val="en-US"/>
        </w:rPr>
        <w:tab/>
        <w:t>Results</w:t>
      </w:r>
    </w:p>
    <w:p w:rsidR="004B059B" w:rsidRPr="0088226A" w:rsidRDefault="004B059B" w:rsidP="004B059B">
      <w:pPr>
        <w:rPr>
          <w:lang w:val="en-US"/>
        </w:rPr>
      </w:pPr>
      <w:r w:rsidRPr="0088226A">
        <w:rPr>
          <w:lang w:val="en-US"/>
        </w:rPr>
        <w:t>For illustration of this methodology to calculate the SUE, the result for the 5 776 km</w:t>
      </w:r>
      <w:r w:rsidRPr="0088226A">
        <w:rPr>
          <w:position w:val="6"/>
          <w:sz w:val="16"/>
          <w:lang w:val="en-US"/>
        </w:rPr>
        <w:t>2</w:t>
      </w:r>
      <w:r w:rsidRPr="0088226A">
        <w:rPr>
          <w:lang w:val="en-US"/>
        </w:rPr>
        <w:t xml:space="preserve"> area around the core of the 10 Canadian cities in the 138-174 MHz band is given. Table 1 includes the occupied spectrum index and the denied and occupied spectrum index.</w:t>
      </w:r>
    </w:p>
    <w:p w:rsidR="004B059B" w:rsidRPr="0088226A" w:rsidRDefault="004B059B" w:rsidP="004B059B">
      <w:pPr>
        <w:rPr>
          <w:lang w:val="en-US"/>
        </w:rPr>
      </w:pPr>
      <w:r w:rsidRPr="0088226A">
        <w:rPr>
          <w:lang w:val="en-US"/>
        </w:rPr>
        <w:t>The data used to determine the total occupancy is obtained from the Canadian Assignment and Licensing System database.</w:t>
      </w:r>
    </w:p>
    <w:p w:rsidR="004B059B" w:rsidRPr="0088226A" w:rsidRDefault="004B059B" w:rsidP="004B059B">
      <w:pPr>
        <w:rPr>
          <w:lang w:val="en-US"/>
        </w:rPr>
      </w:pPr>
      <w:r w:rsidRPr="0088226A">
        <w:rPr>
          <w:lang w:val="en-US"/>
        </w:rPr>
        <w:t>The land mobile bands considered in this study include both the VHF band of 138-174 MHz and the UHF bands of 406</w:t>
      </w:r>
      <w:r w:rsidRPr="0088226A">
        <w:rPr>
          <w:lang w:val="en-US"/>
        </w:rPr>
        <w:noBreakHyphen/>
        <w:t>430 MHz and 450-470 MHz. The channel spacing for VHF is 30 kHz and that for UHF is 25 kHz.</w:t>
      </w:r>
    </w:p>
    <w:p w:rsidR="004B059B" w:rsidRPr="0088226A" w:rsidRDefault="004B059B" w:rsidP="004B059B">
      <w:pPr>
        <w:pStyle w:val="Table"/>
        <w:rPr>
          <w:lang w:val="en-US"/>
        </w:rPr>
      </w:pPr>
      <w:r w:rsidRPr="0088226A">
        <w:rPr>
          <w:lang w:val="en-US"/>
        </w:rPr>
        <w:t>TABLE  1</w:t>
      </w:r>
    </w:p>
    <w:p w:rsidR="004B059B" w:rsidRPr="0088226A" w:rsidRDefault="004B059B" w:rsidP="004B059B">
      <w:pPr>
        <w:pStyle w:val="TableTitle0"/>
        <w:rPr>
          <w:lang w:val="en-US"/>
        </w:rPr>
      </w:pPr>
      <w:r>
        <w:t>Occupied and denied spectrum indices (138-174 MHz)</w:t>
      </w:r>
    </w:p>
    <w:p w:rsidR="004B059B" w:rsidRPr="0088226A" w:rsidRDefault="004B059B" w:rsidP="004B059B">
      <w:pPr>
        <w:pStyle w:val="Blanc"/>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2835"/>
        <w:gridCol w:w="1701"/>
      </w:tblGrid>
      <w:tr w:rsidR="004B059B">
        <w:trPr>
          <w:jc w:val="center"/>
        </w:trPr>
        <w:tc>
          <w:tcPr>
            <w:tcW w:w="2835" w:type="dxa"/>
          </w:tcPr>
          <w:p w:rsidR="004B059B" w:rsidRDefault="004B059B" w:rsidP="0088226A">
            <w:pPr>
              <w:pStyle w:val="TableText0"/>
              <w:jc w:val="center"/>
              <w:rPr>
                <w:lang w:val="fr-FR"/>
              </w:rPr>
            </w:pPr>
            <w:r>
              <w:rPr>
                <w:lang w:val="fr-FR"/>
              </w:rPr>
              <w:t>E/kHz/km</w:t>
            </w:r>
            <w:r>
              <w:rPr>
                <w:position w:val="6"/>
                <w:sz w:val="14"/>
                <w:lang w:val="fr-FR"/>
              </w:rPr>
              <w:t>2</w:t>
            </w:r>
            <w:r>
              <w:rPr>
                <w:lang w:val="fr-FR"/>
              </w:rPr>
              <w:t xml:space="preserve"> </w:t>
            </w:r>
            <w:r>
              <w:rPr>
                <w:rFonts w:ascii="Symbol" w:hAnsi="Symbol"/>
                <w:lang w:val="fr-FR"/>
              </w:rPr>
              <w:t></w:t>
            </w:r>
            <w:r>
              <w:rPr>
                <w:lang w:val="fr-FR"/>
              </w:rPr>
              <w:t xml:space="preserve"> 10</w:t>
            </w:r>
            <w:r>
              <w:rPr>
                <w:position w:val="6"/>
                <w:sz w:val="14"/>
                <w:lang w:val="fr-FR"/>
              </w:rPr>
              <w:t>–3</w:t>
            </w:r>
          </w:p>
        </w:tc>
        <w:tc>
          <w:tcPr>
            <w:tcW w:w="2835" w:type="dxa"/>
          </w:tcPr>
          <w:p w:rsidR="004B059B" w:rsidRDefault="004B059B" w:rsidP="0088226A">
            <w:pPr>
              <w:pStyle w:val="TableText0"/>
              <w:jc w:val="center"/>
              <w:rPr>
                <w:lang w:val="fr-FR"/>
              </w:rPr>
            </w:pPr>
            <w:r>
              <w:t>Occupied and denied index</w:t>
            </w:r>
          </w:p>
        </w:tc>
        <w:tc>
          <w:tcPr>
            <w:tcW w:w="1701" w:type="dxa"/>
          </w:tcPr>
          <w:p w:rsidR="004B059B" w:rsidRDefault="004B059B" w:rsidP="0088226A">
            <w:pPr>
              <w:pStyle w:val="TableText0"/>
              <w:jc w:val="center"/>
              <w:rPr>
                <w:lang w:val="fr-FR"/>
              </w:rPr>
            </w:pPr>
            <w:r>
              <w:t>Occupied index</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Toronto</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4.19</w:t>
            </w:r>
          </w:p>
        </w:tc>
        <w:tc>
          <w:tcPr>
            <w:tcW w:w="1701"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1.33</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Ottawa</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4.54</w:t>
            </w:r>
          </w:p>
        </w:tc>
        <w:tc>
          <w:tcPr>
            <w:tcW w:w="1701"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1.30</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Windsor</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3.68</w:t>
            </w:r>
          </w:p>
        </w:tc>
        <w:tc>
          <w:tcPr>
            <w:tcW w:w="1701"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0.87</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Montreal</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3.56</w:t>
            </w:r>
          </w:p>
        </w:tc>
        <w:tc>
          <w:tcPr>
            <w:tcW w:w="1701"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0.88</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Saint John</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3.24</w:t>
            </w:r>
          </w:p>
        </w:tc>
        <w:tc>
          <w:tcPr>
            <w:tcW w:w="1701"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0.65</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Halifax</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3.32</w:t>
            </w:r>
          </w:p>
        </w:tc>
        <w:tc>
          <w:tcPr>
            <w:tcW w:w="1701"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0.68</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Vancouver</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3.20</w:t>
            </w:r>
          </w:p>
        </w:tc>
        <w:tc>
          <w:tcPr>
            <w:tcW w:w="1701" w:type="dxa"/>
          </w:tcPr>
          <w:p w:rsidR="004B059B" w:rsidRDefault="004B059B" w:rsidP="0088226A">
            <w:pPr>
              <w:pStyle w:val="TableText0"/>
              <w:jc w:val="center"/>
              <w:rPr>
                <w:lang w:val="fr-FR"/>
              </w:rPr>
            </w:pPr>
            <w:r>
              <w:rPr>
                <w:lang w:val="fr-FR"/>
              </w:rPr>
              <w:t>0.62</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Winnipeg</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3.31</w:t>
            </w:r>
          </w:p>
        </w:tc>
        <w:tc>
          <w:tcPr>
            <w:tcW w:w="1701" w:type="dxa"/>
          </w:tcPr>
          <w:p w:rsidR="004B059B" w:rsidRDefault="004B059B" w:rsidP="0088226A">
            <w:pPr>
              <w:pStyle w:val="TableText0"/>
              <w:jc w:val="center"/>
              <w:rPr>
                <w:lang w:val="fr-FR"/>
              </w:rPr>
            </w:pPr>
            <w:r>
              <w:rPr>
                <w:lang w:val="fr-FR"/>
              </w:rPr>
              <w:t>0.74</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Calgary</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3.05</w:t>
            </w:r>
          </w:p>
        </w:tc>
        <w:tc>
          <w:tcPr>
            <w:tcW w:w="1701" w:type="dxa"/>
          </w:tcPr>
          <w:p w:rsidR="004B059B" w:rsidRDefault="004B059B" w:rsidP="0088226A">
            <w:pPr>
              <w:pStyle w:val="TableText0"/>
              <w:jc w:val="center"/>
              <w:rPr>
                <w:lang w:val="fr-FR"/>
              </w:rPr>
            </w:pPr>
            <w:r>
              <w:rPr>
                <w:lang w:val="fr-FR"/>
              </w:rPr>
              <w:t>0.73</w:t>
            </w:r>
          </w:p>
        </w:tc>
      </w:tr>
      <w:tr w:rsidR="004B059B">
        <w:trPr>
          <w:jc w:val="center"/>
        </w:trPr>
        <w:tc>
          <w:tcPr>
            <w:tcW w:w="2835" w:type="dxa"/>
          </w:tcPr>
          <w:p w:rsidR="004B059B" w:rsidRDefault="004B059B" w:rsidP="0088226A">
            <w:pPr>
              <w:pStyle w:val="TableText0"/>
              <w:tabs>
                <w:tab w:val="clear" w:pos="794"/>
                <w:tab w:val="clear" w:pos="1191"/>
                <w:tab w:val="clear" w:pos="1588"/>
                <w:tab w:val="clear" w:pos="1985"/>
                <w:tab w:val="left" w:pos="454"/>
              </w:tabs>
              <w:rPr>
                <w:lang w:val="fr-FR"/>
              </w:rPr>
            </w:pPr>
            <w:r>
              <w:rPr>
                <w:lang w:val="fr-FR"/>
              </w:rPr>
              <w:tab/>
              <w:t>Edmonton</w:t>
            </w:r>
          </w:p>
        </w:tc>
        <w:tc>
          <w:tcPr>
            <w:tcW w:w="2835" w:type="dxa"/>
          </w:tcPr>
          <w:p w:rsidR="004B059B" w:rsidRDefault="004B059B" w:rsidP="0088226A">
            <w:pPr>
              <w:pStyle w:val="TableText0"/>
              <w:tabs>
                <w:tab w:val="clear" w:pos="794"/>
                <w:tab w:val="clear" w:pos="1191"/>
                <w:tab w:val="clear" w:pos="1588"/>
                <w:tab w:val="clear" w:pos="1985"/>
                <w:tab w:val="left" w:pos="454"/>
              </w:tabs>
              <w:jc w:val="center"/>
              <w:rPr>
                <w:lang w:val="fr-FR"/>
              </w:rPr>
            </w:pPr>
            <w:r>
              <w:rPr>
                <w:lang w:val="fr-FR"/>
              </w:rPr>
              <w:t>2.99</w:t>
            </w:r>
          </w:p>
        </w:tc>
        <w:tc>
          <w:tcPr>
            <w:tcW w:w="1701" w:type="dxa"/>
          </w:tcPr>
          <w:p w:rsidR="004B059B" w:rsidRDefault="004B059B" w:rsidP="0088226A">
            <w:pPr>
              <w:pStyle w:val="TableText0"/>
              <w:jc w:val="center"/>
              <w:rPr>
                <w:lang w:val="fr-FR"/>
              </w:rPr>
            </w:pPr>
            <w:r>
              <w:rPr>
                <w:lang w:val="fr-FR"/>
              </w:rPr>
              <w:t>0.60</w:t>
            </w:r>
          </w:p>
        </w:tc>
      </w:tr>
    </w:tbl>
    <w:p w:rsidR="004B059B" w:rsidRDefault="004B059B" w:rsidP="004B059B">
      <w:pPr>
        <w:pStyle w:val="Tablefin"/>
        <w:rPr>
          <w:lang w:val="fr-FR"/>
        </w:rPr>
      </w:pPr>
    </w:p>
    <w:p w:rsidR="004B059B" w:rsidRPr="00E64C3F" w:rsidRDefault="004B059B" w:rsidP="0088226A">
      <w:pPr>
        <w:rPr>
          <w:lang w:val="en-US"/>
        </w:rPr>
      </w:pPr>
      <w:r w:rsidRPr="00E64C3F">
        <w:rPr>
          <w:lang w:val="en-US"/>
        </w:rPr>
        <w:t xml:space="preserve">Also presented are the graphical results for the city of Vancouver, again in the 138-174 MHz band. A 3-D visualization of a matrix of values, in this case the denied and occupied spectrum, is shown in Fig. 3. The matrix is overlaid on a map of the city to present the utilization information with cartographic detail. This presentation greatly enhances our ability to interpret this information. As shown in Fig. 4, the maximum value of a cell of the occupied spectrum in the centre of the city is 1.7 </w:t>
      </w:r>
      <w:r>
        <w:rPr>
          <w:rFonts w:ascii="Symbol" w:hAnsi="Symbol"/>
        </w:rPr>
        <w:t></w:t>
      </w:r>
      <w:r w:rsidRPr="00E64C3F">
        <w:rPr>
          <w:lang w:val="en-US"/>
        </w:rPr>
        <w:t xml:space="preserve"> 10</w:t>
      </w:r>
      <w:r w:rsidRPr="00E64C3F">
        <w:rPr>
          <w:position w:val="6"/>
          <w:sz w:val="16"/>
          <w:lang w:val="en-US"/>
        </w:rPr>
        <w:t>–3</w:t>
      </w:r>
      <w:r w:rsidRPr="00E64C3F">
        <w:rPr>
          <w:lang w:val="en-US"/>
        </w:rPr>
        <w:t xml:space="preserve"> E/kHz/km</w:t>
      </w:r>
      <w:r w:rsidRPr="00E64C3F">
        <w:rPr>
          <w:position w:val="6"/>
          <w:sz w:val="16"/>
          <w:lang w:val="en-US"/>
        </w:rPr>
        <w:t>2</w:t>
      </w:r>
      <w:r w:rsidRPr="00E64C3F">
        <w:rPr>
          <w:lang w:val="en-US"/>
        </w:rPr>
        <w:t>. The maximum value of a cell of the denied and occupied spectrum for this band is 4.9 </w:t>
      </w:r>
      <w:r>
        <w:rPr>
          <w:rFonts w:ascii="Symbol" w:hAnsi="Symbol"/>
        </w:rPr>
        <w:t></w:t>
      </w:r>
      <w:r w:rsidRPr="00E64C3F">
        <w:rPr>
          <w:lang w:val="en-US"/>
        </w:rPr>
        <w:t> 10</w:t>
      </w:r>
      <w:r w:rsidRPr="00E64C3F">
        <w:rPr>
          <w:position w:val="6"/>
          <w:sz w:val="16"/>
          <w:lang w:val="en-US"/>
        </w:rPr>
        <w:t>–3</w:t>
      </w:r>
      <w:r w:rsidRPr="00E64C3F">
        <w:rPr>
          <w:lang w:val="en-US"/>
        </w:rPr>
        <w:t> E/kHz/km</w:t>
      </w:r>
      <w:r w:rsidRPr="00E64C3F">
        <w:rPr>
          <w:position w:val="6"/>
          <w:sz w:val="16"/>
          <w:lang w:val="en-US"/>
        </w:rPr>
        <w:t>2</w:t>
      </w:r>
      <w:r w:rsidRPr="00E64C3F">
        <w:rPr>
          <w:lang w:val="en-US"/>
        </w:rPr>
        <w:t>, which is located just to the north and west of the centroid, as seen in Fig. 5. This area is the highly commercialized core of the city of Vancouver.</w:t>
      </w:r>
    </w:p>
    <w:p w:rsidR="004B059B" w:rsidRDefault="0088226A" w:rsidP="0088226A">
      <w:pPr>
        <w:pStyle w:val="FigureNo"/>
        <w:rPr>
          <w:lang w:val="es-ES_tradnl"/>
        </w:rPr>
      </w:pPr>
      <w:r>
        <w:object w:dxaOrig="7161" w:dyaOrig="6415">
          <v:shape id="_x0000_i1038" type="#_x0000_t75" style="width:357.6pt;height:321pt" o:ole="" o:allowoverlap="f">
            <v:imagedata r:id="rId39" o:title=""/>
          </v:shape>
          <o:OLEObject Type="Embed" ProgID="CorelDRAW.Graphic.12" ShapeID="_x0000_i1038" DrawAspect="Content" ObjectID="_1370947770" r:id="rId40"/>
        </w:object>
      </w:r>
    </w:p>
    <w:p w:rsidR="004B059B" w:rsidRDefault="0088226A" w:rsidP="0088226A">
      <w:pPr>
        <w:pStyle w:val="FigureNo"/>
      </w:pPr>
      <w:r>
        <w:object w:dxaOrig="7522" w:dyaOrig="6957">
          <v:shape id="_x0000_i1039" type="#_x0000_t75" style="width:375.6pt;height:348pt" o:ole="" o:allowoverlap="f">
            <v:imagedata r:id="rId41" o:title=""/>
          </v:shape>
          <o:OLEObject Type="Embed" ProgID="CorelDRAW.Graphic.12" ShapeID="_x0000_i1039" DrawAspect="Content" ObjectID="_1370947771" r:id="rId42"/>
        </w:object>
      </w:r>
    </w:p>
    <w:p w:rsidR="00F94F1E" w:rsidRPr="00F94F1E" w:rsidRDefault="00F94F1E" w:rsidP="00F94F1E">
      <w:pPr>
        <w:pStyle w:val="FigureNo"/>
        <w:rPr>
          <w:lang w:val="en-US"/>
        </w:rPr>
      </w:pPr>
      <w:r w:rsidRPr="00F94F1E">
        <w:rPr>
          <w:lang w:val="en-US"/>
        </w:rPr>
        <w:lastRenderedPageBreak/>
        <w:t>FI</w:t>
      </w:r>
      <w:r>
        <w:rPr>
          <w:lang w:val="en-US"/>
        </w:rPr>
        <w:t>G</w:t>
      </w:r>
      <w:r w:rsidRPr="00F94F1E">
        <w:rPr>
          <w:lang w:val="en-US"/>
        </w:rPr>
        <w:t>URE 5</w:t>
      </w:r>
    </w:p>
    <w:p w:rsidR="00F94F1E" w:rsidRPr="00F94F1E" w:rsidRDefault="00F94F1E" w:rsidP="00F94F1E">
      <w:pPr>
        <w:pStyle w:val="Figuretitle"/>
        <w:rPr>
          <w:lang w:val="en-US"/>
        </w:rPr>
      </w:pPr>
      <w:r w:rsidRPr="00F94F1E">
        <w:rPr>
          <w:lang w:val="en-US"/>
        </w:rPr>
        <w:t>2-D plot occupied and denied spectrum index of Vancouver</w:t>
      </w:r>
    </w:p>
    <w:p w:rsidR="004B059B" w:rsidRDefault="009A3FC5" w:rsidP="0098081A">
      <w:pPr>
        <w:pStyle w:val="Figure"/>
        <w:rPr>
          <w:lang w:val="es-ES_tradnl"/>
        </w:rPr>
      </w:pPr>
      <w:r>
        <w:object w:dxaOrig="5544" w:dyaOrig="4631">
          <v:shape id="_x0000_i1040" type="#_x0000_t75" style="width:277.2pt;height:231.6pt" o:ole="" o:allowoverlap="f">
            <v:imagedata r:id="rId43" o:title=""/>
          </v:shape>
          <o:OLEObject Type="Embed" ProgID="CorelDRAW.Graphic.12" ShapeID="_x0000_i1040" DrawAspect="Content" ObjectID="_1370947772" r:id="rId44"/>
        </w:object>
      </w:r>
    </w:p>
    <w:p w:rsidR="0088226A" w:rsidRPr="0088226A" w:rsidRDefault="0088226A" w:rsidP="0088226A">
      <w:pPr>
        <w:pStyle w:val="Heading2"/>
        <w:rPr>
          <w:lang w:val="en-US"/>
        </w:rPr>
      </w:pPr>
      <w:r w:rsidRPr="0088226A">
        <w:rPr>
          <w:lang w:val="en-US"/>
        </w:rPr>
        <w:t>1.4</w:t>
      </w:r>
      <w:r w:rsidRPr="0088226A">
        <w:rPr>
          <w:lang w:val="en-US"/>
        </w:rPr>
        <w:tab/>
        <w:t>SUE of land mobile radio systems (alternative method)</w:t>
      </w:r>
    </w:p>
    <w:p w:rsidR="0088226A" w:rsidRPr="0088226A" w:rsidRDefault="0088226A" w:rsidP="0088226A">
      <w:pPr>
        <w:pStyle w:val="Heading3"/>
        <w:rPr>
          <w:lang w:val="en-US"/>
        </w:rPr>
      </w:pPr>
      <w:r w:rsidRPr="0088226A">
        <w:rPr>
          <w:lang w:val="en-US"/>
        </w:rPr>
        <w:t>1.4.1</w:t>
      </w:r>
      <w:r w:rsidRPr="0088226A">
        <w:rPr>
          <w:lang w:val="en-US"/>
        </w:rPr>
        <w:tab/>
        <w:t>Introduction</w:t>
      </w:r>
    </w:p>
    <w:p w:rsidR="0088226A" w:rsidRPr="0088226A" w:rsidRDefault="0088226A" w:rsidP="0088226A">
      <w:pPr>
        <w:rPr>
          <w:lang w:val="en-US"/>
        </w:rPr>
      </w:pPr>
      <w:r w:rsidRPr="0088226A">
        <w:rPr>
          <w:lang w:val="en-US"/>
        </w:rPr>
        <w:t xml:space="preserve">Consider a case where a mobile radiocommunication system of a particular standard is deployed in a given geographical area, involving </w:t>
      </w:r>
      <w:r w:rsidRPr="0088226A">
        <w:rPr>
          <w:i/>
          <w:iCs/>
          <w:lang w:val="en-US"/>
        </w:rPr>
        <w:t xml:space="preserve">J </w:t>
      </w:r>
      <w:r w:rsidRPr="0088226A">
        <w:rPr>
          <w:lang w:val="en-US"/>
        </w:rPr>
        <w:t>base stations operating on fixed frequencies. For the general case, the spectrum utilization efficiency is given by the complex parameter:</w:t>
      </w:r>
    </w:p>
    <w:p w:rsidR="0088226A" w:rsidRPr="0088226A" w:rsidRDefault="0088226A" w:rsidP="0088226A">
      <w:pPr>
        <w:pStyle w:val="Equation"/>
        <w:rPr>
          <w:lang w:val="en-US"/>
        </w:rPr>
      </w:pPr>
      <w:r w:rsidRPr="0088226A">
        <w:rPr>
          <w:lang w:val="en-US"/>
        </w:rPr>
        <w:tab/>
      </w:r>
      <w:r w:rsidRPr="0088226A">
        <w:rPr>
          <w:lang w:val="en-US"/>
        </w:rPr>
        <w:tab/>
      </w:r>
      <w:r w:rsidRPr="00C12926">
        <w:rPr>
          <w:position w:val="-10"/>
        </w:rPr>
        <w:object w:dxaOrig="1380" w:dyaOrig="340">
          <v:shape id="_x0000_i1041" type="#_x0000_t75" style="width:69pt;height:16.8pt" o:ole="" fillcolor="window">
            <v:imagedata r:id="rId45" o:title=""/>
          </v:shape>
          <o:OLEObject Type="Embed" ProgID="Equation.3" ShapeID="_x0000_i1041" DrawAspect="Content" ObjectID="_1370947773" r:id="rId46"/>
        </w:object>
      </w:r>
      <w:r w:rsidRPr="0088226A">
        <w:rPr>
          <w:lang w:val="en-US"/>
        </w:rPr>
        <w:tab/>
        <w:t>(15)</w:t>
      </w:r>
    </w:p>
    <w:p w:rsidR="0088226A" w:rsidRPr="0088226A" w:rsidRDefault="0088226A" w:rsidP="0088226A">
      <w:pPr>
        <w:rPr>
          <w:lang w:val="en-US"/>
        </w:rPr>
      </w:pPr>
      <w:r w:rsidRPr="0088226A">
        <w:rPr>
          <w:lang w:val="en-US"/>
        </w:rPr>
        <w:t>where:</w:t>
      </w:r>
    </w:p>
    <w:p w:rsidR="0088226A" w:rsidRPr="00C12926" w:rsidRDefault="0088226A" w:rsidP="0088226A">
      <w:pPr>
        <w:pStyle w:val="Equationlegend"/>
      </w:pPr>
      <w:r w:rsidRPr="00C12926">
        <w:rPr>
          <w:i/>
          <w:iCs/>
        </w:rPr>
        <w:tab/>
        <w:t>M</w:t>
      </w:r>
      <w:r w:rsidRPr="00C12926">
        <w:t>:</w:t>
      </w:r>
      <w:r w:rsidRPr="00C12926">
        <w:rPr>
          <w:i/>
          <w:iCs/>
        </w:rPr>
        <w:tab/>
      </w:r>
      <w:r w:rsidRPr="00C12926">
        <w:t>useful effect obtained with the aid of the communication system in question</w:t>
      </w:r>
    </w:p>
    <w:p w:rsidR="0088226A" w:rsidRPr="00C12926" w:rsidRDefault="0088226A" w:rsidP="0088226A">
      <w:pPr>
        <w:pStyle w:val="Equationlegend"/>
        <w:rPr>
          <w:iCs/>
        </w:rPr>
      </w:pPr>
      <w:r w:rsidRPr="00C12926">
        <w:rPr>
          <w:i/>
        </w:rPr>
        <w:tab/>
        <w:t>U</w:t>
      </w:r>
      <w:r w:rsidRPr="00C12926">
        <w:t>:</w:t>
      </w:r>
      <w:r w:rsidRPr="00C12926">
        <w:rPr>
          <w:i/>
        </w:rPr>
        <w:tab/>
      </w:r>
      <w:r w:rsidRPr="00C12926">
        <w:rPr>
          <w:iCs/>
        </w:rPr>
        <w:t>spectrum utilization factor for that system.</w:t>
      </w:r>
    </w:p>
    <w:p w:rsidR="0088226A" w:rsidRPr="0088226A" w:rsidRDefault="0088226A" w:rsidP="0088226A">
      <w:pPr>
        <w:pStyle w:val="Heading3"/>
        <w:rPr>
          <w:lang w:val="en-US"/>
        </w:rPr>
      </w:pPr>
      <w:r w:rsidRPr="0088226A">
        <w:rPr>
          <w:lang w:val="en-US"/>
        </w:rPr>
        <w:t>1.4.2</w:t>
      </w:r>
      <w:r w:rsidRPr="0088226A">
        <w:rPr>
          <w:lang w:val="en-US"/>
        </w:rPr>
        <w:tab/>
        <w:t>Definition of useful effect</w:t>
      </w:r>
    </w:p>
    <w:p w:rsidR="0088226A" w:rsidRPr="0088226A" w:rsidRDefault="0088226A" w:rsidP="0088226A">
      <w:pPr>
        <w:rPr>
          <w:lang w:val="en-US"/>
        </w:rPr>
      </w:pPr>
      <w:r w:rsidRPr="0088226A">
        <w:rPr>
          <w:lang w:val="en-US"/>
        </w:rPr>
        <w:t xml:space="preserve">The usefulness of a mobile communication system is determined by the ability of users to send and receive information while located at some arbitrary point within the geographical area. The useful effect increases with the amount of information that can be transferred in a given time (or the volume of traffic within the service area) and with the amount of the area that is in fact accessible. The useful effect is best characterized with two quantities: the total traffic generated within the limits of the service area </w:t>
      </w:r>
      <w:r w:rsidRPr="0088226A">
        <w:rPr>
          <w:i/>
          <w:iCs/>
          <w:lang w:val="en-US"/>
        </w:rPr>
        <w:t>E</w:t>
      </w:r>
      <w:r w:rsidRPr="0088226A">
        <w:rPr>
          <w:lang w:val="en-US"/>
        </w:rPr>
        <w:t xml:space="preserve"> and the relative size of the service area, given by </w:t>
      </w:r>
      <w:r w:rsidRPr="0088226A">
        <w:rPr>
          <w:i/>
          <w:lang w:val="en-US"/>
        </w:rPr>
        <w:t>S</w:t>
      </w:r>
      <w:r w:rsidRPr="0088226A">
        <w:rPr>
          <w:i/>
          <w:vertAlign w:val="subscript"/>
          <w:lang w:val="en-US"/>
        </w:rPr>
        <w:t>r</w:t>
      </w:r>
      <w:r w:rsidRPr="0088226A">
        <w:rPr>
          <w:lang w:val="en-US"/>
        </w:rPr>
        <w:t> </w:t>
      </w:r>
      <w:r w:rsidRPr="0088226A">
        <w:rPr>
          <w:i/>
          <w:lang w:val="en-US"/>
        </w:rPr>
        <w:t>= S</w:t>
      </w:r>
      <w:r w:rsidRPr="0088226A">
        <w:rPr>
          <w:i/>
          <w:vertAlign w:val="subscript"/>
          <w:lang w:val="en-US"/>
        </w:rPr>
        <w:t>s</w:t>
      </w:r>
      <w:r w:rsidRPr="0088226A">
        <w:rPr>
          <w:iCs/>
          <w:lang w:val="en-US"/>
        </w:rPr>
        <w:t>/</w:t>
      </w:r>
      <w:r w:rsidRPr="0088226A">
        <w:rPr>
          <w:i/>
          <w:lang w:val="en-US"/>
        </w:rPr>
        <w:t>S</w:t>
      </w:r>
      <w:r w:rsidRPr="0088226A">
        <w:rPr>
          <w:iCs/>
          <w:lang w:val="en-US"/>
        </w:rPr>
        <w:t>,</w:t>
      </w:r>
      <w:r w:rsidRPr="0088226A">
        <w:rPr>
          <w:lang w:val="en-US"/>
        </w:rPr>
        <w:t xml:space="preserve"> where </w:t>
      </w:r>
      <w:r w:rsidRPr="0088226A">
        <w:rPr>
          <w:i/>
          <w:lang w:val="en-US"/>
        </w:rPr>
        <w:t>S</w:t>
      </w:r>
      <w:r w:rsidRPr="0088226A">
        <w:rPr>
          <w:i/>
          <w:vertAlign w:val="subscript"/>
          <w:lang w:val="en-US"/>
        </w:rPr>
        <w:t xml:space="preserve">s </w:t>
      </w:r>
      <w:r w:rsidRPr="0088226A">
        <w:rPr>
          <w:iCs/>
          <w:lang w:val="en-US"/>
        </w:rPr>
        <w:t>and</w:t>
      </w:r>
      <w:r w:rsidRPr="0088226A">
        <w:rPr>
          <w:i/>
          <w:lang w:val="en-US"/>
        </w:rPr>
        <w:t> S</w:t>
      </w:r>
      <w:r w:rsidRPr="0088226A">
        <w:rPr>
          <w:lang w:val="en-US"/>
        </w:rPr>
        <w:t xml:space="preserve"> are the service area of the system in question and the total surface area of the geographical area being considered, respectively. The useful effect may be given by the equation:</w:t>
      </w:r>
    </w:p>
    <w:p w:rsidR="0088226A" w:rsidRPr="0088226A" w:rsidRDefault="0088226A" w:rsidP="0088226A">
      <w:pPr>
        <w:pStyle w:val="Equation"/>
        <w:rPr>
          <w:lang w:val="en-US"/>
        </w:rPr>
      </w:pPr>
      <w:r w:rsidRPr="0088226A">
        <w:rPr>
          <w:lang w:val="en-US"/>
        </w:rPr>
        <w:tab/>
      </w:r>
      <w:r w:rsidRPr="0088226A">
        <w:rPr>
          <w:lang w:val="en-US"/>
        </w:rPr>
        <w:tab/>
      </w:r>
      <w:r w:rsidRPr="00C12926">
        <w:rPr>
          <w:position w:val="-10"/>
        </w:rPr>
        <w:object w:dxaOrig="1040" w:dyaOrig="340">
          <v:shape id="_x0000_i1042" type="#_x0000_t75" style="width:52.2pt;height:17.4pt" o:ole="">
            <v:imagedata r:id="rId47" o:title=""/>
          </v:shape>
          <o:OLEObject Type="Embed" ProgID="Equation.3" ShapeID="_x0000_i1042" DrawAspect="Content" ObjectID="_1370947774" r:id="rId48"/>
        </w:object>
      </w:r>
      <w:r w:rsidRPr="0088226A">
        <w:rPr>
          <w:lang w:val="en-US"/>
        </w:rPr>
        <w:tab/>
        <w:t>(16)</w:t>
      </w:r>
    </w:p>
    <w:p w:rsidR="0088226A" w:rsidRPr="0088226A" w:rsidRDefault="0088226A" w:rsidP="0088226A">
      <w:pPr>
        <w:rPr>
          <w:lang w:val="en-US"/>
        </w:rPr>
      </w:pPr>
      <w:r w:rsidRPr="0088226A">
        <w:rPr>
          <w:lang w:val="en-US"/>
        </w:rPr>
        <w:t xml:space="preserve">Clearly, in cases where the value of </w:t>
      </w:r>
      <w:r w:rsidRPr="0088226A">
        <w:rPr>
          <w:i/>
          <w:lang w:val="en-US"/>
        </w:rPr>
        <w:t>S</w:t>
      </w:r>
      <w:r w:rsidRPr="0088226A">
        <w:rPr>
          <w:i/>
          <w:vertAlign w:val="subscript"/>
          <w:lang w:val="en-US"/>
        </w:rPr>
        <w:t>s</w:t>
      </w:r>
      <w:r w:rsidRPr="0088226A">
        <w:rPr>
          <w:lang w:val="en-US"/>
        </w:rPr>
        <w:t xml:space="preserve"> is much less than </w:t>
      </w:r>
      <w:r w:rsidRPr="0088226A">
        <w:rPr>
          <w:i/>
          <w:lang w:val="en-US"/>
        </w:rPr>
        <w:t>S </w:t>
      </w:r>
      <w:r w:rsidRPr="0088226A">
        <w:rPr>
          <w:lang w:val="en-US"/>
        </w:rPr>
        <w:t>(</w:t>
      </w:r>
      <w:r w:rsidRPr="0088226A">
        <w:rPr>
          <w:i/>
          <w:lang w:val="en-US"/>
        </w:rPr>
        <w:t>S</w:t>
      </w:r>
      <w:r w:rsidRPr="0088226A">
        <w:rPr>
          <w:i/>
          <w:vertAlign w:val="subscript"/>
          <w:lang w:val="en-US"/>
        </w:rPr>
        <w:t>r</w:t>
      </w:r>
      <w:r w:rsidRPr="0088226A">
        <w:rPr>
          <w:lang w:val="en-US"/>
        </w:rPr>
        <w:t> </w:t>
      </w:r>
      <w:r w:rsidRPr="0088226A">
        <w:rPr>
          <w:i/>
          <w:lang w:val="en-US"/>
        </w:rPr>
        <w:t>≈ </w:t>
      </w:r>
      <w:r w:rsidRPr="0088226A">
        <w:rPr>
          <w:lang w:val="en-US"/>
        </w:rPr>
        <w:t>0), the usefulness of the (mobile) system in question will be very low. The services provided by such a system will not be appreciably different from those of a fixed communication system.</w:t>
      </w:r>
    </w:p>
    <w:p w:rsidR="0088226A" w:rsidRPr="0088226A" w:rsidRDefault="0088226A" w:rsidP="0088226A">
      <w:pPr>
        <w:rPr>
          <w:lang w:val="en-US"/>
        </w:rPr>
      </w:pPr>
      <w:r w:rsidRPr="0088226A">
        <w:rPr>
          <w:lang w:val="en-US"/>
        </w:rPr>
        <w:t xml:space="preserve">The total traffic generated within the limits of the service area </w:t>
      </w:r>
      <w:r w:rsidRPr="0088226A">
        <w:rPr>
          <w:i/>
          <w:iCs/>
          <w:lang w:val="en-US"/>
        </w:rPr>
        <w:t>E</w:t>
      </w:r>
      <w:r w:rsidRPr="0088226A">
        <w:rPr>
          <w:lang w:val="en-US"/>
        </w:rPr>
        <w:t xml:space="preserve"> may be determined from the billing subsystems of the mobile communication system, the databases of which contain a durable record of communication start and end times. The total service area may be calculated as the union of the </w:t>
      </w:r>
      <w:r w:rsidRPr="0088226A">
        <w:rPr>
          <w:lang w:val="en-US"/>
        </w:rPr>
        <w:lastRenderedPageBreak/>
        <w:t xml:space="preserve">individual service areas of the base stations of the mobile communication system, or </w:t>
      </w:r>
      <w:r w:rsidRPr="0088226A">
        <w:rPr>
          <w:i/>
          <w:lang w:val="en-US"/>
        </w:rPr>
        <w:t>S</w:t>
      </w:r>
      <w:r w:rsidRPr="0088226A">
        <w:rPr>
          <w:i/>
          <w:vertAlign w:val="subscript"/>
          <w:lang w:val="en-US"/>
        </w:rPr>
        <w:t>s</w:t>
      </w:r>
      <w:r w:rsidRPr="0088226A">
        <w:rPr>
          <w:i/>
          <w:lang w:val="en-US"/>
        </w:rPr>
        <w:t> = </w:t>
      </w:r>
      <w:r w:rsidRPr="00C12926">
        <w:rPr>
          <w:iCs/>
        </w:rPr>
        <w:sym w:font="Symbol" w:char="F0C8"/>
      </w:r>
      <w:r w:rsidRPr="0088226A">
        <w:rPr>
          <w:i/>
          <w:lang w:val="en-US"/>
        </w:rPr>
        <w:t> S</w:t>
      </w:r>
      <w:r w:rsidRPr="0088226A">
        <w:rPr>
          <w:i/>
          <w:vertAlign w:val="subscript"/>
          <w:lang w:val="en-US"/>
        </w:rPr>
        <w:t>j</w:t>
      </w:r>
      <w:r w:rsidRPr="0088226A">
        <w:rPr>
          <w:lang w:val="en-US"/>
        </w:rPr>
        <w:t xml:space="preserve">, where </w:t>
      </w:r>
      <w:r w:rsidRPr="0088226A">
        <w:rPr>
          <w:i/>
          <w:lang w:val="en-US"/>
        </w:rPr>
        <w:t>S</w:t>
      </w:r>
      <w:r w:rsidRPr="0088226A">
        <w:rPr>
          <w:i/>
          <w:vertAlign w:val="subscript"/>
          <w:lang w:val="en-US"/>
        </w:rPr>
        <w:t>j</w:t>
      </w:r>
      <w:r w:rsidRPr="0088226A">
        <w:rPr>
          <w:lang w:val="en-US"/>
        </w:rPr>
        <w:t xml:space="preserve"> is the service area of the </w:t>
      </w:r>
      <w:r w:rsidRPr="0088226A">
        <w:rPr>
          <w:i/>
          <w:lang w:val="en-US"/>
        </w:rPr>
        <w:t>j</w:t>
      </w:r>
      <w:r w:rsidRPr="0088226A">
        <w:rPr>
          <w:i/>
          <w:lang w:val="en-US"/>
        </w:rPr>
        <w:noBreakHyphen/>
      </w:r>
      <w:r w:rsidRPr="0088226A">
        <w:rPr>
          <w:lang w:val="en-US"/>
        </w:rPr>
        <w:t>th base station.</w:t>
      </w:r>
    </w:p>
    <w:p w:rsidR="0088226A" w:rsidRPr="0088226A" w:rsidRDefault="0088226A" w:rsidP="0088226A">
      <w:pPr>
        <w:rPr>
          <w:lang w:val="en-US"/>
        </w:rPr>
      </w:pPr>
      <w:r w:rsidRPr="0088226A">
        <w:rPr>
          <w:lang w:val="en-US"/>
        </w:rPr>
        <w:t xml:space="preserve">In certain cases, where data needed to calculate the traffic volume generated within the service area is not available, or if it is desired to examine the potential for a mobile communication system, it may be possible to calculate the useful effect by taking equation (16) and replacing the total traffic variable, </w:t>
      </w:r>
      <w:r w:rsidRPr="0088226A">
        <w:rPr>
          <w:i/>
          <w:iCs/>
          <w:lang w:val="en-US"/>
        </w:rPr>
        <w:t>E</w:t>
      </w:r>
      <w:r w:rsidRPr="0088226A">
        <w:rPr>
          <w:lang w:val="en-US"/>
        </w:rPr>
        <w:t xml:space="preserve">, with the relative number of subscribers of the mobile system, </w:t>
      </w:r>
      <w:r w:rsidRPr="0088226A">
        <w:rPr>
          <w:i/>
          <w:lang w:val="en-US"/>
        </w:rPr>
        <w:t>N</w:t>
      </w:r>
      <w:r w:rsidRPr="0088226A">
        <w:rPr>
          <w:i/>
          <w:vertAlign w:val="subscript"/>
          <w:lang w:val="en-US"/>
        </w:rPr>
        <w:t>r</w:t>
      </w:r>
      <w:r w:rsidRPr="0088226A">
        <w:rPr>
          <w:i/>
          <w:lang w:val="en-US"/>
        </w:rPr>
        <w:t> = N</w:t>
      </w:r>
      <w:r w:rsidRPr="0088226A">
        <w:rPr>
          <w:i/>
          <w:vertAlign w:val="subscript"/>
          <w:lang w:val="en-US"/>
        </w:rPr>
        <w:t>a</w:t>
      </w:r>
      <w:r w:rsidRPr="0088226A">
        <w:rPr>
          <w:iCs/>
          <w:lang w:val="en-US"/>
        </w:rPr>
        <w:t>/</w:t>
      </w:r>
      <w:r w:rsidRPr="0088226A">
        <w:rPr>
          <w:i/>
          <w:lang w:val="en-US"/>
        </w:rPr>
        <w:t>N</w:t>
      </w:r>
      <w:r w:rsidRPr="0088226A">
        <w:rPr>
          <w:lang w:val="en-US"/>
        </w:rPr>
        <w:t xml:space="preserve">, where </w:t>
      </w:r>
      <w:r w:rsidRPr="0088226A">
        <w:rPr>
          <w:i/>
          <w:lang w:val="en-US"/>
        </w:rPr>
        <w:t>N</w:t>
      </w:r>
      <w:r w:rsidRPr="0088226A">
        <w:rPr>
          <w:i/>
          <w:vertAlign w:val="subscript"/>
          <w:lang w:val="en-US"/>
        </w:rPr>
        <w:t>a</w:t>
      </w:r>
      <w:r w:rsidRPr="0088226A">
        <w:rPr>
          <w:i/>
          <w:lang w:val="en-US"/>
        </w:rPr>
        <w:t xml:space="preserve"> </w:t>
      </w:r>
      <w:r w:rsidRPr="0088226A">
        <w:rPr>
          <w:iCs/>
          <w:lang w:val="en-US"/>
        </w:rPr>
        <w:t>and</w:t>
      </w:r>
      <w:r w:rsidRPr="0088226A">
        <w:rPr>
          <w:i/>
          <w:lang w:val="en-US"/>
        </w:rPr>
        <w:t xml:space="preserve"> N</w:t>
      </w:r>
      <w:r w:rsidRPr="0088226A">
        <w:rPr>
          <w:lang w:val="en-US"/>
        </w:rPr>
        <w:t xml:space="preserve"> are, respectively, the number of subscribers and the total population in the geographical area in question. The expression for the useful effect then becomes:</w:t>
      </w:r>
    </w:p>
    <w:p w:rsidR="0088226A" w:rsidRPr="0088226A" w:rsidRDefault="0088226A" w:rsidP="0088226A">
      <w:pPr>
        <w:pStyle w:val="Equation"/>
        <w:rPr>
          <w:lang w:val="en-US"/>
        </w:rPr>
      </w:pPr>
      <w:r w:rsidRPr="0088226A">
        <w:rPr>
          <w:lang w:val="en-US"/>
        </w:rPr>
        <w:tab/>
      </w:r>
      <w:r w:rsidRPr="0088226A">
        <w:rPr>
          <w:lang w:val="en-US"/>
        </w:rPr>
        <w:tab/>
      </w:r>
      <w:r w:rsidRPr="00C12926">
        <w:rPr>
          <w:position w:val="-10"/>
        </w:rPr>
        <w:object w:dxaOrig="1180" w:dyaOrig="340">
          <v:shape id="_x0000_i1043" type="#_x0000_t75" style="width:58.8pt;height:17.4pt" o:ole="">
            <v:imagedata r:id="rId49" o:title=""/>
          </v:shape>
          <o:OLEObject Type="Embed" ProgID="Equation.3" ShapeID="_x0000_i1043" DrawAspect="Content" ObjectID="_1370947775" r:id="rId50"/>
        </w:object>
      </w:r>
      <w:r w:rsidRPr="0088226A">
        <w:rPr>
          <w:lang w:val="en-US"/>
        </w:rPr>
        <w:tab/>
        <w:t>(17)</w:t>
      </w:r>
    </w:p>
    <w:p w:rsidR="0088226A" w:rsidRPr="0088226A" w:rsidRDefault="0088226A" w:rsidP="0088226A">
      <w:pPr>
        <w:rPr>
          <w:lang w:val="en-US"/>
        </w:rPr>
      </w:pPr>
      <w:r w:rsidRPr="0088226A">
        <w:rPr>
          <w:lang w:val="en-US"/>
        </w:rPr>
        <w:t>This indicator has an intuitive physical interpretation. Under certain assumptions, the result is equal to the probability that any given inhabitant of the geographical area in question, located at any given location therein, can make use of the services of the mobile communication system. It also indicates the goal of developing mobile communication systems: the indicator reaches a value of one when all inhabitants of the area (</w:t>
      </w:r>
      <w:r w:rsidRPr="0088226A">
        <w:rPr>
          <w:i/>
          <w:lang w:val="en-US"/>
        </w:rPr>
        <w:t>N</w:t>
      </w:r>
      <w:r w:rsidRPr="0088226A">
        <w:rPr>
          <w:i/>
          <w:vertAlign w:val="subscript"/>
          <w:lang w:val="en-US"/>
        </w:rPr>
        <w:t>a</w:t>
      </w:r>
      <w:r w:rsidRPr="0088226A">
        <w:rPr>
          <w:i/>
          <w:lang w:val="en-US"/>
        </w:rPr>
        <w:t> = N</w:t>
      </w:r>
      <w:r w:rsidRPr="0088226A">
        <w:rPr>
          <w:lang w:val="en-US"/>
        </w:rPr>
        <w:t>) have access to the service throughout the area (</w:t>
      </w:r>
      <w:r w:rsidRPr="0088226A">
        <w:rPr>
          <w:i/>
          <w:lang w:val="en-US"/>
        </w:rPr>
        <w:t>S</w:t>
      </w:r>
      <w:r w:rsidRPr="0088226A">
        <w:rPr>
          <w:i/>
          <w:vertAlign w:val="subscript"/>
          <w:lang w:val="en-US"/>
        </w:rPr>
        <w:t>s</w:t>
      </w:r>
      <w:r w:rsidRPr="0088226A">
        <w:rPr>
          <w:i/>
          <w:lang w:val="en-US"/>
        </w:rPr>
        <w:t> = S</w:t>
      </w:r>
      <w:r w:rsidRPr="0088226A">
        <w:rPr>
          <w:lang w:val="en-US"/>
        </w:rPr>
        <w:t>). In this situation the useful effect reaches its maximum value of one (</w:t>
      </w:r>
      <w:r w:rsidRPr="0088226A">
        <w:rPr>
          <w:i/>
          <w:iCs/>
          <w:lang w:val="en-US"/>
        </w:rPr>
        <w:t>M </w:t>
      </w:r>
      <w:r w:rsidRPr="0088226A">
        <w:rPr>
          <w:lang w:val="en-US"/>
        </w:rPr>
        <w:t>= 1).</w:t>
      </w:r>
    </w:p>
    <w:p w:rsidR="0088226A" w:rsidRPr="00E64C3F" w:rsidRDefault="0088226A" w:rsidP="0088226A">
      <w:pPr>
        <w:pStyle w:val="Heading3"/>
        <w:rPr>
          <w:lang w:val="en-US"/>
        </w:rPr>
      </w:pPr>
      <w:r w:rsidRPr="00E64C3F">
        <w:rPr>
          <w:lang w:val="en-US"/>
        </w:rPr>
        <w:t>1.4.3</w:t>
      </w:r>
      <w:r w:rsidRPr="00E64C3F">
        <w:rPr>
          <w:lang w:val="en-US"/>
        </w:rPr>
        <w:tab/>
        <w:t xml:space="preserve">Definition of spectrum utilization factor </w:t>
      </w:r>
    </w:p>
    <w:p w:rsidR="0088226A" w:rsidRPr="0088226A" w:rsidRDefault="0088226A" w:rsidP="0088226A">
      <w:pPr>
        <w:rPr>
          <w:lang w:val="en-US"/>
        </w:rPr>
      </w:pPr>
      <w:r w:rsidRPr="0088226A">
        <w:rPr>
          <w:lang w:val="en-US"/>
        </w:rPr>
        <w:t xml:space="preserve">Spectrum utilization is determined by considering what limitations existing radio stations impose on its utilization by new stations. For a base station situated at some geographical point </w:t>
      </w:r>
      <w:r w:rsidRPr="0088226A">
        <w:rPr>
          <w:i/>
          <w:iCs/>
          <w:lang w:val="en-US"/>
        </w:rPr>
        <w:t xml:space="preserve">i </w:t>
      </w:r>
      <w:r w:rsidRPr="0088226A">
        <w:rPr>
          <w:lang w:val="en-US"/>
        </w:rPr>
        <w:t xml:space="preserve">in the area, this may be the total number </w:t>
      </w:r>
      <w:r w:rsidRPr="0088226A">
        <w:rPr>
          <w:i/>
          <w:lang w:val="en-US"/>
        </w:rPr>
        <w:t>K</w:t>
      </w:r>
      <w:r w:rsidRPr="0088226A">
        <w:rPr>
          <w:i/>
          <w:vertAlign w:val="subscript"/>
          <w:lang w:val="en-US"/>
        </w:rPr>
        <w:t>i</w:t>
      </w:r>
      <w:r w:rsidRPr="0088226A">
        <w:rPr>
          <w:lang w:val="en-US"/>
        </w:rPr>
        <w:t xml:space="preserve"> of frequency bands denied because of EMC non-compliance, or it may be proportion, </w:t>
      </w:r>
      <w:r w:rsidRPr="00C12926">
        <w:rPr>
          <w:position w:val="-24"/>
        </w:rPr>
        <w:object w:dxaOrig="820" w:dyaOrig="620">
          <v:shape id="_x0000_i1044" type="#_x0000_t75" style="width:40.8pt;height:31.2pt" o:ole="" fillcolor="window">
            <v:imagedata r:id="rId51" o:title=""/>
          </v:shape>
          <o:OLEObject Type="Embed" ProgID="Equation.3" ShapeID="_x0000_i1044" DrawAspect="Content" ObjectID="_1370947776" r:id="rId52"/>
        </w:object>
      </w:r>
      <w:r w:rsidRPr="0088226A">
        <w:rPr>
          <w:lang w:val="en-US"/>
        </w:rPr>
        <w:t xml:space="preserve">, where </w:t>
      </w:r>
      <w:r w:rsidRPr="0088226A">
        <w:rPr>
          <w:i/>
          <w:iCs/>
          <w:lang w:val="en-US"/>
        </w:rPr>
        <w:t>K</w:t>
      </w:r>
      <w:r w:rsidRPr="0088226A">
        <w:rPr>
          <w:lang w:val="en-US"/>
        </w:rPr>
        <w:t xml:space="preserve"> is the total number of frequency bands authorized for use by mobile communication systems of the type in question. It is considered that EMC conditions are not met at a given frequency if the transmitter of one or more base stations (out of a total of </w:t>
      </w:r>
      <w:r w:rsidRPr="0088226A">
        <w:rPr>
          <w:i/>
          <w:iCs/>
          <w:lang w:val="en-US"/>
        </w:rPr>
        <w:t xml:space="preserve">J </w:t>
      </w:r>
      <w:r w:rsidRPr="0088226A">
        <w:rPr>
          <w:lang w:val="en-US"/>
        </w:rPr>
        <w:t xml:space="preserve">base stations) creates unacceptable interference for the receiver of a mobile station that is in communication with the new base station, or if a transmitter of the new base station creates unacceptable interference for a receiver in communication with any of the existing base stations. </w:t>
      </w:r>
    </w:p>
    <w:p w:rsidR="0088226A" w:rsidRPr="0088226A" w:rsidRDefault="0088226A" w:rsidP="0088226A">
      <w:pPr>
        <w:rPr>
          <w:lang w:val="en-US"/>
        </w:rPr>
      </w:pPr>
      <w:r w:rsidRPr="0088226A">
        <w:rPr>
          <w:lang w:val="en-US"/>
        </w:rPr>
        <w:t>The conditions for determining whether a portion of the spectrum is denied in the mobile-base station direction are similar. Because the limitations depend on the position of the theoretical new base station, multiple results are obtained. They can be simplified by taking the limitations derived for different parts of the territory in question and performing a suitable calculation. The best way is to calculate a weighted average, taking for the weighting factor the proportion of the population that lives in each part of the area. In this way, the greater value of spectrum in densely populated areas is recognized. The spectrum utilization factor can thus be determined using the equation:</w:t>
      </w:r>
    </w:p>
    <w:p w:rsidR="0088226A" w:rsidRPr="0088226A" w:rsidRDefault="0088226A" w:rsidP="0088226A">
      <w:pPr>
        <w:pStyle w:val="Equation"/>
        <w:rPr>
          <w:lang w:val="en-US"/>
        </w:rPr>
      </w:pPr>
      <w:r w:rsidRPr="0088226A">
        <w:rPr>
          <w:lang w:val="en-US"/>
        </w:rPr>
        <w:tab/>
      </w:r>
      <w:r w:rsidRPr="0088226A">
        <w:rPr>
          <w:lang w:val="en-US"/>
        </w:rPr>
        <w:tab/>
      </w:r>
      <w:r w:rsidRPr="00C12926">
        <w:rPr>
          <w:position w:val="-30"/>
        </w:rPr>
        <w:object w:dxaOrig="1219" w:dyaOrig="720">
          <v:shape id="_x0000_i1045" type="#_x0000_t75" style="width:61.2pt;height:36pt" o:ole="" fillcolor="window">
            <v:imagedata r:id="rId53" o:title=""/>
          </v:shape>
          <o:OLEObject Type="Embed" ProgID="Equation.3" ShapeID="_x0000_i1045" DrawAspect="Content" ObjectID="_1370947777" r:id="rId54"/>
        </w:object>
      </w:r>
      <w:r w:rsidRPr="0088226A">
        <w:rPr>
          <w:lang w:val="en-US"/>
        </w:rPr>
        <w:tab/>
        <w:t>(18)</w:t>
      </w:r>
    </w:p>
    <w:p w:rsidR="0088226A" w:rsidRPr="0088226A" w:rsidRDefault="0088226A" w:rsidP="0088226A">
      <w:pPr>
        <w:rPr>
          <w:lang w:val="en-US"/>
        </w:rPr>
      </w:pPr>
      <w:r w:rsidRPr="0088226A">
        <w:rPr>
          <w:lang w:val="en-US"/>
        </w:rPr>
        <w:t>where:</w:t>
      </w:r>
    </w:p>
    <w:p w:rsidR="0088226A" w:rsidRPr="00C12926" w:rsidRDefault="0088226A" w:rsidP="0088226A">
      <w:pPr>
        <w:pStyle w:val="Equationlegend"/>
      </w:pPr>
      <w:r w:rsidRPr="00C12926">
        <w:rPr>
          <w:i/>
          <w:iCs/>
        </w:rPr>
        <w:tab/>
        <w:t>I</w:t>
      </w:r>
      <w:r w:rsidRPr="00C12926">
        <w:t xml:space="preserve">: </w:t>
      </w:r>
      <w:r w:rsidRPr="00C12926">
        <w:tab/>
        <w:t>number of area elements in the geographical area</w:t>
      </w:r>
    </w:p>
    <w:p w:rsidR="0088226A" w:rsidRPr="00C12926" w:rsidRDefault="0088226A" w:rsidP="0088226A">
      <w:pPr>
        <w:pStyle w:val="Equationlegend"/>
        <w:tabs>
          <w:tab w:val="left" w:pos="3060"/>
        </w:tabs>
        <w:rPr>
          <w:noProof/>
        </w:rPr>
      </w:pPr>
      <w:r>
        <w:rPr>
          <w:noProof/>
        </w:rPr>
        <w:tab/>
      </w:r>
      <w:r w:rsidRPr="00C12926">
        <w:rPr>
          <w:noProof/>
          <w:position w:val="-24"/>
        </w:rPr>
        <w:object w:dxaOrig="760" w:dyaOrig="620">
          <v:shape id="_x0000_i1046" type="#_x0000_t75" style="width:37.8pt;height:31.2pt" o:ole="" fillcolor="window">
            <v:imagedata r:id="rId55" o:title=""/>
          </v:shape>
          <o:OLEObject Type="Embed" ProgID="Equation.3" ShapeID="_x0000_i1046" DrawAspect="Content" ObjectID="_1370947778" r:id="rId56"/>
        </w:object>
      </w:r>
      <w:r w:rsidRPr="00C12926">
        <w:t>:</w:t>
      </w:r>
      <w:r w:rsidRPr="00C12926">
        <w:rPr>
          <w:noProof/>
        </w:rPr>
        <w:t xml:space="preserve"> </w:t>
      </w:r>
      <w:r w:rsidRPr="00C12926">
        <w:rPr>
          <w:noProof/>
        </w:rPr>
        <w:tab/>
        <w:t xml:space="preserve">proportion of the total population living in the </w:t>
      </w:r>
      <w:r w:rsidRPr="00C12926">
        <w:rPr>
          <w:i/>
          <w:iCs/>
          <w:noProof/>
        </w:rPr>
        <w:t>i-</w:t>
      </w:r>
      <w:r w:rsidRPr="00C12926">
        <w:rPr>
          <w:noProof/>
        </w:rPr>
        <w:t>th area element</w:t>
      </w:r>
    </w:p>
    <w:p w:rsidR="0088226A" w:rsidRPr="00C12926" w:rsidRDefault="0088226A" w:rsidP="0088226A">
      <w:pPr>
        <w:pStyle w:val="Equationlegend"/>
        <w:rPr>
          <w:i/>
        </w:rPr>
      </w:pPr>
      <w:r w:rsidRPr="00C12926">
        <w:rPr>
          <w:i/>
        </w:rPr>
        <w:tab/>
        <w:t>n</w:t>
      </w:r>
      <w:r w:rsidRPr="00C12926">
        <w:rPr>
          <w:i/>
          <w:vertAlign w:val="subscript"/>
        </w:rPr>
        <w:t>i</w:t>
      </w:r>
      <w:r w:rsidRPr="00C12926">
        <w:t xml:space="preserve">: </w:t>
      </w:r>
      <w:r w:rsidRPr="00C12926">
        <w:tab/>
        <w:t xml:space="preserve">number of inhabitants </w:t>
      </w:r>
      <w:r w:rsidRPr="00C12926">
        <w:rPr>
          <w:noProof/>
        </w:rPr>
        <w:t xml:space="preserve">living in the </w:t>
      </w:r>
      <w:r w:rsidRPr="00C12926">
        <w:rPr>
          <w:i/>
          <w:iCs/>
          <w:noProof/>
        </w:rPr>
        <w:t>i-</w:t>
      </w:r>
      <w:r w:rsidRPr="00C12926">
        <w:rPr>
          <w:noProof/>
        </w:rPr>
        <w:t>th area element; and</w:t>
      </w:r>
    </w:p>
    <w:p w:rsidR="0088226A" w:rsidRPr="00C12926" w:rsidRDefault="0088226A" w:rsidP="0088226A">
      <w:pPr>
        <w:pStyle w:val="Equationlegend"/>
        <w:rPr>
          <w:i/>
        </w:rPr>
      </w:pPr>
      <w:r w:rsidRPr="00C12926">
        <w:rPr>
          <w:i/>
        </w:rPr>
        <w:tab/>
        <w:t>U</w:t>
      </w:r>
      <w:r w:rsidRPr="00C12926">
        <w:rPr>
          <w:i/>
          <w:vertAlign w:val="subscript"/>
        </w:rPr>
        <w:t>i</w:t>
      </w:r>
      <w:r w:rsidRPr="00C12926">
        <w:t>:</w:t>
      </w:r>
      <w:r w:rsidRPr="00C12926">
        <w:rPr>
          <w:i/>
          <w:vertAlign w:val="subscript"/>
        </w:rPr>
        <w:tab/>
      </w:r>
      <w:r w:rsidRPr="00C12926">
        <w:t xml:space="preserve">proportion of frequency bands that would be denied to a base station situated at the centre of the </w:t>
      </w:r>
      <w:r w:rsidRPr="00C12926">
        <w:rPr>
          <w:i/>
          <w:iCs/>
        </w:rPr>
        <w:t>i-</w:t>
      </w:r>
      <w:r w:rsidRPr="00C12926">
        <w:t>th area element due to EMC non-compliance.</w:t>
      </w:r>
    </w:p>
    <w:p w:rsidR="0088226A" w:rsidRPr="0088226A" w:rsidRDefault="0088226A" w:rsidP="0088226A">
      <w:pPr>
        <w:pStyle w:val="Heading3"/>
        <w:rPr>
          <w:lang w:val="en-US"/>
        </w:rPr>
      </w:pPr>
      <w:r w:rsidRPr="0088226A">
        <w:rPr>
          <w:lang w:val="en-US"/>
        </w:rPr>
        <w:lastRenderedPageBreak/>
        <w:t>1.4.4</w:t>
      </w:r>
      <w:r w:rsidRPr="0088226A">
        <w:rPr>
          <w:lang w:val="en-US"/>
        </w:rPr>
        <w:tab/>
        <w:t>Calculating spectrum utilization efficiency</w:t>
      </w:r>
    </w:p>
    <w:p w:rsidR="0088226A" w:rsidRPr="0088226A" w:rsidRDefault="0088226A" w:rsidP="0088226A">
      <w:pPr>
        <w:rPr>
          <w:lang w:val="en-US"/>
        </w:rPr>
      </w:pPr>
      <w:r w:rsidRPr="0088226A">
        <w:rPr>
          <w:lang w:val="en-US"/>
        </w:rPr>
        <w:t>To assess the efficiency of spectrum utilization by mobile communication systems using frequency separation, the following steps are recommended:</w:t>
      </w:r>
    </w:p>
    <w:p w:rsidR="0088226A" w:rsidRPr="0088226A" w:rsidRDefault="0088226A" w:rsidP="0088226A">
      <w:pPr>
        <w:pStyle w:val="enumlev1"/>
        <w:rPr>
          <w:lang w:val="en-US"/>
        </w:rPr>
      </w:pPr>
      <w:bookmarkStart w:id="6" w:name="there"/>
      <w:bookmarkEnd w:id="6"/>
      <w:r w:rsidRPr="0088226A">
        <w:rPr>
          <w:lang w:val="en-US"/>
        </w:rPr>
        <w:t>–</w:t>
      </w:r>
      <w:r w:rsidRPr="0088226A">
        <w:rPr>
          <w:lang w:val="en-US"/>
        </w:rPr>
        <w:tab/>
        <w:t>Divide the geographical area into elements measuring between 1 and 4 km on a side.</w:t>
      </w:r>
    </w:p>
    <w:p w:rsidR="0088226A" w:rsidRPr="0088226A" w:rsidRDefault="0088226A" w:rsidP="0088226A">
      <w:pPr>
        <w:pStyle w:val="enumlev1"/>
        <w:rPr>
          <w:lang w:val="en-US"/>
        </w:rPr>
      </w:pPr>
      <w:r w:rsidRPr="0088226A">
        <w:rPr>
          <w:lang w:val="en-US"/>
        </w:rPr>
        <w:t>–</w:t>
      </w:r>
      <w:r w:rsidRPr="0088226A">
        <w:rPr>
          <w:lang w:val="en-US"/>
        </w:rPr>
        <w:tab/>
        <w:t xml:space="preserve">Determine the service area radii for existing mobile communication base stations, </w:t>
      </w:r>
      <w:r w:rsidRPr="0088226A">
        <w:rPr>
          <w:i/>
          <w:lang w:val="en-US"/>
        </w:rPr>
        <w:t>R</w:t>
      </w:r>
      <w:r w:rsidRPr="0088226A">
        <w:rPr>
          <w:i/>
          <w:vertAlign w:val="subscript"/>
          <w:lang w:val="en-US"/>
        </w:rPr>
        <w:t>j</w:t>
      </w:r>
      <w:r w:rsidRPr="0088226A">
        <w:rPr>
          <w:lang w:val="en-US"/>
        </w:rPr>
        <w:t>.</w:t>
      </w:r>
    </w:p>
    <w:p w:rsidR="0088226A" w:rsidRPr="0088226A" w:rsidRDefault="0088226A" w:rsidP="0088226A">
      <w:pPr>
        <w:pStyle w:val="enumlev1"/>
        <w:rPr>
          <w:lang w:val="en-US"/>
        </w:rPr>
      </w:pPr>
      <w:r w:rsidRPr="0088226A">
        <w:rPr>
          <w:lang w:val="en-US"/>
        </w:rPr>
        <w:t>–</w:t>
      </w:r>
      <w:r w:rsidRPr="0088226A">
        <w:rPr>
          <w:lang w:val="en-US"/>
        </w:rPr>
        <w:tab/>
        <w:t xml:space="preserve">Determine the distances separating the centre of each area element </w:t>
      </w:r>
      <w:r w:rsidRPr="0088226A">
        <w:rPr>
          <w:i/>
          <w:iCs/>
          <w:lang w:val="en-US"/>
        </w:rPr>
        <w:t>i</w:t>
      </w:r>
      <w:r w:rsidRPr="0088226A">
        <w:rPr>
          <w:lang w:val="en-US"/>
        </w:rPr>
        <w:t xml:space="preserve"> from the locations of existing base stations, </w:t>
      </w:r>
      <w:r w:rsidRPr="0088226A">
        <w:rPr>
          <w:i/>
          <w:lang w:val="en-US"/>
        </w:rPr>
        <w:t>R</w:t>
      </w:r>
      <w:r w:rsidRPr="0088226A">
        <w:rPr>
          <w:i/>
          <w:vertAlign w:val="subscript"/>
          <w:lang w:val="en-US"/>
        </w:rPr>
        <w:t>ij</w:t>
      </w:r>
      <w:r w:rsidRPr="0088226A">
        <w:rPr>
          <w:lang w:val="en-US"/>
        </w:rPr>
        <w:t>.</w:t>
      </w:r>
    </w:p>
    <w:p w:rsidR="0088226A" w:rsidRPr="0088226A" w:rsidRDefault="0088226A" w:rsidP="0088226A">
      <w:pPr>
        <w:pStyle w:val="enumlev1"/>
        <w:rPr>
          <w:lang w:val="en-US"/>
        </w:rPr>
      </w:pPr>
      <w:r w:rsidRPr="0088226A">
        <w:rPr>
          <w:lang w:val="en-US"/>
        </w:rPr>
        <w:t>–</w:t>
      </w:r>
      <w:r w:rsidRPr="0088226A">
        <w:rPr>
          <w:lang w:val="en-US"/>
        </w:rPr>
        <w:tab/>
        <w:t xml:space="preserve">For each area element, determine whether it belongs in the service area of one or more base stations, by comparing </w:t>
      </w:r>
      <w:r w:rsidRPr="0088226A">
        <w:rPr>
          <w:i/>
          <w:lang w:val="en-US"/>
        </w:rPr>
        <w:t>R</w:t>
      </w:r>
      <w:r w:rsidRPr="0088226A">
        <w:rPr>
          <w:i/>
          <w:vertAlign w:val="subscript"/>
          <w:lang w:val="en-US"/>
        </w:rPr>
        <w:t xml:space="preserve">j </w:t>
      </w:r>
      <w:r w:rsidRPr="0088226A">
        <w:rPr>
          <w:lang w:val="en-US"/>
        </w:rPr>
        <w:t>and</w:t>
      </w:r>
      <w:r w:rsidRPr="0088226A">
        <w:rPr>
          <w:i/>
          <w:lang w:val="en-US"/>
        </w:rPr>
        <w:t xml:space="preserve"> R</w:t>
      </w:r>
      <w:r w:rsidRPr="0088226A">
        <w:rPr>
          <w:i/>
          <w:vertAlign w:val="subscript"/>
          <w:lang w:val="en-US"/>
        </w:rPr>
        <w:t>ij</w:t>
      </w:r>
      <w:r w:rsidRPr="0088226A">
        <w:rPr>
          <w:lang w:val="en-US"/>
        </w:rPr>
        <w:t>.</w:t>
      </w:r>
    </w:p>
    <w:p w:rsidR="0088226A" w:rsidRPr="0088226A" w:rsidRDefault="0088226A" w:rsidP="0088226A">
      <w:pPr>
        <w:pStyle w:val="enumlev1"/>
        <w:rPr>
          <w:lang w:val="en-US"/>
        </w:rPr>
      </w:pPr>
      <w:r w:rsidRPr="0088226A">
        <w:rPr>
          <w:lang w:val="en-US"/>
        </w:rPr>
        <w:t>–</w:t>
      </w:r>
      <w:r w:rsidRPr="0088226A">
        <w:rPr>
          <w:lang w:val="en-US"/>
        </w:rPr>
        <w:tab/>
        <w:t>Determine the dimensions of the service area for the mobile communication system being considered, by combining all the area elements that fall within the service area of one or more base stations.</w:t>
      </w:r>
    </w:p>
    <w:p w:rsidR="0088226A" w:rsidRPr="0088226A" w:rsidRDefault="0088226A" w:rsidP="0088226A">
      <w:pPr>
        <w:pStyle w:val="enumlev1"/>
        <w:rPr>
          <w:lang w:val="en-US"/>
        </w:rPr>
      </w:pPr>
      <w:r w:rsidRPr="0088226A">
        <w:rPr>
          <w:lang w:val="en-US"/>
        </w:rPr>
        <w:t>–</w:t>
      </w:r>
      <w:r w:rsidRPr="0088226A">
        <w:rPr>
          <w:lang w:val="en-US"/>
        </w:rPr>
        <w:tab/>
        <w:t>Obtain the useful effect indicator by means of equation (16) or (17).</w:t>
      </w:r>
    </w:p>
    <w:p w:rsidR="0088226A" w:rsidRPr="0088226A" w:rsidRDefault="0088226A" w:rsidP="0088226A">
      <w:pPr>
        <w:pStyle w:val="enumlev1"/>
        <w:rPr>
          <w:lang w:val="en-US"/>
        </w:rPr>
      </w:pPr>
      <w:r w:rsidRPr="0088226A">
        <w:rPr>
          <w:lang w:val="en-US"/>
        </w:rPr>
        <w:t>–</w:t>
      </w:r>
      <w:r w:rsidRPr="0088226A">
        <w:rPr>
          <w:lang w:val="en-US"/>
        </w:rPr>
        <w:tab/>
        <w:t xml:space="preserve">Determine </w:t>
      </w:r>
      <w:r w:rsidRPr="00C12926">
        <w:sym w:font="Symbol" w:char="F061"/>
      </w:r>
      <w:r w:rsidRPr="0088226A">
        <w:rPr>
          <w:i/>
          <w:vertAlign w:val="subscript"/>
          <w:lang w:val="en-US"/>
        </w:rPr>
        <w:t>i</w:t>
      </w:r>
      <w:r w:rsidRPr="0088226A">
        <w:rPr>
          <w:lang w:val="en-US"/>
        </w:rPr>
        <w:t xml:space="preserve">, the proportion of the total population living within the boundaries of the </w:t>
      </w:r>
      <w:r w:rsidRPr="0088226A">
        <w:rPr>
          <w:i/>
          <w:iCs/>
          <w:lang w:val="en-US"/>
        </w:rPr>
        <w:t>i</w:t>
      </w:r>
      <w:r w:rsidRPr="0088226A">
        <w:rPr>
          <w:i/>
          <w:iCs/>
          <w:lang w:val="en-US"/>
        </w:rPr>
        <w:noBreakHyphen/>
      </w:r>
      <w:r w:rsidRPr="0088226A">
        <w:rPr>
          <w:lang w:val="en-US"/>
        </w:rPr>
        <w:t>th area element.</w:t>
      </w:r>
    </w:p>
    <w:p w:rsidR="0088226A" w:rsidRPr="0088226A" w:rsidRDefault="0088226A" w:rsidP="0088226A">
      <w:pPr>
        <w:pStyle w:val="enumlev1"/>
        <w:rPr>
          <w:lang w:val="en-US"/>
        </w:rPr>
      </w:pPr>
      <w:r w:rsidRPr="0088226A">
        <w:rPr>
          <w:lang w:val="en-US"/>
        </w:rPr>
        <w:t>–</w:t>
      </w:r>
      <w:r w:rsidRPr="0088226A">
        <w:rPr>
          <w:lang w:val="en-US"/>
        </w:rPr>
        <w:tab/>
        <w:t>Determine the radius of the service area of a new base station situated at the centre of each (</w:t>
      </w:r>
      <w:r w:rsidRPr="0088226A">
        <w:rPr>
          <w:i/>
          <w:iCs/>
          <w:lang w:val="en-US"/>
        </w:rPr>
        <w:t>i</w:t>
      </w:r>
      <w:r w:rsidRPr="0088226A">
        <w:rPr>
          <w:i/>
          <w:iCs/>
          <w:lang w:val="en-US"/>
        </w:rPr>
        <w:noBreakHyphen/>
      </w:r>
      <w:r w:rsidRPr="0088226A">
        <w:rPr>
          <w:lang w:val="en-US"/>
        </w:rPr>
        <w:t>th) area element.</w:t>
      </w:r>
    </w:p>
    <w:p w:rsidR="0088226A" w:rsidRPr="0088226A" w:rsidRDefault="0088226A" w:rsidP="0088226A">
      <w:pPr>
        <w:pStyle w:val="enumlev1"/>
        <w:rPr>
          <w:lang w:val="en-US"/>
        </w:rPr>
      </w:pPr>
      <w:r w:rsidRPr="0088226A">
        <w:rPr>
          <w:lang w:val="en-US"/>
        </w:rPr>
        <w:t>–</w:t>
      </w:r>
      <w:r w:rsidRPr="0088226A">
        <w:rPr>
          <w:lang w:val="en-US"/>
        </w:rPr>
        <w:tab/>
        <w:t xml:space="preserve">Calculate the signal-to-noise ratios at the receiver inputs of mobile stations in communication with the existing base stations and with the new base station, assuming the latter is located at the centre of the </w:t>
      </w:r>
      <w:r w:rsidRPr="0088226A">
        <w:rPr>
          <w:i/>
          <w:iCs/>
          <w:lang w:val="en-US"/>
        </w:rPr>
        <w:t>i</w:t>
      </w:r>
      <w:r w:rsidRPr="0088226A">
        <w:rPr>
          <w:i/>
          <w:iCs/>
          <w:lang w:val="en-US"/>
        </w:rPr>
        <w:noBreakHyphen/>
      </w:r>
      <w:r w:rsidRPr="0088226A">
        <w:rPr>
          <w:lang w:val="en-US"/>
        </w:rPr>
        <w:t>th element.</w:t>
      </w:r>
    </w:p>
    <w:p w:rsidR="0088226A" w:rsidRPr="0088226A" w:rsidRDefault="0088226A" w:rsidP="0088226A">
      <w:pPr>
        <w:pStyle w:val="enumlev1"/>
        <w:rPr>
          <w:lang w:val="en-US"/>
        </w:rPr>
      </w:pPr>
      <w:r w:rsidRPr="0088226A">
        <w:rPr>
          <w:lang w:val="en-US"/>
        </w:rPr>
        <w:t>–</w:t>
      </w:r>
      <w:r w:rsidRPr="0088226A">
        <w:rPr>
          <w:lang w:val="en-US"/>
        </w:rPr>
        <w:tab/>
        <w:t xml:space="preserve">Determine which frequency bands would be denied to the new base station at the centre of the </w:t>
      </w:r>
      <w:r w:rsidRPr="0088226A">
        <w:rPr>
          <w:i/>
          <w:iCs/>
          <w:lang w:val="en-US"/>
        </w:rPr>
        <w:t>i</w:t>
      </w:r>
      <w:r w:rsidRPr="0088226A">
        <w:rPr>
          <w:i/>
          <w:iCs/>
          <w:lang w:val="en-US"/>
        </w:rPr>
        <w:noBreakHyphen/>
      </w:r>
      <w:r w:rsidRPr="0088226A">
        <w:rPr>
          <w:lang w:val="en-US"/>
        </w:rPr>
        <w:t>th element.</w:t>
      </w:r>
    </w:p>
    <w:p w:rsidR="0088226A" w:rsidRPr="0088226A" w:rsidRDefault="0088226A" w:rsidP="0088226A">
      <w:pPr>
        <w:pStyle w:val="enumlev1"/>
        <w:rPr>
          <w:lang w:val="en-US"/>
        </w:rPr>
      </w:pPr>
      <w:r w:rsidRPr="0088226A">
        <w:rPr>
          <w:lang w:val="en-US"/>
        </w:rPr>
        <w:t>–</w:t>
      </w:r>
      <w:r w:rsidRPr="0088226A">
        <w:rPr>
          <w:lang w:val="en-US"/>
        </w:rPr>
        <w:tab/>
        <w:t>Generalize the results of the assessment of spectrum utilization obtained for the individual area elements, and use equation (18) to calculate the spectrum utilization factor.</w:t>
      </w:r>
    </w:p>
    <w:p w:rsidR="004B059B" w:rsidRPr="0088226A" w:rsidRDefault="004B059B" w:rsidP="004B059B">
      <w:pPr>
        <w:pStyle w:val="Heading1"/>
        <w:rPr>
          <w:lang w:val="en-US"/>
        </w:rPr>
      </w:pPr>
      <w:r w:rsidRPr="0088226A">
        <w:rPr>
          <w:lang w:val="en-US"/>
        </w:rPr>
        <w:t>2</w:t>
      </w:r>
      <w:r w:rsidRPr="0088226A">
        <w:rPr>
          <w:lang w:val="en-US"/>
        </w:rPr>
        <w:tab/>
        <w:t>Spectrum use by radio-relay systems</w:t>
      </w:r>
    </w:p>
    <w:p w:rsidR="004B059B" w:rsidRPr="0088226A" w:rsidRDefault="004B059B" w:rsidP="004B059B">
      <w:pPr>
        <w:pStyle w:val="Heading2"/>
        <w:rPr>
          <w:lang w:val="en-US"/>
        </w:rPr>
      </w:pPr>
      <w:r w:rsidRPr="0088226A">
        <w:rPr>
          <w:lang w:val="en-US"/>
        </w:rPr>
        <w:t>2.1</w:t>
      </w:r>
      <w:r w:rsidRPr="0088226A">
        <w:rPr>
          <w:lang w:val="en-US"/>
        </w:rPr>
        <w:tab/>
        <w:t>Introduction</w:t>
      </w:r>
    </w:p>
    <w:p w:rsidR="004B059B" w:rsidRPr="0088226A" w:rsidRDefault="004B059B" w:rsidP="004B059B">
      <w:pPr>
        <w:rPr>
          <w:lang w:val="en-US"/>
        </w:rPr>
      </w:pPr>
      <w:r w:rsidRPr="0088226A">
        <w:rPr>
          <w:lang w:val="en-US"/>
        </w:rPr>
        <w:t>For radio-relay systems that operate continuously, the dimension of time may be ignored. Referring to equation (2), the SUE can be written as:</w:t>
      </w:r>
    </w:p>
    <w:p w:rsidR="004B059B" w:rsidRPr="0088226A" w:rsidRDefault="004B059B" w:rsidP="004B059B">
      <w:pPr>
        <w:pStyle w:val="Equation"/>
        <w:rPr>
          <w:lang w:val="en-US"/>
        </w:rPr>
      </w:pPr>
      <w:r w:rsidRPr="0088226A">
        <w:rPr>
          <w:lang w:val="en-US"/>
        </w:rPr>
        <w:tab/>
      </w:r>
      <w:r w:rsidRPr="0088226A">
        <w:rPr>
          <w:lang w:val="en-US"/>
        </w:rPr>
        <w:tab/>
      </w:r>
      <w:r>
        <w:rPr>
          <w:position w:val="-28"/>
        </w:rPr>
        <w:object w:dxaOrig="1660" w:dyaOrig="639">
          <v:shape id="_x0000_i1047" type="#_x0000_t75" style="width:82.8pt;height:31.8pt" o:ole="">
            <v:imagedata r:id="rId57" o:title=""/>
          </v:shape>
          <o:OLEObject Type="Embed" ProgID="Equation.2" ShapeID="_x0000_i1047" DrawAspect="Content" ObjectID="_1370947779" r:id="rId58"/>
        </w:object>
      </w:r>
      <w:r w:rsidRPr="0088226A">
        <w:rPr>
          <w:lang w:val="en-US"/>
        </w:rPr>
        <w:tab/>
        <w:t>(1</w:t>
      </w:r>
      <w:r w:rsidR="0088226A">
        <w:rPr>
          <w:lang w:val="en-US"/>
        </w:rPr>
        <w:t>9</w:t>
      </w:r>
      <w:r w:rsidRPr="0088226A">
        <w:rPr>
          <w:lang w:val="en-US"/>
        </w:rPr>
        <w:t>)</w:t>
      </w:r>
    </w:p>
    <w:p w:rsidR="004B059B" w:rsidRPr="0088226A" w:rsidRDefault="004B059B" w:rsidP="004B059B">
      <w:pPr>
        <w:rPr>
          <w:lang w:val="en-US"/>
        </w:rPr>
      </w:pPr>
      <w:r w:rsidRPr="0088226A">
        <w:rPr>
          <w:lang w:val="en-US"/>
        </w:rPr>
        <w:t>where:</w:t>
      </w:r>
    </w:p>
    <w:p w:rsidR="004B059B" w:rsidRPr="0088226A" w:rsidRDefault="004B059B" w:rsidP="004B059B">
      <w:pPr>
        <w:pStyle w:val="enumlev1"/>
        <w:tabs>
          <w:tab w:val="left" w:pos="851"/>
        </w:tabs>
        <w:rPr>
          <w:lang w:val="en-US"/>
        </w:rPr>
      </w:pPr>
      <w:r w:rsidRPr="0088226A">
        <w:rPr>
          <w:lang w:val="en-US"/>
        </w:rPr>
        <w:tab/>
      </w:r>
      <w:r w:rsidRPr="0088226A">
        <w:rPr>
          <w:i/>
          <w:lang w:val="en-US"/>
        </w:rPr>
        <w:t>C</w:t>
      </w:r>
      <w:r w:rsidRPr="0088226A">
        <w:rPr>
          <w:rFonts w:ascii="Tms Rmn" w:hAnsi="Tms Rmn"/>
          <w:sz w:val="12"/>
          <w:lang w:val="en-US"/>
        </w:rPr>
        <w:t> </w:t>
      </w:r>
      <w:r w:rsidRPr="0088226A">
        <w:rPr>
          <w:lang w:val="en-US"/>
        </w:rPr>
        <w:t>:</w:t>
      </w:r>
      <w:r w:rsidRPr="0088226A">
        <w:rPr>
          <w:lang w:val="en-US"/>
        </w:rPr>
        <w:tab/>
        <w:t>measure for communications capacity, for example telephone channels or bit/s</w:t>
      </w:r>
    </w:p>
    <w:p w:rsidR="004B059B" w:rsidRPr="0088226A" w:rsidRDefault="004B059B" w:rsidP="004B059B">
      <w:pPr>
        <w:pStyle w:val="enumlev1"/>
        <w:tabs>
          <w:tab w:val="left" w:pos="851"/>
        </w:tabs>
        <w:rPr>
          <w:lang w:val="en-US"/>
        </w:rPr>
      </w:pPr>
      <w:r w:rsidRPr="0088226A">
        <w:rPr>
          <w:lang w:val="en-US"/>
        </w:rPr>
        <w:tab/>
      </w:r>
      <w:r w:rsidRPr="0088226A">
        <w:rPr>
          <w:i/>
          <w:lang w:val="en-US"/>
        </w:rPr>
        <w:t>S</w:t>
      </w:r>
      <w:r>
        <w:rPr>
          <w:rFonts w:ascii="Symbol" w:hAnsi="Symbol"/>
          <w:position w:val="-4"/>
          <w:sz w:val="16"/>
        </w:rPr>
        <w:t></w:t>
      </w:r>
      <w:r w:rsidRPr="0088226A">
        <w:rPr>
          <w:rFonts w:ascii="Tms Rmn" w:hAnsi="Tms Rmn"/>
          <w:sz w:val="12"/>
          <w:lang w:val="en-US"/>
        </w:rPr>
        <w:t> </w:t>
      </w:r>
      <w:r>
        <w:rPr>
          <w:rFonts w:ascii="Symbol" w:hAnsi="Symbol"/>
        </w:rPr>
        <w:t></w:t>
      </w:r>
      <w:r w:rsidRPr="0088226A">
        <w:rPr>
          <w:rFonts w:ascii="Symbol" w:hAnsi="Symbol"/>
          <w:lang w:val="en-US"/>
        </w:rPr>
        <w:tab/>
      </w:r>
      <w:r w:rsidRPr="0088226A">
        <w:rPr>
          <w:lang w:val="en-US"/>
        </w:rPr>
        <w:t>geometric measure, for example, area, or the angle between branching links at a node.</w:t>
      </w:r>
    </w:p>
    <w:p w:rsidR="004B059B" w:rsidRPr="0088226A" w:rsidRDefault="004B059B" w:rsidP="004B059B">
      <w:pPr>
        <w:pStyle w:val="Heading2"/>
        <w:rPr>
          <w:lang w:val="en-US"/>
        </w:rPr>
      </w:pPr>
      <w:r w:rsidRPr="0088226A">
        <w:rPr>
          <w:lang w:val="en-US"/>
        </w:rPr>
        <w:t>2.2</w:t>
      </w:r>
      <w:r w:rsidRPr="0088226A">
        <w:rPr>
          <w:lang w:val="en-US"/>
        </w:rPr>
        <w:tab/>
        <w:t>SUE for a long artery with branching links at the nodes</w:t>
      </w:r>
    </w:p>
    <w:p w:rsidR="004B059B" w:rsidRPr="0088226A" w:rsidRDefault="004B059B" w:rsidP="004B059B">
      <w:pPr>
        <w:rPr>
          <w:lang w:val="en-US"/>
        </w:rPr>
      </w:pPr>
      <w:r w:rsidRPr="0088226A">
        <w:rPr>
          <w:lang w:val="en-US"/>
        </w:rPr>
        <w:t>Normalized communication capacity which gives the SUE for the terrestrial point-to-point radio-relay system, is defined as:</w:t>
      </w:r>
    </w:p>
    <w:p w:rsidR="004B059B" w:rsidRPr="0088226A" w:rsidRDefault="004B059B" w:rsidP="004B059B">
      <w:pPr>
        <w:pStyle w:val="Equation"/>
        <w:rPr>
          <w:lang w:val="en-US"/>
        </w:rPr>
      </w:pPr>
      <w:r w:rsidRPr="0088226A">
        <w:rPr>
          <w:lang w:val="en-US"/>
        </w:rPr>
        <w:tab/>
      </w:r>
      <w:r w:rsidRPr="0088226A">
        <w:rPr>
          <w:lang w:val="en-US"/>
        </w:rPr>
        <w:tab/>
      </w:r>
      <w:r>
        <w:rPr>
          <w:position w:val="-28"/>
        </w:rPr>
        <w:object w:dxaOrig="1579" w:dyaOrig="639">
          <v:shape id="_x0000_i1048" type="#_x0000_t75" style="width:79.2pt;height:31.8pt" o:ole="">
            <v:imagedata r:id="rId59" o:title=""/>
          </v:shape>
          <o:OLEObject Type="Embed" ProgID="Equation.2" ShapeID="_x0000_i1048" DrawAspect="Content" ObjectID="_1370947780" r:id="rId60"/>
        </w:object>
      </w:r>
      <w:r w:rsidRPr="0088226A">
        <w:rPr>
          <w:lang w:val="en-US"/>
        </w:rPr>
        <w:tab/>
        <w:t>(</w:t>
      </w:r>
      <w:r w:rsidR="0088226A">
        <w:rPr>
          <w:lang w:val="en-US"/>
        </w:rPr>
        <w:t>20</w:t>
      </w:r>
      <w:r w:rsidRPr="0088226A">
        <w:rPr>
          <w:lang w:val="en-US"/>
        </w:rPr>
        <w:t>)</w:t>
      </w:r>
    </w:p>
    <w:p w:rsidR="004B059B" w:rsidRPr="0088226A" w:rsidRDefault="004B059B" w:rsidP="00E6129A">
      <w:pPr>
        <w:keepNext/>
        <w:rPr>
          <w:lang w:val="en-US"/>
        </w:rPr>
      </w:pPr>
      <w:r w:rsidRPr="0088226A">
        <w:rPr>
          <w:lang w:val="en-US"/>
        </w:rPr>
        <w:lastRenderedPageBreak/>
        <w:t>where:</w:t>
      </w:r>
    </w:p>
    <w:p w:rsidR="004B059B" w:rsidRPr="0088226A" w:rsidRDefault="004B059B" w:rsidP="00E6129A">
      <w:pPr>
        <w:pStyle w:val="Equationlegend"/>
        <w:keepNext/>
      </w:pPr>
      <w:r w:rsidRPr="0088226A">
        <w:tab/>
      </w:r>
      <w:r w:rsidRPr="0088226A">
        <w:rPr>
          <w:i/>
        </w:rPr>
        <w:t>N</w:t>
      </w:r>
      <w:r w:rsidRPr="0088226A">
        <w:rPr>
          <w:rFonts w:ascii="Tms Rmn" w:hAnsi="Tms Rmn"/>
          <w:sz w:val="12"/>
        </w:rPr>
        <w:t> </w:t>
      </w:r>
      <w:r w:rsidRPr="0088226A">
        <w:t>:</w:t>
      </w:r>
      <w:r w:rsidRPr="0088226A">
        <w:tab/>
        <w:t>allowable number of branching links (that is, two-way radio routes) for one repeater station</w:t>
      </w:r>
    </w:p>
    <w:p w:rsidR="004B059B" w:rsidRPr="0088226A" w:rsidRDefault="004B059B" w:rsidP="0088226A">
      <w:pPr>
        <w:pStyle w:val="Equationlegend"/>
      </w:pPr>
      <w:r w:rsidRPr="0088226A">
        <w:tab/>
      </w:r>
      <w:r w:rsidRPr="0088226A">
        <w:rPr>
          <w:i/>
        </w:rPr>
        <w:t>A</w:t>
      </w:r>
      <w:r w:rsidRPr="0088226A">
        <w:rPr>
          <w:rFonts w:ascii="Tms Rmn" w:hAnsi="Tms Rmn"/>
          <w:sz w:val="12"/>
        </w:rPr>
        <w:t> </w:t>
      </w:r>
      <w:r w:rsidRPr="0088226A">
        <w:rPr>
          <w:i/>
        </w:rPr>
        <w:t>:</w:t>
      </w:r>
      <w:r w:rsidRPr="0088226A">
        <w:tab/>
        <w:t>transmitting capacity (e.g. number of telephone channels) per radio channel</w:t>
      </w:r>
    </w:p>
    <w:p w:rsidR="004B059B" w:rsidRPr="0088226A" w:rsidRDefault="004B059B" w:rsidP="0088226A">
      <w:pPr>
        <w:pStyle w:val="Equationlegend"/>
      </w:pPr>
      <w:r w:rsidRPr="0088226A">
        <w:tab/>
      </w:r>
      <w:r w:rsidRPr="0088226A">
        <w:rPr>
          <w:i/>
        </w:rPr>
        <w:t>B</w:t>
      </w:r>
      <w:r w:rsidRPr="0088226A">
        <w:rPr>
          <w:i/>
          <w:position w:val="-4"/>
          <w:sz w:val="16"/>
        </w:rPr>
        <w:t>c</w:t>
      </w:r>
      <w:r w:rsidRPr="0088226A">
        <w:rPr>
          <w:rFonts w:ascii="Tms Rmn" w:hAnsi="Tms Rmn"/>
          <w:sz w:val="12"/>
        </w:rPr>
        <w:t> </w:t>
      </w:r>
      <w:r w:rsidRPr="0088226A">
        <w:t>:</w:t>
      </w:r>
      <w:r w:rsidRPr="0088226A">
        <w:tab/>
        <w:t>required RF bandwidth per radio channel.</w:t>
      </w:r>
    </w:p>
    <w:p w:rsidR="004B059B" w:rsidRPr="0088226A" w:rsidRDefault="004B059B" w:rsidP="004B059B">
      <w:pPr>
        <w:rPr>
          <w:lang w:val="en-US"/>
        </w:rPr>
      </w:pPr>
      <w:r w:rsidRPr="0088226A">
        <w:rPr>
          <w:lang w:val="en-US"/>
        </w:rPr>
        <w:t xml:space="preserve">This formula includes the geometric measure, </w:t>
      </w:r>
      <w:r w:rsidRPr="0088226A">
        <w:rPr>
          <w:i/>
          <w:lang w:val="en-US"/>
        </w:rPr>
        <w:t>N</w:t>
      </w:r>
      <w:r w:rsidRPr="0088226A">
        <w:rPr>
          <w:lang w:val="en-US"/>
        </w:rPr>
        <w:t xml:space="preserve"> (</w:t>
      </w:r>
      <w:r w:rsidRPr="0088226A">
        <w:rPr>
          <w:i/>
          <w:lang w:val="en-US"/>
        </w:rPr>
        <w:t>N</w:t>
      </w:r>
      <w:r w:rsidRPr="0088226A">
        <w:rPr>
          <w:lang w:val="en-US"/>
        </w:rPr>
        <w:t xml:space="preserve"> depends on the allowable angle between branching links).</w:t>
      </w:r>
    </w:p>
    <w:p w:rsidR="004B059B" w:rsidRPr="0088226A" w:rsidRDefault="004B059B" w:rsidP="004B059B">
      <w:pPr>
        <w:rPr>
          <w:lang w:val="en-US"/>
        </w:rPr>
      </w:pPr>
      <w:r w:rsidRPr="0088226A">
        <w:rPr>
          <w:lang w:val="en-US"/>
        </w:rPr>
        <w:t>Spectrum use efficiency in the terrestrial point-to-point radio-relay system was calculated for telephone transmission using the above formula.</w:t>
      </w:r>
    </w:p>
    <w:p w:rsidR="004B059B" w:rsidRPr="0088226A" w:rsidRDefault="004B059B" w:rsidP="004B059B">
      <w:pPr>
        <w:rPr>
          <w:lang w:val="en-US"/>
        </w:rPr>
      </w:pPr>
      <w:r w:rsidRPr="0088226A">
        <w:rPr>
          <w:lang w:val="en-US"/>
        </w:rPr>
        <w:t>The assumptions used are:</w:t>
      </w:r>
    </w:p>
    <w:p w:rsidR="004B059B" w:rsidRPr="0088226A" w:rsidRDefault="004B059B" w:rsidP="004B059B">
      <w:pPr>
        <w:pStyle w:val="enumlev1"/>
        <w:rPr>
          <w:lang w:val="en-US"/>
        </w:rPr>
      </w:pPr>
      <w:r w:rsidRPr="0088226A">
        <w:rPr>
          <w:lang w:val="en-US"/>
        </w:rPr>
        <w:t>–</w:t>
      </w:r>
      <w:r w:rsidRPr="0088226A">
        <w:rPr>
          <w:lang w:val="en-US"/>
        </w:rPr>
        <w:tab/>
        <w:t>telephone signal is transmitted;</w:t>
      </w:r>
    </w:p>
    <w:p w:rsidR="004B059B" w:rsidRPr="0088226A" w:rsidRDefault="004B059B" w:rsidP="004B059B">
      <w:pPr>
        <w:pStyle w:val="enumlev1"/>
        <w:rPr>
          <w:lang w:val="en-US"/>
        </w:rPr>
      </w:pPr>
      <w:r w:rsidRPr="0088226A">
        <w:rPr>
          <w:lang w:val="en-US"/>
        </w:rPr>
        <w:t>–</w:t>
      </w:r>
      <w:r w:rsidRPr="0088226A">
        <w:rPr>
          <w:lang w:val="en-US"/>
        </w:rPr>
        <w:tab/>
        <w:t>probability of fading is the same as that given in Recommendation ITU-R P.530;</w:t>
      </w:r>
    </w:p>
    <w:p w:rsidR="004B059B" w:rsidRPr="0088226A" w:rsidRDefault="004B059B" w:rsidP="004B059B">
      <w:pPr>
        <w:pStyle w:val="enumlev1"/>
        <w:rPr>
          <w:lang w:val="en-US"/>
        </w:rPr>
      </w:pPr>
      <w:r w:rsidRPr="0088226A">
        <w:rPr>
          <w:lang w:val="en-US"/>
        </w:rPr>
        <w:t>–</w:t>
      </w:r>
      <w:r w:rsidRPr="0088226A">
        <w:rPr>
          <w:lang w:val="en-US"/>
        </w:rPr>
        <w:tab/>
        <w:t>circuit length is 2 500 km; and circuit model is as shown in Fig.</w:t>
      </w:r>
      <w:r w:rsidRPr="0088226A">
        <w:rPr>
          <w:i/>
          <w:lang w:val="en-US"/>
        </w:rPr>
        <w:t xml:space="preserve"> </w:t>
      </w:r>
      <w:r w:rsidRPr="0088226A">
        <w:rPr>
          <w:lang w:val="en-US"/>
        </w:rPr>
        <w:t>6;</w:t>
      </w:r>
    </w:p>
    <w:p w:rsidR="004B059B" w:rsidRDefault="0088226A" w:rsidP="0088226A">
      <w:pPr>
        <w:pStyle w:val="FigureNo"/>
        <w:rPr>
          <w:lang w:val="es-ES_tradnl"/>
        </w:rPr>
      </w:pPr>
      <w:r>
        <w:object w:dxaOrig="6312" w:dyaOrig="2655">
          <v:shape id="_x0000_i1049" type="#_x0000_t75" style="width:315.6pt;height:132.6pt" o:ole="" o:allowoverlap="f">
            <v:imagedata r:id="rId61" o:title=""/>
          </v:shape>
          <o:OLEObject Type="Embed" ProgID="CorelDRAW.Graphic.12" ShapeID="_x0000_i1049" DrawAspect="Content" ObjectID="_1370947781" r:id="rId62"/>
        </w:object>
      </w:r>
    </w:p>
    <w:p w:rsidR="004B059B" w:rsidRPr="0088226A" w:rsidRDefault="004B059B" w:rsidP="004B059B">
      <w:pPr>
        <w:pStyle w:val="enumlev1"/>
        <w:rPr>
          <w:lang w:val="en-US"/>
        </w:rPr>
      </w:pPr>
      <w:r w:rsidRPr="0088226A">
        <w:rPr>
          <w:lang w:val="en-US"/>
        </w:rPr>
        <w:t>–</w:t>
      </w:r>
      <w:r w:rsidRPr="0088226A">
        <w:rPr>
          <w:lang w:val="en-US"/>
        </w:rPr>
        <w:tab/>
        <w:t xml:space="preserve">required carrier-to-noise ratio, </w:t>
      </w:r>
      <w:r w:rsidRPr="0088226A">
        <w:rPr>
          <w:i/>
          <w:lang w:val="en-US"/>
        </w:rPr>
        <w:t>C/N</w:t>
      </w:r>
      <w:r w:rsidRPr="0088226A">
        <w:rPr>
          <w:lang w:val="en-US"/>
        </w:rPr>
        <w:t>, is expressed as:</w:t>
      </w:r>
    </w:p>
    <w:p w:rsidR="004B059B" w:rsidRPr="0088226A" w:rsidRDefault="004B059B" w:rsidP="004B059B">
      <w:pPr>
        <w:pStyle w:val="Equation"/>
        <w:rPr>
          <w:lang w:val="en-US"/>
        </w:rPr>
      </w:pPr>
      <w:bookmarkStart w:id="7" w:name="f012"/>
      <w:r w:rsidRPr="0088226A">
        <w:rPr>
          <w:i/>
          <w:lang w:val="en-US"/>
        </w:rPr>
        <w:tab/>
      </w:r>
      <w:r w:rsidRPr="0088226A">
        <w:rPr>
          <w:i/>
          <w:lang w:val="en-US"/>
        </w:rPr>
        <w:tab/>
      </w:r>
      <w:r>
        <w:fldChar w:fldCharType="begin"/>
      </w:r>
      <w:r w:rsidRPr="0088226A">
        <w:rPr>
          <w:lang w:val="en-US"/>
        </w:rPr>
        <w:instrText xml:space="preserve">eq </w:instrText>
      </w:r>
      <w:r w:rsidRPr="0088226A">
        <w:rPr>
          <w:i/>
          <w:lang w:val="en-US"/>
        </w:rPr>
        <w:instrText>C</w:instrText>
      </w:r>
      <w:r w:rsidRPr="0088226A">
        <w:rPr>
          <w:lang w:val="en-US"/>
        </w:rPr>
        <w:instrText>/</w:instrText>
      </w:r>
      <w:r w:rsidRPr="0088226A">
        <w:rPr>
          <w:i/>
          <w:lang w:val="en-US"/>
        </w:rPr>
        <w:instrText>N</w:instrText>
      </w:r>
      <w:r w:rsidRPr="0088226A">
        <w:rPr>
          <w:lang w:val="en-US"/>
        </w:rPr>
        <w:instrText xml:space="preserve">  </w:instrText>
      </w:r>
      <w:r w:rsidRPr="0088226A">
        <w:rPr>
          <w:rFonts w:ascii="Symbol" w:hAnsi="Symbol"/>
          <w:lang w:val="en-US"/>
        </w:rPr>
        <w:instrText>=</w:instrText>
      </w:r>
      <w:r w:rsidRPr="0088226A">
        <w:rPr>
          <w:lang w:val="en-US"/>
        </w:rPr>
        <w:instrText xml:space="preserve">  10 log [(2</w:instrText>
      </w:r>
      <w:r w:rsidRPr="0088226A">
        <w:rPr>
          <w:i/>
          <w:position w:val="6"/>
          <w:sz w:val="18"/>
          <w:lang w:val="en-US"/>
        </w:rPr>
        <w:instrText>n</w:instrText>
      </w:r>
      <w:r w:rsidRPr="0088226A">
        <w:rPr>
          <w:lang w:val="en-US"/>
        </w:rPr>
        <w:instrText xml:space="preserve">  –  1) / 3]  </w:instrText>
      </w:r>
      <w:r w:rsidRPr="0088226A">
        <w:rPr>
          <w:rFonts w:ascii="Symbol" w:hAnsi="Symbol"/>
          <w:lang w:val="en-US"/>
        </w:rPr>
        <w:instrText>+</w:instrText>
      </w:r>
      <w:r w:rsidRPr="0088226A">
        <w:rPr>
          <w:lang w:val="en-US"/>
        </w:rPr>
        <w:instrText xml:space="preserve">  11.8</w:instrText>
      </w:r>
      <w:r>
        <w:fldChar w:fldCharType="end"/>
      </w:r>
      <w:r w:rsidRPr="0088226A">
        <w:rPr>
          <w:color w:val="000000"/>
          <w:lang w:val="en-US"/>
        </w:rPr>
        <w:t>                </w:t>
      </w:r>
      <w:r w:rsidRPr="0088226A">
        <w:rPr>
          <w:lang w:val="en-US"/>
        </w:rPr>
        <w:t>dB</w:t>
      </w:r>
      <w:r w:rsidRPr="0088226A">
        <w:rPr>
          <w:lang w:val="en-US"/>
        </w:rPr>
        <w:tab/>
        <w:t>(</w:t>
      </w:r>
      <w:r w:rsidR="0088226A">
        <w:rPr>
          <w:lang w:val="en-US"/>
        </w:rPr>
        <w:t>21</w:t>
      </w:r>
      <w:r w:rsidRPr="0088226A">
        <w:rPr>
          <w:lang w:val="en-US"/>
        </w:rPr>
        <w:t>)</w:t>
      </w:r>
      <w:bookmarkEnd w:id="7"/>
    </w:p>
    <w:p w:rsidR="004B059B" w:rsidRPr="0088226A" w:rsidRDefault="004B059B" w:rsidP="004B059B">
      <w:pPr>
        <w:pStyle w:val="Equation"/>
        <w:rPr>
          <w:lang w:val="en-US"/>
        </w:rPr>
      </w:pPr>
      <w:r w:rsidRPr="0088226A">
        <w:rPr>
          <w:lang w:val="en-US"/>
        </w:rPr>
        <w:t xml:space="preserve">where </w:t>
      </w:r>
      <w:r w:rsidRPr="0088226A">
        <w:rPr>
          <w:i/>
          <w:lang w:val="en-US"/>
        </w:rPr>
        <w:t>n</w:t>
      </w:r>
      <w:r w:rsidRPr="0088226A">
        <w:rPr>
          <w:lang w:val="en-US"/>
        </w:rPr>
        <w:t xml:space="preserve"> is </w:t>
      </w:r>
      <w:r w:rsidRPr="0088226A">
        <w:rPr>
          <w:i/>
          <w:lang w:val="en-US"/>
        </w:rPr>
        <w:t>n</w:t>
      </w:r>
      <w:r w:rsidRPr="0088226A">
        <w:rPr>
          <w:lang w:val="en-US"/>
        </w:rPr>
        <w:t>-state QAM;</w:t>
      </w:r>
    </w:p>
    <w:p w:rsidR="004B059B" w:rsidRPr="0088226A" w:rsidRDefault="004B059B" w:rsidP="004B059B">
      <w:pPr>
        <w:pStyle w:val="enumlev1"/>
        <w:rPr>
          <w:lang w:val="en-US"/>
        </w:rPr>
      </w:pPr>
      <w:r w:rsidRPr="0088226A">
        <w:rPr>
          <w:lang w:val="en-US"/>
        </w:rPr>
        <w:t>–</w:t>
      </w:r>
      <w:r w:rsidRPr="0088226A">
        <w:rPr>
          <w:lang w:val="en-US"/>
        </w:rPr>
        <w:tab/>
        <w:t>one tenth of the overall radio-relay circuit noise for the 2 500 km circuit is assigned as the interference noise from other routes;</w:t>
      </w:r>
    </w:p>
    <w:p w:rsidR="004B059B" w:rsidRPr="0088226A" w:rsidRDefault="004B059B" w:rsidP="004B059B">
      <w:pPr>
        <w:pStyle w:val="enumlev1"/>
        <w:rPr>
          <w:lang w:val="en-US"/>
        </w:rPr>
      </w:pPr>
      <w:r w:rsidRPr="0088226A">
        <w:rPr>
          <w:lang w:val="en-US"/>
        </w:rPr>
        <w:t>–</w:t>
      </w:r>
      <w:r w:rsidRPr="0088226A">
        <w:rPr>
          <w:lang w:val="en-US"/>
        </w:rPr>
        <w:tab/>
        <w:t>interference from other routes has the same frequency as the wanted signal;</w:t>
      </w:r>
    </w:p>
    <w:p w:rsidR="004B059B" w:rsidRPr="0088226A" w:rsidRDefault="004B059B" w:rsidP="004B059B">
      <w:pPr>
        <w:pStyle w:val="enumlev1"/>
        <w:rPr>
          <w:lang w:val="en-US"/>
        </w:rPr>
      </w:pPr>
      <w:r w:rsidRPr="0088226A">
        <w:rPr>
          <w:lang w:val="en-US"/>
        </w:rPr>
        <w:t>–</w:t>
      </w:r>
      <w:r w:rsidRPr="0088226A">
        <w:rPr>
          <w:lang w:val="en-US"/>
        </w:rPr>
        <w:tab/>
        <w:t>a reference antenna diagram for a circular antenna in Recommendation ITU-R F.699 and a dual offset tri-reflector antenna used in Japan for a digital microwave radio, as shown in Fig.</w:t>
      </w:r>
      <w:r w:rsidRPr="0088226A">
        <w:rPr>
          <w:i/>
          <w:lang w:val="en-US"/>
        </w:rPr>
        <w:t> </w:t>
      </w:r>
      <w:r w:rsidRPr="0088226A">
        <w:rPr>
          <w:lang w:val="en-US"/>
        </w:rPr>
        <w:t>7 are used;</w:t>
      </w:r>
    </w:p>
    <w:p w:rsidR="004B059B" w:rsidRPr="0088226A" w:rsidRDefault="004B059B" w:rsidP="004B059B">
      <w:pPr>
        <w:pStyle w:val="enumlev1"/>
        <w:rPr>
          <w:lang w:val="en-US"/>
        </w:rPr>
      </w:pPr>
      <w:r w:rsidRPr="0088226A">
        <w:rPr>
          <w:lang w:val="en-US"/>
        </w:rPr>
        <w:t>–</w:t>
      </w:r>
      <w:r w:rsidRPr="0088226A">
        <w:rPr>
          <w:lang w:val="en-US"/>
        </w:rPr>
        <w:tab/>
        <w:t>links with random branching angles.</w:t>
      </w:r>
    </w:p>
    <w:p w:rsidR="004B059B" w:rsidRDefault="0088226A" w:rsidP="0088226A">
      <w:pPr>
        <w:pStyle w:val="FigureNo"/>
        <w:rPr>
          <w:lang w:val="es-ES_tradnl"/>
        </w:rPr>
      </w:pPr>
      <w:r>
        <w:object w:dxaOrig="8599" w:dyaOrig="7357">
          <v:shape id="_x0000_i1050" type="#_x0000_t75" style="width:430.2pt;height:367.2pt" o:ole="" o:allowoverlap="f">
            <v:imagedata r:id="rId63" o:title=""/>
          </v:shape>
          <o:OLEObject Type="Embed" ProgID="CorelDRAW.Graphic.12" ShapeID="_x0000_i1050" DrawAspect="Content" ObjectID="_1370947782" r:id="rId64"/>
        </w:object>
      </w:r>
    </w:p>
    <w:p w:rsidR="004B059B" w:rsidRPr="0088226A" w:rsidRDefault="004B059B" w:rsidP="004B059B">
      <w:pPr>
        <w:rPr>
          <w:lang w:val="en-US"/>
        </w:rPr>
      </w:pPr>
      <w:r w:rsidRPr="0088226A">
        <w:rPr>
          <w:lang w:val="en-US"/>
        </w:rPr>
        <w:t>The normalized communication capacities for these two types of antenna were calculated and are shown in Fig.</w:t>
      </w:r>
      <w:r w:rsidRPr="0088226A">
        <w:rPr>
          <w:i/>
          <w:lang w:val="en-US"/>
        </w:rPr>
        <w:t xml:space="preserve"> </w:t>
      </w:r>
      <w:r w:rsidRPr="0088226A">
        <w:rPr>
          <w:lang w:val="en-US"/>
        </w:rPr>
        <w:t>8. The performance of the circular antenna in Recommendation ITU</w:t>
      </w:r>
      <w:r w:rsidRPr="0088226A">
        <w:rPr>
          <w:lang w:val="en-US"/>
        </w:rPr>
        <w:noBreakHyphen/>
        <w:t>R F.699 is insufficient to estimate the spectrum use efficiency of high-level modulation systems. As the results depend on antenna performance, if a high performance antenna can be used, higher level modulation such as 256-QAM is effective.</w:t>
      </w:r>
    </w:p>
    <w:p w:rsidR="004B059B" w:rsidRPr="0088226A" w:rsidRDefault="004B059B" w:rsidP="004B059B">
      <w:pPr>
        <w:pStyle w:val="Heading2"/>
        <w:rPr>
          <w:lang w:val="en-US"/>
        </w:rPr>
      </w:pPr>
      <w:r w:rsidRPr="0088226A">
        <w:rPr>
          <w:lang w:val="en-US"/>
        </w:rPr>
        <w:t>2.3</w:t>
      </w:r>
      <w:r w:rsidRPr="0088226A">
        <w:rPr>
          <w:lang w:val="en-US"/>
        </w:rPr>
        <w:tab/>
        <w:t>SUE in randomly arranged radio-relay links</w:t>
      </w:r>
    </w:p>
    <w:p w:rsidR="004B059B" w:rsidRPr="0088226A" w:rsidRDefault="004B059B" w:rsidP="004B059B">
      <w:pPr>
        <w:pStyle w:val="Heading3"/>
        <w:rPr>
          <w:lang w:val="en-US"/>
        </w:rPr>
      </w:pPr>
      <w:r w:rsidRPr="0088226A">
        <w:rPr>
          <w:lang w:val="en-US"/>
        </w:rPr>
        <w:t>2.3.1</w:t>
      </w:r>
      <w:r w:rsidRPr="0088226A">
        <w:rPr>
          <w:lang w:val="en-US"/>
        </w:rPr>
        <w:tab/>
        <w:t>Formulation</w:t>
      </w:r>
    </w:p>
    <w:p w:rsidR="004B059B" w:rsidRPr="0088226A" w:rsidRDefault="004B059B" w:rsidP="004B059B">
      <w:pPr>
        <w:rPr>
          <w:lang w:val="en-US"/>
        </w:rPr>
      </w:pPr>
      <w:r w:rsidRPr="0088226A">
        <w:rPr>
          <w:lang w:val="en-US"/>
        </w:rPr>
        <w:t>Figure</w:t>
      </w:r>
      <w:r w:rsidRPr="0088226A">
        <w:rPr>
          <w:i/>
          <w:lang w:val="en-US"/>
        </w:rPr>
        <w:t xml:space="preserve"> </w:t>
      </w:r>
      <w:r w:rsidRPr="0088226A">
        <w:rPr>
          <w:lang w:val="en-US"/>
        </w:rPr>
        <w:t>9 shows a radio-relay link X-Y with another radio station Z operating on the same frequency. Station Z is randomly located on a circle around station Y.</w:t>
      </w:r>
    </w:p>
    <w:p w:rsidR="00121D42" w:rsidRPr="0088226A" w:rsidRDefault="00121D42" w:rsidP="00121D42">
      <w:pPr>
        <w:rPr>
          <w:lang w:val="en-US"/>
        </w:rPr>
      </w:pPr>
      <w:r w:rsidRPr="0088226A">
        <w:rPr>
          <w:lang w:val="en-US"/>
        </w:rPr>
        <w:t xml:space="preserve">Station Y receives a desired signal of frequency </w:t>
      </w:r>
      <w:r w:rsidRPr="0088226A">
        <w:rPr>
          <w:i/>
          <w:lang w:val="en-US"/>
        </w:rPr>
        <w:t>f</w:t>
      </w:r>
      <w:r w:rsidRPr="0088226A">
        <w:rPr>
          <w:position w:val="-4"/>
          <w:sz w:val="16"/>
          <w:lang w:val="en-US"/>
        </w:rPr>
        <w:t>1</w:t>
      </w:r>
      <w:r w:rsidRPr="0088226A">
        <w:rPr>
          <w:lang w:val="en-US"/>
        </w:rPr>
        <w:t xml:space="preserve"> from station X. Station Z transmits a signal of the same frequency </w:t>
      </w:r>
      <w:r w:rsidRPr="0088226A">
        <w:rPr>
          <w:i/>
          <w:lang w:val="en-US"/>
        </w:rPr>
        <w:t>f</w:t>
      </w:r>
      <w:r w:rsidRPr="0088226A">
        <w:rPr>
          <w:position w:val="-4"/>
          <w:sz w:val="16"/>
          <w:lang w:val="en-US"/>
        </w:rPr>
        <w:t>1</w:t>
      </w:r>
      <w:r w:rsidRPr="0088226A">
        <w:rPr>
          <w:lang w:val="en-US"/>
        </w:rPr>
        <w:t xml:space="preserve"> in an arbitrary direction.</w:t>
      </w:r>
    </w:p>
    <w:p w:rsidR="004B059B" w:rsidRDefault="007A243E" w:rsidP="0088226A">
      <w:pPr>
        <w:pStyle w:val="FigureNo"/>
        <w:rPr>
          <w:lang w:val="es-ES_tradnl"/>
        </w:rPr>
      </w:pPr>
      <w:r>
        <w:object w:dxaOrig="6352" w:dyaOrig="11635">
          <v:shape id="_x0000_i1051" type="#_x0000_t75" style="width:317.4pt;height:582pt" o:ole="" o:allowoverlap="f">
            <v:imagedata r:id="rId65" o:title=""/>
          </v:shape>
          <o:OLEObject Type="Embed" ProgID="CorelDRAW.Graphic.12" ShapeID="_x0000_i1051" DrawAspect="Content" ObjectID="_1370947783" r:id="rId66"/>
        </w:object>
      </w:r>
    </w:p>
    <w:p w:rsidR="004B059B" w:rsidRDefault="0088226A" w:rsidP="00706114">
      <w:pPr>
        <w:pStyle w:val="FigureNo"/>
        <w:spacing w:before="240"/>
      </w:pPr>
      <w:r>
        <w:object w:dxaOrig="5482" w:dyaOrig="4603">
          <v:shape id="_x0000_i1052" type="#_x0000_t75" style="width:273.6pt;height:230.4pt" o:ole="" o:allowoverlap="f">
            <v:imagedata r:id="rId67" o:title=""/>
          </v:shape>
          <o:OLEObject Type="Embed" ProgID="CorelDRAW.Graphic.12" ShapeID="_x0000_i1052" DrawAspect="Content" ObjectID="_1370947784" r:id="rId68"/>
        </w:object>
      </w:r>
    </w:p>
    <w:p w:rsidR="004B059B" w:rsidRPr="0088226A" w:rsidRDefault="004B059B" w:rsidP="004B059B">
      <w:pPr>
        <w:rPr>
          <w:lang w:val="en-US"/>
        </w:rPr>
      </w:pPr>
      <w:r w:rsidRPr="0088226A">
        <w:rPr>
          <w:lang w:val="en-US"/>
        </w:rPr>
        <w:t>The normalized communication capacity which gives the spectrum utilization efficiency, is defined as:</w:t>
      </w:r>
    </w:p>
    <w:p w:rsidR="004B059B" w:rsidRPr="0088226A" w:rsidRDefault="004B059B" w:rsidP="004B059B">
      <w:pPr>
        <w:pStyle w:val="Equation"/>
        <w:rPr>
          <w:lang w:val="en-US"/>
        </w:rPr>
      </w:pPr>
      <w:bookmarkStart w:id="8" w:name="f013"/>
      <w:r w:rsidRPr="0088226A">
        <w:rPr>
          <w:rFonts w:ascii="Symbol" w:hAnsi="Symbol"/>
          <w:lang w:val="en-US"/>
        </w:rPr>
        <w:tab/>
      </w:r>
      <w:r w:rsidRPr="0088226A">
        <w:rPr>
          <w:rFonts w:ascii="Symbol" w:hAnsi="Symbol"/>
          <w:lang w:val="en-US"/>
        </w:rPr>
        <w:tab/>
      </w:r>
      <w:r>
        <w:rPr>
          <w:position w:val="-28"/>
        </w:rPr>
        <w:object w:dxaOrig="2580" w:dyaOrig="639">
          <v:shape id="_x0000_i1053" type="#_x0000_t75" style="width:129pt;height:31.8pt" o:ole="">
            <v:imagedata r:id="rId69" o:title=""/>
          </v:shape>
          <o:OLEObject Type="Embed" ProgID="Equation.2" ShapeID="_x0000_i1053" DrawAspect="Content" ObjectID="_1370947785" r:id="rId70"/>
        </w:object>
      </w:r>
      <w:r w:rsidRPr="0088226A">
        <w:rPr>
          <w:lang w:val="en-US"/>
        </w:rPr>
        <w:tab/>
        <w:t>(</w:t>
      </w:r>
      <w:r w:rsidR="0088226A">
        <w:rPr>
          <w:lang w:val="en-US"/>
        </w:rPr>
        <w:t>22</w:t>
      </w:r>
      <w:r w:rsidRPr="0088226A">
        <w:rPr>
          <w:lang w:val="en-US"/>
        </w:rPr>
        <w:t>)</w:t>
      </w:r>
    </w:p>
    <w:bookmarkEnd w:id="8"/>
    <w:p w:rsidR="004B059B" w:rsidRPr="0088226A" w:rsidRDefault="004B059B" w:rsidP="00483296">
      <w:pPr>
        <w:spacing w:before="0"/>
        <w:rPr>
          <w:lang w:val="en-US"/>
        </w:rPr>
      </w:pPr>
      <w:r w:rsidRPr="0088226A">
        <w:rPr>
          <w:lang w:val="en-US"/>
        </w:rPr>
        <w:t>where:</w:t>
      </w:r>
    </w:p>
    <w:p w:rsidR="004B059B" w:rsidRPr="0088226A" w:rsidRDefault="004B059B" w:rsidP="0088226A">
      <w:pPr>
        <w:pStyle w:val="Equationlegend"/>
      </w:pPr>
      <w:r w:rsidRPr="0088226A">
        <w:tab/>
      </w:r>
      <w:r w:rsidRPr="0088226A">
        <w:rPr>
          <w:i/>
        </w:rPr>
        <w:t>N</w:t>
      </w:r>
      <w:r w:rsidRPr="0088226A">
        <w:rPr>
          <w:rFonts w:ascii="Tms Rmn" w:hAnsi="Tms Rmn"/>
          <w:sz w:val="12"/>
        </w:rPr>
        <w:t> </w:t>
      </w:r>
      <w:r w:rsidRPr="0088226A">
        <w:t>:</w:t>
      </w:r>
      <w:r w:rsidRPr="0088226A">
        <w:tab/>
        <w:t xml:space="preserve">number of radio links possible using the same frequency: </w:t>
      </w:r>
      <w:r w:rsidRPr="0088226A">
        <w:rPr>
          <w:i/>
        </w:rPr>
        <w:t>N</w:t>
      </w:r>
      <w:r w:rsidRPr="0088226A">
        <w:t xml:space="preserve">  </w:t>
      </w:r>
      <w:r>
        <w:rPr>
          <w:rFonts w:ascii="Symbol" w:hAnsi="Symbol"/>
        </w:rPr>
        <w:t></w:t>
      </w:r>
      <w:r w:rsidRPr="0088226A">
        <w:t xml:space="preserve">  </w:t>
      </w:r>
      <w:r>
        <w:fldChar w:fldCharType="begin"/>
      </w:r>
      <w:r w:rsidRPr="0088226A">
        <w:instrText xml:space="preserve">eq </w:instrText>
      </w:r>
      <w:r w:rsidRPr="0088226A">
        <w:rPr>
          <w:i/>
        </w:rPr>
        <w:instrText>p</w:instrText>
      </w:r>
      <w:r w:rsidRPr="0088226A">
        <w:instrText>\d\ba5()\s\up5(–)</w:instrText>
      </w:r>
      <w:r w:rsidRPr="0088226A">
        <w:rPr>
          <w:rFonts w:ascii="Tms Rmn" w:hAnsi="Tms Rmn"/>
          <w:sz w:val="12"/>
        </w:rPr>
        <w:instrText> </w:instrText>
      </w:r>
      <w:r w:rsidRPr="0088226A">
        <w:instrText>/</w:instrText>
      </w:r>
      <w:r w:rsidRPr="0088226A">
        <w:rPr>
          <w:rFonts w:ascii="Tms Rmn" w:hAnsi="Tms Rmn"/>
          <w:sz w:val="12"/>
        </w:rPr>
        <w:instrText> </w:instrText>
      </w:r>
      <w:r w:rsidRPr="0088226A">
        <w:rPr>
          <w:i/>
        </w:rPr>
        <w:instrText>p</w:instrText>
      </w:r>
      <w:r>
        <w:fldChar w:fldCharType="end"/>
      </w:r>
    </w:p>
    <w:p w:rsidR="004B059B" w:rsidRPr="0088226A" w:rsidRDefault="004B059B" w:rsidP="0088226A">
      <w:pPr>
        <w:pStyle w:val="Equationlegend"/>
      </w:pPr>
      <w:r w:rsidRPr="0088226A">
        <w:tab/>
      </w:r>
      <w:r w:rsidRPr="0088226A">
        <w:rPr>
          <w:i/>
        </w:rPr>
        <w:t>A</w:t>
      </w:r>
      <w:r w:rsidRPr="0088226A">
        <w:rPr>
          <w:rFonts w:ascii="Tms Rmn" w:hAnsi="Tms Rmn"/>
          <w:sz w:val="12"/>
        </w:rPr>
        <w:t> </w:t>
      </w:r>
      <w:r w:rsidRPr="0088226A">
        <w:rPr>
          <w:i/>
        </w:rPr>
        <w:t>:</w:t>
      </w:r>
      <w:r w:rsidRPr="0088226A">
        <w:tab/>
        <w:t>transmitting capacity per radio channel.</w:t>
      </w:r>
    </w:p>
    <w:p w:rsidR="004B059B" w:rsidRPr="0088226A" w:rsidRDefault="004B059B" w:rsidP="004B059B">
      <w:pPr>
        <w:spacing w:line="240" w:lineRule="exact"/>
        <w:rPr>
          <w:lang w:val="en-US"/>
        </w:rPr>
      </w:pPr>
      <w:r w:rsidRPr="0088226A">
        <w:rPr>
          <w:lang w:val="en-US"/>
        </w:rPr>
        <w:t xml:space="preserve">The probability </w:t>
      </w:r>
      <w:r w:rsidRPr="0088226A">
        <w:rPr>
          <w:i/>
          <w:lang w:val="en-US"/>
        </w:rPr>
        <w:t>p</w:t>
      </w:r>
      <w:r w:rsidRPr="0088226A">
        <w:rPr>
          <w:lang w:val="en-US"/>
        </w:rPr>
        <w:t xml:space="preserve"> that station Y receives interference exceeding the acceptable limit is calculated by considering the combination of the antenna pattern of stations Y and Z and </w:t>
      </w:r>
      <w:r>
        <w:fldChar w:fldCharType="begin"/>
      </w:r>
      <w:r w:rsidRPr="0088226A">
        <w:rPr>
          <w:lang w:val="en-US"/>
        </w:rPr>
        <w:instrText xml:space="preserve">eq </w:instrText>
      </w:r>
      <w:r w:rsidRPr="0088226A">
        <w:rPr>
          <w:i/>
          <w:lang w:val="en-US"/>
        </w:rPr>
        <w:instrText>p</w:instrText>
      </w:r>
      <w:r w:rsidRPr="0088226A">
        <w:rPr>
          <w:lang w:val="en-US"/>
        </w:rPr>
        <w:instrText>\d\ba5()\s\up5(–)</w:instrText>
      </w:r>
      <w:r>
        <w:fldChar w:fldCharType="end"/>
      </w:r>
      <w:r w:rsidRPr="0088226A">
        <w:rPr>
          <w:lang w:val="en-US"/>
        </w:rPr>
        <w:t xml:space="preserve"> is the maximum permissible probability of interference.</w:t>
      </w:r>
    </w:p>
    <w:p w:rsidR="004B059B" w:rsidRPr="0088226A" w:rsidRDefault="004B059B" w:rsidP="004B059B">
      <w:pPr>
        <w:rPr>
          <w:lang w:val="en-US"/>
        </w:rPr>
      </w:pPr>
      <w:r w:rsidRPr="0088226A">
        <w:rPr>
          <w:lang w:val="en-US"/>
        </w:rPr>
        <w:t>As the accumulation of interference from two or more stations has been neglected, some margin should be provided in any actual application.</w:t>
      </w:r>
    </w:p>
    <w:p w:rsidR="004B059B" w:rsidRPr="0088226A" w:rsidRDefault="004B059B" w:rsidP="004B059B">
      <w:pPr>
        <w:pStyle w:val="Heading3"/>
        <w:rPr>
          <w:lang w:val="en-US"/>
        </w:rPr>
      </w:pPr>
      <w:r w:rsidRPr="0088226A">
        <w:rPr>
          <w:lang w:val="en-US"/>
        </w:rPr>
        <w:t>2.3.2</w:t>
      </w:r>
      <w:r w:rsidRPr="0088226A">
        <w:rPr>
          <w:lang w:val="en-US"/>
        </w:rPr>
        <w:tab/>
        <w:t>Application: spectrum efficiency in 2 GHz band radio-relay systems</w:t>
      </w:r>
    </w:p>
    <w:p w:rsidR="004B059B" w:rsidRPr="0088226A" w:rsidRDefault="004B059B" w:rsidP="004B059B">
      <w:pPr>
        <w:rPr>
          <w:lang w:val="en-US"/>
        </w:rPr>
      </w:pPr>
      <w:r w:rsidRPr="0088226A">
        <w:rPr>
          <w:lang w:val="en-US"/>
        </w:rPr>
        <w:t>The SUE for a small-capacity terrestrial point-to-point radio-relay system operating in the 2 GHz band was calculated for telephone transmission using the above formula.</w:t>
      </w:r>
    </w:p>
    <w:p w:rsidR="004B059B" w:rsidRPr="0088226A" w:rsidRDefault="004B059B" w:rsidP="004B059B">
      <w:pPr>
        <w:rPr>
          <w:lang w:val="en-US"/>
        </w:rPr>
      </w:pPr>
      <w:r w:rsidRPr="0088226A">
        <w:rPr>
          <w:lang w:val="en-US"/>
        </w:rPr>
        <w:t>The relative spectrum utilization efficiency for 1.8 m diameter antennas was calculated using the permissible interference ratio and corresponding efficiency for each type of modulation in Table 2. The results are shown in Fig.</w:t>
      </w:r>
      <w:r w:rsidRPr="0088226A">
        <w:rPr>
          <w:i/>
          <w:lang w:val="en-US"/>
        </w:rPr>
        <w:t xml:space="preserve"> </w:t>
      </w:r>
      <w:r w:rsidRPr="0088226A">
        <w:rPr>
          <w:lang w:val="en-US"/>
        </w:rPr>
        <w:t>10.</w:t>
      </w:r>
    </w:p>
    <w:p w:rsidR="004B059B" w:rsidRPr="0088226A" w:rsidRDefault="004B059B" w:rsidP="004B059B">
      <w:pPr>
        <w:rPr>
          <w:lang w:val="en-US"/>
        </w:rPr>
      </w:pPr>
      <w:r w:rsidRPr="0088226A">
        <w:rPr>
          <w:lang w:val="en-US"/>
        </w:rPr>
        <w:t xml:space="preserve">The digital system is superior to the analogue system for smaller fading margins. In this study, the attenuation due to fading is the same as the degradation of </w:t>
      </w:r>
      <w:r w:rsidRPr="0088226A">
        <w:rPr>
          <w:i/>
          <w:lang w:val="en-US"/>
        </w:rPr>
        <w:t>W/U</w:t>
      </w:r>
      <w:r w:rsidRPr="0088226A">
        <w:rPr>
          <w:lang w:val="en-US"/>
        </w:rPr>
        <w:t xml:space="preserve"> (wanted signal level to unwanted signal level ratio) caused by interference. If space-diversity techniques are used, the necessary fading margin is lower. In general, digital systems tend to deliver superior spectrum utilization efficiency.</w:t>
      </w:r>
    </w:p>
    <w:p w:rsidR="004B059B" w:rsidRPr="0088226A" w:rsidRDefault="004B059B" w:rsidP="004B059B">
      <w:pPr>
        <w:rPr>
          <w:lang w:val="en-US"/>
        </w:rPr>
      </w:pPr>
      <w:r w:rsidRPr="0088226A">
        <w:rPr>
          <w:lang w:val="en-US"/>
        </w:rPr>
        <w:t>For digital modulation, a change from 2-phase to multi-phase or multi-state requires less bandwidth, but it may have lower spectrum utilization efficiency when interference is high. The exact value depends on the antenna characteristics, etc., but the 4-PSK system may be optimum from the macroscopic viewpoint in cases where other radio links operating around the repeater station are randomly located in an area.</w:t>
      </w:r>
    </w:p>
    <w:p w:rsidR="004B059B" w:rsidRPr="0088226A" w:rsidRDefault="004B059B" w:rsidP="004B059B">
      <w:pPr>
        <w:pStyle w:val="Heading2"/>
        <w:rPr>
          <w:lang w:val="en-US"/>
        </w:rPr>
        <w:sectPr w:rsidR="004B059B" w:rsidRPr="0088226A" w:rsidSect="0059747D">
          <w:headerReference w:type="even" r:id="rId71"/>
          <w:headerReference w:type="default" r:id="rId72"/>
          <w:footerReference w:type="first" r:id="rId73"/>
          <w:pgSz w:w="11907" w:h="16840" w:code="9"/>
          <w:pgMar w:top="1418" w:right="1134" w:bottom="1134" w:left="1134" w:header="720" w:footer="482" w:gutter="0"/>
          <w:paperSrc w:first="256" w:other="256"/>
          <w:pgNumType w:start="1"/>
          <w:cols w:space="720"/>
        </w:sectPr>
      </w:pPr>
    </w:p>
    <w:p w:rsidR="004B059B" w:rsidRDefault="004B059B" w:rsidP="004B059B">
      <w:pPr>
        <w:pStyle w:val="Table"/>
      </w:pPr>
      <w:r>
        <w:lastRenderedPageBreak/>
        <w:t>TABLE  2</w:t>
      </w:r>
    </w:p>
    <w:p w:rsidR="004B059B" w:rsidRDefault="004B059B" w:rsidP="004B059B">
      <w:pPr>
        <w:pStyle w:val="TableTitle0"/>
      </w:pPr>
      <w:r>
        <w:t>Parameters of various modulation types in the 2 GHz band</w:t>
      </w:r>
    </w:p>
    <w:p w:rsidR="004B059B" w:rsidRDefault="004B059B" w:rsidP="004B059B">
      <w:pPr>
        <w:pStyle w:val="Blanc"/>
      </w:pPr>
    </w:p>
    <w:tbl>
      <w:tblPr>
        <w:tblW w:w="0" w:type="auto"/>
        <w:jc w:val="center"/>
        <w:tblLayout w:type="fixed"/>
        <w:tblCellMar>
          <w:left w:w="0" w:type="dxa"/>
          <w:right w:w="0" w:type="dxa"/>
        </w:tblCellMar>
        <w:tblLook w:val="0000" w:firstRow="0" w:lastRow="0" w:firstColumn="0" w:lastColumn="0" w:noHBand="0" w:noVBand="0"/>
      </w:tblPr>
      <w:tblGrid>
        <w:gridCol w:w="1134"/>
        <w:gridCol w:w="1304"/>
        <w:gridCol w:w="1304"/>
        <w:gridCol w:w="1276"/>
        <w:gridCol w:w="1276"/>
        <w:gridCol w:w="1701"/>
        <w:gridCol w:w="1418"/>
        <w:gridCol w:w="1418"/>
        <w:gridCol w:w="1333"/>
        <w:gridCol w:w="1333"/>
        <w:gridCol w:w="1333"/>
      </w:tblGrid>
      <w:tr w:rsidR="004B059B">
        <w:trPr>
          <w:cantSplit/>
          <w:jc w:val="center"/>
        </w:trPr>
        <w:tc>
          <w:tcPr>
            <w:tcW w:w="2438" w:type="dxa"/>
            <w:gridSpan w:val="2"/>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jc w:val="center"/>
            </w:pPr>
            <w:r>
              <w:br/>
              <w:t>Modulation type</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 xml:space="preserve">Permissible </w:t>
            </w:r>
            <w:r>
              <w:rPr>
                <w:i/>
              </w:rPr>
              <w:t xml:space="preserve">S/N </w:t>
            </w:r>
            <w:r>
              <w:t>or error ratio</w:t>
            </w:r>
          </w:p>
        </w:tc>
        <w:tc>
          <w:tcPr>
            <w:tcW w:w="2552" w:type="dxa"/>
            <w:gridSpan w:val="2"/>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ind w:left="86" w:right="86"/>
              <w:jc w:val="center"/>
            </w:pPr>
            <w:r>
              <w:t>Interference reduction</w:t>
            </w:r>
            <w:r>
              <w:br/>
              <w:t>factor (IRF)</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 xml:space="preserve">Permissible wanted signal/unwanted signal ratio </w:t>
            </w:r>
            <w:r>
              <w:rPr>
                <w:i/>
              </w:rPr>
              <w:t>W/U</w:t>
            </w:r>
          </w:p>
        </w:tc>
        <w:tc>
          <w:tcPr>
            <w:tcW w:w="2836" w:type="dxa"/>
            <w:gridSpan w:val="2"/>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ind w:left="86" w:right="86"/>
              <w:jc w:val="center"/>
            </w:pPr>
            <w:r>
              <w:t>Parameters related</w:t>
            </w:r>
            <w:r>
              <w:br/>
              <w:t xml:space="preserve">to </w:t>
            </w:r>
            <w:r>
              <w:rPr>
                <w:i/>
              </w:rPr>
              <w:t>B</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 xml:space="preserve">Spacing to adjacent channels </w:t>
            </w:r>
            <w:r>
              <w:rPr>
                <w:i/>
              </w:rPr>
              <w:t>B</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Number of channels</w:t>
            </w:r>
            <w:r>
              <w:br/>
            </w:r>
            <w:r>
              <w:rPr>
                <w:i/>
              </w:rPr>
              <w:t>A</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ind w:left="86" w:right="86"/>
              <w:jc w:val="center"/>
            </w:pPr>
            <w:r>
              <w:rPr>
                <w:i/>
              </w:rPr>
              <w:t>A/B</w:t>
            </w:r>
            <w:r>
              <w:rPr>
                <w:position w:val="6"/>
                <w:sz w:val="14"/>
              </w:rPr>
              <w:t>(1)</w:t>
            </w:r>
            <w:r>
              <w:br/>
              <w:t>(channels/kHz)</w:t>
            </w:r>
          </w:p>
        </w:tc>
      </w:tr>
      <w:tr w:rsidR="004B059B">
        <w:trPr>
          <w:cantSplit/>
          <w:jc w:val="center"/>
        </w:trPr>
        <w:tc>
          <w:tcPr>
            <w:tcW w:w="1134" w:type="dxa"/>
            <w:tcBorders>
              <w:top w:val="single" w:sz="6" w:space="0" w:color="auto"/>
              <w:left w:val="single" w:sz="6" w:space="0" w:color="auto"/>
              <w:right w:val="single" w:sz="6" w:space="0" w:color="auto"/>
            </w:tcBorders>
          </w:tcPr>
          <w:p w:rsidR="004B059B" w:rsidRDefault="004B059B" w:rsidP="004B059B">
            <w:pPr>
              <w:pStyle w:val="TableText0"/>
              <w:framePr w:hSpace="181" w:wrap="notBeside" w:vAnchor="text" w:hAnchor="page" w:xAlign="center" w:y="1"/>
              <w:spacing w:before="180" w:after="0"/>
              <w:jc w:val="center"/>
            </w:pPr>
            <w:r>
              <w:br/>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jc w:val="center"/>
            </w:pPr>
            <w:r>
              <w:t>MF</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ind w:left="86" w:right="86"/>
              <w:jc w:val="center"/>
            </w:pPr>
            <w:r>
              <w:t>58 dB</w:t>
            </w:r>
          </w:p>
        </w:tc>
        <w:tc>
          <w:tcPr>
            <w:tcW w:w="2552" w:type="dxa"/>
            <w:gridSpan w:val="2"/>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ind w:left="86" w:right="86"/>
              <w:jc w:val="center"/>
            </w:pPr>
            <w:r>
              <w:t>20 dB</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ind w:left="86" w:right="86"/>
              <w:jc w:val="center"/>
            </w:pPr>
            <w:r>
              <w:t>38 dB</w:t>
            </w:r>
          </w:p>
        </w:tc>
        <w:tc>
          <w:tcPr>
            <w:tcW w:w="2836" w:type="dxa"/>
            <w:gridSpan w:val="2"/>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 xml:space="preserve">Frequency deviation for test </w:t>
            </w:r>
            <w:r>
              <w:br/>
              <w:t>tone: 100 kHz r.m.s.</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ind w:left="86" w:right="86"/>
              <w:jc w:val="center"/>
            </w:pPr>
            <w:r>
              <w:t>520 kHz</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180"/>
              <w:ind w:left="86" w:right="86"/>
              <w:jc w:val="center"/>
            </w:pPr>
            <w:r>
              <w:t>0.046</w:t>
            </w:r>
          </w:p>
        </w:tc>
      </w:tr>
      <w:tr w:rsidR="004B059B">
        <w:trPr>
          <w:cantSplit/>
          <w:jc w:val="center"/>
        </w:trPr>
        <w:tc>
          <w:tcPr>
            <w:tcW w:w="1134" w:type="dxa"/>
            <w:tcBorders>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0"/>
              <w:jc w:val="center"/>
            </w:pPr>
            <w:r>
              <w:t>Analogue transmission</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220"/>
              <w:jc w:val="center"/>
            </w:pPr>
            <w:r>
              <w:br/>
              <w:t>SSB</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220"/>
              <w:jc w:val="center"/>
            </w:pPr>
            <w:r>
              <w:br/>
              <w:t>58 dB</w:t>
            </w:r>
          </w:p>
        </w:tc>
        <w:tc>
          <w:tcPr>
            <w:tcW w:w="2552" w:type="dxa"/>
            <w:gridSpan w:val="2"/>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220"/>
              <w:jc w:val="center"/>
            </w:pPr>
            <w:r>
              <w:br/>
              <w:t>9.5 dB</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220"/>
              <w:jc w:val="center"/>
            </w:pPr>
            <w:r>
              <w:br/>
              <w:t>48.5 dB</w:t>
            </w:r>
          </w:p>
        </w:tc>
        <w:tc>
          <w:tcPr>
            <w:tcW w:w="2836" w:type="dxa"/>
            <w:gridSpan w:val="2"/>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Highest baseband</w:t>
            </w:r>
            <w:r>
              <w:br/>
              <w:t>frequency: 108 kHz</w:t>
            </w:r>
            <w:r>
              <w:br/>
              <w:t xml:space="preserve">Filter coefficient: </w:t>
            </w:r>
            <w:r>
              <w:rPr>
                <w:rFonts w:ascii="Symbol" w:hAnsi="Symbol"/>
              </w:rPr>
              <w:t></w:t>
            </w:r>
            <w:r>
              <w:t xml:space="preserve">  2</w:t>
            </w:r>
            <w:r>
              <w:br/>
              <w:t>Frequency tolerance: 20 kHz</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220"/>
              <w:jc w:val="center"/>
            </w:pPr>
            <w:r>
              <w:br/>
              <w:t>236 kHz</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220"/>
              <w:jc w:val="center"/>
            </w:pPr>
            <w:r>
              <w:br/>
              <w:t>24</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spacing w:before="220"/>
              <w:jc w:val="center"/>
            </w:pPr>
            <w:r>
              <w:br/>
              <w:t>0.1</w:t>
            </w:r>
            <w:r>
              <w:rPr>
                <w:lang w:val="fr-FR"/>
              </w:rPr>
              <w:t>  </w:t>
            </w:r>
          </w:p>
        </w:tc>
      </w:tr>
      <w:tr w:rsidR="004B059B">
        <w:trPr>
          <w:cantSplit/>
          <w:jc w:val="center"/>
        </w:trPr>
        <w:tc>
          <w:tcPr>
            <w:tcW w:w="1134" w:type="dxa"/>
            <w:tcBorders>
              <w:top w:val="single" w:sz="6" w:space="0" w:color="auto"/>
              <w:left w:val="single" w:sz="6" w:space="0" w:color="auto"/>
              <w:right w:val="single" w:sz="6" w:space="0" w:color="auto"/>
            </w:tcBorders>
          </w:tcPr>
          <w:p w:rsidR="004B059B" w:rsidRDefault="004B059B" w:rsidP="004B059B">
            <w:pPr>
              <w:pStyle w:val="TableText0"/>
              <w:framePr w:hSpace="181" w:wrap="notBeside" w:vAnchor="text" w:hAnchor="page" w:xAlign="center" w:y="1"/>
              <w:jc w:val="center"/>
            </w:pPr>
          </w:p>
        </w:tc>
        <w:tc>
          <w:tcPr>
            <w:tcW w:w="1304" w:type="dxa"/>
            <w:tcBorders>
              <w:top w:val="single" w:sz="6" w:space="0" w:color="auto"/>
              <w:left w:val="single" w:sz="6" w:space="0" w:color="auto"/>
              <w:right w:val="single" w:sz="6" w:space="0" w:color="auto"/>
            </w:tcBorders>
          </w:tcPr>
          <w:p w:rsidR="004B059B" w:rsidRDefault="004B059B" w:rsidP="004B059B">
            <w:pPr>
              <w:pStyle w:val="TableText0"/>
              <w:framePr w:hSpace="181" w:wrap="notBeside" w:vAnchor="text" w:hAnchor="page" w:xAlign="center" w:y="1"/>
              <w:jc w:val="center"/>
            </w:pPr>
          </w:p>
        </w:tc>
        <w:tc>
          <w:tcPr>
            <w:tcW w:w="1304" w:type="dxa"/>
            <w:tcBorders>
              <w:top w:val="single" w:sz="6" w:space="0" w:color="auto"/>
              <w:left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i/>
              </w:rPr>
              <w:t>(C/N)</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(Degradation)</w:t>
            </w:r>
          </w:p>
        </w:tc>
        <w:tc>
          <w:tcPr>
            <w:tcW w:w="1701" w:type="dxa"/>
            <w:tcBorders>
              <w:top w:val="single" w:sz="6" w:space="0" w:color="auto"/>
              <w:left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Clock frequency</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Filter coefficient</w:t>
            </w:r>
          </w:p>
        </w:tc>
        <w:tc>
          <w:tcPr>
            <w:tcW w:w="1333" w:type="dxa"/>
            <w:tcBorders>
              <w:top w:val="single" w:sz="6" w:space="0" w:color="auto"/>
              <w:left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p>
        </w:tc>
        <w:tc>
          <w:tcPr>
            <w:tcW w:w="1333" w:type="dxa"/>
            <w:tcBorders>
              <w:top w:val="single" w:sz="6" w:space="0" w:color="auto"/>
              <w:left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p>
        </w:tc>
        <w:tc>
          <w:tcPr>
            <w:tcW w:w="1333" w:type="dxa"/>
            <w:tcBorders>
              <w:top w:val="single" w:sz="6" w:space="0" w:color="auto"/>
              <w:left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p>
        </w:tc>
      </w:tr>
      <w:tr w:rsidR="004B059B">
        <w:trPr>
          <w:cantSplit/>
          <w:jc w:val="center"/>
        </w:trPr>
        <w:tc>
          <w:tcPr>
            <w:tcW w:w="1134" w:type="dxa"/>
            <w:tcBorders>
              <w:left w:val="single" w:sz="6" w:space="0" w:color="auto"/>
              <w:right w:val="single" w:sz="6" w:space="0" w:color="auto"/>
            </w:tcBorders>
          </w:tcPr>
          <w:p w:rsidR="004B059B" w:rsidRDefault="004B059B" w:rsidP="004B059B">
            <w:pPr>
              <w:pStyle w:val="TableText0"/>
              <w:framePr w:hSpace="181" w:wrap="notBeside" w:vAnchor="text" w:hAnchor="page" w:xAlign="center" w:y="1"/>
              <w:jc w:val="center"/>
            </w:pPr>
          </w:p>
        </w:tc>
        <w:tc>
          <w:tcPr>
            <w:tcW w:w="1304" w:type="dxa"/>
            <w:tcBorders>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jc w:val="center"/>
            </w:pPr>
            <w:r>
              <w:t>2-PSK</w:t>
            </w:r>
          </w:p>
        </w:tc>
        <w:tc>
          <w:tcPr>
            <w:tcW w:w="1304" w:type="dxa"/>
            <w:tcBorders>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10.7 dB</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5.5 dB</w:t>
            </w:r>
          </w:p>
        </w:tc>
        <w:tc>
          <w:tcPr>
            <w:tcW w:w="1701" w:type="dxa"/>
            <w:tcBorders>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16.2 dB</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w:t>
            </w:r>
            <w:r>
              <w:rPr>
                <w:sz w:val="8"/>
              </w:rPr>
              <w:t> </w:t>
            </w:r>
            <w:r>
              <w:t>544 kHz</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rFonts w:ascii="Symbol" w:hAnsi="Symbol"/>
              </w:rPr>
              <w:t></w:t>
            </w:r>
            <w:r>
              <w:t xml:space="preserve">  1.3</w:t>
            </w:r>
          </w:p>
        </w:tc>
        <w:tc>
          <w:tcPr>
            <w:tcW w:w="1333" w:type="dxa"/>
            <w:tcBorders>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w:t>
            </w:r>
            <w:r>
              <w:rPr>
                <w:color w:val="FFFFFF"/>
              </w:rPr>
              <w:t>.</w:t>
            </w:r>
            <w:r>
              <w:rPr>
                <w:color w:val="FFFFFF"/>
              </w:rPr>
              <w:t> </w:t>
            </w:r>
            <w:r>
              <w:rPr>
                <w:color w:val="FFFFFF"/>
              </w:rPr>
              <w:t> </w:t>
            </w:r>
            <w:r>
              <w:t xml:space="preserve"> MHz</w:t>
            </w:r>
          </w:p>
        </w:tc>
        <w:tc>
          <w:tcPr>
            <w:tcW w:w="1333" w:type="dxa"/>
            <w:tcBorders>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24</w:t>
            </w:r>
          </w:p>
        </w:tc>
        <w:tc>
          <w:tcPr>
            <w:tcW w:w="1333" w:type="dxa"/>
            <w:tcBorders>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0.012</w:t>
            </w:r>
          </w:p>
        </w:tc>
      </w:tr>
      <w:tr w:rsidR="004B059B">
        <w:trPr>
          <w:cantSplit/>
          <w:jc w:val="center"/>
        </w:trPr>
        <w:tc>
          <w:tcPr>
            <w:tcW w:w="1134" w:type="dxa"/>
            <w:tcBorders>
              <w:left w:val="single" w:sz="6" w:space="0" w:color="auto"/>
              <w:right w:val="single" w:sz="6" w:space="0" w:color="auto"/>
            </w:tcBorders>
          </w:tcPr>
          <w:p w:rsidR="004B059B" w:rsidRDefault="004B059B" w:rsidP="004B059B">
            <w:pPr>
              <w:pStyle w:val="TableText0"/>
              <w:framePr w:hSpace="181" w:wrap="notBeside" w:vAnchor="text" w:hAnchor="page" w:xAlign="center" w:y="1"/>
              <w:spacing w:before="180" w:after="0"/>
              <w:jc w:val="center"/>
            </w:pPr>
            <w:r>
              <w:t>Digital</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jc w:val="center"/>
            </w:pPr>
            <w:r>
              <w:t>4-PSK</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13.7 dB</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5.5 dB</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19.2 dB</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color w:val="FFFFFF"/>
                <w:lang w:val="fr-FR"/>
              </w:rPr>
              <w:t> </w:t>
            </w:r>
            <w:r>
              <w:rPr>
                <w:sz w:val="8"/>
                <w:lang w:val="fr-FR"/>
              </w:rPr>
              <w:t> </w:t>
            </w:r>
            <w:r>
              <w:t>772 kHz</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rFonts w:ascii="Symbol" w:hAnsi="Symbol"/>
              </w:rPr>
              <w:t></w:t>
            </w:r>
            <w:r>
              <w:t xml:space="preserve">  1.4</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1.1</w:t>
            </w:r>
            <w:r>
              <w:rPr>
                <w:color w:val="FFFFFF"/>
              </w:rPr>
              <w:t> </w:t>
            </w:r>
            <w:r>
              <w:t xml:space="preserve"> MHz</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0.022</w:t>
            </w:r>
          </w:p>
        </w:tc>
      </w:tr>
      <w:tr w:rsidR="004B059B">
        <w:trPr>
          <w:cantSplit/>
          <w:jc w:val="center"/>
        </w:trPr>
        <w:tc>
          <w:tcPr>
            <w:tcW w:w="1134" w:type="dxa"/>
            <w:tcBorders>
              <w:left w:val="single" w:sz="6" w:space="0" w:color="auto"/>
              <w:right w:val="single" w:sz="6" w:space="0" w:color="auto"/>
            </w:tcBorders>
          </w:tcPr>
          <w:p w:rsidR="004B059B" w:rsidRDefault="004B059B" w:rsidP="004B059B">
            <w:pPr>
              <w:pStyle w:val="TableText0"/>
              <w:framePr w:hSpace="181" w:wrap="notBeside" w:vAnchor="text" w:hAnchor="page" w:xAlign="center" w:y="1"/>
              <w:spacing w:before="0"/>
              <w:jc w:val="center"/>
            </w:pPr>
            <w:r>
              <w:t>transmission</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jc w:val="center"/>
            </w:pPr>
            <w:r>
              <w:t>8-PSK</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19.1 dB</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5.5 dB</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24.6 dB</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color w:val="FFFFFF"/>
                <w:lang w:val="fr-FR"/>
              </w:rPr>
              <w:t> </w:t>
            </w:r>
            <w:r>
              <w:rPr>
                <w:sz w:val="8"/>
                <w:lang w:val="fr-FR"/>
              </w:rPr>
              <w:t> </w:t>
            </w:r>
            <w:r>
              <w:t>515 kHz</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rFonts w:ascii="Symbol" w:hAnsi="Symbol"/>
              </w:rPr>
              <w:t></w:t>
            </w:r>
            <w:r>
              <w:t xml:space="preserve">  1.5</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0.77 MHz</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0.031</w:t>
            </w:r>
          </w:p>
        </w:tc>
      </w:tr>
      <w:tr w:rsidR="004B059B">
        <w:trPr>
          <w:cantSplit/>
          <w:jc w:val="center"/>
        </w:trPr>
        <w:tc>
          <w:tcPr>
            <w:tcW w:w="1134" w:type="dxa"/>
            <w:tcBorders>
              <w:left w:val="single" w:sz="6" w:space="0" w:color="auto"/>
              <w:right w:val="single" w:sz="6" w:space="0" w:color="auto"/>
            </w:tcBorders>
          </w:tcPr>
          <w:p w:rsidR="004B059B" w:rsidRDefault="004B059B" w:rsidP="004B059B">
            <w:pPr>
              <w:pStyle w:val="TableText0"/>
              <w:framePr w:hSpace="181" w:wrap="notBeside" w:vAnchor="text" w:hAnchor="page" w:xAlign="center" w:y="1"/>
              <w:jc w:val="center"/>
            </w:pP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jc w:val="center"/>
            </w:pPr>
            <w:r>
              <w:t>QPRS</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16.8 dB</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5.5 dB</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22.3 dB</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color w:val="FFFFFF"/>
                <w:lang w:val="fr-FR"/>
              </w:rPr>
              <w:t> </w:t>
            </w:r>
            <w:r>
              <w:rPr>
                <w:sz w:val="8"/>
                <w:lang w:val="fr-FR"/>
              </w:rPr>
              <w:t> </w:t>
            </w:r>
            <w:r>
              <w:t>722 kHz</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rFonts w:ascii="Symbol" w:hAnsi="Symbol"/>
              </w:rPr>
              <w:t></w:t>
            </w:r>
            <w:r>
              <w:t xml:space="preserve">  1.1</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0.85 MHz</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0.028</w:t>
            </w:r>
          </w:p>
        </w:tc>
      </w:tr>
      <w:tr w:rsidR="004B059B">
        <w:trPr>
          <w:cantSplit/>
          <w:jc w:val="center"/>
        </w:trPr>
        <w:tc>
          <w:tcPr>
            <w:tcW w:w="1134" w:type="dxa"/>
            <w:tcBorders>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jc w:val="center"/>
            </w:pP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jc w:val="center"/>
            </w:pPr>
            <w:r>
              <w:t>16-QAM</w:t>
            </w:r>
          </w:p>
        </w:tc>
        <w:tc>
          <w:tcPr>
            <w:tcW w:w="1304"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10</w:t>
            </w:r>
            <w:r>
              <w:rPr>
                <w:position w:val="6"/>
                <w:sz w:val="14"/>
              </w:rPr>
              <w:t>–6</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21.4 dB</w:t>
            </w:r>
          </w:p>
        </w:tc>
        <w:tc>
          <w:tcPr>
            <w:tcW w:w="1276"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5.5 dB</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26.9 dB</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color w:val="FFFFFF"/>
                <w:lang w:val="fr-FR"/>
              </w:rPr>
              <w:t> </w:t>
            </w:r>
            <w:r>
              <w:rPr>
                <w:sz w:val="8"/>
                <w:lang w:val="fr-FR"/>
              </w:rPr>
              <w:t> </w:t>
            </w:r>
            <w:r>
              <w:t>386 kHz</w:t>
            </w:r>
          </w:p>
        </w:tc>
        <w:tc>
          <w:tcPr>
            <w:tcW w:w="1418"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rPr>
                <w:rFonts w:ascii="Symbol" w:hAnsi="Symbol"/>
              </w:rPr>
              <w:t></w:t>
            </w:r>
            <w:r>
              <w:t xml:space="preserve">  1.6</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0.62 MHz</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24</w:t>
            </w:r>
          </w:p>
        </w:tc>
        <w:tc>
          <w:tcPr>
            <w:tcW w:w="1333" w:type="dxa"/>
            <w:tcBorders>
              <w:top w:val="single" w:sz="6" w:space="0" w:color="auto"/>
              <w:left w:val="single" w:sz="6" w:space="0" w:color="auto"/>
              <w:bottom w:val="single" w:sz="6" w:space="0" w:color="auto"/>
              <w:right w:val="single" w:sz="6" w:space="0" w:color="auto"/>
            </w:tcBorders>
          </w:tcPr>
          <w:p w:rsidR="004B059B" w:rsidRDefault="004B059B" w:rsidP="004B059B">
            <w:pPr>
              <w:pStyle w:val="TableText0"/>
              <w:framePr w:hSpace="181" w:wrap="notBeside" w:vAnchor="text" w:hAnchor="page" w:xAlign="center" w:y="1"/>
              <w:ind w:left="86" w:right="86"/>
              <w:jc w:val="center"/>
            </w:pPr>
            <w:r>
              <w:t>0.039</w:t>
            </w:r>
          </w:p>
        </w:tc>
      </w:tr>
    </w:tbl>
    <w:p w:rsidR="004B059B" w:rsidRDefault="004B059B" w:rsidP="004B059B">
      <w:pPr>
        <w:pStyle w:val="TableLegend0"/>
        <w:tabs>
          <w:tab w:val="clear" w:pos="794"/>
          <w:tab w:val="clear" w:pos="1191"/>
          <w:tab w:val="clear" w:pos="1588"/>
          <w:tab w:val="clear" w:pos="1985"/>
          <w:tab w:val="left" w:pos="426"/>
        </w:tabs>
        <w:ind w:left="0" w:right="0"/>
      </w:pPr>
      <w:r>
        <w:rPr>
          <w:position w:val="6"/>
          <w:sz w:val="14"/>
        </w:rPr>
        <w:t>(1)</w:t>
      </w:r>
      <w:r>
        <w:tab/>
        <w:t>The proper efficiency for each type of modulation.</w:t>
      </w:r>
    </w:p>
    <w:p w:rsidR="004B059B" w:rsidRPr="0088226A" w:rsidRDefault="004B059B" w:rsidP="004B059B">
      <w:pPr>
        <w:pStyle w:val="TableLegend0"/>
        <w:tabs>
          <w:tab w:val="clear" w:pos="794"/>
          <w:tab w:val="clear" w:pos="1191"/>
          <w:tab w:val="clear" w:pos="1588"/>
          <w:tab w:val="clear" w:pos="1985"/>
          <w:tab w:val="left" w:pos="709"/>
        </w:tabs>
        <w:ind w:left="0" w:right="0"/>
        <w:rPr>
          <w:lang w:val="en-US"/>
        </w:rPr>
      </w:pPr>
      <w:r w:rsidRPr="0088226A">
        <w:rPr>
          <w:lang w:val="en-US"/>
        </w:rPr>
        <w:t>QPRS:</w:t>
      </w:r>
      <w:r w:rsidRPr="0088226A">
        <w:rPr>
          <w:lang w:val="en-US"/>
        </w:rPr>
        <w:tab/>
        <w:t>quadrature partial-response system.</w:t>
      </w:r>
    </w:p>
    <w:p w:rsidR="004B059B" w:rsidRDefault="004B059B" w:rsidP="004B059B">
      <w:pPr>
        <w:pStyle w:val="TableLegend0"/>
        <w:spacing w:before="240"/>
        <w:ind w:left="0" w:right="0"/>
      </w:pPr>
      <w:r>
        <w:rPr>
          <w:i/>
        </w:rPr>
        <w:t>The assumptions used are:</w:t>
      </w:r>
    </w:p>
    <w:p w:rsidR="004B059B" w:rsidRDefault="004B059B" w:rsidP="004B059B">
      <w:pPr>
        <w:pStyle w:val="TableLegend0"/>
        <w:tabs>
          <w:tab w:val="clear" w:pos="794"/>
          <w:tab w:val="left" w:pos="426"/>
        </w:tabs>
        <w:ind w:left="426" w:right="0" w:hanging="426"/>
      </w:pPr>
      <w:r>
        <w:t>–</w:t>
      </w:r>
      <w:r>
        <w:tab/>
        <w:t>acceptable interference and spectrum efficiency for each modulation type are as shown in Table 1. 80% of the total circuit noise is allotted to interference;</w:t>
      </w:r>
    </w:p>
    <w:p w:rsidR="004B059B" w:rsidRDefault="004B059B" w:rsidP="004B059B">
      <w:pPr>
        <w:pStyle w:val="TableLegend0"/>
        <w:tabs>
          <w:tab w:val="clear" w:pos="794"/>
          <w:tab w:val="left" w:pos="426"/>
        </w:tabs>
        <w:ind w:left="425" w:right="0" w:hanging="425"/>
      </w:pPr>
      <w:r>
        <w:t>–</w:t>
      </w:r>
      <w:r>
        <w:tab/>
        <w:t>distances between a station subject to interference (station Y) and the interfering stations are assumed to be the same; this assumption is considered to cause little error in efficiency calculation since the free-space losses of two links differ by only 6 dB even if they differ in length by a factor of two;</w:t>
      </w:r>
    </w:p>
    <w:p w:rsidR="004B059B" w:rsidRDefault="004B059B" w:rsidP="004B059B">
      <w:pPr>
        <w:pStyle w:val="TableLegend0"/>
        <w:tabs>
          <w:tab w:val="clear" w:pos="794"/>
          <w:tab w:val="left" w:pos="426"/>
        </w:tabs>
        <w:ind w:left="0" w:right="0"/>
      </w:pPr>
      <w:r>
        <w:t>–</w:t>
      </w:r>
      <w:r>
        <w:tab/>
        <w:t>fading in the wanted signal and in the interfering signals is assumed to have no correlation;</w:t>
      </w:r>
    </w:p>
    <w:p w:rsidR="004B059B" w:rsidRDefault="004B059B" w:rsidP="004B059B">
      <w:pPr>
        <w:pStyle w:val="TableLegend0"/>
        <w:tabs>
          <w:tab w:val="clear" w:pos="794"/>
          <w:tab w:val="left" w:pos="426"/>
        </w:tabs>
        <w:ind w:left="0" w:right="0"/>
      </w:pPr>
      <w:r>
        <w:t>–</w:t>
      </w:r>
      <w:r>
        <w:tab/>
        <w:t>the antenna radiation pattern is the reference diagram in Recommendation ITU-R F.699;</w:t>
      </w:r>
    </w:p>
    <w:p w:rsidR="004B059B" w:rsidRDefault="004B059B" w:rsidP="004B059B">
      <w:pPr>
        <w:pStyle w:val="TableLegend0"/>
        <w:tabs>
          <w:tab w:val="clear" w:pos="794"/>
          <w:tab w:val="left" w:pos="426"/>
        </w:tabs>
        <w:ind w:left="0" w:right="0"/>
      </w:pPr>
      <w:r>
        <w:t>–</w:t>
      </w:r>
      <w:r>
        <w:tab/>
        <w:t>all stations have the same transmitting output power;</w:t>
      </w:r>
    </w:p>
    <w:p w:rsidR="004B059B" w:rsidRDefault="004B059B" w:rsidP="004B059B">
      <w:pPr>
        <w:pStyle w:val="TableLegend0"/>
        <w:tabs>
          <w:tab w:val="clear" w:pos="794"/>
          <w:tab w:val="left" w:pos="426"/>
        </w:tabs>
        <w:ind w:left="0" w:right="0"/>
      </w:pPr>
      <w:r>
        <w:t>–</w:t>
      </w:r>
      <w:r>
        <w:tab/>
        <w:t xml:space="preserve">the limit on the probability of interference,  </w:t>
      </w:r>
      <w:r>
        <w:fldChar w:fldCharType="begin"/>
      </w:r>
      <w:r>
        <w:instrText xml:space="preserve">eq </w:instrText>
      </w:r>
      <w:r>
        <w:rPr>
          <w:i/>
        </w:rPr>
        <w:instrText>p</w:instrText>
      </w:r>
      <w:r>
        <w:instrText xml:space="preserve">\d\ba5()\s\up5(–)  </w:instrText>
      </w:r>
      <w:r>
        <w:rPr>
          <w:rFonts w:ascii="Symbol" w:hAnsi="Symbol"/>
        </w:rPr>
        <w:instrText>=</w:instrText>
      </w:r>
      <w:r>
        <w:instrText xml:space="preserve">  0.1</w:instrText>
      </w:r>
      <w:r>
        <w:fldChar w:fldCharType="end"/>
      </w:r>
      <w:r>
        <w:t>.</w:t>
      </w:r>
    </w:p>
    <w:p w:rsidR="004B059B" w:rsidRDefault="004B059B" w:rsidP="004B059B">
      <w:pPr>
        <w:pStyle w:val="Tablefin"/>
      </w:pPr>
    </w:p>
    <w:p w:rsidR="004B059B" w:rsidRPr="0088226A" w:rsidRDefault="004B059B" w:rsidP="004B059B">
      <w:pPr>
        <w:pStyle w:val="Heading2"/>
        <w:rPr>
          <w:lang w:val="en-US"/>
        </w:rPr>
        <w:sectPr w:rsidR="004B059B" w:rsidRPr="0088226A" w:rsidSect="0088226A">
          <w:headerReference w:type="even" r:id="rId74"/>
          <w:headerReference w:type="default" r:id="rId75"/>
          <w:pgSz w:w="16840" w:h="11907" w:orient="landscape" w:code="9"/>
          <w:pgMar w:top="1134" w:right="1418" w:bottom="1134" w:left="1134" w:header="720" w:footer="482" w:gutter="0"/>
          <w:paperSrc w:first="256" w:other="256"/>
          <w:cols w:space="720"/>
        </w:sectPr>
      </w:pPr>
    </w:p>
    <w:p w:rsidR="004B059B" w:rsidRDefault="0088226A" w:rsidP="00483296">
      <w:pPr>
        <w:pStyle w:val="FigureNo"/>
        <w:spacing w:before="240"/>
        <w:rPr>
          <w:lang w:val="es-ES_tradnl"/>
        </w:rPr>
      </w:pPr>
      <w:r>
        <w:object w:dxaOrig="7715" w:dyaOrig="11498">
          <v:shape id="_x0000_i1054" type="#_x0000_t75" style="width:385.2pt;height:575.4pt" o:ole="" o:allowoverlap="f">
            <v:imagedata r:id="rId76" o:title=""/>
          </v:shape>
          <o:OLEObject Type="Embed" ProgID="CorelDRAW.Graphic.12" ShapeID="_x0000_i1054" DrawAspect="Content" ObjectID="_1370947786" r:id="rId77"/>
        </w:object>
      </w:r>
    </w:p>
    <w:p w:rsidR="004B059B" w:rsidRPr="0088226A" w:rsidRDefault="004B059B" w:rsidP="004B059B">
      <w:pPr>
        <w:pStyle w:val="Heading3"/>
        <w:rPr>
          <w:lang w:val="en-US"/>
        </w:rPr>
      </w:pPr>
      <w:r w:rsidRPr="0088226A">
        <w:rPr>
          <w:lang w:val="en-US"/>
        </w:rPr>
        <w:t>2.3.3</w:t>
      </w:r>
      <w:r w:rsidRPr="0088226A">
        <w:rPr>
          <w:lang w:val="en-US"/>
        </w:rPr>
        <w:tab/>
        <w:t>SUE in a random mesh network</w:t>
      </w:r>
    </w:p>
    <w:p w:rsidR="004B059B" w:rsidRPr="0088226A" w:rsidRDefault="004B059B" w:rsidP="004B059B">
      <w:pPr>
        <w:rPr>
          <w:lang w:val="en-US"/>
        </w:rPr>
      </w:pPr>
      <w:r w:rsidRPr="0088226A">
        <w:rPr>
          <w:lang w:val="en-US"/>
        </w:rPr>
        <w:t xml:space="preserve">In order to perform a fair comparison of modulation techniques, one can assume an interleaved frequency plan with a channel spacing corresponding to a given performance degradation caused by adjacent channel interferences. Table 3 gives tentative values of the normalized channel spacing, </w:t>
      </w:r>
      <w:r w:rsidRPr="0088226A">
        <w:rPr>
          <w:i/>
          <w:lang w:val="en-US"/>
        </w:rPr>
        <w:t>X</w:t>
      </w:r>
      <w:r w:rsidRPr="0088226A">
        <w:rPr>
          <w:lang w:val="en-US"/>
        </w:rPr>
        <w:t xml:space="preserve"> defined in ex-CCIR Report 608 (Kyoto, 1978) and the corresponding spectrum efficiency (bit/(s · Hz)). Even if different results could be derived, based on other assumptions, it should be noted that the calculated results of Table 3 are quite near the values which could be derived from specific channel arrangements, as suggested by ITU-R Recommendations (for example 140 Mbit/s, </w:t>
      </w:r>
      <w:r w:rsidRPr="0088226A">
        <w:rPr>
          <w:lang w:val="en-US"/>
        </w:rPr>
        <w:lastRenderedPageBreak/>
        <w:t>with 16</w:t>
      </w:r>
      <w:r w:rsidRPr="0088226A">
        <w:rPr>
          <w:lang w:val="en-US"/>
        </w:rPr>
        <w:noBreakHyphen/>
        <w:t>QAM modulation and 40 MHz channel spacing between cross-polarized channels). Measured values might be different from these calculated values.</w:t>
      </w:r>
    </w:p>
    <w:p w:rsidR="004B059B" w:rsidRPr="0088226A" w:rsidRDefault="004B059B" w:rsidP="00483296">
      <w:pPr>
        <w:pStyle w:val="Table"/>
        <w:spacing w:before="480"/>
        <w:rPr>
          <w:lang w:val="en-US"/>
        </w:rPr>
      </w:pPr>
      <w:r w:rsidRPr="0088226A">
        <w:rPr>
          <w:lang w:val="en-US"/>
        </w:rPr>
        <w:t>TABLE  3</w:t>
      </w:r>
    </w:p>
    <w:p w:rsidR="004B059B" w:rsidRPr="0088226A" w:rsidRDefault="004B059B" w:rsidP="004B059B">
      <w:pPr>
        <w:pStyle w:val="Blanc"/>
        <w:rPr>
          <w:lang w:val="en-US"/>
        </w:rPr>
      </w:pPr>
    </w:p>
    <w:tbl>
      <w:tblPr>
        <w:tblW w:w="0" w:type="auto"/>
        <w:jc w:val="center"/>
        <w:tblLayout w:type="fixed"/>
        <w:tblLook w:val="0000" w:firstRow="0" w:lastRow="0" w:firstColumn="0" w:lastColumn="0" w:noHBand="0" w:noVBand="0"/>
      </w:tblPr>
      <w:tblGrid>
        <w:gridCol w:w="2835"/>
        <w:gridCol w:w="2835"/>
        <w:gridCol w:w="2835"/>
      </w:tblGrid>
      <w:tr w:rsidR="004B059B" w:rsidRPr="00E64C3F">
        <w:trPr>
          <w:cantSplit/>
          <w:jc w:val="center"/>
        </w:trPr>
        <w:tc>
          <w:tcPr>
            <w:tcW w:w="2835" w:type="dxa"/>
            <w:tcBorders>
              <w:top w:val="single" w:sz="6" w:space="0" w:color="auto"/>
              <w:left w:val="single" w:sz="6" w:space="0" w:color="auto"/>
              <w:right w:val="single" w:sz="6" w:space="0" w:color="auto"/>
            </w:tcBorders>
          </w:tcPr>
          <w:p w:rsidR="004B059B" w:rsidRDefault="004B059B" w:rsidP="0088226A">
            <w:pPr>
              <w:pStyle w:val="TableText0"/>
              <w:spacing w:before="180"/>
              <w:jc w:val="center"/>
              <w:rPr>
                <w:lang w:val="fr-FR"/>
              </w:rPr>
            </w:pPr>
            <w:r>
              <w:t>Modulation method</w:t>
            </w:r>
          </w:p>
        </w:tc>
        <w:tc>
          <w:tcPr>
            <w:tcW w:w="2835" w:type="dxa"/>
            <w:tcBorders>
              <w:top w:val="single" w:sz="6" w:space="0" w:color="auto"/>
              <w:left w:val="single" w:sz="6" w:space="0" w:color="auto"/>
              <w:right w:val="single" w:sz="6" w:space="0" w:color="auto"/>
            </w:tcBorders>
          </w:tcPr>
          <w:p w:rsidR="004B059B" w:rsidRDefault="004B059B" w:rsidP="0088226A">
            <w:pPr>
              <w:pStyle w:val="TableText0"/>
              <w:jc w:val="center"/>
              <w:rPr>
                <w:lang w:val="fr-FR"/>
              </w:rPr>
            </w:pPr>
            <w:r>
              <w:t xml:space="preserve">Normalized channel spacing, </w:t>
            </w:r>
            <w:r>
              <w:rPr>
                <w:i/>
              </w:rPr>
              <w:t>X</w:t>
            </w:r>
          </w:p>
        </w:tc>
        <w:tc>
          <w:tcPr>
            <w:tcW w:w="2835" w:type="dxa"/>
            <w:tcBorders>
              <w:top w:val="single" w:sz="6" w:space="0" w:color="auto"/>
              <w:left w:val="single" w:sz="6" w:space="0" w:color="auto"/>
              <w:right w:val="single" w:sz="6" w:space="0" w:color="auto"/>
            </w:tcBorders>
          </w:tcPr>
          <w:p w:rsidR="004B059B" w:rsidRPr="0088226A" w:rsidRDefault="004B059B" w:rsidP="0088226A">
            <w:pPr>
              <w:pStyle w:val="TableText0"/>
              <w:jc w:val="center"/>
              <w:rPr>
                <w:lang w:val="en-US"/>
              </w:rPr>
            </w:pPr>
            <w:r>
              <w:t>Spectrum efficiency</w:t>
            </w:r>
            <w:r w:rsidRPr="0088226A">
              <w:rPr>
                <w:lang w:val="en-US"/>
              </w:rPr>
              <w:br/>
              <w:t xml:space="preserve">(bit/(s </w:t>
            </w:r>
            <w:r>
              <w:rPr>
                <w:rFonts w:ascii="Symbol" w:hAnsi="Symbol"/>
                <w:lang w:val="fr-FR"/>
              </w:rPr>
              <w:t></w:t>
            </w:r>
            <w:r w:rsidRPr="0088226A">
              <w:rPr>
                <w:lang w:val="en-US"/>
              </w:rPr>
              <w:t xml:space="preserve"> Hz)</w:t>
            </w:r>
          </w:p>
        </w:tc>
      </w:tr>
      <w:tr w:rsidR="004B059B">
        <w:trPr>
          <w:cantSplit/>
          <w:jc w:val="center"/>
        </w:trPr>
        <w:tc>
          <w:tcPr>
            <w:tcW w:w="2835" w:type="dxa"/>
            <w:tcBorders>
              <w:top w:val="single" w:sz="6" w:space="0" w:color="auto"/>
              <w:left w:val="single" w:sz="6" w:space="0" w:color="auto"/>
              <w:right w:val="single" w:sz="6" w:space="0" w:color="auto"/>
            </w:tcBorders>
          </w:tcPr>
          <w:p w:rsidR="004B059B" w:rsidRDefault="004B059B" w:rsidP="00483296">
            <w:pPr>
              <w:pStyle w:val="TableText0"/>
              <w:spacing w:before="40" w:after="40"/>
              <w:jc w:val="center"/>
              <w:rPr>
                <w:lang w:val="fr-FR"/>
              </w:rPr>
            </w:pPr>
            <w:r>
              <w:t>4-PSK</w:t>
            </w:r>
          </w:p>
        </w:tc>
        <w:tc>
          <w:tcPr>
            <w:tcW w:w="2835" w:type="dxa"/>
            <w:tcBorders>
              <w:top w:val="single" w:sz="6" w:space="0" w:color="auto"/>
              <w:left w:val="single" w:sz="6" w:space="0" w:color="auto"/>
              <w:right w:val="single" w:sz="6" w:space="0" w:color="auto"/>
            </w:tcBorders>
          </w:tcPr>
          <w:p w:rsidR="004B059B" w:rsidRDefault="004B059B" w:rsidP="00483296">
            <w:pPr>
              <w:pStyle w:val="TableText0"/>
              <w:spacing w:before="40" w:after="40"/>
              <w:jc w:val="center"/>
              <w:rPr>
                <w:lang w:val="fr-FR"/>
              </w:rPr>
            </w:pPr>
            <w:r>
              <w:rPr>
                <w:lang w:val="fr-FR"/>
              </w:rPr>
              <w:t>1.88</w:t>
            </w:r>
          </w:p>
        </w:tc>
        <w:tc>
          <w:tcPr>
            <w:tcW w:w="2835" w:type="dxa"/>
            <w:tcBorders>
              <w:top w:val="single" w:sz="6" w:space="0" w:color="auto"/>
              <w:left w:val="single" w:sz="6" w:space="0" w:color="auto"/>
              <w:right w:val="single" w:sz="6" w:space="0" w:color="auto"/>
            </w:tcBorders>
          </w:tcPr>
          <w:p w:rsidR="004B059B" w:rsidRDefault="004B059B" w:rsidP="00483296">
            <w:pPr>
              <w:pStyle w:val="TableText0"/>
              <w:spacing w:before="40" w:after="40"/>
              <w:jc w:val="center"/>
              <w:rPr>
                <w:lang w:val="fr-FR"/>
              </w:rPr>
            </w:pPr>
            <w:r>
              <w:rPr>
                <w:lang w:val="fr-FR"/>
              </w:rPr>
              <w:t>2.13</w:t>
            </w:r>
          </w:p>
        </w:tc>
      </w:tr>
      <w:tr w:rsidR="004B059B">
        <w:trPr>
          <w:cantSplit/>
          <w:jc w:val="center"/>
        </w:trPr>
        <w:tc>
          <w:tcPr>
            <w:tcW w:w="2835" w:type="dxa"/>
            <w:tcBorders>
              <w:left w:val="single" w:sz="6" w:space="0" w:color="auto"/>
              <w:right w:val="single" w:sz="6" w:space="0" w:color="auto"/>
            </w:tcBorders>
          </w:tcPr>
          <w:p w:rsidR="004B059B" w:rsidRDefault="004B059B" w:rsidP="00483296">
            <w:pPr>
              <w:pStyle w:val="TableText0"/>
              <w:spacing w:before="40" w:after="40"/>
              <w:jc w:val="center"/>
              <w:rPr>
                <w:lang w:val="fr-FR"/>
              </w:rPr>
            </w:pPr>
            <w:r>
              <w:t>8-PSK</w:t>
            </w:r>
          </w:p>
        </w:tc>
        <w:tc>
          <w:tcPr>
            <w:tcW w:w="2835" w:type="dxa"/>
            <w:tcBorders>
              <w:left w:val="single" w:sz="6" w:space="0" w:color="auto"/>
              <w:right w:val="single" w:sz="6" w:space="0" w:color="auto"/>
            </w:tcBorders>
          </w:tcPr>
          <w:p w:rsidR="004B059B" w:rsidRDefault="004B059B" w:rsidP="00483296">
            <w:pPr>
              <w:pStyle w:val="TableText0"/>
              <w:spacing w:before="40" w:after="40"/>
              <w:jc w:val="center"/>
              <w:rPr>
                <w:lang w:val="fr-FR"/>
              </w:rPr>
            </w:pPr>
            <w:r>
              <w:rPr>
                <w:lang w:val="fr-FR"/>
              </w:rPr>
              <w:t>2.16</w:t>
            </w:r>
          </w:p>
        </w:tc>
        <w:tc>
          <w:tcPr>
            <w:tcW w:w="2835" w:type="dxa"/>
            <w:tcBorders>
              <w:left w:val="single" w:sz="6" w:space="0" w:color="auto"/>
              <w:right w:val="single" w:sz="6" w:space="0" w:color="auto"/>
            </w:tcBorders>
          </w:tcPr>
          <w:p w:rsidR="004B059B" w:rsidRDefault="004B059B" w:rsidP="00483296">
            <w:pPr>
              <w:pStyle w:val="TableText0"/>
              <w:spacing w:before="40" w:after="40"/>
              <w:jc w:val="center"/>
              <w:rPr>
                <w:lang w:val="fr-FR"/>
              </w:rPr>
            </w:pPr>
            <w:r>
              <w:rPr>
                <w:lang w:val="fr-FR"/>
              </w:rPr>
              <w:t>2.77</w:t>
            </w:r>
          </w:p>
        </w:tc>
      </w:tr>
      <w:tr w:rsidR="004B059B">
        <w:trPr>
          <w:cantSplit/>
          <w:jc w:val="center"/>
        </w:trPr>
        <w:tc>
          <w:tcPr>
            <w:tcW w:w="2835" w:type="dxa"/>
            <w:tcBorders>
              <w:left w:val="single" w:sz="6" w:space="0" w:color="auto"/>
              <w:right w:val="single" w:sz="6" w:space="0" w:color="auto"/>
            </w:tcBorders>
          </w:tcPr>
          <w:p w:rsidR="004B059B" w:rsidRDefault="004B059B" w:rsidP="00483296">
            <w:pPr>
              <w:pStyle w:val="TableText0"/>
              <w:spacing w:before="40" w:after="40"/>
              <w:jc w:val="center"/>
              <w:rPr>
                <w:lang w:val="fr-FR"/>
              </w:rPr>
            </w:pPr>
            <w:r>
              <w:t>16-QAM</w:t>
            </w:r>
          </w:p>
        </w:tc>
        <w:tc>
          <w:tcPr>
            <w:tcW w:w="2835" w:type="dxa"/>
            <w:tcBorders>
              <w:left w:val="single" w:sz="6" w:space="0" w:color="auto"/>
              <w:right w:val="single" w:sz="6" w:space="0" w:color="auto"/>
            </w:tcBorders>
          </w:tcPr>
          <w:p w:rsidR="004B059B" w:rsidRDefault="004B059B" w:rsidP="00483296">
            <w:pPr>
              <w:pStyle w:val="TableText0"/>
              <w:spacing w:before="40" w:after="40"/>
              <w:jc w:val="center"/>
              <w:rPr>
                <w:lang w:val="fr-FR"/>
              </w:rPr>
            </w:pPr>
            <w:r>
              <w:rPr>
                <w:lang w:val="fr-FR"/>
              </w:rPr>
              <w:t>2.23</w:t>
            </w:r>
          </w:p>
        </w:tc>
        <w:tc>
          <w:tcPr>
            <w:tcW w:w="2835" w:type="dxa"/>
            <w:tcBorders>
              <w:left w:val="single" w:sz="6" w:space="0" w:color="auto"/>
              <w:right w:val="single" w:sz="6" w:space="0" w:color="auto"/>
            </w:tcBorders>
          </w:tcPr>
          <w:p w:rsidR="004B059B" w:rsidRDefault="004B059B" w:rsidP="00483296">
            <w:pPr>
              <w:pStyle w:val="TableText0"/>
              <w:spacing w:before="40" w:after="40"/>
              <w:jc w:val="center"/>
              <w:rPr>
                <w:lang w:val="fr-FR"/>
              </w:rPr>
            </w:pPr>
            <w:r>
              <w:rPr>
                <w:lang w:val="fr-FR"/>
              </w:rPr>
              <w:t>3.59</w:t>
            </w:r>
          </w:p>
        </w:tc>
      </w:tr>
      <w:tr w:rsidR="004B059B" w:rsidRPr="00E64C3F">
        <w:trPr>
          <w:cantSplit/>
          <w:jc w:val="center"/>
        </w:trPr>
        <w:tc>
          <w:tcPr>
            <w:tcW w:w="8505" w:type="dxa"/>
            <w:gridSpan w:val="3"/>
            <w:tcBorders>
              <w:top w:val="single" w:sz="6" w:space="0" w:color="auto"/>
            </w:tcBorders>
          </w:tcPr>
          <w:p w:rsidR="004B059B" w:rsidRPr="0088226A" w:rsidRDefault="004B059B" w:rsidP="0088226A">
            <w:pPr>
              <w:pStyle w:val="TableLegend0"/>
              <w:tabs>
                <w:tab w:val="clear" w:pos="794"/>
                <w:tab w:val="clear" w:pos="1191"/>
                <w:tab w:val="clear" w:pos="1588"/>
                <w:tab w:val="clear" w:pos="1985"/>
                <w:tab w:val="left" w:pos="567"/>
                <w:tab w:val="left" w:pos="737"/>
              </w:tabs>
              <w:spacing w:before="60"/>
              <w:rPr>
                <w:lang w:val="en-US"/>
              </w:rPr>
            </w:pPr>
            <w:r w:rsidRPr="0088226A">
              <w:rPr>
                <w:lang w:val="en-US"/>
              </w:rPr>
              <w:t>NOTE 1</w:t>
            </w:r>
            <w:r w:rsidRPr="0088226A">
              <w:rPr>
                <w:lang w:val="en-US"/>
              </w:rPr>
              <w:tab/>
              <w:t>–</w:t>
            </w:r>
            <w:r w:rsidRPr="0088226A">
              <w:rPr>
                <w:lang w:val="en-US"/>
              </w:rPr>
              <w:tab/>
            </w:r>
            <w:r>
              <w:t>Degradation due to adjacent channel interference</w:t>
            </w:r>
            <w:r w:rsidRPr="0088226A">
              <w:rPr>
                <w:lang w:val="en-US"/>
              </w:rPr>
              <w:t>: 0.5 dB.</w:t>
            </w:r>
          </w:p>
          <w:p w:rsidR="004B059B" w:rsidRPr="0088226A" w:rsidRDefault="004B059B" w:rsidP="0088226A">
            <w:pPr>
              <w:pStyle w:val="TableLegend0"/>
              <w:tabs>
                <w:tab w:val="clear" w:pos="794"/>
                <w:tab w:val="clear" w:pos="1191"/>
                <w:tab w:val="clear" w:pos="1588"/>
                <w:tab w:val="clear" w:pos="1985"/>
                <w:tab w:val="left" w:pos="567"/>
                <w:tab w:val="left" w:pos="737"/>
              </w:tabs>
              <w:spacing w:before="60"/>
              <w:rPr>
                <w:lang w:val="en-US"/>
              </w:rPr>
            </w:pPr>
            <w:r w:rsidRPr="0088226A">
              <w:rPr>
                <w:lang w:val="en-US"/>
              </w:rPr>
              <w:tab/>
              <w:t>–</w:t>
            </w:r>
            <w:r w:rsidRPr="0088226A">
              <w:rPr>
                <w:lang w:val="en-US"/>
              </w:rPr>
              <w:tab/>
            </w:r>
            <w:r>
              <w:t>Channel filters: raised cosine roll-off 0.5</w:t>
            </w:r>
            <w:r w:rsidRPr="0088226A">
              <w:rPr>
                <w:lang w:val="en-US"/>
              </w:rPr>
              <w:t>.</w:t>
            </w:r>
          </w:p>
          <w:p w:rsidR="004B059B" w:rsidRPr="0088226A" w:rsidRDefault="004B059B" w:rsidP="0088226A">
            <w:pPr>
              <w:pStyle w:val="TableLegend0"/>
              <w:tabs>
                <w:tab w:val="clear" w:pos="794"/>
                <w:tab w:val="clear" w:pos="1191"/>
                <w:tab w:val="clear" w:pos="1588"/>
                <w:tab w:val="clear" w:pos="1985"/>
                <w:tab w:val="left" w:pos="567"/>
                <w:tab w:val="left" w:pos="737"/>
              </w:tabs>
              <w:spacing w:before="60"/>
              <w:rPr>
                <w:lang w:val="en-US"/>
              </w:rPr>
            </w:pPr>
            <w:r w:rsidRPr="0088226A">
              <w:rPr>
                <w:lang w:val="en-US"/>
              </w:rPr>
              <w:tab/>
              <w:t>–</w:t>
            </w:r>
            <w:r w:rsidRPr="0088226A">
              <w:rPr>
                <w:lang w:val="en-US"/>
              </w:rPr>
              <w:tab/>
            </w:r>
            <w:r>
              <w:t>Decoupling between cross-polarized channels (residual cross-polar discrimination (XPD))</w:t>
            </w:r>
            <w:r w:rsidRPr="0088226A">
              <w:rPr>
                <w:lang w:val="en-US"/>
              </w:rPr>
              <w:t>: 12 dB.</w:t>
            </w:r>
          </w:p>
        </w:tc>
      </w:tr>
    </w:tbl>
    <w:p w:rsidR="004B059B" w:rsidRPr="0088226A" w:rsidRDefault="004B059B" w:rsidP="0088226A">
      <w:pPr>
        <w:pStyle w:val="Tablefin"/>
      </w:pPr>
    </w:p>
    <w:p w:rsidR="004B059B" w:rsidRPr="0088226A" w:rsidRDefault="004B059B" w:rsidP="004B059B">
      <w:pPr>
        <w:rPr>
          <w:lang w:val="en-US"/>
        </w:rPr>
      </w:pPr>
      <w:r w:rsidRPr="0088226A">
        <w:rPr>
          <w:lang w:val="en-US"/>
        </w:rPr>
        <w:t xml:space="preserve">The antenna radiation pattern used in the analysis is shown in Fig. 11; it is for a typical parabolic antenna. It has been assumed that performance degradation (and a bit error ratio (BER) of 1 </w:t>
      </w:r>
      <w:r>
        <w:rPr>
          <w:rFonts w:ascii="Symbol" w:hAnsi="Symbol"/>
        </w:rPr>
        <w:t></w:t>
      </w:r>
      <w:r w:rsidRPr="0088226A">
        <w:rPr>
          <w:lang w:val="en-US"/>
        </w:rPr>
        <w:t xml:space="preserve"> 10</w:t>
      </w:r>
      <w:r w:rsidRPr="0088226A">
        <w:rPr>
          <w:position w:val="6"/>
          <w:sz w:val="16"/>
          <w:lang w:val="en-US"/>
        </w:rPr>
        <w:t>–3</w:t>
      </w:r>
      <w:r w:rsidRPr="0088226A">
        <w:rPr>
          <w:lang w:val="en-US"/>
        </w:rPr>
        <w:t>) due to co-channel interference from other links is not greater than 1 dB. It is assumed that the interfered-with link is at the threshold, with 40 dB fade margin, while the interfering link is receiving its nominal value.</w:t>
      </w:r>
    </w:p>
    <w:p w:rsidR="004B059B" w:rsidRDefault="0088226A" w:rsidP="0088226A">
      <w:pPr>
        <w:pStyle w:val="FigureNo"/>
        <w:rPr>
          <w:lang w:val="es-ES_tradnl"/>
        </w:rPr>
      </w:pPr>
      <w:r>
        <w:object w:dxaOrig="7638" w:dyaOrig="7765">
          <v:shape id="_x0000_i1055" type="#_x0000_t75" style="width:382.2pt;height:388.2pt" o:ole="" o:allowoverlap="f">
            <v:imagedata r:id="rId78" o:title=""/>
          </v:shape>
          <o:OLEObject Type="Embed" ProgID="CorelDRAW.Graphic.12" ShapeID="_x0000_i1055" DrawAspect="Content" ObjectID="_1370947787" r:id="rId79"/>
        </w:object>
      </w:r>
    </w:p>
    <w:p w:rsidR="004B059B" w:rsidRPr="0088226A" w:rsidRDefault="004B059B" w:rsidP="008741ED">
      <w:pPr>
        <w:keepNext/>
        <w:rPr>
          <w:lang w:val="en-US"/>
        </w:rPr>
      </w:pPr>
      <w:r w:rsidRPr="0088226A">
        <w:rPr>
          <w:lang w:val="en-US"/>
        </w:rPr>
        <w:lastRenderedPageBreak/>
        <w:t xml:space="preserve">A normalized network density </w:t>
      </w:r>
      <w:r>
        <w:rPr>
          <w:rFonts w:ascii="Symbol" w:hAnsi="Symbol"/>
        </w:rPr>
        <w:t></w:t>
      </w:r>
      <w:r w:rsidRPr="0088226A">
        <w:rPr>
          <w:lang w:val="en-US"/>
        </w:rPr>
        <w:t xml:space="preserve"> has been defined as:</w:t>
      </w:r>
    </w:p>
    <w:p w:rsidR="00483296" w:rsidRDefault="00483296" w:rsidP="00483296">
      <w:pPr>
        <w:pStyle w:val="Blanc"/>
      </w:pPr>
    </w:p>
    <w:p w:rsidR="0088226A" w:rsidRDefault="0088226A" w:rsidP="004B059B">
      <w:pPr>
        <w:pStyle w:val="Equation"/>
        <w:rPr>
          <w:lang w:val="en-US"/>
        </w:rPr>
      </w:pPr>
      <w:r>
        <w:rPr>
          <w:lang w:val="en-US"/>
        </w:rPr>
        <w:tab/>
      </w:r>
      <w:r>
        <w:rPr>
          <w:lang w:val="en-US"/>
        </w:rPr>
        <w:tab/>
      </w:r>
      <w:r w:rsidRPr="004925BF">
        <w:rPr>
          <w:position w:val="-28"/>
        </w:rPr>
        <w:object w:dxaOrig="3980" w:dyaOrig="720">
          <v:shape id="_x0000_i1056" type="#_x0000_t75" style="width:198.6pt;height:36pt" o:ole="" o:allowoverlap="f">
            <v:imagedata r:id="rId80" o:title=""/>
          </v:shape>
          <o:OLEObject Type="Embed" ProgID="Equation.3" ShapeID="_x0000_i1056" DrawAspect="Content" ObjectID="_1370947788" r:id="rId81"/>
        </w:object>
      </w:r>
      <w:r>
        <w:rPr>
          <w:lang w:val="en-US"/>
        </w:rPr>
        <w:tab/>
        <w:t>(23)</w:t>
      </w:r>
    </w:p>
    <w:p w:rsidR="00483296" w:rsidRDefault="00483296" w:rsidP="00483296">
      <w:pPr>
        <w:pStyle w:val="Blanc"/>
      </w:pPr>
    </w:p>
    <w:p w:rsidR="004B059B" w:rsidRPr="0088226A" w:rsidRDefault="004B059B" w:rsidP="004B059B">
      <w:pPr>
        <w:rPr>
          <w:lang w:val="en-US"/>
        </w:rPr>
      </w:pPr>
      <w:r w:rsidRPr="0088226A">
        <w:rPr>
          <w:lang w:val="en-US"/>
        </w:rPr>
        <w:t>where:</w:t>
      </w:r>
    </w:p>
    <w:p w:rsidR="004B059B" w:rsidRPr="0088226A" w:rsidRDefault="004B059B" w:rsidP="0088226A">
      <w:pPr>
        <w:pStyle w:val="Equationlegend"/>
      </w:pPr>
      <w:r w:rsidRPr="0088226A">
        <w:tab/>
      </w:r>
      <w:r w:rsidRPr="0088226A">
        <w:rPr>
          <w:i/>
        </w:rPr>
        <w:t>N</w:t>
      </w:r>
      <w:r w:rsidRPr="0088226A">
        <w:rPr>
          <w:rFonts w:ascii="CG Times" w:hAnsi="CG Times"/>
          <w:sz w:val="12"/>
        </w:rPr>
        <w:t> </w:t>
      </w:r>
      <w:r w:rsidRPr="0088226A">
        <w:t>:</w:t>
      </w:r>
      <w:r w:rsidRPr="0088226A">
        <w:tab/>
        <w:t>number of radio nodes in the network</w:t>
      </w:r>
    </w:p>
    <w:p w:rsidR="004B059B" w:rsidRPr="0088226A" w:rsidRDefault="004B059B" w:rsidP="0088226A">
      <w:pPr>
        <w:pStyle w:val="Equationlegend"/>
      </w:pPr>
      <w:r w:rsidRPr="0088226A">
        <w:tab/>
      </w:r>
      <w:r>
        <w:rPr>
          <w:rFonts w:ascii="Symbol" w:hAnsi="Symbol"/>
        </w:rPr>
        <w:t></w:t>
      </w:r>
      <w:r w:rsidRPr="0088226A">
        <w:rPr>
          <w:rFonts w:ascii="CG Times" w:hAnsi="CG Times"/>
          <w:sz w:val="12"/>
        </w:rPr>
        <w:t> </w:t>
      </w:r>
      <w:r w:rsidRPr="0088226A">
        <w:t>:</w:t>
      </w:r>
      <w:r w:rsidRPr="0088226A">
        <w:tab/>
        <w:t>mean square hop length.</w:t>
      </w:r>
    </w:p>
    <w:p w:rsidR="004B059B" w:rsidRDefault="004B059B" w:rsidP="004B059B">
      <w:pPr>
        <w:rPr>
          <w:lang w:val="en-US"/>
        </w:rPr>
      </w:pPr>
      <w:r w:rsidRPr="0088226A">
        <w:rPr>
          <w:lang w:val="en-US"/>
        </w:rPr>
        <w:t>The results of Fig.</w:t>
      </w:r>
      <w:r w:rsidRPr="0088226A">
        <w:rPr>
          <w:i/>
          <w:lang w:val="en-US"/>
        </w:rPr>
        <w:t xml:space="preserve"> </w:t>
      </w:r>
      <w:r w:rsidRPr="0088226A">
        <w:rPr>
          <w:lang w:val="en-US"/>
        </w:rPr>
        <w:t>12 show that in high density networks the highest efficiency is achieved with 4</w:t>
      </w:r>
      <w:r w:rsidRPr="0088226A">
        <w:rPr>
          <w:lang w:val="en-US"/>
        </w:rPr>
        <w:noBreakHyphen/>
        <w:t>PSK modulation. However, the modulation method moves in favour of 8-PSK or even 16</w:t>
      </w:r>
      <w:r w:rsidRPr="0088226A">
        <w:rPr>
          <w:lang w:val="en-US"/>
        </w:rPr>
        <w:noBreakHyphen/>
        <w:t>QAM when the network density is lower. This shows that the SUE of modulation methods depends on the interference environment.</w:t>
      </w:r>
    </w:p>
    <w:p w:rsidR="00483296" w:rsidRPr="0088226A" w:rsidRDefault="00483296" w:rsidP="004B059B">
      <w:pPr>
        <w:rPr>
          <w:lang w:val="en-US"/>
        </w:rPr>
      </w:pPr>
    </w:p>
    <w:p w:rsidR="004B059B" w:rsidRDefault="0088226A" w:rsidP="0088226A">
      <w:pPr>
        <w:pStyle w:val="FigureNo"/>
      </w:pPr>
      <w:r>
        <w:object w:dxaOrig="4056" w:dyaOrig="6908">
          <v:shape id="_x0000_i1057" type="#_x0000_t75" style="width:202.8pt;height:345.6pt" o:ole="" o:allowoverlap="f">
            <v:imagedata r:id="rId82" o:title=""/>
          </v:shape>
          <o:OLEObject Type="Embed" ProgID="CorelDRAW.Graphic.12" ShapeID="_x0000_i1057" DrawAspect="Content" ObjectID="_1370947789" r:id="rId83"/>
        </w:object>
      </w:r>
    </w:p>
    <w:p w:rsidR="00483296" w:rsidRDefault="00483296" w:rsidP="00483296">
      <w:pPr>
        <w:rPr>
          <w:lang w:val="en-US"/>
        </w:rPr>
      </w:pPr>
    </w:p>
    <w:p w:rsidR="004B059B" w:rsidRPr="0088226A" w:rsidRDefault="004B059B" w:rsidP="0088226A">
      <w:pPr>
        <w:pStyle w:val="Note"/>
        <w:rPr>
          <w:lang w:val="en-US"/>
        </w:rPr>
      </w:pPr>
      <w:r w:rsidRPr="0088226A">
        <w:rPr>
          <w:lang w:val="en-US"/>
        </w:rPr>
        <w:t>NOTE 1 – Additional information may be found in:</w:t>
      </w:r>
    </w:p>
    <w:p w:rsidR="004B059B" w:rsidRPr="00E64C3F" w:rsidRDefault="004B059B" w:rsidP="0088226A">
      <w:pPr>
        <w:pStyle w:val="Reftext"/>
        <w:rPr>
          <w:lang w:val="en-US"/>
        </w:rPr>
      </w:pPr>
      <w:r w:rsidRPr="00E64C3F">
        <w:rPr>
          <w:lang w:val="en-US"/>
        </w:rPr>
        <w:t>DODO, J., KUREMATSU, H. and NAKAZAWA, I. [8-12 June, 1980] Spectrum use efficiency and small capacity digital radio-relay system in the 2 GHz band. IEEE International Conference on Communications (ICC '80), Seattle, WA, United States of America.</w:t>
      </w:r>
    </w:p>
    <w:p w:rsidR="004B059B" w:rsidRPr="00E64C3F" w:rsidRDefault="004B059B" w:rsidP="0088226A">
      <w:pPr>
        <w:pStyle w:val="Reftext"/>
        <w:rPr>
          <w:lang w:val="en-US"/>
        </w:rPr>
      </w:pPr>
      <w:r w:rsidRPr="0088226A">
        <w:t xml:space="preserve">TILLOTSON, L. C. </w:t>
      </w:r>
      <w:r w:rsidRPr="0088226A">
        <w:rPr>
          <w:i/>
        </w:rPr>
        <w:t>et al</w:t>
      </w:r>
      <w:r w:rsidRPr="0088226A">
        <w:t xml:space="preserve">. </w:t>
      </w:r>
      <w:r w:rsidRPr="00E64C3F">
        <w:rPr>
          <w:lang w:val="en-US"/>
        </w:rPr>
        <w:t xml:space="preserve">[1973] Efficient use of the radio spectrum and bandwidth expansion. </w:t>
      </w:r>
      <w:r w:rsidRPr="00E64C3F">
        <w:rPr>
          <w:i/>
          <w:lang w:val="en-US"/>
        </w:rPr>
        <w:t>Proc. IEEE</w:t>
      </w:r>
      <w:r w:rsidRPr="00E64C3F">
        <w:rPr>
          <w:lang w:val="en-US"/>
        </w:rPr>
        <w:t xml:space="preserve">, 61, </w:t>
      </w:r>
      <w:r w:rsidRPr="00E64C3F">
        <w:rPr>
          <w:b/>
          <w:lang w:val="en-US"/>
        </w:rPr>
        <w:t>4</w:t>
      </w:r>
      <w:r w:rsidRPr="00E64C3F">
        <w:rPr>
          <w:lang w:val="en-US"/>
        </w:rPr>
        <w:t>.</w:t>
      </w:r>
    </w:p>
    <w:p w:rsidR="004B059B" w:rsidRPr="0088226A" w:rsidRDefault="004B059B" w:rsidP="004B059B">
      <w:pPr>
        <w:pStyle w:val="Heading2"/>
        <w:rPr>
          <w:lang w:val="en-US"/>
        </w:rPr>
      </w:pPr>
      <w:r w:rsidRPr="0088226A">
        <w:rPr>
          <w:lang w:val="en-US"/>
        </w:rPr>
        <w:lastRenderedPageBreak/>
        <w:t>2.4</w:t>
      </w:r>
      <w:r w:rsidRPr="0088226A">
        <w:rPr>
          <w:lang w:val="en-US"/>
        </w:rPr>
        <w:tab/>
        <w:t>Assessing spectrum conserving properties of new technology for digital radio-relay systems</w:t>
      </w:r>
    </w:p>
    <w:p w:rsidR="004B059B" w:rsidRPr="0088226A" w:rsidRDefault="004B059B" w:rsidP="004B059B">
      <w:pPr>
        <w:pStyle w:val="Heading3"/>
        <w:rPr>
          <w:lang w:val="en-US"/>
        </w:rPr>
      </w:pPr>
      <w:r w:rsidRPr="0088226A">
        <w:rPr>
          <w:lang w:val="en-US"/>
        </w:rPr>
        <w:t>2.4.1</w:t>
      </w:r>
      <w:r w:rsidRPr="0088226A">
        <w:rPr>
          <w:lang w:val="en-US"/>
        </w:rPr>
        <w:tab/>
        <w:t>Introduction</w:t>
      </w:r>
    </w:p>
    <w:p w:rsidR="004B059B" w:rsidRPr="0088226A" w:rsidRDefault="004B059B" w:rsidP="004B059B">
      <w:pPr>
        <w:rPr>
          <w:lang w:val="en-US"/>
        </w:rPr>
      </w:pPr>
      <w:r w:rsidRPr="0088226A">
        <w:rPr>
          <w:lang w:val="en-US"/>
        </w:rPr>
        <w:t>To assess the spectrum conserving properties of various design factors or technology options a computer model was designed.</w:t>
      </w:r>
      <w:r w:rsidRPr="0088226A">
        <w:rPr>
          <w:i/>
          <w:lang w:val="en-US"/>
        </w:rPr>
        <w:t xml:space="preserve"> </w:t>
      </w:r>
      <w:r w:rsidRPr="0088226A">
        <w:rPr>
          <w:lang w:val="en-US"/>
        </w:rPr>
        <w:t>The relative SUE that can be achieved must be quantitatively evaluated.</w:t>
      </w:r>
      <w:r w:rsidRPr="0088226A">
        <w:rPr>
          <w:i/>
          <w:lang w:val="en-US"/>
        </w:rPr>
        <w:t xml:space="preserve"> </w:t>
      </w:r>
      <w:r w:rsidRPr="0088226A">
        <w:rPr>
          <w:lang w:val="en-US"/>
        </w:rPr>
        <w:t>The concept of SUE can be extended and defined as:</w:t>
      </w:r>
    </w:p>
    <w:p w:rsidR="00483296" w:rsidRDefault="00483296" w:rsidP="00483296">
      <w:pPr>
        <w:pStyle w:val="Blanc"/>
      </w:pPr>
    </w:p>
    <w:p w:rsidR="004B059B" w:rsidRPr="0088226A" w:rsidRDefault="004B059B" w:rsidP="004B059B">
      <w:pPr>
        <w:pStyle w:val="Equation"/>
        <w:rPr>
          <w:lang w:val="en-US"/>
        </w:rPr>
      </w:pPr>
      <w:r w:rsidRPr="0088226A">
        <w:rPr>
          <w:lang w:val="en-US"/>
        </w:rPr>
        <w:tab/>
      </w:r>
      <w:r w:rsidRPr="0088226A">
        <w:rPr>
          <w:lang w:val="en-US"/>
        </w:rPr>
        <w:tab/>
      </w:r>
      <w:r w:rsidRPr="0088226A">
        <w:rPr>
          <w:i/>
          <w:lang w:val="en-US"/>
        </w:rPr>
        <w:t>SUE</w:t>
      </w:r>
      <w:r w:rsidRPr="0088226A">
        <w:rPr>
          <w:lang w:val="en-US"/>
        </w:rPr>
        <w:t xml:space="preserve">  </w:t>
      </w:r>
      <w:r>
        <w:rPr>
          <w:rFonts w:ascii="Symbol" w:hAnsi="Symbol"/>
        </w:rPr>
        <w:t></w:t>
      </w:r>
      <w:r w:rsidRPr="0088226A">
        <w:rPr>
          <w:lang w:val="en-US"/>
        </w:rPr>
        <w:t xml:space="preserve">  </w:t>
      </w:r>
      <w:r w:rsidRPr="0088226A">
        <w:rPr>
          <w:i/>
          <w:lang w:val="en-US"/>
        </w:rPr>
        <w:t>VC</w:t>
      </w:r>
      <w:r w:rsidRPr="0088226A">
        <w:rPr>
          <w:lang w:val="en-US"/>
        </w:rPr>
        <w:t>/(</w:t>
      </w:r>
      <w:r w:rsidRPr="0088226A">
        <w:rPr>
          <w:i/>
          <w:lang w:val="en-US"/>
        </w:rPr>
        <w:t>T</w:t>
      </w:r>
      <w:r w:rsidRPr="0088226A">
        <w:rPr>
          <w:lang w:val="en-US"/>
        </w:rPr>
        <w:t xml:space="preserve">  ·  </w:t>
      </w:r>
      <w:r w:rsidRPr="0088226A">
        <w:rPr>
          <w:i/>
          <w:lang w:val="en-US"/>
        </w:rPr>
        <w:t>A</w:t>
      </w:r>
      <w:r w:rsidRPr="0088226A">
        <w:rPr>
          <w:lang w:val="en-US"/>
        </w:rPr>
        <w:t xml:space="preserve">  ·  </w:t>
      </w:r>
      <w:r w:rsidRPr="0088226A">
        <w:rPr>
          <w:i/>
          <w:lang w:val="en-US"/>
        </w:rPr>
        <w:t>B</w:t>
      </w:r>
      <w:r w:rsidRPr="0088226A">
        <w:rPr>
          <w:lang w:val="en-US"/>
        </w:rPr>
        <w:t>)</w:t>
      </w:r>
      <w:r w:rsidRPr="0088226A">
        <w:rPr>
          <w:lang w:val="en-US"/>
        </w:rPr>
        <w:tab/>
        <w:t>(2</w:t>
      </w:r>
      <w:r w:rsidR="0088226A">
        <w:rPr>
          <w:lang w:val="en-US"/>
        </w:rPr>
        <w:t>4</w:t>
      </w:r>
      <w:r w:rsidRPr="0088226A">
        <w:rPr>
          <w:lang w:val="en-US"/>
        </w:rPr>
        <w:t>)</w:t>
      </w:r>
    </w:p>
    <w:p w:rsidR="00483296" w:rsidRDefault="00483296" w:rsidP="00483296">
      <w:pPr>
        <w:pStyle w:val="Blanc"/>
      </w:pPr>
    </w:p>
    <w:p w:rsidR="004B059B" w:rsidRPr="0088226A" w:rsidRDefault="004B059B" w:rsidP="004B059B">
      <w:pPr>
        <w:rPr>
          <w:lang w:val="en-US"/>
        </w:rPr>
      </w:pPr>
      <w:r w:rsidRPr="0088226A">
        <w:rPr>
          <w:lang w:val="en-US"/>
        </w:rPr>
        <w:t>where:</w:t>
      </w:r>
    </w:p>
    <w:p w:rsidR="004B059B" w:rsidRPr="0088226A" w:rsidRDefault="004B059B" w:rsidP="0088226A">
      <w:pPr>
        <w:pStyle w:val="Equationlegend"/>
      </w:pPr>
      <w:r w:rsidRPr="0088226A">
        <w:tab/>
      </w:r>
      <w:r w:rsidRPr="0088226A">
        <w:rPr>
          <w:i/>
        </w:rPr>
        <w:t>VC</w:t>
      </w:r>
      <w:r w:rsidRPr="0088226A">
        <w:rPr>
          <w:rFonts w:ascii="Tms Rmn" w:hAnsi="Tms Rmn"/>
          <w:sz w:val="12"/>
        </w:rPr>
        <w:t> </w:t>
      </w:r>
      <w:r w:rsidRPr="0088226A">
        <w:t>:</w:t>
      </w:r>
      <w:r w:rsidRPr="0088226A">
        <w:tab/>
        <w:t>number of voice channels</w:t>
      </w:r>
    </w:p>
    <w:p w:rsidR="004B059B" w:rsidRPr="0088226A" w:rsidRDefault="004B059B" w:rsidP="0088226A">
      <w:pPr>
        <w:pStyle w:val="Equationlegend"/>
      </w:pPr>
      <w:r w:rsidRPr="0088226A">
        <w:tab/>
      </w:r>
      <w:r w:rsidRPr="0088226A">
        <w:rPr>
          <w:i/>
        </w:rPr>
        <w:t>T</w:t>
      </w:r>
      <w:r w:rsidRPr="0088226A">
        <w:rPr>
          <w:rFonts w:ascii="Tms Rmn" w:hAnsi="Tms Rmn"/>
          <w:sz w:val="12"/>
        </w:rPr>
        <w:t> </w:t>
      </w:r>
      <w:r w:rsidRPr="0088226A">
        <w:t>:</w:t>
      </w:r>
      <w:r w:rsidRPr="0088226A">
        <w:tab/>
        <w:t>fraction of time a system is used (defined to be equal to 1 for this analysis)</w:t>
      </w:r>
    </w:p>
    <w:p w:rsidR="004B059B" w:rsidRPr="0088226A" w:rsidRDefault="004B059B" w:rsidP="0088226A">
      <w:pPr>
        <w:pStyle w:val="Equationlegend"/>
      </w:pPr>
      <w:r w:rsidRPr="0088226A">
        <w:tab/>
      </w:r>
      <w:r w:rsidRPr="0088226A">
        <w:rPr>
          <w:i/>
        </w:rPr>
        <w:t>A</w:t>
      </w:r>
      <w:r w:rsidRPr="0088226A">
        <w:rPr>
          <w:rFonts w:ascii="Tms Rmn" w:hAnsi="Tms Rmn"/>
          <w:sz w:val="12"/>
        </w:rPr>
        <w:t> </w:t>
      </w:r>
      <w:r w:rsidRPr="0088226A">
        <w:t>:</w:t>
      </w:r>
      <w:r w:rsidRPr="0088226A">
        <w:tab/>
        <w:t>denial area (km</w:t>
      </w:r>
      <w:r w:rsidRPr="0088226A">
        <w:rPr>
          <w:position w:val="6"/>
          <w:sz w:val="16"/>
        </w:rPr>
        <w:t>2</w:t>
      </w:r>
      <w:r w:rsidRPr="0088226A">
        <w:t>)</w:t>
      </w:r>
    </w:p>
    <w:p w:rsidR="004B059B" w:rsidRPr="0088226A" w:rsidRDefault="004B059B" w:rsidP="0088226A">
      <w:pPr>
        <w:pStyle w:val="Equationlegend"/>
      </w:pPr>
      <w:r w:rsidRPr="0088226A">
        <w:tab/>
      </w:r>
      <w:r w:rsidRPr="0088226A">
        <w:rPr>
          <w:i/>
        </w:rPr>
        <w:t>B</w:t>
      </w:r>
      <w:r w:rsidRPr="0088226A">
        <w:rPr>
          <w:rFonts w:ascii="Tms Rmn" w:hAnsi="Tms Rmn"/>
          <w:sz w:val="12"/>
        </w:rPr>
        <w:t> </w:t>
      </w:r>
      <w:r w:rsidRPr="0088226A">
        <w:t>:</w:t>
      </w:r>
      <w:r w:rsidRPr="0088226A">
        <w:tab/>
        <w:t>occupied bandwidth (MHz).</w:t>
      </w:r>
    </w:p>
    <w:p w:rsidR="004B059B" w:rsidRPr="0088226A" w:rsidRDefault="004B059B" w:rsidP="004B059B">
      <w:pPr>
        <w:rPr>
          <w:lang w:val="en-US"/>
        </w:rPr>
      </w:pPr>
      <w:r w:rsidRPr="0088226A">
        <w:rPr>
          <w:lang w:val="en-US"/>
        </w:rPr>
        <w:t>Equation (2</w:t>
      </w:r>
      <w:r w:rsidR="0088226A">
        <w:rPr>
          <w:lang w:val="en-US"/>
        </w:rPr>
        <w:t>4</w:t>
      </w:r>
      <w:r w:rsidRPr="0088226A">
        <w:rPr>
          <w:lang w:val="en-US"/>
        </w:rPr>
        <w:t>) was chosen because it takes into account both spectrum and spatial (area) denial in assessing the spectrum-conservation properties of a system.</w:t>
      </w:r>
      <w:r w:rsidRPr="0088226A">
        <w:rPr>
          <w:i/>
          <w:lang w:val="en-US"/>
        </w:rPr>
        <w:t xml:space="preserve"> </w:t>
      </w:r>
      <w:r w:rsidRPr="0088226A">
        <w:rPr>
          <w:lang w:val="en-US"/>
        </w:rPr>
        <w:t>The denial area is the area in which another system cannot operate without degradation in system performance below a specified performance criteria.</w:t>
      </w:r>
      <w:r w:rsidRPr="0088226A">
        <w:rPr>
          <w:i/>
          <w:lang w:val="en-US"/>
        </w:rPr>
        <w:t xml:space="preserve"> </w:t>
      </w:r>
      <w:r w:rsidRPr="0088226A">
        <w:rPr>
          <w:lang w:val="en-US"/>
        </w:rPr>
        <w:t>The denial area is a function of the system antenna-pattern characteristics, transmitter output power and the receiver interference threshold level.</w:t>
      </w:r>
    </w:p>
    <w:p w:rsidR="004B059B" w:rsidRPr="0088226A" w:rsidRDefault="004B059B" w:rsidP="004B059B">
      <w:pPr>
        <w:rPr>
          <w:lang w:val="en-US"/>
        </w:rPr>
      </w:pPr>
      <w:r w:rsidRPr="0088226A">
        <w:rPr>
          <w:lang w:val="en-US"/>
        </w:rPr>
        <w:t>The algorithm used to calculate the denial area involves the segmentation (quantization) of the transmitter antenna gain pattern into a number of segments, angular sectors, which accurately represent the antenna pattern.</w:t>
      </w:r>
      <w:r w:rsidRPr="0088226A">
        <w:rPr>
          <w:i/>
          <w:lang w:val="en-US"/>
        </w:rPr>
        <w:t xml:space="preserve"> </w:t>
      </w:r>
      <w:r w:rsidRPr="0088226A">
        <w:rPr>
          <w:lang w:val="en-US"/>
        </w:rPr>
        <w:t>The transmitter antenna gain pattern is an input to the model which calculates the denial area by summing the area in each segment.</w:t>
      </w:r>
      <w:r w:rsidRPr="0088226A">
        <w:rPr>
          <w:i/>
          <w:lang w:val="en-US"/>
        </w:rPr>
        <w:t xml:space="preserve"> </w:t>
      </w:r>
      <w:r w:rsidRPr="0088226A">
        <w:rPr>
          <w:lang w:val="en-US"/>
        </w:rPr>
        <w:t>Geometrically, each segment is an angular sector, the area of which may be calculated using the formula:</w:t>
      </w:r>
    </w:p>
    <w:p w:rsidR="00483296" w:rsidRDefault="00483296" w:rsidP="00483296">
      <w:pPr>
        <w:pStyle w:val="Blanc"/>
      </w:pPr>
    </w:p>
    <w:p w:rsidR="004B059B" w:rsidRPr="0088226A" w:rsidRDefault="004B059B" w:rsidP="004B059B">
      <w:pPr>
        <w:pStyle w:val="Equation"/>
        <w:rPr>
          <w:lang w:val="en-US"/>
        </w:rPr>
      </w:pPr>
      <w:r w:rsidRPr="0088226A">
        <w:rPr>
          <w:lang w:val="en-US"/>
        </w:rPr>
        <w:tab/>
      </w:r>
      <w:r w:rsidRPr="0088226A">
        <w:rPr>
          <w:lang w:val="en-US"/>
        </w:rPr>
        <w:tab/>
        <w:t xml:space="preserve">Area of angular sector  </w:t>
      </w:r>
      <w:r>
        <w:rPr>
          <w:rFonts w:ascii="Symbol" w:hAnsi="Symbol"/>
        </w:rPr>
        <w:t></w:t>
      </w:r>
      <w:r w:rsidRPr="0088226A">
        <w:rPr>
          <w:lang w:val="en-US"/>
        </w:rPr>
        <w:t xml:space="preserve">  </w:t>
      </w:r>
      <w:r>
        <w:rPr>
          <w:rFonts w:ascii="Symbol" w:hAnsi="Symbol"/>
        </w:rPr>
        <w:t></w:t>
      </w:r>
      <w:r w:rsidRPr="0088226A">
        <w:rPr>
          <w:lang w:val="en-US"/>
        </w:rPr>
        <w:t xml:space="preserve">  </w:t>
      </w:r>
      <w:r w:rsidRPr="0088226A">
        <w:rPr>
          <w:i/>
          <w:lang w:val="en-US"/>
        </w:rPr>
        <w:t>R</w:t>
      </w:r>
      <w:r w:rsidRPr="0088226A">
        <w:rPr>
          <w:position w:val="6"/>
          <w:sz w:val="18"/>
          <w:lang w:val="en-US"/>
        </w:rPr>
        <w:t>2</w:t>
      </w:r>
      <w:r w:rsidRPr="0088226A">
        <w:rPr>
          <w:lang w:val="en-US"/>
        </w:rPr>
        <w:t xml:space="preserve"> </w:t>
      </w:r>
      <w:r>
        <w:rPr>
          <w:rFonts w:ascii="Symbol" w:hAnsi="Symbol"/>
        </w:rPr>
        <w:t></w:t>
      </w:r>
      <w:r w:rsidRPr="0088226A">
        <w:rPr>
          <w:lang w:val="en-US"/>
        </w:rPr>
        <w:t xml:space="preserve"> / 360</w:t>
      </w:r>
      <w:r w:rsidRPr="0088226A">
        <w:rPr>
          <w:lang w:val="en-US"/>
        </w:rPr>
        <w:tab/>
        <w:t>(2</w:t>
      </w:r>
      <w:r w:rsidR="0088226A">
        <w:rPr>
          <w:lang w:val="en-US"/>
        </w:rPr>
        <w:t>5</w:t>
      </w:r>
      <w:r w:rsidRPr="0088226A">
        <w:rPr>
          <w:lang w:val="en-US"/>
        </w:rPr>
        <w:t>)</w:t>
      </w:r>
    </w:p>
    <w:p w:rsidR="00483296" w:rsidRDefault="00483296" w:rsidP="00483296">
      <w:pPr>
        <w:pStyle w:val="Blanc"/>
      </w:pPr>
    </w:p>
    <w:p w:rsidR="004B059B" w:rsidRPr="0088226A" w:rsidRDefault="004B059B" w:rsidP="004B059B">
      <w:pPr>
        <w:rPr>
          <w:lang w:val="en-US"/>
        </w:rPr>
      </w:pPr>
      <w:r w:rsidRPr="0088226A">
        <w:rPr>
          <w:lang w:val="en-US"/>
        </w:rPr>
        <w:t>where:</w:t>
      </w:r>
    </w:p>
    <w:p w:rsidR="004B059B" w:rsidRPr="0088226A" w:rsidRDefault="004B059B" w:rsidP="0088226A">
      <w:pPr>
        <w:pStyle w:val="Equationlegend"/>
      </w:pPr>
      <w:r w:rsidRPr="0088226A">
        <w:tab/>
      </w:r>
      <w:r w:rsidRPr="0088226A">
        <w:rPr>
          <w:i/>
        </w:rPr>
        <w:t>R</w:t>
      </w:r>
      <w:r w:rsidRPr="0088226A">
        <w:rPr>
          <w:rFonts w:ascii="Tms Rmn" w:hAnsi="Tms Rmn"/>
          <w:sz w:val="12"/>
        </w:rPr>
        <w:t> </w:t>
      </w:r>
      <w:r w:rsidRPr="0088226A">
        <w:t>:</w:t>
      </w:r>
      <w:r w:rsidRPr="0088226A">
        <w:tab/>
        <w:t>radius of sector  (</w:t>
      </w:r>
      <w:r w:rsidRPr="0088226A">
        <w:rPr>
          <w:i/>
        </w:rPr>
        <w:t>R</w:t>
      </w:r>
      <w:r w:rsidRPr="0088226A">
        <w:rPr>
          <w:position w:val="-4"/>
          <w:sz w:val="16"/>
        </w:rPr>
        <w:t>1</w:t>
      </w:r>
      <w:r w:rsidRPr="0088226A">
        <w:t xml:space="preserve">, </w:t>
      </w:r>
      <w:r w:rsidRPr="0088226A">
        <w:rPr>
          <w:i/>
        </w:rPr>
        <w:t>R</w:t>
      </w:r>
      <w:r w:rsidRPr="0088226A">
        <w:rPr>
          <w:position w:val="-4"/>
          <w:sz w:val="16"/>
        </w:rPr>
        <w:t>2</w:t>
      </w:r>
      <w:r w:rsidRPr="0088226A">
        <w:t xml:space="preserve">, </w:t>
      </w:r>
      <w:r>
        <w:rPr>
          <w:rFonts w:ascii="Symbol" w:hAnsi="Symbol"/>
        </w:rPr>
        <w:t></w:t>
      </w:r>
      <w:r w:rsidRPr="0088226A">
        <w:t xml:space="preserve">, </w:t>
      </w:r>
      <w:r w:rsidRPr="0088226A">
        <w:rPr>
          <w:i/>
        </w:rPr>
        <w:t>R</w:t>
      </w:r>
      <w:r w:rsidRPr="0088226A">
        <w:rPr>
          <w:i/>
          <w:position w:val="-4"/>
          <w:sz w:val="16"/>
        </w:rPr>
        <w:t>n</w:t>
      </w:r>
      <w:r w:rsidRPr="0088226A">
        <w:t>)</w:t>
      </w:r>
    </w:p>
    <w:p w:rsidR="004B059B" w:rsidRPr="0088226A" w:rsidRDefault="004B059B" w:rsidP="0088226A">
      <w:pPr>
        <w:pStyle w:val="Equationlegend"/>
      </w:pPr>
      <w:r w:rsidRPr="0088226A">
        <w:tab/>
      </w:r>
      <w:r>
        <w:rPr>
          <w:rFonts w:ascii="Symbol" w:hAnsi="Symbol"/>
        </w:rPr>
        <w:t></w:t>
      </w:r>
      <w:r w:rsidRPr="0088226A">
        <w:rPr>
          <w:rFonts w:ascii="Tms Rmn" w:hAnsi="Tms Rmn"/>
          <w:sz w:val="12"/>
        </w:rPr>
        <w:t> </w:t>
      </w:r>
      <w:r w:rsidRPr="0088226A">
        <w:t>:</w:t>
      </w:r>
      <w:r w:rsidRPr="0088226A">
        <w:tab/>
        <w:t>vortex angle of sector (</w:t>
      </w:r>
      <w:r>
        <w:rPr>
          <w:rFonts w:ascii="Symbol" w:hAnsi="Symbol"/>
        </w:rPr>
        <w:t></w:t>
      </w:r>
      <w:r w:rsidRPr="0088226A">
        <w:rPr>
          <w:position w:val="-4"/>
          <w:sz w:val="16"/>
        </w:rPr>
        <w:t>1</w:t>
      </w:r>
      <w:r w:rsidRPr="0088226A">
        <w:t xml:space="preserve">, </w:t>
      </w:r>
      <w:r>
        <w:rPr>
          <w:rFonts w:ascii="Symbol" w:hAnsi="Symbol"/>
        </w:rPr>
        <w:t></w:t>
      </w:r>
      <w:r w:rsidRPr="0088226A">
        <w:rPr>
          <w:position w:val="-4"/>
          <w:sz w:val="16"/>
        </w:rPr>
        <w:t>2</w:t>
      </w:r>
      <w:r w:rsidRPr="0088226A">
        <w:t xml:space="preserve">, </w:t>
      </w:r>
      <w:r>
        <w:rPr>
          <w:rFonts w:ascii="Symbol" w:hAnsi="Symbol"/>
        </w:rPr>
        <w:t></w:t>
      </w:r>
      <w:r w:rsidRPr="0088226A">
        <w:t xml:space="preserve">, </w:t>
      </w:r>
      <w:r>
        <w:rPr>
          <w:rFonts w:ascii="Symbol" w:hAnsi="Symbol"/>
        </w:rPr>
        <w:t></w:t>
      </w:r>
      <w:r w:rsidRPr="0088226A">
        <w:rPr>
          <w:i/>
          <w:position w:val="-4"/>
          <w:sz w:val="16"/>
        </w:rPr>
        <w:t>n</w:t>
      </w:r>
      <w:r w:rsidRPr="0088226A">
        <w:t>)</w:t>
      </w:r>
    </w:p>
    <w:p w:rsidR="004B059B" w:rsidRPr="0088226A" w:rsidRDefault="004B059B" w:rsidP="0088226A">
      <w:pPr>
        <w:pStyle w:val="Equationlegend"/>
      </w:pPr>
      <w:r w:rsidRPr="0088226A">
        <w:tab/>
      </w:r>
      <w:r w:rsidRPr="0088226A">
        <w:rPr>
          <w:i/>
        </w:rPr>
        <w:t>n</w:t>
      </w:r>
      <w:r w:rsidRPr="0088226A">
        <w:rPr>
          <w:rFonts w:ascii="Tms Rmn" w:hAnsi="Tms Rmn"/>
          <w:sz w:val="12"/>
        </w:rPr>
        <w:t> </w:t>
      </w:r>
      <w:r w:rsidRPr="0088226A">
        <w:t>:</w:t>
      </w:r>
      <w:r w:rsidRPr="0088226A">
        <w:tab/>
        <w:t>number of angular segments.</w:t>
      </w:r>
    </w:p>
    <w:p w:rsidR="004B059B" w:rsidRPr="0088226A" w:rsidRDefault="004B059B" w:rsidP="004B059B">
      <w:pPr>
        <w:rPr>
          <w:lang w:val="en-US"/>
        </w:rPr>
      </w:pPr>
      <w:r w:rsidRPr="0088226A">
        <w:rPr>
          <w:lang w:val="en-US"/>
        </w:rPr>
        <w:t xml:space="preserve">The radii of </w:t>
      </w:r>
      <w:r w:rsidRPr="0088226A">
        <w:rPr>
          <w:i/>
          <w:lang w:val="en-US"/>
        </w:rPr>
        <w:t>R</w:t>
      </w:r>
      <w:r w:rsidRPr="0088226A">
        <w:rPr>
          <w:i/>
          <w:position w:val="-4"/>
          <w:sz w:val="16"/>
          <w:lang w:val="en-US"/>
        </w:rPr>
        <w:t>n</w:t>
      </w:r>
      <w:r w:rsidRPr="0088226A">
        <w:rPr>
          <w:lang w:val="en-US"/>
        </w:rPr>
        <w:t xml:space="preserve"> for each segment were calculated using the relationship:</w:t>
      </w:r>
    </w:p>
    <w:p w:rsidR="00483296" w:rsidRDefault="00483296" w:rsidP="00483296">
      <w:pPr>
        <w:pStyle w:val="Blanc"/>
      </w:pPr>
    </w:p>
    <w:p w:rsidR="004B059B" w:rsidRPr="0088226A" w:rsidRDefault="004B059B" w:rsidP="004B059B">
      <w:pPr>
        <w:pStyle w:val="Equation"/>
        <w:rPr>
          <w:lang w:val="en-US"/>
        </w:rPr>
      </w:pPr>
      <w:r w:rsidRPr="0088226A">
        <w:rPr>
          <w:lang w:val="en-US"/>
        </w:rPr>
        <w:tab/>
      </w:r>
      <w:r w:rsidRPr="0088226A">
        <w:rPr>
          <w:lang w:val="en-US"/>
        </w:rPr>
        <w:tab/>
      </w:r>
      <w:r w:rsidRPr="0088226A">
        <w:rPr>
          <w:i/>
          <w:lang w:val="en-US"/>
        </w:rPr>
        <w:t>L</w:t>
      </w:r>
      <w:r w:rsidRPr="0088226A">
        <w:rPr>
          <w:lang w:val="en-US"/>
        </w:rPr>
        <w:t>(</w:t>
      </w:r>
      <w:r w:rsidRPr="0088226A">
        <w:rPr>
          <w:i/>
          <w:lang w:val="en-US"/>
        </w:rPr>
        <w:t>R</w:t>
      </w:r>
      <w:r w:rsidRPr="0088226A">
        <w:rPr>
          <w:lang w:val="en-US"/>
        </w:rPr>
        <w:t xml:space="preserve">)  </w:t>
      </w:r>
      <w:r>
        <w:rPr>
          <w:rFonts w:ascii="Symbol" w:hAnsi="Symbol"/>
        </w:rPr>
        <w:t></w:t>
      </w:r>
      <w:r w:rsidRPr="0088226A">
        <w:rPr>
          <w:lang w:val="en-US"/>
        </w:rPr>
        <w:t xml:space="preserve">  </w:t>
      </w:r>
      <w:r w:rsidRPr="0088226A">
        <w:rPr>
          <w:i/>
          <w:lang w:val="en-US"/>
        </w:rPr>
        <w:t>P</w:t>
      </w:r>
      <w:r w:rsidRPr="0088226A">
        <w:rPr>
          <w:i/>
          <w:position w:val="-4"/>
          <w:sz w:val="18"/>
          <w:lang w:val="en-US"/>
        </w:rPr>
        <w:t>t</w:t>
      </w:r>
      <w:r w:rsidRPr="0088226A">
        <w:rPr>
          <w:lang w:val="en-US"/>
        </w:rPr>
        <w:t xml:space="preserve">  </w:t>
      </w:r>
      <w:r>
        <w:rPr>
          <w:rFonts w:ascii="Symbol" w:hAnsi="Symbol"/>
        </w:rPr>
        <w:t></w:t>
      </w:r>
      <w:r w:rsidRPr="0088226A">
        <w:rPr>
          <w:lang w:val="en-US"/>
        </w:rPr>
        <w:t xml:space="preserve">  </w:t>
      </w:r>
      <w:r w:rsidRPr="0088226A">
        <w:rPr>
          <w:i/>
          <w:lang w:val="en-US"/>
        </w:rPr>
        <w:t>G</w:t>
      </w:r>
      <w:r w:rsidRPr="0088226A">
        <w:rPr>
          <w:i/>
          <w:position w:val="-4"/>
          <w:sz w:val="18"/>
          <w:lang w:val="en-US"/>
        </w:rPr>
        <w:t>t</w:t>
      </w:r>
      <w:r w:rsidRPr="0088226A">
        <w:rPr>
          <w:lang w:val="en-US"/>
        </w:rPr>
        <w:t>(</w:t>
      </w:r>
      <w:r w:rsidRPr="0088226A">
        <w:rPr>
          <w:i/>
          <w:lang w:val="en-US"/>
        </w:rPr>
        <w:t>n</w:t>
      </w:r>
      <w:r w:rsidRPr="0088226A">
        <w:rPr>
          <w:lang w:val="en-US"/>
        </w:rPr>
        <w:t xml:space="preserve">)  </w:t>
      </w:r>
      <w:r>
        <w:rPr>
          <w:rFonts w:ascii="Symbol" w:hAnsi="Symbol"/>
        </w:rPr>
        <w:t></w:t>
      </w:r>
      <w:r w:rsidRPr="0088226A">
        <w:rPr>
          <w:lang w:val="en-US"/>
        </w:rPr>
        <w:t xml:space="preserve">  </w:t>
      </w:r>
      <w:r w:rsidRPr="0088226A">
        <w:rPr>
          <w:i/>
          <w:lang w:val="en-US"/>
        </w:rPr>
        <w:t>G</w:t>
      </w:r>
      <w:r w:rsidRPr="0088226A">
        <w:rPr>
          <w:i/>
          <w:position w:val="-4"/>
          <w:sz w:val="18"/>
          <w:lang w:val="en-US"/>
        </w:rPr>
        <w:t>r</w:t>
      </w:r>
      <w:r w:rsidRPr="0088226A">
        <w:rPr>
          <w:lang w:val="en-US"/>
        </w:rPr>
        <w:t xml:space="preserve">  –  </w:t>
      </w:r>
      <w:r w:rsidRPr="0088226A">
        <w:rPr>
          <w:i/>
          <w:lang w:val="en-US"/>
        </w:rPr>
        <w:t>I</w:t>
      </w:r>
      <w:r w:rsidRPr="0088226A">
        <w:rPr>
          <w:i/>
          <w:position w:val="-4"/>
          <w:sz w:val="18"/>
          <w:lang w:val="en-US"/>
        </w:rPr>
        <w:t>max</w:t>
      </w:r>
      <w:r w:rsidRPr="0088226A">
        <w:rPr>
          <w:lang w:val="en-US"/>
        </w:rPr>
        <w:tab/>
        <w:t>(2</w:t>
      </w:r>
      <w:r w:rsidR="0088226A">
        <w:rPr>
          <w:lang w:val="en-US"/>
        </w:rPr>
        <w:t>6</w:t>
      </w:r>
      <w:r w:rsidRPr="0088226A">
        <w:rPr>
          <w:lang w:val="en-US"/>
        </w:rPr>
        <w:t>)</w:t>
      </w:r>
    </w:p>
    <w:p w:rsidR="00483296" w:rsidRDefault="00483296" w:rsidP="00483296">
      <w:pPr>
        <w:pStyle w:val="Blanc"/>
      </w:pPr>
    </w:p>
    <w:p w:rsidR="004B059B" w:rsidRPr="0088226A" w:rsidRDefault="004B059B" w:rsidP="004B059B">
      <w:pPr>
        <w:rPr>
          <w:lang w:val="en-US"/>
        </w:rPr>
      </w:pPr>
      <w:r w:rsidRPr="0088226A">
        <w:rPr>
          <w:lang w:val="en-US"/>
        </w:rPr>
        <w:t>where:</w:t>
      </w:r>
    </w:p>
    <w:p w:rsidR="004B059B" w:rsidRPr="0088226A" w:rsidRDefault="004B059B" w:rsidP="0088226A">
      <w:pPr>
        <w:pStyle w:val="Equationlegend"/>
      </w:pPr>
      <w:r w:rsidRPr="0088226A">
        <w:tab/>
      </w:r>
      <w:r w:rsidRPr="0088226A">
        <w:rPr>
          <w:i/>
        </w:rPr>
        <w:t>L</w:t>
      </w:r>
      <w:r w:rsidRPr="0088226A">
        <w:t>(</w:t>
      </w:r>
      <w:r w:rsidRPr="0088226A">
        <w:rPr>
          <w:i/>
        </w:rPr>
        <w:t>R</w:t>
      </w:r>
      <w:r w:rsidRPr="0088226A">
        <w:t>):</w:t>
      </w:r>
      <w:r w:rsidRPr="0088226A">
        <w:tab/>
        <w:t>required propagation loss (dB)</w:t>
      </w:r>
    </w:p>
    <w:p w:rsidR="004B059B" w:rsidRPr="0088226A" w:rsidRDefault="004B059B" w:rsidP="0088226A">
      <w:pPr>
        <w:pStyle w:val="Equationlegend"/>
      </w:pPr>
      <w:r w:rsidRPr="0088226A">
        <w:tab/>
      </w:r>
      <w:r w:rsidRPr="0088226A">
        <w:rPr>
          <w:i/>
        </w:rPr>
        <w:t>P</w:t>
      </w:r>
      <w:r w:rsidRPr="0088226A">
        <w:rPr>
          <w:i/>
          <w:position w:val="-4"/>
          <w:sz w:val="16"/>
        </w:rPr>
        <w:t>t</w:t>
      </w:r>
      <w:r w:rsidRPr="0088226A">
        <w:rPr>
          <w:rFonts w:ascii="Tms Rmn" w:hAnsi="Tms Rmn"/>
          <w:sz w:val="12"/>
        </w:rPr>
        <w:t> </w:t>
      </w:r>
      <w:r w:rsidRPr="0088226A">
        <w:t>:</w:t>
      </w:r>
      <w:r w:rsidRPr="0088226A">
        <w:tab/>
        <w:t>transmitter output power (dBm)</w:t>
      </w:r>
    </w:p>
    <w:p w:rsidR="004B059B" w:rsidRPr="0088226A" w:rsidRDefault="004B059B" w:rsidP="0088226A">
      <w:pPr>
        <w:pStyle w:val="Equationlegend"/>
      </w:pPr>
      <w:r w:rsidRPr="0088226A">
        <w:tab/>
      </w:r>
      <w:r w:rsidRPr="0088226A">
        <w:rPr>
          <w:i/>
        </w:rPr>
        <w:t>G</w:t>
      </w:r>
      <w:r w:rsidRPr="0088226A">
        <w:rPr>
          <w:i/>
          <w:position w:val="-4"/>
          <w:sz w:val="16"/>
        </w:rPr>
        <w:t>t</w:t>
      </w:r>
      <w:r w:rsidRPr="0088226A">
        <w:t>(</w:t>
      </w:r>
      <w:r w:rsidRPr="0088226A">
        <w:rPr>
          <w:i/>
        </w:rPr>
        <w:t>n</w:t>
      </w:r>
      <w:r w:rsidRPr="0088226A">
        <w:t>)</w:t>
      </w:r>
      <w:r w:rsidRPr="0088226A">
        <w:rPr>
          <w:rFonts w:ascii="Tms Rmn" w:hAnsi="Tms Rmn"/>
          <w:sz w:val="12"/>
        </w:rPr>
        <w:t> </w:t>
      </w:r>
      <w:r w:rsidRPr="0088226A">
        <w:t>:</w:t>
      </w:r>
      <w:r w:rsidRPr="0088226A">
        <w:tab/>
        <w:t xml:space="preserve">transmitter antenna gain for sector </w:t>
      </w:r>
      <w:r w:rsidRPr="0088226A">
        <w:rPr>
          <w:i/>
        </w:rPr>
        <w:t>n</w:t>
      </w:r>
      <w:r w:rsidRPr="0088226A">
        <w:t xml:space="preserve"> (dBi)</w:t>
      </w:r>
    </w:p>
    <w:p w:rsidR="004B059B" w:rsidRPr="0088226A" w:rsidRDefault="004B059B" w:rsidP="0088226A">
      <w:pPr>
        <w:pStyle w:val="Equationlegend"/>
      </w:pPr>
      <w:r w:rsidRPr="0088226A">
        <w:tab/>
      </w:r>
      <w:r w:rsidRPr="0088226A">
        <w:rPr>
          <w:i/>
        </w:rPr>
        <w:t>G</w:t>
      </w:r>
      <w:r w:rsidRPr="0088226A">
        <w:rPr>
          <w:i/>
          <w:position w:val="-4"/>
          <w:sz w:val="16"/>
        </w:rPr>
        <w:t>r</w:t>
      </w:r>
      <w:r w:rsidRPr="0088226A">
        <w:rPr>
          <w:rFonts w:ascii="Tms Rmn" w:hAnsi="Tms Rmn"/>
          <w:sz w:val="12"/>
        </w:rPr>
        <w:t> </w:t>
      </w:r>
      <w:r w:rsidRPr="0088226A">
        <w:t>:</w:t>
      </w:r>
      <w:r w:rsidRPr="0088226A">
        <w:tab/>
        <w:t>receiver antenna gain –10 dBi</w:t>
      </w:r>
    </w:p>
    <w:p w:rsidR="004B059B" w:rsidRPr="0088226A" w:rsidRDefault="004B059B" w:rsidP="0088226A">
      <w:pPr>
        <w:pStyle w:val="Equationlegend"/>
      </w:pPr>
      <w:r w:rsidRPr="0088226A">
        <w:tab/>
      </w:r>
      <w:r w:rsidRPr="0088226A">
        <w:rPr>
          <w:i/>
        </w:rPr>
        <w:t>I</w:t>
      </w:r>
      <w:r w:rsidRPr="0088226A">
        <w:rPr>
          <w:i/>
          <w:position w:val="-4"/>
          <w:sz w:val="16"/>
        </w:rPr>
        <w:t>max</w:t>
      </w:r>
      <w:r w:rsidRPr="0088226A">
        <w:rPr>
          <w:rFonts w:ascii="Tms Rmn" w:hAnsi="Tms Rmn"/>
          <w:sz w:val="12"/>
        </w:rPr>
        <w:t> </w:t>
      </w:r>
      <w:r w:rsidRPr="0088226A">
        <w:t>:</w:t>
      </w:r>
      <w:r w:rsidRPr="0088226A">
        <w:tab/>
        <w:t>maximum permissible interference level (dBm).</w:t>
      </w:r>
    </w:p>
    <w:p w:rsidR="004B059B" w:rsidRPr="0088226A" w:rsidRDefault="004B059B" w:rsidP="004B059B">
      <w:pPr>
        <w:rPr>
          <w:lang w:val="en-US"/>
        </w:rPr>
      </w:pPr>
      <w:r w:rsidRPr="0088226A">
        <w:rPr>
          <w:lang w:val="en-US"/>
        </w:rPr>
        <w:lastRenderedPageBreak/>
        <w:t xml:space="preserve">Then using a smooth earth inverse propagation model, the distance </w:t>
      </w:r>
      <w:r w:rsidRPr="0088226A">
        <w:rPr>
          <w:i/>
          <w:lang w:val="en-US"/>
        </w:rPr>
        <w:t>R</w:t>
      </w:r>
      <w:r w:rsidRPr="0088226A">
        <w:rPr>
          <w:lang w:val="en-US"/>
        </w:rPr>
        <w:t xml:space="preserve"> corresponding to the required loss is determined.</w:t>
      </w:r>
      <w:r w:rsidRPr="0088226A">
        <w:rPr>
          <w:i/>
          <w:lang w:val="en-US"/>
        </w:rPr>
        <w:t xml:space="preserve"> </w:t>
      </w:r>
      <w:r w:rsidRPr="0088226A">
        <w:rPr>
          <w:lang w:val="en-US"/>
        </w:rPr>
        <w:t>This facilitates the evaluation of the denial area for each angular sector (see equation (2</w:t>
      </w:r>
      <w:r w:rsidR="0088226A">
        <w:rPr>
          <w:lang w:val="en-US"/>
        </w:rPr>
        <w:t>5</w:t>
      </w:r>
      <w:r w:rsidRPr="0088226A">
        <w:rPr>
          <w:lang w:val="en-US"/>
        </w:rPr>
        <w:t>)).</w:t>
      </w:r>
    </w:p>
    <w:p w:rsidR="004B059B" w:rsidRPr="0088226A" w:rsidRDefault="004B059B" w:rsidP="004B059B">
      <w:pPr>
        <w:rPr>
          <w:lang w:val="en-US"/>
        </w:rPr>
      </w:pPr>
      <w:r w:rsidRPr="0088226A">
        <w:rPr>
          <w:lang w:val="en-US"/>
        </w:rPr>
        <w:t>To apply equation (2</w:t>
      </w:r>
      <w:r w:rsidR="0088226A">
        <w:rPr>
          <w:lang w:val="en-US"/>
        </w:rPr>
        <w:t>4</w:t>
      </w:r>
      <w:r w:rsidRPr="0088226A">
        <w:rPr>
          <w:lang w:val="en-US"/>
        </w:rPr>
        <w:t>) to point-to-point radio-relay systems, it is necessary to establish characteristics of a reference system between two microwave sites.</w:t>
      </w:r>
      <w:r w:rsidRPr="0088226A">
        <w:rPr>
          <w:i/>
          <w:lang w:val="en-US"/>
        </w:rPr>
        <w:t xml:space="preserve"> </w:t>
      </w:r>
      <w:r w:rsidRPr="0088226A">
        <w:rPr>
          <w:lang w:val="en-US"/>
        </w:rPr>
        <w:t>These characteristics include path length, path attenuation, antenna gain, insertion losses, fade margin and system gain.</w:t>
      </w:r>
      <w:r w:rsidRPr="0088226A">
        <w:rPr>
          <w:i/>
          <w:lang w:val="en-US"/>
        </w:rPr>
        <w:t xml:space="preserve"> </w:t>
      </w:r>
      <w:r w:rsidRPr="0088226A">
        <w:rPr>
          <w:lang w:val="en-US"/>
        </w:rPr>
        <w:t>It is also necessary to establish certain modulation characteristics for the modulation types addressed.</w:t>
      </w:r>
      <w:r w:rsidRPr="0088226A">
        <w:rPr>
          <w:i/>
          <w:lang w:val="en-US"/>
        </w:rPr>
        <w:t xml:space="preserve"> </w:t>
      </w:r>
      <w:r w:rsidRPr="0088226A">
        <w:rPr>
          <w:lang w:val="en-US"/>
        </w:rPr>
        <w:t>The digital modulations considered in this investigation are 16-QAM, 64-QAM, and 256</w:t>
      </w:r>
      <w:r w:rsidRPr="0088226A">
        <w:rPr>
          <w:lang w:val="en-US"/>
        </w:rPr>
        <w:noBreakHyphen/>
        <w:t>QAM.</w:t>
      </w:r>
      <w:r w:rsidRPr="0088226A">
        <w:rPr>
          <w:i/>
          <w:lang w:val="en-US"/>
        </w:rPr>
        <w:t xml:space="preserve"> </w:t>
      </w:r>
      <w:r w:rsidRPr="0088226A">
        <w:rPr>
          <w:lang w:val="en-US"/>
        </w:rPr>
        <w:t>The characteristics assumed for the digital radio-relay systems for this analysis are based on the North American Standard and are as follows:</w:t>
      </w:r>
    </w:p>
    <w:p w:rsidR="004B059B" w:rsidRPr="0088226A" w:rsidRDefault="004B059B" w:rsidP="004B059B">
      <w:pPr>
        <w:pStyle w:val="Heading7"/>
        <w:rPr>
          <w:lang w:val="en-US"/>
        </w:rPr>
      </w:pPr>
      <w:r w:rsidRPr="0088226A">
        <w:rPr>
          <w:lang w:val="en-US"/>
        </w:rPr>
        <w:t>Digital radio-relay system parameters (see Note 1)</w:t>
      </w:r>
    </w:p>
    <w:p w:rsidR="004B059B" w:rsidRPr="0088226A" w:rsidRDefault="004B059B" w:rsidP="0088226A">
      <w:pPr>
        <w:tabs>
          <w:tab w:val="clear" w:pos="794"/>
          <w:tab w:val="clear" w:pos="1191"/>
          <w:tab w:val="clear" w:pos="1588"/>
          <w:tab w:val="clear" w:pos="1985"/>
          <w:tab w:val="left" w:pos="397"/>
          <w:tab w:val="left" w:pos="3402"/>
        </w:tabs>
        <w:ind w:left="397" w:hanging="397"/>
        <w:jc w:val="left"/>
        <w:rPr>
          <w:lang w:val="en-US"/>
        </w:rPr>
      </w:pPr>
      <w:r w:rsidRPr="0088226A">
        <w:rPr>
          <w:lang w:val="en-US"/>
        </w:rPr>
        <w:t>–</w:t>
      </w:r>
      <w:r w:rsidRPr="0088226A">
        <w:rPr>
          <w:lang w:val="en-US"/>
        </w:rPr>
        <w:tab/>
        <w:t>Voice channels:</w:t>
      </w:r>
      <w:r w:rsidRPr="0088226A">
        <w:rPr>
          <w:lang w:val="en-US"/>
        </w:rPr>
        <w:tab/>
        <w:t>1</w:t>
      </w:r>
      <w:r w:rsidRPr="0088226A">
        <w:rPr>
          <w:rFonts w:ascii="Tms Rmn" w:hAnsi="Tms Rmn"/>
          <w:sz w:val="12"/>
          <w:lang w:val="en-US"/>
        </w:rPr>
        <w:t> </w:t>
      </w:r>
      <w:r w:rsidRPr="0088226A">
        <w:rPr>
          <w:lang w:val="en-US"/>
        </w:rPr>
        <w:t>344 for 16-QAM</w:t>
      </w:r>
      <w:r w:rsidRPr="0088226A">
        <w:rPr>
          <w:lang w:val="en-US"/>
        </w:rPr>
        <w:br/>
      </w:r>
      <w:r w:rsidRPr="0088226A">
        <w:rPr>
          <w:lang w:val="en-US"/>
        </w:rPr>
        <w:tab/>
        <w:t>2</w:t>
      </w:r>
      <w:r w:rsidRPr="0088226A">
        <w:rPr>
          <w:rFonts w:ascii="Tms Rmn" w:hAnsi="Tms Rmn"/>
          <w:sz w:val="12"/>
          <w:lang w:val="en-US"/>
        </w:rPr>
        <w:t> </w:t>
      </w:r>
      <w:r w:rsidRPr="0088226A">
        <w:rPr>
          <w:lang w:val="en-US"/>
        </w:rPr>
        <w:t>016 for 64-QAM</w:t>
      </w:r>
      <w:r w:rsidRPr="0088226A">
        <w:rPr>
          <w:lang w:val="en-US"/>
        </w:rPr>
        <w:br/>
      </w:r>
      <w:r w:rsidRPr="0088226A">
        <w:rPr>
          <w:lang w:val="en-US"/>
        </w:rPr>
        <w:tab/>
        <w:t>2</w:t>
      </w:r>
      <w:r w:rsidRPr="0088226A">
        <w:rPr>
          <w:rFonts w:ascii="Tms Rmn" w:hAnsi="Tms Rmn"/>
          <w:sz w:val="12"/>
          <w:lang w:val="en-US"/>
        </w:rPr>
        <w:t> </w:t>
      </w:r>
      <w:r w:rsidRPr="0088226A">
        <w:rPr>
          <w:lang w:val="en-US"/>
        </w:rPr>
        <w:t>688 for 256-QAM</w:t>
      </w:r>
    </w:p>
    <w:p w:rsidR="004B059B" w:rsidRPr="0088226A" w:rsidRDefault="004B059B" w:rsidP="0088226A">
      <w:pPr>
        <w:tabs>
          <w:tab w:val="clear" w:pos="794"/>
          <w:tab w:val="clear" w:pos="1191"/>
          <w:tab w:val="clear" w:pos="1588"/>
          <w:tab w:val="clear" w:pos="1985"/>
          <w:tab w:val="left" w:pos="397"/>
          <w:tab w:val="left" w:pos="3402"/>
        </w:tabs>
        <w:ind w:left="397" w:hanging="397"/>
        <w:jc w:val="left"/>
        <w:rPr>
          <w:lang w:val="en-US"/>
        </w:rPr>
      </w:pPr>
      <w:r w:rsidRPr="0088226A">
        <w:rPr>
          <w:lang w:val="en-US"/>
        </w:rPr>
        <w:t>–</w:t>
      </w:r>
      <w:r w:rsidRPr="0088226A">
        <w:rPr>
          <w:lang w:val="en-US"/>
        </w:rPr>
        <w:tab/>
        <w:t>Bit rate:</w:t>
      </w:r>
      <w:r w:rsidRPr="0088226A">
        <w:rPr>
          <w:lang w:val="en-US"/>
        </w:rPr>
        <w:tab/>
      </w:r>
      <w:r>
        <w:t> </w:t>
      </w:r>
      <w:r w:rsidRPr="0088226A">
        <w:rPr>
          <w:lang w:val="en-US"/>
        </w:rPr>
        <w:t>90 Mbit/s for 16-QAM</w:t>
      </w:r>
      <w:r w:rsidRPr="0088226A">
        <w:rPr>
          <w:lang w:val="en-US"/>
        </w:rPr>
        <w:br/>
      </w:r>
      <w:r w:rsidRPr="0088226A">
        <w:rPr>
          <w:lang w:val="en-US"/>
        </w:rPr>
        <w:tab/>
        <w:t>135 Mbit/s for 64-QAM</w:t>
      </w:r>
      <w:r w:rsidRPr="0088226A">
        <w:rPr>
          <w:lang w:val="en-US"/>
        </w:rPr>
        <w:br/>
      </w:r>
      <w:r w:rsidRPr="0088226A">
        <w:rPr>
          <w:lang w:val="en-US"/>
        </w:rPr>
        <w:tab/>
        <w:t>180 Mbit/s for 256-QAM</w:t>
      </w:r>
    </w:p>
    <w:p w:rsidR="004B059B" w:rsidRPr="0088226A" w:rsidRDefault="004B059B" w:rsidP="0088226A">
      <w:pPr>
        <w:tabs>
          <w:tab w:val="clear" w:pos="794"/>
          <w:tab w:val="clear" w:pos="1191"/>
          <w:tab w:val="clear" w:pos="1588"/>
          <w:tab w:val="clear" w:pos="1985"/>
          <w:tab w:val="left" w:pos="397"/>
          <w:tab w:val="left" w:pos="3402"/>
        </w:tabs>
        <w:ind w:left="397" w:hanging="397"/>
        <w:jc w:val="left"/>
        <w:rPr>
          <w:lang w:val="en-US"/>
        </w:rPr>
      </w:pPr>
      <w:r w:rsidRPr="0088226A">
        <w:rPr>
          <w:lang w:val="en-US"/>
        </w:rPr>
        <w:t>–</w:t>
      </w:r>
      <w:r w:rsidRPr="0088226A">
        <w:rPr>
          <w:lang w:val="en-US"/>
        </w:rPr>
        <w:tab/>
        <w:t>BER:</w:t>
      </w:r>
      <w:r w:rsidRPr="0088226A">
        <w:rPr>
          <w:lang w:val="en-US"/>
        </w:rPr>
        <w:tab/>
        <w:t xml:space="preserve">1 </w:t>
      </w:r>
      <w:r>
        <w:rPr>
          <w:rFonts w:ascii="Symbol" w:hAnsi="Symbol"/>
        </w:rPr>
        <w:t></w:t>
      </w:r>
      <w:r w:rsidRPr="0088226A">
        <w:rPr>
          <w:lang w:val="en-US"/>
        </w:rPr>
        <w:t xml:space="preserve"> 10</w:t>
      </w:r>
      <w:r w:rsidRPr="0088226A">
        <w:rPr>
          <w:position w:val="6"/>
          <w:sz w:val="16"/>
          <w:lang w:val="en-US"/>
        </w:rPr>
        <w:t>–</w:t>
      </w:r>
      <w:r w:rsidRPr="0088226A">
        <w:rPr>
          <w:rFonts w:ascii="Tms Rmn" w:hAnsi="Tms Rmn"/>
          <w:position w:val="6"/>
          <w:sz w:val="8"/>
          <w:lang w:val="en-US"/>
        </w:rPr>
        <w:t> </w:t>
      </w:r>
      <w:r w:rsidRPr="0088226A">
        <w:rPr>
          <w:position w:val="6"/>
          <w:sz w:val="16"/>
          <w:lang w:val="en-US"/>
        </w:rPr>
        <w:t>6</w:t>
      </w:r>
    </w:p>
    <w:p w:rsidR="004B059B" w:rsidRPr="0088226A" w:rsidRDefault="004B059B" w:rsidP="0088226A">
      <w:pPr>
        <w:tabs>
          <w:tab w:val="clear" w:pos="794"/>
          <w:tab w:val="clear" w:pos="1191"/>
          <w:tab w:val="clear" w:pos="1588"/>
          <w:tab w:val="clear" w:pos="1985"/>
          <w:tab w:val="left" w:pos="397"/>
          <w:tab w:val="left" w:pos="3402"/>
        </w:tabs>
        <w:ind w:left="397" w:hanging="397"/>
        <w:jc w:val="left"/>
        <w:rPr>
          <w:lang w:val="en-US"/>
        </w:rPr>
      </w:pPr>
      <w:r w:rsidRPr="0088226A">
        <w:rPr>
          <w:lang w:val="en-US"/>
        </w:rPr>
        <w:t>–</w:t>
      </w:r>
      <w:r w:rsidRPr="0088226A">
        <w:rPr>
          <w:lang w:val="en-US"/>
        </w:rPr>
        <w:tab/>
        <w:t xml:space="preserve">Receiver noise figure, </w:t>
      </w:r>
      <w:r w:rsidRPr="0088226A">
        <w:rPr>
          <w:i/>
          <w:lang w:val="en-US"/>
        </w:rPr>
        <w:t>F</w:t>
      </w:r>
      <w:r w:rsidRPr="0088226A">
        <w:rPr>
          <w:rFonts w:ascii="Tms Rmn" w:hAnsi="Tms Rmn"/>
          <w:sz w:val="12"/>
          <w:lang w:val="en-US"/>
        </w:rPr>
        <w:t> </w:t>
      </w:r>
      <w:r w:rsidRPr="0088226A">
        <w:rPr>
          <w:lang w:val="en-US"/>
        </w:rPr>
        <w:t>:</w:t>
      </w:r>
      <w:r w:rsidRPr="0088226A">
        <w:rPr>
          <w:lang w:val="en-US"/>
        </w:rPr>
        <w:tab/>
        <w:t>4 dB</w:t>
      </w:r>
    </w:p>
    <w:p w:rsidR="004B059B" w:rsidRPr="0088226A" w:rsidRDefault="004B059B" w:rsidP="0088226A">
      <w:pPr>
        <w:tabs>
          <w:tab w:val="clear" w:pos="794"/>
          <w:tab w:val="clear" w:pos="1191"/>
          <w:tab w:val="clear" w:pos="1588"/>
          <w:tab w:val="clear" w:pos="1985"/>
          <w:tab w:val="left" w:pos="397"/>
          <w:tab w:val="left" w:pos="3402"/>
        </w:tabs>
        <w:ind w:left="397" w:hanging="397"/>
        <w:jc w:val="left"/>
        <w:rPr>
          <w:lang w:val="en-US"/>
        </w:rPr>
      </w:pPr>
      <w:r w:rsidRPr="0088226A">
        <w:rPr>
          <w:lang w:val="en-US"/>
        </w:rPr>
        <w:t>–</w:t>
      </w:r>
      <w:r w:rsidRPr="0088226A">
        <w:rPr>
          <w:lang w:val="en-US"/>
        </w:rPr>
        <w:tab/>
        <w:t xml:space="preserve">System gain, </w:t>
      </w:r>
      <w:r w:rsidRPr="0088226A">
        <w:rPr>
          <w:i/>
          <w:lang w:val="en-US"/>
        </w:rPr>
        <w:t>G</w:t>
      </w:r>
      <w:r w:rsidRPr="0088226A">
        <w:rPr>
          <w:i/>
          <w:position w:val="-4"/>
          <w:sz w:val="16"/>
          <w:lang w:val="en-US"/>
        </w:rPr>
        <w:t>s</w:t>
      </w:r>
      <w:r w:rsidRPr="0088226A">
        <w:rPr>
          <w:rFonts w:ascii="Tms Rmn" w:hAnsi="Tms Rmn"/>
          <w:sz w:val="12"/>
          <w:lang w:val="en-US"/>
        </w:rPr>
        <w:t> </w:t>
      </w:r>
      <w:r w:rsidRPr="0088226A">
        <w:rPr>
          <w:lang w:val="en-US"/>
        </w:rPr>
        <w:t>:</w:t>
      </w:r>
      <w:r w:rsidRPr="0088226A">
        <w:rPr>
          <w:lang w:val="en-US"/>
        </w:rPr>
        <w:tab/>
        <w:t>103 dB.</w:t>
      </w:r>
    </w:p>
    <w:p w:rsidR="004B059B" w:rsidRPr="0088226A" w:rsidRDefault="004B059B" w:rsidP="004B059B">
      <w:pPr>
        <w:rPr>
          <w:lang w:val="en-US"/>
        </w:rPr>
      </w:pPr>
    </w:p>
    <w:p w:rsidR="004B059B" w:rsidRPr="0088226A" w:rsidRDefault="004B059B" w:rsidP="004B059B">
      <w:pPr>
        <w:rPr>
          <w:lang w:val="en-US"/>
        </w:rPr>
      </w:pPr>
      <w:r w:rsidRPr="0088226A">
        <w:rPr>
          <w:lang w:val="en-US"/>
        </w:rPr>
        <w:t>The analysis utilized theoretical transmission efficiency and input carrier-to-noise (</w:t>
      </w:r>
      <w:r w:rsidRPr="0088226A">
        <w:rPr>
          <w:i/>
          <w:lang w:val="en-US"/>
        </w:rPr>
        <w:t>C</w:t>
      </w:r>
      <w:r w:rsidRPr="0088226A">
        <w:rPr>
          <w:lang w:val="en-US"/>
        </w:rPr>
        <w:t>/</w:t>
      </w:r>
      <w:r w:rsidRPr="0088226A">
        <w:rPr>
          <w:i/>
          <w:lang w:val="en-US"/>
        </w:rPr>
        <w:t>N</w:t>
      </w:r>
      <w:r w:rsidRPr="0088226A">
        <w:rPr>
          <w:lang w:val="en-US"/>
        </w:rPr>
        <w:t>)</w:t>
      </w:r>
      <w:r w:rsidRPr="0088226A">
        <w:rPr>
          <w:i/>
          <w:position w:val="-4"/>
          <w:sz w:val="16"/>
          <w:lang w:val="en-US"/>
        </w:rPr>
        <w:t>i</w:t>
      </w:r>
      <w:r w:rsidRPr="0088226A">
        <w:rPr>
          <w:lang w:val="en-US"/>
        </w:rPr>
        <w:t xml:space="preserve"> levels for the different modulation types to ensure a just comparison.</w:t>
      </w:r>
    </w:p>
    <w:p w:rsidR="004B059B" w:rsidRPr="0088226A" w:rsidRDefault="004B059B" w:rsidP="004B059B">
      <w:pPr>
        <w:rPr>
          <w:lang w:val="en-US"/>
        </w:rPr>
      </w:pPr>
      <w:r w:rsidRPr="0088226A">
        <w:rPr>
          <w:lang w:val="en-US"/>
        </w:rPr>
        <w:t>The following is a discussion of the application of equation (2</w:t>
      </w:r>
      <w:r w:rsidR="0088226A">
        <w:rPr>
          <w:lang w:val="en-US"/>
        </w:rPr>
        <w:t>4</w:t>
      </w:r>
      <w:r w:rsidRPr="0088226A">
        <w:rPr>
          <w:lang w:val="en-US"/>
        </w:rPr>
        <w:t>) to the major design areas of antennas, modulation types and signal processing.</w:t>
      </w:r>
    </w:p>
    <w:p w:rsidR="004B059B" w:rsidRPr="0088226A" w:rsidRDefault="004B059B" w:rsidP="004B059B">
      <w:pPr>
        <w:pStyle w:val="Note"/>
        <w:rPr>
          <w:lang w:val="en-US"/>
        </w:rPr>
      </w:pPr>
      <w:r w:rsidRPr="0088226A">
        <w:rPr>
          <w:lang w:val="en-US"/>
        </w:rPr>
        <w:t>NOTE 1 – The system parameters used in this analysis have been selected to provide an indication of a single path analysis of spectrum efficiency for the various cases considered.  As such, the parameters may not be representative of realizable systems, particularly those using higher order modulation schemes. The results therefore are illustrative of an application of the concept of spectrum efficiency to radio-relay systems, and administrations should employ representative parameters in any analysis of spectrum efficiency.</w:t>
      </w:r>
    </w:p>
    <w:p w:rsidR="004B059B" w:rsidRPr="0088226A" w:rsidRDefault="004B059B" w:rsidP="004B059B">
      <w:pPr>
        <w:pStyle w:val="Heading3"/>
        <w:rPr>
          <w:lang w:val="en-US"/>
        </w:rPr>
      </w:pPr>
      <w:r w:rsidRPr="0088226A">
        <w:rPr>
          <w:lang w:val="en-US"/>
        </w:rPr>
        <w:t>2.4.2</w:t>
      </w:r>
      <w:r w:rsidRPr="0088226A">
        <w:rPr>
          <w:lang w:val="en-US"/>
        </w:rPr>
        <w:tab/>
        <w:t>Antennas</w:t>
      </w:r>
    </w:p>
    <w:p w:rsidR="004B059B" w:rsidRPr="0088226A" w:rsidRDefault="004B059B" w:rsidP="004B059B">
      <w:pPr>
        <w:rPr>
          <w:lang w:val="en-US"/>
        </w:rPr>
      </w:pPr>
      <w:r w:rsidRPr="0088226A">
        <w:rPr>
          <w:lang w:val="en-US"/>
        </w:rPr>
        <w:t>Spatial denial is a key factor in addressing spectrum conservation.</w:t>
      </w:r>
      <w:r w:rsidRPr="0088226A">
        <w:rPr>
          <w:i/>
          <w:lang w:val="en-US"/>
        </w:rPr>
        <w:t xml:space="preserve"> </w:t>
      </w:r>
      <w:r w:rsidRPr="0088226A">
        <w:rPr>
          <w:lang w:val="en-US"/>
        </w:rPr>
        <w:t>One of the major radiocommunication system components contributing to spatial denial is its antenna.</w:t>
      </w:r>
      <w:r w:rsidRPr="0088226A">
        <w:rPr>
          <w:i/>
          <w:lang w:val="en-US"/>
        </w:rPr>
        <w:t xml:space="preserve"> </w:t>
      </w:r>
      <w:r w:rsidRPr="0088226A">
        <w:rPr>
          <w:lang w:val="en-US"/>
        </w:rPr>
        <w:t>In recent years, significant advances in the antenna-design areas of polarization discrimination and sidelobe reduction have provided the capability for enhanced spectrum efficiency in point-to-point microwave radiocommunications.</w:t>
      </w:r>
    </w:p>
    <w:p w:rsidR="004B059B" w:rsidRPr="0088226A" w:rsidRDefault="004B059B" w:rsidP="004B059B">
      <w:pPr>
        <w:rPr>
          <w:lang w:val="en-US"/>
        </w:rPr>
      </w:pPr>
      <w:r w:rsidRPr="0088226A">
        <w:rPr>
          <w:lang w:val="en-US"/>
        </w:rPr>
        <w:t>Frequency re-use can be achieved by implementing antenna-design spectrum-conservation techniques.</w:t>
      </w:r>
      <w:r w:rsidRPr="0088226A">
        <w:rPr>
          <w:i/>
          <w:lang w:val="en-US"/>
        </w:rPr>
        <w:t xml:space="preserve"> </w:t>
      </w:r>
      <w:r w:rsidRPr="0088226A">
        <w:rPr>
          <w:lang w:val="en-US"/>
        </w:rPr>
        <w:t>Spatial denial can be minimized if sidelobe levels are minimized.</w:t>
      </w:r>
      <w:r w:rsidRPr="0088226A">
        <w:rPr>
          <w:i/>
          <w:lang w:val="en-US"/>
        </w:rPr>
        <w:t xml:space="preserve"> </w:t>
      </w:r>
      <w:r w:rsidRPr="0088226A">
        <w:rPr>
          <w:lang w:val="en-US"/>
        </w:rPr>
        <w:t>The antenna radiation patterns, and therefore sidelobe distributions, vary with antenna type.</w:t>
      </w:r>
      <w:r w:rsidRPr="0088226A">
        <w:rPr>
          <w:i/>
          <w:lang w:val="en-US"/>
        </w:rPr>
        <w:t xml:space="preserve"> </w:t>
      </w:r>
      <w:r w:rsidRPr="0088226A">
        <w:rPr>
          <w:lang w:val="en-US"/>
        </w:rPr>
        <w:t>Three antenna types commonly used in point-to-point microwave transmission are:</w:t>
      </w:r>
    </w:p>
    <w:p w:rsidR="004B059B" w:rsidRPr="0088226A" w:rsidRDefault="004B059B" w:rsidP="004B059B">
      <w:pPr>
        <w:pStyle w:val="enumlev1"/>
        <w:rPr>
          <w:lang w:val="en-US"/>
        </w:rPr>
      </w:pPr>
      <w:r w:rsidRPr="0088226A">
        <w:rPr>
          <w:lang w:val="en-US"/>
        </w:rPr>
        <w:t>–</w:t>
      </w:r>
      <w:r w:rsidRPr="0088226A">
        <w:rPr>
          <w:lang w:val="en-US"/>
        </w:rPr>
        <w:tab/>
        <w:t>Standard-dish (STD)</w:t>
      </w:r>
    </w:p>
    <w:p w:rsidR="004B059B" w:rsidRPr="0088226A" w:rsidRDefault="004B059B" w:rsidP="004B059B">
      <w:pPr>
        <w:pStyle w:val="enumlev1"/>
        <w:rPr>
          <w:lang w:val="en-US"/>
        </w:rPr>
      </w:pPr>
      <w:r w:rsidRPr="0088226A">
        <w:rPr>
          <w:lang w:val="en-US"/>
        </w:rPr>
        <w:t>–</w:t>
      </w:r>
      <w:r w:rsidRPr="0088226A">
        <w:rPr>
          <w:lang w:val="en-US"/>
        </w:rPr>
        <w:tab/>
        <w:t>Shrouded-dish (SHD)</w:t>
      </w:r>
    </w:p>
    <w:p w:rsidR="004B059B" w:rsidRPr="0088226A" w:rsidRDefault="004B059B" w:rsidP="004B059B">
      <w:pPr>
        <w:pStyle w:val="enumlev1"/>
        <w:rPr>
          <w:lang w:val="en-US"/>
        </w:rPr>
      </w:pPr>
      <w:r w:rsidRPr="0088226A">
        <w:rPr>
          <w:lang w:val="en-US"/>
        </w:rPr>
        <w:t>–</w:t>
      </w:r>
      <w:r w:rsidRPr="0088226A">
        <w:rPr>
          <w:lang w:val="en-US"/>
        </w:rPr>
        <w:tab/>
        <w:t>Conical horn reflector (CHR).</w:t>
      </w:r>
    </w:p>
    <w:p w:rsidR="004B059B" w:rsidRPr="0088226A" w:rsidRDefault="004B059B" w:rsidP="004B059B">
      <w:pPr>
        <w:rPr>
          <w:lang w:val="en-US"/>
        </w:rPr>
      </w:pPr>
      <w:r w:rsidRPr="0088226A">
        <w:rPr>
          <w:lang w:val="en-US"/>
        </w:rPr>
        <w:lastRenderedPageBreak/>
        <w:t>Typical radiation patterns for these antennas, with a 43 dBi gain, are shown in Fig. 13.</w:t>
      </w:r>
      <w:r w:rsidRPr="0088226A">
        <w:rPr>
          <w:i/>
          <w:lang w:val="en-US"/>
        </w:rPr>
        <w:t xml:space="preserve"> </w:t>
      </w:r>
      <w:r w:rsidRPr="0088226A">
        <w:rPr>
          <w:lang w:val="en-US"/>
        </w:rPr>
        <w:t>The antenna pattern characteristics shown in Fig. 13 were used in the model.</w:t>
      </w:r>
    </w:p>
    <w:p w:rsidR="004B059B" w:rsidRDefault="004B059B" w:rsidP="004B059B">
      <w:pPr>
        <w:rPr>
          <w:lang w:val="en-US"/>
        </w:rPr>
      </w:pPr>
      <w:r w:rsidRPr="0088226A">
        <w:rPr>
          <w:lang w:val="en-US"/>
        </w:rPr>
        <w:t>A plot of the transmitter output power versus denial area for a receiver interference threshold of –102.5 dBm is shown in Fig. 14 for the three types of antennas.</w:t>
      </w:r>
      <w:r w:rsidRPr="0088226A">
        <w:rPr>
          <w:i/>
          <w:lang w:val="en-US"/>
        </w:rPr>
        <w:t xml:space="preserve"> </w:t>
      </w:r>
      <w:r w:rsidRPr="0088226A">
        <w:rPr>
          <w:lang w:val="en-US"/>
        </w:rPr>
        <w:t>Although the mainbeam gain for all the antennas is the same, the results shown in Fig. 14 indicate that the CHR antenna has less denial area than the other two antennas.</w:t>
      </w:r>
      <w:r w:rsidRPr="0088226A">
        <w:rPr>
          <w:i/>
          <w:lang w:val="en-US"/>
        </w:rPr>
        <w:t xml:space="preserve"> </w:t>
      </w:r>
      <w:r w:rsidRPr="0088226A">
        <w:rPr>
          <w:lang w:val="en-US"/>
        </w:rPr>
        <w:t>Also, the difference in denial area for the three antennas is small until the transmitter power is greater than 30 dBm.</w:t>
      </w:r>
      <w:r w:rsidRPr="0088226A">
        <w:rPr>
          <w:i/>
          <w:lang w:val="en-US"/>
        </w:rPr>
        <w:t xml:space="preserve"> </w:t>
      </w:r>
      <w:r w:rsidRPr="0088226A">
        <w:rPr>
          <w:lang w:val="en-US"/>
        </w:rPr>
        <w:t>This is understandable because the contribution to the denial area caused by sidelobe/backlobe antenna characteristics is small until the transmitter power is increased beyond 30 dBm.</w:t>
      </w:r>
      <w:r w:rsidRPr="0088226A">
        <w:rPr>
          <w:i/>
          <w:lang w:val="en-US"/>
        </w:rPr>
        <w:t xml:space="preserve"> </w:t>
      </w:r>
      <w:r w:rsidRPr="0088226A">
        <w:rPr>
          <w:lang w:val="en-US"/>
        </w:rPr>
        <w:t>At transmitter powers greater than 30 dBm, the difference in denial area for the three antennas is significant.</w:t>
      </w:r>
      <w:r w:rsidRPr="0088226A">
        <w:rPr>
          <w:i/>
          <w:lang w:val="en-US"/>
        </w:rPr>
        <w:t xml:space="preserve"> </w:t>
      </w:r>
      <w:r w:rsidRPr="0088226A">
        <w:rPr>
          <w:lang w:val="en-US"/>
        </w:rPr>
        <w:t>The denial area is also a function of the receiver interference threshold.</w:t>
      </w:r>
    </w:p>
    <w:p w:rsidR="00483296" w:rsidRPr="0088226A" w:rsidRDefault="00483296" w:rsidP="004B059B">
      <w:pPr>
        <w:rPr>
          <w:lang w:val="en-US"/>
        </w:rPr>
      </w:pPr>
    </w:p>
    <w:p w:rsidR="004B059B" w:rsidRDefault="00D11D34" w:rsidP="0088226A">
      <w:pPr>
        <w:pStyle w:val="FigureNo"/>
        <w:rPr>
          <w:lang w:val="es-ES_tradnl"/>
        </w:rPr>
      </w:pPr>
      <w:r>
        <w:object w:dxaOrig="7731" w:dyaOrig="9215">
          <v:shape id="_x0000_i1058" type="#_x0000_t75" style="width:386.4pt;height:460.2pt" o:ole="" o:allowoverlap="f">
            <v:imagedata r:id="rId84" o:title=""/>
          </v:shape>
          <o:OLEObject Type="Embed" ProgID="CorelDRAW.Graphic.12" ShapeID="_x0000_i1058" DrawAspect="Content" ObjectID="_1370947790" r:id="rId85"/>
        </w:object>
      </w:r>
    </w:p>
    <w:p w:rsidR="004B059B" w:rsidRDefault="00EF2C77" w:rsidP="0088226A">
      <w:pPr>
        <w:pStyle w:val="FigureNo"/>
      </w:pPr>
      <w:r>
        <w:object w:dxaOrig="7175" w:dyaOrig="10924">
          <v:shape id="_x0000_i1059" type="#_x0000_t75" style="width:358.2pt;height:546pt" o:ole="" o:allowoverlap="f">
            <v:imagedata r:id="rId86" o:title=""/>
          </v:shape>
          <o:OLEObject Type="Embed" ProgID="CorelDRAW.Graphic.12" ShapeID="_x0000_i1059" DrawAspect="Content" ObjectID="_1370947791" r:id="rId87"/>
        </w:object>
      </w:r>
    </w:p>
    <w:p w:rsidR="004B059B" w:rsidRPr="0088226A" w:rsidRDefault="004B059B" w:rsidP="004B059B">
      <w:pPr>
        <w:rPr>
          <w:lang w:val="en-US"/>
        </w:rPr>
      </w:pPr>
      <w:r w:rsidRPr="0088226A">
        <w:rPr>
          <w:lang w:val="en-US"/>
        </w:rPr>
        <w:t xml:space="preserve">Since the denied area for the three antennas is a function of </w:t>
      </w:r>
      <w:r w:rsidRPr="0088226A">
        <w:rPr>
          <w:i/>
          <w:lang w:val="en-US"/>
        </w:rPr>
        <w:t>P</w:t>
      </w:r>
      <w:r w:rsidRPr="0088226A">
        <w:rPr>
          <w:i/>
          <w:position w:val="-4"/>
          <w:sz w:val="16"/>
          <w:lang w:val="en-US"/>
        </w:rPr>
        <w:t>t</w:t>
      </w:r>
      <w:r w:rsidRPr="0088226A">
        <w:rPr>
          <w:lang w:val="en-US"/>
        </w:rPr>
        <w:t xml:space="preserve"> and </w:t>
      </w:r>
      <w:r w:rsidRPr="0088226A">
        <w:rPr>
          <w:i/>
          <w:lang w:val="en-US"/>
        </w:rPr>
        <w:t>I</w:t>
      </w:r>
      <w:r w:rsidRPr="0088226A">
        <w:rPr>
          <w:i/>
          <w:position w:val="-4"/>
          <w:sz w:val="16"/>
          <w:lang w:val="en-US"/>
        </w:rPr>
        <w:t>max</w:t>
      </w:r>
      <w:r w:rsidRPr="0088226A">
        <w:rPr>
          <w:lang w:val="en-US"/>
        </w:rPr>
        <w:t>, the spectrum conserving properties for the three antennas must also be related to the system modulation type.</w:t>
      </w:r>
      <w:r w:rsidRPr="0088226A">
        <w:rPr>
          <w:i/>
          <w:lang w:val="en-US"/>
        </w:rPr>
        <w:t xml:space="preserve"> </w:t>
      </w:r>
      <w:r w:rsidRPr="0088226A">
        <w:rPr>
          <w:lang w:val="en-US"/>
        </w:rPr>
        <w:t>Thus the spectrum efficiency enhancement properties of the STD, SHD, CHR antennas will be discussed in the modulation section.</w:t>
      </w:r>
    </w:p>
    <w:p w:rsidR="004B059B" w:rsidRPr="0088226A" w:rsidRDefault="004B059B" w:rsidP="004B059B">
      <w:pPr>
        <w:pStyle w:val="Heading3"/>
        <w:rPr>
          <w:lang w:val="en-US"/>
        </w:rPr>
      </w:pPr>
      <w:r w:rsidRPr="0088226A">
        <w:rPr>
          <w:lang w:val="en-US"/>
        </w:rPr>
        <w:t>2.4.3</w:t>
      </w:r>
      <w:r w:rsidRPr="0088226A">
        <w:rPr>
          <w:lang w:val="en-US"/>
        </w:rPr>
        <w:tab/>
        <w:t>Modulation</w:t>
      </w:r>
    </w:p>
    <w:p w:rsidR="004B059B" w:rsidRPr="0088226A" w:rsidRDefault="004B059B" w:rsidP="004B059B">
      <w:pPr>
        <w:rPr>
          <w:lang w:val="en-US"/>
        </w:rPr>
      </w:pPr>
      <w:r w:rsidRPr="0088226A">
        <w:rPr>
          <w:lang w:val="en-US"/>
        </w:rPr>
        <w:t>The evaluation of spectrum conservation properties for different modulation schemes is very complex in that both spectrum and spatial denial are affected by the choice of modulation type used in a system.</w:t>
      </w:r>
      <w:r w:rsidRPr="0088226A">
        <w:rPr>
          <w:i/>
          <w:lang w:val="en-US"/>
        </w:rPr>
        <w:t xml:space="preserve"> </w:t>
      </w:r>
      <w:r w:rsidRPr="0088226A">
        <w:rPr>
          <w:lang w:val="en-US"/>
        </w:rPr>
        <w:t>In general, system parameters, such as occupied bandwidth, required receiver input carrier-to-noise (</w:t>
      </w:r>
      <w:r w:rsidRPr="0088226A">
        <w:rPr>
          <w:i/>
          <w:lang w:val="en-US"/>
        </w:rPr>
        <w:t>C</w:t>
      </w:r>
      <w:r w:rsidRPr="0088226A">
        <w:rPr>
          <w:lang w:val="en-US"/>
        </w:rPr>
        <w:t>/</w:t>
      </w:r>
      <w:r w:rsidRPr="0088226A">
        <w:rPr>
          <w:i/>
          <w:lang w:val="en-US"/>
        </w:rPr>
        <w:t>N</w:t>
      </w:r>
      <w:r w:rsidRPr="0088226A">
        <w:rPr>
          <w:lang w:val="en-US"/>
        </w:rPr>
        <w:t>)</w:t>
      </w:r>
      <w:r w:rsidRPr="0088226A">
        <w:rPr>
          <w:i/>
          <w:position w:val="-4"/>
          <w:sz w:val="16"/>
          <w:lang w:val="en-US"/>
        </w:rPr>
        <w:t>i</w:t>
      </w:r>
      <w:r w:rsidRPr="0088226A">
        <w:rPr>
          <w:lang w:val="en-US"/>
        </w:rPr>
        <w:t xml:space="preserve">, and </w:t>
      </w:r>
      <w:r w:rsidRPr="0088226A">
        <w:rPr>
          <w:i/>
          <w:lang w:val="en-US"/>
        </w:rPr>
        <w:t>I</w:t>
      </w:r>
      <w:r w:rsidRPr="0088226A">
        <w:rPr>
          <w:i/>
          <w:position w:val="-4"/>
          <w:sz w:val="16"/>
          <w:lang w:val="en-US"/>
        </w:rPr>
        <w:t>max</w:t>
      </w:r>
      <w:r w:rsidRPr="0088226A">
        <w:rPr>
          <w:lang w:val="en-US"/>
        </w:rPr>
        <w:t xml:space="preserve"> are all functions of the modulation type and have a direct bearing on spectrum utilization.</w:t>
      </w:r>
    </w:p>
    <w:p w:rsidR="004B059B" w:rsidRDefault="004B059B" w:rsidP="004B059B">
      <w:r w:rsidRPr="0088226A">
        <w:rPr>
          <w:lang w:val="en-US"/>
        </w:rPr>
        <w:lastRenderedPageBreak/>
        <w:t>This analysis is based on theoretical transmission efficiency and receiver (</w:t>
      </w:r>
      <w:r w:rsidRPr="0088226A">
        <w:rPr>
          <w:i/>
          <w:lang w:val="en-US"/>
        </w:rPr>
        <w:t>C</w:t>
      </w:r>
      <w:r w:rsidRPr="0088226A">
        <w:rPr>
          <w:lang w:val="en-US"/>
        </w:rPr>
        <w:t>/</w:t>
      </w:r>
      <w:r w:rsidRPr="0088226A">
        <w:rPr>
          <w:i/>
          <w:lang w:val="en-US"/>
        </w:rPr>
        <w:t>N</w:t>
      </w:r>
      <w:r w:rsidRPr="0088226A">
        <w:rPr>
          <w:lang w:val="en-US"/>
        </w:rPr>
        <w:t>)</w:t>
      </w:r>
      <w:r w:rsidRPr="0088226A">
        <w:rPr>
          <w:i/>
          <w:position w:val="-6"/>
          <w:lang w:val="en-US"/>
        </w:rPr>
        <w:t>i</w:t>
      </w:r>
      <w:r w:rsidRPr="0088226A">
        <w:rPr>
          <w:lang w:val="en-US"/>
        </w:rPr>
        <w:t xml:space="preserve"> for the different modulation types to ensure a just comparison. To evaluate the spectrum-conservation properties of the different modulation types, the occupied bandwidth, </w:t>
      </w:r>
      <w:r w:rsidRPr="0088226A">
        <w:rPr>
          <w:i/>
          <w:lang w:val="en-US"/>
        </w:rPr>
        <w:t>B</w:t>
      </w:r>
      <w:r w:rsidRPr="0088226A">
        <w:rPr>
          <w:lang w:val="en-US"/>
        </w:rPr>
        <w:t xml:space="preserve">, and required </w:t>
      </w:r>
      <w:r w:rsidRPr="0088226A">
        <w:rPr>
          <w:i/>
          <w:lang w:val="en-US"/>
        </w:rPr>
        <w:t>P</w:t>
      </w:r>
      <w:r w:rsidRPr="0088226A">
        <w:rPr>
          <w:i/>
          <w:position w:val="-4"/>
          <w:sz w:val="16"/>
          <w:lang w:val="en-US"/>
        </w:rPr>
        <w:t>t</w:t>
      </w:r>
      <w:r w:rsidRPr="0088226A">
        <w:rPr>
          <w:lang w:val="en-US"/>
        </w:rPr>
        <w:t xml:space="preserve"> for each were determined. </w:t>
      </w:r>
      <w:r>
        <w:t>These parameters are given in Table 4.</w:t>
      </w:r>
    </w:p>
    <w:p w:rsidR="004B059B" w:rsidRDefault="004B059B" w:rsidP="004B059B">
      <w:pPr>
        <w:pStyle w:val="Table"/>
        <w:rPr>
          <w:lang w:val="es-ES_tradnl"/>
        </w:rPr>
      </w:pPr>
      <w:r>
        <w:rPr>
          <w:lang w:val="es-ES_tradnl"/>
        </w:rPr>
        <w:t>TABLE  4</w:t>
      </w:r>
    </w:p>
    <w:p w:rsidR="004B059B" w:rsidRDefault="004B059B" w:rsidP="004B059B">
      <w:pPr>
        <w:pStyle w:val="TableTitle0"/>
        <w:rPr>
          <w:lang w:val="es-ES_tradnl"/>
        </w:rPr>
      </w:pPr>
      <w:r>
        <w:t>Digital system parameters</w:t>
      </w:r>
    </w:p>
    <w:p w:rsidR="004B059B" w:rsidRDefault="004B059B" w:rsidP="004B059B">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92"/>
        <w:gridCol w:w="1292"/>
        <w:gridCol w:w="1433"/>
        <w:gridCol w:w="1718"/>
        <w:gridCol w:w="1292"/>
        <w:gridCol w:w="1292"/>
        <w:gridCol w:w="1320"/>
      </w:tblGrid>
      <w:tr w:rsidR="004B059B" w:rsidRPr="00E64C3F">
        <w:trPr>
          <w:jc w:val="center"/>
        </w:trPr>
        <w:tc>
          <w:tcPr>
            <w:tcW w:w="1304" w:type="dxa"/>
            <w:tcBorders>
              <w:bottom w:val="nil"/>
            </w:tcBorders>
          </w:tcPr>
          <w:p w:rsidR="004B059B" w:rsidRDefault="004B059B" w:rsidP="00D11D34">
            <w:pPr>
              <w:pStyle w:val="TableText0"/>
              <w:spacing w:before="200"/>
              <w:jc w:val="center"/>
            </w:pPr>
            <w:r>
              <w:br/>
              <w:t>Modulation type</w:t>
            </w:r>
          </w:p>
        </w:tc>
        <w:tc>
          <w:tcPr>
            <w:tcW w:w="1304" w:type="dxa"/>
            <w:tcBorders>
              <w:bottom w:val="nil"/>
            </w:tcBorders>
          </w:tcPr>
          <w:p w:rsidR="004B059B" w:rsidRDefault="004B059B" w:rsidP="00D11D34">
            <w:pPr>
              <w:pStyle w:val="TableText0"/>
              <w:jc w:val="center"/>
            </w:pPr>
            <w:r>
              <w:br/>
              <w:t>Transmission efficiency</w:t>
            </w:r>
            <w:r>
              <w:br/>
              <w:t>(bit/(s · Hz))</w:t>
            </w:r>
          </w:p>
        </w:tc>
        <w:tc>
          <w:tcPr>
            <w:tcW w:w="1446" w:type="dxa"/>
            <w:tcBorders>
              <w:bottom w:val="nil"/>
            </w:tcBorders>
          </w:tcPr>
          <w:p w:rsidR="004B059B" w:rsidRDefault="004B059B" w:rsidP="00D11D34">
            <w:pPr>
              <w:pStyle w:val="TableText0"/>
              <w:ind w:left="-57" w:right="-57"/>
              <w:jc w:val="center"/>
            </w:pPr>
            <w:r>
              <w:br/>
              <w:t>Occupied bandwidth, </w:t>
            </w:r>
            <w:r>
              <w:rPr>
                <w:i/>
              </w:rPr>
              <w:t>B</w:t>
            </w:r>
            <w:r>
              <w:rPr>
                <w:i/>
              </w:rPr>
              <w:br/>
            </w:r>
            <w:r>
              <w:t>(MHz)</w:t>
            </w:r>
          </w:p>
        </w:tc>
        <w:tc>
          <w:tcPr>
            <w:tcW w:w="1735" w:type="dxa"/>
            <w:tcBorders>
              <w:bottom w:val="nil"/>
            </w:tcBorders>
          </w:tcPr>
          <w:p w:rsidR="004B059B" w:rsidRDefault="004B059B" w:rsidP="00D11D34">
            <w:pPr>
              <w:pStyle w:val="TableText0"/>
              <w:ind w:left="-57" w:right="-57"/>
              <w:jc w:val="center"/>
            </w:pPr>
            <w:r>
              <w:t>Required input</w:t>
            </w:r>
            <w:r>
              <w:br/>
              <w:t xml:space="preserve">carrier-to-noise, </w:t>
            </w:r>
            <w:r>
              <w:br/>
              <w:t>(</w:t>
            </w:r>
            <w:r>
              <w:rPr>
                <w:i/>
              </w:rPr>
              <w:t>C</w:t>
            </w:r>
            <w:r>
              <w:t>/</w:t>
            </w:r>
            <w:r>
              <w:rPr>
                <w:i/>
              </w:rPr>
              <w:t>N</w:t>
            </w:r>
            <w:r>
              <w:t>)</w:t>
            </w:r>
            <w:r>
              <w:rPr>
                <w:i/>
                <w:position w:val="-4"/>
                <w:sz w:val="14"/>
              </w:rPr>
              <w:t>i</w:t>
            </w:r>
            <w:r>
              <w:br/>
              <w:t>(dB)</w:t>
            </w:r>
          </w:p>
        </w:tc>
        <w:tc>
          <w:tcPr>
            <w:tcW w:w="1304" w:type="dxa"/>
            <w:tcBorders>
              <w:bottom w:val="nil"/>
            </w:tcBorders>
          </w:tcPr>
          <w:p w:rsidR="004B059B" w:rsidRDefault="004B059B" w:rsidP="00D11D34">
            <w:pPr>
              <w:pStyle w:val="TableText0"/>
              <w:spacing w:before="200"/>
              <w:jc w:val="center"/>
            </w:pPr>
            <w:r>
              <w:br/>
              <w:t xml:space="preserve">Noise level </w:t>
            </w:r>
            <w:r>
              <w:br/>
              <w:t>(dBm)</w:t>
            </w:r>
          </w:p>
        </w:tc>
        <w:tc>
          <w:tcPr>
            <w:tcW w:w="1304" w:type="dxa"/>
            <w:tcBorders>
              <w:bottom w:val="nil"/>
            </w:tcBorders>
          </w:tcPr>
          <w:p w:rsidR="004B059B" w:rsidRDefault="004B059B" w:rsidP="00D11D34">
            <w:pPr>
              <w:pStyle w:val="TableText0"/>
              <w:jc w:val="center"/>
            </w:pPr>
            <w:r>
              <w:br/>
              <w:t xml:space="preserve">Minimum carrier level </w:t>
            </w:r>
            <w:r>
              <w:br/>
              <w:t>(dBm)</w:t>
            </w:r>
          </w:p>
        </w:tc>
        <w:tc>
          <w:tcPr>
            <w:tcW w:w="1332" w:type="dxa"/>
            <w:tcBorders>
              <w:bottom w:val="nil"/>
            </w:tcBorders>
          </w:tcPr>
          <w:p w:rsidR="004B059B" w:rsidRDefault="004B059B" w:rsidP="00D11D34">
            <w:pPr>
              <w:pStyle w:val="TableText0"/>
              <w:spacing w:before="200"/>
              <w:jc w:val="center"/>
            </w:pPr>
            <w:r>
              <w:t xml:space="preserve">Transmitter output power level, </w:t>
            </w:r>
            <w:r>
              <w:rPr>
                <w:i/>
              </w:rPr>
              <w:t>P</w:t>
            </w:r>
            <w:r>
              <w:rPr>
                <w:i/>
                <w:position w:val="-4"/>
                <w:sz w:val="14"/>
              </w:rPr>
              <w:t>t</w:t>
            </w:r>
            <w:r>
              <w:br/>
              <w:t>(dBm)</w:t>
            </w:r>
          </w:p>
        </w:tc>
      </w:tr>
      <w:tr w:rsidR="004B059B">
        <w:trPr>
          <w:jc w:val="center"/>
        </w:trPr>
        <w:tc>
          <w:tcPr>
            <w:tcW w:w="1304" w:type="dxa"/>
            <w:tcBorders>
              <w:bottom w:val="nil"/>
            </w:tcBorders>
          </w:tcPr>
          <w:p w:rsidR="004B059B" w:rsidRDefault="004B059B" w:rsidP="00D11D34">
            <w:pPr>
              <w:pStyle w:val="TableText0"/>
              <w:spacing w:before="60" w:after="60"/>
              <w:jc w:val="center"/>
              <w:rPr>
                <w:lang w:val="es-ES_tradnl"/>
              </w:rPr>
            </w:pPr>
            <w:r>
              <w:rPr>
                <w:lang w:val="es-ES_tradnl"/>
              </w:rPr>
              <w:t>16-QAM</w:t>
            </w:r>
          </w:p>
        </w:tc>
        <w:tc>
          <w:tcPr>
            <w:tcW w:w="1304" w:type="dxa"/>
            <w:tcBorders>
              <w:bottom w:val="nil"/>
            </w:tcBorders>
          </w:tcPr>
          <w:p w:rsidR="004B059B" w:rsidRDefault="004B059B" w:rsidP="00D11D34">
            <w:pPr>
              <w:pStyle w:val="TableText0"/>
              <w:spacing w:before="60" w:after="60"/>
              <w:jc w:val="center"/>
              <w:rPr>
                <w:lang w:val="es-ES_tradnl"/>
              </w:rPr>
            </w:pPr>
            <w:r>
              <w:rPr>
                <w:lang w:val="es-ES_tradnl"/>
              </w:rPr>
              <w:t>4</w:t>
            </w:r>
          </w:p>
        </w:tc>
        <w:tc>
          <w:tcPr>
            <w:tcW w:w="1446" w:type="dxa"/>
            <w:tcBorders>
              <w:bottom w:val="nil"/>
            </w:tcBorders>
          </w:tcPr>
          <w:p w:rsidR="004B059B" w:rsidRDefault="004B059B" w:rsidP="00D11D34">
            <w:pPr>
              <w:pStyle w:val="TableText0"/>
              <w:spacing w:before="60" w:after="60"/>
              <w:jc w:val="center"/>
              <w:rPr>
                <w:lang w:val="es-ES_tradnl"/>
              </w:rPr>
            </w:pPr>
            <w:r>
              <w:rPr>
                <w:lang w:val="es-ES_tradnl"/>
              </w:rPr>
              <w:t>22.5</w:t>
            </w:r>
          </w:p>
        </w:tc>
        <w:tc>
          <w:tcPr>
            <w:tcW w:w="1735" w:type="dxa"/>
            <w:tcBorders>
              <w:bottom w:val="nil"/>
            </w:tcBorders>
          </w:tcPr>
          <w:p w:rsidR="004B059B" w:rsidRDefault="004B059B" w:rsidP="00D11D34">
            <w:pPr>
              <w:pStyle w:val="TableText0"/>
              <w:spacing w:before="60" w:after="60"/>
              <w:jc w:val="center"/>
              <w:rPr>
                <w:lang w:val="es-ES_tradnl"/>
              </w:rPr>
            </w:pPr>
            <w:r>
              <w:rPr>
                <w:lang w:val="es-ES_tradnl"/>
              </w:rPr>
              <w:t>21.0</w:t>
            </w:r>
          </w:p>
        </w:tc>
        <w:tc>
          <w:tcPr>
            <w:tcW w:w="1304" w:type="dxa"/>
            <w:tcBorders>
              <w:bottom w:val="nil"/>
            </w:tcBorders>
          </w:tcPr>
          <w:p w:rsidR="004B059B" w:rsidRDefault="004B059B" w:rsidP="00D11D34">
            <w:pPr>
              <w:pStyle w:val="TableText0"/>
              <w:spacing w:before="60" w:after="60"/>
              <w:jc w:val="center"/>
              <w:rPr>
                <w:lang w:val="es-ES_tradnl"/>
              </w:rPr>
            </w:pPr>
            <w:r>
              <w:rPr>
                <w:lang w:val="es-ES_tradnl"/>
              </w:rPr>
              <w:t>–96.5</w:t>
            </w:r>
          </w:p>
        </w:tc>
        <w:tc>
          <w:tcPr>
            <w:tcW w:w="1304" w:type="dxa"/>
            <w:tcBorders>
              <w:bottom w:val="nil"/>
            </w:tcBorders>
          </w:tcPr>
          <w:p w:rsidR="004B059B" w:rsidRDefault="004B059B" w:rsidP="00D11D34">
            <w:pPr>
              <w:pStyle w:val="TableText0"/>
              <w:spacing w:before="60" w:after="60"/>
              <w:jc w:val="center"/>
              <w:rPr>
                <w:lang w:val="es-ES_tradnl"/>
              </w:rPr>
            </w:pPr>
            <w:r>
              <w:rPr>
                <w:lang w:val="es-ES_tradnl"/>
              </w:rPr>
              <w:t>–</w:t>
            </w:r>
            <w:r>
              <w:rPr>
                <w:sz w:val="8"/>
                <w:lang w:val="es-ES_tradnl"/>
              </w:rPr>
              <w:t> </w:t>
            </w:r>
            <w:r>
              <w:rPr>
                <w:lang w:val="es-ES_tradnl"/>
              </w:rPr>
              <w:t>75.5</w:t>
            </w:r>
          </w:p>
        </w:tc>
        <w:tc>
          <w:tcPr>
            <w:tcW w:w="1332" w:type="dxa"/>
            <w:tcBorders>
              <w:bottom w:val="nil"/>
            </w:tcBorders>
          </w:tcPr>
          <w:p w:rsidR="004B059B" w:rsidRDefault="004B059B" w:rsidP="00D11D34">
            <w:pPr>
              <w:pStyle w:val="TableText0"/>
              <w:spacing w:before="60" w:after="60"/>
              <w:jc w:val="center"/>
              <w:rPr>
                <w:lang w:val="es-ES_tradnl"/>
              </w:rPr>
            </w:pPr>
            <w:r>
              <w:rPr>
                <w:lang w:val="es-ES_tradnl"/>
              </w:rPr>
              <w:t>27.5</w:t>
            </w:r>
          </w:p>
        </w:tc>
      </w:tr>
      <w:tr w:rsidR="004B059B">
        <w:trPr>
          <w:jc w:val="center"/>
        </w:trPr>
        <w:tc>
          <w:tcPr>
            <w:tcW w:w="1304" w:type="dxa"/>
            <w:tcBorders>
              <w:top w:val="nil"/>
              <w:bottom w:val="nil"/>
            </w:tcBorders>
          </w:tcPr>
          <w:p w:rsidR="004B059B" w:rsidRDefault="004B059B" w:rsidP="00D11D34">
            <w:pPr>
              <w:pStyle w:val="TableText0"/>
              <w:spacing w:before="60" w:after="60"/>
              <w:jc w:val="center"/>
              <w:rPr>
                <w:lang w:val="es-ES_tradnl"/>
              </w:rPr>
            </w:pPr>
            <w:r>
              <w:rPr>
                <w:lang w:val="es-ES_tradnl"/>
              </w:rPr>
              <w:t>64-QAM</w:t>
            </w:r>
          </w:p>
        </w:tc>
        <w:tc>
          <w:tcPr>
            <w:tcW w:w="1304" w:type="dxa"/>
            <w:tcBorders>
              <w:top w:val="nil"/>
              <w:bottom w:val="nil"/>
            </w:tcBorders>
          </w:tcPr>
          <w:p w:rsidR="004B059B" w:rsidRDefault="004B059B" w:rsidP="00D11D34">
            <w:pPr>
              <w:pStyle w:val="TableText0"/>
              <w:spacing w:before="60" w:after="60"/>
              <w:jc w:val="center"/>
              <w:rPr>
                <w:lang w:val="es-ES_tradnl"/>
              </w:rPr>
            </w:pPr>
            <w:r>
              <w:rPr>
                <w:lang w:val="es-ES_tradnl"/>
              </w:rPr>
              <w:t>6</w:t>
            </w:r>
          </w:p>
        </w:tc>
        <w:tc>
          <w:tcPr>
            <w:tcW w:w="1446" w:type="dxa"/>
            <w:tcBorders>
              <w:top w:val="nil"/>
              <w:bottom w:val="nil"/>
            </w:tcBorders>
          </w:tcPr>
          <w:p w:rsidR="004B059B" w:rsidRDefault="004B059B" w:rsidP="00D11D34">
            <w:pPr>
              <w:pStyle w:val="TableText0"/>
              <w:spacing w:before="60" w:after="60"/>
              <w:jc w:val="center"/>
              <w:rPr>
                <w:lang w:val="es-ES_tradnl"/>
              </w:rPr>
            </w:pPr>
            <w:r>
              <w:rPr>
                <w:lang w:val="es-ES_tradnl"/>
              </w:rPr>
              <w:t>22.5</w:t>
            </w:r>
          </w:p>
        </w:tc>
        <w:tc>
          <w:tcPr>
            <w:tcW w:w="1735" w:type="dxa"/>
            <w:tcBorders>
              <w:top w:val="nil"/>
              <w:bottom w:val="nil"/>
            </w:tcBorders>
          </w:tcPr>
          <w:p w:rsidR="004B059B" w:rsidRDefault="004B059B" w:rsidP="00D11D34">
            <w:pPr>
              <w:pStyle w:val="TableText0"/>
              <w:spacing w:before="60" w:after="60"/>
              <w:jc w:val="center"/>
              <w:rPr>
                <w:lang w:val="es-ES_tradnl"/>
              </w:rPr>
            </w:pPr>
            <w:r>
              <w:rPr>
                <w:lang w:val="es-ES_tradnl"/>
              </w:rPr>
              <w:t>27.0</w:t>
            </w:r>
          </w:p>
        </w:tc>
        <w:tc>
          <w:tcPr>
            <w:tcW w:w="1304" w:type="dxa"/>
            <w:tcBorders>
              <w:top w:val="nil"/>
              <w:bottom w:val="nil"/>
            </w:tcBorders>
          </w:tcPr>
          <w:p w:rsidR="004B059B" w:rsidRDefault="004B059B" w:rsidP="00D11D34">
            <w:pPr>
              <w:pStyle w:val="TableText0"/>
              <w:spacing w:before="60" w:after="60"/>
              <w:jc w:val="center"/>
              <w:rPr>
                <w:lang w:val="es-ES_tradnl"/>
              </w:rPr>
            </w:pPr>
            <w:r>
              <w:rPr>
                <w:lang w:val="es-ES_tradnl"/>
              </w:rPr>
              <w:t>–96.5</w:t>
            </w:r>
          </w:p>
        </w:tc>
        <w:tc>
          <w:tcPr>
            <w:tcW w:w="1304" w:type="dxa"/>
            <w:tcBorders>
              <w:top w:val="nil"/>
              <w:bottom w:val="nil"/>
            </w:tcBorders>
          </w:tcPr>
          <w:p w:rsidR="004B059B" w:rsidRDefault="004B059B" w:rsidP="00D11D34">
            <w:pPr>
              <w:pStyle w:val="TableText0"/>
              <w:spacing w:before="60" w:after="60"/>
              <w:jc w:val="center"/>
              <w:rPr>
                <w:lang w:val="es-ES_tradnl"/>
              </w:rPr>
            </w:pPr>
            <w:r>
              <w:rPr>
                <w:lang w:val="es-ES_tradnl"/>
              </w:rPr>
              <w:t>–</w:t>
            </w:r>
            <w:r>
              <w:rPr>
                <w:sz w:val="8"/>
                <w:lang w:val="es-ES_tradnl"/>
              </w:rPr>
              <w:t> </w:t>
            </w:r>
            <w:r>
              <w:rPr>
                <w:lang w:val="es-ES_tradnl"/>
              </w:rPr>
              <w:t>69.5</w:t>
            </w:r>
          </w:p>
        </w:tc>
        <w:tc>
          <w:tcPr>
            <w:tcW w:w="1332" w:type="dxa"/>
            <w:tcBorders>
              <w:top w:val="nil"/>
              <w:bottom w:val="nil"/>
            </w:tcBorders>
          </w:tcPr>
          <w:p w:rsidR="004B059B" w:rsidRDefault="004B059B" w:rsidP="00D11D34">
            <w:pPr>
              <w:pStyle w:val="TableText0"/>
              <w:spacing w:before="60" w:after="60"/>
              <w:jc w:val="center"/>
              <w:rPr>
                <w:lang w:val="es-ES_tradnl"/>
              </w:rPr>
            </w:pPr>
            <w:r>
              <w:rPr>
                <w:lang w:val="es-ES_tradnl"/>
              </w:rPr>
              <w:t>33.5</w:t>
            </w:r>
          </w:p>
        </w:tc>
      </w:tr>
      <w:tr w:rsidR="004B059B">
        <w:trPr>
          <w:jc w:val="center"/>
        </w:trPr>
        <w:tc>
          <w:tcPr>
            <w:tcW w:w="1304" w:type="dxa"/>
            <w:tcBorders>
              <w:top w:val="nil"/>
            </w:tcBorders>
          </w:tcPr>
          <w:p w:rsidR="004B059B" w:rsidRDefault="004B059B" w:rsidP="00D11D34">
            <w:pPr>
              <w:pStyle w:val="TableText0"/>
              <w:spacing w:before="60" w:after="60"/>
              <w:jc w:val="center"/>
              <w:rPr>
                <w:lang w:val="es-ES_tradnl"/>
              </w:rPr>
            </w:pPr>
            <w:r>
              <w:rPr>
                <w:lang w:val="es-ES_tradnl"/>
              </w:rPr>
              <w:t>256-QAM</w:t>
            </w:r>
          </w:p>
        </w:tc>
        <w:tc>
          <w:tcPr>
            <w:tcW w:w="1304" w:type="dxa"/>
            <w:tcBorders>
              <w:top w:val="nil"/>
            </w:tcBorders>
          </w:tcPr>
          <w:p w:rsidR="004B059B" w:rsidRDefault="004B059B" w:rsidP="00D11D34">
            <w:pPr>
              <w:pStyle w:val="TableText0"/>
              <w:spacing w:before="60" w:after="60"/>
              <w:jc w:val="center"/>
              <w:rPr>
                <w:lang w:val="es-ES_tradnl"/>
              </w:rPr>
            </w:pPr>
            <w:r>
              <w:rPr>
                <w:lang w:val="es-ES_tradnl"/>
              </w:rPr>
              <w:t>8</w:t>
            </w:r>
          </w:p>
        </w:tc>
        <w:tc>
          <w:tcPr>
            <w:tcW w:w="1446" w:type="dxa"/>
            <w:tcBorders>
              <w:top w:val="nil"/>
            </w:tcBorders>
          </w:tcPr>
          <w:p w:rsidR="004B059B" w:rsidRDefault="004B059B" w:rsidP="00D11D34">
            <w:pPr>
              <w:pStyle w:val="TableText0"/>
              <w:spacing w:before="60" w:after="60"/>
              <w:jc w:val="center"/>
              <w:rPr>
                <w:lang w:val="es-ES_tradnl"/>
              </w:rPr>
            </w:pPr>
            <w:r>
              <w:rPr>
                <w:lang w:val="es-ES_tradnl"/>
              </w:rPr>
              <w:t>22.5</w:t>
            </w:r>
          </w:p>
        </w:tc>
        <w:tc>
          <w:tcPr>
            <w:tcW w:w="1735" w:type="dxa"/>
            <w:tcBorders>
              <w:top w:val="nil"/>
            </w:tcBorders>
          </w:tcPr>
          <w:p w:rsidR="004B059B" w:rsidRDefault="004B059B" w:rsidP="00D11D34">
            <w:pPr>
              <w:pStyle w:val="TableText0"/>
              <w:spacing w:before="60" w:after="60"/>
              <w:jc w:val="center"/>
              <w:rPr>
                <w:lang w:val="es-ES_tradnl"/>
              </w:rPr>
            </w:pPr>
            <w:r>
              <w:rPr>
                <w:lang w:val="es-ES_tradnl"/>
              </w:rPr>
              <w:t>33.0</w:t>
            </w:r>
          </w:p>
        </w:tc>
        <w:tc>
          <w:tcPr>
            <w:tcW w:w="1304" w:type="dxa"/>
            <w:tcBorders>
              <w:top w:val="nil"/>
            </w:tcBorders>
          </w:tcPr>
          <w:p w:rsidR="004B059B" w:rsidRDefault="004B059B" w:rsidP="00D11D34">
            <w:pPr>
              <w:pStyle w:val="TableText0"/>
              <w:spacing w:before="60" w:after="60"/>
              <w:jc w:val="center"/>
              <w:rPr>
                <w:lang w:val="es-ES_tradnl"/>
              </w:rPr>
            </w:pPr>
            <w:r>
              <w:rPr>
                <w:lang w:val="es-ES_tradnl"/>
              </w:rPr>
              <w:t>–96.5</w:t>
            </w:r>
          </w:p>
        </w:tc>
        <w:tc>
          <w:tcPr>
            <w:tcW w:w="1304" w:type="dxa"/>
            <w:tcBorders>
              <w:top w:val="nil"/>
            </w:tcBorders>
          </w:tcPr>
          <w:p w:rsidR="004B059B" w:rsidRDefault="004B059B" w:rsidP="00D11D34">
            <w:pPr>
              <w:pStyle w:val="TableText0"/>
              <w:spacing w:before="60" w:after="60"/>
              <w:jc w:val="center"/>
              <w:rPr>
                <w:lang w:val="es-ES_tradnl"/>
              </w:rPr>
            </w:pPr>
            <w:r>
              <w:rPr>
                <w:lang w:val="es-ES_tradnl"/>
              </w:rPr>
              <w:t>–</w:t>
            </w:r>
            <w:r>
              <w:rPr>
                <w:sz w:val="8"/>
                <w:lang w:val="es-ES_tradnl"/>
              </w:rPr>
              <w:t> </w:t>
            </w:r>
            <w:r>
              <w:rPr>
                <w:lang w:val="es-ES_tradnl"/>
              </w:rPr>
              <w:t>63.4</w:t>
            </w:r>
          </w:p>
        </w:tc>
        <w:tc>
          <w:tcPr>
            <w:tcW w:w="1332" w:type="dxa"/>
            <w:tcBorders>
              <w:top w:val="nil"/>
            </w:tcBorders>
          </w:tcPr>
          <w:p w:rsidR="004B059B" w:rsidRDefault="004B059B" w:rsidP="00D11D34">
            <w:pPr>
              <w:pStyle w:val="TableText0"/>
              <w:spacing w:before="60" w:after="60"/>
              <w:jc w:val="center"/>
              <w:rPr>
                <w:lang w:val="es-ES_tradnl"/>
              </w:rPr>
            </w:pPr>
            <w:r>
              <w:rPr>
                <w:lang w:val="es-ES_tradnl"/>
              </w:rPr>
              <w:t>39.5</w:t>
            </w:r>
          </w:p>
        </w:tc>
      </w:tr>
    </w:tbl>
    <w:p w:rsidR="004B059B" w:rsidRDefault="004B059B" w:rsidP="004B059B">
      <w:pPr>
        <w:pStyle w:val="Tablefin"/>
        <w:rPr>
          <w:lang w:val="es-ES_tradnl"/>
        </w:rPr>
      </w:pPr>
    </w:p>
    <w:p w:rsidR="004B059B" w:rsidRPr="0088226A" w:rsidRDefault="004B059B" w:rsidP="004B059B">
      <w:pPr>
        <w:rPr>
          <w:lang w:val="en-US"/>
        </w:rPr>
      </w:pPr>
      <w:r w:rsidRPr="0088226A">
        <w:rPr>
          <w:lang w:val="en-US"/>
        </w:rPr>
        <w:t xml:space="preserve">The occupied bandwidth </w:t>
      </w:r>
      <w:r w:rsidRPr="0088226A">
        <w:rPr>
          <w:i/>
          <w:lang w:val="en-US"/>
        </w:rPr>
        <w:t>B</w:t>
      </w:r>
      <w:r w:rsidRPr="0088226A">
        <w:rPr>
          <w:lang w:val="en-US"/>
        </w:rPr>
        <w:t xml:space="preserve"> for the digital modulations was determined using the relationship:</w:t>
      </w:r>
    </w:p>
    <w:p w:rsidR="004B059B" w:rsidRPr="0088226A" w:rsidRDefault="004B059B" w:rsidP="004B059B">
      <w:pPr>
        <w:pStyle w:val="Equation"/>
        <w:rPr>
          <w:lang w:val="en-US"/>
        </w:rPr>
      </w:pPr>
      <w:r w:rsidRPr="0088226A">
        <w:rPr>
          <w:lang w:val="en-US"/>
        </w:rPr>
        <w:tab/>
      </w:r>
      <w:r w:rsidRPr="0088226A">
        <w:rPr>
          <w:lang w:val="en-US"/>
        </w:rPr>
        <w:tab/>
      </w:r>
      <w:r w:rsidRPr="0088226A">
        <w:rPr>
          <w:i/>
          <w:lang w:val="en-US"/>
        </w:rPr>
        <w:t>B</w:t>
      </w:r>
      <w:r w:rsidRPr="0088226A">
        <w:rPr>
          <w:lang w:val="en-US"/>
        </w:rPr>
        <w:t xml:space="preserve"> (MHz) )  </w:t>
      </w:r>
      <w:r>
        <w:rPr>
          <w:rFonts w:ascii="Symbol" w:hAnsi="Symbol"/>
          <w:lang w:val="es-ES_tradnl"/>
        </w:rPr>
        <w:t></w:t>
      </w:r>
      <w:r w:rsidRPr="0088226A">
        <w:rPr>
          <w:lang w:val="en-US"/>
        </w:rPr>
        <w:t xml:space="preserve">  Bit rate (Mbit/s)/transmission efficiency (bit/(s · Hz))</w:t>
      </w:r>
      <w:r w:rsidRPr="0088226A">
        <w:rPr>
          <w:lang w:val="en-US"/>
        </w:rPr>
        <w:tab/>
        <w:t>(2</w:t>
      </w:r>
      <w:r w:rsidR="00D11D34">
        <w:rPr>
          <w:lang w:val="en-US"/>
        </w:rPr>
        <w:t>7</w:t>
      </w:r>
      <w:r w:rsidRPr="0088226A">
        <w:rPr>
          <w:lang w:val="en-US"/>
        </w:rPr>
        <w:t>)</w:t>
      </w:r>
    </w:p>
    <w:p w:rsidR="004B059B" w:rsidRPr="0088226A" w:rsidRDefault="004B059B" w:rsidP="004B059B">
      <w:pPr>
        <w:rPr>
          <w:lang w:val="en-US"/>
        </w:rPr>
      </w:pPr>
      <w:r w:rsidRPr="0088226A">
        <w:rPr>
          <w:lang w:val="en-US"/>
        </w:rPr>
        <w:t>where the bit rate (see digital system parameters) and the transmission efficiency (see Table 4) are functions of the modulation type.</w:t>
      </w:r>
    </w:p>
    <w:p w:rsidR="004B059B" w:rsidRPr="00E64C3F" w:rsidRDefault="004B059B" w:rsidP="00D11D34">
      <w:pPr>
        <w:rPr>
          <w:lang w:val="en-US"/>
        </w:rPr>
      </w:pPr>
      <w:r w:rsidRPr="00E64C3F">
        <w:rPr>
          <w:lang w:val="en-US"/>
        </w:rPr>
        <w:t xml:space="preserve">To establish the required </w:t>
      </w:r>
      <w:r w:rsidRPr="00E64C3F">
        <w:rPr>
          <w:i/>
          <w:lang w:val="en-US"/>
        </w:rPr>
        <w:t>P</w:t>
      </w:r>
      <w:r w:rsidRPr="00E64C3F">
        <w:rPr>
          <w:i/>
          <w:position w:val="-4"/>
          <w:sz w:val="16"/>
          <w:lang w:val="en-US"/>
        </w:rPr>
        <w:t>t</w:t>
      </w:r>
      <w:r w:rsidRPr="00E64C3F">
        <w:rPr>
          <w:lang w:val="en-US"/>
        </w:rPr>
        <w:t xml:space="preserve"> for each modulation type, the required receiver (</w:t>
      </w:r>
      <w:r w:rsidRPr="00E64C3F">
        <w:rPr>
          <w:i/>
          <w:lang w:val="en-US"/>
        </w:rPr>
        <w:t>C</w:t>
      </w:r>
      <w:r w:rsidRPr="00E64C3F">
        <w:rPr>
          <w:lang w:val="en-US"/>
        </w:rPr>
        <w:t>/</w:t>
      </w:r>
      <w:r w:rsidRPr="00E64C3F">
        <w:rPr>
          <w:i/>
          <w:lang w:val="en-US"/>
        </w:rPr>
        <w:t>N</w:t>
      </w:r>
      <w:r w:rsidRPr="00E64C3F">
        <w:rPr>
          <w:lang w:val="en-US"/>
        </w:rPr>
        <w:t>)</w:t>
      </w:r>
      <w:r w:rsidRPr="00E64C3F">
        <w:rPr>
          <w:i/>
          <w:position w:val="-4"/>
          <w:sz w:val="16"/>
          <w:lang w:val="en-US"/>
        </w:rPr>
        <w:t>i</w:t>
      </w:r>
      <w:r w:rsidRPr="00E64C3F">
        <w:rPr>
          <w:lang w:val="en-US"/>
        </w:rPr>
        <w:t xml:space="preserve"> for specified performance criteria was determined. A BER of 1 </w:t>
      </w:r>
      <w:r>
        <w:rPr>
          <w:rFonts w:ascii="Symbol" w:hAnsi="Symbol"/>
        </w:rPr>
        <w:t></w:t>
      </w:r>
      <w:r w:rsidRPr="00E64C3F">
        <w:rPr>
          <w:lang w:val="en-US"/>
        </w:rPr>
        <w:t xml:space="preserve"> 10</w:t>
      </w:r>
      <w:r w:rsidRPr="00E64C3F">
        <w:rPr>
          <w:position w:val="6"/>
          <w:sz w:val="16"/>
          <w:lang w:val="en-US"/>
        </w:rPr>
        <w:t>–6</w:t>
      </w:r>
      <w:r w:rsidRPr="00E64C3F">
        <w:rPr>
          <w:lang w:val="en-US"/>
        </w:rPr>
        <w:t xml:space="preserve"> was used as the performance criteria and the theoretical required (</w:t>
      </w:r>
      <w:r w:rsidRPr="00E64C3F">
        <w:rPr>
          <w:i/>
          <w:lang w:val="en-US"/>
        </w:rPr>
        <w:t>C</w:t>
      </w:r>
      <w:r w:rsidRPr="00E64C3F">
        <w:rPr>
          <w:lang w:val="en-US"/>
        </w:rPr>
        <w:t>/</w:t>
      </w:r>
      <w:r w:rsidRPr="00E64C3F">
        <w:rPr>
          <w:i/>
          <w:lang w:val="en-US"/>
        </w:rPr>
        <w:t>N</w:t>
      </w:r>
      <w:r w:rsidRPr="00E64C3F">
        <w:rPr>
          <w:lang w:val="en-US"/>
        </w:rPr>
        <w:t>)</w:t>
      </w:r>
      <w:r w:rsidRPr="00E64C3F">
        <w:rPr>
          <w:i/>
          <w:position w:val="-4"/>
          <w:sz w:val="16"/>
          <w:lang w:val="en-US"/>
        </w:rPr>
        <w:t>i</w:t>
      </w:r>
      <w:r w:rsidRPr="00E64C3F">
        <w:rPr>
          <w:lang w:val="en-US"/>
        </w:rPr>
        <w:t xml:space="preserve"> was obtained from literature.</w:t>
      </w:r>
    </w:p>
    <w:p w:rsidR="004B059B" w:rsidRPr="0088226A" w:rsidRDefault="004B059B" w:rsidP="004B059B">
      <w:pPr>
        <w:rPr>
          <w:lang w:val="en-US"/>
        </w:rPr>
      </w:pPr>
      <w:r w:rsidRPr="0088226A">
        <w:rPr>
          <w:lang w:val="en-US"/>
        </w:rPr>
        <w:t xml:space="preserve">The receiver input noise level, </w:t>
      </w:r>
      <w:r w:rsidRPr="0088226A">
        <w:rPr>
          <w:i/>
          <w:lang w:val="en-US"/>
        </w:rPr>
        <w:t>N</w:t>
      </w:r>
      <w:r w:rsidRPr="0088226A">
        <w:rPr>
          <w:i/>
          <w:position w:val="-4"/>
          <w:sz w:val="16"/>
          <w:lang w:val="en-US"/>
        </w:rPr>
        <w:t>i</w:t>
      </w:r>
      <w:r w:rsidRPr="0088226A">
        <w:rPr>
          <w:lang w:val="en-US"/>
        </w:rPr>
        <w:t>, given in Table 4 (–96.5 dBm) was determined using a receiver bandwidth of 22.5 MHz and a receiver noise figure of 4 dB. The required minimum carrier level (</w:t>
      </w:r>
      <w:r w:rsidRPr="0088226A">
        <w:rPr>
          <w:i/>
          <w:lang w:val="en-US"/>
        </w:rPr>
        <w:t>C</w:t>
      </w:r>
      <w:r w:rsidRPr="0088226A">
        <w:rPr>
          <w:i/>
          <w:position w:val="-4"/>
          <w:sz w:val="16"/>
          <w:lang w:val="en-US"/>
        </w:rPr>
        <w:t>min</w:t>
      </w:r>
      <w:r w:rsidRPr="0088226A">
        <w:rPr>
          <w:lang w:val="en-US"/>
        </w:rPr>
        <w:t>) at the receiver input was then determined from the relationship:</w:t>
      </w:r>
    </w:p>
    <w:p w:rsidR="004B059B" w:rsidRPr="0088226A" w:rsidRDefault="004B059B" w:rsidP="004B059B">
      <w:pPr>
        <w:pStyle w:val="Equation"/>
        <w:rPr>
          <w:lang w:val="en-US"/>
        </w:rPr>
      </w:pPr>
      <w:r w:rsidRPr="0088226A">
        <w:rPr>
          <w:lang w:val="en-US"/>
        </w:rPr>
        <w:tab/>
      </w:r>
      <w:r w:rsidRPr="0088226A">
        <w:rPr>
          <w:lang w:val="en-US"/>
        </w:rPr>
        <w:tab/>
      </w:r>
      <w:r w:rsidRPr="0088226A">
        <w:rPr>
          <w:i/>
          <w:lang w:val="en-US"/>
        </w:rPr>
        <w:t>C</w:t>
      </w:r>
      <w:r w:rsidRPr="0088226A">
        <w:rPr>
          <w:i/>
          <w:position w:val="-4"/>
          <w:sz w:val="18"/>
          <w:lang w:val="en-US"/>
        </w:rPr>
        <w:t>min</w:t>
      </w:r>
      <w:r w:rsidRPr="0088226A">
        <w:rPr>
          <w:lang w:val="en-US"/>
        </w:rPr>
        <w:t xml:space="preserve"> (dBm)  </w:t>
      </w:r>
      <w:r>
        <w:rPr>
          <w:rFonts w:ascii="Symbol" w:hAnsi="Symbol"/>
          <w:lang w:val="es-ES_tradnl"/>
        </w:rPr>
        <w:t></w:t>
      </w:r>
      <w:r w:rsidRPr="0088226A">
        <w:rPr>
          <w:lang w:val="en-US"/>
        </w:rPr>
        <w:t xml:space="preserve">  (</w:t>
      </w:r>
      <w:r w:rsidRPr="0088226A">
        <w:rPr>
          <w:i/>
          <w:lang w:val="en-US"/>
        </w:rPr>
        <w:t>C</w:t>
      </w:r>
      <w:r w:rsidRPr="0088226A">
        <w:rPr>
          <w:lang w:val="en-US"/>
        </w:rPr>
        <w:t>/</w:t>
      </w:r>
      <w:r w:rsidRPr="0088226A">
        <w:rPr>
          <w:i/>
          <w:lang w:val="en-US"/>
        </w:rPr>
        <w:t>N</w:t>
      </w:r>
      <w:r w:rsidRPr="0088226A">
        <w:rPr>
          <w:lang w:val="en-US"/>
        </w:rPr>
        <w:t>)</w:t>
      </w:r>
      <w:r w:rsidRPr="0088226A">
        <w:rPr>
          <w:i/>
          <w:position w:val="-4"/>
          <w:sz w:val="18"/>
          <w:lang w:val="en-US"/>
        </w:rPr>
        <w:t>i</w:t>
      </w:r>
      <w:r w:rsidRPr="0088226A">
        <w:rPr>
          <w:lang w:val="en-US"/>
        </w:rPr>
        <w:t xml:space="preserve">  </w:t>
      </w:r>
      <w:r>
        <w:rPr>
          <w:rFonts w:ascii="Symbol" w:hAnsi="Symbol"/>
          <w:lang w:val="es-ES_tradnl"/>
        </w:rPr>
        <w:t></w:t>
      </w:r>
      <w:r w:rsidRPr="0088226A">
        <w:rPr>
          <w:lang w:val="en-US"/>
        </w:rPr>
        <w:t xml:space="preserve">  </w:t>
      </w:r>
      <w:r w:rsidRPr="0088226A">
        <w:rPr>
          <w:i/>
          <w:lang w:val="en-US"/>
        </w:rPr>
        <w:t>N</w:t>
      </w:r>
      <w:r w:rsidRPr="0088226A">
        <w:rPr>
          <w:i/>
          <w:position w:val="-4"/>
          <w:sz w:val="18"/>
          <w:lang w:val="en-US"/>
        </w:rPr>
        <w:t>i</w:t>
      </w:r>
      <w:r w:rsidRPr="0088226A">
        <w:rPr>
          <w:lang w:val="en-US"/>
        </w:rPr>
        <w:tab/>
        <w:t>(2</w:t>
      </w:r>
      <w:r w:rsidR="00D11D34">
        <w:rPr>
          <w:lang w:val="en-US"/>
        </w:rPr>
        <w:t>8</w:t>
      </w:r>
      <w:r w:rsidRPr="0088226A">
        <w:rPr>
          <w:lang w:val="en-US"/>
        </w:rPr>
        <w:t>)</w:t>
      </w:r>
    </w:p>
    <w:p w:rsidR="004B059B" w:rsidRPr="0088226A" w:rsidRDefault="004B059B" w:rsidP="004B059B">
      <w:pPr>
        <w:rPr>
          <w:lang w:val="en-US"/>
        </w:rPr>
      </w:pPr>
      <w:r w:rsidRPr="0088226A">
        <w:rPr>
          <w:lang w:val="en-US"/>
        </w:rPr>
        <w:t xml:space="preserve">The required transmitter power level, </w:t>
      </w:r>
      <w:r w:rsidRPr="0088226A">
        <w:rPr>
          <w:i/>
          <w:lang w:val="en-US"/>
        </w:rPr>
        <w:t>P</w:t>
      </w:r>
      <w:r w:rsidRPr="0088226A">
        <w:rPr>
          <w:i/>
          <w:position w:val="-4"/>
          <w:sz w:val="16"/>
          <w:lang w:val="en-US"/>
        </w:rPr>
        <w:t>t</w:t>
      </w:r>
      <w:r w:rsidRPr="0088226A">
        <w:rPr>
          <w:rFonts w:ascii="Tms Rmn" w:hAnsi="Tms Rmn"/>
          <w:sz w:val="8"/>
          <w:lang w:val="en-US"/>
        </w:rPr>
        <w:t> </w:t>
      </w:r>
      <w:r w:rsidRPr="0088226A">
        <w:rPr>
          <w:lang w:val="en-US"/>
        </w:rPr>
        <w:t>, given in Table 4 was determined using the expression:</w:t>
      </w:r>
    </w:p>
    <w:p w:rsidR="004B059B" w:rsidRPr="0088226A" w:rsidRDefault="004B059B" w:rsidP="004B059B">
      <w:pPr>
        <w:pStyle w:val="Equation"/>
        <w:rPr>
          <w:lang w:val="en-US"/>
        </w:rPr>
      </w:pPr>
      <w:r w:rsidRPr="0088226A">
        <w:rPr>
          <w:lang w:val="en-US"/>
        </w:rPr>
        <w:tab/>
      </w:r>
      <w:r w:rsidRPr="0088226A">
        <w:rPr>
          <w:lang w:val="en-US"/>
        </w:rPr>
        <w:tab/>
      </w:r>
      <w:r w:rsidRPr="0088226A">
        <w:rPr>
          <w:i/>
          <w:lang w:val="en-US"/>
        </w:rPr>
        <w:t>P</w:t>
      </w:r>
      <w:r w:rsidRPr="0088226A">
        <w:rPr>
          <w:i/>
          <w:position w:val="-4"/>
          <w:sz w:val="18"/>
          <w:lang w:val="en-US"/>
        </w:rPr>
        <w:t>t</w:t>
      </w:r>
      <w:r w:rsidRPr="0088226A">
        <w:rPr>
          <w:lang w:val="en-US"/>
        </w:rPr>
        <w:t xml:space="preserve"> (dBm)  </w:t>
      </w:r>
      <w:r>
        <w:rPr>
          <w:rFonts w:ascii="Symbol" w:hAnsi="Symbol"/>
          <w:lang w:val="es-ES_tradnl"/>
        </w:rPr>
        <w:t></w:t>
      </w:r>
      <w:r w:rsidRPr="0088226A">
        <w:rPr>
          <w:lang w:val="en-US"/>
        </w:rPr>
        <w:t xml:space="preserve">  </w:t>
      </w:r>
      <w:r w:rsidRPr="0088226A">
        <w:rPr>
          <w:i/>
          <w:lang w:val="en-US"/>
        </w:rPr>
        <w:t>C</w:t>
      </w:r>
      <w:r w:rsidRPr="0088226A">
        <w:rPr>
          <w:i/>
          <w:position w:val="-4"/>
          <w:sz w:val="18"/>
          <w:lang w:val="en-US"/>
        </w:rPr>
        <w:t>min</w:t>
      </w:r>
      <w:r w:rsidRPr="0088226A">
        <w:rPr>
          <w:lang w:val="en-US"/>
        </w:rPr>
        <w:t xml:space="preserve">  </w:t>
      </w:r>
      <w:r>
        <w:rPr>
          <w:rFonts w:ascii="Symbol" w:hAnsi="Symbol"/>
          <w:lang w:val="es-ES_tradnl"/>
        </w:rPr>
        <w:t></w:t>
      </w:r>
      <w:r w:rsidRPr="0088226A">
        <w:rPr>
          <w:lang w:val="en-US"/>
        </w:rPr>
        <w:t xml:space="preserve">  </w:t>
      </w:r>
      <w:r w:rsidRPr="0088226A">
        <w:rPr>
          <w:i/>
          <w:lang w:val="en-US"/>
        </w:rPr>
        <w:t>G</w:t>
      </w:r>
      <w:r w:rsidRPr="0088226A">
        <w:rPr>
          <w:i/>
          <w:position w:val="-4"/>
          <w:sz w:val="18"/>
          <w:lang w:val="en-US"/>
        </w:rPr>
        <w:t>s</w:t>
      </w:r>
      <w:r w:rsidRPr="0088226A">
        <w:rPr>
          <w:lang w:val="en-US"/>
        </w:rPr>
        <w:tab/>
        <w:t>(2</w:t>
      </w:r>
      <w:r w:rsidR="00D11D34">
        <w:rPr>
          <w:lang w:val="en-US"/>
        </w:rPr>
        <w:t>9</w:t>
      </w:r>
      <w:r w:rsidRPr="0088226A">
        <w:rPr>
          <w:lang w:val="en-US"/>
        </w:rPr>
        <w:t>)</w:t>
      </w:r>
    </w:p>
    <w:p w:rsidR="004B059B" w:rsidRPr="0088226A" w:rsidRDefault="004B059B" w:rsidP="004B059B">
      <w:pPr>
        <w:rPr>
          <w:lang w:val="en-US"/>
        </w:rPr>
      </w:pPr>
      <w:r w:rsidRPr="0088226A">
        <w:rPr>
          <w:lang w:val="en-US"/>
        </w:rPr>
        <w:t xml:space="preserve">where </w:t>
      </w:r>
      <w:r w:rsidRPr="0088226A">
        <w:rPr>
          <w:i/>
          <w:lang w:val="en-US"/>
        </w:rPr>
        <w:t>G</w:t>
      </w:r>
      <w:r w:rsidRPr="0088226A">
        <w:rPr>
          <w:i/>
          <w:position w:val="-4"/>
          <w:sz w:val="16"/>
          <w:lang w:val="en-US"/>
        </w:rPr>
        <w:t>s</w:t>
      </w:r>
      <w:r w:rsidRPr="0088226A">
        <w:rPr>
          <w:lang w:val="en-US"/>
        </w:rPr>
        <w:t xml:space="preserve"> represents system gain, which is set to equal 103 dB.</w:t>
      </w:r>
    </w:p>
    <w:p w:rsidR="004B059B" w:rsidRPr="0088226A" w:rsidRDefault="004B059B" w:rsidP="004B059B">
      <w:pPr>
        <w:rPr>
          <w:lang w:val="en-US"/>
        </w:rPr>
      </w:pPr>
      <w:r w:rsidRPr="0088226A">
        <w:rPr>
          <w:lang w:val="en-US"/>
        </w:rPr>
        <w:t xml:space="preserve">The denied area is also a function of the victim receiver </w:t>
      </w:r>
      <w:r w:rsidRPr="0088226A">
        <w:rPr>
          <w:i/>
          <w:lang w:val="en-US"/>
        </w:rPr>
        <w:t>I</w:t>
      </w:r>
      <w:r w:rsidRPr="0088226A">
        <w:rPr>
          <w:i/>
          <w:position w:val="-4"/>
          <w:sz w:val="16"/>
          <w:lang w:val="en-US"/>
        </w:rPr>
        <w:t>max</w:t>
      </w:r>
      <w:r w:rsidRPr="0088226A">
        <w:rPr>
          <w:lang w:val="en-US"/>
        </w:rPr>
        <w:t xml:space="preserve">. The receiver </w:t>
      </w:r>
      <w:r w:rsidRPr="0088226A">
        <w:rPr>
          <w:i/>
          <w:lang w:val="en-US"/>
        </w:rPr>
        <w:t>I</w:t>
      </w:r>
      <w:r w:rsidRPr="0088226A">
        <w:rPr>
          <w:i/>
          <w:position w:val="-4"/>
          <w:sz w:val="16"/>
          <w:lang w:val="en-US"/>
        </w:rPr>
        <w:t>max</w:t>
      </w:r>
      <w:r w:rsidRPr="0088226A">
        <w:rPr>
          <w:lang w:val="en-US"/>
        </w:rPr>
        <w:t xml:space="preserve"> associated with each modulation was determined assuming that the victim receiver has the same modulation type as the interfering transmitter. In this analysis, the </w:t>
      </w:r>
      <w:r w:rsidRPr="0088226A">
        <w:rPr>
          <w:i/>
          <w:lang w:val="en-US"/>
        </w:rPr>
        <w:t>I</w:t>
      </w:r>
      <w:r w:rsidRPr="0088226A">
        <w:rPr>
          <w:i/>
          <w:position w:val="-4"/>
          <w:sz w:val="16"/>
          <w:lang w:val="en-US"/>
        </w:rPr>
        <w:t>max</w:t>
      </w:r>
      <w:r w:rsidRPr="0088226A">
        <w:rPr>
          <w:lang w:val="en-US"/>
        </w:rPr>
        <w:t xml:space="preserve"> was determined using the criteria established in the Telecommunications Industry Association (TIA) Telecommunications System Bulletin No. 10</w:t>
      </w:r>
      <w:r w:rsidRPr="0088226A">
        <w:rPr>
          <w:lang w:val="en-US"/>
        </w:rPr>
        <w:noBreakHyphen/>
        <w:t xml:space="preserve">E. For the digital systems, the performance criteria was an increase in BER from 1 </w:t>
      </w:r>
      <w:r>
        <w:rPr>
          <w:rFonts w:ascii="Symbol" w:hAnsi="Symbol"/>
        </w:rPr>
        <w:t></w:t>
      </w:r>
      <w:r w:rsidRPr="0088226A">
        <w:rPr>
          <w:lang w:val="en-US"/>
        </w:rPr>
        <w:t xml:space="preserve"> 10</w:t>
      </w:r>
      <w:r w:rsidRPr="0088226A">
        <w:rPr>
          <w:position w:val="6"/>
          <w:sz w:val="16"/>
          <w:lang w:val="en-US"/>
        </w:rPr>
        <w:t>–6</w:t>
      </w:r>
      <w:r w:rsidRPr="0088226A">
        <w:rPr>
          <w:lang w:val="en-US"/>
        </w:rPr>
        <w:t xml:space="preserve"> to 1 </w:t>
      </w:r>
      <w:r>
        <w:rPr>
          <w:rFonts w:ascii="Symbol" w:hAnsi="Symbol"/>
        </w:rPr>
        <w:t></w:t>
      </w:r>
      <w:r w:rsidRPr="0088226A">
        <w:rPr>
          <w:lang w:val="en-US"/>
        </w:rPr>
        <w:t xml:space="preserve"> 10</w:t>
      </w:r>
      <w:r w:rsidRPr="0088226A">
        <w:rPr>
          <w:position w:val="6"/>
          <w:sz w:val="16"/>
          <w:lang w:val="en-US"/>
        </w:rPr>
        <w:t>–5</w:t>
      </w:r>
      <w:r w:rsidRPr="0088226A">
        <w:rPr>
          <w:lang w:val="en-US"/>
        </w:rPr>
        <w:t>, which corresponds to approximately a 1 dB increase in receiver noise level. This is equivalent to a receiver input interference-to-noise ratio (</w:t>
      </w:r>
      <w:r w:rsidRPr="0088226A">
        <w:rPr>
          <w:i/>
          <w:lang w:val="en-US"/>
        </w:rPr>
        <w:t>I</w:t>
      </w:r>
      <w:r w:rsidRPr="0088226A">
        <w:rPr>
          <w:lang w:val="en-US"/>
        </w:rPr>
        <w:t>/</w:t>
      </w:r>
      <w:r w:rsidRPr="0088226A">
        <w:rPr>
          <w:i/>
          <w:lang w:val="en-US"/>
        </w:rPr>
        <w:t>N</w:t>
      </w:r>
      <w:r w:rsidRPr="0088226A">
        <w:rPr>
          <w:lang w:val="en-US"/>
        </w:rPr>
        <w:t>)</w:t>
      </w:r>
      <w:r w:rsidRPr="0088226A">
        <w:rPr>
          <w:i/>
          <w:position w:val="-4"/>
          <w:sz w:val="16"/>
          <w:lang w:val="en-US"/>
        </w:rPr>
        <w:t>i</w:t>
      </w:r>
      <w:r w:rsidRPr="0088226A">
        <w:rPr>
          <w:lang w:val="en-US"/>
        </w:rPr>
        <w:t xml:space="preserve"> </w:t>
      </w:r>
      <w:r>
        <w:rPr>
          <w:rFonts w:ascii="Symbol" w:hAnsi="Symbol"/>
        </w:rPr>
        <w:t></w:t>
      </w:r>
      <w:r w:rsidRPr="0088226A">
        <w:rPr>
          <w:lang w:val="en-US"/>
        </w:rPr>
        <w:t xml:space="preserve"> –6 dB (i.e., </w:t>
      </w:r>
      <w:r w:rsidRPr="0088226A">
        <w:rPr>
          <w:i/>
          <w:lang w:val="en-US"/>
        </w:rPr>
        <w:t>I</w:t>
      </w:r>
      <w:r w:rsidRPr="0088226A">
        <w:rPr>
          <w:i/>
          <w:position w:val="-4"/>
          <w:sz w:val="16"/>
          <w:lang w:val="en-US"/>
        </w:rPr>
        <w:t>max</w:t>
      </w:r>
      <w:r w:rsidRPr="0088226A">
        <w:rPr>
          <w:lang w:val="en-US"/>
        </w:rPr>
        <w:t xml:space="preserve"> </w:t>
      </w:r>
      <w:r>
        <w:rPr>
          <w:rFonts w:ascii="Symbol" w:hAnsi="Symbol"/>
        </w:rPr>
        <w:t></w:t>
      </w:r>
      <w:r w:rsidRPr="0088226A">
        <w:rPr>
          <w:lang w:val="en-US"/>
        </w:rPr>
        <w:t xml:space="preserve"> –96.5 dBm –</w:t>
      </w:r>
      <w:r w:rsidRPr="0088226A">
        <w:rPr>
          <w:rFonts w:ascii="Tms Rmn" w:hAnsi="Tms Rmn"/>
          <w:sz w:val="10"/>
          <w:lang w:val="en-US"/>
        </w:rPr>
        <w:t> </w:t>
      </w:r>
      <w:r w:rsidRPr="0088226A">
        <w:rPr>
          <w:lang w:val="en-US"/>
        </w:rPr>
        <w:t xml:space="preserve">6dB </w:t>
      </w:r>
      <w:r>
        <w:rPr>
          <w:rFonts w:ascii="Symbol" w:hAnsi="Symbol"/>
        </w:rPr>
        <w:t></w:t>
      </w:r>
      <w:r w:rsidRPr="0088226A">
        <w:rPr>
          <w:lang w:val="en-US"/>
        </w:rPr>
        <w:t xml:space="preserve"> –102.5 dBm for 16-QAM, 64</w:t>
      </w:r>
      <w:r w:rsidRPr="0088226A">
        <w:rPr>
          <w:lang w:val="en-US"/>
        </w:rPr>
        <w:noBreakHyphen/>
        <w:t>QAM and 256-QAM).</w:t>
      </w:r>
    </w:p>
    <w:p w:rsidR="004B059B" w:rsidRPr="0088226A" w:rsidRDefault="004B059B" w:rsidP="004B059B">
      <w:pPr>
        <w:rPr>
          <w:lang w:val="en-US"/>
        </w:rPr>
      </w:pPr>
      <w:r w:rsidRPr="0088226A">
        <w:rPr>
          <w:lang w:val="en-US"/>
        </w:rPr>
        <w:t xml:space="preserve">Table 5 contains the calculated SUE values using the bandwidth and transmitter output power given in Table 4 and </w:t>
      </w:r>
      <w:r w:rsidRPr="0088226A">
        <w:rPr>
          <w:i/>
          <w:lang w:val="en-US"/>
        </w:rPr>
        <w:t>I</w:t>
      </w:r>
      <w:r w:rsidRPr="0088226A">
        <w:rPr>
          <w:i/>
          <w:position w:val="-4"/>
          <w:sz w:val="16"/>
          <w:lang w:val="en-US"/>
        </w:rPr>
        <w:t>max</w:t>
      </w:r>
      <w:r w:rsidRPr="0088226A">
        <w:rPr>
          <w:lang w:val="en-US"/>
        </w:rPr>
        <w:t> </w:t>
      </w:r>
      <w:r>
        <w:rPr>
          <w:rFonts w:ascii="Symbol" w:hAnsi="Symbol"/>
        </w:rPr>
        <w:t></w:t>
      </w:r>
      <w:r w:rsidRPr="0088226A">
        <w:rPr>
          <w:lang w:val="en-US"/>
        </w:rPr>
        <w:t xml:space="preserve"> –102.5 dBm. The entries for SUE in Table 5 are for the three different modulation types and the three antennas. Systems with higher SUE values are more efficient from the spectrum utilization point-of-view. It should be emphasized that the calculated results clearly point out that the SUE varies considerably from one antenna type to another. For example, the SUE </w:t>
      </w:r>
      <w:r w:rsidRPr="0088226A">
        <w:rPr>
          <w:lang w:val="en-US"/>
        </w:rPr>
        <w:lastRenderedPageBreak/>
        <w:t>for 64-QAM is 0.201 for the STD antenna as compared to 0.212 and 0.811 for the SHD and the CHR antennas respectively. Therefore, the results shown in Table 5 clearly indicate the SUE can be optimized only when the effects of the antenna and modulation are both considered.</w:t>
      </w:r>
    </w:p>
    <w:p w:rsidR="004B059B" w:rsidRDefault="004B059B" w:rsidP="004B059B">
      <w:pPr>
        <w:pStyle w:val="Table"/>
        <w:rPr>
          <w:lang w:val="es-ES_tradnl"/>
        </w:rPr>
      </w:pPr>
      <w:r>
        <w:rPr>
          <w:lang w:val="es-ES_tradnl"/>
        </w:rPr>
        <w:t>TABLE  5</w:t>
      </w:r>
    </w:p>
    <w:p w:rsidR="004B059B" w:rsidRDefault="004B059B" w:rsidP="004B059B">
      <w:pPr>
        <w:pStyle w:val="TableTitle0"/>
        <w:rPr>
          <w:lang w:val="es-ES_tradnl"/>
        </w:rPr>
      </w:pPr>
      <w:r>
        <w:t>Spectrum utilization efficiency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1701"/>
        <w:gridCol w:w="1701"/>
        <w:gridCol w:w="1701"/>
      </w:tblGrid>
      <w:tr w:rsidR="004B059B" w:rsidRPr="00E64C3F">
        <w:trPr>
          <w:jc w:val="center"/>
        </w:trPr>
        <w:tc>
          <w:tcPr>
            <w:tcW w:w="2268" w:type="dxa"/>
            <w:tcBorders>
              <w:bottom w:val="nil"/>
            </w:tcBorders>
          </w:tcPr>
          <w:p w:rsidR="004B059B" w:rsidRDefault="004B059B" w:rsidP="00D11D34">
            <w:pPr>
              <w:pStyle w:val="TableText0"/>
              <w:spacing w:before="580" w:after="0"/>
              <w:jc w:val="center"/>
            </w:pPr>
            <w:r>
              <w:t>Ranking order</w:t>
            </w:r>
          </w:p>
        </w:tc>
        <w:tc>
          <w:tcPr>
            <w:tcW w:w="5103" w:type="dxa"/>
            <w:gridSpan w:val="3"/>
          </w:tcPr>
          <w:p w:rsidR="004B059B" w:rsidRDefault="004B059B" w:rsidP="00D11D34">
            <w:pPr>
              <w:pStyle w:val="TableText0"/>
              <w:spacing w:before="200" w:after="200"/>
              <w:jc w:val="center"/>
              <w:rPr>
                <w:b/>
              </w:rPr>
            </w:pPr>
            <w:r>
              <w:t>SUE for different antenna types</w:t>
            </w:r>
          </w:p>
        </w:tc>
      </w:tr>
      <w:tr w:rsidR="004B059B">
        <w:trPr>
          <w:jc w:val="center"/>
        </w:trPr>
        <w:tc>
          <w:tcPr>
            <w:tcW w:w="2268" w:type="dxa"/>
            <w:tcBorders>
              <w:top w:val="nil"/>
              <w:bottom w:val="nil"/>
            </w:tcBorders>
          </w:tcPr>
          <w:p w:rsidR="004B059B" w:rsidRDefault="004B059B" w:rsidP="00D11D34">
            <w:pPr>
              <w:pStyle w:val="TableText0"/>
              <w:spacing w:before="0" w:after="200"/>
              <w:jc w:val="center"/>
            </w:pPr>
          </w:p>
        </w:tc>
        <w:tc>
          <w:tcPr>
            <w:tcW w:w="1701" w:type="dxa"/>
            <w:tcBorders>
              <w:bottom w:val="nil"/>
            </w:tcBorders>
          </w:tcPr>
          <w:p w:rsidR="004B059B" w:rsidRDefault="004B059B" w:rsidP="00D11D34">
            <w:pPr>
              <w:pStyle w:val="TableText0"/>
              <w:spacing w:before="200" w:after="200"/>
              <w:jc w:val="center"/>
            </w:pPr>
            <w:r>
              <w:t>STD</w:t>
            </w:r>
          </w:p>
        </w:tc>
        <w:tc>
          <w:tcPr>
            <w:tcW w:w="1701" w:type="dxa"/>
            <w:tcBorders>
              <w:bottom w:val="nil"/>
            </w:tcBorders>
          </w:tcPr>
          <w:p w:rsidR="004B059B" w:rsidRDefault="004B059B" w:rsidP="00D11D34">
            <w:pPr>
              <w:pStyle w:val="TableText0"/>
              <w:spacing w:before="200" w:after="200"/>
              <w:jc w:val="center"/>
            </w:pPr>
            <w:r>
              <w:t>SHD</w:t>
            </w:r>
          </w:p>
        </w:tc>
        <w:tc>
          <w:tcPr>
            <w:tcW w:w="1701" w:type="dxa"/>
            <w:tcBorders>
              <w:bottom w:val="nil"/>
            </w:tcBorders>
          </w:tcPr>
          <w:p w:rsidR="004B059B" w:rsidRDefault="004B059B" w:rsidP="00D11D34">
            <w:pPr>
              <w:pStyle w:val="TableText0"/>
              <w:spacing w:before="200" w:after="200"/>
              <w:jc w:val="center"/>
            </w:pPr>
            <w:r>
              <w:t>CHR</w:t>
            </w:r>
          </w:p>
        </w:tc>
      </w:tr>
      <w:tr w:rsidR="004B059B">
        <w:trPr>
          <w:jc w:val="center"/>
        </w:trPr>
        <w:tc>
          <w:tcPr>
            <w:tcW w:w="2268" w:type="dxa"/>
            <w:tcBorders>
              <w:bottom w:val="single" w:sz="6" w:space="0" w:color="auto"/>
            </w:tcBorders>
          </w:tcPr>
          <w:p w:rsidR="004B059B" w:rsidRDefault="004B059B" w:rsidP="00D11D34">
            <w:pPr>
              <w:pStyle w:val="TableText0"/>
              <w:spacing w:before="60" w:after="60"/>
              <w:jc w:val="center"/>
              <w:rPr>
                <w:lang w:val="es-ES_tradnl"/>
              </w:rPr>
            </w:pPr>
            <w:r>
              <w:rPr>
                <w:lang w:val="es-ES_tradnl"/>
              </w:rPr>
              <w:t>1</w:t>
            </w:r>
          </w:p>
        </w:tc>
        <w:tc>
          <w:tcPr>
            <w:tcW w:w="1701" w:type="dxa"/>
            <w:tcBorders>
              <w:bottom w:val="single" w:sz="6" w:space="0" w:color="auto"/>
            </w:tcBorders>
          </w:tcPr>
          <w:p w:rsidR="004B059B" w:rsidRDefault="004B059B" w:rsidP="00D11D34">
            <w:pPr>
              <w:pStyle w:val="TableText0"/>
              <w:spacing w:before="60" w:after="60"/>
              <w:jc w:val="center"/>
              <w:rPr>
                <w:lang w:val="es-ES_tradnl"/>
              </w:rPr>
            </w:pPr>
            <w:r>
              <w:t>16-QAM</w:t>
            </w:r>
            <w:r>
              <w:rPr>
                <w:lang w:val="es-ES_tradnl"/>
              </w:rPr>
              <w:br/>
              <w:t>(0.307)</w:t>
            </w:r>
          </w:p>
        </w:tc>
        <w:tc>
          <w:tcPr>
            <w:tcW w:w="1701" w:type="dxa"/>
            <w:tcBorders>
              <w:bottom w:val="single" w:sz="6" w:space="0" w:color="auto"/>
            </w:tcBorders>
          </w:tcPr>
          <w:p w:rsidR="004B059B" w:rsidRDefault="004B059B" w:rsidP="00D11D34">
            <w:pPr>
              <w:pStyle w:val="TableText0"/>
              <w:spacing w:before="60" w:after="60"/>
              <w:jc w:val="center"/>
              <w:rPr>
                <w:lang w:val="es-ES_tradnl"/>
              </w:rPr>
            </w:pPr>
            <w:r>
              <w:t>16-QAM</w:t>
            </w:r>
            <w:r>
              <w:rPr>
                <w:lang w:val="es-ES_tradnl"/>
              </w:rPr>
              <w:br/>
              <w:t>(0.282)</w:t>
            </w:r>
          </w:p>
        </w:tc>
        <w:tc>
          <w:tcPr>
            <w:tcW w:w="1701" w:type="dxa"/>
            <w:tcBorders>
              <w:bottom w:val="single" w:sz="6" w:space="0" w:color="auto"/>
            </w:tcBorders>
          </w:tcPr>
          <w:p w:rsidR="004B059B" w:rsidRDefault="004B059B" w:rsidP="00D11D34">
            <w:pPr>
              <w:pStyle w:val="TableText0"/>
              <w:spacing w:before="60" w:after="60"/>
              <w:jc w:val="center"/>
              <w:rPr>
                <w:lang w:val="es-ES_tradnl"/>
              </w:rPr>
            </w:pPr>
            <w:r>
              <w:t>256-QAM</w:t>
            </w:r>
            <w:r>
              <w:rPr>
                <w:lang w:val="es-ES_tradnl"/>
              </w:rPr>
              <w:br/>
              <w:t>(0.841)</w:t>
            </w:r>
          </w:p>
        </w:tc>
      </w:tr>
      <w:tr w:rsidR="004B059B">
        <w:trPr>
          <w:jc w:val="center"/>
        </w:trPr>
        <w:tc>
          <w:tcPr>
            <w:tcW w:w="2268" w:type="dxa"/>
            <w:tcBorders>
              <w:top w:val="single" w:sz="6" w:space="0" w:color="auto"/>
              <w:bottom w:val="single" w:sz="6" w:space="0" w:color="auto"/>
            </w:tcBorders>
          </w:tcPr>
          <w:p w:rsidR="004B059B" w:rsidRDefault="004B059B" w:rsidP="00D11D34">
            <w:pPr>
              <w:pStyle w:val="TableText0"/>
              <w:spacing w:before="60" w:after="60"/>
              <w:jc w:val="center"/>
              <w:rPr>
                <w:lang w:val="es-ES_tradnl"/>
              </w:rPr>
            </w:pPr>
            <w:r>
              <w:rPr>
                <w:lang w:val="es-ES_tradnl"/>
              </w:rPr>
              <w:t>2</w:t>
            </w:r>
          </w:p>
        </w:tc>
        <w:tc>
          <w:tcPr>
            <w:tcW w:w="1701" w:type="dxa"/>
            <w:tcBorders>
              <w:top w:val="single" w:sz="6" w:space="0" w:color="auto"/>
              <w:bottom w:val="single" w:sz="6" w:space="0" w:color="auto"/>
            </w:tcBorders>
          </w:tcPr>
          <w:p w:rsidR="004B059B" w:rsidRDefault="004B059B" w:rsidP="00D11D34">
            <w:pPr>
              <w:pStyle w:val="TableText0"/>
              <w:spacing w:before="60" w:after="60"/>
              <w:jc w:val="center"/>
              <w:rPr>
                <w:lang w:val="es-ES_tradnl"/>
              </w:rPr>
            </w:pPr>
            <w:r>
              <w:t>64-QAM</w:t>
            </w:r>
            <w:r>
              <w:rPr>
                <w:lang w:val="es-ES_tradnl"/>
              </w:rPr>
              <w:br/>
              <w:t>(0.201)</w:t>
            </w:r>
          </w:p>
        </w:tc>
        <w:tc>
          <w:tcPr>
            <w:tcW w:w="1701" w:type="dxa"/>
            <w:tcBorders>
              <w:top w:val="single" w:sz="6" w:space="0" w:color="auto"/>
              <w:bottom w:val="single" w:sz="6" w:space="0" w:color="auto"/>
            </w:tcBorders>
          </w:tcPr>
          <w:p w:rsidR="004B059B" w:rsidRDefault="004B059B" w:rsidP="00D11D34">
            <w:pPr>
              <w:pStyle w:val="TableText0"/>
              <w:spacing w:before="60" w:after="60"/>
              <w:jc w:val="center"/>
              <w:rPr>
                <w:lang w:val="es-ES_tradnl"/>
              </w:rPr>
            </w:pPr>
            <w:r>
              <w:t>64-QAM</w:t>
            </w:r>
            <w:r>
              <w:rPr>
                <w:lang w:val="es-ES_tradnl"/>
              </w:rPr>
              <w:br/>
              <w:t>(0.212)</w:t>
            </w:r>
          </w:p>
        </w:tc>
        <w:tc>
          <w:tcPr>
            <w:tcW w:w="1701" w:type="dxa"/>
            <w:tcBorders>
              <w:top w:val="single" w:sz="6" w:space="0" w:color="auto"/>
              <w:bottom w:val="single" w:sz="6" w:space="0" w:color="auto"/>
            </w:tcBorders>
          </w:tcPr>
          <w:p w:rsidR="004B059B" w:rsidRDefault="004B059B" w:rsidP="00D11D34">
            <w:pPr>
              <w:pStyle w:val="TableText0"/>
              <w:spacing w:before="60" w:after="60"/>
              <w:jc w:val="center"/>
              <w:rPr>
                <w:lang w:val="es-ES_tradnl"/>
              </w:rPr>
            </w:pPr>
            <w:r>
              <w:t>64-QAM</w:t>
            </w:r>
            <w:r>
              <w:rPr>
                <w:lang w:val="es-ES_tradnl"/>
              </w:rPr>
              <w:br/>
              <w:t>(0.811)</w:t>
            </w:r>
          </w:p>
        </w:tc>
      </w:tr>
      <w:tr w:rsidR="004B059B">
        <w:trPr>
          <w:jc w:val="center"/>
        </w:trPr>
        <w:tc>
          <w:tcPr>
            <w:tcW w:w="2268" w:type="dxa"/>
            <w:tcBorders>
              <w:top w:val="single" w:sz="6" w:space="0" w:color="auto"/>
            </w:tcBorders>
          </w:tcPr>
          <w:p w:rsidR="004B059B" w:rsidRDefault="004B059B" w:rsidP="00D11D34">
            <w:pPr>
              <w:pStyle w:val="TableText0"/>
              <w:spacing w:before="60" w:after="60"/>
              <w:jc w:val="center"/>
              <w:rPr>
                <w:lang w:val="es-ES_tradnl"/>
              </w:rPr>
            </w:pPr>
            <w:r>
              <w:rPr>
                <w:lang w:val="es-ES_tradnl"/>
              </w:rPr>
              <w:t>3</w:t>
            </w:r>
          </w:p>
        </w:tc>
        <w:tc>
          <w:tcPr>
            <w:tcW w:w="1701" w:type="dxa"/>
            <w:tcBorders>
              <w:top w:val="single" w:sz="6" w:space="0" w:color="auto"/>
            </w:tcBorders>
          </w:tcPr>
          <w:p w:rsidR="004B059B" w:rsidRDefault="004B059B" w:rsidP="00D11D34">
            <w:pPr>
              <w:pStyle w:val="TableText0"/>
              <w:spacing w:before="60" w:after="60"/>
              <w:jc w:val="center"/>
              <w:rPr>
                <w:lang w:val="es-ES_tradnl"/>
              </w:rPr>
            </w:pPr>
            <w:r>
              <w:t>256-QAM</w:t>
            </w:r>
            <w:r>
              <w:rPr>
                <w:lang w:val="es-ES_tradnl"/>
              </w:rPr>
              <w:br/>
              <w:t>(0.112)</w:t>
            </w:r>
          </w:p>
        </w:tc>
        <w:tc>
          <w:tcPr>
            <w:tcW w:w="1701" w:type="dxa"/>
            <w:tcBorders>
              <w:top w:val="single" w:sz="6" w:space="0" w:color="auto"/>
            </w:tcBorders>
          </w:tcPr>
          <w:p w:rsidR="004B059B" w:rsidRDefault="004B059B" w:rsidP="00D11D34">
            <w:pPr>
              <w:pStyle w:val="TableText0"/>
              <w:spacing w:before="60" w:after="60"/>
              <w:jc w:val="center"/>
              <w:rPr>
                <w:lang w:val="es-ES_tradnl"/>
              </w:rPr>
            </w:pPr>
            <w:r>
              <w:t>256-QAM</w:t>
            </w:r>
            <w:r>
              <w:rPr>
                <w:lang w:val="es-ES_tradnl"/>
              </w:rPr>
              <w:br/>
              <w:t>(0.144)</w:t>
            </w:r>
          </w:p>
        </w:tc>
        <w:tc>
          <w:tcPr>
            <w:tcW w:w="1701" w:type="dxa"/>
            <w:tcBorders>
              <w:top w:val="single" w:sz="6" w:space="0" w:color="auto"/>
            </w:tcBorders>
          </w:tcPr>
          <w:p w:rsidR="004B059B" w:rsidRDefault="004B059B" w:rsidP="00D11D34">
            <w:pPr>
              <w:pStyle w:val="TableText0"/>
              <w:spacing w:before="60" w:after="60"/>
              <w:jc w:val="center"/>
              <w:rPr>
                <w:lang w:val="es-ES_tradnl"/>
              </w:rPr>
            </w:pPr>
            <w:r>
              <w:t>16-QAM</w:t>
            </w:r>
            <w:r>
              <w:rPr>
                <w:lang w:val="es-ES_tradnl"/>
              </w:rPr>
              <w:br/>
              <w:t>(0.709)</w:t>
            </w:r>
          </w:p>
        </w:tc>
      </w:tr>
    </w:tbl>
    <w:p w:rsidR="004B059B" w:rsidRDefault="004B059B" w:rsidP="004B059B">
      <w:pPr>
        <w:pStyle w:val="Tablefin"/>
        <w:rPr>
          <w:lang w:val="es-ES_tradnl"/>
        </w:rPr>
      </w:pPr>
    </w:p>
    <w:p w:rsidR="004B059B" w:rsidRPr="0088226A" w:rsidRDefault="004B059B" w:rsidP="004B059B">
      <w:pPr>
        <w:rPr>
          <w:lang w:val="en-US"/>
        </w:rPr>
      </w:pPr>
      <w:r w:rsidRPr="0088226A">
        <w:rPr>
          <w:lang w:val="en-US"/>
        </w:rPr>
        <w:t xml:space="preserve">Also, the analysis results show the SUE for 64-QAM to be higher than for 256-QAM for the STD and SHD antennas, but not for the CHR. Table 6 helps provide an explanation of why 64-QAM is more spectrum efficient than 256-QAM for an ultra high performance SHD antenna. The input parameters to the model are provided in the table. The number of VCs is 2016 for 64-QAM and 2688 for 256-QAM. The required system bandwidth, </w:t>
      </w:r>
      <w:r w:rsidRPr="0088226A">
        <w:rPr>
          <w:i/>
          <w:lang w:val="en-US"/>
        </w:rPr>
        <w:t>B</w:t>
      </w:r>
      <w:r w:rsidRPr="0088226A">
        <w:rPr>
          <w:lang w:val="en-US"/>
        </w:rPr>
        <w:t>, is the same for both 64- and 256-QAM (</w:t>
      </w:r>
      <w:r w:rsidRPr="0088226A">
        <w:rPr>
          <w:i/>
          <w:lang w:val="en-US"/>
        </w:rPr>
        <w:t>B</w:t>
      </w:r>
      <w:r w:rsidRPr="0088226A">
        <w:rPr>
          <w:lang w:val="en-US"/>
        </w:rPr>
        <w:t xml:space="preserve"> </w:t>
      </w:r>
      <w:r>
        <w:rPr>
          <w:rFonts w:ascii="Symbol" w:hAnsi="Symbol"/>
          <w:lang w:val="es-ES_tradnl"/>
        </w:rPr>
        <w:t></w:t>
      </w:r>
      <w:r w:rsidRPr="0088226A">
        <w:rPr>
          <w:lang w:val="en-US"/>
        </w:rPr>
        <w:t xml:space="preserve"> 22.5 MHz). However, the required </w:t>
      </w:r>
      <w:r w:rsidRPr="0088226A">
        <w:rPr>
          <w:i/>
          <w:lang w:val="en-US"/>
        </w:rPr>
        <w:t>P</w:t>
      </w:r>
      <w:r w:rsidRPr="0088226A">
        <w:rPr>
          <w:i/>
          <w:position w:val="-6"/>
          <w:lang w:val="en-US"/>
        </w:rPr>
        <w:t>t</w:t>
      </w:r>
      <w:r w:rsidRPr="0088226A">
        <w:rPr>
          <w:lang w:val="en-US"/>
        </w:rPr>
        <w:t xml:space="preserve"> for 256-QAM is significantly higher than 64</w:t>
      </w:r>
      <w:r w:rsidRPr="0088226A">
        <w:rPr>
          <w:lang w:val="en-US"/>
        </w:rPr>
        <w:noBreakHyphen/>
        <w:t>QAM (39.6 dBm as compared to 33.5 dBm). Since the transmitter power has a major effect on denied area to another user (see Fig. 14), the denied area for 256-QAM is significantly more than for the 64-QAM modulation thus causing the 64-QAM modulation to be more spectrum efficient than 256-QAM.</w:t>
      </w:r>
    </w:p>
    <w:p w:rsidR="004B059B" w:rsidRPr="0088226A" w:rsidRDefault="004B059B" w:rsidP="004B059B">
      <w:pPr>
        <w:pStyle w:val="Table"/>
        <w:rPr>
          <w:lang w:val="en-US"/>
        </w:rPr>
      </w:pPr>
      <w:r w:rsidRPr="0088226A">
        <w:rPr>
          <w:lang w:val="en-US"/>
        </w:rPr>
        <w:t>TABLE  6</w:t>
      </w:r>
    </w:p>
    <w:p w:rsidR="004B059B" w:rsidRDefault="004B059B" w:rsidP="004B059B">
      <w:pPr>
        <w:pStyle w:val="TableTitle0"/>
      </w:pPr>
      <w:r>
        <w:t>SUE comparison of 64- and 256-QAM for SHD antennas</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651"/>
        <w:gridCol w:w="1701"/>
        <w:gridCol w:w="1701"/>
      </w:tblGrid>
      <w:tr w:rsidR="004B059B">
        <w:trPr>
          <w:jc w:val="center"/>
        </w:trPr>
        <w:tc>
          <w:tcPr>
            <w:tcW w:w="3651" w:type="dxa"/>
            <w:tcBorders>
              <w:top w:val="single" w:sz="6" w:space="0" w:color="auto"/>
              <w:bottom w:val="single" w:sz="6" w:space="0" w:color="auto"/>
              <w:right w:val="single" w:sz="6" w:space="0" w:color="auto"/>
            </w:tcBorders>
          </w:tcPr>
          <w:p w:rsidR="004B059B" w:rsidRDefault="004B059B" w:rsidP="00D11D34">
            <w:pPr>
              <w:pStyle w:val="TableText0"/>
              <w:jc w:val="center"/>
            </w:pPr>
            <w:r>
              <w:t>Parameter</w:t>
            </w: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jc w:val="center"/>
            </w:pPr>
            <w:r>
              <w:t>64-QAM</w:t>
            </w:r>
          </w:p>
        </w:tc>
        <w:tc>
          <w:tcPr>
            <w:tcW w:w="1701" w:type="dxa"/>
            <w:tcBorders>
              <w:top w:val="single" w:sz="6" w:space="0" w:color="auto"/>
              <w:left w:val="nil"/>
              <w:bottom w:val="single" w:sz="6" w:space="0" w:color="auto"/>
            </w:tcBorders>
          </w:tcPr>
          <w:p w:rsidR="004B059B" w:rsidRDefault="004B059B" w:rsidP="00D11D34">
            <w:pPr>
              <w:pStyle w:val="TableText0"/>
              <w:tabs>
                <w:tab w:val="clear" w:pos="794"/>
                <w:tab w:val="clear" w:pos="1191"/>
                <w:tab w:val="clear" w:pos="1588"/>
                <w:tab w:val="clear" w:pos="1985"/>
                <w:tab w:val="left" w:pos="573"/>
              </w:tabs>
              <w:jc w:val="center"/>
            </w:pPr>
            <w:r>
              <w:t>256-QAM</w:t>
            </w:r>
          </w:p>
        </w:tc>
      </w:tr>
      <w:tr w:rsidR="004B059B">
        <w:trPr>
          <w:jc w:val="center"/>
        </w:trPr>
        <w:tc>
          <w:tcPr>
            <w:tcW w:w="3651" w:type="dxa"/>
            <w:tcBorders>
              <w:top w:val="nil"/>
              <w:right w:val="single" w:sz="6" w:space="0" w:color="auto"/>
            </w:tcBorders>
          </w:tcPr>
          <w:p w:rsidR="004B059B" w:rsidRDefault="004B059B" w:rsidP="00D11D34">
            <w:pPr>
              <w:pStyle w:val="TableText0"/>
              <w:spacing w:before="60" w:after="60"/>
              <w:rPr>
                <w:lang w:val="es-ES_tradnl"/>
              </w:rPr>
            </w:pPr>
            <w:r>
              <w:t>VC</w:t>
            </w:r>
          </w:p>
        </w:tc>
        <w:tc>
          <w:tcPr>
            <w:tcW w:w="1701" w:type="dxa"/>
            <w:tcBorders>
              <w:top w:val="nil"/>
              <w:left w:val="nil"/>
              <w:right w:val="single" w:sz="6" w:space="0" w:color="auto"/>
            </w:tcBorders>
          </w:tcPr>
          <w:p w:rsidR="004B059B" w:rsidRDefault="004B059B" w:rsidP="00D11D34">
            <w:pPr>
              <w:pStyle w:val="TableText0"/>
              <w:tabs>
                <w:tab w:val="clear" w:pos="794"/>
                <w:tab w:val="left" w:pos="574"/>
              </w:tabs>
              <w:spacing w:before="60" w:after="60"/>
              <w:rPr>
                <w:lang w:val="es-ES_tradnl"/>
              </w:rPr>
            </w:pPr>
            <w:r>
              <w:rPr>
                <w:lang w:val="es-ES_tradnl"/>
              </w:rPr>
              <w:tab/>
              <w:t>2016</w:t>
            </w:r>
          </w:p>
        </w:tc>
        <w:tc>
          <w:tcPr>
            <w:tcW w:w="1701" w:type="dxa"/>
            <w:tcBorders>
              <w:top w:val="nil"/>
              <w:left w:val="nil"/>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t>2688</w:t>
            </w:r>
          </w:p>
        </w:tc>
      </w:tr>
      <w:tr w:rsidR="004B059B">
        <w:trPr>
          <w:jc w:val="center"/>
        </w:trPr>
        <w:tc>
          <w:tcPr>
            <w:tcW w:w="3651" w:type="dxa"/>
            <w:tcBorders>
              <w:right w:val="single" w:sz="6" w:space="0" w:color="auto"/>
            </w:tcBorders>
          </w:tcPr>
          <w:p w:rsidR="004B059B" w:rsidRDefault="004B059B" w:rsidP="00D11D34">
            <w:pPr>
              <w:pStyle w:val="TableText0"/>
              <w:spacing w:before="60" w:after="60"/>
              <w:rPr>
                <w:lang w:val="es-ES_tradnl"/>
              </w:rPr>
            </w:pPr>
            <w:r>
              <w:rPr>
                <w:i/>
                <w:lang w:val="es-ES_tradnl"/>
              </w:rPr>
              <w:t>B</w:t>
            </w:r>
            <w:r>
              <w:rPr>
                <w:lang w:val="es-ES_tradnl"/>
              </w:rPr>
              <w:t xml:space="preserve"> (MHz) (see Table 4)</w:t>
            </w:r>
          </w:p>
        </w:tc>
        <w:tc>
          <w:tcPr>
            <w:tcW w:w="1701" w:type="dxa"/>
            <w:tcBorders>
              <w:left w:val="nil"/>
              <w:right w:val="single" w:sz="6" w:space="0" w:color="auto"/>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22.5</w:t>
            </w:r>
          </w:p>
        </w:tc>
        <w:tc>
          <w:tcPr>
            <w:tcW w:w="1701" w:type="dxa"/>
            <w:tcBorders>
              <w:left w:val="nil"/>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22.5</w:t>
            </w:r>
          </w:p>
        </w:tc>
      </w:tr>
      <w:tr w:rsidR="004B059B">
        <w:trPr>
          <w:jc w:val="center"/>
        </w:trPr>
        <w:tc>
          <w:tcPr>
            <w:tcW w:w="3651" w:type="dxa"/>
            <w:tcBorders>
              <w:right w:val="single" w:sz="6" w:space="0" w:color="auto"/>
            </w:tcBorders>
          </w:tcPr>
          <w:p w:rsidR="004B059B" w:rsidRDefault="004B059B" w:rsidP="00D11D34">
            <w:pPr>
              <w:pStyle w:val="TableText0"/>
              <w:spacing w:before="60" w:after="60"/>
              <w:rPr>
                <w:lang w:val="es-ES_tradnl"/>
              </w:rPr>
            </w:pPr>
            <w:r>
              <w:rPr>
                <w:i/>
                <w:lang w:val="es-ES_tradnl"/>
              </w:rPr>
              <w:t>P</w:t>
            </w:r>
            <w:r>
              <w:rPr>
                <w:i/>
                <w:position w:val="-4"/>
                <w:sz w:val="14"/>
              </w:rPr>
              <w:t>t</w:t>
            </w:r>
            <w:r>
              <w:rPr>
                <w:lang w:val="es-ES_tradnl"/>
              </w:rPr>
              <w:t xml:space="preserve"> (dBm) (see Table 4)</w:t>
            </w:r>
          </w:p>
        </w:tc>
        <w:tc>
          <w:tcPr>
            <w:tcW w:w="1701" w:type="dxa"/>
            <w:tcBorders>
              <w:left w:val="nil"/>
              <w:right w:val="single" w:sz="6" w:space="0" w:color="auto"/>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33.5</w:t>
            </w:r>
          </w:p>
        </w:tc>
        <w:tc>
          <w:tcPr>
            <w:tcW w:w="1701" w:type="dxa"/>
            <w:tcBorders>
              <w:left w:val="nil"/>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39.5</w:t>
            </w:r>
          </w:p>
        </w:tc>
      </w:tr>
      <w:tr w:rsidR="004B059B">
        <w:trPr>
          <w:jc w:val="center"/>
        </w:trPr>
        <w:tc>
          <w:tcPr>
            <w:tcW w:w="3651" w:type="dxa"/>
            <w:tcBorders>
              <w:right w:val="single" w:sz="6" w:space="0" w:color="auto"/>
            </w:tcBorders>
          </w:tcPr>
          <w:p w:rsidR="004B059B" w:rsidRDefault="004B059B" w:rsidP="00D11D34">
            <w:pPr>
              <w:pStyle w:val="TableText0"/>
              <w:spacing w:before="60" w:after="60"/>
              <w:rPr>
                <w:lang w:val="es-ES_tradnl"/>
              </w:rPr>
            </w:pPr>
            <w:r>
              <w:rPr>
                <w:i/>
                <w:lang w:val="es-ES_tradnl"/>
              </w:rPr>
              <w:t>I</w:t>
            </w:r>
            <w:r>
              <w:rPr>
                <w:i/>
                <w:position w:val="-4"/>
                <w:sz w:val="14"/>
              </w:rPr>
              <w:t>max</w:t>
            </w:r>
            <w:r>
              <w:rPr>
                <w:lang w:val="es-ES_tradnl"/>
              </w:rPr>
              <w:t xml:space="preserve"> (dBm)</w:t>
            </w:r>
          </w:p>
        </w:tc>
        <w:tc>
          <w:tcPr>
            <w:tcW w:w="1701" w:type="dxa"/>
            <w:tcBorders>
              <w:left w:val="nil"/>
              <w:right w:val="single" w:sz="6" w:space="0" w:color="auto"/>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t>–102.5</w:t>
            </w:r>
          </w:p>
        </w:tc>
        <w:tc>
          <w:tcPr>
            <w:tcW w:w="1701" w:type="dxa"/>
            <w:tcBorders>
              <w:left w:val="nil"/>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t>–102.5</w:t>
            </w:r>
          </w:p>
        </w:tc>
      </w:tr>
      <w:tr w:rsidR="004B059B">
        <w:trPr>
          <w:jc w:val="center"/>
        </w:trPr>
        <w:tc>
          <w:tcPr>
            <w:tcW w:w="3651" w:type="dxa"/>
            <w:tcBorders>
              <w:right w:val="single" w:sz="6" w:space="0" w:color="auto"/>
            </w:tcBorders>
          </w:tcPr>
          <w:p w:rsidR="004B059B" w:rsidRDefault="004B059B" w:rsidP="00D11D34">
            <w:pPr>
              <w:pStyle w:val="TableText0"/>
              <w:spacing w:before="60" w:after="60"/>
              <w:rPr>
                <w:lang w:val="es-ES_tradnl"/>
              </w:rPr>
            </w:pPr>
            <w:r>
              <w:rPr>
                <w:i/>
                <w:lang w:val="es-ES_tradnl"/>
              </w:rPr>
              <w:t>A</w:t>
            </w:r>
            <w:r>
              <w:rPr>
                <w:lang w:val="es-ES_tradnl"/>
              </w:rPr>
              <w:t xml:space="preserve"> (km</w:t>
            </w:r>
            <w:r>
              <w:rPr>
                <w:position w:val="6"/>
                <w:sz w:val="14"/>
              </w:rPr>
              <w:t>2</w:t>
            </w:r>
            <w:r>
              <w:rPr>
                <w:lang w:val="es-ES_tradnl"/>
              </w:rPr>
              <w:t>) (see Fig. 11)</w:t>
            </w:r>
          </w:p>
        </w:tc>
        <w:tc>
          <w:tcPr>
            <w:tcW w:w="1701" w:type="dxa"/>
            <w:tcBorders>
              <w:left w:val="nil"/>
              <w:right w:val="single" w:sz="6" w:space="0" w:color="auto"/>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421</w:t>
            </w:r>
          </w:p>
        </w:tc>
        <w:tc>
          <w:tcPr>
            <w:tcW w:w="1701" w:type="dxa"/>
            <w:tcBorders>
              <w:left w:val="nil"/>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830</w:t>
            </w:r>
          </w:p>
        </w:tc>
      </w:tr>
      <w:tr w:rsidR="004B059B">
        <w:trPr>
          <w:jc w:val="center"/>
        </w:trPr>
        <w:tc>
          <w:tcPr>
            <w:tcW w:w="3651" w:type="dxa"/>
            <w:tcBorders>
              <w:bottom w:val="single" w:sz="6" w:space="0" w:color="auto"/>
              <w:right w:val="single" w:sz="6" w:space="0" w:color="auto"/>
            </w:tcBorders>
          </w:tcPr>
          <w:p w:rsidR="004B059B" w:rsidRDefault="004B059B" w:rsidP="00D11D34">
            <w:pPr>
              <w:pStyle w:val="TableText0"/>
              <w:spacing w:before="60" w:after="60"/>
              <w:rPr>
                <w:lang w:val="es-ES_tradnl"/>
              </w:rPr>
            </w:pPr>
            <w:r>
              <w:rPr>
                <w:lang w:val="es-ES_tradnl"/>
              </w:rPr>
              <w:t>SUE (see Table 5)</w:t>
            </w:r>
          </w:p>
        </w:tc>
        <w:tc>
          <w:tcPr>
            <w:tcW w:w="1701" w:type="dxa"/>
            <w:tcBorders>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 </w:t>
            </w:r>
            <w:r>
              <w:rPr>
                <w:lang w:val="es-ES_tradnl"/>
              </w:rPr>
              <w:t>0.212</w:t>
            </w:r>
          </w:p>
        </w:tc>
        <w:tc>
          <w:tcPr>
            <w:tcW w:w="1701" w:type="dxa"/>
            <w:tcBorders>
              <w:left w:val="nil"/>
            </w:tcBorders>
          </w:tcPr>
          <w:p w:rsidR="004B059B" w:rsidRDefault="004B059B" w:rsidP="00D11D34">
            <w:pPr>
              <w:pStyle w:val="TableText0"/>
              <w:tabs>
                <w:tab w:val="clear" w:pos="794"/>
                <w:tab w:val="clear" w:pos="1191"/>
                <w:tab w:val="clear" w:pos="1588"/>
                <w:tab w:val="clear" w:pos="1985"/>
                <w:tab w:val="left" w:pos="573"/>
              </w:tabs>
              <w:spacing w:before="60" w:after="60"/>
              <w:rPr>
                <w:lang w:val="es-ES_tradnl"/>
              </w:rPr>
            </w:pPr>
            <w:r>
              <w:rPr>
                <w:lang w:val="es-ES_tradnl"/>
              </w:rPr>
              <w:tab/>
            </w:r>
            <w:r>
              <w:rPr>
                <w:lang w:val="es-ES_tradnl"/>
              </w:rPr>
              <w:t> </w:t>
            </w:r>
            <w:r>
              <w:rPr>
                <w:lang w:val="es-ES_tradnl"/>
              </w:rPr>
              <w:t> </w:t>
            </w:r>
            <w:r>
              <w:rPr>
                <w:lang w:val="es-ES_tradnl"/>
              </w:rPr>
              <w:t>0.144</w:t>
            </w:r>
          </w:p>
        </w:tc>
      </w:tr>
    </w:tbl>
    <w:p w:rsidR="004B059B" w:rsidRDefault="004B059B" w:rsidP="004B059B">
      <w:pPr>
        <w:pStyle w:val="Tablefin"/>
        <w:rPr>
          <w:lang w:val="es-ES_tradnl"/>
        </w:rPr>
      </w:pPr>
    </w:p>
    <w:p w:rsidR="004B059B" w:rsidRPr="00E64C3F" w:rsidRDefault="004B059B" w:rsidP="00D11D34">
      <w:pPr>
        <w:rPr>
          <w:lang w:val="en-US"/>
        </w:rPr>
      </w:pPr>
      <w:r w:rsidRPr="00E64C3F">
        <w:rPr>
          <w:lang w:val="en-US"/>
        </w:rPr>
        <w:t>However, the spectrum conserving potential of a system is a function of several design factors all of which must be taken into consideration when evaluating the spectrum efficiency of a system. That is, one cannot say that a system with a particular modulation is more spectrum conserving than a system with another modulation without considering all other design factors (e.g., antennas, signal processing, RF filters, etc.).</w:t>
      </w:r>
    </w:p>
    <w:p w:rsidR="004B059B" w:rsidRPr="0088226A" w:rsidRDefault="004B059B" w:rsidP="008741ED">
      <w:pPr>
        <w:rPr>
          <w:lang w:val="en-US"/>
        </w:rPr>
      </w:pPr>
      <w:r w:rsidRPr="0088226A">
        <w:rPr>
          <w:lang w:val="en-US"/>
        </w:rPr>
        <w:t xml:space="preserve">Table 5 can also be used to determine the relative improvement in spectrum conservation of using a SHD antenna or CHR antenna over a STD antenna. As stated earlier, the improvement in spectrum conservation for the SHD and CHR antennas is dependent on the modulation type. This is due to the </w:t>
      </w:r>
      <w:r w:rsidRPr="0088226A">
        <w:rPr>
          <w:lang w:val="en-US"/>
        </w:rPr>
        <w:lastRenderedPageBreak/>
        <w:t xml:space="preserve">fact that the denial area produced by a particular antenna type is a function of </w:t>
      </w:r>
      <w:r w:rsidRPr="0088226A">
        <w:rPr>
          <w:i/>
          <w:lang w:val="en-US"/>
        </w:rPr>
        <w:t>P</w:t>
      </w:r>
      <w:r w:rsidRPr="0088226A">
        <w:rPr>
          <w:i/>
          <w:position w:val="-6"/>
          <w:lang w:val="en-US"/>
        </w:rPr>
        <w:t>t</w:t>
      </w:r>
      <w:r w:rsidRPr="0088226A">
        <w:rPr>
          <w:lang w:val="en-US"/>
        </w:rPr>
        <w:t xml:space="preserve"> which is modulation dependent (see Fig. 14). Table 7 shows the percentage improvement in the SUE for the various modulations addressed using the SUE data in Table 5. For the digital modulations, the greatest improvement occurs for 256-QAM modulation with a 28% and 533% increase for the SHD and CHR antennas respectively.</w:t>
      </w:r>
    </w:p>
    <w:p w:rsidR="004B059B" w:rsidRPr="0088226A" w:rsidRDefault="004B059B" w:rsidP="004B059B">
      <w:pPr>
        <w:pStyle w:val="Table"/>
        <w:rPr>
          <w:lang w:val="en-US"/>
        </w:rPr>
      </w:pPr>
      <w:r w:rsidRPr="0088226A">
        <w:rPr>
          <w:lang w:val="en-US"/>
        </w:rPr>
        <w:t>TABLE  7</w:t>
      </w:r>
    </w:p>
    <w:p w:rsidR="004B059B" w:rsidRPr="0088226A" w:rsidRDefault="004B059B" w:rsidP="004B059B">
      <w:pPr>
        <w:pStyle w:val="TableTitle0"/>
        <w:rPr>
          <w:lang w:val="en-US"/>
        </w:rPr>
      </w:pPr>
      <w:r>
        <w:t>SUE improvement for SHD and CHR antennas as a function of modulation</w:t>
      </w:r>
    </w:p>
    <w:p w:rsidR="004B059B" w:rsidRDefault="004B059B" w:rsidP="004B059B">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4B059B">
        <w:trPr>
          <w:jc w:val="center"/>
        </w:trPr>
        <w:tc>
          <w:tcPr>
            <w:tcW w:w="2268" w:type="dxa"/>
            <w:tcBorders>
              <w:top w:val="single" w:sz="6" w:space="0" w:color="auto"/>
              <w:bottom w:val="nil"/>
              <w:right w:val="single" w:sz="6" w:space="0" w:color="auto"/>
            </w:tcBorders>
          </w:tcPr>
          <w:p w:rsidR="004B059B" w:rsidRDefault="004B059B" w:rsidP="00D11D34">
            <w:pPr>
              <w:pStyle w:val="TableText0"/>
              <w:jc w:val="center"/>
            </w:pPr>
          </w:p>
        </w:tc>
        <w:tc>
          <w:tcPr>
            <w:tcW w:w="4536" w:type="dxa"/>
            <w:gridSpan w:val="2"/>
            <w:tcBorders>
              <w:top w:val="single" w:sz="6" w:space="0" w:color="auto"/>
              <w:left w:val="nil"/>
              <w:bottom w:val="single" w:sz="6" w:space="0" w:color="auto"/>
            </w:tcBorders>
          </w:tcPr>
          <w:p w:rsidR="004B059B" w:rsidRDefault="004B059B" w:rsidP="00D11D34">
            <w:pPr>
              <w:pStyle w:val="TableText0"/>
              <w:jc w:val="center"/>
            </w:pPr>
            <w:r>
              <w:t>Improvement in SUE</w:t>
            </w:r>
          </w:p>
        </w:tc>
      </w:tr>
      <w:tr w:rsidR="004B059B">
        <w:trPr>
          <w:jc w:val="center"/>
        </w:trPr>
        <w:tc>
          <w:tcPr>
            <w:tcW w:w="2268" w:type="dxa"/>
            <w:tcBorders>
              <w:top w:val="nil"/>
              <w:bottom w:val="single" w:sz="6" w:space="0" w:color="auto"/>
              <w:right w:val="nil"/>
            </w:tcBorders>
          </w:tcPr>
          <w:p w:rsidR="004B059B" w:rsidRDefault="004B059B" w:rsidP="00D11D34">
            <w:pPr>
              <w:pStyle w:val="TableText0"/>
              <w:spacing w:before="0"/>
              <w:jc w:val="center"/>
            </w:pPr>
            <w:r>
              <w:t>Modulation type</w:t>
            </w:r>
          </w:p>
        </w:tc>
        <w:tc>
          <w:tcPr>
            <w:tcW w:w="2268" w:type="dxa"/>
            <w:tcBorders>
              <w:top w:val="nil"/>
              <w:left w:val="single" w:sz="6" w:space="0" w:color="auto"/>
              <w:bottom w:val="nil"/>
              <w:right w:val="single" w:sz="6" w:space="0" w:color="auto"/>
            </w:tcBorders>
          </w:tcPr>
          <w:p w:rsidR="004B059B" w:rsidRDefault="004B059B" w:rsidP="00D11D34">
            <w:pPr>
              <w:pStyle w:val="TableText0"/>
              <w:jc w:val="center"/>
            </w:pPr>
            <w:r>
              <w:t>SHD antenna</w:t>
            </w:r>
          </w:p>
        </w:tc>
        <w:tc>
          <w:tcPr>
            <w:tcW w:w="2268" w:type="dxa"/>
            <w:tcBorders>
              <w:top w:val="nil"/>
              <w:left w:val="single" w:sz="6" w:space="0" w:color="auto"/>
              <w:bottom w:val="single" w:sz="6" w:space="0" w:color="auto"/>
              <w:right w:val="single" w:sz="6" w:space="0" w:color="auto"/>
            </w:tcBorders>
          </w:tcPr>
          <w:p w:rsidR="004B059B" w:rsidRDefault="004B059B" w:rsidP="00D11D34">
            <w:pPr>
              <w:pStyle w:val="TableText0"/>
              <w:jc w:val="center"/>
            </w:pPr>
            <w:r>
              <w:t>CHR antenna</w:t>
            </w:r>
          </w:p>
        </w:tc>
      </w:tr>
      <w:tr w:rsidR="004B059B">
        <w:trPr>
          <w:jc w:val="center"/>
        </w:trPr>
        <w:tc>
          <w:tcPr>
            <w:tcW w:w="2268" w:type="dxa"/>
            <w:tcBorders>
              <w:top w:val="nil"/>
              <w:bottom w:val="nil"/>
              <w:right w:val="single" w:sz="6" w:space="0" w:color="auto"/>
            </w:tcBorders>
          </w:tcPr>
          <w:p w:rsidR="004B059B" w:rsidRDefault="004B059B" w:rsidP="00D11D34">
            <w:pPr>
              <w:pStyle w:val="TableText0"/>
              <w:jc w:val="center"/>
              <w:rPr>
                <w:lang w:val="es-ES_tradnl"/>
              </w:rPr>
            </w:pPr>
            <w:r>
              <w:t>16-QAM</w:t>
            </w:r>
          </w:p>
        </w:tc>
        <w:tc>
          <w:tcPr>
            <w:tcW w:w="2268" w:type="dxa"/>
            <w:tcBorders>
              <w:top w:val="single" w:sz="6" w:space="0" w:color="auto"/>
              <w:left w:val="nil"/>
              <w:bottom w:val="nil"/>
              <w:right w:val="single" w:sz="6" w:space="0" w:color="auto"/>
            </w:tcBorders>
          </w:tcPr>
          <w:p w:rsidR="004B059B" w:rsidRDefault="004B059B" w:rsidP="00D11D34">
            <w:pPr>
              <w:pStyle w:val="TableText0"/>
              <w:jc w:val="center"/>
              <w:rPr>
                <w:lang w:val="es-ES_tradnl"/>
              </w:rPr>
            </w:pPr>
            <w:r>
              <w:rPr>
                <w:lang w:val="es-ES_tradnl"/>
              </w:rPr>
              <w:t>–8%</w:t>
            </w:r>
          </w:p>
        </w:tc>
        <w:tc>
          <w:tcPr>
            <w:tcW w:w="2268" w:type="dxa"/>
            <w:tcBorders>
              <w:top w:val="nil"/>
              <w:left w:val="nil"/>
            </w:tcBorders>
          </w:tcPr>
          <w:p w:rsidR="004B059B" w:rsidRDefault="004B059B" w:rsidP="00D11D34">
            <w:pPr>
              <w:pStyle w:val="TableText0"/>
              <w:jc w:val="center"/>
              <w:rPr>
                <w:lang w:val="es-ES_tradnl"/>
              </w:rPr>
            </w:pPr>
            <w:r>
              <w:rPr>
                <w:lang w:val="es-ES_tradnl"/>
              </w:rPr>
              <w:t>130%</w:t>
            </w:r>
          </w:p>
        </w:tc>
      </w:tr>
      <w:tr w:rsidR="004B059B">
        <w:trPr>
          <w:jc w:val="center"/>
        </w:trPr>
        <w:tc>
          <w:tcPr>
            <w:tcW w:w="2268" w:type="dxa"/>
            <w:tcBorders>
              <w:top w:val="nil"/>
              <w:bottom w:val="nil"/>
              <w:right w:val="single" w:sz="6" w:space="0" w:color="auto"/>
            </w:tcBorders>
          </w:tcPr>
          <w:p w:rsidR="004B059B" w:rsidRDefault="004B059B" w:rsidP="00D11D34">
            <w:pPr>
              <w:pStyle w:val="TableText0"/>
              <w:jc w:val="center"/>
              <w:rPr>
                <w:lang w:val="es-ES_tradnl"/>
              </w:rPr>
            </w:pPr>
            <w:r>
              <w:t>64-QAM</w:t>
            </w:r>
          </w:p>
        </w:tc>
        <w:tc>
          <w:tcPr>
            <w:tcW w:w="2268" w:type="dxa"/>
            <w:tcBorders>
              <w:top w:val="nil"/>
              <w:left w:val="nil"/>
              <w:bottom w:val="nil"/>
              <w:right w:val="single" w:sz="6" w:space="0" w:color="auto"/>
            </w:tcBorders>
          </w:tcPr>
          <w:p w:rsidR="004B059B" w:rsidRDefault="004B059B" w:rsidP="00D11D34">
            <w:pPr>
              <w:pStyle w:val="TableText0"/>
              <w:jc w:val="center"/>
              <w:rPr>
                <w:lang w:val="es-ES_tradnl"/>
              </w:rPr>
            </w:pPr>
            <w:r>
              <w:rPr>
                <w:lang w:val="es-ES_tradnl"/>
              </w:rPr>
              <w:t> </w:t>
            </w:r>
            <w:r>
              <w:rPr>
                <w:lang w:val="es-ES_tradnl"/>
              </w:rPr>
              <w:t>6%</w:t>
            </w:r>
          </w:p>
        </w:tc>
        <w:tc>
          <w:tcPr>
            <w:tcW w:w="2268" w:type="dxa"/>
            <w:tcBorders>
              <w:left w:val="nil"/>
            </w:tcBorders>
          </w:tcPr>
          <w:p w:rsidR="004B059B" w:rsidRDefault="004B059B" w:rsidP="00D11D34">
            <w:pPr>
              <w:pStyle w:val="TableText0"/>
              <w:jc w:val="center"/>
              <w:rPr>
                <w:lang w:val="es-ES_tradnl"/>
              </w:rPr>
            </w:pPr>
            <w:r>
              <w:rPr>
                <w:lang w:val="es-ES_tradnl"/>
              </w:rPr>
              <w:t>338%</w:t>
            </w:r>
          </w:p>
        </w:tc>
      </w:tr>
      <w:tr w:rsidR="004B059B">
        <w:trPr>
          <w:jc w:val="center"/>
        </w:trPr>
        <w:tc>
          <w:tcPr>
            <w:tcW w:w="2268" w:type="dxa"/>
            <w:tcBorders>
              <w:top w:val="nil"/>
              <w:bottom w:val="single" w:sz="6" w:space="0" w:color="auto"/>
              <w:right w:val="single" w:sz="6" w:space="0" w:color="auto"/>
            </w:tcBorders>
          </w:tcPr>
          <w:p w:rsidR="004B059B" w:rsidRDefault="004B059B" w:rsidP="00D11D34">
            <w:pPr>
              <w:pStyle w:val="TableText0"/>
              <w:jc w:val="center"/>
              <w:rPr>
                <w:lang w:val="es-ES_tradnl"/>
              </w:rPr>
            </w:pPr>
            <w:r>
              <w:t>256-QAM</w:t>
            </w:r>
          </w:p>
        </w:tc>
        <w:tc>
          <w:tcPr>
            <w:tcW w:w="2268" w:type="dxa"/>
            <w:tcBorders>
              <w:top w:val="nil"/>
              <w:left w:val="nil"/>
              <w:bottom w:val="single" w:sz="6" w:space="0" w:color="auto"/>
              <w:right w:val="single" w:sz="6" w:space="0" w:color="auto"/>
            </w:tcBorders>
          </w:tcPr>
          <w:p w:rsidR="004B059B" w:rsidRDefault="004B059B" w:rsidP="00D11D34">
            <w:pPr>
              <w:pStyle w:val="TableText0"/>
              <w:jc w:val="center"/>
              <w:rPr>
                <w:lang w:val="es-ES_tradnl"/>
              </w:rPr>
            </w:pPr>
            <w:r>
              <w:rPr>
                <w:lang w:val="es-ES_tradnl"/>
              </w:rPr>
              <w:t>28%</w:t>
            </w:r>
          </w:p>
        </w:tc>
        <w:tc>
          <w:tcPr>
            <w:tcW w:w="2268" w:type="dxa"/>
            <w:tcBorders>
              <w:left w:val="nil"/>
            </w:tcBorders>
          </w:tcPr>
          <w:p w:rsidR="004B059B" w:rsidRDefault="004B059B" w:rsidP="00D11D34">
            <w:pPr>
              <w:pStyle w:val="TableText0"/>
              <w:jc w:val="center"/>
              <w:rPr>
                <w:lang w:val="es-ES_tradnl"/>
              </w:rPr>
            </w:pPr>
            <w:r>
              <w:rPr>
                <w:lang w:val="es-ES_tradnl"/>
              </w:rPr>
              <w:t>533%</w:t>
            </w:r>
          </w:p>
        </w:tc>
      </w:tr>
    </w:tbl>
    <w:p w:rsidR="004B059B" w:rsidRDefault="004B059B" w:rsidP="004B059B">
      <w:pPr>
        <w:pStyle w:val="Tablefin"/>
        <w:rPr>
          <w:lang w:val="es-ES_tradnl"/>
        </w:rPr>
      </w:pPr>
    </w:p>
    <w:p w:rsidR="004B059B" w:rsidRDefault="004B059B" w:rsidP="004B059B">
      <w:pPr>
        <w:pStyle w:val="Heading3"/>
      </w:pPr>
      <w:r>
        <w:t>2.4.4</w:t>
      </w:r>
      <w:r>
        <w:tab/>
        <w:t>Signal processing</w:t>
      </w:r>
    </w:p>
    <w:p w:rsidR="004B059B" w:rsidRPr="0088226A" w:rsidRDefault="004B059B" w:rsidP="004B059B">
      <w:pPr>
        <w:rPr>
          <w:lang w:val="en-US"/>
        </w:rPr>
      </w:pPr>
      <w:r w:rsidRPr="0088226A">
        <w:rPr>
          <w:lang w:val="en-US"/>
        </w:rPr>
        <w:t xml:space="preserve">In fixed radio-relay systems, signal processing is done at the transmitter and receiver terminal. Signal processing consists of electrical operations on a signal in order to produce certain desired characteristics. Signal processing can affect such parameters as amplitude, frequency, phase, signal level and reliability. The use of signal processing techniques can improve the processing gain of a system, permitting lower </w:t>
      </w:r>
      <w:r w:rsidRPr="0088226A">
        <w:rPr>
          <w:i/>
          <w:lang w:val="en-US"/>
        </w:rPr>
        <w:t>P</w:t>
      </w:r>
      <w:r w:rsidRPr="0088226A">
        <w:rPr>
          <w:i/>
          <w:position w:val="-4"/>
          <w:sz w:val="16"/>
          <w:lang w:val="en-US"/>
        </w:rPr>
        <w:t>t</w:t>
      </w:r>
      <w:r w:rsidRPr="0088226A">
        <w:rPr>
          <w:lang w:val="en-US"/>
        </w:rPr>
        <w:t xml:space="preserve"> for specified receiver output performance criteria. Thus, through the use of signal processing techniques, the </w:t>
      </w:r>
      <w:r w:rsidRPr="0088226A">
        <w:rPr>
          <w:i/>
          <w:lang w:val="en-US"/>
        </w:rPr>
        <w:t>P</w:t>
      </w:r>
      <w:r w:rsidRPr="0088226A">
        <w:rPr>
          <w:i/>
          <w:position w:val="-4"/>
          <w:sz w:val="16"/>
          <w:lang w:val="en-US"/>
        </w:rPr>
        <w:t>t</w:t>
      </w:r>
      <w:r w:rsidRPr="0088226A">
        <w:rPr>
          <w:lang w:val="en-US"/>
        </w:rPr>
        <w:t xml:space="preserve"> can be lowered reducing the spatial (area) denied to other systems. However, it should be noted that signal processing techniques are used by the microwave link designers to improve link reliability and are not generally considered for the purpose of spectrum conservation.</w:t>
      </w:r>
    </w:p>
    <w:p w:rsidR="004B059B" w:rsidRPr="0088226A" w:rsidRDefault="004B059B" w:rsidP="004B059B">
      <w:pPr>
        <w:pStyle w:val="Heading3"/>
        <w:rPr>
          <w:lang w:val="en-US"/>
        </w:rPr>
      </w:pPr>
      <w:r w:rsidRPr="0088226A">
        <w:rPr>
          <w:lang w:val="en-US"/>
        </w:rPr>
        <w:t>2.4.5</w:t>
      </w:r>
      <w:r w:rsidRPr="0088226A">
        <w:rPr>
          <w:lang w:val="en-US"/>
        </w:rPr>
        <w:tab/>
        <w:t>Error correction/coding</w:t>
      </w:r>
    </w:p>
    <w:p w:rsidR="004B059B" w:rsidRPr="0088226A" w:rsidRDefault="004B059B" w:rsidP="004B059B">
      <w:pPr>
        <w:rPr>
          <w:lang w:val="en-US"/>
        </w:rPr>
      </w:pPr>
      <w:r w:rsidRPr="0088226A">
        <w:rPr>
          <w:lang w:val="en-US"/>
        </w:rPr>
        <w:t>Forward error correction (FEC) coding is a method of improving BER performance of digital microwave systems, particularly when the system is power limited. The utilization of FEC coding techniques permits a limited number of errors to be corrected at the receiving end by means of a special coding and software (or hardware) implemented at both ends of a circuit. This improvement in BER can be traded off for a reduction in required receiver (</w:t>
      </w:r>
      <w:r w:rsidRPr="0088226A">
        <w:rPr>
          <w:i/>
          <w:lang w:val="en-US"/>
        </w:rPr>
        <w:t>C</w:t>
      </w:r>
      <w:r w:rsidRPr="0088226A">
        <w:rPr>
          <w:lang w:val="en-US"/>
        </w:rPr>
        <w:t>/</w:t>
      </w:r>
      <w:r w:rsidRPr="0088226A">
        <w:rPr>
          <w:i/>
          <w:lang w:val="en-US"/>
        </w:rPr>
        <w:t>N</w:t>
      </w:r>
      <w:r w:rsidRPr="0088226A">
        <w:rPr>
          <w:lang w:val="en-US"/>
        </w:rPr>
        <w:t>)</w:t>
      </w:r>
      <w:r w:rsidRPr="0088226A">
        <w:rPr>
          <w:i/>
          <w:position w:val="-4"/>
          <w:sz w:val="16"/>
          <w:lang w:val="en-US"/>
        </w:rPr>
        <w:t>i</w:t>
      </w:r>
      <w:r w:rsidRPr="0088226A">
        <w:rPr>
          <w:lang w:val="en-US"/>
        </w:rPr>
        <w:t xml:space="preserve"> to meet a specified BER performance, thus reducing the denial area to other systems. The reduction in (</w:t>
      </w:r>
      <w:r w:rsidRPr="0088226A">
        <w:rPr>
          <w:i/>
          <w:lang w:val="en-US"/>
        </w:rPr>
        <w:t>C</w:t>
      </w:r>
      <w:r w:rsidRPr="0088226A">
        <w:rPr>
          <w:lang w:val="en-US"/>
        </w:rPr>
        <w:t>/</w:t>
      </w:r>
      <w:r w:rsidRPr="0088226A">
        <w:rPr>
          <w:i/>
          <w:lang w:val="en-US"/>
        </w:rPr>
        <w:t>N</w:t>
      </w:r>
      <w:r w:rsidRPr="0088226A">
        <w:rPr>
          <w:lang w:val="en-US"/>
        </w:rPr>
        <w:t>)</w:t>
      </w:r>
      <w:r w:rsidRPr="0088226A">
        <w:rPr>
          <w:i/>
          <w:position w:val="-4"/>
          <w:sz w:val="16"/>
          <w:lang w:val="en-US"/>
        </w:rPr>
        <w:t>i</w:t>
      </w:r>
      <w:r w:rsidRPr="0088226A">
        <w:rPr>
          <w:lang w:val="en-US"/>
        </w:rPr>
        <w:t xml:space="preserve"> is referred to as coding gain. The performance of a coding technique is described by the coding gain and coding rate. However, the coding rate has an impact on the system occupied bandwidth, thus increasing the denied spectrum to other users of the spectrum.</w:t>
      </w:r>
    </w:p>
    <w:p w:rsidR="004B059B" w:rsidRPr="0088226A" w:rsidRDefault="004B059B" w:rsidP="004B059B">
      <w:pPr>
        <w:rPr>
          <w:lang w:val="en-US"/>
        </w:rPr>
      </w:pPr>
      <w:r w:rsidRPr="0088226A">
        <w:rPr>
          <w:lang w:val="en-US"/>
        </w:rPr>
        <w:t>To show the effect of coding on spectrum conservation, 64-QAM was selected as the modulation for study. Four types of FEC codes were selected. Table 8 shows the coding rate, the bandwidth expansion factor (1/coding rate), the occupied bandwidth after coding, the obtainable reduction in (</w:t>
      </w:r>
      <w:r w:rsidRPr="0088226A">
        <w:rPr>
          <w:i/>
          <w:lang w:val="en-US"/>
        </w:rPr>
        <w:t>C</w:t>
      </w:r>
      <w:r w:rsidRPr="0088226A">
        <w:rPr>
          <w:lang w:val="en-US"/>
        </w:rPr>
        <w:t>/</w:t>
      </w:r>
      <w:r w:rsidRPr="0088226A">
        <w:rPr>
          <w:i/>
          <w:lang w:val="en-US"/>
        </w:rPr>
        <w:t>N</w:t>
      </w:r>
      <w:r w:rsidRPr="0088226A">
        <w:rPr>
          <w:lang w:val="en-US"/>
        </w:rPr>
        <w:t>)</w:t>
      </w:r>
      <w:r w:rsidRPr="0088226A">
        <w:rPr>
          <w:i/>
          <w:position w:val="-4"/>
          <w:sz w:val="16"/>
          <w:lang w:val="en-US"/>
        </w:rPr>
        <w:t>i</w:t>
      </w:r>
      <w:r w:rsidRPr="0088226A">
        <w:rPr>
          <w:lang w:val="en-US"/>
        </w:rPr>
        <w:t xml:space="preserve"> for a BER of 1 </w:t>
      </w:r>
      <w:r>
        <w:rPr>
          <w:rFonts w:ascii="Symbol" w:hAnsi="Symbol"/>
        </w:rPr>
        <w:t></w:t>
      </w:r>
      <w:r w:rsidRPr="0088226A">
        <w:rPr>
          <w:lang w:val="en-US"/>
        </w:rPr>
        <w:t xml:space="preserve"> 10</w:t>
      </w:r>
      <w:r w:rsidRPr="0088226A">
        <w:rPr>
          <w:position w:val="6"/>
          <w:sz w:val="16"/>
          <w:lang w:val="en-US"/>
        </w:rPr>
        <w:t>–6</w:t>
      </w:r>
      <w:r w:rsidRPr="0088226A">
        <w:rPr>
          <w:lang w:val="en-US"/>
        </w:rPr>
        <w:t xml:space="preserve"> and the required </w:t>
      </w:r>
      <w:r w:rsidRPr="0088226A">
        <w:rPr>
          <w:i/>
          <w:lang w:val="en-US"/>
        </w:rPr>
        <w:t>P</w:t>
      </w:r>
      <w:r w:rsidRPr="0088226A">
        <w:rPr>
          <w:i/>
          <w:position w:val="-4"/>
          <w:sz w:val="16"/>
          <w:lang w:val="en-US"/>
        </w:rPr>
        <w:t>t</w:t>
      </w:r>
      <w:r w:rsidRPr="0088226A">
        <w:rPr>
          <w:lang w:val="en-US"/>
        </w:rPr>
        <w:t xml:space="preserve"> after taking into consideration the obtainable reduction in (</w:t>
      </w:r>
      <w:r w:rsidRPr="0088226A">
        <w:rPr>
          <w:i/>
          <w:lang w:val="en-US"/>
        </w:rPr>
        <w:t>C</w:t>
      </w:r>
      <w:r w:rsidRPr="0088226A">
        <w:rPr>
          <w:lang w:val="en-US"/>
        </w:rPr>
        <w:t>/</w:t>
      </w:r>
      <w:r w:rsidRPr="0088226A">
        <w:rPr>
          <w:i/>
          <w:lang w:val="en-US"/>
        </w:rPr>
        <w:t>N</w:t>
      </w:r>
      <w:r w:rsidRPr="0088226A">
        <w:rPr>
          <w:lang w:val="en-US"/>
        </w:rPr>
        <w:t>)</w:t>
      </w:r>
      <w:r w:rsidRPr="0088226A">
        <w:rPr>
          <w:i/>
          <w:position w:val="-4"/>
          <w:sz w:val="16"/>
          <w:lang w:val="en-US"/>
        </w:rPr>
        <w:t>i</w:t>
      </w:r>
      <w:r w:rsidRPr="0088226A">
        <w:rPr>
          <w:lang w:val="en-US"/>
        </w:rPr>
        <w:t>. The values for bandwidth and power, shown in Table 8, were input to the SUE model to evaluate coding as a spectrum conservation technique. Table 9 shows the SUE for the STD, SHD, CHR antennas. The SUE for 64-QAM without coding is also shown in the Table 9 for a baseline comparison of with and without coding.</w:t>
      </w:r>
    </w:p>
    <w:p w:rsidR="004B059B" w:rsidRPr="0088226A" w:rsidRDefault="004B059B" w:rsidP="004B059B">
      <w:pPr>
        <w:pStyle w:val="Table"/>
        <w:rPr>
          <w:lang w:val="en-US"/>
        </w:rPr>
      </w:pPr>
      <w:r w:rsidRPr="0088226A">
        <w:rPr>
          <w:lang w:val="en-US"/>
        </w:rPr>
        <w:lastRenderedPageBreak/>
        <w:t>TABLE  8</w:t>
      </w:r>
    </w:p>
    <w:p w:rsidR="004B059B" w:rsidRPr="0088226A" w:rsidRDefault="004B059B" w:rsidP="004B059B">
      <w:pPr>
        <w:pStyle w:val="TableTitle0"/>
        <w:rPr>
          <w:lang w:val="en-US"/>
        </w:rPr>
      </w:pPr>
      <w:r>
        <w:t>Error correction/coding (64-QAM modulation)</w:t>
      </w:r>
    </w:p>
    <w:p w:rsidR="004B059B" w:rsidRDefault="004B059B" w:rsidP="004B059B">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684"/>
        <w:gridCol w:w="1450"/>
        <w:gridCol w:w="1685"/>
        <w:gridCol w:w="1685"/>
        <w:gridCol w:w="1450"/>
        <w:gridCol w:w="1685"/>
      </w:tblGrid>
      <w:tr w:rsidR="004B059B" w:rsidRPr="00E64C3F">
        <w:trPr>
          <w:jc w:val="center"/>
        </w:trPr>
        <w:tc>
          <w:tcPr>
            <w:tcW w:w="1701" w:type="dxa"/>
          </w:tcPr>
          <w:p w:rsidR="004B059B" w:rsidRDefault="004B059B" w:rsidP="00D11D34">
            <w:pPr>
              <w:pStyle w:val="TableText0"/>
              <w:spacing w:before="200"/>
              <w:jc w:val="center"/>
            </w:pPr>
            <w:r>
              <w:t>Signal processing</w:t>
            </w:r>
          </w:p>
        </w:tc>
        <w:tc>
          <w:tcPr>
            <w:tcW w:w="1463" w:type="dxa"/>
          </w:tcPr>
          <w:p w:rsidR="004B059B" w:rsidRDefault="004B059B" w:rsidP="00D11D34">
            <w:pPr>
              <w:pStyle w:val="TableText0"/>
              <w:spacing w:before="200"/>
              <w:jc w:val="center"/>
            </w:pPr>
            <w:r>
              <w:t>Coding rate</w:t>
            </w:r>
          </w:p>
        </w:tc>
        <w:tc>
          <w:tcPr>
            <w:tcW w:w="1701" w:type="dxa"/>
          </w:tcPr>
          <w:p w:rsidR="004B059B" w:rsidRDefault="004B059B" w:rsidP="00D11D34">
            <w:pPr>
              <w:pStyle w:val="TableText0"/>
              <w:jc w:val="center"/>
            </w:pPr>
            <w:r>
              <w:t>Bandwidth expansion factor</w:t>
            </w:r>
          </w:p>
        </w:tc>
        <w:tc>
          <w:tcPr>
            <w:tcW w:w="1701" w:type="dxa"/>
          </w:tcPr>
          <w:p w:rsidR="004B059B" w:rsidRDefault="004B059B" w:rsidP="00D11D34">
            <w:pPr>
              <w:pStyle w:val="TableText0"/>
              <w:jc w:val="center"/>
            </w:pPr>
            <w:r>
              <w:t xml:space="preserve">Occupied bandwidth, </w:t>
            </w:r>
            <w:r>
              <w:rPr>
                <w:i/>
              </w:rPr>
              <w:t>B</w:t>
            </w:r>
            <w:r>
              <w:br/>
              <w:t>(MHz)</w:t>
            </w:r>
          </w:p>
        </w:tc>
        <w:tc>
          <w:tcPr>
            <w:tcW w:w="1463" w:type="dxa"/>
          </w:tcPr>
          <w:p w:rsidR="004B059B" w:rsidRDefault="004B059B" w:rsidP="00D11D34">
            <w:pPr>
              <w:pStyle w:val="TableText0"/>
              <w:jc w:val="center"/>
            </w:pPr>
            <w:r>
              <w:t>Reduction in </w:t>
            </w:r>
            <w:r>
              <w:rPr>
                <w:i/>
              </w:rPr>
              <w:t>C</w:t>
            </w:r>
            <w:r>
              <w:t>/</w:t>
            </w:r>
            <w:r>
              <w:rPr>
                <w:i/>
              </w:rPr>
              <w:t>N</w:t>
            </w:r>
            <w:r>
              <w:br/>
              <w:t>(dB)</w:t>
            </w:r>
          </w:p>
        </w:tc>
        <w:tc>
          <w:tcPr>
            <w:tcW w:w="1701" w:type="dxa"/>
          </w:tcPr>
          <w:p w:rsidR="004B059B" w:rsidRDefault="004B059B" w:rsidP="00D11D34">
            <w:pPr>
              <w:pStyle w:val="TableText0"/>
              <w:jc w:val="center"/>
            </w:pPr>
            <w:r>
              <w:t xml:space="preserve">Transmitter </w:t>
            </w:r>
            <w:r>
              <w:br/>
              <w:t xml:space="preserve">output power, </w:t>
            </w:r>
            <w:r>
              <w:rPr>
                <w:i/>
              </w:rPr>
              <w:t>P</w:t>
            </w:r>
            <w:r>
              <w:rPr>
                <w:i/>
                <w:position w:val="-4"/>
                <w:sz w:val="14"/>
              </w:rPr>
              <w:t>t</w:t>
            </w:r>
            <w:r>
              <w:br/>
              <w:t>(dBm)</w:t>
            </w:r>
          </w:p>
        </w:tc>
      </w:tr>
      <w:tr w:rsidR="004B059B">
        <w:trPr>
          <w:jc w:val="center"/>
        </w:trPr>
        <w:tc>
          <w:tcPr>
            <w:tcW w:w="1701" w:type="dxa"/>
          </w:tcPr>
          <w:p w:rsidR="004B059B" w:rsidRDefault="004B059B" w:rsidP="00D11D34">
            <w:pPr>
              <w:pStyle w:val="TableText0"/>
              <w:jc w:val="center"/>
              <w:rPr>
                <w:lang w:val="es-ES_tradnl"/>
              </w:rPr>
            </w:pPr>
            <w:r>
              <w:t>Error</w:t>
            </w:r>
            <w:r>
              <w:br/>
              <w:t>correction</w:t>
            </w:r>
            <w:r>
              <w:br/>
              <w:t>coding</w:t>
            </w:r>
          </w:p>
        </w:tc>
        <w:tc>
          <w:tcPr>
            <w:tcW w:w="1463" w:type="dxa"/>
          </w:tcPr>
          <w:p w:rsidR="004B059B" w:rsidRDefault="004B059B" w:rsidP="00D11D34">
            <w:pPr>
              <w:pStyle w:val="TableText0"/>
              <w:jc w:val="center"/>
              <w:rPr>
                <w:lang w:val="es-ES_tradnl"/>
              </w:rPr>
            </w:pPr>
            <w:r>
              <w:rPr>
                <w:lang w:val="es-ES_tradnl"/>
              </w:rPr>
              <w:t>1/2</w:t>
            </w:r>
            <w:r>
              <w:rPr>
                <w:lang w:val="es-ES_tradnl"/>
              </w:rPr>
              <w:br/>
              <w:t>3/4</w:t>
            </w:r>
            <w:r>
              <w:rPr>
                <w:lang w:val="es-ES_tradnl"/>
              </w:rPr>
              <w:br/>
              <w:t>7/8</w:t>
            </w:r>
            <w:r>
              <w:rPr>
                <w:lang w:val="es-ES_tradnl"/>
              </w:rPr>
              <w:br/>
              <w:t>18/19</w:t>
            </w:r>
          </w:p>
        </w:tc>
        <w:tc>
          <w:tcPr>
            <w:tcW w:w="1701" w:type="dxa"/>
          </w:tcPr>
          <w:p w:rsidR="004B059B" w:rsidRDefault="004B059B" w:rsidP="00D11D34">
            <w:pPr>
              <w:pStyle w:val="TableText0"/>
              <w:tabs>
                <w:tab w:val="clear" w:pos="794"/>
                <w:tab w:val="clear" w:pos="1191"/>
                <w:tab w:val="clear" w:pos="1588"/>
                <w:tab w:val="clear" w:pos="1985"/>
                <w:tab w:val="left" w:pos="556"/>
              </w:tabs>
              <w:jc w:val="left"/>
              <w:rPr>
                <w:lang w:val="es-ES_tradnl"/>
              </w:rPr>
            </w:pPr>
            <w:r>
              <w:rPr>
                <w:lang w:val="es-ES_tradnl"/>
              </w:rPr>
              <w:tab/>
              <w:t>2</w:t>
            </w:r>
            <w:r>
              <w:rPr>
                <w:lang w:val="es-ES_tradnl"/>
              </w:rPr>
              <w:br/>
            </w:r>
            <w:r>
              <w:rPr>
                <w:lang w:val="es-ES_tradnl"/>
              </w:rPr>
              <w:tab/>
              <w:t>1.333</w:t>
            </w:r>
            <w:r>
              <w:rPr>
                <w:lang w:val="es-ES_tradnl"/>
              </w:rPr>
              <w:br/>
            </w:r>
            <w:r>
              <w:rPr>
                <w:lang w:val="es-ES_tradnl"/>
              </w:rPr>
              <w:tab/>
              <w:t>1.142</w:t>
            </w:r>
            <w:r>
              <w:rPr>
                <w:lang w:val="es-ES_tradnl"/>
              </w:rPr>
              <w:br/>
            </w:r>
            <w:r>
              <w:rPr>
                <w:lang w:val="es-ES_tradnl"/>
              </w:rPr>
              <w:tab/>
              <w:t>1.055</w:t>
            </w:r>
          </w:p>
        </w:tc>
        <w:tc>
          <w:tcPr>
            <w:tcW w:w="1701" w:type="dxa"/>
          </w:tcPr>
          <w:p w:rsidR="004B059B" w:rsidRDefault="004B059B" w:rsidP="00D11D34">
            <w:pPr>
              <w:pStyle w:val="TableText0"/>
              <w:tabs>
                <w:tab w:val="clear" w:pos="794"/>
                <w:tab w:val="clear" w:pos="1191"/>
                <w:tab w:val="clear" w:pos="1588"/>
                <w:tab w:val="clear" w:pos="1985"/>
                <w:tab w:val="left" w:pos="556"/>
              </w:tabs>
              <w:jc w:val="left"/>
              <w:rPr>
                <w:lang w:val="es-ES_tradnl"/>
              </w:rPr>
            </w:pPr>
            <w:r>
              <w:rPr>
                <w:lang w:val="es-ES_tradnl"/>
              </w:rPr>
              <w:tab/>
              <w:t>45.00</w:t>
            </w:r>
            <w:r>
              <w:rPr>
                <w:lang w:val="es-ES_tradnl"/>
              </w:rPr>
              <w:br/>
            </w:r>
            <w:r>
              <w:rPr>
                <w:lang w:val="es-ES_tradnl"/>
              </w:rPr>
              <w:tab/>
              <w:t>30.00</w:t>
            </w:r>
            <w:r>
              <w:rPr>
                <w:lang w:val="es-ES_tradnl"/>
              </w:rPr>
              <w:br/>
            </w:r>
            <w:r>
              <w:rPr>
                <w:lang w:val="es-ES_tradnl"/>
              </w:rPr>
              <w:tab/>
              <w:t>25.70</w:t>
            </w:r>
            <w:r>
              <w:rPr>
                <w:lang w:val="es-ES_tradnl"/>
              </w:rPr>
              <w:br/>
            </w:r>
            <w:r>
              <w:rPr>
                <w:lang w:val="es-ES_tradnl"/>
              </w:rPr>
              <w:tab/>
              <w:t>23.74</w:t>
            </w:r>
          </w:p>
        </w:tc>
        <w:tc>
          <w:tcPr>
            <w:tcW w:w="1463" w:type="dxa"/>
          </w:tcPr>
          <w:p w:rsidR="004B059B" w:rsidRDefault="004B059B" w:rsidP="00D11D34">
            <w:pPr>
              <w:pStyle w:val="TableText0"/>
              <w:tabs>
                <w:tab w:val="clear" w:pos="794"/>
                <w:tab w:val="clear" w:pos="1191"/>
                <w:tab w:val="clear" w:pos="1588"/>
                <w:tab w:val="clear" w:pos="1985"/>
                <w:tab w:val="left" w:pos="556"/>
              </w:tabs>
              <w:jc w:val="left"/>
              <w:rPr>
                <w:lang w:val="es-ES_tradnl"/>
              </w:rPr>
            </w:pPr>
            <w:r>
              <w:rPr>
                <w:lang w:val="es-ES_tradnl"/>
              </w:rPr>
              <w:tab/>
              <w:t>6.0</w:t>
            </w:r>
            <w:r>
              <w:rPr>
                <w:lang w:val="es-ES_tradnl"/>
              </w:rPr>
              <w:br/>
            </w:r>
            <w:r>
              <w:rPr>
                <w:lang w:val="es-ES_tradnl"/>
              </w:rPr>
              <w:tab/>
              <w:t>3.5</w:t>
            </w:r>
            <w:r>
              <w:rPr>
                <w:lang w:val="es-ES_tradnl"/>
              </w:rPr>
              <w:br/>
            </w:r>
            <w:r>
              <w:rPr>
                <w:lang w:val="es-ES_tradnl"/>
              </w:rPr>
              <w:tab/>
              <w:t>2.0</w:t>
            </w:r>
            <w:r>
              <w:rPr>
                <w:lang w:val="es-ES_tradnl"/>
              </w:rPr>
              <w:br/>
            </w:r>
            <w:r>
              <w:rPr>
                <w:lang w:val="es-ES_tradnl"/>
              </w:rPr>
              <w:tab/>
              <w:t>3.0</w:t>
            </w:r>
          </w:p>
        </w:tc>
        <w:tc>
          <w:tcPr>
            <w:tcW w:w="1701" w:type="dxa"/>
          </w:tcPr>
          <w:p w:rsidR="004B059B" w:rsidRDefault="004B059B" w:rsidP="00D11D34">
            <w:pPr>
              <w:pStyle w:val="TableText0"/>
              <w:tabs>
                <w:tab w:val="clear" w:pos="794"/>
                <w:tab w:val="clear" w:pos="1191"/>
                <w:tab w:val="clear" w:pos="1588"/>
                <w:tab w:val="clear" w:pos="1985"/>
                <w:tab w:val="center" w:pos="113"/>
              </w:tabs>
              <w:jc w:val="center"/>
              <w:rPr>
                <w:lang w:val="es-ES_tradnl"/>
              </w:rPr>
            </w:pPr>
            <w:r>
              <w:rPr>
                <w:lang w:val="es-ES_tradnl"/>
              </w:rPr>
              <w:tab/>
              <w:t>27.5</w:t>
            </w:r>
            <w:r>
              <w:rPr>
                <w:lang w:val="es-ES_tradnl"/>
              </w:rPr>
              <w:br/>
            </w:r>
            <w:r>
              <w:rPr>
                <w:lang w:val="es-ES_tradnl"/>
              </w:rPr>
              <w:tab/>
              <w:t>30.0</w:t>
            </w:r>
            <w:r>
              <w:rPr>
                <w:lang w:val="es-ES_tradnl"/>
              </w:rPr>
              <w:br/>
            </w:r>
            <w:r>
              <w:rPr>
                <w:lang w:val="es-ES_tradnl"/>
              </w:rPr>
              <w:tab/>
              <w:t>31.5</w:t>
            </w:r>
            <w:r>
              <w:rPr>
                <w:lang w:val="es-ES_tradnl"/>
              </w:rPr>
              <w:br/>
            </w:r>
            <w:r>
              <w:rPr>
                <w:lang w:val="es-ES_tradnl"/>
              </w:rPr>
              <w:tab/>
              <w:t>30.5</w:t>
            </w:r>
          </w:p>
        </w:tc>
      </w:tr>
    </w:tbl>
    <w:p w:rsidR="004B059B" w:rsidRDefault="004B059B" w:rsidP="004B059B">
      <w:pPr>
        <w:pStyle w:val="Tablefin"/>
        <w:rPr>
          <w:lang w:val="es-ES_tradnl"/>
        </w:rPr>
      </w:pPr>
    </w:p>
    <w:p w:rsidR="004B059B" w:rsidRPr="00E64C3F" w:rsidRDefault="004B059B" w:rsidP="00D11D34">
      <w:pPr>
        <w:rPr>
          <w:lang w:val="en-US"/>
        </w:rPr>
      </w:pPr>
      <w:r w:rsidRPr="00D11D34">
        <w:rPr>
          <w:lang w:val="en-US"/>
        </w:rPr>
        <w:t xml:space="preserve">In summary, the SUE values given in Table 9 indicate that signal processing techniques such as error correction/coding which utilize RF bandwidth versus C/N trade-offs only provide significant improvement in spectrum conservation, higher SUE values, when high-efficiency coding techniques (i.e., coding techniques with high coding rates and coding gain) are used. </w:t>
      </w:r>
      <w:r w:rsidRPr="00E64C3F">
        <w:rPr>
          <w:lang w:val="en-US"/>
        </w:rPr>
        <w:t>Also, the relative improvement in spectrum conservation is greater when the system has a STD antenna than a SHD or CHR antenna. This is due to the fact that the reduction in denied area is greater for STD antennas because of the higher sidelobe/backlobe characteristics.</w:t>
      </w:r>
    </w:p>
    <w:p w:rsidR="004B059B" w:rsidRPr="0088226A" w:rsidRDefault="004B059B" w:rsidP="004B059B">
      <w:pPr>
        <w:pStyle w:val="Table"/>
        <w:rPr>
          <w:lang w:val="en-US"/>
        </w:rPr>
      </w:pPr>
      <w:r w:rsidRPr="0088226A">
        <w:rPr>
          <w:lang w:val="en-US"/>
        </w:rPr>
        <w:t>TABLE  9</w:t>
      </w:r>
    </w:p>
    <w:p w:rsidR="004B059B" w:rsidRPr="0088226A" w:rsidRDefault="004B059B" w:rsidP="004B059B">
      <w:pPr>
        <w:pStyle w:val="TableTitle0"/>
        <w:rPr>
          <w:lang w:val="en-US"/>
        </w:rPr>
      </w:pPr>
      <w:r>
        <w:t>SUE for error correction/coding (64-QAM modulation)</w:t>
      </w:r>
    </w:p>
    <w:p w:rsidR="004B059B" w:rsidRDefault="004B059B" w:rsidP="004B059B">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075"/>
        <w:gridCol w:w="1701"/>
        <w:gridCol w:w="1701"/>
        <w:gridCol w:w="1701"/>
        <w:gridCol w:w="1701"/>
      </w:tblGrid>
      <w:tr w:rsidR="004B059B" w:rsidRPr="00E64C3F">
        <w:trPr>
          <w:jc w:val="center"/>
        </w:trPr>
        <w:tc>
          <w:tcPr>
            <w:tcW w:w="3776" w:type="dxa"/>
            <w:gridSpan w:val="2"/>
            <w:tcBorders>
              <w:right w:val="nil"/>
            </w:tcBorders>
          </w:tcPr>
          <w:p w:rsidR="004B059B" w:rsidRDefault="004B059B" w:rsidP="00D11D34">
            <w:pPr>
              <w:pStyle w:val="TableText0"/>
              <w:spacing w:before="400" w:after="0"/>
              <w:jc w:val="center"/>
              <w:rPr>
                <w:lang w:val="es-ES_tradnl"/>
              </w:rPr>
            </w:pPr>
            <w:r>
              <w:t>Signal processing type</w:t>
            </w:r>
          </w:p>
        </w:tc>
        <w:tc>
          <w:tcPr>
            <w:tcW w:w="5103" w:type="dxa"/>
            <w:gridSpan w:val="3"/>
            <w:tcBorders>
              <w:top w:val="single" w:sz="6" w:space="0" w:color="auto"/>
              <w:left w:val="single" w:sz="6" w:space="0" w:color="auto"/>
              <w:bottom w:val="single" w:sz="6" w:space="0" w:color="auto"/>
            </w:tcBorders>
          </w:tcPr>
          <w:p w:rsidR="004B059B" w:rsidRDefault="004B059B" w:rsidP="00D11D34">
            <w:pPr>
              <w:pStyle w:val="TableText0"/>
              <w:spacing w:before="200" w:after="200"/>
              <w:jc w:val="center"/>
            </w:pPr>
            <w:r>
              <w:t>SUE for different antenna types</w:t>
            </w:r>
          </w:p>
        </w:tc>
      </w:tr>
      <w:tr w:rsidR="004B059B">
        <w:trPr>
          <w:jc w:val="center"/>
        </w:trPr>
        <w:tc>
          <w:tcPr>
            <w:tcW w:w="3776" w:type="dxa"/>
            <w:gridSpan w:val="2"/>
            <w:tcBorders>
              <w:top w:val="nil"/>
              <w:bottom w:val="nil"/>
              <w:right w:val="single" w:sz="6" w:space="0" w:color="auto"/>
            </w:tcBorders>
          </w:tcPr>
          <w:p w:rsidR="004B059B" w:rsidRPr="0088226A" w:rsidRDefault="004B059B" w:rsidP="00D11D34">
            <w:pPr>
              <w:pStyle w:val="TableText0"/>
              <w:spacing w:before="0"/>
              <w:jc w:val="center"/>
              <w:rPr>
                <w:lang w:val="en-US"/>
              </w:rPr>
            </w:pP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STD</w:t>
            </w: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SHD</w:t>
            </w:r>
          </w:p>
        </w:tc>
        <w:tc>
          <w:tcPr>
            <w:tcW w:w="1701" w:type="dxa"/>
            <w:tcBorders>
              <w:top w:val="single" w:sz="6" w:space="0" w:color="auto"/>
              <w:left w:val="single" w:sz="6" w:space="0" w:color="auto"/>
              <w:bottom w:val="nil"/>
            </w:tcBorders>
          </w:tcPr>
          <w:p w:rsidR="004B059B" w:rsidRDefault="004B059B" w:rsidP="00D11D34">
            <w:pPr>
              <w:pStyle w:val="TableText0"/>
              <w:jc w:val="center"/>
              <w:rPr>
                <w:lang w:val="es-ES_tradnl"/>
              </w:rPr>
            </w:pPr>
            <w:r>
              <w:rPr>
                <w:lang w:val="es-ES_tradnl"/>
              </w:rPr>
              <w:t>CHR</w:t>
            </w:r>
          </w:p>
        </w:tc>
      </w:tr>
      <w:tr w:rsidR="004B059B">
        <w:trPr>
          <w:jc w:val="center"/>
        </w:trPr>
        <w:tc>
          <w:tcPr>
            <w:tcW w:w="3776" w:type="dxa"/>
            <w:gridSpan w:val="2"/>
            <w:tcBorders>
              <w:top w:val="single" w:sz="6" w:space="0" w:color="auto"/>
              <w:bottom w:val="single" w:sz="6" w:space="0" w:color="auto"/>
              <w:right w:val="single" w:sz="6" w:space="0" w:color="auto"/>
            </w:tcBorders>
          </w:tcPr>
          <w:p w:rsidR="004B059B" w:rsidRDefault="004B059B" w:rsidP="00D11D34">
            <w:pPr>
              <w:pStyle w:val="TableText0"/>
              <w:rPr>
                <w:lang w:val="es-ES_tradnl"/>
              </w:rPr>
            </w:pPr>
            <w:r>
              <w:t>Without signal processing</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0.201</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0.212</w:t>
            </w:r>
          </w:p>
        </w:tc>
        <w:tc>
          <w:tcPr>
            <w:tcW w:w="1701" w:type="dxa"/>
            <w:tcBorders>
              <w:top w:val="single" w:sz="6" w:space="0" w:color="auto"/>
              <w:left w:val="single" w:sz="6" w:space="0" w:color="auto"/>
              <w:bottom w:val="single" w:sz="6" w:space="0" w:color="auto"/>
            </w:tcBorders>
          </w:tcPr>
          <w:p w:rsidR="004B059B" w:rsidRDefault="004B059B" w:rsidP="00D11D34">
            <w:pPr>
              <w:pStyle w:val="TableText0"/>
              <w:jc w:val="center"/>
              <w:rPr>
                <w:lang w:val="es-ES_tradnl"/>
              </w:rPr>
            </w:pPr>
            <w:r>
              <w:rPr>
                <w:lang w:val="es-ES_tradnl"/>
              </w:rPr>
              <w:t>0.811</w:t>
            </w:r>
          </w:p>
        </w:tc>
      </w:tr>
      <w:tr w:rsidR="004B059B">
        <w:trPr>
          <w:jc w:val="center"/>
        </w:trPr>
        <w:tc>
          <w:tcPr>
            <w:tcW w:w="2075" w:type="dxa"/>
            <w:tcBorders>
              <w:right w:val="nil"/>
            </w:tcBorders>
          </w:tcPr>
          <w:p w:rsidR="004B059B" w:rsidRDefault="004B059B" w:rsidP="00D11D34">
            <w:pPr>
              <w:pStyle w:val="TableText0"/>
              <w:spacing w:before="200" w:after="0"/>
              <w:jc w:val="center"/>
              <w:rPr>
                <w:lang w:val="es-ES_tradnl"/>
              </w:rPr>
            </w:pPr>
            <w:r>
              <w:t xml:space="preserve">Error correction/coding </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Coding rate</w:t>
            </w:r>
          </w:p>
        </w:tc>
        <w:tc>
          <w:tcPr>
            <w:tcW w:w="1701" w:type="dxa"/>
            <w:tcBorders>
              <w:top w:val="nil"/>
              <w:left w:val="nil"/>
              <w:bottom w:val="nil"/>
              <w:right w:val="single" w:sz="6" w:space="0" w:color="auto"/>
            </w:tcBorders>
          </w:tcPr>
          <w:p w:rsidR="004B059B" w:rsidRDefault="004B059B" w:rsidP="00D11D34">
            <w:pPr>
              <w:pStyle w:val="TableText0"/>
              <w:jc w:val="center"/>
              <w:rPr>
                <w:lang w:val="es-ES_tradnl"/>
              </w:rPr>
            </w:pPr>
          </w:p>
        </w:tc>
        <w:tc>
          <w:tcPr>
            <w:tcW w:w="1701" w:type="dxa"/>
            <w:tcBorders>
              <w:top w:val="nil"/>
              <w:left w:val="single" w:sz="6" w:space="0" w:color="auto"/>
              <w:bottom w:val="nil"/>
              <w:right w:val="single" w:sz="6" w:space="0" w:color="auto"/>
            </w:tcBorders>
          </w:tcPr>
          <w:p w:rsidR="004B059B" w:rsidRDefault="004B059B" w:rsidP="00D11D34">
            <w:pPr>
              <w:pStyle w:val="TableText0"/>
              <w:jc w:val="center"/>
              <w:rPr>
                <w:lang w:val="es-ES_tradnl"/>
              </w:rPr>
            </w:pPr>
          </w:p>
        </w:tc>
        <w:tc>
          <w:tcPr>
            <w:tcW w:w="1701" w:type="dxa"/>
            <w:tcBorders>
              <w:top w:val="nil"/>
              <w:left w:val="single" w:sz="6" w:space="0" w:color="auto"/>
              <w:bottom w:val="nil"/>
            </w:tcBorders>
          </w:tcPr>
          <w:p w:rsidR="004B059B" w:rsidRDefault="004B059B" w:rsidP="00D11D34">
            <w:pPr>
              <w:pStyle w:val="TableText0"/>
              <w:jc w:val="center"/>
              <w:rPr>
                <w:lang w:val="es-ES_tradnl"/>
              </w:rPr>
            </w:pPr>
          </w:p>
        </w:tc>
      </w:tr>
      <w:tr w:rsidR="004B059B">
        <w:trPr>
          <w:jc w:val="center"/>
        </w:trPr>
        <w:tc>
          <w:tcPr>
            <w:tcW w:w="2075" w:type="dxa"/>
            <w:tcBorders>
              <w:right w:val="nil"/>
            </w:tcBorders>
          </w:tcPr>
          <w:p w:rsidR="004B059B" w:rsidRDefault="004B059B" w:rsidP="00D11D34">
            <w:pPr>
              <w:pStyle w:val="TableText0"/>
              <w:spacing w:before="0"/>
              <w:jc w:val="center"/>
              <w:rPr>
                <w:lang w:val="es-ES_tradnl"/>
              </w:rPr>
            </w:pPr>
          </w:p>
        </w:tc>
        <w:tc>
          <w:tcPr>
            <w:tcW w:w="1701" w:type="dxa"/>
            <w:tcBorders>
              <w:top w:val="nil"/>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1/2</w:t>
            </w:r>
            <w:r>
              <w:rPr>
                <w:lang w:val="es-ES_tradnl"/>
              </w:rPr>
              <w:br/>
              <w:t>3/4</w:t>
            </w:r>
            <w:r>
              <w:rPr>
                <w:lang w:val="es-ES_tradnl"/>
              </w:rPr>
              <w:br/>
              <w:t>7/8</w:t>
            </w:r>
            <w:r>
              <w:rPr>
                <w:lang w:val="es-ES_tradnl"/>
              </w:rPr>
              <w:br/>
              <w:t>18/19</w:t>
            </w:r>
          </w:p>
        </w:tc>
        <w:tc>
          <w:tcPr>
            <w:tcW w:w="1701" w:type="dxa"/>
            <w:tcBorders>
              <w:top w:val="nil"/>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0.230</w:t>
            </w:r>
            <w:r>
              <w:rPr>
                <w:lang w:val="es-ES_tradnl"/>
              </w:rPr>
              <w:br/>
              <w:t>0.249</w:t>
            </w:r>
            <w:r>
              <w:rPr>
                <w:lang w:val="es-ES_tradnl"/>
              </w:rPr>
              <w:br/>
              <w:t>0.235</w:t>
            </w:r>
            <w:r>
              <w:rPr>
                <w:lang w:val="es-ES_tradnl"/>
              </w:rPr>
              <w:br/>
              <w:t>0.294</w:t>
            </w:r>
          </w:p>
        </w:tc>
        <w:tc>
          <w:tcPr>
            <w:tcW w:w="1701" w:type="dxa"/>
            <w:tcBorders>
              <w:top w:val="nil"/>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0.211</w:t>
            </w:r>
            <w:r>
              <w:rPr>
                <w:lang w:val="es-ES_tradnl"/>
              </w:rPr>
              <w:br/>
              <w:t>0.240</w:t>
            </w:r>
            <w:r>
              <w:rPr>
                <w:lang w:val="es-ES_tradnl"/>
              </w:rPr>
              <w:br/>
              <w:t>0.237</w:t>
            </w:r>
            <w:r>
              <w:rPr>
                <w:lang w:val="es-ES_tradnl"/>
              </w:rPr>
              <w:br/>
              <w:t>0.285</w:t>
            </w:r>
          </w:p>
        </w:tc>
        <w:tc>
          <w:tcPr>
            <w:tcW w:w="1701" w:type="dxa"/>
            <w:tcBorders>
              <w:top w:val="nil"/>
              <w:left w:val="single" w:sz="6" w:space="0" w:color="auto"/>
              <w:bottom w:val="single" w:sz="6" w:space="0" w:color="auto"/>
            </w:tcBorders>
          </w:tcPr>
          <w:p w:rsidR="004B059B" w:rsidRDefault="004B059B" w:rsidP="00D11D34">
            <w:pPr>
              <w:pStyle w:val="TableText0"/>
              <w:jc w:val="center"/>
              <w:rPr>
                <w:lang w:val="es-ES_tradnl"/>
              </w:rPr>
            </w:pPr>
            <w:r>
              <w:rPr>
                <w:lang w:val="es-ES_tradnl"/>
              </w:rPr>
              <w:t>0.532</w:t>
            </w:r>
            <w:r>
              <w:rPr>
                <w:lang w:val="es-ES_tradnl"/>
              </w:rPr>
              <w:br/>
              <w:t>0.673</w:t>
            </w:r>
            <w:r>
              <w:rPr>
                <w:lang w:val="es-ES_tradnl"/>
              </w:rPr>
              <w:br/>
              <w:t>0.754</w:t>
            </w:r>
            <w:r>
              <w:rPr>
                <w:lang w:val="es-ES_tradnl"/>
              </w:rPr>
              <w:br/>
              <w:t>0.838</w:t>
            </w:r>
          </w:p>
        </w:tc>
      </w:tr>
    </w:tbl>
    <w:p w:rsidR="004B059B" w:rsidRDefault="004B059B" w:rsidP="004B059B">
      <w:pPr>
        <w:pStyle w:val="Tablefin"/>
        <w:rPr>
          <w:lang w:val="es-ES_tradnl"/>
        </w:rPr>
      </w:pPr>
    </w:p>
    <w:p w:rsidR="004B059B" w:rsidRDefault="004B059B" w:rsidP="004B059B">
      <w:pPr>
        <w:pStyle w:val="Heading3"/>
      </w:pPr>
      <w:r>
        <w:t>2.4.6</w:t>
      </w:r>
      <w:r>
        <w:tab/>
        <w:t>Adaptive/transversal equalizers</w:t>
      </w:r>
    </w:p>
    <w:p w:rsidR="004B059B" w:rsidRPr="0088226A" w:rsidRDefault="004B059B" w:rsidP="004B059B">
      <w:pPr>
        <w:rPr>
          <w:lang w:val="en-US"/>
        </w:rPr>
      </w:pPr>
      <w:r w:rsidRPr="0088226A">
        <w:rPr>
          <w:lang w:val="en-US"/>
        </w:rPr>
        <w:t xml:space="preserve">Adaptive/transversal equalizers improve the digital system performance in the presence of multipath fading, linear distortion, or both. The equalizers can only mitigate the dispersive aspects of multipath fading. These adaptive equalizers reshape the pulse so as to minimize the intersymbol interference. An approximate 4 to 6 dB improvement in the composite fade margin can be achieved with these equalizers in 64-QAM receivers. The major drawback of adaptive equalizers is their expense. The model was run for a system bandwidth of 22.5 MHz and </w:t>
      </w:r>
      <w:r w:rsidRPr="0088226A">
        <w:rPr>
          <w:i/>
          <w:lang w:val="en-US"/>
        </w:rPr>
        <w:t>P</w:t>
      </w:r>
      <w:r w:rsidRPr="0088226A">
        <w:rPr>
          <w:i/>
          <w:position w:val="-4"/>
          <w:sz w:val="16"/>
          <w:lang w:val="en-US"/>
        </w:rPr>
        <w:t>t</w:t>
      </w:r>
      <w:r w:rsidRPr="0088226A">
        <w:rPr>
          <w:lang w:val="en-US"/>
        </w:rPr>
        <w:t xml:space="preserve"> of 29.5 dBm (A 4 dB reduction in </w:t>
      </w:r>
      <w:r w:rsidRPr="0088226A">
        <w:rPr>
          <w:i/>
          <w:lang w:val="en-US"/>
        </w:rPr>
        <w:t>P</w:t>
      </w:r>
      <w:r w:rsidRPr="0088226A">
        <w:rPr>
          <w:i/>
          <w:position w:val="-4"/>
          <w:sz w:val="16"/>
          <w:lang w:val="en-US"/>
        </w:rPr>
        <w:t>t</w:t>
      </w:r>
      <w:r w:rsidRPr="0088226A">
        <w:rPr>
          <w:lang w:val="en-US"/>
        </w:rPr>
        <w:t xml:space="preserve"> for 64</w:t>
      </w:r>
      <w:r w:rsidRPr="0088226A">
        <w:rPr>
          <w:lang w:val="en-US"/>
        </w:rPr>
        <w:noBreakHyphen/>
        <w:t>QAM). Table 10 shows the SUE for the three types of antennas. The SUE values without adaptive equalizers are also shown in the table for comparison with adaptive equalizers.</w:t>
      </w:r>
    </w:p>
    <w:p w:rsidR="004B059B" w:rsidRPr="0088226A" w:rsidRDefault="004B059B" w:rsidP="004B059B">
      <w:pPr>
        <w:pStyle w:val="Table"/>
        <w:rPr>
          <w:lang w:val="en-US"/>
        </w:rPr>
      </w:pPr>
      <w:r w:rsidRPr="0088226A">
        <w:rPr>
          <w:lang w:val="en-US"/>
        </w:rPr>
        <w:lastRenderedPageBreak/>
        <w:t>TABLE  10</w:t>
      </w:r>
    </w:p>
    <w:p w:rsidR="004B059B" w:rsidRPr="0088226A" w:rsidRDefault="004B059B" w:rsidP="004B059B">
      <w:pPr>
        <w:pStyle w:val="TableTitle0"/>
        <w:rPr>
          <w:lang w:val="en-US"/>
        </w:rPr>
      </w:pPr>
      <w:r>
        <w:t>SUE improvement for adaptive equalizers (64-QAM modulation)</w:t>
      </w:r>
    </w:p>
    <w:p w:rsidR="004B059B" w:rsidRDefault="004B059B" w:rsidP="004B059B">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4B059B" w:rsidRPr="00E64C3F">
        <w:trPr>
          <w:jc w:val="center"/>
        </w:trPr>
        <w:tc>
          <w:tcPr>
            <w:tcW w:w="3776" w:type="dxa"/>
            <w:tcBorders>
              <w:right w:val="nil"/>
            </w:tcBorders>
          </w:tcPr>
          <w:p w:rsidR="004B059B" w:rsidRDefault="004B059B" w:rsidP="00D11D34">
            <w:pPr>
              <w:pStyle w:val="TableText0"/>
              <w:spacing w:before="400" w:after="0"/>
              <w:jc w:val="center"/>
              <w:rPr>
                <w:lang w:val="es-ES_tradnl"/>
              </w:rPr>
            </w:pPr>
            <w:r>
              <w:t>Signal processing type</w:t>
            </w:r>
          </w:p>
        </w:tc>
        <w:tc>
          <w:tcPr>
            <w:tcW w:w="5103" w:type="dxa"/>
            <w:gridSpan w:val="3"/>
            <w:tcBorders>
              <w:top w:val="single" w:sz="6" w:space="0" w:color="auto"/>
              <w:left w:val="single" w:sz="6" w:space="0" w:color="auto"/>
              <w:bottom w:val="single" w:sz="6" w:space="0" w:color="auto"/>
            </w:tcBorders>
          </w:tcPr>
          <w:p w:rsidR="004B059B" w:rsidRDefault="004B059B" w:rsidP="00D11D34">
            <w:pPr>
              <w:pStyle w:val="TableText0"/>
              <w:spacing w:before="200" w:after="200"/>
              <w:jc w:val="center"/>
            </w:pPr>
            <w:r>
              <w:t>SUE for different antenna types</w:t>
            </w:r>
          </w:p>
        </w:tc>
      </w:tr>
      <w:tr w:rsidR="004B059B">
        <w:trPr>
          <w:jc w:val="center"/>
        </w:trPr>
        <w:tc>
          <w:tcPr>
            <w:tcW w:w="3776" w:type="dxa"/>
            <w:tcBorders>
              <w:top w:val="nil"/>
              <w:bottom w:val="nil"/>
              <w:right w:val="single" w:sz="6" w:space="0" w:color="auto"/>
            </w:tcBorders>
          </w:tcPr>
          <w:p w:rsidR="004B059B" w:rsidRPr="0088226A" w:rsidRDefault="004B059B" w:rsidP="00D11D34">
            <w:pPr>
              <w:pStyle w:val="TableText0"/>
              <w:spacing w:before="0"/>
              <w:jc w:val="center"/>
              <w:rPr>
                <w:lang w:val="en-US"/>
              </w:rPr>
            </w:pP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STD</w:t>
            </w: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SHD</w:t>
            </w:r>
          </w:p>
        </w:tc>
        <w:tc>
          <w:tcPr>
            <w:tcW w:w="1701" w:type="dxa"/>
            <w:tcBorders>
              <w:top w:val="single" w:sz="6" w:space="0" w:color="auto"/>
              <w:left w:val="single" w:sz="6" w:space="0" w:color="auto"/>
              <w:bottom w:val="nil"/>
            </w:tcBorders>
          </w:tcPr>
          <w:p w:rsidR="004B059B" w:rsidRDefault="004B059B" w:rsidP="00D11D34">
            <w:pPr>
              <w:pStyle w:val="TableText0"/>
              <w:jc w:val="center"/>
              <w:rPr>
                <w:lang w:val="es-ES_tradnl"/>
              </w:rPr>
            </w:pPr>
            <w:r>
              <w:rPr>
                <w:lang w:val="es-ES_tradnl"/>
              </w:rPr>
              <w:t>CHR</w:t>
            </w:r>
          </w:p>
        </w:tc>
      </w:tr>
      <w:tr w:rsidR="004B059B">
        <w:trPr>
          <w:jc w:val="center"/>
        </w:trPr>
        <w:tc>
          <w:tcPr>
            <w:tcW w:w="3776" w:type="dxa"/>
            <w:tcBorders>
              <w:top w:val="single" w:sz="6" w:space="0" w:color="auto"/>
              <w:bottom w:val="nil"/>
              <w:right w:val="single" w:sz="6" w:space="0" w:color="auto"/>
            </w:tcBorders>
          </w:tcPr>
          <w:p w:rsidR="004B059B" w:rsidRDefault="004B059B" w:rsidP="00D11D34">
            <w:pPr>
              <w:pStyle w:val="TableText0"/>
              <w:rPr>
                <w:lang w:val="es-ES_tradnl"/>
              </w:rPr>
            </w:pPr>
            <w:r>
              <w:t>Without signal processing</w:t>
            </w: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0.201</w:t>
            </w: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0.212</w:t>
            </w:r>
          </w:p>
        </w:tc>
        <w:tc>
          <w:tcPr>
            <w:tcW w:w="1701" w:type="dxa"/>
            <w:tcBorders>
              <w:top w:val="single" w:sz="6" w:space="0" w:color="auto"/>
              <w:left w:val="single" w:sz="6" w:space="0" w:color="auto"/>
              <w:bottom w:val="nil"/>
            </w:tcBorders>
          </w:tcPr>
          <w:p w:rsidR="004B059B" w:rsidRDefault="004B059B" w:rsidP="00D11D34">
            <w:pPr>
              <w:pStyle w:val="TableText0"/>
              <w:jc w:val="center"/>
              <w:rPr>
                <w:lang w:val="es-ES_tradnl"/>
              </w:rPr>
            </w:pPr>
            <w:r>
              <w:rPr>
                <w:lang w:val="es-ES_tradnl"/>
              </w:rPr>
              <w:t>0.811</w:t>
            </w:r>
          </w:p>
        </w:tc>
      </w:tr>
      <w:tr w:rsidR="004B059B">
        <w:trPr>
          <w:jc w:val="center"/>
        </w:trPr>
        <w:tc>
          <w:tcPr>
            <w:tcW w:w="3776" w:type="dxa"/>
            <w:tcBorders>
              <w:top w:val="single" w:sz="6" w:space="0" w:color="auto"/>
              <w:bottom w:val="single" w:sz="6" w:space="0" w:color="auto"/>
              <w:right w:val="single" w:sz="6" w:space="0" w:color="auto"/>
            </w:tcBorders>
          </w:tcPr>
          <w:p w:rsidR="004B059B" w:rsidRDefault="004B059B" w:rsidP="00D11D34">
            <w:pPr>
              <w:pStyle w:val="TableText0"/>
              <w:rPr>
                <w:lang w:val="es-ES_tradnl"/>
              </w:rPr>
            </w:pPr>
            <w:r>
              <w:t>With adaptive equalizers</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0.355</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0.337</w:t>
            </w:r>
          </w:p>
        </w:tc>
        <w:tc>
          <w:tcPr>
            <w:tcW w:w="1701" w:type="dxa"/>
            <w:tcBorders>
              <w:top w:val="single" w:sz="6" w:space="0" w:color="auto"/>
              <w:left w:val="single" w:sz="6" w:space="0" w:color="auto"/>
              <w:bottom w:val="single" w:sz="6" w:space="0" w:color="auto"/>
            </w:tcBorders>
          </w:tcPr>
          <w:p w:rsidR="004B059B" w:rsidRDefault="004B059B" w:rsidP="00D11D34">
            <w:pPr>
              <w:pStyle w:val="TableText0"/>
              <w:jc w:val="center"/>
              <w:rPr>
                <w:lang w:val="es-ES_tradnl"/>
              </w:rPr>
            </w:pPr>
            <w:r>
              <w:rPr>
                <w:lang w:val="es-ES_tradnl"/>
              </w:rPr>
              <w:t>0.930</w:t>
            </w:r>
          </w:p>
        </w:tc>
      </w:tr>
    </w:tbl>
    <w:p w:rsidR="004B059B" w:rsidRDefault="004B059B" w:rsidP="004B059B">
      <w:pPr>
        <w:pStyle w:val="Tablefin"/>
        <w:rPr>
          <w:lang w:val="es-ES_tradnl"/>
        </w:rPr>
      </w:pPr>
    </w:p>
    <w:p w:rsidR="004B059B" w:rsidRPr="00E64C3F" w:rsidRDefault="004B059B" w:rsidP="00D11D34">
      <w:pPr>
        <w:rPr>
          <w:lang w:val="en-US"/>
        </w:rPr>
      </w:pPr>
      <w:r w:rsidRPr="00E64C3F">
        <w:rPr>
          <w:lang w:val="en-US"/>
        </w:rPr>
        <w:t>For 64-QAM, the use of adaptive equalizers can improve the spectrum conservation properties of a system from approximately 15% to 75% with the greatest improvement in systems that use STD antennas.</w:t>
      </w:r>
    </w:p>
    <w:p w:rsidR="004B059B" w:rsidRPr="0088226A" w:rsidRDefault="004B059B" w:rsidP="004B059B">
      <w:pPr>
        <w:pStyle w:val="Heading3"/>
        <w:rPr>
          <w:lang w:val="en-US"/>
        </w:rPr>
      </w:pPr>
      <w:r w:rsidRPr="0088226A">
        <w:rPr>
          <w:lang w:val="en-US"/>
        </w:rPr>
        <w:t>2.4.7</w:t>
      </w:r>
      <w:r w:rsidRPr="0088226A">
        <w:rPr>
          <w:lang w:val="en-US"/>
        </w:rPr>
        <w:tab/>
        <w:t>Error correction/coding and adaptive equalizers</w:t>
      </w:r>
    </w:p>
    <w:p w:rsidR="004B059B" w:rsidRPr="0088226A" w:rsidRDefault="004B059B" w:rsidP="004B059B">
      <w:pPr>
        <w:rPr>
          <w:lang w:val="en-US"/>
        </w:rPr>
      </w:pPr>
      <w:r w:rsidRPr="0088226A">
        <w:rPr>
          <w:lang w:val="en-US"/>
        </w:rPr>
        <w:t>Some digital systems utilize both error correction/coding and adaptive equalizers to improve system performance. For 64-QAM, the utilization of error correction/coding (18/19 coding rate) and adaptive equalizers can reduce the required (</w:t>
      </w:r>
      <w:r w:rsidRPr="0088226A">
        <w:rPr>
          <w:i/>
          <w:lang w:val="en-US"/>
        </w:rPr>
        <w:t>C</w:t>
      </w:r>
      <w:r w:rsidRPr="0088226A">
        <w:rPr>
          <w:lang w:val="en-US"/>
        </w:rPr>
        <w:t>/</w:t>
      </w:r>
      <w:r w:rsidRPr="0088226A">
        <w:rPr>
          <w:i/>
          <w:lang w:val="en-US"/>
        </w:rPr>
        <w:t>N</w:t>
      </w:r>
      <w:r w:rsidRPr="0088226A">
        <w:rPr>
          <w:lang w:val="en-US"/>
        </w:rPr>
        <w:t>)</w:t>
      </w:r>
      <w:r w:rsidRPr="0088226A">
        <w:rPr>
          <w:i/>
          <w:position w:val="-4"/>
          <w:sz w:val="16"/>
          <w:lang w:val="en-US"/>
        </w:rPr>
        <w:t>i</w:t>
      </w:r>
      <w:r w:rsidRPr="0088226A">
        <w:rPr>
          <w:lang w:val="en-US"/>
        </w:rPr>
        <w:t xml:space="preserve">, ratio by 7 dB for a BER = 1 </w:t>
      </w:r>
      <w:r>
        <w:rPr>
          <w:rFonts w:ascii="Symbol" w:hAnsi="Symbol"/>
        </w:rPr>
        <w:t></w:t>
      </w:r>
      <w:r w:rsidRPr="0088226A">
        <w:rPr>
          <w:lang w:val="en-US"/>
        </w:rPr>
        <w:t xml:space="preserve"> 10</w:t>
      </w:r>
      <w:r w:rsidRPr="0088226A">
        <w:rPr>
          <w:position w:val="6"/>
          <w:sz w:val="16"/>
          <w:lang w:val="en-US"/>
        </w:rPr>
        <w:t>–</w:t>
      </w:r>
      <w:r w:rsidRPr="0088226A">
        <w:rPr>
          <w:rFonts w:ascii="Tms Rmn" w:hAnsi="Tms Rmn"/>
          <w:position w:val="6"/>
          <w:sz w:val="8"/>
          <w:lang w:val="en-US"/>
        </w:rPr>
        <w:t> </w:t>
      </w:r>
      <w:r w:rsidRPr="0088226A">
        <w:rPr>
          <w:position w:val="6"/>
          <w:sz w:val="16"/>
          <w:lang w:val="en-US"/>
        </w:rPr>
        <w:t>6</w:t>
      </w:r>
      <w:r w:rsidRPr="0088226A">
        <w:rPr>
          <w:lang w:val="en-US"/>
        </w:rPr>
        <w:t xml:space="preserve">. The application of the SUE model for an occupied bandwidth of 23.74 MHz and a </w:t>
      </w:r>
      <w:r w:rsidRPr="0088226A">
        <w:rPr>
          <w:i/>
          <w:lang w:val="en-US"/>
        </w:rPr>
        <w:t>P</w:t>
      </w:r>
      <w:r w:rsidRPr="0088226A">
        <w:rPr>
          <w:i/>
          <w:position w:val="-4"/>
          <w:sz w:val="16"/>
          <w:lang w:val="en-US"/>
        </w:rPr>
        <w:t>t</w:t>
      </w:r>
      <w:r w:rsidRPr="0088226A">
        <w:rPr>
          <w:lang w:val="en-US"/>
        </w:rPr>
        <w:t xml:space="preserve"> of 26.5 dBm (A</w:t>
      </w:r>
      <w:r w:rsidR="00D11D34">
        <w:rPr>
          <w:lang w:val="en-US"/>
        </w:rPr>
        <w:t> </w:t>
      </w:r>
      <w:r w:rsidRPr="0088226A">
        <w:rPr>
          <w:lang w:val="en-US"/>
        </w:rPr>
        <w:t>7</w:t>
      </w:r>
      <w:r w:rsidR="00D11D34">
        <w:rPr>
          <w:lang w:val="en-US"/>
        </w:rPr>
        <w:t> </w:t>
      </w:r>
      <w:r w:rsidRPr="0088226A">
        <w:rPr>
          <w:lang w:val="en-US"/>
        </w:rPr>
        <w:t xml:space="preserve">dB reduction in </w:t>
      </w:r>
      <w:r w:rsidRPr="0088226A">
        <w:rPr>
          <w:i/>
          <w:lang w:val="en-US"/>
        </w:rPr>
        <w:t>P</w:t>
      </w:r>
      <w:r w:rsidRPr="0088226A">
        <w:rPr>
          <w:i/>
          <w:position w:val="-4"/>
          <w:sz w:val="16"/>
          <w:lang w:val="en-US"/>
        </w:rPr>
        <w:t>t</w:t>
      </w:r>
      <w:r w:rsidRPr="0088226A">
        <w:rPr>
          <w:lang w:val="en-US"/>
        </w:rPr>
        <w:t xml:space="preserve"> for 64-QAM) is shown in Table 11. Table 11 shows that the use of error correction/coding and adaptive equalizers can improve the spectrum conserving properties of a system from 30% to 150% with the greatest improvement in systems that use dish type antennas.</w:t>
      </w:r>
    </w:p>
    <w:p w:rsidR="004B059B" w:rsidRPr="0088226A" w:rsidRDefault="004B059B" w:rsidP="004B059B">
      <w:pPr>
        <w:pStyle w:val="Table"/>
        <w:rPr>
          <w:lang w:val="en-US"/>
        </w:rPr>
      </w:pPr>
      <w:r w:rsidRPr="0088226A">
        <w:rPr>
          <w:lang w:val="en-US"/>
        </w:rPr>
        <w:t>TABLE  11</w:t>
      </w:r>
    </w:p>
    <w:p w:rsidR="004B059B" w:rsidRPr="0088226A" w:rsidRDefault="004B059B" w:rsidP="004B059B">
      <w:pPr>
        <w:pStyle w:val="TableTitle0"/>
        <w:rPr>
          <w:lang w:val="en-US"/>
        </w:rPr>
      </w:pPr>
      <w:r>
        <w:t>SUE error correction/coding and adaptive equalizers (64-QAM modulation)</w:t>
      </w:r>
    </w:p>
    <w:p w:rsidR="004B059B" w:rsidRDefault="004B059B" w:rsidP="004B059B">
      <w:pPr>
        <w:pStyle w:val="Blanc"/>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3776"/>
        <w:gridCol w:w="1701"/>
        <w:gridCol w:w="1701"/>
        <w:gridCol w:w="1701"/>
      </w:tblGrid>
      <w:tr w:rsidR="004B059B" w:rsidRPr="00E64C3F">
        <w:trPr>
          <w:jc w:val="center"/>
        </w:trPr>
        <w:tc>
          <w:tcPr>
            <w:tcW w:w="3776" w:type="dxa"/>
            <w:tcBorders>
              <w:right w:val="nil"/>
            </w:tcBorders>
          </w:tcPr>
          <w:p w:rsidR="004B059B" w:rsidRDefault="004B059B" w:rsidP="00D11D34">
            <w:pPr>
              <w:pStyle w:val="TableText0"/>
              <w:spacing w:before="400" w:after="0"/>
              <w:jc w:val="center"/>
              <w:rPr>
                <w:lang w:val="es-ES_tradnl"/>
              </w:rPr>
            </w:pPr>
            <w:r>
              <w:t>Signal processing type</w:t>
            </w:r>
          </w:p>
        </w:tc>
        <w:tc>
          <w:tcPr>
            <w:tcW w:w="5103" w:type="dxa"/>
            <w:gridSpan w:val="3"/>
            <w:tcBorders>
              <w:top w:val="single" w:sz="6" w:space="0" w:color="auto"/>
              <w:left w:val="single" w:sz="6" w:space="0" w:color="auto"/>
              <w:bottom w:val="single" w:sz="6" w:space="0" w:color="auto"/>
            </w:tcBorders>
          </w:tcPr>
          <w:p w:rsidR="004B059B" w:rsidRDefault="004B059B" w:rsidP="00D11D34">
            <w:pPr>
              <w:pStyle w:val="TableText0"/>
              <w:spacing w:before="200" w:after="200"/>
              <w:jc w:val="center"/>
            </w:pPr>
            <w:r>
              <w:t>SUE for different antenna types</w:t>
            </w:r>
          </w:p>
        </w:tc>
      </w:tr>
      <w:tr w:rsidR="004B059B">
        <w:trPr>
          <w:jc w:val="center"/>
        </w:trPr>
        <w:tc>
          <w:tcPr>
            <w:tcW w:w="3776" w:type="dxa"/>
            <w:tcBorders>
              <w:top w:val="nil"/>
              <w:bottom w:val="nil"/>
              <w:right w:val="single" w:sz="6" w:space="0" w:color="auto"/>
            </w:tcBorders>
          </w:tcPr>
          <w:p w:rsidR="004B059B" w:rsidRPr="0088226A" w:rsidRDefault="004B059B" w:rsidP="00D11D34">
            <w:pPr>
              <w:pStyle w:val="TableText0"/>
              <w:spacing w:before="0"/>
              <w:jc w:val="center"/>
              <w:rPr>
                <w:lang w:val="en-US"/>
              </w:rPr>
            </w:pP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STD</w:t>
            </w: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SHD</w:t>
            </w:r>
          </w:p>
        </w:tc>
        <w:tc>
          <w:tcPr>
            <w:tcW w:w="1701" w:type="dxa"/>
            <w:tcBorders>
              <w:top w:val="single" w:sz="6" w:space="0" w:color="auto"/>
              <w:left w:val="single" w:sz="6" w:space="0" w:color="auto"/>
              <w:bottom w:val="nil"/>
            </w:tcBorders>
          </w:tcPr>
          <w:p w:rsidR="004B059B" w:rsidRDefault="004B059B" w:rsidP="00D11D34">
            <w:pPr>
              <w:pStyle w:val="TableText0"/>
              <w:jc w:val="center"/>
              <w:rPr>
                <w:lang w:val="es-ES_tradnl"/>
              </w:rPr>
            </w:pPr>
            <w:r>
              <w:rPr>
                <w:lang w:val="es-ES_tradnl"/>
              </w:rPr>
              <w:t>CHR</w:t>
            </w:r>
          </w:p>
        </w:tc>
      </w:tr>
      <w:tr w:rsidR="004B059B">
        <w:trPr>
          <w:jc w:val="center"/>
        </w:trPr>
        <w:tc>
          <w:tcPr>
            <w:tcW w:w="3776" w:type="dxa"/>
            <w:tcBorders>
              <w:top w:val="single" w:sz="6" w:space="0" w:color="auto"/>
              <w:bottom w:val="nil"/>
              <w:right w:val="single" w:sz="6" w:space="0" w:color="auto"/>
            </w:tcBorders>
          </w:tcPr>
          <w:p w:rsidR="004B059B" w:rsidRDefault="004B059B" w:rsidP="00D11D34">
            <w:pPr>
              <w:pStyle w:val="TableText0"/>
              <w:rPr>
                <w:lang w:val="es-ES_tradnl"/>
              </w:rPr>
            </w:pPr>
            <w:r>
              <w:t>Without signal processing</w:t>
            </w: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0.201</w:t>
            </w:r>
          </w:p>
        </w:tc>
        <w:tc>
          <w:tcPr>
            <w:tcW w:w="1701"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0.212</w:t>
            </w:r>
          </w:p>
        </w:tc>
        <w:tc>
          <w:tcPr>
            <w:tcW w:w="1701" w:type="dxa"/>
            <w:tcBorders>
              <w:top w:val="single" w:sz="6" w:space="0" w:color="auto"/>
              <w:left w:val="single" w:sz="6" w:space="0" w:color="auto"/>
              <w:bottom w:val="nil"/>
            </w:tcBorders>
          </w:tcPr>
          <w:p w:rsidR="004B059B" w:rsidRDefault="004B059B" w:rsidP="00D11D34">
            <w:pPr>
              <w:pStyle w:val="TableText0"/>
              <w:jc w:val="center"/>
              <w:rPr>
                <w:lang w:val="es-ES_tradnl"/>
              </w:rPr>
            </w:pPr>
            <w:r>
              <w:rPr>
                <w:lang w:val="es-ES_tradnl"/>
              </w:rPr>
              <w:t>0.811</w:t>
            </w:r>
          </w:p>
        </w:tc>
      </w:tr>
      <w:tr w:rsidR="004B059B">
        <w:trPr>
          <w:jc w:val="center"/>
        </w:trPr>
        <w:tc>
          <w:tcPr>
            <w:tcW w:w="3776" w:type="dxa"/>
            <w:tcBorders>
              <w:top w:val="single" w:sz="6" w:space="0" w:color="auto"/>
              <w:bottom w:val="single" w:sz="6" w:space="0" w:color="auto"/>
              <w:right w:val="single" w:sz="6" w:space="0" w:color="auto"/>
            </w:tcBorders>
          </w:tcPr>
          <w:p w:rsidR="004B059B" w:rsidRPr="0088226A" w:rsidRDefault="004B059B" w:rsidP="00D11D34">
            <w:pPr>
              <w:pStyle w:val="TableText0"/>
              <w:jc w:val="left"/>
              <w:rPr>
                <w:lang w:val="en-US"/>
              </w:rPr>
            </w:pPr>
            <w:r>
              <w:t>Error correction/coding and equalizers</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0.503</w:t>
            </w:r>
          </w:p>
        </w:tc>
        <w:tc>
          <w:tcPr>
            <w:tcW w:w="1701"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jc w:val="center"/>
              <w:rPr>
                <w:lang w:val="es-ES_tradnl"/>
              </w:rPr>
            </w:pPr>
            <w:r>
              <w:rPr>
                <w:lang w:val="es-ES_tradnl"/>
              </w:rPr>
              <w:t>0.441</w:t>
            </w:r>
          </w:p>
        </w:tc>
        <w:tc>
          <w:tcPr>
            <w:tcW w:w="1701" w:type="dxa"/>
            <w:tcBorders>
              <w:top w:val="single" w:sz="6" w:space="0" w:color="auto"/>
              <w:left w:val="single" w:sz="6" w:space="0" w:color="auto"/>
              <w:bottom w:val="single" w:sz="6" w:space="0" w:color="auto"/>
            </w:tcBorders>
          </w:tcPr>
          <w:p w:rsidR="004B059B" w:rsidRDefault="004B059B" w:rsidP="00D11D34">
            <w:pPr>
              <w:pStyle w:val="TableText0"/>
              <w:jc w:val="center"/>
              <w:rPr>
                <w:lang w:val="es-ES_tradnl"/>
              </w:rPr>
            </w:pPr>
            <w:r>
              <w:rPr>
                <w:lang w:val="es-ES_tradnl"/>
              </w:rPr>
              <w:t>1.066</w:t>
            </w:r>
          </w:p>
        </w:tc>
      </w:tr>
    </w:tbl>
    <w:p w:rsidR="004B059B" w:rsidRDefault="004B059B" w:rsidP="004B059B">
      <w:pPr>
        <w:pStyle w:val="Tablefin"/>
        <w:rPr>
          <w:lang w:val="es-ES_tradnl"/>
        </w:rPr>
      </w:pPr>
    </w:p>
    <w:p w:rsidR="004B059B" w:rsidRDefault="004B059B" w:rsidP="004B059B">
      <w:pPr>
        <w:pStyle w:val="Heading3"/>
      </w:pPr>
      <w:r>
        <w:t>2.4.8</w:t>
      </w:r>
      <w:r>
        <w:tab/>
        <w:t>Summary</w:t>
      </w:r>
    </w:p>
    <w:p w:rsidR="004B059B" w:rsidRPr="0088226A" w:rsidRDefault="004B059B" w:rsidP="004B059B">
      <w:pPr>
        <w:rPr>
          <w:lang w:val="en-US"/>
        </w:rPr>
      </w:pPr>
      <w:r w:rsidRPr="0088226A">
        <w:rPr>
          <w:b/>
          <w:lang w:val="en-US"/>
        </w:rPr>
        <w:t>2.4.8.1</w:t>
      </w:r>
      <w:r w:rsidRPr="0088226A">
        <w:rPr>
          <w:lang w:val="en-US"/>
        </w:rPr>
        <w:tab/>
        <w:t>The spectrum conserving potential of a system is a function of several design factors all of which must be taken into consideration when evaluating the SUE of a system. That is, one cannot say that a system with a particular modulation is more spectrum conserving than a system with another modulation without considering all other design factors such as antennas, signal processing, RF filters, etc.</w:t>
      </w:r>
    </w:p>
    <w:p w:rsidR="004B059B" w:rsidRPr="0088226A" w:rsidRDefault="004B059B" w:rsidP="004B059B">
      <w:pPr>
        <w:rPr>
          <w:lang w:val="en-US"/>
        </w:rPr>
      </w:pPr>
      <w:r w:rsidRPr="0088226A">
        <w:rPr>
          <w:b/>
          <w:lang w:val="en-US"/>
        </w:rPr>
        <w:t>2.4.8.2</w:t>
      </w:r>
      <w:r w:rsidRPr="0088226A">
        <w:rPr>
          <w:lang w:val="en-US"/>
        </w:rPr>
        <w:tab/>
        <w:t xml:space="preserve">The higher order digital modulations (modulations with higher transmission efficiency, bit/(s · Hz)) require higher </w:t>
      </w:r>
      <w:r w:rsidRPr="0088226A">
        <w:rPr>
          <w:i/>
          <w:lang w:val="en-US"/>
        </w:rPr>
        <w:t>P</w:t>
      </w:r>
      <w:r w:rsidRPr="0088226A">
        <w:rPr>
          <w:i/>
          <w:position w:val="-4"/>
          <w:sz w:val="16"/>
          <w:lang w:val="en-US"/>
        </w:rPr>
        <w:t>t</w:t>
      </w:r>
      <w:r w:rsidRPr="0088226A">
        <w:rPr>
          <w:lang w:val="en-US"/>
        </w:rPr>
        <w:t xml:space="preserve"> levels. Therefore, when the definition of spectrum use and efficiency is used which takes into consideration denied area, modulations which have a higher transmission efficiency may not necessarily be more spectrum conserving. Thus, the transmission efficiency of the digital modulation may not suffice as an indicator of spectrum efficiency.</w:t>
      </w:r>
    </w:p>
    <w:p w:rsidR="004B059B" w:rsidRPr="0088226A" w:rsidRDefault="004B059B" w:rsidP="00D11D34">
      <w:pPr>
        <w:pStyle w:val="Note"/>
        <w:keepNext/>
        <w:rPr>
          <w:lang w:val="en-US"/>
        </w:rPr>
      </w:pPr>
      <w:r w:rsidRPr="0088226A">
        <w:rPr>
          <w:lang w:val="en-US"/>
        </w:rPr>
        <w:lastRenderedPageBreak/>
        <w:t>NOTE 1 – Additional information may be found in:</w:t>
      </w:r>
    </w:p>
    <w:p w:rsidR="004B059B" w:rsidRPr="00E64C3F" w:rsidRDefault="004B059B" w:rsidP="0088226A">
      <w:pPr>
        <w:pStyle w:val="Reftext"/>
        <w:rPr>
          <w:lang w:val="en-US"/>
        </w:rPr>
      </w:pPr>
      <w:r w:rsidRPr="00E64C3F">
        <w:rPr>
          <w:lang w:val="en-US"/>
        </w:rPr>
        <w:t>HINKLE, R.L. and FARRAR, A.A., [May 1989] “Spectrum-conservation techniques for fixed microwave systems”. NTIA Report TR-89-243. National Telecommunication and Information Administration. US Dept. of Commerce, United States of America.</w:t>
      </w:r>
    </w:p>
    <w:p w:rsidR="004B059B" w:rsidRPr="0088226A" w:rsidRDefault="004B059B" w:rsidP="004B059B">
      <w:pPr>
        <w:pStyle w:val="Heading2"/>
        <w:rPr>
          <w:lang w:val="en-US"/>
        </w:rPr>
      </w:pPr>
      <w:r w:rsidRPr="0088226A">
        <w:rPr>
          <w:lang w:val="en-US"/>
        </w:rPr>
        <w:t>2.5</w:t>
      </w:r>
      <w:r w:rsidRPr="0088226A">
        <w:rPr>
          <w:lang w:val="en-US"/>
        </w:rPr>
        <w:tab/>
        <w:t>RSE of single-hop rural radio-relay links</w:t>
      </w:r>
    </w:p>
    <w:p w:rsidR="004B059B" w:rsidRPr="0088226A" w:rsidRDefault="004B059B" w:rsidP="004B059B">
      <w:pPr>
        <w:rPr>
          <w:lang w:val="en-US"/>
        </w:rPr>
      </w:pPr>
      <w:r w:rsidRPr="0088226A">
        <w:rPr>
          <w:lang w:val="en-US"/>
        </w:rPr>
        <w:t>RSE values of single-hop rural point-to-multipoint radio-relay systems using different types of modulation were compared to the MTES (see Annex 1, § 3 and equation (4)).</w:t>
      </w:r>
    </w:p>
    <w:p w:rsidR="004B059B" w:rsidRPr="0088226A" w:rsidRDefault="004B059B" w:rsidP="004B059B">
      <w:pPr>
        <w:rPr>
          <w:lang w:val="en-US"/>
        </w:rPr>
      </w:pPr>
      <w:r w:rsidRPr="0088226A">
        <w:rPr>
          <w:lang w:val="en-US"/>
        </w:rPr>
        <w:t>In the model adopted for such a network, each central station has a specific service area within which it communicates by single-section links with four local stations situated in different rural sites.</w:t>
      </w:r>
    </w:p>
    <w:p w:rsidR="004B059B" w:rsidRPr="0088226A" w:rsidRDefault="004B059B" w:rsidP="004B059B">
      <w:pPr>
        <w:rPr>
          <w:lang w:val="en-US"/>
        </w:rPr>
      </w:pPr>
      <w:r w:rsidRPr="0088226A">
        <w:rPr>
          <w:lang w:val="en-US"/>
        </w:rPr>
        <w:t>The RSE in such a network in the relation to the MTES was considered as a function of a large number of parameters: the frequency band used, the type of frequency and polarization-space planning of the network, the height at which the antenna is suspended and the antenna diameter under different types and parameters of the modulation (FM and pulse-code modulation (PCM) with Multiple-PSK).</w:t>
      </w:r>
    </w:p>
    <w:p w:rsidR="004B059B" w:rsidRPr="0088226A" w:rsidRDefault="004B059B" w:rsidP="004B059B">
      <w:pPr>
        <w:rPr>
          <w:lang w:val="en-US"/>
        </w:rPr>
      </w:pPr>
      <w:r w:rsidRPr="0088226A">
        <w:rPr>
          <w:lang w:val="en-US"/>
        </w:rPr>
        <w:t xml:space="preserve">Table 12 presents some results of those calculations in the case of a network operation in the 8 GHz frequency band with antenna suspension heights of 45 m, antenna diameters, </w:t>
      </w:r>
      <w:r w:rsidRPr="0088226A">
        <w:rPr>
          <w:i/>
          <w:lang w:val="en-US"/>
        </w:rPr>
        <w:t>D</w:t>
      </w:r>
      <w:r w:rsidRPr="0088226A">
        <w:rPr>
          <w:lang w:val="en-US"/>
        </w:rPr>
        <w:t>, of 1.5 m and 3.0 m, 2- and 4-frequency operations (</w:t>
      </w:r>
      <w:r w:rsidRPr="0088226A">
        <w:rPr>
          <w:i/>
          <w:lang w:val="en-US"/>
        </w:rPr>
        <w:t>K</w:t>
      </w:r>
      <w:r w:rsidRPr="0088226A">
        <w:rPr>
          <w:lang w:val="en-US"/>
        </w:rPr>
        <w:t xml:space="preserve"> </w:t>
      </w:r>
      <w:r>
        <w:rPr>
          <w:rFonts w:ascii="Symbol" w:hAnsi="Symbol"/>
        </w:rPr>
        <w:t></w:t>
      </w:r>
      <w:r w:rsidRPr="0088226A">
        <w:rPr>
          <w:lang w:val="en-US"/>
        </w:rPr>
        <w:t xml:space="preserve"> 2 and </w:t>
      </w:r>
      <w:r w:rsidRPr="0088226A">
        <w:rPr>
          <w:i/>
          <w:lang w:val="en-US"/>
        </w:rPr>
        <w:t>K</w:t>
      </w:r>
      <w:r w:rsidRPr="0088226A">
        <w:rPr>
          <w:lang w:val="en-US"/>
        </w:rPr>
        <w:t xml:space="preserve"> </w:t>
      </w:r>
      <w:r>
        <w:rPr>
          <w:rFonts w:ascii="Symbol" w:hAnsi="Symbol"/>
        </w:rPr>
        <w:t></w:t>
      </w:r>
      <w:r w:rsidRPr="0088226A">
        <w:rPr>
          <w:lang w:val="en-US"/>
        </w:rPr>
        <w:t xml:space="preserve"> 4 respectively) and two types of polarization plan - with the use in the network of one (1</w:t>
      </w:r>
      <w:r w:rsidRPr="0088226A">
        <w:rPr>
          <w:i/>
          <w:lang w:val="en-US"/>
        </w:rPr>
        <w:t>P</w:t>
      </w:r>
      <w:r w:rsidRPr="0088226A">
        <w:rPr>
          <w:lang w:val="en-US"/>
        </w:rPr>
        <w:t>) and two (2</w:t>
      </w:r>
      <w:r w:rsidRPr="0088226A">
        <w:rPr>
          <w:i/>
          <w:lang w:val="en-US"/>
        </w:rPr>
        <w:t>P</w:t>
      </w:r>
      <w:r w:rsidRPr="0088226A">
        <w:rPr>
          <w:lang w:val="en-US"/>
        </w:rPr>
        <w:t>) types of polarization. For PCM the data is given for 2-PSK (</w:t>
      </w:r>
      <w:r w:rsidRPr="0088226A">
        <w:rPr>
          <w:i/>
          <w:lang w:val="en-US"/>
        </w:rPr>
        <w:t>M</w:t>
      </w:r>
      <w:r w:rsidRPr="0088226A">
        <w:rPr>
          <w:lang w:val="en-US"/>
        </w:rPr>
        <w:t xml:space="preserve"> </w:t>
      </w:r>
      <w:r>
        <w:rPr>
          <w:rFonts w:ascii="Symbol" w:hAnsi="Symbol"/>
        </w:rPr>
        <w:t></w:t>
      </w:r>
      <w:r w:rsidRPr="0088226A">
        <w:rPr>
          <w:lang w:val="en-US"/>
        </w:rPr>
        <w:t xml:space="preserve"> 2), 4 PSK (</w:t>
      </w:r>
      <w:r w:rsidRPr="0088226A">
        <w:rPr>
          <w:i/>
          <w:lang w:val="en-US"/>
        </w:rPr>
        <w:t>M</w:t>
      </w:r>
      <w:r w:rsidRPr="0088226A">
        <w:rPr>
          <w:lang w:val="en-US"/>
        </w:rPr>
        <w:t xml:space="preserve"> </w:t>
      </w:r>
      <w:r>
        <w:rPr>
          <w:rFonts w:ascii="Symbol" w:hAnsi="Symbol"/>
        </w:rPr>
        <w:t></w:t>
      </w:r>
      <w:r w:rsidRPr="0088226A">
        <w:rPr>
          <w:lang w:val="en-US"/>
        </w:rPr>
        <w:t xml:space="preserve"> 4) and for a value (</w:t>
      </w:r>
      <w:r w:rsidRPr="0088226A">
        <w:rPr>
          <w:i/>
          <w:lang w:val="en-US"/>
        </w:rPr>
        <w:t>M</w:t>
      </w:r>
      <w:r w:rsidRPr="0088226A">
        <w:rPr>
          <w:i/>
          <w:position w:val="-4"/>
          <w:sz w:val="16"/>
          <w:lang w:val="en-US"/>
        </w:rPr>
        <w:t>max</w:t>
      </w:r>
      <w:r w:rsidRPr="0088226A">
        <w:rPr>
          <w:lang w:val="en-US"/>
        </w:rPr>
        <w:t>) which ensures maximum value of the RSE. The dashes in Table 12 indicate that with the given combinations of parameters the performance characteristic standards cannot be met. As Table 12 shows, the use of PCM with PSK produces a gain in the RSE only with the optimum modulation conditions (</w:t>
      </w:r>
      <w:r w:rsidRPr="0088226A">
        <w:rPr>
          <w:i/>
          <w:lang w:val="en-US"/>
        </w:rPr>
        <w:t>M</w:t>
      </w:r>
      <w:r w:rsidRPr="0088226A">
        <w:rPr>
          <w:i/>
          <w:position w:val="-4"/>
          <w:sz w:val="16"/>
          <w:lang w:val="en-US"/>
        </w:rPr>
        <w:t>max</w:t>
      </w:r>
      <w:r w:rsidRPr="0088226A">
        <w:rPr>
          <w:lang w:val="en-US"/>
        </w:rPr>
        <w:t> </w:t>
      </w:r>
      <w:r>
        <w:rPr>
          <w:rFonts w:ascii="Symbol" w:hAnsi="Symbol"/>
        </w:rPr>
        <w:t></w:t>
      </w:r>
      <w:r w:rsidRPr="0088226A">
        <w:rPr>
          <w:lang w:val="en-US"/>
        </w:rPr>
        <w:t xml:space="preserve"> 8) and antennas with a diameter of 3 m.</w:t>
      </w:r>
    </w:p>
    <w:p w:rsidR="004B059B" w:rsidRPr="0088226A" w:rsidRDefault="004B059B" w:rsidP="004B059B">
      <w:pPr>
        <w:pStyle w:val="Note"/>
        <w:rPr>
          <w:lang w:val="en-US"/>
        </w:rPr>
      </w:pPr>
      <w:r w:rsidRPr="0088226A">
        <w:rPr>
          <w:lang w:val="en-US"/>
        </w:rPr>
        <w:t>NOTE 1 –</w:t>
      </w:r>
      <w:r w:rsidR="00BB5B3D">
        <w:rPr>
          <w:lang w:val="en-US"/>
        </w:rPr>
        <w:t> </w:t>
      </w:r>
      <w:r w:rsidRPr="0088226A">
        <w:rPr>
          <w:lang w:val="en-US"/>
        </w:rPr>
        <w:t>Additional information may be found in: Annex IV Report 662-3 (Düsseldorf, 1990).</w:t>
      </w:r>
    </w:p>
    <w:p w:rsidR="004B059B" w:rsidRPr="004B059B" w:rsidRDefault="004B059B" w:rsidP="004B059B">
      <w:pPr>
        <w:pStyle w:val="Table"/>
        <w:rPr>
          <w:lang w:val="en-US"/>
        </w:rPr>
      </w:pPr>
      <w:r w:rsidRPr="004B059B">
        <w:rPr>
          <w:lang w:val="en-US"/>
        </w:rPr>
        <w:t>TABLE  12</w:t>
      </w:r>
    </w:p>
    <w:p w:rsidR="004B059B" w:rsidRPr="004B059B" w:rsidRDefault="004B059B" w:rsidP="004B059B">
      <w:pPr>
        <w:pStyle w:val="TableTitle0"/>
        <w:rPr>
          <w:lang w:val="en-US"/>
        </w:rPr>
      </w:pPr>
      <w:r>
        <w:t>RSE of single-hop rural radio-relay links</w:t>
      </w:r>
    </w:p>
    <w:p w:rsidR="004B059B" w:rsidRDefault="004B059B" w:rsidP="004B059B">
      <w:pPr>
        <w:pStyle w:val="Blanc"/>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134"/>
        <w:gridCol w:w="1134"/>
        <w:gridCol w:w="1134"/>
        <w:gridCol w:w="1134"/>
      </w:tblGrid>
      <w:tr w:rsidR="004B059B">
        <w:trPr>
          <w:jc w:val="center"/>
        </w:trPr>
        <w:tc>
          <w:tcPr>
            <w:tcW w:w="1701" w:type="dxa"/>
            <w:tcBorders>
              <w:top w:val="single" w:sz="6" w:space="0" w:color="auto"/>
              <w:bottom w:val="nil"/>
              <w:right w:val="single" w:sz="6" w:space="0" w:color="auto"/>
            </w:tcBorders>
          </w:tcPr>
          <w:p w:rsidR="004B059B" w:rsidRDefault="004B059B" w:rsidP="00D11D34">
            <w:pPr>
              <w:pStyle w:val="TableText0"/>
              <w:spacing w:before="400" w:after="0"/>
              <w:jc w:val="center"/>
            </w:pPr>
          </w:p>
        </w:tc>
        <w:tc>
          <w:tcPr>
            <w:tcW w:w="1701" w:type="dxa"/>
            <w:tcBorders>
              <w:top w:val="single" w:sz="6" w:space="0" w:color="auto"/>
              <w:left w:val="nil"/>
              <w:bottom w:val="nil"/>
              <w:right w:val="single" w:sz="6" w:space="0" w:color="auto"/>
            </w:tcBorders>
          </w:tcPr>
          <w:p w:rsidR="004B059B" w:rsidRDefault="004B059B" w:rsidP="00D11D34">
            <w:pPr>
              <w:pStyle w:val="TableText0"/>
              <w:spacing w:before="400" w:after="0"/>
              <w:jc w:val="center"/>
            </w:pPr>
            <w:r>
              <w:t>Frequency</w:t>
            </w:r>
          </w:p>
        </w:tc>
        <w:tc>
          <w:tcPr>
            <w:tcW w:w="1701" w:type="dxa"/>
            <w:tcBorders>
              <w:top w:val="single" w:sz="6" w:space="0" w:color="auto"/>
              <w:left w:val="nil"/>
              <w:bottom w:val="nil"/>
              <w:right w:val="nil"/>
            </w:tcBorders>
          </w:tcPr>
          <w:p w:rsidR="004B059B" w:rsidRDefault="004B059B" w:rsidP="00D11D34">
            <w:pPr>
              <w:pStyle w:val="TableText0"/>
              <w:spacing w:before="400" w:after="0"/>
              <w:jc w:val="center"/>
            </w:pPr>
            <w:r>
              <w:t>Parameters of</w:t>
            </w:r>
          </w:p>
        </w:tc>
        <w:tc>
          <w:tcPr>
            <w:tcW w:w="4536" w:type="dxa"/>
            <w:gridSpan w:val="4"/>
            <w:tcBorders>
              <w:top w:val="single" w:sz="6" w:space="0" w:color="auto"/>
              <w:left w:val="single" w:sz="6" w:space="0" w:color="auto"/>
              <w:bottom w:val="single" w:sz="6" w:space="0" w:color="auto"/>
            </w:tcBorders>
          </w:tcPr>
          <w:p w:rsidR="004B059B" w:rsidRDefault="004B059B" w:rsidP="00D11D34">
            <w:pPr>
              <w:pStyle w:val="TableText0"/>
              <w:spacing w:before="200" w:after="200"/>
              <w:jc w:val="center"/>
            </w:pPr>
            <w:r>
              <w:t>RSE</w:t>
            </w:r>
          </w:p>
        </w:tc>
      </w:tr>
      <w:tr w:rsidR="004B059B">
        <w:trPr>
          <w:jc w:val="center"/>
        </w:trPr>
        <w:tc>
          <w:tcPr>
            <w:tcW w:w="1701" w:type="dxa"/>
            <w:tcBorders>
              <w:top w:val="nil"/>
              <w:bottom w:val="nil"/>
              <w:right w:val="single" w:sz="6" w:space="0" w:color="auto"/>
            </w:tcBorders>
          </w:tcPr>
          <w:p w:rsidR="004B059B" w:rsidRDefault="004B059B" w:rsidP="00D11D34">
            <w:pPr>
              <w:pStyle w:val="TableText0"/>
              <w:jc w:val="center"/>
            </w:pPr>
            <w:r>
              <w:t>Modulation</w:t>
            </w:r>
          </w:p>
        </w:tc>
        <w:tc>
          <w:tcPr>
            <w:tcW w:w="1701" w:type="dxa"/>
            <w:tcBorders>
              <w:top w:val="nil"/>
              <w:left w:val="nil"/>
              <w:bottom w:val="nil"/>
              <w:right w:val="single" w:sz="6" w:space="0" w:color="auto"/>
            </w:tcBorders>
          </w:tcPr>
          <w:p w:rsidR="004B059B" w:rsidRDefault="004B059B" w:rsidP="00D11D34">
            <w:pPr>
              <w:pStyle w:val="TableText0"/>
              <w:spacing w:before="0"/>
              <w:jc w:val="center"/>
            </w:pPr>
            <w:r>
              <w:t>plan</w:t>
            </w:r>
          </w:p>
        </w:tc>
        <w:tc>
          <w:tcPr>
            <w:tcW w:w="1701" w:type="dxa"/>
            <w:tcBorders>
              <w:top w:val="nil"/>
              <w:left w:val="nil"/>
              <w:bottom w:val="nil"/>
              <w:right w:val="nil"/>
            </w:tcBorders>
          </w:tcPr>
          <w:p w:rsidR="004B059B" w:rsidRDefault="004B059B" w:rsidP="00D11D34">
            <w:pPr>
              <w:pStyle w:val="TableText0"/>
              <w:spacing w:before="0"/>
              <w:jc w:val="center"/>
            </w:pPr>
            <w:r>
              <w:t>modulation</w:t>
            </w:r>
          </w:p>
        </w:tc>
        <w:tc>
          <w:tcPr>
            <w:tcW w:w="2268" w:type="dxa"/>
            <w:gridSpan w:val="2"/>
            <w:tcBorders>
              <w:top w:val="single" w:sz="6" w:space="0" w:color="auto"/>
              <w:left w:val="single" w:sz="6" w:space="0" w:color="auto"/>
              <w:bottom w:val="single" w:sz="6" w:space="0" w:color="auto"/>
              <w:right w:val="single" w:sz="6" w:space="0" w:color="auto"/>
            </w:tcBorders>
          </w:tcPr>
          <w:p w:rsidR="004B059B" w:rsidRDefault="004B059B" w:rsidP="00D11D34">
            <w:pPr>
              <w:pStyle w:val="TableText0"/>
              <w:jc w:val="center"/>
            </w:pPr>
            <w:r>
              <w:rPr>
                <w:i/>
              </w:rPr>
              <w:t>D</w:t>
            </w:r>
            <w:r>
              <w:t xml:space="preserve">  </w:t>
            </w:r>
            <w:r>
              <w:rPr>
                <w:rFonts w:ascii="Symbol" w:hAnsi="Symbol"/>
              </w:rPr>
              <w:t></w:t>
            </w:r>
            <w:r>
              <w:t xml:space="preserve">  1.5 m</w:t>
            </w:r>
          </w:p>
        </w:tc>
        <w:tc>
          <w:tcPr>
            <w:tcW w:w="2268" w:type="dxa"/>
            <w:gridSpan w:val="2"/>
            <w:tcBorders>
              <w:top w:val="single" w:sz="6" w:space="0" w:color="auto"/>
              <w:left w:val="single" w:sz="6" w:space="0" w:color="auto"/>
              <w:bottom w:val="single" w:sz="6" w:space="0" w:color="auto"/>
            </w:tcBorders>
          </w:tcPr>
          <w:p w:rsidR="004B059B" w:rsidRDefault="004B059B" w:rsidP="00D11D34">
            <w:pPr>
              <w:pStyle w:val="TableText0"/>
              <w:jc w:val="center"/>
            </w:pPr>
            <w:r>
              <w:rPr>
                <w:i/>
              </w:rPr>
              <w:t>D</w:t>
            </w:r>
            <w:r>
              <w:t xml:space="preserve">  </w:t>
            </w:r>
            <w:r>
              <w:rPr>
                <w:rFonts w:ascii="Symbol" w:hAnsi="Symbol"/>
              </w:rPr>
              <w:t></w:t>
            </w:r>
            <w:r>
              <w:t xml:space="preserve">  3.0 m</w:t>
            </w:r>
          </w:p>
        </w:tc>
      </w:tr>
      <w:tr w:rsidR="004B059B">
        <w:trPr>
          <w:jc w:val="center"/>
        </w:trPr>
        <w:tc>
          <w:tcPr>
            <w:tcW w:w="1701" w:type="dxa"/>
            <w:tcBorders>
              <w:top w:val="nil"/>
              <w:bottom w:val="nil"/>
              <w:right w:val="single" w:sz="6" w:space="0" w:color="auto"/>
            </w:tcBorders>
          </w:tcPr>
          <w:p w:rsidR="004B059B" w:rsidRDefault="004B059B" w:rsidP="00D11D34">
            <w:pPr>
              <w:pStyle w:val="TableText0"/>
              <w:jc w:val="center"/>
              <w:rPr>
                <w:lang w:val="es-ES_tradnl"/>
              </w:rPr>
            </w:pPr>
          </w:p>
        </w:tc>
        <w:tc>
          <w:tcPr>
            <w:tcW w:w="1701" w:type="dxa"/>
            <w:tcBorders>
              <w:top w:val="nil"/>
              <w:left w:val="nil"/>
              <w:bottom w:val="nil"/>
              <w:right w:val="single" w:sz="6" w:space="0" w:color="auto"/>
            </w:tcBorders>
          </w:tcPr>
          <w:p w:rsidR="004B059B" w:rsidRDefault="004B059B" w:rsidP="00D11D34">
            <w:pPr>
              <w:pStyle w:val="TableText0"/>
              <w:jc w:val="center"/>
              <w:rPr>
                <w:lang w:val="es-ES_tradnl"/>
              </w:rPr>
            </w:pPr>
          </w:p>
        </w:tc>
        <w:tc>
          <w:tcPr>
            <w:tcW w:w="1701" w:type="dxa"/>
            <w:tcBorders>
              <w:top w:val="nil"/>
              <w:left w:val="nil"/>
              <w:bottom w:val="nil"/>
              <w:right w:val="nil"/>
            </w:tcBorders>
          </w:tcPr>
          <w:p w:rsidR="004B059B" w:rsidRDefault="004B059B" w:rsidP="00D11D34">
            <w:pPr>
              <w:pStyle w:val="TableText0"/>
              <w:jc w:val="center"/>
              <w:rPr>
                <w:lang w:val="es-ES_tradnl"/>
              </w:rPr>
            </w:pPr>
          </w:p>
        </w:tc>
        <w:tc>
          <w:tcPr>
            <w:tcW w:w="1134"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1P</w:t>
            </w:r>
          </w:p>
        </w:tc>
        <w:tc>
          <w:tcPr>
            <w:tcW w:w="1134"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2P</w:t>
            </w:r>
          </w:p>
        </w:tc>
        <w:tc>
          <w:tcPr>
            <w:tcW w:w="1134" w:type="dxa"/>
            <w:tcBorders>
              <w:top w:val="single" w:sz="6" w:space="0" w:color="auto"/>
              <w:left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1P</w:t>
            </w:r>
          </w:p>
        </w:tc>
        <w:tc>
          <w:tcPr>
            <w:tcW w:w="1134" w:type="dxa"/>
            <w:tcBorders>
              <w:top w:val="single" w:sz="6" w:space="0" w:color="auto"/>
              <w:left w:val="single" w:sz="6" w:space="0" w:color="auto"/>
              <w:bottom w:val="nil"/>
            </w:tcBorders>
          </w:tcPr>
          <w:p w:rsidR="004B059B" w:rsidRDefault="004B059B" w:rsidP="00D11D34">
            <w:pPr>
              <w:pStyle w:val="TableText0"/>
              <w:jc w:val="center"/>
              <w:rPr>
                <w:lang w:val="es-ES_tradnl"/>
              </w:rPr>
            </w:pPr>
            <w:r>
              <w:rPr>
                <w:lang w:val="es-ES_tradnl"/>
              </w:rPr>
              <w:t>2P</w:t>
            </w:r>
          </w:p>
        </w:tc>
      </w:tr>
      <w:tr w:rsidR="004B059B">
        <w:trPr>
          <w:jc w:val="center"/>
        </w:trPr>
        <w:tc>
          <w:tcPr>
            <w:tcW w:w="1701" w:type="dxa"/>
            <w:tcBorders>
              <w:top w:val="single" w:sz="6" w:space="0" w:color="auto"/>
              <w:bottom w:val="nil"/>
              <w:right w:val="single" w:sz="6" w:space="0" w:color="auto"/>
            </w:tcBorders>
          </w:tcPr>
          <w:p w:rsidR="004B059B" w:rsidRDefault="004B059B" w:rsidP="00D11D34">
            <w:pPr>
              <w:pStyle w:val="TableText0"/>
              <w:jc w:val="center"/>
              <w:rPr>
                <w:lang w:val="es-ES_tradnl"/>
              </w:rPr>
            </w:pPr>
            <w:r>
              <w:rPr>
                <w:lang w:val="es-ES_tradnl"/>
              </w:rPr>
              <w:t>FM</w:t>
            </w: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jc w:val="center"/>
              <w:rPr>
                <w:lang w:val="es-ES_tradnl"/>
              </w:rPr>
            </w:pPr>
            <w:r>
              <w:rPr>
                <w:i/>
                <w:lang w:val="es-ES_tradnl"/>
              </w:rPr>
              <w:t>K</w:t>
            </w:r>
            <w:r>
              <w:rPr>
                <w:lang w:val="es-ES_tradnl"/>
              </w:rPr>
              <w:t xml:space="preserve">  </w:t>
            </w:r>
            <w:r>
              <w:rPr>
                <w:rFonts w:ascii="Symbol" w:hAnsi="Symbol"/>
                <w:lang w:val="es-ES_tradnl"/>
              </w:rPr>
              <w:t></w:t>
            </w:r>
            <w:r>
              <w:rPr>
                <w:lang w:val="es-ES_tradnl"/>
              </w:rPr>
              <w:t xml:space="preserve">  2</w:t>
            </w: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jc w:val="center"/>
              <w:rPr>
                <w:lang w:val="es-ES_tradnl"/>
              </w:rPr>
            </w:pPr>
          </w:p>
        </w:tc>
        <w:tc>
          <w:tcPr>
            <w:tcW w:w="1134"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0.27</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0.3</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0.285</w:t>
            </w:r>
          </w:p>
        </w:tc>
        <w:tc>
          <w:tcPr>
            <w:tcW w:w="1134" w:type="dxa"/>
            <w:tcBorders>
              <w:top w:val="single" w:sz="6" w:space="0" w:color="auto"/>
              <w:left w:val="single" w:sz="6" w:space="0" w:color="auto"/>
              <w:bottom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0.285</w:t>
            </w:r>
          </w:p>
        </w:tc>
      </w:tr>
      <w:tr w:rsidR="004B059B">
        <w:trPr>
          <w:jc w:val="center"/>
        </w:trPr>
        <w:tc>
          <w:tcPr>
            <w:tcW w:w="1701" w:type="dxa"/>
            <w:tcBorders>
              <w:top w:val="nil"/>
              <w:bottom w:val="single" w:sz="6" w:space="0" w:color="auto"/>
              <w:right w:val="single" w:sz="6" w:space="0" w:color="auto"/>
            </w:tcBorders>
          </w:tcPr>
          <w:p w:rsidR="004B059B" w:rsidRDefault="004B059B" w:rsidP="00D11D34">
            <w:pPr>
              <w:pStyle w:val="TableText0"/>
              <w:jc w:val="center"/>
              <w:rPr>
                <w:lang w:val="es-ES_tradnl"/>
              </w:rPr>
            </w:pP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jc w:val="center"/>
              <w:rPr>
                <w:lang w:val="es-ES_tradnl"/>
              </w:rPr>
            </w:pPr>
            <w:r>
              <w:rPr>
                <w:i/>
                <w:lang w:val="es-ES_tradnl"/>
              </w:rPr>
              <w:t>K</w:t>
            </w:r>
            <w:r>
              <w:rPr>
                <w:lang w:val="es-ES_tradnl"/>
              </w:rPr>
              <w:t xml:space="preserve"> </w:t>
            </w:r>
            <w:r>
              <w:t xml:space="preserve"> </w:t>
            </w:r>
            <w:r>
              <w:rPr>
                <w:rFonts w:ascii="Symbol" w:hAnsi="Symbol"/>
                <w:lang w:val="es-ES_tradnl"/>
              </w:rPr>
              <w:t></w:t>
            </w:r>
            <w:r>
              <w:rPr>
                <w:lang w:val="es-ES_tradnl"/>
              </w:rPr>
              <w:t xml:space="preserve">  4</w:t>
            </w:r>
          </w:p>
        </w:tc>
        <w:tc>
          <w:tcPr>
            <w:tcW w:w="1701" w:type="dxa"/>
            <w:tcBorders>
              <w:top w:val="single" w:sz="6" w:space="0" w:color="auto"/>
              <w:left w:val="nil"/>
              <w:bottom w:val="nil"/>
              <w:right w:val="single" w:sz="6" w:space="0" w:color="auto"/>
            </w:tcBorders>
          </w:tcPr>
          <w:p w:rsidR="004B059B" w:rsidRDefault="004B059B" w:rsidP="00D11D34">
            <w:pPr>
              <w:pStyle w:val="TableText0"/>
              <w:jc w:val="center"/>
              <w:rPr>
                <w:lang w:val="es-ES_tradnl"/>
              </w:rPr>
            </w:pPr>
          </w:p>
        </w:tc>
        <w:tc>
          <w:tcPr>
            <w:tcW w:w="1134"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0.25</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0.25</w:t>
            </w:r>
          </w:p>
        </w:tc>
        <w:tc>
          <w:tcPr>
            <w:tcW w:w="1134" w:type="dxa"/>
            <w:tcBorders>
              <w:top w:val="single" w:sz="6" w:space="0" w:color="auto"/>
              <w:left w:val="single" w:sz="6" w:space="0" w:color="auto"/>
              <w:bottom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0.25</w:t>
            </w:r>
          </w:p>
        </w:tc>
      </w:tr>
      <w:tr w:rsidR="004B059B">
        <w:trPr>
          <w:jc w:val="center"/>
        </w:trPr>
        <w:tc>
          <w:tcPr>
            <w:tcW w:w="1701" w:type="dxa"/>
            <w:tcBorders>
              <w:top w:val="nil"/>
              <w:right w:val="single" w:sz="6" w:space="0" w:color="auto"/>
            </w:tcBorders>
          </w:tcPr>
          <w:p w:rsidR="004B059B" w:rsidRDefault="004B059B" w:rsidP="00D11D34">
            <w:pPr>
              <w:pStyle w:val="TableText0"/>
              <w:jc w:val="center"/>
              <w:rPr>
                <w:lang w:val="es-ES_tradnl"/>
              </w:rPr>
            </w:pPr>
          </w:p>
        </w:tc>
        <w:tc>
          <w:tcPr>
            <w:tcW w:w="1701" w:type="dxa"/>
            <w:tcBorders>
              <w:top w:val="nil"/>
              <w:left w:val="nil"/>
              <w:right w:val="single" w:sz="6" w:space="0" w:color="auto"/>
            </w:tcBorders>
          </w:tcPr>
          <w:p w:rsidR="004B059B" w:rsidRDefault="004B059B" w:rsidP="00D11D34">
            <w:pPr>
              <w:pStyle w:val="TableText0"/>
              <w:jc w:val="center"/>
              <w:rPr>
                <w:lang w:val="es-ES_tradnl"/>
              </w:rPr>
            </w:pP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539"/>
              </w:tabs>
              <w:jc w:val="left"/>
              <w:rPr>
                <w:lang w:val="es-ES_tradnl"/>
              </w:rPr>
            </w:pPr>
            <w:r>
              <w:rPr>
                <w:i/>
                <w:lang w:val="es-ES_tradnl"/>
              </w:rPr>
              <w:tab/>
              <w:t>M</w:t>
            </w:r>
            <w:r>
              <w:rPr>
                <w:lang w:val="es-ES_tradnl"/>
              </w:rPr>
              <w:t xml:space="preserve">  </w:t>
            </w:r>
            <w:r>
              <w:rPr>
                <w:rFonts w:ascii="Symbol" w:hAnsi="Symbol"/>
                <w:lang w:val="es-ES_tradnl"/>
              </w:rPr>
              <w:t></w:t>
            </w:r>
            <w:r>
              <w:rPr>
                <w:lang w:val="es-ES_tradnl"/>
              </w:rPr>
              <w:t xml:space="preserve">  2</w:t>
            </w:r>
          </w:p>
        </w:tc>
        <w:tc>
          <w:tcPr>
            <w:tcW w:w="1134"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0.055</w:t>
            </w:r>
          </w:p>
        </w:tc>
        <w:tc>
          <w:tcPr>
            <w:tcW w:w="1134" w:type="dxa"/>
            <w:tcBorders>
              <w:top w:val="single" w:sz="6" w:space="0" w:color="auto"/>
              <w:left w:val="single" w:sz="6" w:space="0" w:color="auto"/>
              <w:bottom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0.049</w:t>
            </w:r>
          </w:p>
        </w:tc>
      </w:tr>
      <w:tr w:rsidR="004B059B">
        <w:trPr>
          <w:jc w:val="center"/>
        </w:trPr>
        <w:tc>
          <w:tcPr>
            <w:tcW w:w="1701" w:type="dxa"/>
            <w:tcBorders>
              <w:right w:val="single" w:sz="6" w:space="0" w:color="auto"/>
            </w:tcBorders>
          </w:tcPr>
          <w:p w:rsidR="004B059B" w:rsidRDefault="004B059B" w:rsidP="00D11D34">
            <w:pPr>
              <w:pStyle w:val="TableText0"/>
              <w:jc w:val="center"/>
              <w:rPr>
                <w:lang w:val="es-ES_tradnl"/>
              </w:rPr>
            </w:pPr>
          </w:p>
        </w:tc>
        <w:tc>
          <w:tcPr>
            <w:tcW w:w="1701" w:type="dxa"/>
            <w:tcBorders>
              <w:left w:val="nil"/>
              <w:bottom w:val="nil"/>
              <w:right w:val="single" w:sz="6" w:space="0" w:color="auto"/>
            </w:tcBorders>
          </w:tcPr>
          <w:p w:rsidR="004B059B" w:rsidRDefault="004B059B" w:rsidP="00D11D34">
            <w:pPr>
              <w:pStyle w:val="TableText0"/>
              <w:jc w:val="center"/>
              <w:rPr>
                <w:lang w:val="es-ES_tradnl"/>
              </w:rPr>
            </w:pPr>
            <w:r>
              <w:rPr>
                <w:i/>
                <w:lang w:val="es-ES_tradnl"/>
              </w:rPr>
              <w:t>K</w:t>
            </w:r>
            <w:r>
              <w:rPr>
                <w:lang w:val="es-ES_tradnl"/>
              </w:rPr>
              <w:t xml:space="preserve"> </w:t>
            </w:r>
            <w:r>
              <w:t xml:space="preserve"> </w:t>
            </w:r>
            <w:r>
              <w:rPr>
                <w:rFonts w:ascii="Symbol" w:hAnsi="Symbol"/>
                <w:lang w:val="es-ES_tradnl"/>
              </w:rPr>
              <w:t></w:t>
            </w:r>
            <w:r>
              <w:rPr>
                <w:lang w:val="es-ES_tradnl"/>
              </w:rPr>
              <w:t xml:space="preserve">  2</w:t>
            </w: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539"/>
              </w:tabs>
              <w:jc w:val="left"/>
              <w:rPr>
                <w:lang w:val="es-ES_tradnl"/>
              </w:rPr>
            </w:pPr>
            <w:r>
              <w:rPr>
                <w:i/>
                <w:lang w:val="es-ES_tradnl"/>
              </w:rPr>
              <w:tab/>
              <w:t>M</w:t>
            </w:r>
            <w:r>
              <w:rPr>
                <w:lang w:val="es-ES_tradnl"/>
              </w:rPr>
              <w:t xml:space="preserve">  </w:t>
            </w:r>
            <w:r>
              <w:rPr>
                <w:rFonts w:ascii="Symbol" w:hAnsi="Symbol"/>
                <w:lang w:val="es-ES_tradnl"/>
              </w:rPr>
              <w:t></w:t>
            </w:r>
            <w:r>
              <w:rPr>
                <w:lang w:val="es-ES_tradnl"/>
              </w:rPr>
              <w:t xml:space="preserve">  4</w:t>
            </w:r>
          </w:p>
        </w:tc>
        <w:tc>
          <w:tcPr>
            <w:tcW w:w="1134"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center"/>
              <w:rPr>
                <w:lang w:val="es-ES_tradnl"/>
              </w:rPr>
            </w:pPr>
            <w:r>
              <w:rPr>
                <w:lang w:val="es-ES_tradnl"/>
              </w:rPr>
              <w:t>–</w:t>
            </w:r>
          </w:p>
        </w:tc>
        <w:tc>
          <w:tcPr>
            <w:tcW w:w="1134" w:type="dxa"/>
            <w:tcBorders>
              <w:top w:val="single" w:sz="6" w:space="0" w:color="auto"/>
              <w:left w:val="single" w:sz="6" w:space="0" w:color="auto"/>
              <w:bottom w:val="single" w:sz="6" w:space="0" w:color="auto"/>
            </w:tcBorders>
          </w:tcPr>
          <w:p w:rsidR="004B059B" w:rsidRDefault="004B059B" w:rsidP="00D11D34">
            <w:pPr>
              <w:pStyle w:val="TableText0"/>
              <w:tabs>
                <w:tab w:val="clear" w:pos="794"/>
                <w:tab w:val="clear" w:pos="1191"/>
                <w:tab w:val="clear" w:pos="1588"/>
                <w:tab w:val="clear" w:pos="1985"/>
                <w:tab w:val="left" w:pos="284"/>
              </w:tabs>
              <w:jc w:val="center"/>
              <w:rPr>
                <w:lang w:val="es-ES_tradnl"/>
              </w:rPr>
            </w:pPr>
            <w:r>
              <w:rPr>
                <w:lang w:val="es-ES_tradnl"/>
              </w:rPr>
              <w:t>–</w:t>
            </w:r>
          </w:p>
        </w:tc>
      </w:tr>
      <w:tr w:rsidR="004B059B">
        <w:trPr>
          <w:jc w:val="center"/>
        </w:trPr>
        <w:tc>
          <w:tcPr>
            <w:tcW w:w="1701" w:type="dxa"/>
            <w:tcBorders>
              <w:right w:val="single" w:sz="6" w:space="0" w:color="auto"/>
            </w:tcBorders>
          </w:tcPr>
          <w:p w:rsidR="004B059B" w:rsidRDefault="004B059B" w:rsidP="00D11D34">
            <w:pPr>
              <w:pStyle w:val="TableText0"/>
              <w:jc w:val="center"/>
              <w:rPr>
                <w:lang w:val="es-ES_tradnl"/>
              </w:rPr>
            </w:pPr>
            <w:r>
              <w:rPr>
                <w:lang w:val="es-ES_tradnl"/>
              </w:rPr>
              <w:t>PCM</w:t>
            </w:r>
          </w:p>
        </w:tc>
        <w:tc>
          <w:tcPr>
            <w:tcW w:w="1701" w:type="dxa"/>
            <w:tcBorders>
              <w:top w:val="nil"/>
              <w:left w:val="nil"/>
              <w:bottom w:val="single" w:sz="6" w:space="0" w:color="auto"/>
              <w:right w:val="single" w:sz="6" w:space="0" w:color="auto"/>
            </w:tcBorders>
          </w:tcPr>
          <w:p w:rsidR="004B059B" w:rsidRDefault="004B059B" w:rsidP="00D11D34">
            <w:pPr>
              <w:pStyle w:val="TableText0"/>
              <w:jc w:val="center"/>
              <w:rPr>
                <w:lang w:val="es-ES_tradnl"/>
              </w:rPr>
            </w:pP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539"/>
              </w:tabs>
              <w:jc w:val="left"/>
              <w:rPr>
                <w:lang w:val="es-ES_tradnl"/>
              </w:rPr>
            </w:pPr>
            <w:r>
              <w:rPr>
                <w:i/>
                <w:lang w:val="es-ES_tradnl"/>
              </w:rPr>
              <w:tab/>
              <w:t>M</w:t>
            </w:r>
            <w:r>
              <w:rPr>
                <w:i/>
                <w:position w:val="-4"/>
                <w:sz w:val="14"/>
              </w:rPr>
              <w:t>max</w:t>
            </w:r>
          </w:p>
        </w:tc>
        <w:tc>
          <w:tcPr>
            <w:tcW w:w="1134"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center"/>
              <w:rPr>
                <w:lang w:val="es-ES_tradnl"/>
              </w:rPr>
            </w:pPr>
            <w:r>
              <w:rPr>
                <w:lang w:val="es-ES_tradnl"/>
              </w:rPr>
              <w:t>–</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0.055</w:t>
            </w:r>
          </w:p>
        </w:tc>
        <w:tc>
          <w:tcPr>
            <w:tcW w:w="1134" w:type="dxa"/>
            <w:tcBorders>
              <w:top w:val="single" w:sz="6" w:space="0" w:color="auto"/>
              <w:left w:val="single" w:sz="6" w:space="0" w:color="auto"/>
              <w:bottom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0.055</w:t>
            </w:r>
          </w:p>
        </w:tc>
      </w:tr>
      <w:tr w:rsidR="004B059B">
        <w:trPr>
          <w:jc w:val="center"/>
        </w:trPr>
        <w:tc>
          <w:tcPr>
            <w:tcW w:w="1701" w:type="dxa"/>
            <w:tcBorders>
              <w:right w:val="single" w:sz="6" w:space="0" w:color="auto"/>
            </w:tcBorders>
          </w:tcPr>
          <w:p w:rsidR="004B059B" w:rsidRDefault="004B059B" w:rsidP="00D11D34">
            <w:pPr>
              <w:pStyle w:val="TableText0"/>
              <w:jc w:val="center"/>
              <w:rPr>
                <w:lang w:val="es-ES_tradnl"/>
              </w:rPr>
            </w:pPr>
          </w:p>
        </w:tc>
        <w:tc>
          <w:tcPr>
            <w:tcW w:w="1701" w:type="dxa"/>
            <w:tcBorders>
              <w:top w:val="nil"/>
              <w:left w:val="nil"/>
              <w:right w:val="single" w:sz="6" w:space="0" w:color="auto"/>
            </w:tcBorders>
          </w:tcPr>
          <w:p w:rsidR="004B059B" w:rsidRDefault="004B059B" w:rsidP="00D11D34">
            <w:pPr>
              <w:pStyle w:val="TableText0"/>
              <w:jc w:val="center"/>
              <w:rPr>
                <w:lang w:val="es-ES_tradnl"/>
              </w:rPr>
            </w:pP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539"/>
              </w:tabs>
              <w:jc w:val="left"/>
              <w:rPr>
                <w:lang w:val="es-ES_tradnl"/>
              </w:rPr>
            </w:pPr>
            <w:r>
              <w:rPr>
                <w:i/>
                <w:lang w:val="es-ES_tradnl"/>
              </w:rPr>
              <w:tab/>
              <w:t>M</w:t>
            </w:r>
            <w:r>
              <w:rPr>
                <w:lang w:val="es-ES_tradnl"/>
              </w:rPr>
              <w:t xml:space="preserve">  </w:t>
            </w:r>
            <w:r>
              <w:rPr>
                <w:rFonts w:ascii="Symbol" w:hAnsi="Symbol"/>
                <w:lang w:val="es-ES_tradnl"/>
              </w:rPr>
              <w:t></w:t>
            </w:r>
            <w:r>
              <w:rPr>
                <w:lang w:val="es-ES_tradnl"/>
              </w:rPr>
              <w:t xml:space="preserve">  2</w:t>
            </w:r>
          </w:p>
        </w:tc>
        <w:tc>
          <w:tcPr>
            <w:tcW w:w="1134"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0.125</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0.0625</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0.0625</w:t>
            </w:r>
          </w:p>
        </w:tc>
        <w:tc>
          <w:tcPr>
            <w:tcW w:w="1134" w:type="dxa"/>
            <w:tcBorders>
              <w:top w:val="single" w:sz="6" w:space="0" w:color="auto"/>
              <w:left w:val="single" w:sz="6" w:space="0" w:color="auto"/>
              <w:bottom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0.0625</w:t>
            </w:r>
          </w:p>
        </w:tc>
      </w:tr>
      <w:tr w:rsidR="004B059B">
        <w:trPr>
          <w:jc w:val="center"/>
        </w:trPr>
        <w:tc>
          <w:tcPr>
            <w:tcW w:w="1701" w:type="dxa"/>
            <w:tcBorders>
              <w:right w:val="single" w:sz="6" w:space="0" w:color="auto"/>
            </w:tcBorders>
          </w:tcPr>
          <w:p w:rsidR="004B059B" w:rsidRDefault="004B059B" w:rsidP="00D11D34">
            <w:pPr>
              <w:pStyle w:val="TableText0"/>
              <w:jc w:val="center"/>
              <w:rPr>
                <w:lang w:val="es-ES_tradnl"/>
              </w:rPr>
            </w:pPr>
          </w:p>
        </w:tc>
        <w:tc>
          <w:tcPr>
            <w:tcW w:w="1701" w:type="dxa"/>
            <w:tcBorders>
              <w:left w:val="nil"/>
              <w:right w:val="single" w:sz="6" w:space="0" w:color="auto"/>
            </w:tcBorders>
          </w:tcPr>
          <w:p w:rsidR="004B059B" w:rsidRDefault="004B059B" w:rsidP="00D11D34">
            <w:pPr>
              <w:pStyle w:val="TableText0"/>
              <w:jc w:val="center"/>
              <w:rPr>
                <w:lang w:val="es-ES_tradnl"/>
              </w:rPr>
            </w:pPr>
            <w:r>
              <w:rPr>
                <w:i/>
                <w:lang w:val="es-ES_tradnl"/>
              </w:rPr>
              <w:t>K</w:t>
            </w:r>
            <w:r>
              <w:rPr>
                <w:lang w:val="es-ES_tradnl"/>
              </w:rPr>
              <w:t xml:space="preserve"> </w:t>
            </w:r>
            <w:r>
              <w:t xml:space="preserve"> </w:t>
            </w:r>
            <w:r>
              <w:rPr>
                <w:rFonts w:ascii="Symbol" w:hAnsi="Symbol"/>
                <w:lang w:val="es-ES_tradnl"/>
              </w:rPr>
              <w:t></w:t>
            </w:r>
            <w:r>
              <w:rPr>
                <w:lang w:val="es-ES_tradnl"/>
              </w:rPr>
              <w:t xml:space="preserve">  4</w:t>
            </w: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539"/>
              </w:tabs>
              <w:jc w:val="left"/>
              <w:rPr>
                <w:lang w:val="es-ES_tradnl"/>
              </w:rPr>
            </w:pPr>
            <w:r>
              <w:rPr>
                <w:i/>
                <w:lang w:val="es-ES_tradnl"/>
              </w:rPr>
              <w:tab/>
              <w:t>M</w:t>
            </w:r>
            <w:r>
              <w:rPr>
                <w:lang w:val="es-ES_tradnl"/>
              </w:rPr>
              <w:t xml:space="preserve">  </w:t>
            </w:r>
            <w:r>
              <w:rPr>
                <w:rFonts w:ascii="Symbol" w:hAnsi="Symbol"/>
                <w:lang w:val="es-ES_tradnl"/>
              </w:rPr>
              <w:t></w:t>
            </w:r>
            <w:r>
              <w:rPr>
                <w:lang w:val="es-ES_tradnl"/>
              </w:rPr>
              <w:t xml:space="preserve">  4</w:t>
            </w:r>
          </w:p>
        </w:tc>
        <w:tc>
          <w:tcPr>
            <w:tcW w:w="1134"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0.125</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0.125</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0.125</w:t>
            </w:r>
          </w:p>
        </w:tc>
        <w:tc>
          <w:tcPr>
            <w:tcW w:w="1134" w:type="dxa"/>
            <w:tcBorders>
              <w:top w:val="single" w:sz="6" w:space="0" w:color="auto"/>
              <w:left w:val="single" w:sz="6" w:space="0" w:color="auto"/>
              <w:bottom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0.125</w:t>
            </w:r>
          </w:p>
        </w:tc>
      </w:tr>
      <w:tr w:rsidR="004B059B">
        <w:trPr>
          <w:jc w:val="center"/>
        </w:trPr>
        <w:tc>
          <w:tcPr>
            <w:tcW w:w="1701" w:type="dxa"/>
            <w:tcBorders>
              <w:bottom w:val="single" w:sz="6" w:space="0" w:color="auto"/>
              <w:right w:val="single" w:sz="6" w:space="0" w:color="auto"/>
            </w:tcBorders>
          </w:tcPr>
          <w:p w:rsidR="004B059B" w:rsidRDefault="004B059B" w:rsidP="00D11D34">
            <w:pPr>
              <w:pStyle w:val="TableText0"/>
              <w:jc w:val="center"/>
              <w:rPr>
                <w:lang w:val="es-ES_tradnl"/>
              </w:rPr>
            </w:pPr>
          </w:p>
        </w:tc>
        <w:tc>
          <w:tcPr>
            <w:tcW w:w="1701" w:type="dxa"/>
            <w:tcBorders>
              <w:left w:val="nil"/>
              <w:bottom w:val="single" w:sz="6" w:space="0" w:color="auto"/>
              <w:right w:val="single" w:sz="6" w:space="0" w:color="auto"/>
            </w:tcBorders>
          </w:tcPr>
          <w:p w:rsidR="004B059B" w:rsidRDefault="004B059B" w:rsidP="00D11D34">
            <w:pPr>
              <w:pStyle w:val="TableText0"/>
              <w:jc w:val="center"/>
              <w:rPr>
                <w:lang w:val="es-ES_tradnl"/>
              </w:rPr>
            </w:pPr>
          </w:p>
        </w:tc>
        <w:tc>
          <w:tcPr>
            <w:tcW w:w="1701"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539"/>
              </w:tabs>
              <w:jc w:val="left"/>
              <w:rPr>
                <w:lang w:val="es-ES_tradnl"/>
              </w:rPr>
            </w:pPr>
            <w:r>
              <w:rPr>
                <w:i/>
                <w:lang w:val="es-ES_tradnl"/>
              </w:rPr>
              <w:tab/>
              <w:t>M</w:t>
            </w:r>
            <w:r>
              <w:rPr>
                <w:i/>
                <w:position w:val="-4"/>
                <w:sz w:val="14"/>
              </w:rPr>
              <w:t>max</w:t>
            </w:r>
          </w:p>
        </w:tc>
        <w:tc>
          <w:tcPr>
            <w:tcW w:w="1134" w:type="dxa"/>
            <w:tcBorders>
              <w:top w:val="single" w:sz="6" w:space="0" w:color="auto"/>
              <w:left w:val="nil"/>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0.25</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0.25</w:t>
            </w:r>
          </w:p>
        </w:tc>
        <w:tc>
          <w:tcPr>
            <w:tcW w:w="1134" w:type="dxa"/>
            <w:tcBorders>
              <w:top w:val="single" w:sz="6" w:space="0" w:color="auto"/>
              <w:left w:val="single" w:sz="6" w:space="0" w:color="auto"/>
              <w:bottom w:val="single" w:sz="6" w:space="0" w:color="auto"/>
              <w:right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0.25</w:t>
            </w:r>
          </w:p>
        </w:tc>
        <w:tc>
          <w:tcPr>
            <w:tcW w:w="1134" w:type="dxa"/>
            <w:tcBorders>
              <w:top w:val="single" w:sz="6" w:space="0" w:color="auto"/>
              <w:left w:val="single" w:sz="6" w:space="0" w:color="auto"/>
              <w:bottom w:val="single" w:sz="6" w:space="0" w:color="auto"/>
            </w:tcBorders>
          </w:tcPr>
          <w:p w:rsidR="004B059B" w:rsidRDefault="004B059B" w:rsidP="00D11D34">
            <w:pPr>
              <w:pStyle w:val="TableText0"/>
              <w:tabs>
                <w:tab w:val="clear" w:pos="794"/>
                <w:tab w:val="clear" w:pos="1191"/>
                <w:tab w:val="clear" w:pos="1588"/>
                <w:tab w:val="clear" w:pos="1985"/>
                <w:tab w:val="left" w:pos="284"/>
              </w:tabs>
              <w:jc w:val="left"/>
              <w:rPr>
                <w:lang w:val="es-ES_tradnl"/>
              </w:rPr>
            </w:pPr>
            <w:r>
              <w:rPr>
                <w:lang w:val="es-ES_tradnl"/>
              </w:rPr>
              <w:tab/>
              <w:t>0.5</w:t>
            </w:r>
          </w:p>
        </w:tc>
      </w:tr>
    </w:tbl>
    <w:p w:rsidR="004B059B" w:rsidRDefault="004B059B" w:rsidP="004B059B">
      <w:pPr>
        <w:pStyle w:val="Tablefin"/>
        <w:rPr>
          <w:lang w:val="es-ES_tradnl"/>
        </w:rPr>
      </w:pPr>
    </w:p>
    <w:p w:rsidR="00E15FCC" w:rsidRPr="00E15FCC" w:rsidRDefault="00E15FCC" w:rsidP="00E15FCC">
      <w:pPr>
        <w:pStyle w:val="Heading2"/>
        <w:rPr>
          <w:lang w:val="en-US"/>
        </w:rPr>
      </w:pPr>
      <w:r w:rsidRPr="00E15FCC">
        <w:rPr>
          <w:lang w:val="en-US"/>
        </w:rPr>
        <w:lastRenderedPageBreak/>
        <w:t>2.6</w:t>
      </w:r>
      <w:r w:rsidRPr="00E15FCC">
        <w:rPr>
          <w:lang w:val="en-US"/>
        </w:rPr>
        <w:tab/>
        <w:t xml:space="preserve">Spectrum use by point-to-point </w:t>
      </w:r>
      <w:r w:rsidR="006A02DC">
        <w:rPr>
          <w:lang w:val="en-US"/>
        </w:rPr>
        <w:t xml:space="preserve">(p-p) </w:t>
      </w:r>
      <w:r w:rsidRPr="00E15FCC">
        <w:rPr>
          <w:lang w:val="en-US"/>
        </w:rPr>
        <w:t>systems</w:t>
      </w:r>
    </w:p>
    <w:p w:rsidR="00E15FCC" w:rsidRPr="00E15FCC" w:rsidRDefault="00E15FCC" w:rsidP="00E15FCC">
      <w:pPr>
        <w:pStyle w:val="Heading3"/>
        <w:rPr>
          <w:lang w:val="en-US"/>
        </w:rPr>
      </w:pPr>
      <w:r w:rsidRPr="00E15FCC">
        <w:rPr>
          <w:lang w:val="en-US"/>
        </w:rPr>
        <w:t>2.6.1</w:t>
      </w:r>
      <w:r w:rsidRPr="00E15FCC">
        <w:rPr>
          <w:lang w:val="en-US"/>
        </w:rPr>
        <w:tab/>
        <w:t>Introduction</w:t>
      </w:r>
    </w:p>
    <w:p w:rsidR="00E15FCC" w:rsidRPr="00E15FCC" w:rsidRDefault="00E15FCC" w:rsidP="00E15FCC">
      <w:pPr>
        <w:rPr>
          <w:lang w:val="en-US"/>
        </w:rPr>
      </w:pPr>
      <w:r w:rsidRPr="00E15FCC">
        <w:rPr>
          <w:lang w:val="en-US"/>
        </w:rPr>
        <w:t xml:space="preserve">For the general case, the spectrum utilization efficiency for a </w:t>
      </w:r>
      <w:r>
        <w:rPr>
          <w:lang w:val="en-US"/>
        </w:rPr>
        <w:t>p-p</w:t>
      </w:r>
      <w:r w:rsidRPr="00E15FCC">
        <w:rPr>
          <w:lang w:val="en-US"/>
        </w:rPr>
        <w:t xml:space="preserve"> system is given by the complex parameter:</w:t>
      </w:r>
    </w:p>
    <w:p w:rsidR="00E15FCC" w:rsidRPr="00E15FCC" w:rsidRDefault="00E15FCC" w:rsidP="00E15FCC">
      <w:pPr>
        <w:pStyle w:val="Equation"/>
        <w:rPr>
          <w:lang w:val="en-US"/>
        </w:rPr>
      </w:pPr>
      <w:r w:rsidRPr="00E15FCC">
        <w:rPr>
          <w:lang w:val="en-US"/>
        </w:rPr>
        <w:tab/>
      </w:r>
      <w:r w:rsidRPr="00E15FCC">
        <w:rPr>
          <w:lang w:val="en-US"/>
        </w:rPr>
        <w:tab/>
      </w:r>
      <w:r w:rsidRPr="00C12926">
        <w:rPr>
          <w:position w:val="-10"/>
        </w:rPr>
        <w:object w:dxaOrig="1380" w:dyaOrig="340">
          <v:shape id="_x0000_i1060" type="#_x0000_t75" style="width:69pt;height:17.4pt" o:ole="">
            <v:imagedata r:id="rId88" o:title=""/>
          </v:shape>
          <o:OLEObject Type="Embed" ProgID="Equation.3" ShapeID="_x0000_i1060" DrawAspect="Content" ObjectID="_1370947792" r:id="rId89"/>
        </w:object>
      </w:r>
      <w:r w:rsidRPr="00E15FCC">
        <w:rPr>
          <w:lang w:val="en-US"/>
        </w:rPr>
        <w:tab/>
        <w:t>(30)</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pPr>
      <w:r w:rsidRPr="00C12926">
        <w:tab/>
      </w:r>
      <w:r w:rsidRPr="00C12926">
        <w:rPr>
          <w:i/>
        </w:rPr>
        <w:t>M</w:t>
      </w:r>
      <w:r w:rsidRPr="00C12926">
        <w:rPr>
          <w:iCs/>
        </w:rPr>
        <w:t>:</w:t>
      </w:r>
      <w:r w:rsidRPr="00C12926">
        <w:tab/>
        <w:t xml:space="preserve">useful effect obtained with the </w:t>
      </w:r>
      <w:r>
        <w:t>p-p</w:t>
      </w:r>
      <w:r w:rsidRPr="00C12926">
        <w:t xml:space="preserve"> system in question; and</w:t>
      </w:r>
    </w:p>
    <w:p w:rsidR="00E15FCC" w:rsidRPr="00C12926" w:rsidRDefault="00E15FCC" w:rsidP="00E15FCC">
      <w:pPr>
        <w:pStyle w:val="Equationlegend"/>
      </w:pPr>
      <w:r w:rsidRPr="00C12926">
        <w:tab/>
      </w:r>
      <w:r w:rsidRPr="00C12926">
        <w:rPr>
          <w:i/>
        </w:rPr>
        <w:t>U</w:t>
      </w:r>
      <w:r w:rsidRPr="00C12926">
        <w:rPr>
          <w:iCs/>
        </w:rPr>
        <w:t>:</w:t>
      </w:r>
      <w:r w:rsidRPr="00C12926">
        <w:tab/>
        <w:t>spectrum utilization factor for that system.</w:t>
      </w:r>
    </w:p>
    <w:p w:rsidR="00E15FCC" w:rsidRPr="00E15FCC" w:rsidRDefault="00E15FCC" w:rsidP="00E15FCC">
      <w:pPr>
        <w:pStyle w:val="Heading3"/>
        <w:rPr>
          <w:lang w:val="en-US"/>
        </w:rPr>
      </w:pPr>
      <w:r w:rsidRPr="00E15FCC">
        <w:rPr>
          <w:lang w:val="en-US"/>
        </w:rPr>
        <w:t>2.6.2</w:t>
      </w:r>
      <w:r w:rsidRPr="00E15FCC">
        <w:rPr>
          <w:lang w:val="en-US"/>
        </w:rPr>
        <w:tab/>
        <w:t xml:space="preserve">Definition of useful effect for a </w:t>
      </w:r>
      <w:r>
        <w:rPr>
          <w:lang w:val="en-US"/>
        </w:rPr>
        <w:t>p-p</w:t>
      </w:r>
      <w:r w:rsidRPr="00E15FCC">
        <w:rPr>
          <w:lang w:val="en-US"/>
        </w:rPr>
        <w:t xml:space="preserve"> system</w:t>
      </w:r>
    </w:p>
    <w:p w:rsidR="00E15FCC" w:rsidRPr="00E15FCC" w:rsidRDefault="00E15FCC" w:rsidP="00E15FCC">
      <w:pPr>
        <w:rPr>
          <w:lang w:val="en-US"/>
        </w:rPr>
      </w:pPr>
      <w:r w:rsidRPr="00E15FCC">
        <w:rPr>
          <w:lang w:val="en-US"/>
        </w:rPr>
        <w:t xml:space="preserve">The useful effect of a </w:t>
      </w:r>
      <w:r>
        <w:rPr>
          <w:lang w:val="en-US"/>
        </w:rPr>
        <w:t>p-p</w:t>
      </w:r>
      <w:r w:rsidRPr="00E15FCC">
        <w:rPr>
          <w:lang w:val="en-US"/>
        </w:rPr>
        <w:t xml:space="preserve"> system can be applied for analogue and digital systems. The reference for determination of the useful effect of an analogue system could be simply assumed as being the number of transmitted voice channels. However, in </w:t>
      </w:r>
      <w:r>
        <w:rPr>
          <w:lang w:val="en-US"/>
        </w:rPr>
        <w:t>p-p</w:t>
      </w:r>
      <w:r w:rsidRPr="00E15FCC">
        <w:rPr>
          <w:lang w:val="en-US"/>
        </w:rPr>
        <w:t xml:space="preserve"> systems, it is also interesting to consider the total distance over which the information is transmitted. Thus, the useful effect for analogue </w:t>
      </w:r>
      <w:r>
        <w:rPr>
          <w:lang w:val="en-US"/>
        </w:rPr>
        <w:t>p-p</w:t>
      </w:r>
      <w:r w:rsidRPr="00E15FCC">
        <w:rPr>
          <w:lang w:val="en-US"/>
        </w:rPr>
        <w:t xml:space="preserve"> systems can be defined as:</w:t>
      </w:r>
    </w:p>
    <w:p w:rsidR="00E15FCC" w:rsidRPr="00E15FCC" w:rsidRDefault="00E15FCC" w:rsidP="00E15FCC">
      <w:pPr>
        <w:pStyle w:val="Equation"/>
        <w:rPr>
          <w:lang w:val="en-US"/>
        </w:rPr>
      </w:pPr>
      <w:r w:rsidRPr="00E15FCC">
        <w:rPr>
          <w:lang w:val="en-US"/>
        </w:rPr>
        <w:tab/>
      </w:r>
      <w:r w:rsidRPr="00E15FCC">
        <w:rPr>
          <w:lang w:val="en-US"/>
        </w:rPr>
        <w:tab/>
      </w:r>
      <w:r w:rsidRPr="00C12926">
        <w:rPr>
          <w:position w:val="-12"/>
        </w:rPr>
        <w:object w:dxaOrig="1160" w:dyaOrig="360">
          <v:shape id="_x0000_i1061" type="#_x0000_t75" style="width:58.2pt;height:18pt" o:ole="">
            <v:imagedata r:id="rId90" o:title=""/>
          </v:shape>
          <o:OLEObject Type="Embed" ProgID="Equation.3" ShapeID="_x0000_i1061" DrawAspect="Content" ObjectID="_1370947793" r:id="rId91"/>
        </w:object>
      </w:r>
      <w:r w:rsidRPr="00E15FCC">
        <w:rPr>
          <w:lang w:val="en-US"/>
        </w:rPr>
        <w:tab/>
        <w:t>(31)</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rPr>
          <w:szCs w:val="24"/>
        </w:rPr>
        <w:tab/>
      </w:r>
      <w:r w:rsidRPr="00C12926">
        <w:rPr>
          <w:i/>
          <w:iCs/>
          <w:szCs w:val="24"/>
        </w:rPr>
        <w:t>M</w:t>
      </w:r>
      <w:r w:rsidRPr="00C12926">
        <w:rPr>
          <w:iCs/>
        </w:rPr>
        <w:t>:</w:t>
      </w:r>
      <w:r w:rsidRPr="00C12926">
        <w:rPr>
          <w:szCs w:val="24"/>
        </w:rPr>
        <w:tab/>
        <w:t xml:space="preserve">useful effect obtained with an analogue </w:t>
      </w:r>
      <w:r>
        <w:rPr>
          <w:szCs w:val="24"/>
        </w:rPr>
        <w:t>p-p</w:t>
      </w:r>
      <w:r w:rsidRPr="00C12926">
        <w:rPr>
          <w:szCs w:val="24"/>
        </w:rPr>
        <w:t xml:space="preserve"> system</w:t>
      </w:r>
    </w:p>
    <w:p w:rsidR="00E15FCC" w:rsidRPr="00C12926" w:rsidRDefault="00E15FCC" w:rsidP="00E15FCC">
      <w:pPr>
        <w:pStyle w:val="Equationlegend"/>
        <w:rPr>
          <w:szCs w:val="24"/>
        </w:rPr>
      </w:pPr>
      <w:r w:rsidRPr="00C12926">
        <w:rPr>
          <w:szCs w:val="24"/>
        </w:rPr>
        <w:tab/>
      </w:r>
      <w:r w:rsidRPr="00C12926">
        <w:rPr>
          <w:i/>
          <w:iCs/>
          <w:szCs w:val="24"/>
        </w:rPr>
        <w:t>n</w:t>
      </w:r>
      <w:r w:rsidRPr="00C12926">
        <w:rPr>
          <w:i/>
          <w:iCs/>
          <w:szCs w:val="24"/>
          <w:vertAlign w:val="subscript"/>
        </w:rPr>
        <w:t>vc</w:t>
      </w:r>
      <w:r w:rsidRPr="00C12926">
        <w:rPr>
          <w:iCs/>
        </w:rPr>
        <w:t>:</w:t>
      </w:r>
      <w:r w:rsidRPr="00C12926">
        <w:rPr>
          <w:szCs w:val="24"/>
        </w:rPr>
        <w:tab/>
        <w:t>number of voice channels transmitted by the link</w:t>
      </w:r>
    </w:p>
    <w:p w:rsidR="00E15FCC" w:rsidRPr="00C12926" w:rsidRDefault="00E15FCC" w:rsidP="00E15FCC">
      <w:pPr>
        <w:pStyle w:val="Equationlegend"/>
        <w:rPr>
          <w:szCs w:val="24"/>
        </w:rPr>
      </w:pPr>
      <w:r w:rsidRPr="00C12926">
        <w:rPr>
          <w:szCs w:val="24"/>
        </w:rPr>
        <w:tab/>
      </w:r>
      <w:r w:rsidRPr="00C12926">
        <w:rPr>
          <w:i/>
          <w:iCs/>
          <w:szCs w:val="24"/>
        </w:rPr>
        <w:t>D</w:t>
      </w:r>
      <w:r w:rsidRPr="00C12926">
        <w:rPr>
          <w:iCs/>
        </w:rPr>
        <w:t>:</w:t>
      </w:r>
      <w:r w:rsidRPr="00C12926">
        <w:rPr>
          <w:szCs w:val="24"/>
        </w:rPr>
        <w:tab/>
        <w:t>distance over which the information is transmitted.</w:t>
      </w:r>
    </w:p>
    <w:p w:rsidR="00E15FCC" w:rsidRPr="00E15FCC" w:rsidRDefault="00E15FCC" w:rsidP="00E15FCC">
      <w:pPr>
        <w:rPr>
          <w:lang w:val="en-US"/>
        </w:rPr>
      </w:pPr>
      <w:r w:rsidRPr="00E15FCC">
        <w:rPr>
          <w:lang w:val="en-US"/>
        </w:rPr>
        <w:t xml:space="preserve">For a specific link, the distance </w:t>
      </w:r>
      <w:r w:rsidRPr="00E15FCC">
        <w:rPr>
          <w:i/>
          <w:iCs/>
          <w:lang w:val="en-US"/>
        </w:rPr>
        <w:t>D</w:t>
      </w:r>
      <w:r w:rsidRPr="00E15FCC">
        <w:rPr>
          <w:lang w:val="en-US"/>
        </w:rPr>
        <w:t xml:space="preserve"> to be used is the real-link length. However, in the assessment of a generic system, typical values of </w:t>
      </w:r>
      <w:r w:rsidRPr="00E15FCC">
        <w:rPr>
          <w:i/>
          <w:iCs/>
          <w:lang w:val="en-US"/>
        </w:rPr>
        <w:t>D</w:t>
      </w:r>
      <w:r w:rsidRPr="00E15FCC">
        <w:rPr>
          <w:lang w:val="en-US"/>
        </w:rPr>
        <w:t xml:space="preserve"> are used according to the system operation frequency.</w:t>
      </w:r>
    </w:p>
    <w:p w:rsidR="00E15FCC" w:rsidRPr="00E15FCC" w:rsidRDefault="00E15FCC" w:rsidP="00E15FCC">
      <w:pPr>
        <w:rPr>
          <w:lang w:val="en-US"/>
        </w:rPr>
      </w:pPr>
      <w:r w:rsidRPr="00E15FCC">
        <w:rPr>
          <w:lang w:val="en-US"/>
        </w:rPr>
        <w:t xml:space="preserve">For digital systems, the useful effect can be measured by the transmission rate, multiplied by the total distance over which the information is transmitted. </w:t>
      </w:r>
    </w:p>
    <w:p w:rsidR="00E15FCC" w:rsidRPr="00E15FCC" w:rsidRDefault="00E15FCC" w:rsidP="00E15FCC">
      <w:pPr>
        <w:rPr>
          <w:lang w:val="en-US"/>
        </w:rPr>
      </w:pPr>
      <w:r w:rsidRPr="00E15FCC">
        <w:rPr>
          <w:lang w:val="en-US"/>
        </w:rPr>
        <w:t>Information transmitted by a digital system uses a lot of aggregated data (overhead) to the useful data. This overhead includes control protocols, detection and error-correction codes and system management information. The total transmission rate of the system is composed by the overhead and the useful data. For measuring the amount of the useful data transmitted the utilization of an overhead factor is proposed.</w:t>
      </w:r>
    </w:p>
    <w:p w:rsidR="00E15FCC" w:rsidRPr="00E15FCC" w:rsidRDefault="00E15FCC" w:rsidP="00E15FCC">
      <w:pPr>
        <w:pStyle w:val="Equation"/>
        <w:rPr>
          <w:lang w:val="en-US"/>
        </w:rPr>
      </w:pPr>
      <w:r w:rsidRPr="00E15FCC">
        <w:rPr>
          <w:lang w:val="en-US"/>
        </w:rPr>
        <w:tab/>
      </w:r>
      <w:r w:rsidRPr="00E15FCC">
        <w:rPr>
          <w:lang w:val="en-US"/>
        </w:rPr>
        <w:tab/>
      </w:r>
      <w:r w:rsidRPr="00930B6C">
        <w:rPr>
          <w:position w:val="-16"/>
        </w:rPr>
        <w:object w:dxaOrig="1680" w:dyaOrig="400">
          <v:shape id="_x0000_i1062" type="#_x0000_t75" style="width:84pt;height:20.4pt" o:ole="">
            <v:imagedata r:id="rId92" o:title=""/>
          </v:shape>
          <o:OLEObject Type="Embed" ProgID="Equation.3" ShapeID="_x0000_i1062" DrawAspect="Content" ObjectID="_1370947794" r:id="rId93"/>
        </w:object>
      </w:r>
      <w:r w:rsidRPr="00E15FCC">
        <w:rPr>
          <w:lang w:val="en-US"/>
        </w:rPr>
        <w:tab/>
        <w:t>(32)</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rPr>
          <w:szCs w:val="24"/>
        </w:rPr>
        <w:tab/>
      </w:r>
      <w:r w:rsidRPr="00C12926">
        <w:rPr>
          <w:i/>
          <w:iCs/>
          <w:szCs w:val="24"/>
        </w:rPr>
        <w:t>M</w:t>
      </w:r>
      <w:r w:rsidRPr="00C12926">
        <w:rPr>
          <w:iCs/>
        </w:rPr>
        <w:t>:</w:t>
      </w:r>
      <w:r w:rsidRPr="00C12926">
        <w:rPr>
          <w:szCs w:val="24"/>
        </w:rPr>
        <w:tab/>
        <w:t xml:space="preserve">useful effect obtained with a digital </w:t>
      </w:r>
      <w:r>
        <w:rPr>
          <w:szCs w:val="24"/>
        </w:rPr>
        <w:t>p-p</w:t>
      </w:r>
      <w:r w:rsidRPr="00C12926">
        <w:rPr>
          <w:szCs w:val="24"/>
        </w:rPr>
        <w:t xml:space="preserve"> system</w:t>
      </w:r>
    </w:p>
    <w:p w:rsidR="00E15FCC" w:rsidRPr="00C12926" w:rsidRDefault="00E15FCC" w:rsidP="00E15FCC">
      <w:pPr>
        <w:pStyle w:val="Equationlegend"/>
        <w:rPr>
          <w:szCs w:val="24"/>
        </w:rPr>
      </w:pPr>
      <w:r w:rsidRPr="00C12926">
        <w:rPr>
          <w:szCs w:val="24"/>
        </w:rPr>
        <w:tab/>
      </w:r>
      <w:r w:rsidRPr="00C12926">
        <w:rPr>
          <w:i/>
          <w:iCs/>
          <w:szCs w:val="24"/>
        </w:rPr>
        <w:t>T</w:t>
      </w:r>
      <w:r w:rsidRPr="00C12926">
        <w:rPr>
          <w:i/>
          <w:iCs/>
          <w:szCs w:val="24"/>
          <w:vertAlign w:val="subscript"/>
        </w:rPr>
        <w:t>TR</w:t>
      </w:r>
      <w:r w:rsidRPr="00C12926">
        <w:rPr>
          <w:iCs/>
        </w:rPr>
        <w:t>:</w:t>
      </w:r>
      <w:r w:rsidRPr="00C12926">
        <w:rPr>
          <w:szCs w:val="24"/>
        </w:rPr>
        <w:tab/>
        <w:t>system total transmission rate</w:t>
      </w:r>
    </w:p>
    <w:p w:rsidR="00E15FCC" w:rsidRPr="00C12926" w:rsidRDefault="00E15FCC" w:rsidP="00E15FCC">
      <w:pPr>
        <w:pStyle w:val="Equationlegend"/>
        <w:rPr>
          <w:szCs w:val="24"/>
        </w:rPr>
      </w:pPr>
      <w:r w:rsidRPr="00C12926">
        <w:rPr>
          <w:szCs w:val="24"/>
        </w:rPr>
        <w:tab/>
      </w:r>
      <w:r w:rsidRPr="00C12926">
        <w:rPr>
          <w:i/>
          <w:iCs/>
          <w:szCs w:val="24"/>
        </w:rPr>
        <w:t>O</w:t>
      </w:r>
      <w:r w:rsidRPr="00C12926">
        <w:rPr>
          <w:i/>
          <w:iCs/>
          <w:szCs w:val="24"/>
          <w:vertAlign w:val="subscript"/>
        </w:rPr>
        <w:t>F</w:t>
      </w:r>
      <w:r w:rsidRPr="00C12926">
        <w:rPr>
          <w:iCs/>
        </w:rPr>
        <w:t>:</w:t>
      </w:r>
      <w:r w:rsidRPr="00C12926">
        <w:rPr>
          <w:szCs w:val="24"/>
        </w:rPr>
        <w:tab/>
        <w:t>overhead factor, that assumes values between 0 and 1</w:t>
      </w:r>
    </w:p>
    <w:p w:rsidR="00E15FCC" w:rsidRPr="00C12926" w:rsidRDefault="00E15FCC" w:rsidP="00E15FCC">
      <w:pPr>
        <w:pStyle w:val="Equationlegend"/>
        <w:rPr>
          <w:szCs w:val="24"/>
        </w:rPr>
      </w:pPr>
      <w:r w:rsidRPr="00C12926">
        <w:rPr>
          <w:szCs w:val="24"/>
        </w:rPr>
        <w:tab/>
      </w:r>
      <w:r w:rsidRPr="00C12926">
        <w:rPr>
          <w:i/>
          <w:iCs/>
          <w:szCs w:val="24"/>
        </w:rPr>
        <w:t>D</w:t>
      </w:r>
      <w:r w:rsidRPr="00C12926">
        <w:rPr>
          <w:iCs/>
        </w:rPr>
        <w:t>:</w:t>
      </w:r>
      <w:r w:rsidRPr="00C12926">
        <w:rPr>
          <w:szCs w:val="24"/>
        </w:rPr>
        <w:tab/>
        <w:t>distance over which the information is transmitted.</w:t>
      </w:r>
    </w:p>
    <w:p w:rsidR="00E15FCC" w:rsidRPr="00E15FCC" w:rsidRDefault="00E15FCC" w:rsidP="00E15FCC">
      <w:pPr>
        <w:rPr>
          <w:lang w:val="en-US"/>
        </w:rPr>
      </w:pPr>
      <w:r w:rsidRPr="00E15FCC">
        <w:rPr>
          <w:lang w:val="en-US"/>
        </w:rPr>
        <w:t>If the user message transmission rate is known, the overhead factor use can be substituted by the effective transmission rate.</w:t>
      </w:r>
    </w:p>
    <w:p w:rsidR="00E15FCC" w:rsidRPr="00E15FCC" w:rsidRDefault="00E15FCC" w:rsidP="00E15FCC">
      <w:pPr>
        <w:pStyle w:val="Equation"/>
        <w:rPr>
          <w:lang w:val="en-US"/>
        </w:rPr>
      </w:pPr>
      <w:r w:rsidRPr="00E15FCC">
        <w:rPr>
          <w:lang w:val="en-US"/>
        </w:rPr>
        <w:tab/>
      </w:r>
      <w:r w:rsidRPr="00E15FCC">
        <w:rPr>
          <w:lang w:val="en-US"/>
        </w:rPr>
        <w:tab/>
      </w:r>
      <w:r w:rsidRPr="00C12926">
        <w:rPr>
          <w:position w:val="-10"/>
        </w:rPr>
        <w:object w:dxaOrig="1240" w:dyaOrig="340">
          <v:shape id="_x0000_i1063" type="#_x0000_t75" style="width:61.8pt;height:17.4pt" o:ole="">
            <v:imagedata r:id="rId94" o:title=""/>
          </v:shape>
          <o:OLEObject Type="Embed" ProgID="Equation.3" ShapeID="_x0000_i1063" DrawAspect="Content" ObjectID="_1370947795" r:id="rId95"/>
        </w:object>
      </w:r>
      <w:r w:rsidRPr="00E15FCC">
        <w:rPr>
          <w:lang w:val="en-US"/>
        </w:rPr>
        <w:tab/>
        <w:t>(33)</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rPr>
          <w:szCs w:val="24"/>
        </w:rPr>
        <w:tab/>
      </w:r>
      <w:r w:rsidRPr="00C12926">
        <w:rPr>
          <w:i/>
          <w:iCs/>
          <w:szCs w:val="24"/>
        </w:rPr>
        <w:t>M</w:t>
      </w:r>
      <w:r w:rsidRPr="00C12926">
        <w:rPr>
          <w:iCs/>
        </w:rPr>
        <w:t>:</w:t>
      </w:r>
      <w:r w:rsidRPr="00C12926">
        <w:rPr>
          <w:szCs w:val="24"/>
        </w:rPr>
        <w:tab/>
        <w:t xml:space="preserve">useful effect obtained with a digital </w:t>
      </w:r>
      <w:r>
        <w:rPr>
          <w:szCs w:val="24"/>
        </w:rPr>
        <w:t>p-p</w:t>
      </w:r>
      <w:r w:rsidRPr="00C12926">
        <w:rPr>
          <w:szCs w:val="24"/>
        </w:rPr>
        <w:t xml:space="preserve"> system</w:t>
      </w:r>
    </w:p>
    <w:p w:rsidR="00E15FCC" w:rsidRPr="00C12926" w:rsidRDefault="00E15FCC" w:rsidP="00E15FCC">
      <w:pPr>
        <w:pStyle w:val="Equationlegend"/>
        <w:rPr>
          <w:szCs w:val="24"/>
        </w:rPr>
      </w:pPr>
      <w:r w:rsidRPr="00C12926">
        <w:rPr>
          <w:szCs w:val="24"/>
        </w:rPr>
        <w:lastRenderedPageBreak/>
        <w:tab/>
      </w:r>
      <w:r w:rsidRPr="00C12926">
        <w:rPr>
          <w:i/>
          <w:iCs/>
          <w:szCs w:val="24"/>
        </w:rPr>
        <w:t>E</w:t>
      </w:r>
      <w:r w:rsidRPr="00C12926">
        <w:rPr>
          <w:i/>
          <w:iCs/>
          <w:szCs w:val="24"/>
          <w:vertAlign w:val="subscript"/>
        </w:rPr>
        <w:t>TR</w:t>
      </w:r>
      <w:r w:rsidRPr="00C12926">
        <w:rPr>
          <w:iCs/>
        </w:rPr>
        <w:t>:</w:t>
      </w:r>
      <w:r w:rsidRPr="00C12926">
        <w:rPr>
          <w:szCs w:val="24"/>
        </w:rPr>
        <w:tab/>
        <w:t>system effective transmission rate</w:t>
      </w:r>
    </w:p>
    <w:p w:rsidR="00E15FCC" w:rsidRPr="00C12926" w:rsidRDefault="00E15FCC" w:rsidP="00E15FCC">
      <w:pPr>
        <w:pStyle w:val="Equationlegend"/>
        <w:rPr>
          <w:szCs w:val="24"/>
        </w:rPr>
      </w:pPr>
      <w:r w:rsidRPr="00C12926">
        <w:rPr>
          <w:szCs w:val="24"/>
        </w:rPr>
        <w:tab/>
      </w:r>
      <w:r w:rsidRPr="00C12926">
        <w:rPr>
          <w:i/>
          <w:iCs/>
          <w:szCs w:val="24"/>
        </w:rPr>
        <w:t>D</w:t>
      </w:r>
      <w:r w:rsidRPr="00C12926">
        <w:rPr>
          <w:iCs/>
        </w:rPr>
        <w:t>:</w:t>
      </w:r>
      <w:r w:rsidRPr="00C12926">
        <w:rPr>
          <w:szCs w:val="24"/>
        </w:rPr>
        <w:tab/>
        <w:t>distance over which the information is transmitted.</w:t>
      </w:r>
    </w:p>
    <w:p w:rsidR="00E15FCC" w:rsidRPr="00E15FCC" w:rsidRDefault="00E15FCC" w:rsidP="00E15FCC">
      <w:pPr>
        <w:rPr>
          <w:lang w:val="en-US"/>
        </w:rPr>
      </w:pPr>
      <w:r w:rsidRPr="00E15FCC">
        <w:rPr>
          <w:lang w:val="en-US"/>
        </w:rPr>
        <w:t>In cases where the determination of the total or effective transmission rate it is not possible, the minimum required transmission rate for the equipment radio frequencies could be adopted.</w:t>
      </w:r>
    </w:p>
    <w:p w:rsidR="00E15FCC" w:rsidRPr="00E15FCC" w:rsidRDefault="00E15FCC" w:rsidP="00E15FCC">
      <w:pPr>
        <w:pStyle w:val="Heading3"/>
        <w:rPr>
          <w:lang w:val="en-US"/>
        </w:rPr>
      </w:pPr>
      <w:r w:rsidRPr="00E15FCC">
        <w:rPr>
          <w:lang w:val="en-US"/>
        </w:rPr>
        <w:t>2.6.3</w:t>
      </w:r>
      <w:r w:rsidRPr="00E15FCC">
        <w:rPr>
          <w:lang w:val="en-US"/>
        </w:rPr>
        <w:tab/>
        <w:t xml:space="preserve">Definition of spectrum utilization factor for </w:t>
      </w:r>
      <w:r>
        <w:rPr>
          <w:lang w:val="en-US"/>
        </w:rPr>
        <w:t>p-p</w:t>
      </w:r>
      <w:r w:rsidRPr="00E15FCC">
        <w:rPr>
          <w:lang w:val="en-US"/>
        </w:rPr>
        <w:t xml:space="preserve"> systems</w:t>
      </w:r>
    </w:p>
    <w:p w:rsidR="00E15FCC" w:rsidRPr="00E15FCC" w:rsidRDefault="00E15FCC" w:rsidP="00E15FCC">
      <w:pPr>
        <w:rPr>
          <w:lang w:val="en-US"/>
        </w:rPr>
      </w:pPr>
      <w:r w:rsidRPr="00E15FCC">
        <w:rPr>
          <w:lang w:val="en-US"/>
        </w:rPr>
        <w:t xml:space="preserve">The spectrum utilization factor for a </w:t>
      </w:r>
      <w:r>
        <w:rPr>
          <w:lang w:val="en-US"/>
        </w:rPr>
        <w:t>p-p</w:t>
      </w:r>
      <w:r w:rsidRPr="00E15FCC">
        <w:rPr>
          <w:lang w:val="en-US"/>
        </w:rPr>
        <w:t xml:space="preserve"> system can be determined using the following equation:</w:t>
      </w:r>
    </w:p>
    <w:p w:rsidR="00E15FCC" w:rsidRPr="00E15FCC" w:rsidRDefault="00E15FCC" w:rsidP="00E15FCC">
      <w:pPr>
        <w:tabs>
          <w:tab w:val="clear" w:pos="794"/>
          <w:tab w:val="clear" w:pos="1191"/>
          <w:tab w:val="clear" w:pos="1588"/>
          <w:tab w:val="clear" w:pos="1985"/>
          <w:tab w:val="center" w:pos="4678"/>
          <w:tab w:val="right" w:pos="9639"/>
        </w:tabs>
        <w:rPr>
          <w:lang w:val="en-US"/>
        </w:rPr>
      </w:pPr>
      <w:r w:rsidRPr="00E15FCC">
        <w:rPr>
          <w:lang w:val="en-US"/>
        </w:rPr>
        <w:tab/>
      </w:r>
      <w:r w:rsidRPr="00C12926">
        <w:rPr>
          <w:position w:val="-10"/>
        </w:rPr>
        <w:object w:dxaOrig="1180" w:dyaOrig="320">
          <v:shape id="_x0000_i1064" type="#_x0000_t75" style="width:58.8pt;height:16.2pt" o:ole="">
            <v:imagedata r:id="rId96" o:title=""/>
          </v:shape>
          <o:OLEObject Type="Embed" ProgID="Equation.3" ShapeID="_x0000_i1064" DrawAspect="Content" ObjectID="_1370947796" r:id="rId97"/>
        </w:object>
      </w:r>
      <w:r w:rsidRPr="00E15FCC">
        <w:rPr>
          <w:lang w:val="en-US"/>
        </w:rPr>
        <w:tab/>
        <w:t>(34)</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rPr>
          <w:szCs w:val="24"/>
        </w:rPr>
        <w:tab/>
      </w:r>
      <w:r w:rsidRPr="00C12926">
        <w:rPr>
          <w:i/>
          <w:iCs/>
          <w:szCs w:val="24"/>
        </w:rPr>
        <w:t>U</w:t>
      </w:r>
      <w:r w:rsidRPr="00C12926">
        <w:rPr>
          <w:iCs/>
        </w:rPr>
        <w:t>:</w:t>
      </w:r>
      <w:r w:rsidRPr="00C12926">
        <w:rPr>
          <w:szCs w:val="24"/>
        </w:rPr>
        <w:tab/>
        <w:t>spectrum utilization factor for a point-to-point system</w:t>
      </w:r>
    </w:p>
    <w:p w:rsidR="00E15FCC" w:rsidRPr="00C12926" w:rsidRDefault="00E15FCC" w:rsidP="00E15FCC">
      <w:pPr>
        <w:pStyle w:val="Equationlegend"/>
        <w:rPr>
          <w:szCs w:val="24"/>
        </w:rPr>
      </w:pPr>
      <w:r w:rsidRPr="00C12926">
        <w:rPr>
          <w:szCs w:val="24"/>
        </w:rPr>
        <w:tab/>
      </w:r>
      <w:r w:rsidRPr="00C12926">
        <w:rPr>
          <w:i/>
          <w:iCs/>
          <w:szCs w:val="24"/>
        </w:rPr>
        <w:t>B</w:t>
      </w:r>
      <w:r w:rsidRPr="00C12926">
        <w:rPr>
          <w:iCs/>
        </w:rPr>
        <w:t>:</w:t>
      </w:r>
      <w:r w:rsidRPr="00C12926">
        <w:rPr>
          <w:szCs w:val="24"/>
        </w:rPr>
        <w:tab/>
        <w:t>denied radio-frequency bandwidth</w:t>
      </w:r>
    </w:p>
    <w:p w:rsidR="00E15FCC" w:rsidRPr="00C12926" w:rsidRDefault="00E15FCC" w:rsidP="00E15FCC">
      <w:pPr>
        <w:pStyle w:val="Equationlegend"/>
        <w:rPr>
          <w:szCs w:val="24"/>
        </w:rPr>
      </w:pPr>
      <w:r w:rsidRPr="00C12926">
        <w:rPr>
          <w:szCs w:val="24"/>
        </w:rPr>
        <w:tab/>
      </w:r>
      <w:r w:rsidRPr="00C12926">
        <w:rPr>
          <w:i/>
          <w:iCs/>
          <w:szCs w:val="24"/>
        </w:rPr>
        <w:t>S</w:t>
      </w:r>
      <w:r w:rsidRPr="00C12926">
        <w:rPr>
          <w:iCs/>
        </w:rPr>
        <w:t>:</w:t>
      </w:r>
      <w:r w:rsidRPr="00C12926">
        <w:rPr>
          <w:szCs w:val="24"/>
        </w:rPr>
        <w:tab/>
        <w:t>denied geometric space (area)</w:t>
      </w:r>
    </w:p>
    <w:p w:rsidR="00E15FCC" w:rsidRPr="00C12926" w:rsidRDefault="00E15FCC" w:rsidP="00E15FCC">
      <w:pPr>
        <w:pStyle w:val="Equationlegend"/>
        <w:rPr>
          <w:szCs w:val="24"/>
        </w:rPr>
      </w:pPr>
      <w:r w:rsidRPr="00C12926">
        <w:rPr>
          <w:szCs w:val="24"/>
        </w:rPr>
        <w:tab/>
      </w:r>
      <w:r w:rsidRPr="00C12926">
        <w:rPr>
          <w:i/>
          <w:iCs/>
          <w:szCs w:val="24"/>
        </w:rPr>
        <w:t>T</w:t>
      </w:r>
      <w:r w:rsidRPr="00C12926">
        <w:rPr>
          <w:iCs/>
        </w:rPr>
        <w:t>:</w:t>
      </w:r>
      <w:r w:rsidRPr="00C12926">
        <w:rPr>
          <w:szCs w:val="24"/>
        </w:rPr>
        <w:tab/>
        <w:t>denied time, that assumes values between 0 and 1.</w:t>
      </w:r>
    </w:p>
    <w:p w:rsidR="00E15FCC" w:rsidRPr="00E15FCC" w:rsidRDefault="00E15FCC" w:rsidP="00E15FCC">
      <w:pPr>
        <w:rPr>
          <w:lang w:val="en-US"/>
        </w:rPr>
      </w:pPr>
      <w:r w:rsidRPr="00E15FCC">
        <w:rPr>
          <w:lang w:val="en-US"/>
        </w:rPr>
        <w:t>The radio-frequency bandwidth</w:t>
      </w:r>
      <w:r>
        <w:rPr>
          <w:lang w:val="en-US"/>
        </w:rPr>
        <w:t>,</w:t>
      </w:r>
      <w:r w:rsidRPr="00E15FCC">
        <w:rPr>
          <w:lang w:val="en-US"/>
        </w:rPr>
        <w:t xml:space="preserve"> </w:t>
      </w:r>
      <w:r w:rsidRPr="00E15FCC">
        <w:rPr>
          <w:i/>
          <w:iCs/>
          <w:lang w:val="en-US"/>
        </w:rPr>
        <w:t>B</w:t>
      </w:r>
      <w:r>
        <w:rPr>
          <w:lang w:val="en-US"/>
        </w:rPr>
        <w:t>,</w:t>
      </w:r>
      <w:r w:rsidRPr="00E15FCC">
        <w:rPr>
          <w:lang w:val="en-US"/>
        </w:rPr>
        <w:t xml:space="preserve"> is the mask defined in the radio-frequency specific regulation. It can also use the channel width in those situations where the mask information is not available.</w:t>
      </w:r>
    </w:p>
    <w:p w:rsidR="00E15FCC" w:rsidRPr="00E15FCC" w:rsidRDefault="00E15FCC" w:rsidP="00E15FCC">
      <w:pPr>
        <w:rPr>
          <w:lang w:val="en-US"/>
        </w:rPr>
      </w:pPr>
      <w:r w:rsidRPr="00E15FCC">
        <w:rPr>
          <w:lang w:val="en-US"/>
        </w:rPr>
        <w:t>In the calculation of the denied geometric space</w:t>
      </w:r>
      <w:r>
        <w:rPr>
          <w:lang w:val="en-US"/>
        </w:rPr>
        <w:t>,</w:t>
      </w:r>
      <w:r w:rsidRPr="00E15FCC">
        <w:rPr>
          <w:lang w:val="en-US"/>
        </w:rPr>
        <w:t xml:space="preserve"> </w:t>
      </w:r>
      <w:r w:rsidRPr="00E15FCC">
        <w:rPr>
          <w:i/>
          <w:iCs/>
          <w:lang w:val="en-US"/>
        </w:rPr>
        <w:t>S</w:t>
      </w:r>
      <w:r w:rsidRPr="00E15FCC">
        <w:rPr>
          <w:lang w:val="en-US"/>
        </w:rPr>
        <w:t>, both transmitter and receiver denied areas should be considered, both based on actual link parameters. The denied geometric space will be the sum of the sector areas</w:t>
      </w:r>
      <w:r>
        <w:rPr>
          <w:lang w:val="en-US"/>
        </w:rPr>
        <w:t>,</w:t>
      </w:r>
      <w:r w:rsidRPr="00E15FCC">
        <w:rPr>
          <w:lang w:val="en-US"/>
        </w:rPr>
        <w:t xml:space="preserve"> </w:t>
      </w:r>
      <w:r w:rsidRPr="00E15FCC">
        <w:rPr>
          <w:i/>
          <w:iCs/>
          <w:lang w:val="en-US"/>
        </w:rPr>
        <w:t>A</w:t>
      </w:r>
      <w:r w:rsidRPr="00E15FCC">
        <w:rPr>
          <w:i/>
          <w:iCs/>
          <w:vertAlign w:val="subscript"/>
          <w:lang w:val="en-US"/>
        </w:rPr>
        <w:t>S</w:t>
      </w:r>
      <w:r>
        <w:rPr>
          <w:lang w:val="en-US"/>
        </w:rPr>
        <w:t>,</w:t>
      </w:r>
      <w:r w:rsidRPr="00E15FCC">
        <w:rPr>
          <w:lang w:val="en-US"/>
        </w:rPr>
        <w:t xml:space="preserve"> denied by the transmitter and the receiver. In those situations that the transmitter denied area involve the total receiver denied area it is not necessary to calculate the receiver denied area. Otherwise, the portion of the receiver area that is out of the transmitter area should be added to the transmitter area to obtain the total denied area</w:t>
      </w:r>
      <w:r>
        <w:rPr>
          <w:lang w:val="en-US"/>
        </w:rPr>
        <w:t>,</w:t>
      </w:r>
      <w:r w:rsidRPr="00E15FCC">
        <w:rPr>
          <w:lang w:val="en-US"/>
        </w:rPr>
        <w:t xml:space="preserve"> </w:t>
      </w:r>
      <w:r w:rsidRPr="00E15FCC">
        <w:rPr>
          <w:i/>
          <w:iCs/>
          <w:lang w:val="en-US"/>
        </w:rPr>
        <w:t>S</w:t>
      </w:r>
      <w:r w:rsidRPr="00E15FCC">
        <w:rPr>
          <w:lang w:val="en-US"/>
        </w:rPr>
        <w:t>.</w:t>
      </w:r>
    </w:p>
    <w:p w:rsidR="00E15FCC" w:rsidRPr="00E15FCC" w:rsidRDefault="00E15FCC" w:rsidP="00E15FCC">
      <w:pPr>
        <w:rPr>
          <w:lang w:val="en-US"/>
        </w:rPr>
      </w:pPr>
      <w:r w:rsidRPr="00E15FCC">
        <w:rPr>
          <w:lang w:val="en-US"/>
        </w:rPr>
        <w:t>For the calculation of the area denied by a transmitter or receiver, the antenna pattern has to be considered. The denied area can be calculated as the sum of the areas of angular sectors in which the antenna gain can be considered approximately constant.</w:t>
      </w:r>
    </w:p>
    <w:p w:rsidR="00E15FCC" w:rsidRPr="00E15FCC" w:rsidRDefault="00E15FCC" w:rsidP="00E15FCC">
      <w:pPr>
        <w:pStyle w:val="Equation"/>
        <w:rPr>
          <w:b/>
          <w:bCs/>
          <w:lang w:val="en-US"/>
        </w:rPr>
      </w:pPr>
      <w:r w:rsidRPr="00E15FCC">
        <w:rPr>
          <w:lang w:val="en-US"/>
        </w:rPr>
        <w:tab/>
      </w:r>
      <w:r w:rsidRPr="00E15FCC">
        <w:rPr>
          <w:lang w:val="en-US"/>
        </w:rPr>
        <w:tab/>
      </w:r>
      <w:r w:rsidRPr="00C12926">
        <w:rPr>
          <w:position w:val="-38"/>
        </w:rPr>
        <w:object w:dxaOrig="1060" w:dyaOrig="840">
          <v:shape id="_x0000_i1065" type="#_x0000_t75" style="width:53.4pt;height:42pt" o:ole="">
            <v:imagedata r:id="rId98" o:title=""/>
          </v:shape>
          <o:OLEObject Type="Embed" ProgID="Equation.3" ShapeID="_x0000_i1065" DrawAspect="Content" ObjectID="_1370947797" r:id="rId99"/>
        </w:object>
      </w:r>
      <w:r w:rsidRPr="00E15FCC">
        <w:rPr>
          <w:lang w:val="en-US"/>
        </w:rPr>
        <w:tab/>
        <w:t>(35)</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rPr>
          <w:szCs w:val="24"/>
        </w:rPr>
        <w:tab/>
      </w:r>
      <w:r w:rsidRPr="00C12926">
        <w:rPr>
          <w:i/>
          <w:iCs/>
          <w:szCs w:val="24"/>
        </w:rPr>
        <w:t>S</w:t>
      </w:r>
      <w:r w:rsidRPr="00C12926">
        <w:t>:</w:t>
      </w:r>
      <w:r w:rsidRPr="00C12926">
        <w:rPr>
          <w:szCs w:val="24"/>
        </w:rPr>
        <w:tab/>
        <w:t>denied geometric space (km</w:t>
      </w:r>
      <w:r w:rsidRPr="00C12926">
        <w:rPr>
          <w:szCs w:val="24"/>
          <w:vertAlign w:val="superscript"/>
        </w:rPr>
        <w:t>2</w:t>
      </w:r>
      <w:r w:rsidRPr="00C12926">
        <w:rPr>
          <w:szCs w:val="24"/>
        </w:rPr>
        <w:t>)</w:t>
      </w:r>
    </w:p>
    <w:p w:rsidR="00E15FCC" w:rsidRPr="00C12926" w:rsidRDefault="00E15FCC" w:rsidP="00E15FCC">
      <w:pPr>
        <w:pStyle w:val="Equationlegend"/>
        <w:rPr>
          <w:szCs w:val="24"/>
        </w:rPr>
      </w:pPr>
      <w:r w:rsidRPr="00C12926">
        <w:rPr>
          <w:szCs w:val="24"/>
        </w:rPr>
        <w:tab/>
      </w:r>
      <w:r w:rsidRPr="00C12926">
        <w:rPr>
          <w:i/>
          <w:iCs/>
          <w:szCs w:val="24"/>
        </w:rPr>
        <w:t>A</w:t>
      </w:r>
      <w:r w:rsidRPr="00C12926">
        <w:rPr>
          <w:i/>
          <w:iCs/>
          <w:szCs w:val="24"/>
          <w:vertAlign w:val="subscript"/>
        </w:rPr>
        <w:t>Si</w:t>
      </w:r>
      <w:r w:rsidRPr="00C12926">
        <w:t>:</w:t>
      </w:r>
      <w:r w:rsidRPr="00C12926">
        <w:rPr>
          <w:szCs w:val="24"/>
        </w:rPr>
        <w:tab/>
        <w:t>denied area of the</w:t>
      </w:r>
      <w:r w:rsidRPr="00C12926">
        <w:rPr>
          <w:i/>
          <w:szCs w:val="24"/>
        </w:rPr>
        <w:t xml:space="preserve"> i</w:t>
      </w:r>
      <w:r w:rsidRPr="00C12926">
        <w:rPr>
          <w:szCs w:val="24"/>
        </w:rPr>
        <w:t>-th sector (km</w:t>
      </w:r>
      <w:r w:rsidRPr="00C12926">
        <w:rPr>
          <w:szCs w:val="24"/>
          <w:vertAlign w:val="superscript"/>
        </w:rPr>
        <w:t>2</w:t>
      </w:r>
      <w:r w:rsidRPr="00C12926">
        <w:rPr>
          <w:szCs w:val="24"/>
        </w:rPr>
        <w:t>)</w:t>
      </w:r>
    </w:p>
    <w:p w:rsidR="00E15FCC" w:rsidRPr="00C12926" w:rsidRDefault="00E15FCC" w:rsidP="00E15FCC">
      <w:pPr>
        <w:pStyle w:val="Equationlegend"/>
        <w:rPr>
          <w:szCs w:val="24"/>
        </w:rPr>
      </w:pPr>
      <w:r w:rsidRPr="00C12926">
        <w:rPr>
          <w:szCs w:val="24"/>
        </w:rPr>
        <w:tab/>
      </w:r>
      <w:r w:rsidRPr="00C12926">
        <w:rPr>
          <w:i/>
          <w:iCs/>
          <w:szCs w:val="24"/>
        </w:rPr>
        <w:t>n</w:t>
      </w:r>
      <w:r w:rsidRPr="00C12926">
        <w:t>:</w:t>
      </w:r>
      <w:r w:rsidRPr="00C12926">
        <w:rPr>
          <w:szCs w:val="24"/>
        </w:rPr>
        <w:tab/>
        <w:t>number of sectors.</w:t>
      </w:r>
    </w:p>
    <w:p w:rsidR="00E15FCC" w:rsidRPr="00E15FCC" w:rsidRDefault="00E15FCC" w:rsidP="00E15FCC">
      <w:pPr>
        <w:rPr>
          <w:lang w:val="en-US"/>
        </w:rPr>
      </w:pPr>
      <w:r w:rsidRPr="00E15FCC">
        <w:rPr>
          <w:lang w:val="en-US"/>
        </w:rPr>
        <w:t>The sector areas</w:t>
      </w:r>
      <w:r>
        <w:rPr>
          <w:lang w:val="en-US"/>
        </w:rPr>
        <w:t>,</w:t>
      </w:r>
      <w:r w:rsidRPr="00E15FCC">
        <w:rPr>
          <w:lang w:val="en-US"/>
        </w:rPr>
        <w:t xml:space="preserve"> </w:t>
      </w:r>
      <w:r w:rsidRPr="00E15FCC">
        <w:rPr>
          <w:i/>
          <w:iCs/>
          <w:lang w:val="en-US"/>
        </w:rPr>
        <w:t>A</w:t>
      </w:r>
      <w:r w:rsidRPr="00E15FCC">
        <w:rPr>
          <w:i/>
          <w:iCs/>
          <w:vertAlign w:val="subscript"/>
          <w:lang w:val="en-US"/>
        </w:rPr>
        <w:t>S</w:t>
      </w:r>
      <w:r>
        <w:rPr>
          <w:lang w:val="en-US"/>
        </w:rPr>
        <w:t>,</w:t>
      </w:r>
      <w:r w:rsidRPr="00E15FCC">
        <w:rPr>
          <w:lang w:val="en-US"/>
        </w:rPr>
        <w:t xml:space="preserve"> can be calculated by:</w:t>
      </w:r>
    </w:p>
    <w:p w:rsidR="00E15FCC" w:rsidRPr="00E15FCC" w:rsidRDefault="00E15FCC" w:rsidP="00E15FCC">
      <w:pPr>
        <w:pStyle w:val="Equation"/>
        <w:rPr>
          <w:b/>
          <w:bCs/>
          <w:lang w:val="en-US"/>
        </w:rPr>
      </w:pPr>
      <w:r w:rsidRPr="00E15FCC">
        <w:rPr>
          <w:lang w:val="en-US"/>
        </w:rPr>
        <w:tab/>
      </w:r>
      <w:r w:rsidRPr="00E15FCC">
        <w:rPr>
          <w:lang w:val="en-US"/>
        </w:rPr>
        <w:tab/>
      </w:r>
      <w:r w:rsidRPr="00C12926">
        <w:rPr>
          <w:position w:val="-24"/>
        </w:rPr>
        <w:object w:dxaOrig="1420" w:dyaOrig="700">
          <v:shape id="_x0000_i1066" type="#_x0000_t75" style="width:70.8pt;height:35.4pt" o:ole="">
            <v:imagedata r:id="rId100" o:title=""/>
          </v:shape>
          <o:OLEObject Type="Embed" ProgID="Equation.3" ShapeID="_x0000_i1066" DrawAspect="Content" ObjectID="_1370947798" r:id="rId101"/>
        </w:object>
      </w:r>
      <w:r w:rsidRPr="00E15FCC">
        <w:rPr>
          <w:lang w:val="en-US"/>
        </w:rPr>
        <w:tab/>
        <w:t>(36)</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rPr>
          <w:szCs w:val="24"/>
        </w:rPr>
        <w:tab/>
      </w:r>
      <w:r w:rsidRPr="00C12926">
        <w:rPr>
          <w:i/>
          <w:iCs/>
          <w:szCs w:val="24"/>
        </w:rPr>
        <w:t>A</w:t>
      </w:r>
      <w:r w:rsidRPr="00C12926">
        <w:rPr>
          <w:i/>
          <w:iCs/>
          <w:szCs w:val="24"/>
          <w:vertAlign w:val="subscript"/>
        </w:rPr>
        <w:t>S</w:t>
      </w:r>
      <w:r w:rsidRPr="00C12926">
        <w:t>:</w:t>
      </w:r>
      <w:r w:rsidRPr="00C12926">
        <w:rPr>
          <w:szCs w:val="24"/>
        </w:rPr>
        <w:tab/>
        <w:t>sector area (km</w:t>
      </w:r>
      <w:r w:rsidRPr="00C12926">
        <w:rPr>
          <w:szCs w:val="24"/>
          <w:vertAlign w:val="superscript"/>
        </w:rPr>
        <w:t>2</w:t>
      </w:r>
      <w:r w:rsidRPr="00C12926">
        <w:rPr>
          <w:szCs w:val="24"/>
        </w:rPr>
        <w:t>)</w:t>
      </w:r>
    </w:p>
    <w:p w:rsidR="00E15FCC" w:rsidRPr="00C12926" w:rsidRDefault="00E15FCC" w:rsidP="00E15FCC">
      <w:pPr>
        <w:pStyle w:val="Equationlegend"/>
        <w:rPr>
          <w:szCs w:val="24"/>
        </w:rPr>
      </w:pPr>
      <w:r w:rsidRPr="00C12926">
        <w:rPr>
          <w:szCs w:val="24"/>
        </w:rPr>
        <w:tab/>
      </w:r>
      <w:r w:rsidRPr="00C12926">
        <w:rPr>
          <w:i/>
          <w:iCs/>
          <w:szCs w:val="24"/>
        </w:rPr>
        <w:t>R</w:t>
      </w:r>
      <w:r w:rsidRPr="00C12926">
        <w:t>:</w:t>
      </w:r>
      <w:r w:rsidRPr="00C12926">
        <w:rPr>
          <w:szCs w:val="24"/>
        </w:rPr>
        <w:tab/>
        <w:t>sector radius (km)</w:t>
      </w:r>
    </w:p>
    <w:p w:rsidR="00E15FCC" w:rsidRPr="00C12926" w:rsidRDefault="00E15FCC" w:rsidP="00E15FCC">
      <w:pPr>
        <w:pStyle w:val="Equationlegend"/>
        <w:rPr>
          <w:szCs w:val="24"/>
        </w:rPr>
      </w:pPr>
      <w:r w:rsidRPr="00C12926">
        <w:rPr>
          <w:szCs w:val="24"/>
        </w:rPr>
        <w:tab/>
      </w:r>
      <w:r w:rsidRPr="00C12926">
        <w:rPr>
          <w:iCs/>
          <w:szCs w:val="24"/>
        </w:rPr>
        <w:sym w:font="Symbol" w:char="F071"/>
      </w:r>
      <w:r w:rsidRPr="00C12926">
        <w:t>:</w:t>
      </w:r>
      <w:r w:rsidRPr="00C12926">
        <w:rPr>
          <w:szCs w:val="24"/>
        </w:rPr>
        <w:tab/>
        <w:t>sector width (degrees).</w:t>
      </w:r>
    </w:p>
    <w:p w:rsidR="00E15FCC" w:rsidRPr="00E15FCC" w:rsidRDefault="00E15FCC" w:rsidP="00E15FCC">
      <w:pPr>
        <w:rPr>
          <w:lang w:val="en-US"/>
        </w:rPr>
      </w:pPr>
      <w:r w:rsidRPr="00E15FCC">
        <w:rPr>
          <w:lang w:val="en-US"/>
        </w:rPr>
        <w:t xml:space="preserve">In principle, as a general rule, the entire circumference around the transmitter (all 360°) will be analysed to obtain the denied area. Practical results certainly will demonstrate that only determined widths, with a certain orientation (azimuth) will be relevant. Thus, in many cases, it can be considered just one sector with the width equal to the antenna half-power beamwidth for the </w:t>
      </w:r>
      <w:r w:rsidRPr="00E15FCC">
        <w:rPr>
          <w:lang w:val="en-US"/>
        </w:rPr>
        <w:lastRenderedPageBreak/>
        <w:t xml:space="preserve">considered antenna radiation pattern envelope. With this simplification, the denied geometric space </w:t>
      </w:r>
      <w:r w:rsidRPr="00E15FCC">
        <w:rPr>
          <w:i/>
          <w:iCs/>
          <w:lang w:val="en-US"/>
        </w:rPr>
        <w:t>S</w:t>
      </w:r>
      <w:r w:rsidRPr="00E15FCC">
        <w:rPr>
          <w:lang w:val="en-US"/>
        </w:rPr>
        <w:t xml:space="preserve"> can be calculated by:</w:t>
      </w:r>
    </w:p>
    <w:p w:rsidR="00E15FCC" w:rsidRPr="00E15FCC" w:rsidRDefault="00E15FCC" w:rsidP="00E15FCC">
      <w:pPr>
        <w:pStyle w:val="Equation"/>
        <w:rPr>
          <w:b/>
          <w:bCs/>
          <w:lang w:val="en-US"/>
        </w:rPr>
      </w:pPr>
      <w:r w:rsidRPr="00E15FCC">
        <w:rPr>
          <w:lang w:val="en-US"/>
        </w:rPr>
        <w:tab/>
      </w:r>
      <w:r w:rsidRPr="00E15FCC">
        <w:rPr>
          <w:lang w:val="en-US"/>
        </w:rPr>
        <w:tab/>
      </w:r>
      <w:r w:rsidRPr="00C12926">
        <w:rPr>
          <w:position w:val="-24"/>
        </w:rPr>
        <w:object w:dxaOrig="1579" w:dyaOrig="700">
          <v:shape id="_x0000_i1067" type="#_x0000_t75" style="width:79.2pt;height:35.4pt" o:ole="">
            <v:imagedata r:id="rId102" o:title=""/>
          </v:shape>
          <o:OLEObject Type="Embed" ProgID="Equation.3" ShapeID="_x0000_i1067" DrawAspect="Content" ObjectID="_1370947799" r:id="rId103"/>
        </w:object>
      </w:r>
      <w:r w:rsidRPr="00E15FCC">
        <w:rPr>
          <w:lang w:val="en-US"/>
        </w:rPr>
        <w:tab/>
        <w:t>(37)</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rPr>
          <w:szCs w:val="24"/>
        </w:rPr>
        <w:tab/>
      </w:r>
      <w:r w:rsidRPr="00C12926">
        <w:rPr>
          <w:i/>
          <w:iCs/>
          <w:szCs w:val="24"/>
        </w:rPr>
        <w:t>S</w:t>
      </w:r>
      <w:r w:rsidRPr="00C12926">
        <w:t>:</w:t>
      </w:r>
      <w:r w:rsidRPr="00C12926">
        <w:rPr>
          <w:szCs w:val="24"/>
        </w:rPr>
        <w:tab/>
        <w:t>denied geometric space (km</w:t>
      </w:r>
      <w:r w:rsidRPr="00C12926">
        <w:rPr>
          <w:szCs w:val="24"/>
          <w:vertAlign w:val="superscript"/>
        </w:rPr>
        <w:t>2</w:t>
      </w:r>
      <w:r w:rsidRPr="00C12926">
        <w:rPr>
          <w:szCs w:val="24"/>
        </w:rPr>
        <w:t>)</w:t>
      </w:r>
    </w:p>
    <w:p w:rsidR="00E15FCC" w:rsidRPr="00C12926" w:rsidRDefault="00E15FCC" w:rsidP="00E15FCC">
      <w:pPr>
        <w:pStyle w:val="Equationlegend"/>
        <w:rPr>
          <w:szCs w:val="24"/>
        </w:rPr>
      </w:pPr>
      <w:r w:rsidRPr="00C12926">
        <w:rPr>
          <w:szCs w:val="24"/>
        </w:rPr>
        <w:tab/>
      </w:r>
      <w:r w:rsidRPr="00C12926">
        <w:rPr>
          <w:i/>
          <w:iCs/>
          <w:szCs w:val="24"/>
        </w:rPr>
        <w:t>R</w:t>
      </w:r>
      <w:r w:rsidRPr="00C12926">
        <w:t>:</w:t>
      </w:r>
      <w:r w:rsidRPr="00C12926">
        <w:rPr>
          <w:szCs w:val="24"/>
        </w:rPr>
        <w:tab/>
        <w:t>sector radius (km)</w:t>
      </w:r>
    </w:p>
    <w:p w:rsidR="00E15FCC" w:rsidRPr="00C12926" w:rsidRDefault="00E15FCC" w:rsidP="00E15FCC">
      <w:pPr>
        <w:pStyle w:val="Equationlegend"/>
        <w:rPr>
          <w:szCs w:val="24"/>
        </w:rPr>
      </w:pPr>
      <w:r w:rsidRPr="00C12926">
        <w:rPr>
          <w:szCs w:val="24"/>
        </w:rPr>
        <w:tab/>
      </w:r>
      <w:r w:rsidRPr="00C12926">
        <w:rPr>
          <w:szCs w:val="24"/>
        </w:rPr>
        <w:sym w:font="Symbol" w:char="F071"/>
      </w:r>
      <w:r w:rsidRPr="00C12926">
        <w:rPr>
          <w:i/>
          <w:iCs/>
          <w:szCs w:val="24"/>
          <w:vertAlign w:val="subscript"/>
        </w:rPr>
        <w:t>HP</w:t>
      </w:r>
      <w:r w:rsidRPr="00C12926">
        <w:t>:</w:t>
      </w:r>
      <w:r w:rsidRPr="00C12926">
        <w:rPr>
          <w:szCs w:val="24"/>
        </w:rPr>
        <w:tab/>
        <w:t>antenna half-power beamwidth (degrees).</w:t>
      </w:r>
    </w:p>
    <w:p w:rsidR="00E15FCC" w:rsidRPr="00E15FCC" w:rsidRDefault="00E15FCC" w:rsidP="00E15FCC">
      <w:pPr>
        <w:rPr>
          <w:lang w:val="en-US"/>
        </w:rPr>
      </w:pPr>
      <w:r w:rsidRPr="00E15FCC">
        <w:rPr>
          <w:lang w:val="en-US"/>
        </w:rPr>
        <w:t>In the calculation of the sector radius for the transmitter denied area it is considered that in the direction of each sector beamwidth there is a receiver pointing to the transmitter. In a similar manner, in the calculation of the sector radius for the receiver denied area it is considered that in the direction of each sector beamwidth there is a transmitter pointing to the receiver. The sector radius can be calculated by:</w:t>
      </w:r>
    </w:p>
    <w:p w:rsidR="00E15FCC" w:rsidRPr="00E15FCC" w:rsidRDefault="00E15FCC" w:rsidP="00E15FCC">
      <w:pPr>
        <w:pStyle w:val="Equation"/>
        <w:rPr>
          <w:lang w:val="en-US"/>
        </w:rPr>
      </w:pPr>
      <w:r w:rsidRPr="00E15FCC">
        <w:rPr>
          <w:lang w:val="en-US"/>
        </w:rPr>
        <w:tab/>
      </w:r>
      <w:r w:rsidRPr="00E15FCC">
        <w:rPr>
          <w:lang w:val="en-US"/>
        </w:rPr>
        <w:tab/>
      </w:r>
      <w:r w:rsidRPr="00C12926">
        <w:rPr>
          <w:position w:val="-6"/>
        </w:rPr>
        <w:object w:dxaOrig="1080" w:dyaOrig="380">
          <v:shape id="_x0000_i1068" type="#_x0000_t75" style="width:54pt;height:18.6pt" o:ole="">
            <v:imagedata r:id="rId104" o:title=""/>
          </v:shape>
          <o:OLEObject Type="Embed" ProgID="Equation.3" ShapeID="_x0000_i1068" DrawAspect="Content" ObjectID="_1370947800" r:id="rId105"/>
        </w:object>
      </w:r>
      <w:r w:rsidRPr="00E15FCC">
        <w:rPr>
          <w:lang w:val="en-US"/>
        </w:rPr>
        <w:tab/>
        <w:t>(38)</w:t>
      </w:r>
    </w:p>
    <w:p w:rsidR="00E15FCC" w:rsidRPr="00E15FCC" w:rsidRDefault="00E15FCC" w:rsidP="00E15FCC">
      <w:pPr>
        <w:pStyle w:val="Equation"/>
        <w:rPr>
          <w:b/>
          <w:bCs/>
          <w:lang w:val="en-US"/>
        </w:rPr>
      </w:pPr>
      <w:r w:rsidRPr="00E15FCC">
        <w:rPr>
          <w:lang w:val="en-US"/>
        </w:rPr>
        <w:tab/>
      </w:r>
      <w:r w:rsidRPr="00E15FCC">
        <w:rPr>
          <w:lang w:val="en-US"/>
        </w:rPr>
        <w:tab/>
      </w:r>
      <w:r w:rsidRPr="00E15FCC">
        <w:rPr>
          <w:i/>
          <w:szCs w:val="24"/>
          <w:lang w:val="en-US"/>
        </w:rPr>
        <w:t>A</w:t>
      </w:r>
      <w:r w:rsidRPr="00E15FCC">
        <w:rPr>
          <w:szCs w:val="24"/>
          <w:lang w:val="en-US"/>
        </w:rPr>
        <w:t xml:space="preserve"> = </w:t>
      </w:r>
      <w:r w:rsidRPr="00E15FCC">
        <w:rPr>
          <w:i/>
          <w:szCs w:val="24"/>
          <w:lang w:val="en-US"/>
        </w:rPr>
        <w:t>P</w:t>
      </w:r>
      <w:r w:rsidRPr="00E15FCC">
        <w:rPr>
          <w:i/>
          <w:szCs w:val="24"/>
          <w:vertAlign w:val="subscript"/>
          <w:lang w:val="en-US"/>
        </w:rPr>
        <w:t>TX</w:t>
      </w:r>
      <w:r w:rsidRPr="00E15FCC">
        <w:rPr>
          <w:szCs w:val="24"/>
          <w:vertAlign w:val="subscript"/>
          <w:lang w:val="en-US"/>
        </w:rPr>
        <w:t xml:space="preserve">  </w:t>
      </w:r>
      <w:r w:rsidRPr="00E15FCC">
        <w:rPr>
          <w:szCs w:val="24"/>
          <w:lang w:val="en-US"/>
        </w:rPr>
        <w:t xml:space="preserve">– </w:t>
      </w:r>
      <w:r w:rsidRPr="00E15FCC">
        <w:rPr>
          <w:i/>
          <w:szCs w:val="24"/>
          <w:lang w:val="en-US"/>
        </w:rPr>
        <w:t>L</w:t>
      </w:r>
      <w:r w:rsidRPr="00E15FCC">
        <w:rPr>
          <w:i/>
          <w:szCs w:val="24"/>
          <w:vertAlign w:val="subscript"/>
          <w:lang w:val="en-US"/>
        </w:rPr>
        <w:t>C TX</w:t>
      </w:r>
      <w:r w:rsidRPr="00E15FCC">
        <w:rPr>
          <w:szCs w:val="24"/>
          <w:vertAlign w:val="subscript"/>
          <w:lang w:val="en-US"/>
        </w:rPr>
        <w:t xml:space="preserve">  </w:t>
      </w:r>
      <w:r w:rsidRPr="00E15FCC">
        <w:rPr>
          <w:szCs w:val="24"/>
          <w:lang w:val="en-US"/>
        </w:rPr>
        <w:t xml:space="preserve">+ </w:t>
      </w:r>
      <w:r w:rsidRPr="00E15FCC">
        <w:rPr>
          <w:i/>
          <w:szCs w:val="24"/>
          <w:lang w:val="en-US"/>
        </w:rPr>
        <w:t>G</w:t>
      </w:r>
      <w:r w:rsidRPr="00E15FCC">
        <w:rPr>
          <w:i/>
          <w:szCs w:val="24"/>
          <w:vertAlign w:val="subscript"/>
          <w:lang w:val="en-US"/>
        </w:rPr>
        <w:t>TX</w:t>
      </w:r>
      <w:r w:rsidRPr="00E15FCC">
        <w:rPr>
          <w:szCs w:val="24"/>
          <w:lang w:val="en-US"/>
        </w:rPr>
        <w:t xml:space="preserve"> + </w:t>
      </w:r>
      <w:r w:rsidRPr="00E15FCC">
        <w:rPr>
          <w:i/>
          <w:szCs w:val="24"/>
          <w:lang w:val="en-US"/>
        </w:rPr>
        <w:t>G</w:t>
      </w:r>
      <w:r w:rsidRPr="00E15FCC">
        <w:rPr>
          <w:i/>
          <w:szCs w:val="24"/>
          <w:vertAlign w:val="subscript"/>
          <w:lang w:val="en-US"/>
        </w:rPr>
        <w:t>RX</w:t>
      </w:r>
      <w:r w:rsidRPr="00E15FCC">
        <w:rPr>
          <w:szCs w:val="24"/>
          <w:lang w:val="en-US"/>
        </w:rPr>
        <w:t xml:space="preserve">  – </w:t>
      </w:r>
      <w:r w:rsidRPr="00E15FCC">
        <w:rPr>
          <w:i/>
          <w:szCs w:val="24"/>
          <w:lang w:val="en-US"/>
        </w:rPr>
        <w:t>L</w:t>
      </w:r>
      <w:r w:rsidRPr="00E15FCC">
        <w:rPr>
          <w:i/>
          <w:szCs w:val="24"/>
          <w:vertAlign w:val="subscript"/>
          <w:lang w:val="en-US"/>
        </w:rPr>
        <w:t>C RX</w:t>
      </w:r>
      <w:r w:rsidRPr="00E15FCC">
        <w:rPr>
          <w:szCs w:val="24"/>
          <w:lang w:val="en-US"/>
        </w:rPr>
        <w:t xml:space="preserve">  – </w:t>
      </w:r>
      <w:r w:rsidRPr="00E15FCC">
        <w:rPr>
          <w:i/>
          <w:szCs w:val="24"/>
          <w:lang w:val="en-US"/>
        </w:rPr>
        <w:t>I</w:t>
      </w:r>
      <w:r w:rsidRPr="00E15FCC">
        <w:rPr>
          <w:i/>
          <w:szCs w:val="24"/>
          <w:vertAlign w:val="subscript"/>
          <w:lang w:val="en-US"/>
        </w:rPr>
        <w:t>RX</w:t>
      </w:r>
      <w:r w:rsidRPr="00E15FCC">
        <w:rPr>
          <w:szCs w:val="24"/>
          <w:lang w:val="en-US"/>
        </w:rPr>
        <w:t xml:space="preserve">  – 20 log (</w:t>
      </w:r>
      <w:r w:rsidRPr="00E15FCC">
        <w:rPr>
          <w:i/>
          <w:szCs w:val="24"/>
          <w:lang w:val="en-US"/>
        </w:rPr>
        <w:t>f</w:t>
      </w:r>
      <w:r w:rsidRPr="00E15FCC">
        <w:rPr>
          <w:szCs w:val="24"/>
          <w:lang w:val="en-US"/>
        </w:rPr>
        <w:t xml:space="preserve">) – 32.44 – </w:t>
      </w:r>
      <w:r w:rsidRPr="00E15FCC">
        <w:rPr>
          <w:i/>
          <w:szCs w:val="24"/>
          <w:lang w:val="en-US"/>
        </w:rPr>
        <w:t>A</w:t>
      </w:r>
      <w:r w:rsidRPr="00E15FCC">
        <w:rPr>
          <w:i/>
          <w:szCs w:val="24"/>
          <w:vertAlign w:val="subscript"/>
          <w:lang w:val="en-US"/>
        </w:rPr>
        <w:t>D</w:t>
      </w:r>
      <w:r w:rsidRPr="00E15FCC">
        <w:rPr>
          <w:lang w:val="en-US"/>
        </w:rPr>
        <w:tab/>
        <w:t>(39)</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tab/>
      </w:r>
      <w:r w:rsidRPr="00C12926">
        <w:rPr>
          <w:i/>
          <w:iCs/>
          <w:szCs w:val="24"/>
        </w:rPr>
        <w:t>P</w:t>
      </w:r>
      <w:r w:rsidRPr="00C12926">
        <w:rPr>
          <w:i/>
          <w:iCs/>
          <w:szCs w:val="24"/>
          <w:vertAlign w:val="subscript"/>
        </w:rPr>
        <w:t>TX</w:t>
      </w:r>
      <w:r w:rsidRPr="00C12926">
        <w:t>:</w:t>
      </w:r>
      <w:r w:rsidRPr="00C12926">
        <w:rPr>
          <w:szCs w:val="24"/>
        </w:rPr>
        <w:tab/>
        <w:t>transmission power (dBm)</w:t>
      </w:r>
    </w:p>
    <w:p w:rsidR="00E15FCC" w:rsidRPr="00E15FCC" w:rsidRDefault="00E15FCC" w:rsidP="00E15FCC">
      <w:pPr>
        <w:pStyle w:val="Equationlegend"/>
        <w:rPr>
          <w:szCs w:val="24"/>
          <w:lang w:val="fr-FR"/>
        </w:rPr>
      </w:pPr>
      <w:r w:rsidRPr="00C12926">
        <w:rPr>
          <w:szCs w:val="24"/>
        </w:rPr>
        <w:tab/>
      </w:r>
      <w:r w:rsidRPr="00E15FCC">
        <w:rPr>
          <w:i/>
          <w:iCs/>
          <w:szCs w:val="24"/>
          <w:lang w:val="fr-FR"/>
        </w:rPr>
        <w:t>L</w:t>
      </w:r>
      <w:r w:rsidRPr="00E15FCC">
        <w:rPr>
          <w:i/>
          <w:iCs/>
          <w:szCs w:val="24"/>
          <w:vertAlign w:val="subscript"/>
          <w:lang w:val="fr-FR"/>
        </w:rPr>
        <w:t>C TX</w:t>
      </w:r>
      <w:r w:rsidRPr="00E15FCC">
        <w:rPr>
          <w:lang w:val="fr-FR"/>
        </w:rPr>
        <w:t>:</w:t>
      </w:r>
      <w:r w:rsidRPr="00E15FCC">
        <w:rPr>
          <w:szCs w:val="24"/>
          <w:lang w:val="fr-FR"/>
        </w:rPr>
        <w:tab/>
        <w:t>transmission circuit attenuation (dB)</w:t>
      </w:r>
    </w:p>
    <w:p w:rsidR="00E15FCC" w:rsidRPr="00C12926" w:rsidRDefault="00E15FCC" w:rsidP="00E15FCC">
      <w:pPr>
        <w:pStyle w:val="Equationlegend"/>
        <w:rPr>
          <w:szCs w:val="24"/>
        </w:rPr>
      </w:pPr>
      <w:r w:rsidRPr="00E15FCC">
        <w:rPr>
          <w:szCs w:val="24"/>
          <w:lang w:val="fr-FR"/>
        </w:rPr>
        <w:tab/>
      </w:r>
      <w:r w:rsidRPr="00C12926">
        <w:rPr>
          <w:i/>
          <w:iCs/>
          <w:szCs w:val="24"/>
        </w:rPr>
        <w:t>G</w:t>
      </w:r>
      <w:r w:rsidRPr="00C12926">
        <w:rPr>
          <w:i/>
          <w:iCs/>
          <w:szCs w:val="24"/>
          <w:vertAlign w:val="subscript"/>
        </w:rPr>
        <w:t>TX</w:t>
      </w:r>
      <w:r w:rsidRPr="00C12926">
        <w:t>:</w:t>
      </w:r>
      <w:r w:rsidRPr="00C12926">
        <w:rPr>
          <w:szCs w:val="24"/>
        </w:rPr>
        <w:tab/>
        <w:t>transmitter antenna gain in the centre of the sector beamwidth (dBi)</w:t>
      </w:r>
    </w:p>
    <w:p w:rsidR="00E15FCC" w:rsidRPr="00C12926" w:rsidRDefault="00E15FCC" w:rsidP="00E15FCC">
      <w:pPr>
        <w:pStyle w:val="Equationlegend"/>
        <w:rPr>
          <w:szCs w:val="24"/>
        </w:rPr>
      </w:pPr>
      <w:r w:rsidRPr="00C12926">
        <w:rPr>
          <w:szCs w:val="24"/>
        </w:rPr>
        <w:tab/>
      </w:r>
      <w:r w:rsidRPr="00C12926">
        <w:rPr>
          <w:i/>
          <w:iCs/>
          <w:szCs w:val="24"/>
        </w:rPr>
        <w:t>G</w:t>
      </w:r>
      <w:r w:rsidRPr="00C12926">
        <w:rPr>
          <w:i/>
          <w:iCs/>
          <w:szCs w:val="24"/>
          <w:vertAlign w:val="subscript"/>
        </w:rPr>
        <w:t>RX</w:t>
      </w:r>
      <w:r w:rsidRPr="00C12926">
        <w:t>:</w:t>
      </w:r>
      <w:r w:rsidRPr="00C12926">
        <w:rPr>
          <w:szCs w:val="24"/>
        </w:rPr>
        <w:tab/>
        <w:t>receiver antenna gain in the transmitter direction (azimuth) (dBi)</w:t>
      </w:r>
    </w:p>
    <w:p w:rsidR="00E15FCC" w:rsidRPr="00C12926" w:rsidRDefault="00E15FCC" w:rsidP="00E15FCC">
      <w:pPr>
        <w:pStyle w:val="Equationlegend"/>
        <w:rPr>
          <w:szCs w:val="24"/>
        </w:rPr>
      </w:pPr>
      <w:r w:rsidRPr="00C12926">
        <w:rPr>
          <w:szCs w:val="24"/>
        </w:rPr>
        <w:tab/>
      </w:r>
      <w:r w:rsidRPr="00C12926">
        <w:rPr>
          <w:i/>
          <w:iCs/>
          <w:szCs w:val="24"/>
        </w:rPr>
        <w:t>L</w:t>
      </w:r>
      <w:r w:rsidRPr="00C12926">
        <w:rPr>
          <w:i/>
          <w:iCs/>
          <w:szCs w:val="24"/>
          <w:vertAlign w:val="subscript"/>
        </w:rPr>
        <w:t>C RX</w:t>
      </w:r>
      <w:r w:rsidRPr="00C12926">
        <w:t>:</w:t>
      </w:r>
      <w:r w:rsidRPr="00C12926">
        <w:rPr>
          <w:szCs w:val="24"/>
        </w:rPr>
        <w:tab/>
        <w:t>receiver circuit attenuation (dB)</w:t>
      </w:r>
    </w:p>
    <w:p w:rsidR="00E15FCC" w:rsidRPr="00C12926" w:rsidRDefault="00E15FCC" w:rsidP="00E15FCC">
      <w:pPr>
        <w:pStyle w:val="Equationlegend"/>
        <w:rPr>
          <w:szCs w:val="24"/>
        </w:rPr>
      </w:pPr>
      <w:r w:rsidRPr="00C12926">
        <w:rPr>
          <w:szCs w:val="24"/>
        </w:rPr>
        <w:tab/>
      </w:r>
      <w:r w:rsidRPr="00C12926">
        <w:rPr>
          <w:i/>
          <w:iCs/>
          <w:szCs w:val="24"/>
        </w:rPr>
        <w:t>I</w:t>
      </w:r>
      <w:r w:rsidRPr="00C12926">
        <w:rPr>
          <w:i/>
          <w:iCs/>
          <w:szCs w:val="24"/>
          <w:vertAlign w:val="subscript"/>
        </w:rPr>
        <w:t>RX</w:t>
      </w:r>
      <w:r w:rsidRPr="00C12926">
        <w:t>:</w:t>
      </w:r>
      <w:r w:rsidRPr="00C12926">
        <w:rPr>
          <w:szCs w:val="24"/>
        </w:rPr>
        <w:tab/>
        <w:t>receiver interference threshold (dBm)</w:t>
      </w:r>
    </w:p>
    <w:p w:rsidR="00E15FCC" w:rsidRPr="00C12926" w:rsidRDefault="00E15FCC" w:rsidP="00E15FCC">
      <w:pPr>
        <w:pStyle w:val="Equationlegend"/>
        <w:rPr>
          <w:szCs w:val="24"/>
        </w:rPr>
      </w:pPr>
      <w:r w:rsidRPr="00C12926">
        <w:rPr>
          <w:szCs w:val="24"/>
        </w:rPr>
        <w:tab/>
      </w:r>
      <w:r w:rsidRPr="00C12926">
        <w:rPr>
          <w:i/>
          <w:iCs/>
          <w:szCs w:val="24"/>
        </w:rPr>
        <w:t>f</w:t>
      </w:r>
      <w:r w:rsidRPr="00C12926">
        <w:t>:</w:t>
      </w:r>
      <w:r w:rsidRPr="00C12926">
        <w:rPr>
          <w:szCs w:val="24"/>
        </w:rPr>
        <w:tab/>
        <w:t>central frequency of operation (MHz)</w:t>
      </w:r>
    </w:p>
    <w:p w:rsidR="00E15FCC" w:rsidRPr="00C12926" w:rsidRDefault="00E15FCC" w:rsidP="00E15FCC">
      <w:pPr>
        <w:pStyle w:val="Equationlegend"/>
        <w:rPr>
          <w:szCs w:val="24"/>
        </w:rPr>
      </w:pPr>
      <w:r w:rsidRPr="00C12926">
        <w:rPr>
          <w:szCs w:val="24"/>
        </w:rPr>
        <w:tab/>
      </w:r>
      <w:r w:rsidRPr="00C12926">
        <w:rPr>
          <w:i/>
          <w:iCs/>
          <w:szCs w:val="24"/>
        </w:rPr>
        <w:t>A</w:t>
      </w:r>
      <w:r w:rsidRPr="00C12926">
        <w:rPr>
          <w:i/>
          <w:iCs/>
          <w:szCs w:val="24"/>
          <w:vertAlign w:val="subscript"/>
        </w:rPr>
        <w:t>D</w:t>
      </w:r>
      <w:r w:rsidRPr="00C12926">
        <w:t>:</w:t>
      </w:r>
      <w:r w:rsidRPr="00C12926">
        <w:rPr>
          <w:szCs w:val="24"/>
        </w:rPr>
        <w:tab/>
        <w:t>additional diffraction attenuation (dB).</w:t>
      </w:r>
    </w:p>
    <w:p w:rsidR="00E15FCC" w:rsidRPr="00E15FCC" w:rsidRDefault="00E15FCC" w:rsidP="00E15FCC">
      <w:pPr>
        <w:rPr>
          <w:lang w:val="en-US"/>
        </w:rPr>
      </w:pPr>
      <w:r w:rsidRPr="00E15FCC">
        <w:rPr>
          <w:lang w:val="en-US"/>
        </w:rPr>
        <w:t xml:space="preserve">For diffracted links, the additional diffraction attenuation </w:t>
      </w:r>
      <w:r w:rsidRPr="00E15FCC">
        <w:rPr>
          <w:i/>
          <w:iCs/>
          <w:szCs w:val="24"/>
          <w:lang w:val="en-US"/>
        </w:rPr>
        <w:t>A</w:t>
      </w:r>
      <w:r w:rsidRPr="00E15FCC">
        <w:rPr>
          <w:i/>
          <w:iCs/>
          <w:szCs w:val="24"/>
          <w:vertAlign w:val="subscript"/>
          <w:lang w:val="en-US"/>
        </w:rPr>
        <w:t>D</w:t>
      </w:r>
      <w:r w:rsidRPr="00E15FCC">
        <w:rPr>
          <w:lang w:val="en-US"/>
        </w:rPr>
        <w:t xml:space="preserve"> is given by:</w:t>
      </w:r>
    </w:p>
    <w:p w:rsidR="00E15FCC" w:rsidRPr="00E15FCC" w:rsidRDefault="00E15FCC" w:rsidP="00E15FCC">
      <w:pPr>
        <w:pStyle w:val="Equation"/>
        <w:rPr>
          <w:lang w:val="en-US"/>
        </w:rPr>
      </w:pPr>
      <w:r w:rsidRPr="00E15FCC">
        <w:rPr>
          <w:i/>
          <w:iCs/>
          <w:sz w:val="28"/>
          <w:szCs w:val="28"/>
          <w:lang w:val="en-US"/>
        </w:rPr>
        <w:tab/>
      </w:r>
      <w:r w:rsidRPr="00E15FCC">
        <w:rPr>
          <w:i/>
          <w:iCs/>
          <w:sz w:val="28"/>
          <w:szCs w:val="28"/>
          <w:lang w:val="en-US"/>
        </w:rPr>
        <w:tab/>
      </w:r>
      <w:r w:rsidRPr="00C12926">
        <w:rPr>
          <w:position w:val="-30"/>
        </w:rPr>
        <w:object w:dxaOrig="1440" w:dyaOrig="680">
          <v:shape id="_x0000_i1069" type="#_x0000_t75" style="width:1in;height:33.6pt" o:ole="">
            <v:imagedata r:id="rId106" o:title=""/>
          </v:shape>
          <o:OLEObject Type="Embed" ProgID="Equation.3" ShapeID="_x0000_i1069" DrawAspect="Content" ObjectID="_1370947801" r:id="rId107"/>
        </w:object>
      </w:r>
      <w:r w:rsidRPr="00E15FCC">
        <w:rPr>
          <w:i/>
          <w:iCs/>
          <w:sz w:val="28"/>
          <w:szCs w:val="28"/>
          <w:lang w:val="en-US"/>
        </w:rPr>
        <w:tab/>
      </w:r>
      <w:r w:rsidRPr="00E15FCC">
        <w:rPr>
          <w:lang w:val="en-US"/>
        </w:rPr>
        <w:t>(40)</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rPr>
          <w:szCs w:val="24"/>
        </w:rPr>
        <w:tab/>
      </w:r>
      <w:r w:rsidRPr="00C12926">
        <w:rPr>
          <w:i/>
          <w:iCs/>
          <w:szCs w:val="24"/>
        </w:rPr>
        <w:t>A</w:t>
      </w:r>
      <w:r w:rsidRPr="00C12926">
        <w:rPr>
          <w:i/>
          <w:iCs/>
          <w:szCs w:val="24"/>
          <w:vertAlign w:val="subscript"/>
        </w:rPr>
        <w:t>D</w:t>
      </w:r>
      <w:r w:rsidRPr="00C12926">
        <w:t>:</w:t>
      </w:r>
      <w:r w:rsidRPr="00C12926">
        <w:rPr>
          <w:szCs w:val="24"/>
        </w:rPr>
        <w:tab/>
        <w:t>additional diffraction attenuation (dB)</w:t>
      </w:r>
    </w:p>
    <w:p w:rsidR="00E15FCC" w:rsidRPr="00C12926" w:rsidRDefault="00E15FCC" w:rsidP="00E15FCC">
      <w:pPr>
        <w:pStyle w:val="Equationlegend"/>
        <w:rPr>
          <w:szCs w:val="24"/>
        </w:rPr>
      </w:pPr>
      <w:r w:rsidRPr="00C12926">
        <w:rPr>
          <w:szCs w:val="24"/>
        </w:rPr>
        <w:tab/>
      </w:r>
      <w:r w:rsidRPr="00C12926">
        <w:rPr>
          <w:i/>
          <w:iCs/>
          <w:szCs w:val="24"/>
        </w:rPr>
        <w:t>h</w:t>
      </w:r>
      <w:r w:rsidRPr="00C12926">
        <w:t>:</w:t>
      </w:r>
      <w:r w:rsidRPr="00C12926">
        <w:rPr>
          <w:szCs w:val="24"/>
        </w:rPr>
        <w:tab/>
        <w:t>distance between the worst obstacle and the line of sight (</w:t>
      </w:r>
      <w:r w:rsidRPr="00C12926">
        <w:rPr>
          <w:i/>
          <w:iCs/>
          <w:szCs w:val="24"/>
        </w:rPr>
        <w:t xml:space="preserve">h </w:t>
      </w:r>
      <w:r w:rsidRPr="00C12926">
        <w:rPr>
          <w:szCs w:val="24"/>
        </w:rPr>
        <w:t>is negative when the line of sight is obstructed) (m)</w:t>
      </w:r>
    </w:p>
    <w:p w:rsidR="00E15FCC" w:rsidRPr="00C12926" w:rsidRDefault="00E15FCC" w:rsidP="00E15FCC">
      <w:pPr>
        <w:pStyle w:val="Equationlegend"/>
        <w:rPr>
          <w:szCs w:val="24"/>
        </w:rPr>
      </w:pPr>
      <w:r w:rsidRPr="00C12926">
        <w:rPr>
          <w:szCs w:val="24"/>
        </w:rPr>
        <w:tab/>
      </w:r>
      <w:r w:rsidRPr="00C12926">
        <w:rPr>
          <w:i/>
          <w:iCs/>
          <w:szCs w:val="24"/>
        </w:rPr>
        <w:t>F</w:t>
      </w:r>
      <w:r w:rsidRPr="00C12926">
        <w:rPr>
          <w:iCs/>
          <w:szCs w:val="24"/>
          <w:vertAlign w:val="subscript"/>
        </w:rPr>
        <w:t>1</w:t>
      </w:r>
      <w:r w:rsidRPr="00C12926">
        <w:t>:</w:t>
      </w:r>
      <w:r w:rsidRPr="00C12926">
        <w:rPr>
          <w:szCs w:val="24"/>
        </w:rPr>
        <w:tab/>
        <w:t xml:space="preserve">first Fresnel ellipsoid radius at </w:t>
      </w:r>
      <w:r w:rsidRPr="00C12926">
        <w:rPr>
          <w:i/>
          <w:iCs/>
          <w:szCs w:val="24"/>
        </w:rPr>
        <w:t>h</w:t>
      </w:r>
      <w:r w:rsidRPr="00C12926">
        <w:rPr>
          <w:szCs w:val="24"/>
        </w:rPr>
        <w:t xml:space="preserve"> (m).</w:t>
      </w:r>
    </w:p>
    <w:p w:rsidR="00E15FCC" w:rsidRPr="00E15FCC" w:rsidRDefault="00E15FCC" w:rsidP="00E15FCC">
      <w:pPr>
        <w:pStyle w:val="Note"/>
        <w:rPr>
          <w:lang w:val="en-US"/>
        </w:rPr>
      </w:pPr>
      <w:r w:rsidRPr="00E15FCC">
        <w:rPr>
          <w:lang w:val="en-US"/>
        </w:rPr>
        <w:t>NOTE 1 – The additional diffraction attenuation adopted considers just one worst obstacle. Other models can be also adopted to be more realistic.</w:t>
      </w:r>
    </w:p>
    <w:p w:rsidR="00E15FCC" w:rsidRPr="00E15FCC" w:rsidRDefault="00E15FCC" w:rsidP="00E15FCC">
      <w:pPr>
        <w:rPr>
          <w:lang w:val="en-US"/>
        </w:rPr>
      </w:pPr>
      <w:r w:rsidRPr="00E15FCC">
        <w:rPr>
          <w:lang w:val="en-US"/>
        </w:rPr>
        <w:t>The propagation model adopted for a generic system analysis was the free space. If the system location is known other propagation models can be also adopted to be less conservative.</w:t>
      </w:r>
    </w:p>
    <w:p w:rsidR="00E15FCC" w:rsidRPr="00E15FCC" w:rsidRDefault="00E15FCC" w:rsidP="00E15FCC">
      <w:pPr>
        <w:rPr>
          <w:lang w:val="en-US"/>
        </w:rPr>
      </w:pPr>
      <w:r w:rsidRPr="00E15FCC">
        <w:rPr>
          <w:lang w:val="en-US"/>
        </w:rPr>
        <w:t>The receiver interference threshold level</w:t>
      </w:r>
      <w:r>
        <w:rPr>
          <w:lang w:val="en-US"/>
        </w:rPr>
        <w:t>,</w:t>
      </w:r>
      <w:r w:rsidRPr="00E15FCC">
        <w:rPr>
          <w:lang w:val="en-US"/>
        </w:rPr>
        <w:t xml:space="preserve"> </w:t>
      </w:r>
      <w:r w:rsidRPr="00E15FCC">
        <w:rPr>
          <w:i/>
          <w:iCs/>
          <w:lang w:val="en-US"/>
        </w:rPr>
        <w:t>I</w:t>
      </w:r>
      <w:r w:rsidRPr="00E15FCC">
        <w:rPr>
          <w:i/>
          <w:iCs/>
          <w:vertAlign w:val="subscript"/>
          <w:lang w:val="en-US"/>
        </w:rPr>
        <w:t>RX</w:t>
      </w:r>
      <w:r>
        <w:rPr>
          <w:lang w:val="en-US"/>
        </w:rPr>
        <w:t>,</w:t>
      </w:r>
      <w:r w:rsidRPr="00E15FCC">
        <w:rPr>
          <w:lang w:val="en-US"/>
        </w:rPr>
        <w:t xml:space="preserve"> can be calculated with two different methods:</w:t>
      </w:r>
    </w:p>
    <w:p w:rsidR="00E15FCC" w:rsidRPr="00E15FCC" w:rsidRDefault="00E15FCC" w:rsidP="00E15FCC">
      <w:pPr>
        <w:pStyle w:val="Headingi"/>
        <w:rPr>
          <w:lang w:val="en-US"/>
        </w:rPr>
      </w:pPr>
      <w:r w:rsidRPr="00E15FCC">
        <w:rPr>
          <w:lang w:val="en-US"/>
        </w:rPr>
        <w:lastRenderedPageBreak/>
        <w:t>Method A</w:t>
      </w:r>
    </w:p>
    <w:p w:rsidR="00E15FCC" w:rsidRPr="00E15FCC" w:rsidRDefault="00E15FCC" w:rsidP="00E15FCC">
      <w:pPr>
        <w:rPr>
          <w:lang w:val="en-US"/>
        </w:rPr>
      </w:pPr>
      <w:r w:rsidRPr="00E15FCC">
        <w:rPr>
          <w:lang w:val="en-US"/>
        </w:rPr>
        <w:t xml:space="preserve">When the maximum value of the carrier to interference ratio of the interfered system receiver is known, it can be considered that the signal </w:t>
      </w:r>
      <w:r w:rsidRPr="00E15FCC">
        <w:rPr>
          <w:i/>
          <w:iCs/>
          <w:lang w:val="en-US"/>
        </w:rPr>
        <w:t xml:space="preserve">C </w:t>
      </w:r>
      <w:r w:rsidRPr="00E15FCC">
        <w:rPr>
          <w:lang w:val="en-US"/>
        </w:rPr>
        <w:t xml:space="preserve">received by the interfered link receivers is equal to the sensibility of the reception equipment, obtaining </w:t>
      </w:r>
      <w:r w:rsidRPr="00E15FCC">
        <w:rPr>
          <w:i/>
          <w:iCs/>
          <w:lang w:val="en-US"/>
        </w:rPr>
        <w:t>I</w:t>
      </w:r>
      <w:r w:rsidRPr="00E15FCC">
        <w:rPr>
          <w:i/>
          <w:iCs/>
          <w:vertAlign w:val="subscript"/>
          <w:lang w:val="en-US"/>
        </w:rPr>
        <w:t>RX</w:t>
      </w:r>
      <w:r w:rsidRPr="00E15FCC">
        <w:rPr>
          <w:lang w:val="en-US"/>
        </w:rPr>
        <w:t xml:space="preserve"> directly:</w:t>
      </w:r>
    </w:p>
    <w:p w:rsidR="00E15FCC" w:rsidRPr="00E15FCC" w:rsidRDefault="00E15FCC" w:rsidP="00E15FCC">
      <w:pPr>
        <w:pStyle w:val="Equation"/>
        <w:rPr>
          <w:lang w:val="en-US"/>
        </w:rPr>
      </w:pPr>
      <w:r w:rsidRPr="00E15FCC">
        <w:rPr>
          <w:lang w:val="en-US"/>
        </w:rPr>
        <w:tab/>
      </w:r>
      <w:r w:rsidRPr="00E15FCC">
        <w:rPr>
          <w:lang w:val="en-US"/>
        </w:rPr>
        <w:tab/>
      </w:r>
      <w:r w:rsidRPr="00E15FCC">
        <w:rPr>
          <w:i/>
          <w:lang w:val="en-US"/>
        </w:rPr>
        <w:t>I</w:t>
      </w:r>
      <w:r w:rsidRPr="00E15FCC">
        <w:rPr>
          <w:i/>
          <w:vertAlign w:val="subscript"/>
          <w:lang w:val="en-US"/>
        </w:rPr>
        <w:t>RX</w:t>
      </w:r>
      <w:r w:rsidRPr="00E15FCC">
        <w:rPr>
          <w:lang w:val="en-US"/>
        </w:rPr>
        <w:t xml:space="preserve"> = </w:t>
      </w:r>
      <w:r w:rsidRPr="00E15FCC">
        <w:rPr>
          <w:i/>
          <w:lang w:val="en-US"/>
        </w:rPr>
        <w:t>C</w:t>
      </w:r>
      <w:r w:rsidRPr="00E15FCC">
        <w:rPr>
          <w:lang w:val="en-US"/>
        </w:rPr>
        <w:t xml:space="preserve"> – </w:t>
      </w:r>
      <w:r w:rsidRPr="00E15FCC">
        <w:rPr>
          <w:i/>
          <w:lang w:val="en-US"/>
        </w:rPr>
        <w:t>C</w:t>
      </w:r>
      <w:r w:rsidRPr="00E15FCC">
        <w:rPr>
          <w:lang w:val="en-US"/>
        </w:rPr>
        <w:t>/</w:t>
      </w:r>
      <w:r w:rsidRPr="00E15FCC">
        <w:rPr>
          <w:i/>
          <w:lang w:val="en-US"/>
        </w:rPr>
        <w:t>I</w:t>
      </w:r>
      <w:r w:rsidRPr="00E15FCC">
        <w:rPr>
          <w:i/>
          <w:vertAlign w:val="subscript"/>
          <w:lang w:val="en-US"/>
        </w:rPr>
        <w:t>MAX</w:t>
      </w:r>
      <w:r w:rsidRPr="00E15FCC">
        <w:rPr>
          <w:lang w:val="en-US"/>
        </w:rPr>
        <w:tab/>
        <w:t>(41)</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tab/>
      </w:r>
      <w:r w:rsidRPr="00C12926">
        <w:rPr>
          <w:i/>
          <w:iCs/>
          <w:szCs w:val="24"/>
        </w:rPr>
        <w:t>I</w:t>
      </w:r>
      <w:r w:rsidRPr="00C12926">
        <w:rPr>
          <w:i/>
          <w:iCs/>
          <w:szCs w:val="24"/>
          <w:vertAlign w:val="subscript"/>
        </w:rPr>
        <w:t>RX</w:t>
      </w:r>
      <w:r w:rsidRPr="00C12926">
        <w:t>:</w:t>
      </w:r>
      <w:r w:rsidRPr="00C12926">
        <w:rPr>
          <w:szCs w:val="24"/>
        </w:rPr>
        <w:tab/>
        <w:t>receiver interference threshold level (dBm)</w:t>
      </w:r>
    </w:p>
    <w:p w:rsidR="00E15FCC" w:rsidRPr="00C12926" w:rsidRDefault="00E15FCC" w:rsidP="00E15FCC">
      <w:pPr>
        <w:pStyle w:val="Equationlegend"/>
        <w:rPr>
          <w:szCs w:val="24"/>
        </w:rPr>
      </w:pPr>
      <w:r w:rsidRPr="00C12926">
        <w:rPr>
          <w:szCs w:val="24"/>
        </w:rPr>
        <w:tab/>
      </w:r>
      <w:r w:rsidRPr="00C12926">
        <w:rPr>
          <w:i/>
          <w:iCs/>
          <w:szCs w:val="24"/>
        </w:rPr>
        <w:t>C</w:t>
      </w:r>
      <w:r w:rsidRPr="00C12926">
        <w:t>:</w:t>
      </w:r>
      <w:r w:rsidRPr="00C12926">
        <w:rPr>
          <w:szCs w:val="24"/>
        </w:rPr>
        <w:tab/>
        <w:t>signal level received by the receivers, given by the sensibility of the reception equipment (dBm)</w:t>
      </w:r>
    </w:p>
    <w:p w:rsidR="00E15FCC" w:rsidRPr="00C12926" w:rsidRDefault="00E15FCC" w:rsidP="00E15FCC">
      <w:pPr>
        <w:pStyle w:val="Equationlegend"/>
        <w:rPr>
          <w:szCs w:val="24"/>
        </w:rPr>
      </w:pPr>
      <w:r w:rsidRPr="00C12926">
        <w:rPr>
          <w:szCs w:val="24"/>
        </w:rPr>
        <w:tab/>
      </w:r>
      <w:r w:rsidRPr="00C12926">
        <w:rPr>
          <w:i/>
          <w:iCs/>
          <w:szCs w:val="24"/>
        </w:rPr>
        <w:t>I</w:t>
      </w:r>
      <w:r w:rsidRPr="00C12926">
        <w:rPr>
          <w:i/>
          <w:iCs/>
          <w:szCs w:val="24"/>
          <w:vertAlign w:val="subscript"/>
        </w:rPr>
        <w:t>MAX</w:t>
      </w:r>
      <w:r w:rsidRPr="00C12926">
        <w:t>:</w:t>
      </w:r>
      <w:r w:rsidRPr="00C12926">
        <w:rPr>
          <w:szCs w:val="24"/>
        </w:rPr>
        <w:tab/>
        <w:t>maximum interference level at the receiver.</w:t>
      </w:r>
    </w:p>
    <w:p w:rsidR="00E15FCC" w:rsidRPr="00E15FCC" w:rsidRDefault="00E15FCC" w:rsidP="00E15FCC">
      <w:pPr>
        <w:pStyle w:val="Headingi"/>
        <w:rPr>
          <w:lang w:val="en-US"/>
        </w:rPr>
      </w:pPr>
      <w:r w:rsidRPr="00E15FCC">
        <w:rPr>
          <w:lang w:val="en-US"/>
        </w:rPr>
        <w:t>Method B</w:t>
      </w:r>
    </w:p>
    <w:p w:rsidR="00E15FCC" w:rsidRPr="00E15FCC" w:rsidRDefault="00E15FCC" w:rsidP="00E15FCC">
      <w:pPr>
        <w:rPr>
          <w:lang w:val="en-US"/>
        </w:rPr>
      </w:pPr>
      <w:r w:rsidRPr="00E15FCC">
        <w:rPr>
          <w:lang w:val="en-US"/>
        </w:rPr>
        <w:t xml:space="preserve">If the value of </w:t>
      </w:r>
      <w:r w:rsidRPr="00E15FCC">
        <w:rPr>
          <w:i/>
          <w:lang w:val="en-US"/>
        </w:rPr>
        <w:t>C/I</w:t>
      </w:r>
      <w:r w:rsidRPr="00E15FCC">
        <w:rPr>
          <w:i/>
          <w:vertAlign w:val="subscript"/>
          <w:lang w:val="en-US"/>
        </w:rPr>
        <w:t>MAX</w:t>
      </w:r>
      <w:r w:rsidRPr="00E15FCC">
        <w:rPr>
          <w:i/>
          <w:lang w:val="en-US"/>
        </w:rPr>
        <w:t xml:space="preserve"> </w:t>
      </w:r>
      <w:r w:rsidRPr="00E15FCC">
        <w:rPr>
          <w:lang w:val="en-US"/>
        </w:rPr>
        <w:t xml:space="preserve">is not known a minimum required margin at the receiver has to be defined to allow the calculation if </w:t>
      </w:r>
      <w:r w:rsidRPr="00E15FCC">
        <w:rPr>
          <w:i/>
          <w:lang w:val="en-US"/>
        </w:rPr>
        <w:t>I</w:t>
      </w:r>
      <w:r w:rsidRPr="00E15FCC">
        <w:rPr>
          <w:i/>
          <w:vertAlign w:val="subscript"/>
          <w:lang w:val="en-US"/>
        </w:rPr>
        <w:t>RX</w:t>
      </w:r>
      <w:r w:rsidRPr="00E15FCC">
        <w:rPr>
          <w:lang w:val="en-US"/>
        </w:rPr>
        <w:t>. In this case:</w:t>
      </w:r>
    </w:p>
    <w:p w:rsidR="00E15FCC" w:rsidRPr="00E15FCC" w:rsidRDefault="00E15FCC" w:rsidP="00E15FCC">
      <w:pPr>
        <w:pStyle w:val="Equation"/>
        <w:rPr>
          <w:lang w:val="en-US"/>
        </w:rPr>
      </w:pPr>
      <w:r w:rsidRPr="00E15FCC">
        <w:rPr>
          <w:lang w:val="en-US"/>
        </w:rPr>
        <w:tab/>
      </w:r>
      <w:r w:rsidRPr="00E15FCC">
        <w:rPr>
          <w:lang w:val="en-US"/>
        </w:rPr>
        <w:tab/>
      </w:r>
      <w:r w:rsidRPr="00C12926">
        <w:rPr>
          <w:position w:val="-24"/>
        </w:rPr>
        <w:object w:dxaOrig="3800" w:dyaOrig="600">
          <v:shape id="_x0000_i1070" type="#_x0000_t75" style="width:189.6pt;height:30pt" o:ole="">
            <v:imagedata r:id="rId108" o:title=""/>
          </v:shape>
          <o:OLEObject Type="Embed" ProgID="Equation.3" ShapeID="_x0000_i1070" DrawAspect="Content" ObjectID="_1370947802" r:id="rId109"/>
        </w:object>
      </w:r>
      <w:r w:rsidRPr="00E15FCC">
        <w:rPr>
          <w:lang w:val="en-US"/>
        </w:rPr>
        <w:tab/>
        <w:t>(42)</w:t>
      </w:r>
    </w:p>
    <w:p w:rsidR="00E15FCC" w:rsidRPr="00E15FCC" w:rsidRDefault="00E15FCC" w:rsidP="00E15FCC">
      <w:pPr>
        <w:pStyle w:val="Equation"/>
        <w:rPr>
          <w:lang w:val="en-US"/>
        </w:rPr>
      </w:pPr>
      <w:r w:rsidRPr="00E15FCC">
        <w:rPr>
          <w:i/>
          <w:iCs/>
          <w:szCs w:val="24"/>
          <w:lang w:val="en-US"/>
        </w:rPr>
        <w:tab/>
      </w:r>
      <w:r w:rsidRPr="00E15FCC">
        <w:rPr>
          <w:i/>
          <w:iCs/>
          <w:szCs w:val="24"/>
          <w:lang w:val="en-US"/>
        </w:rPr>
        <w:tab/>
        <w:t>D = D</w:t>
      </w:r>
      <w:r w:rsidRPr="00E15FCC">
        <w:rPr>
          <w:i/>
          <w:iCs/>
          <w:szCs w:val="24"/>
          <w:vertAlign w:val="subscript"/>
          <w:lang w:val="en-US"/>
        </w:rPr>
        <w:t>M</w:t>
      </w:r>
      <w:r w:rsidRPr="00E15FCC">
        <w:rPr>
          <w:i/>
          <w:iCs/>
          <w:szCs w:val="24"/>
          <w:lang w:val="en-US"/>
        </w:rPr>
        <w:t xml:space="preserve"> – D</w:t>
      </w:r>
      <w:r w:rsidRPr="00E15FCC">
        <w:rPr>
          <w:i/>
          <w:iCs/>
          <w:szCs w:val="24"/>
          <w:vertAlign w:val="subscript"/>
          <w:lang w:val="en-US"/>
        </w:rPr>
        <w:t>S</w:t>
      </w:r>
      <w:r w:rsidRPr="00E15FCC">
        <w:rPr>
          <w:i/>
          <w:iCs/>
          <w:sz w:val="28"/>
          <w:szCs w:val="28"/>
          <w:lang w:val="en-US"/>
        </w:rPr>
        <w:tab/>
      </w:r>
      <w:r w:rsidRPr="00E15FCC">
        <w:rPr>
          <w:lang w:val="en-US"/>
        </w:rPr>
        <w:t>(43)</w:t>
      </w:r>
    </w:p>
    <w:p w:rsidR="00E15FCC" w:rsidRPr="00E15FCC" w:rsidRDefault="00E15FCC" w:rsidP="00E15FCC">
      <w:pPr>
        <w:pStyle w:val="Equation"/>
        <w:rPr>
          <w:lang w:val="en-US"/>
        </w:rPr>
      </w:pPr>
      <w:r w:rsidRPr="00E15FCC">
        <w:rPr>
          <w:i/>
          <w:iCs/>
          <w:sz w:val="28"/>
          <w:szCs w:val="28"/>
          <w:lang w:val="en-US"/>
        </w:rPr>
        <w:tab/>
      </w:r>
      <w:r w:rsidRPr="00E15FCC">
        <w:rPr>
          <w:i/>
          <w:iCs/>
          <w:sz w:val="28"/>
          <w:szCs w:val="28"/>
          <w:lang w:val="en-US"/>
        </w:rPr>
        <w:tab/>
      </w:r>
      <w:r w:rsidRPr="00E15FCC">
        <w:rPr>
          <w:i/>
          <w:iCs/>
          <w:szCs w:val="24"/>
          <w:lang w:val="en-US"/>
        </w:rPr>
        <w:t>D</w:t>
      </w:r>
      <w:r w:rsidRPr="00E15FCC">
        <w:rPr>
          <w:i/>
          <w:iCs/>
          <w:szCs w:val="24"/>
          <w:vertAlign w:val="subscript"/>
          <w:lang w:val="en-US"/>
        </w:rPr>
        <w:t>M</w:t>
      </w:r>
      <w:r w:rsidRPr="00E15FCC">
        <w:rPr>
          <w:i/>
          <w:iCs/>
          <w:szCs w:val="24"/>
          <w:lang w:val="en-US"/>
        </w:rPr>
        <w:t xml:space="preserve"> = M</w:t>
      </w:r>
      <w:r w:rsidRPr="00E15FCC">
        <w:rPr>
          <w:i/>
          <w:iCs/>
          <w:szCs w:val="24"/>
          <w:vertAlign w:val="subscript"/>
          <w:lang w:val="en-US"/>
        </w:rPr>
        <w:t>C</w:t>
      </w:r>
      <w:r w:rsidRPr="00E15FCC">
        <w:rPr>
          <w:i/>
          <w:iCs/>
          <w:szCs w:val="24"/>
          <w:lang w:val="en-US"/>
        </w:rPr>
        <w:t xml:space="preserve"> – M</w:t>
      </w:r>
      <w:r w:rsidRPr="00E15FCC">
        <w:rPr>
          <w:i/>
          <w:iCs/>
          <w:szCs w:val="24"/>
          <w:vertAlign w:val="subscript"/>
          <w:lang w:val="en-US"/>
        </w:rPr>
        <w:t>M</w:t>
      </w:r>
      <w:r w:rsidRPr="00E15FCC">
        <w:rPr>
          <w:i/>
          <w:iCs/>
          <w:sz w:val="28"/>
          <w:szCs w:val="28"/>
          <w:lang w:val="en-US"/>
        </w:rPr>
        <w:tab/>
      </w:r>
      <w:r w:rsidRPr="00E15FCC">
        <w:rPr>
          <w:lang w:val="en-US"/>
        </w:rPr>
        <w:t>(44)</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rPr>
          <w:szCs w:val="24"/>
        </w:rPr>
      </w:pPr>
      <w:r w:rsidRPr="00C12926">
        <w:rPr>
          <w:szCs w:val="24"/>
        </w:rPr>
        <w:tab/>
      </w:r>
      <w:r w:rsidRPr="00C12926">
        <w:rPr>
          <w:i/>
          <w:iCs/>
          <w:szCs w:val="24"/>
        </w:rPr>
        <w:t>I</w:t>
      </w:r>
      <w:r w:rsidRPr="00C12926">
        <w:rPr>
          <w:i/>
          <w:iCs/>
          <w:szCs w:val="24"/>
          <w:vertAlign w:val="subscript"/>
        </w:rPr>
        <w:t>RX</w:t>
      </w:r>
      <w:r w:rsidRPr="00C12926">
        <w:t>:</w:t>
      </w:r>
      <w:r w:rsidRPr="00C12926">
        <w:rPr>
          <w:szCs w:val="24"/>
        </w:rPr>
        <w:tab/>
        <w:t>receiver interference threshold level (dBm)</w:t>
      </w:r>
    </w:p>
    <w:p w:rsidR="00E15FCC" w:rsidRPr="00C12926" w:rsidRDefault="00E15FCC" w:rsidP="00E15FCC">
      <w:pPr>
        <w:pStyle w:val="Equationlegend"/>
        <w:rPr>
          <w:szCs w:val="24"/>
        </w:rPr>
      </w:pPr>
      <w:r w:rsidRPr="00C12926">
        <w:rPr>
          <w:szCs w:val="24"/>
        </w:rPr>
        <w:tab/>
      </w:r>
      <w:r w:rsidRPr="00C12926">
        <w:rPr>
          <w:i/>
          <w:iCs/>
          <w:szCs w:val="24"/>
        </w:rPr>
        <w:t>I</w:t>
      </w:r>
      <w:r w:rsidRPr="00C12926">
        <w:rPr>
          <w:i/>
          <w:iCs/>
          <w:szCs w:val="24"/>
          <w:vertAlign w:val="subscript"/>
        </w:rPr>
        <w:t>EQ</w:t>
      </w:r>
      <w:r w:rsidRPr="00C12926">
        <w:t>:</w:t>
      </w:r>
      <w:r w:rsidRPr="00C12926">
        <w:rPr>
          <w:szCs w:val="24"/>
        </w:rPr>
        <w:tab/>
        <w:t xml:space="preserve">interference level of reference, calculated from the interfered receiver </w:t>
      </w:r>
      <w:r w:rsidRPr="00C12926">
        <w:rPr>
          <w:i/>
          <w:iCs/>
          <w:szCs w:val="24"/>
        </w:rPr>
        <w:t>C/I</w:t>
      </w:r>
      <w:r w:rsidRPr="00C12926">
        <w:rPr>
          <w:i/>
          <w:iCs/>
          <w:szCs w:val="24"/>
          <w:vertAlign w:val="subscript"/>
        </w:rPr>
        <w:t>MAX</w:t>
      </w:r>
      <w:r w:rsidRPr="00C12926">
        <w:rPr>
          <w:szCs w:val="24"/>
        </w:rPr>
        <w:t xml:space="preserve"> ratio, making </w:t>
      </w:r>
      <w:r w:rsidRPr="00C12926">
        <w:rPr>
          <w:i/>
          <w:iCs/>
          <w:szCs w:val="24"/>
        </w:rPr>
        <w:t>C</w:t>
      </w:r>
      <w:r w:rsidRPr="00C12926">
        <w:rPr>
          <w:szCs w:val="24"/>
        </w:rPr>
        <w:t xml:space="preserve"> equal to the receiver sensibility (dBm)</w:t>
      </w:r>
    </w:p>
    <w:p w:rsidR="00E15FCC" w:rsidRPr="00C12926" w:rsidRDefault="00E15FCC" w:rsidP="00E15FCC">
      <w:pPr>
        <w:pStyle w:val="Equationlegend"/>
        <w:rPr>
          <w:szCs w:val="24"/>
        </w:rPr>
      </w:pPr>
      <w:r w:rsidRPr="00C12926">
        <w:rPr>
          <w:szCs w:val="24"/>
        </w:rPr>
        <w:tab/>
      </w:r>
      <w:r w:rsidRPr="00C12926">
        <w:rPr>
          <w:i/>
          <w:iCs/>
          <w:szCs w:val="24"/>
        </w:rPr>
        <w:t>D</w:t>
      </w:r>
      <w:r w:rsidRPr="00C12926">
        <w:t>:</w:t>
      </w:r>
      <w:r w:rsidRPr="00C12926">
        <w:rPr>
          <w:szCs w:val="24"/>
        </w:rPr>
        <w:tab/>
        <w:t>maximum degradation that can be produced by the analysed transmitter (dB)</w:t>
      </w:r>
    </w:p>
    <w:p w:rsidR="00E15FCC" w:rsidRPr="00C12926" w:rsidRDefault="00E15FCC" w:rsidP="00E15FCC">
      <w:pPr>
        <w:pStyle w:val="Equationlegend"/>
        <w:rPr>
          <w:szCs w:val="24"/>
        </w:rPr>
      </w:pPr>
      <w:r w:rsidRPr="00C12926">
        <w:rPr>
          <w:szCs w:val="24"/>
        </w:rPr>
        <w:tab/>
      </w:r>
      <w:r w:rsidRPr="00C12926">
        <w:rPr>
          <w:i/>
          <w:iCs/>
          <w:szCs w:val="24"/>
        </w:rPr>
        <w:t>D</w:t>
      </w:r>
      <w:r w:rsidRPr="00C12926">
        <w:rPr>
          <w:i/>
          <w:iCs/>
          <w:szCs w:val="24"/>
          <w:vertAlign w:val="subscript"/>
        </w:rPr>
        <w:t>M</w:t>
      </w:r>
      <w:r w:rsidRPr="00C12926">
        <w:t>:</w:t>
      </w:r>
      <w:r w:rsidRPr="00C12926">
        <w:rPr>
          <w:szCs w:val="24"/>
        </w:rPr>
        <w:tab/>
        <w:t>maximum degradation permitted by the receiver (dB)</w:t>
      </w:r>
    </w:p>
    <w:p w:rsidR="00E15FCC" w:rsidRPr="00C12926" w:rsidRDefault="00E15FCC" w:rsidP="00E15FCC">
      <w:pPr>
        <w:pStyle w:val="Equationlegend"/>
        <w:rPr>
          <w:szCs w:val="24"/>
        </w:rPr>
      </w:pPr>
      <w:r w:rsidRPr="00C12926">
        <w:rPr>
          <w:szCs w:val="24"/>
        </w:rPr>
        <w:tab/>
      </w:r>
      <w:r w:rsidRPr="00C12926">
        <w:rPr>
          <w:i/>
          <w:iCs/>
          <w:szCs w:val="24"/>
        </w:rPr>
        <w:t>D</w:t>
      </w:r>
      <w:r w:rsidRPr="00C12926">
        <w:rPr>
          <w:i/>
          <w:iCs/>
          <w:szCs w:val="24"/>
          <w:vertAlign w:val="subscript"/>
        </w:rPr>
        <w:t>S</w:t>
      </w:r>
      <w:r w:rsidRPr="00C12926">
        <w:t>:</w:t>
      </w:r>
      <w:r w:rsidRPr="00C12926">
        <w:rPr>
          <w:szCs w:val="24"/>
        </w:rPr>
        <w:tab/>
        <w:t>estimated degradation present in the receiver (dB)</w:t>
      </w:r>
    </w:p>
    <w:p w:rsidR="00E15FCC" w:rsidRPr="00C12926" w:rsidRDefault="00E15FCC" w:rsidP="00E15FCC">
      <w:pPr>
        <w:pStyle w:val="Equationlegend"/>
        <w:rPr>
          <w:szCs w:val="24"/>
        </w:rPr>
      </w:pPr>
      <w:r w:rsidRPr="00C12926">
        <w:rPr>
          <w:szCs w:val="24"/>
        </w:rPr>
        <w:tab/>
      </w:r>
      <w:r w:rsidRPr="00C12926">
        <w:rPr>
          <w:i/>
          <w:iCs/>
          <w:szCs w:val="24"/>
        </w:rPr>
        <w:t>M</w:t>
      </w:r>
      <w:r w:rsidRPr="00C12926">
        <w:rPr>
          <w:i/>
          <w:iCs/>
          <w:szCs w:val="24"/>
          <w:vertAlign w:val="subscript"/>
        </w:rPr>
        <w:t>M</w:t>
      </w:r>
      <w:r w:rsidRPr="00C12926">
        <w:t>:</w:t>
      </w:r>
      <w:r w:rsidRPr="00C12926">
        <w:rPr>
          <w:szCs w:val="24"/>
        </w:rPr>
        <w:tab/>
        <w:t>minimum margin permitted (dB)</w:t>
      </w:r>
    </w:p>
    <w:p w:rsidR="00E15FCC" w:rsidRPr="00C12926" w:rsidRDefault="00E15FCC" w:rsidP="00E15FCC">
      <w:pPr>
        <w:pStyle w:val="Equationlegend"/>
        <w:rPr>
          <w:szCs w:val="24"/>
        </w:rPr>
      </w:pPr>
      <w:r w:rsidRPr="00C12926">
        <w:rPr>
          <w:szCs w:val="24"/>
        </w:rPr>
        <w:tab/>
      </w:r>
      <w:r w:rsidRPr="00C12926">
        <w:rPr>
          <w:i/>
          <w:iCs/>
          <w:szCs w:val="24"/>
        </w:rPr>
        <w:t>M</w:t>
      </w:r>
      <w:r w:rsidRPr="00C12926">
        <w:rPr>
          <w:i/>
          <w:iCs/>
          <w:szCs w:val="24"/>
          <w:vertAlign w:val="subscript"/>
        </w:rPr>
        <w:t>C</w:t>
      </w:r>
      <w:r w:rsidRPr="00C12926">
        <w:t>:</w:t>
      </w:r>
      <w:r w:rsidRPr="00C12926">
        <w:rPr>
          <w:szCs w:val="24"/>
        </w:rPr>
        <w:tab/>
        <w:t>system calculated margin (dB).</w:t>
      </w:r>
    </w:p>
    <w:p w:rsidR="00E15FCC" w:rsidRPr="00E15FCC" w:rsidRDefault="00E15FCC" w:rsidP="00E15FCC">
      <w:pPr>
        <w:pStyle w:val="Note"/>
        <w:tabs>
          <w:tab w:val="left" w:pos="426"/>
        </w:tabs>
        <w:rPr>
          <w:lang w:val="en-US"/>
        </w:rPr>
      </w:pPr>
      <w:r w:rsidRPr="00E15FCC">
        <w:rPr>
          <w:lang w:val="en-US"/>
        </w:rPr>
        <w:t xml:space="preserve">NOTE 1 – In case of a generic system, for which it is not possible to define the required margin precisely, the value of </w:t>
      </w:r>
      <w:r w:rsidRPr="00E15FCC">
        <w:rPr>
          <w:i/>
          <w:iCs/>
          <w:lang w:val="en-US"/>
        </w:rPr>
        <w:t>M</w:t>
      </w:r>
      <w:r w:rsidRPr="00E15FCC">
        <w:rPr>
          <w:i/>
          <w:iCs/>
          <w:vertAlign w:val="subscript"/>
          <w:lang w:val="en-US"/>
        </w:rPr>
        <w:t>C</w:t>
      </w:r>
      <w:r w:rsidRPr="00E15FCC">
        <w:rPr>
          <w:lang w:val="en-US"/>
        </w:rPr>
        <w:t xml:space="preserve"> is the system desired margin.</w:t>
      </w:r>
    </w:p>
    <w:p w:rsidR="00E15FCC" w:rsidRPr="00E15FCC" w:rsidRDefault="00E15FCC" w:rsidP="00E15FCC">
      <w:pPr>
        <w:pStyle w:val="Note"/>
        <w:tabs>
          <w:tab w:val="left" w:pos="426"/>
        </w:tabs>
        <w:rPr>
          <w:lang w:val="en-US"/>
        </w:rPr>
      </w:pPr>
      <w:r w:rsidRPr="00E15FCC">
        <w:rPr>
          <w:lang w:val="en-US"/>
        </w:rPr>
        <w:t xml:space="preserve">NOTE 2 – The estimated degradation </w:t>
      </w:r>
      <w:r w:rsidRPr="00E15FCC">
        <w:rPr>
          <w:i/>
          <w:iCs/>
          <w:lang w:val="en-US"/>
        </w:rPr>
        <w:t>D</w:t>
      </w:r>
      <w:r w:rsidRPr="00E15FCC">
        <w:rPr>
          <w:i/>
          <w:iCs/>
          <w:vertAlign w:val="subscript"/>
          <w:lang w:val="en-US"/>
        </w:rPr>
        <w:t>S</w:t>
      </w:r>
      <w:r w:rsidRPr="00E15FCC">
        <w:rPr>
          <w:i/>
          <w:iCs/>
          <w:lang w:val="en-US"/>
        </w:rPr>
        <w:t xml:space="preserve"> </w:t>
      </w:r>
      <w:r w:rsidRPr="00E15FCC">
        <w:rPr>
          <w:lang w:val="en-US"/>
        </w:rPr>
        <w:t>is to be determined by calculating the aggregated interference of other transmitters near to the receiver being analysed.</w:t>
      </w:r>
    </w:p>
    <w:p w:rsidR="00E15FCC" w:rsidRPr="00E15FCC" w:rsidRDefault="00E15FCC" w:rsidP="00E15FCC">
      <w:pPr>
        <w:pStyle w:val="Note"/>
        <w:tabs>
          <w:tab w:val="left" w:pos="426"/>
        </w:tabs>
        <w:rPr>
          <w:lang w:val="en-US"/>
        </w:rPr>
      </w:pPr>
      <w:r w:rsidRPr="00E15FCC">
        <w:rPr>
          <w:lang w:val="en-US"/>
        </w:rPr>
        <w:t>NOTE 3 – If the information about other interfering systems is not available, a value of 3 dB degradation shall be adopted.</w:t>
      </w:r>
    </w:p>
    <w:p w:rsidR="00E15FCC" w:rsidRPr="00E15FCC" w:rsidRDefault="00E15FCC" w:rsidP="00E15FCC">
      <w:pPr>
        <w:pStyle w:val="Heading3"/>
        <w:rPr>
          <w:lang w:val="en-US"/>
        </w:rPr>
      </w:pPr>
      <w:r w:rsidRPr="00E15FCC">
        <w:rPr>
          <w:lang w:val="en-US"/>
        </w:rPr>
        <w:t>2.6.4</w:t>
      </w:r>
      <w:r w:rsidRPr="00E15FCC">
        <w:rPr>
          <w:lang w:val="en-US"/>
        </w:rPr>
        <w:tab/>
        <w:t xml:space="preserve">Calculating SUE for </w:t>
      </w:r>
      <w:r>
        <w:rPr>
          <w:lang w:val="en-US"/>
        </w:rPr>
        <w:t>p-p</w:t>
      </w:r>
      <w:r w:rsidRPr="00E15FCC">
        <w:rPr>
          <w:lang w:val="en-US"/>
        </w:rPr>
        <w:t xml:space="preserve"> systems</w:t>
      </w:r>
    </w:p>
    <w:p w:rsidR="00E15FCC" w:rsidRPr="00E15FCC" w:rsidRDefault="00E15FCC" w:rsidP="00E15FCC">
      <w:pPr>
        <w:rPr>
          <w:lang w:val="en-US"/>
        </w:rPr>
      </w:pPr>
      <w:r w:rsidRPr="00E15FCC">
        <w:rPr>
          <w:lang w:val="en-US"/>
        </w:rPr>
        <w:t xml:space="preserve">In this example is presented the analysis of a </w:t>
      </w:r>
      <w:r>
        <w:rPr>
          <w:lang w:val="en-US"/>
        </w:rPr>
        <w:t>p-p</w:t>
      </w:r>
      <w:r w:rsidRPr="00E15FCC">
        <w:rPr>
          <w:lang w:val="en-US"/>
        </w:rPr>
        <w:t xml:space="preserve"> system considering that the transmitter denied area involves the receiver denied area totally. In those situations that the transmitter denied area did not involve the total receiver denied area, the portion of the receiver area that is out of the transmitter area should be summed to the transmitter area to obtain the total denied area</w:t>
      </w:r>
      <w:r w:rsidR="004F0EE7">
        <w:rPr>
          <w:lang w:val="en-US"/>
        </w:rPr>
        <w:t>,</w:t>
      </w:r>
      <w:r w:rsidRPr="00E15FCC">
        <w:rPr>
          <w:lang w:val="en-US"/>
        </w:rPr>
        <w:t xml:space="preserve"> </w:t>
      </w:r>
      <w:r w:rsidRPr="00E15FCC">
        <w:rPr>
          <w:i/>
          <w:iCs/>
          <w:lang w:val="en-US"/>
        </w:rPr>
        <w:t>S</w:t>
      </w:r>
      <w:r w:rsidRPr="00E15FCC">
        <w:rPr>
          <w:lang w:val="en-US"/>
        </w:rPr>
        <w:t>. The receiver denied area calculation is similar to the transmitter calculation.</w:t>
      </w:r>
    </w:p>
    <w:p w:rsidR="00E15FCC" w:rsidRPr="00E15FCC" w:rsidRDefault="00E15FCC" w:rsidP="00E15FCC">
      <w:pPr>
        <w:rPr>
          <w:lang w:val="en-US"/>
        </w:rPr>
      </w:pPr>
      <w:r w:rsidRPr="00E15FCC">
        <w:rPr>
          <w:lang w:val="en-US"/>
        </w:rPr>
        <w:t xml:space="preserve">Table 13 presents characteristics of a digital system that will be used to exemplify the calculation of SUE for </w:t>
      </w:r>
      <w:r>
        <w:rPr>
          <w:lang w:val="en-US"/>
        </w:rPr>
        <w:t>p-p</w:t>
      </w:r>
      <w:r w:rsidRPr="00E15FCC">
        <w:rPr>
          <w:lang w:val="en-US"/>
        </w:rPr>
        <w:t xml:space="preserve"> systems. The useful effect can also be calculated based on these parameters.</w:t>
      </w:r>
    </w:p>
    <w:p w:rsidR="00E15FCC" w:rsidRPr="00E15FCC" w:rsidRDefault="00E15FCC" w:rsidP="00E15FCC">
      <w:pPr>
        <w:pStyle w:val="TableNo"/>
        <w:rPr>
          <w:lang w:val="en-US"/>
        </w:rPr>
      </w:pPr>
      <w:r w:rsidRPr="00E15FCC">
        <w:rPr>
          <w:lang w:val="en-US"/>
        </w:rPr>
        <w:lastRenderedPageBreak/>
        <w:t>TABLE 13</w:t>
      </w:r>
    </w:p>
    <w:p w:rsidR="00E15FCC" w:rsidRPr="00E15FCC" w:rsidRDefault="00E15FCC" w:rsidP="00E15FCC">
      <w:pPr>
        <w:pStyle w:val="Tabletitle"/>
        <w:rPr>
          <w:lang w:val="en-US"/>
        </w:rPr>
      </w:pPr>
      <w:r w:rsidRPr="00E15FCC">
        <w:rPr>
          <w:lang w:val="en-US"/>
        </w:rPr>
        <w:t>Transmission rate and overhead factor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E15FCC" w:rsidRPr="00C1292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head"/>
            </w:pPr>
            <w:r w:rsidRPr="00C12926">
              <w:t>Radio-frequency band</w:t>
            </w:r>
            <w:r>
              <w:br/>
              <w:t>(GHz)</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E15FCC" w:rsidRDefault="00E15FCC" w:rsidP="00E15FCC">
            <w:pPr>
              <w:pStyle w:val="Tablehead"/>
              <w:rPr>
                <w:lang w:val="en-US"/>
              </w:rPr>
            </w:pPr>
            <w:r w:rsidRPr="00E15FCC">
              <w:rPr>
                <w:lang w:val="en-US"/>
              </w:rPr>
              <w:t xml:space="preserve">Total transmission rate </w:t>
            </w:r>
            <w:r w:rsidRPr="00E15FCC">
              <w:rPr>
                <w:lang w:val="en-US"/>
              </w:rPr>
              <w:br/>
              <w:t>(Mbit/s)</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head"/>
            </w:pPr>
            <w:r w:rsidRPr="00C12926">
              <w:t xml:space="preserve">System </w:t>
            </w:r>
            <w:r w:rsidRPr="00C12926">
              <w:rPr>
                <w:i/>
                <w:iCs/>
              </w:rPr>
              <w:t>O</w:t>
            </w:r>
            <w:r w:rsidRPr="00C12926">
              <w:rPr>
                <w:i/>
                <w:iCs/>
                <w:vertAlign w:val="subscript"/>
              </w:rPr>
              <w:t>F</w:t>
            </w:r>
            <w:r w:rsidRPr="00C12926">
              <w:t xml:space="preserve"> </w:t>
            </w:r>
          </w:p>
        </w:tc>
      </w:tr>
      <w:tr w:rsidR="00E15FCC" w:rsidRPr="00C12926">
        <w:trPr>
          <w:jc w:val="center"/>
        </w:trPr>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8.5</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17 (8E1)</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0.9035</w:t>
            </w:r>
          </w:p>
        </w:tc>
      </w:tr>
    </w:tbl>
    <w:p w:rsidR="00E15FCC" w:rsidRDefault="00E15FCC" w:rsidP="00E15FCC">
      <w:pPr>
        <w:pStyle w:val="Tablefin"/>
      </w:pPr>
    </w:p>
    <w:p w:rsidR="00E15FCC" w:rsidRPr="00E15FCC" w:rsidRDefault="00E15FCC" w:rsidP="00E15FCC">
      <w:pPr>
        <w:rPr>
          <w:lang w:val="en-US"/>
        </w:rPr>
      </w:pPr>
      <w:r w:rsidRPr="00E15FCC">
        <w:rPr>
          <w:lang w:val="en-US"/>
        </w:rPr>
        <w:t>The useful effect for the exemplified system is the effective transmission rate, which is the product of the total transmission rate and the overhead factor (equations (32) and (33)). Table 14 shows the calculated value of the effective transmission rate</w:t>
      </w:r>
      <w:r>
        <w:rPr>
          <w:lang w:val="en-US"/>
        </w:rPr>
        <w:t>,</w:t>
      </w:r>
      <w:r w:rsidRPr="00E15FCC">
        <w:rPr>
          <w:lang w:val="en-US"/>
        </w:rPr>
        <w:t xml:space="preserve"> </w:t>
      </w:r>
      <w:r w:rsidRPr="00E15FCC">
        <w:rPr>
          <w:i/>
          <w:iCs/>
          <w:lang w:val="en-US"/>
        </w:rPr>
        <w:t>M</w:t>
      </w:r>
      <w:r w:rsidRPr="00E15FCC">
        <w:rPr>
          <w:lang w:val="en-US"/>
        </w:rPr>
        <w:t>.</w:t>
      </w:r>
    </w:p>
    <w:p w:rsidR="00E15FCC" w:rsidRPr="00E15FCC" w:rsidRDefault="00E15FCC" w:rsidP="00E15FCC">
      <w:pPr>
        <w:pStyle w:val="TableNo"/>
        <w:rPr>
          <w:lang w:val="en-US"/>
        </w:rPr>
      </w:pPr>
      <w:r w:rsidRPr="00E15FCC">
        <w:rPr>
          <w:lang w:val="en-US"/>
        </w:rPr>
        <w:t>TABLE 14</w:t>
      </w:r>
    </w:p>
    <w:p w:rsidR="00E15FCC" w:rsidRPr="00E15FCC" w:rsidRDefault="00E15FCC" w:rsidP="00E15FCC">
      <w:pPr>
        <w:pStyle w:val="Tabletitle"/>
        <w:rPr>
          <w:lang w:val="en-US"/>
        </w:rPr>
      </w:pPr>
      <w:r w:rsidRPr="00E15FCC">
        <w:rPr>
          <w:lang w:val="en-US"/>
        </w:rPr>
        <w:t>Effective transmission rate</w:t>
      </w:r>
      <w:r>
        <w:rPr>
          <w:lang w:val="en-US"/>
        </w:rPr>
        <w:t>,</w:t>
      </w:r>
      <w:r w:rsidRPr="00E15FCC">
        <w:rPr>
          <w:lang w:val="en-US"/>
        </w:rPr>
        <w:t xml:space="preserve"> </w:t>
      </w:r>
      <w:r w:rsidRPr="00E15FCC">
        <w:rPr>
          <w:i/>
          <w:iCs/>
          <w:lang w:val="en-US"/>
        </w:rPr>
        <w: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E15FCC" w:rsidRPr="00E64C3F">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E15FCC" w:rsidRDefault="00E15FCC" w:rsidP="00E15FCC">
            <w:pPr>
              <w:pStyle w:val="Tablehead"/>
              <w:rPr>
                <w:lang w:val="en-US"/>
              </w:rPr>
            </w:pPr>
            <w:r w:rsidRPr="00E15FCC">
              <w:rPr>
                <w:lang w:val="en-US"/>
              </w:rPr>
              <w:t>Effective transmission rate</w:t>
            </w:r>
            <w:r>
              <w:rPr>
                <w:lang w:val="en-US"/>
              </w:rPr>
              <w:br/>
            </w:r>
            <w:r w:rsidRPr="00E15FCC">
              <w:rPr>
                <w:lang w:val="en-US"/>
              </w:rPr>
              <w:t>(Mbit/s)</w:t>
            </w:r>
          </w:p>
        </w:tc>
      </w:tr>
      <w:tr w:rsidR="00E15FCC" w:rsidRPr="00C12926">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15.36</w:t>
            </w:r>
          </w:p>
        </w:tc>
      </w:tr>
    </w:tbl>
    <w:p w:rsidR="00E15FCC" w:rsidRDefault="00E15FCC" w:rsidP="00E15FCC">
      <w:pPr>
        <w:pStyle w:val="Tablefin"/>
      </w:pPr>
    </w:p>
    <w:p w:rsidR="00E15FCC" w:rsidRPr="00E15FCC" w:rsidRDefault="00E15FCC" w:rsidP="00E15FCC">
      <w:pPr>
        <w:rPr>
          <w:lang w:val="en-US"/>
        </w:rPr>
      </w:pPr>
      <w:r w:rsidRPr="00E15FCC">
        <w:rPr>
          <w:lang w:val="en-US"/>
        </w:rPr>
        <w:t>Table 15 shows typical path length</w:t>
      </w:r>
      <w:r w:rsidR="004F0EE7">
        <w:rPr>
          <w:lang w:val="en-US"/>
        </w:rPr>
        <w:t>,</w:t>
      </w:r>
      <w:r w:rsidRPr="00E15FCC">
        <w:rPr>
          <w:lang w:val="en-US"/>
        </w:rPr>
        <w:t xml:space="preserve"> </w:t>
      </w:r>
      <w:r w:rsidRPr="00E15FCC">
        <w:rPr>
          <w:i/>
          <w:iCs/>
          <w:lang w:val="en-US"/>
        </w:rPr>
        <w:t>D</w:t>
      </w:r>
      <w:r w:rsidRPr="00E15FCC">
        <w:rPr>
          <w:lang w:val="en-US"/>
        </w:rPr>
        <w:t xml:space="preserve"> for links operating in the specific frequency band.</w:t>
      </w:r>
    </w:p>
    <w:p w:rsidR="00E15FCC" w:rsidRPr="00E15FCC" w:rsidRDefault="00E15FCC" w:rsidP="00E15FCC">
      <w:pPr>
        <w:pStyle w:val="TableNo"/>
        <w:rPr>
          <w:lang w:val="en-US"/>
        </w:rPr>
      </w:pPr>
      <w:r w:rsidRPr="00E15FCC">
        <w:rPr>
          <w:lang w:val="en-US"/>
        </w:rPr>
        <w:t>TABLE 15</w:t>
      </w:r>
    </w:p>
    <w:p w:rsidR="00E15FCC" w:rsidRPr="00E15FCC" w:rsidRDefault="00E15FCC" w:rsidP="00E15FCC">
      <w:pPr>
        <w:pStyle w:val="Tabletitle"/>
        <w:rPr>
          <w:lang w:val="en-US"/>
        </w:rPr>
      </w:pPr>
      <w:r w:rsidRPr="00E15FCC">
        <w:rPr>
          <w:lang w:val="en-US"/>
        </w:rPr>
        <w:t>Distance over which the information is transmitted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E15FCC" w:rsidRPr="00C12926">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head"/>
            </w:pPr>
            <w:r w:rsidRPr="00C12926">
              <w:t xml:space="preserve">Distance </w:t>
            </w:r>
            <w:r w:rsidRPr="00C12926">
              <w:br/>
              <w:t>(km)</w:t>
            </w:r>
          </w:p>
        </w:tc>
      </w:tr>
      <w:tr w:rsidR="00E15FCC" w:rsidRPr="00C12926">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20.1</w:t>
            </w:r>
          </w:p>
        </w:tc>
      </w:tr>
    </w:tbl>
    <w:p w:rsidR="00E15FCC" w:rsidRDefault="00E15FCC" w:rsidP="00E15FCC">
      <w:pPr>
        <w:pStyle w:val="Tablefin"/>
      </w:pPr>
    </w:p>
    <w:p w:rsidR="00E15FCC" w:rsidRPr="00E15FCC" w:rsidRDefault="00E15FCC" w:rsidP="00E15FCC">
      <w:pPr>
        <w:rPr>
          <w:lang w:val="en-US"/>
        </w:rPr>
      </w:pPr>
      <w:r w:rsidRPr="00E15FCC">
        <w:rPr>
          <w:lang w:val="en-US"/>
        </w:rPr>
        <w:t>Table 16 presents the radio-frequency bandwidth denied by the system.</w:t>
      </w:r>
    </w:p>
    <w:p w:rsidR="00E15FCC" w:rsidRPr="00C12926" w:rsidRDefault="00E15FCC" w:rsidP="00E15FCC">
      <w:pPr>
        <w:pStyle w:val="TableNo"/>
      </w:pPr>
      <w:r w:rsidRPr="00C12926">
        <w:t>TABLE 16</w:t>
      </w:r>
    </w:p>
    <w:p w:rsidR="00E15FCC" w:rsidRPr="00C12926" w:rsidRDefault="00E15FCC" w:rsidP="00E15FCC">
      <w:pPr>
        <w:pStyle w:val="Tabletitle"/>
      </w:pPr>
      <w:r w:rsidRPr="00C12926">
        <w:t>Radio-frequency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tblGrid>
      <w:tr w:rsidR="00E15FCC" w:rsidRPr="00E15FCC">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E15FCC" w:rsidRDefault="00E15FCC" w:rsidP="00E15FCC">
            <w:pPr>
              <w:pStyle w:val="Tablehead"/>
              <w:rPr>
                <w:lang w:val="en-US"/>
              </w:rPr>
            </w:pPr>
            <w:r w:rsidRPr="00E15FCC">
              <w:rPr>
                <w:lang w:val="en-US"/>
              </w:rPr>
              <w:t>Radio-frequency bandwidth</w:t>
            </w:r>
            <w:r w:rsidRPr="00E15FCC">
              <w:rPr>
                <w:lang w:val="en-US"/>
              </w:rPr>
              <w:br/>
              <w:t>(MHz)</w:t>
            </w:r>
          </w:p>
        </w:tc>
      </w:tr>
      <w:tr w:rsidR="00E15FCC" w:rsidRPr="00E15FCC">
        <w:trPr>
          <w:jc w:val="center"/>
        </w:trPr>
        <w:tc>
          <w:tcPr>
            <w:tcW w:w="5670" w:type="dxa"/>
            <w:tcBorders>
              <w:top w:val="single" w:sz="4" w:space="0" w:color="auto"/>
              <w:left w:val="single" w:sz="4" w:space="0" w:color="auto"/>
              <w:bottom w:val="single" w:sz="4" w:space="0" w:color="auto"/>
              <w:right w:val="single" w:sz="4" w:space="0" w:color="auto"/>
            </w:tcBorders>
            <w:vAlign w:val="center"/>
          </w:tcPr>
          <w:p w:rsidR="00E15FCC" w:rsidRPr="00E15FCC" w:rsidRDefault="00E15FCC" w:rsidP="00E15FCC">
            <w:pPr>
              <w:pStyle w:val="Tabletext"/>
              <w:jc w:val="center"/>
              <w:rPr>
                <w:lang w:val="en-US"/>
              </w:rPr>
            </w:pPr>
            <w:r w:rsidRPr="00E15FCC">
              <w:rPr>
                <w:lang w:val="en-US"/>
              </w:rPr>
              <w:t>7</w:t>
            </w:r>
          </w:p>
        </w:tc>
      </w:tr>
    </w:tbl>
    <w:p w:rsidR="00E15FCC" w:rsidRDefault="00E15FCC" w:rsidP="00E15FCC">
      <w:pPr>
        <w:pStyle w:val="Tablefin"/>
      </w:pPr>
    </w:p>
    <w:p w:rsidR="00E15FCC" w:rsidRPr="00E15FCC" w:rsidRDefault="00E15FCC" w:rsidP="00E15FCC">
      <w:pPr>
        <w:rPr>
          <w:lang w:val="en-US"/>
        </w:rPr>
      </w:pPr>
      <w:r w:rsidRPr="00E15FCC">
        <w:rPr>
          <w:lang w:val="en-US"/>
        </w:rPr>
        <w:t>This example of calculation considers that the system is always active. Thus, the parameter time</w:t>
      </w:r>
      <w:r>
        <w:rPr>
          <w:lang w:val="en-US"/>
        </w:rPr>
        <w:t>,</w:t>
      </w:r>
      <w:r w:rsidRPr="00E15FCC">
        <w:rPr>
          <w:lang w:val="en-US"/>
        </w:rPr>
        <w:t xml:space="preserve"> </w:t>
      </w:r>
      <w:r w:rsidRPr="00E15FCC">
        <w:rPr>
          <w:i/>
          <w:iCs/>
          <w:lang w:val="en-US"/>
        </w:rPr>
        <w:t>T</w:t>
      </w:r>
      <w:r w:rsidRPr="00E15FCC">
        <w:rPr>
          <w:lang w:val="en-US"/>
        </w:rPr>
        <w:t xml:space="preserve"> in equation (34) assumes value 1.</w:t>
      </w:r>
    </w:p>
    <w:p w:rsidR="00E15FCC" w:rsidRPr="00E15FCC" w:rsidRDefault="00E15FCC" w:rsidP="00E15FCC">
      <w:pPr>
        <w:rPr>
          <w:lang w:val="en-US"/>
        </w:rPr>
      </w:pPr>
      <w:r w:rsidRPr="00E15FCC">
        <w:rPr>
          <w:lang w:val="en-US"/>
        </w:rPr>
        <w:t xml:space="preserve">The following Tables shows the calculation results needed for the determination of the denied geometric space by transmitter and receiver of </w:t>
      </w:r>
      <w:r>
        <w:rPr>
          <w:lang w:val="en-US"/>
        </w:rPr>
        <w:t>p-p</w:t>
      </w:r>
      <w:r w:rsidRPr="00E15FCC">
        <w:rPr>
          <w:lang w:val="en-US"/>
        </w:rPr>
        <w:t xml:space="preserve"> systems. For better organization, the sequence of steps involved is itemized.</w:t>
      </w:r>
    </w:p>
    <w:p w:rsidR="00E15FCC" w:rsidRPr="00E15FCC" w:rsidRDefault="00E15FCC" w:rsidP="00E15FCC">
      <w:pPr>
        <w:rPr>
          <w:lang w:val="en-US"/>
        </w:rPr>
      </w:pPr>
      <w:r w:rsidRPr="00E15FCC">
        <w:rPr>
          <w:lang w:val="en-US"/>
        </w:rPr>
        <w:t>a)</w:t>
      </w:r>
      <w:r w:rsidRPr="00E15FCC">
        <w:rPr>
          <w:lang w:val="en-US"/>
        </w:rPr>
        <w:tab/>
        <w:t>Sector width</w:t>
      </w:r>
      <w:r>
        <w:rPr>
          <w:lang w:val="en-US"/>
        </w:rPr>
        <w:t>,</w:t>
      </w:r>
      <w:r w:rsidRPr="00E15FCC">
        <w:rPr>
          <w:lang w:val="en-US"/>
        </w:rPr>
        <w:t xml:space="preserve"> </w:t>
      </w:r>
      <w:r w:rsidRPr="00C12926">
        <w:rPr>
          <w:szCs w:val="28"/>
        </w:rPr>
        <w:sym w:font="Symbol" w:char="F071"/>
      </w:r>
    </w:p>
    <w:p w:rsidR="00E15FCC" w:rsidRPr="00E15FCC" w:rsidRDefault="00E15FCC" w:rsidP="00E15FCC">
      <w:pPr>
        <w:rPr>
          <w:lang w:val="en-US"/>
        </w:rPr>
      </w:pPr>
      <w:r w:rsidRPr="00E15FCC">
        <w:rPr>
          <w:lang w:val="en-US"/>
        </w:rPr>
        <w:t xml:space="preserve">For different frequency bands, antennas with specific characteristics are used. Thus, the parameter </w:t>
      </w:r>
      <w:r w:rsidRPr="00C12926">
        <w:rPr>
          <w:iCs/>
        </w:rPr>
        <w:sym w:font="Symbol" w:char="F071"/>
      </w:r>
      <w:r w:rsidRPr="00E15FCC">
        <w:rPr>
          <w:lang w:val="en-US"/>
        </w:rPr>
        <w:t xml:space="preserve"> will assume different values for each band. Table 17 show the sector width and the number of sectors adopted for the example system.</w:t>
      </w:r>
    </w:p>
    <w:p w:rsidR="00E15FCC" w:rsidRPr="00C12926" w:rsidRDefault="00E15FCC" w:rsidP="00E15FCC">
      <w:pPr>
        <w:pStyle w:val="TableNo"/>
      </w:pPr>
      <w:r w:rsidRPr="00C12926">
        <w:lastRenderedPageBreak/>
        <w:t>TABLE 17</w:t>
      </w:r>
    </w:p>
    <w:p w:rsidR="00E15FCC" w:rsidRPr="00C12926" w:rsidRDefault="00E15FCC" w:rsidP="00E15FCC">
      <w:pPr>
        <w:pStyle w:val="Tabletitle"/>
      </w:pPr>
      <w:r w:rsidRPr="00C12926">
        <w:t>Sector width (</w:t>
      </w:r>
      <w:r w:rsidRPr="00C12926">
        <w:rPr>
          <w:iCs/>
          <w:szCs w:val="24"/>
        </w:rPr>
        <w:sym w:font="Symbol" w:char="F071"/>
      </w:r>
      <w:r w:rsidRPr="00C12926">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E15FCC" w:rsidRPr="00C12926">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head"/>
              <w:rPr>
                <w:vertAlign w:val="superscript"/>
              </w:rPr>
            </w:pPr>
            <w:r w:rsidRPr="00C12926">
              <w:t xml:space="preserve">Sector width </w:t>
            </w:r>
            <w:r w:rsidRPr="00C12926">
              <w:br/>
              <w:t>(degrees)</w:t>
            </w:r>
            <w:r w:rsidRPr="00C12926">
              <w:rPr>
                <w:vertAlign w:val="superscript"/>
              </w:rPr>
              <w:t>(1)</w:t>
            </w:r>
          </w:p>
        </w:tc>
        <w:tc>
          <w:tcPr>
            <w:tcW w:w="340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head"/>
              <w:rPr>
                <w:vertAlign w:val="superscript"/>
              </w:rPr>
            </w:pPr>
            <w:r w:rsidRPr="00C12926">
              <w:t>Number of sectors adopted</w:t>
            </w:r>
            <w:r w:rsidRPr="00C12926">
              <w:rPr>
                <w:vertAlign w:val="superscript"/>
              </w:rPr>
              <w:t>(2)</w:t>
            </w:r>
          </w:p>
        </w:tc>
      </w:tr>
      <w:tr w:rsidR="00E15FCC" w:rsidRPr="00C12926">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10</w:t>
            </w:r>
          </w:p>
        </w:tc>
        <w:tc>
          <w:tcPr>
            <w:tcW w:w="340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3</w:t>
            </w:r>
          </w:p>
        </w:tc>
      </w:tr>
      <w:tr w:rsidR="00E15FCC" w:rsidRPr="00E64C3F">
        <w:trPr>
          <w:jc w:val="center"/>
        </w:trPr>
        <w:tc>
          <w:tcPr>
            <w:tcW w:w="6804" w:type="dxa"/>
            <w:gridSpan w:val="2"/>
            <w:tcBorders>
              <w:top w:val="single" w:sz="4" w:space="0" w:color="auto"/>
              <w:left w:val="nil"/>
              <w:bottom w:val="nil"/>
              <w:right w:val="nil"/>
            </w:tcBorders>
            <w:vAlign w:val="center"/>
          </w:tcPr>
          <w:p w:rsidR="00E15FCC" w:rsidRPr="00E15FCC" w:rsidRDefault="00E15FCC" w:rsidP="00E15FCC">
            <w:pPr>
              <w:pStyle w:val="Tablelegend"/>
              <w:rPr>
                <w:lang w:val="en-US"/>
              </w:rPr>
            </w:pPr>
            <w:r w:rsidRPr="00E15FCC">
              <w:rPr>
                <w:vertAlign w:val="superscript"/>
                <w:lang w:val="en-US"/>
              </w:rPr>
              <w:t>(1)</w:t>
            </w:r>
            <w:r w:rsidRPr="00E15FCC">
              <w:rPr>
                <w:lang w:val="en-US"/>
              </w:rPr>
              <w:tab/>
              <w:t>Approximately corresponds to the antenna half-power beamwidth for the considered antenna radiation pattern envelope.</w:t>
            </w:r>
          </w:p>
          <w:p w:rsidR="00E15FCC" w:rsidRPr="00E15FCC" w:rsidRDefault="00E15FCC" w:rsidP="00E15FCC">
            <w:pPr>
              <w:pStyle w:val="Tablelegend"/>
              <w:rPr>
                <w:lang w:val="en-US"/>
              </w:rPr>
            </w:pPr>
            <w:r w:rsidRPr="00E15FCC">
              <w:rPr>
                <w:vertAlign w:val="superscript"/>
                <w:lang w:val="en-US"/>
              </w:rPr>
              <w:t>(2)</w:t>
            </w:r>
            <w:r w:rsidRPr="00E15FCC">
              <w:rPr>
                <w:vertAlign w:val="superscript"/>
                <w:lang w:val="en-US"/>
              </w:rPr>
              <w:tab/>
            </w:r>
            <w:r w:rsidRPr="00E15FCC">
              <w:rPr>
                <w:lang w:val="en-US"/>
              </w:rPr>
              <w:t>The number of sectors considered.</w:t>
            </w:r>
          </w:p>
        </w:tc>
      </w:tr>
    </w:tbl>
    <w:p w:rsidR="00E15FCC" w:rsidRDefault="00E15FCC" w:rsidP="00E15FCC">
      <w:pPr>
        <w:pStyle w:val="Tablefin"/>
      </w:pPr>
    </w:p>
    <w:p w:rsidR="00E15FCC" w:rsidRPr="00E15FCC" w:rsidRDefault="00E15FCC" w:rsidP="00E15FCC">
      <w:pPr>
        <w:rPr>
          <w:lang w:val="en-US"/>
        </w:rPr>
      </w:pPr>
      <w:r w:rsidRPr="00E15FCC">
        <w:rPr>
          <w:lang w:val="en-US"/>
        </w:rPr>
        <w:t>b)</w:t>
      </w:r>
      <w:r w:rsidRPr="00E15FCC">
        <w:rPr>
          <w:lang w:val="en-US"/>
        </w:rPr>
        <w:tab/>
        <w:t>Sector radius</w:t>
      </w:r>
      <w:r w:rsidR="00ED2F9B">
        <w:rPr>
          <w:lang w:val="en-US"/>
        </w:rPr>
        <w:t>,</w:t>
      </w:r>
      <w:r w:rsidRPr="00E15FCC">
        <w:rPr>
          <w:lang w:val="en-US"/>
        </w:rPr>
        <w:t xml:space="preserve"> R</w:t>
      </w:r>
    </w:p>
    <w:p w:rsidR="00E15FCC" w:rsidRPr="00E15FCC" w:rsidRDefault="00E15FCC" w:rsidP="00E15FCC">
      <w:pPr>
        <w:rPr>
          <w:lang w:val="en-US"/>
        </w:rPr>
      </w:pPr>
      <w:r w:rsidRPr="00E15FCC">
        <w:rPr>
          <w:lang w:val="en-US"/>
        </w:rPr>
        <w:t>Table 18 presents values for the parameters that can be determined directly from the system specifications without any additional calculation.</w:t>
      </w:r>
    </w:p>
    <w:p w:rsidR="00E15FCC" w:rsidRPr="00E15FCC" w:rsidRDefault="00E15FCC" w:rsidP="00E15FCC">
      <w:pPr>
        <w:pStyle w:val="TableNo"/>
        <w:rPr>
          <w:lang w:val="en-US"/>
        </w:rPr>
      </w:pPr>
      <w:r w:rsidRPr="00E15FCC">
        <w:rPr>
          <w:lang w:val="en-US"/>
        </w:rPr>
        <w:t>TABLE 18</w:t>
      </w:r>
    </w:p>
    <w:p w:rsidR="00E15FCC" w:rsidRPr="00E15FCC" w:rsidRDefault="00E15FCC" w:rsidP="00E15FCC">
      <w:pPr>
        <w:pStyle w:val="Tabletitle"/>
        <w:rPr>
          <w:lang w:val="en-US"/>
        </w:rPr>
      </w:pPr>
      <w:r w:rsidRPr="00E15FCC">
        <w:rPr>
          <w:lang w:val="en-US"/>
        </w:rPr>
        <w:t>Central frequency and irradiation system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59"/>
        <w:gridCol w:w="1559"/>
        <w:gridCol w:w="1559"/>
        <w:gridCol w:w="1560"/>
      </w:tblGrid>
      <w:tr w:rsidR="00E15FCC" w:rsidRPr="00ED2F9B">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head"/>
              <w:rPr>
                <w:lang w:val="en-US"/>
              </w:rPr>
            </w:pPr>
            <w:r w:rsidRPr="00ED2F9B">
              <w:rPr>
                <w:i/>
                <w:iCs/>
                <w:lang w:val="en-US"/>
              </w:rPr>
              <w:t>P</w:t>
            </w:r>
            <w:r w:rsidRPr="00ED2F9B">
              <w:rPr>
                <w:i/>
                <w:iCs/>
                <w:vertAlign w:val="subscript"/>
                <w:lang w:val="en-US"/>
              </w:rPr>
              <w:t>TX</w:t>
            </w:r>
            <w:r w:rsidR="00ED2F9B" w:rsidRPr="00ED2F9B">
              <w:rPr>
                <w:lang w:val="en-US"/>
              </w:rPr>
              <w:br/>
            </w:r>
            <w:r w:rsidRPr="00ED2F9B">
              <w:rPr>
                <w:lang w:val="en-US"/>
              </w:rPr>
              <w:t>(dBm)</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head"/>
              <w:rPr>
                <w:lang w:val="en-US"/>
              </w:rPr>
            </w:pPr>
            <w:r w:rsidRPr="00ED2F9B">
              <w:rPr>
                <w:i/>
                <w:iCs/>
                <w:lang w:val="en-US"/>
              </w:rPr>
              <w:t>L</w:t>
            </w:r>
            <w:r w:rsidRPr="00ED2F9B">
              <w:rPr>
                <w:i/>
                <w:iCs/>
                <w:vertAlign w:val="subscript"/>
                <w:lang w:val="en-US"/>
              </w:rPr>
              <w:t>C TX</w:t>
            </w:r>
            <w:r w:rsidR="00ED2F9B">
              <w:rPr>
                <w:lang w:val="en-US"/>
              </w:rPr>
              <w:br/>
            </w:r>
            <w:r w:rsidRPr="00ED2F9B">
              <w:rPr>
                <w:lang w:val="en-US"/>
              </w:rPr>
              <w:t>(dB)</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head"/>
              <w:rPr>
                <w:lang w:val="en-US"/>
              </w:rPr>
            </w:pPr>
            <w:r w:rsidRPr="00ED2F9B">
              <w:rPr>
                <w:i/>
                <w:iCs/>
                <w:lang w:val="en-US"/>
              </w:rPr>
              <w:t>L</w:t>
            </w:r>
            <w:r w:rsidRPr="00ED2F9B">
              <w:rPr>
                <w:i/>
                <w:iCs/>
                <w:vertAlign w:val="subscript"/>
                <w:lang w:val="en-US"/>
              </w:rPr>
              <w:t>C RX</w:t>
            </w:r>
            <w:r w:rsidR="00ED2F9B">
              <w:rPr>
                <w:lang w:val="en-US"/>
              </w:rPr>
              <w:br/>
            </w:r>
            <w:r w:rsidRPr="00ED2F9B">
              <w:rPr>
                <w:lang w:val="en-US"/>
              </w:rPr>
              <w:t>(dB)</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head"/>
              <w:rPr>
                <w:lang w:val="en-US"/>
              </w:rPr>
            </w:pPr>
            <w:r w:rsidRPr="00ED2F9B">
              <w:rPr>
                <w:i/>
                <w:iCs/>
                <w:lang w:val="en-US"/>
              </w:rPr>
              <w:t>G</w:t>
            </w:r>
            <w:r w:rsidRPr="00ED2F9B">
              <w:rPr>
                <w:i/>
                <w:iCs/>
                <w:vertAlign w:val="subscript"/>
                <w:lang w:val="en-US"/>
              </w:rPr>
              <w:t>RX</w:t>
            </w:r>
            <w:r w:rsidR="00ED2F9B">
              <w:rPr>
                <w:lang w:val="en-US"/>
              </w:rPr>
              <w:br/>
            </w:r>
            <w:r w:rsidRPr="00ED2F9B">
              <w:rPr>
                <w:lang w:val="en-US"/>
              </w:rPr>
              <w:t>(dBi)</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head"/>
              <w:rPr>
                <w:vertAlign w:val="subscript"/>
                <w:lang w:val="en-US"/>
              </w:rPr>
            </w:pPr>
            <w:r w:rsidRPr="00ED2F9B">
              <w:rPr>
                <w:i/>
                <w:iCs/>
                <w:lang w:val="en-US"/>
              </w:rPr>
              <w:t>f</w:t>
            </w:r>
            <w:r w:rsidR="004F0EE7" w:rsidRPr="004F0EE7">
              <w:rPr>
                <w:vertAlign w:val="superscript"/>
                <w:lang w:val="en-US"/>
              </w:rPr>
              <w:t xml:space="preserve"> </w:t>
            </w:r>
            <w:r w:rsidR="004F0EE7" w:rsidRPr="00ED2F9B">
              <w:rPr>
                <w:vertAlign w:val="superscript"/>
                <w:lang w:val="en-US"/>
              </w:rPr>
              <w:t>(1)</w:t>
            </w:r>
            <w:r w:rsidR="00ED2F9B">
              <w:rPr>
                <w:lang w:val="en-US"/>
              </w:rPr>
              <w:br/>
            </w:r>
            <w:r w:rsidRPr="00ED2F9B">
              <w:rPr>
                <w:lang w:val="en-US"/>
              </w:rPr>
              <w:t>(GHz)</w:t>
            </w:r>
          </w:p>
        </w:tc>
      </w:tr>
      <w:tr w:rsidR="00E15FCC" w:rsidRPr="00ED2F9B">
        <w:trPr>
          <w:cantSplit/>
          <w:jc w:val="center"/>
        </w:trPr>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text"/>
              <w:jc w:val="center"/>
              <w:rPr>
                <w:lang w:val="en-US"/>
              </w:rPr>
            </w:pPr>
            <w:r w:rsidRPr="00ED2F9B">
              <w:rPr>
                <w:lang w:val="en-US"/>
              </w:rPr>
              <w:t>24.5</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text"/>
              <w:jc w:val="center"/>
              <w:rPr>
                <w:lang w:val="en-US"/>
              </w:rPr>
            </w:pPr>
            <w:r w:rsidRPr="00ED2F9B">
              <w:rPr>
                <w:lang w:val="en-US"/>
              </w:rPr>
              <w:t>4.4</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text"/>
              <w:jc w:val="center"/>
              <w:rPr>
                <w:lang w:val="en-US"/>
              </w:rPr>
            </w:pPr>
            <w:r w:rsidRPr="00ED2F9B">
              <w:rPr>
                <w:lang w:val="en-US"/>
              </w:rPr>
              <w:t>4.2</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text"/>
              <w:jc w:val="center"/>
              <w:rPr>
                <w:lang w:val="en-US"/>
              </w:rPr>
            </w:pPr>
            <w:r w:rsidRPr="00ED2F9B">
              <w:rPr>
                <w:lang w:val="en-US"/>
              </w:rPr>
              <w:t>36.7</w:t>
            </w:r>
          </w:p>
        </w:tc>
        <w:tc>
          <w:tcPr>
            <w:tcW w:w="1559" w:type="dxa"/>
            <w:tcBorders>
              <w:top w:val="single" w:sz="4" w:space="0" w:color="auto"/>
              <w:left w:val="single" w:sz="4" w:space="0" w:color="auto"/>
              <w:bottom w:val="single" w:sz="4" w:space="0" w:color="auto"/>
              <w:right w:val="single" w:sz="4" w:space="0" w:color="auto"/>
            </w:tcBorders>
            <w:vAlign w:val="center"/>
          </w:tcPr>
          <w:p w:rsidR="00E15FCC" w:rsidRPr="00ED2F9B" w:rsidRDefault="00E15FCC" w:rsidP="00E15FCC">
            <w:pPr>
              <w:pStyle w:val="Tabletext"/>
              <w:jc w:val="center"/>
              <w:rPr>
                <w:lang w:val="en-US"/>
              </w:rPr>
            </w:pPr>
            <w:r w:rsidRPr="00ED2F9B">
              <w:rPr>
                <w:lang w:val="en-US"/>
              </w:rPr>
              <w:t>8.45</w:t>
            </w:r>
          </w:p>
        </w:tc>
      </w:tr>
      <w:tr w:rsidR="00E15FCC" w:rsidRPr="00E64C3F">
        <w:trPr>
          <w:cantSplit/>
          <w:jc w:val="center"/>
        </w:trPr>
        <w:tc>
          <w:tcPr>
            <w:tcW w:w="7796" w:type="dxa"/>
            <w:gridSpan w:val="5"/>
            <w:tcBorders>
              <w:top w:val="single" w:sz="4" w:space="0" w:color="auto"/>
              <w:left w:val="nil"/>
              <w:bottom w:val="nil"/>
              <w:right w:val="nil"/>
            </w:tcBorders>
            <w:vAlign w:val="center"/>
          </w:tcPr>
          <w:p w:rsidR="00E15FCC" w:rsidRPr="00E15FCC" w:rsidRDefault="00E15FCC" w:rsidP="00ED2F9B">
            <w:pPr>
              <w:pStyle w:val="Tablelegend"/>
              <w:rPr>
                <w:lang w:val="en-US"/>
              </w:rPr>
            </w:pPr>
            <w:r w:rsidRPr="00E15FCC">
              <w:rPr>
                <w:vertAlign w:val="superscript"/>
                <w:lang w:val="en-US"/>
              </w:rPr>
              <w:t>(1)</w:t>
            </w:r>
            <w:r w:rsidRPr="00E15FCC">
              <w:rPr>
                <w:lang w:val="en-US"/>
              </w:rPr>
              <w:tab/>
              <w:t>Central frequency in the upper radio-frequency band.</w:t>
            </w:r>
          </w:p>
        </w:tc>
      </w:tr>
    </w:tbl>
    <w:p w:rsidR="00ED2F9B" w:rsidRDefault="00ED2F9B" w:rsidP="00ED2F9B">
      <w:pPr>
        <w:pStyle w:val="Tablefin"/>
      </w:pPr>
    </w:p>
    <w:p w:rsidR="00E15FCC" w:rsidRPr="00E15FCC" w:rsidRDefault="00E15FCC" w:rsidP="00ED2F9B">
      <w:pPr>
        <w:rPr>
          <w:lang w:val="en-US"/>
        </w:rPr>
      </w:pPr>
      <w:r w:rsidRPr="00E15FCC">
        <w:rPr>
          <w:lang w:val="en-US"/>
        </w:rPr>
        <w:t>c)</w:t>
      </w:r>
      <w:r w:rsidRPr="00E15FCC">
        <w:rPr>
          <w:lang w:val="en-US"/>
        </w:rPr>
        <w:tab/>
        <w:t>Transmitter antenna gain</w:t>
      </w:r>
      <w:r w:rsidR="00ED2F9B">
        <w:rPr>
          <w:lang w:val="en-US"/>
        </w:rPr>
        <w:t>,</w:t>
      </w:r>
      <w:r w:rsidRPr="00E15FCC">
        <w:rPr>
          <w:lang w:val="en-US"/>
        </w:rPr>
        <w:t xml:space="preserve"> </w:t>
      </w:r>
      <w:r w:rsidRPr="00EB73B7">
        <w:rPr>
          <w:i/>
          <w:lang w:val="en-US"/>
        </w:rPr>
        <w:t>G</w:t>
      </w:r>
      <w:r w:rsidRPr="00EB73B7">
        <w:rPr>
          <w:i/>
          <w:vertAlign w:val="subscript"/>
          <w:lang w:val="en-US"/>
        </w:rPr>
        <w:t>TX</w:t>
      </w:r>
    </w:p>
    <w:p w:rsidR="00E15FCC" w:rsidRPr="00E15FCC" w:rsidRDefault="00E15FCC" w:rsidP="00E15FCC">
      <w:pPr>
        <w:rPr>
          <w:lang w:val="en-US"/>
        </w:rPr>
      </w:pPr>
      <w:r w:rsidRPr="00E15FCC">
        <w:rPr>
          <w:i/>
          <w:iCs/>
          <w:lang w:val="en-US"/>
        </w:rPr>
        <w:t>G</w:t>
      </w:r>
      <w:r w:rsidRPr="00E15FCC">
        <w:rPr>
          <w:i/>
          <w:iCs/>
          <w:vertAlign w:val="subscript"/>
          <w:lang w:val="en-US"/>
        </w:rPr>
        <w:t>TX</w:t>
      </w:r>
      <w:r w:rsidRPr="00E15FCC">
        <w:rPr>
          <w:i/>
          <w:iCs/>
          <w:lang w:val="en-US"/>
        </w:rPr>
        <w:t xml:space="preserve"> </w:t>
      </w:r>
      <w:r w:rsidRPr="00E15FCC">
        <w:rPr>
          <w:lang w:val="en-US"/>
        </w:rPr>
        <w:t xml:space="preserve">is the transmitter antenna gain in the centre of a specific sector width. Table 19 shows the calculated values of </w:t>
      </w:r>
      <w:r w:rsidRPr="00E15FCC">
        <w:rPr>
          <w:i/>
          <w:iCs/>
          <w:lang w:val="en-US"/>
        </w:rPr>
        <w:t>G</w:t>
      </w:r>
      <w:r w:rsidRPr="00E15FCC">
        <w:rPr>
          <w:i/>
          <w:iCs/>
          <w:vertAlign w:val="subscript"/>
          <w:lang w:val="en-US"/>
        </w:rPr>
        <w:t>TX</w:t>
      </w:r>
      <w:r w:rsidRPr="00E15FCC">
        <w:rPr>
          <w:lang w:val="en-US"/>
        </w:rPr>
        <w:t xml:space="preserve"> for each sector width</w:t>
      </w:r>
      <w:r w:rsidR="00ED2F9B">
        <w:rPr>
          <w:lang w:val="en-US"/>
        </w:rPr>
        <w:t>,</w:t>
      </w:r>
      <w:r w:rsidRPr="00E15FCC">
        <w:rPr>
          <w:lang w:val="en-US"/>
        </w:rPr>
        <w:t xml:space="preserve"> </w:t>
      </w:r>
      <w:r w:rsidRPr="00C12926">
        <w:rPr>
          <w:iCs/>
        </w:rPr>
        <w:sym w:font="Symbol" w:char="F071"/>
      </w:r>
      <w:r w:rsidR="00ED2F9B">
        <w:rPr>
          <w:lang w:val="en-US"/>
        </w:rPr>
        <w:t>,</w:t>
      </w:r>
      <w:r w:rsidRPr="00E15FCC">
        <w:rPr>
          <w:lang w:val="en-US"/>
        </w:rPr>
        <w:t xml:space="preserve"> defined in Table 17.</w:t>
      </w:r>
    </w:p>
    <w:p w:rsidR="00E15FCC" w:rsidRPr="00E15FCC" w:rsidRDefault="00E15FCC" w:rsidP="00E15FCC">
      <w:pPr>
        <w:pStyle w:val="TableNo"/>
        <w:rPr>
          <w:lang w:val="en-US"/>
        </w:rPr>
      </w:pPr>
      <w:r w:rsidRPr="00E15FCC">
        <w:rPr>
          <w:lang w:val="en-US"/>
        </w:rPr>
        <w:t>TABLE 19</w:t>
      </w:r>
    </w:p>
    <w:p w:rsidR="00E15FCC" w:rsidRPr="00E15FCC" w:rsidRDefault="00E15FCC" w:rsidP="00E15FCC">
      <w:pPr>
        <w:pStyle w:val="Tabletitle"/>
        <w:rPr>
          <w:vertAlign w:val="superscript"/>
          <w:lang w:val="en-US"/>
        </w:rPr>
      </w:pPr>
      <w:r w:rsidRPr="00E15FCC">
        <w:rPr>
          <w:lang w:val="en-US"/>
        </w:rPr>
        <w:t>Transmitter antenna gain for each sector 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552"/>
        <w:gridCol w:w="2552"/>
      </w:tblGrid>
      <w:tr w:rsidR="00E15FCC" w:rsidRPr="00C12926">
        <w:trPr>
          <w:cantSplit/>
          <w:trHeight w:val="503"/>
          <w:jc w:val="center"/>
        </w:trPr>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head"/>
            </w:pPr>
            <w:r w:rsidRPr="00C12926">
              <w:t xml:space="preserve">Sector width </w:t>
            </w:r>
            <w:r w:rsidRPr="00C12926">
              <w:rPr>
                <w:iCs/>
              </w:rPr>
              <w:sym w:font="Symbol" w:char="F071"/>
            </w:r>
            <w:r w:rsidRPr="00C12926">
              <w:rPr>
                <w:vertAlign w:val="subscript"/>
              </w:rPr>
              <w:t>1</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head"/>
              <w:rPr>
                <w:vertAlign w:val="superscript"/>
              </w:rPr>
            </w:pPr>
            <w:r w:rsidRPr="00C12926">
              <w:t xml:space="preserve">Sector width </w:t>
            </w:r>
            <w:r w:rsidRPr="00C12926">
              <w:rPr>
                <w:iCs/>
              </w:rPr>
              <w:sym w:font="Symbol" w:char="F071"/>
            </w:r>
            <w:r w:rsidRPr="00C12926">
              <w:rPr>
                <w:vertAlign w:val="subscript"/>
              </w:rPr>
              <w:t>2</w:t>
            </w:r>
            <w:r w:rsidRPr="00C12926">
              <w:rPr>
                <w:vertAlign w:val="superscript"/>
              </w:rPr>
              <w:t>(1)</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head"/>
            </w:pPr>
            <w:r w:rsidRPr="00C12926">
              <w:t xml:space="preserve">Sector width </w:t>
            </w:r>
            <w:r w:rsidRPr="00C12926">
              <w:rPr>
                <w:iCs/>
              </w:rPr>
              <w:sym w:font="Symbol" w:char="F071"/>
            </w:r>
            <w:r w:rsidRPr="00C12926">
              <w:rPr>
                <w:vertAlign w:val="subscript"/>
              </w:rPr>
              <w:t>3</w:t>
            </w:r>
          </w:p>
        </w:tc>
      </w:tr>
      <w:tr w:rsidR="00E15FCC" w:rsidRPr="00C12926">
        <w:trPr>
          <w:cantSplit/>
          <w:trHeight w:val="244"/>
          <w:jc w:val="center"/>
        </w:trPr>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rPr>
                <w:i/>
              </w:rPr>
              <w:t>G</w:t>
            </w:r>
            <w:r w:rsidRPr="00C12926">
              <w:rPr>
                <w:i/>
                <w:vertAlign w:val="subscript"/>
              </w:rPr>
              <w:t>TX</w:t>
            </w:r>
            <w:r w:rsidRPr="00C12926">
              <w:rPr>
                <w:vertAlign w:val="subscript"/>
              </w:rPr>
              <w:t xml:space="preserve"> 1</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rPr>
                <w:i/>
              </w:rPr>
              <w:t>G</w:t>
            </w:r>
            <w:r w:rsidRPr="00C12926">
              <w:rPr>
                <w:i/>
                <w:vertAlign w:val="subscript"/>
              </w:rPr>
              <w:t xml:space="preserve">TX </w:t>
            </w:r>
            <w:r w:rsidRPr="00C12926">
              <w:rPr>
                <w:vertAlign w:val="subscript"/>
              </w:rPr>
              <w:t>2</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rPr>
                <w:i/>
              </w:rPr>
              <w:t>G</w:t>
            </w:r>
            <w:r w:rsidRPr="00C12926">
              <w:rPr>
                <w:i/>
                <w:vertAlign w:val="subscript"/>
              </w:rPr>
              <w:t>TX</w:t>
            </w:r>
            <w:r w:rsidRPr="00C12926">
              <w:rPr>
                <w:vertAlign w:val="subscript"/>
              </w:rPr>
              <w:t xml:space="preserve"> 3</w:t>
            </w:r>
          </w:p>
        </w:tc>
      </w:tr>
      <w:tr w:rsidR="00E15FCC" w:rsidRPr="00C12926">
        <w:trPr>
          <w:cantSplit/>
          <w:jc w:val="center"/>
        </w:trPr>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14.7</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36.7</w:t>
            </w:r>
          </w:p>
        </w:tc>
        <w:tc>
          <w:tcPr>
            <w:tcW w:w="2552"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14.7</w:t>
            </w:r>
          </w:p>
        </w:tc>
      </w:tr>
      <w:tr w:rsidR="00E15FCC" w:rsidRPr="00E64C3F">
        <w:trPr>
          <w:cantSplit/>
          <w:jc w:val="center"/>
        </w:trPr>
        <w:tc>
          <w:tcPr>
            <w:tcW w:w="7655" w:type="dxa"/>
            <w:gridSpan w:val="3"/>
            <w:tcBorders>
              <w:top w:val="single" w:sz="4" w:space="0" w:color="auto"/>
              <w:left w:val="nil"/>
              <w:bottom w:val="nil"/>
              <w:right w:val="nil"/>
            </w:tcBorders>
            <w:vAlign w:val="center"/>
          </w:tcPr>
          <w:p w:rsidR="00E15FCC" w:rsidRPr="00E15FCC" w:rsidRDefault="00E15FCC" w:rsidP="007473D5">
            <w:pPr>
              <w:pStyle w:val="Tablelegend"/>
              <w:rPr>
                <w:lang w:val="en-US"/>
              </w:rPr>
            </w:pPr>
            <w:r w:rsidRPr="00E15FCC">
              <w:rPr>
                <w:lang w:val="en-US"/>
              </w:rPr>
              <w:t>*</w:t>
            </w:r>
            <w:r w:rsidRPr="00E15FCC">
              <w:rPr>
                <w:lang w:val="en-US"/>
              </w:rPr>
              <w:tab/>
              <w:t>Obtained from the antenna radiation pattern envelope.</w:t>
            </w:r>
          </w:p>
          <w:p w:rsidR="00E15FCC" w:rsidRPr="00E15FCC" w:rsidRDefault="00E15FCC" w:rsidP="007473D5">
            <w:pPr>
              <w:pStyle w:val="Tablelegend"/>
              <w:rPr>
                <w:lang w:val="en-US"/>
              </w:rPr>
            </w:pPr>
            <w:r w:rsidRPr="00E15FCC">
              <w:rPr>
                <w:vertAlign w:val="superscript"/>
                <w:lang w:val="en-US"/>
              </w:rPr>
              <w:t>(1)</w:t>
            </w:r>
            <w:r w:rsidRPr="00E15FCC">
              <w:rPr>
                <w:lang w:val="en-US"/>
              </w:rPr>
              <w:tab/>
              <w:t xml:space="preserve">The sector width </w:t>
            </w:r>
            <w:r w:rsidRPr="00C12926">
              <w:rPr>
                <w:iCs/>
              </w:rPr>
              <w:sym w:font="Symbol" w:char="F071"/>
            </w:r>
            <w:r w:rsidRPr="00E15FCC">
              <w:rPr>
                <w:vertAlign w:val="subscript"/>
                <w:lang w:val="en-US"/>
              </w:rPr>
              <w:t>2</w:t>
            </w:r>
            <w:r w:rsidRPr="00E15FCC">
              <w:rPr>
                <w:lang w:val="en-US"/>
              </w:rPr>
              <w:t xml:space="preserve"> is centred in the main antenna lobe. The beamwidths </w:t>
            </w:r>
            <w:r w:rsidRPr="00C12926">
              <w:rPr>
                <w:iCs/>
              </w:rPr>
              <w:sym w:font="Symbol" w:char="F071"/>
            </w:r>
            <w:r w:rsidRPr="00E15FCC">
              <w:rPr>
                <w:vertAlign w:val="subscript"/>
                <w:lang w:val="en-US"/>
              </w:rPr>
              <w:t>1</w:t>
            </w:r>
            <w:r w:rsidRPr="00E15FCC">
              <w:rPr>
                <w:lang w:val="en-US"/>
              </w:rPr>
              <w:t xml:space="preserve"> and </w:t>
            </w:r>
            <w:r w:rsidRPr="00C12926">
              <w:rPr>
                <w:iCs/>
              </w:rPr>
              <w:sym w:font="Symbol" w:char="F071"/>
            </w:r>
            <w:r w:rsidRPr="00E15FCC">
              <w:rPr>
                <w:vertAlign w:val="subscript"/>
                <w:lang w:val="en-US"/>
              </w:rPr>
              <w:t>3</w:t>
            </w:r>
            <w:r w:rsidRPr="00E15FCC">
              <w:rPr>
                <w:lang w:val="en-US"/>
              </w:rPr>
              <w:t xml:space="preserve"> are adjacent to </w:t>
            </w:r>
            <w:r w:rsidRPr="00C12926">
              <w:rPr>
                <w:iCs/>
              </w:rPr>
              <w:sym w:font="Symbol" w:char="F071"/>
            </w:r>
            <w:r w:rsidRPr="00E15FCC">
              <w:rPr>
                <w:vertAlign w:val="subscript"/>
                <w:lang w:val="en-US"/>
              </w:rPr>
              <w:t>2</w:t>
            </w:r>
            <w:r w:rsidRPr="00E15FCC">
              <w:rPr>
                <w:lang w:val="en-US"/>
              </w:rPr>
              <w:t>.</w:t>
            </w:r>
          </w:p>
        </w:tc>
      </w:tr>
    </w:tbl>
    <w:p w:rsidR="00ED2F9B" w:rsidRDefault="00ED2F9B" w:rsidP="00ED2F9B">
      <w:pPr>
        <w:pStyle w:val="Tablefin"/>
      </w:pPr>
    </w:p>
    <w:p w:rsidR="00E15FCC" w:rsidRPr="00E15FCC" w:rsidRDefault="00E15FCC" w:rsidP="00E15FCC">
      <w:pPr>
        <w:rPr>
          <w:lang w:val="en-US"/>
        </w:rPr>
      </w:pPr>
      <w:r w:rsidRPr="00E15FCC">
        <w:rPr>
          <w:lang w:val="en-US"/>
        </w:rPr>
        <w:t xml:space="preserve">According to equations (38) and (39), each value of </w:t>
      </w:r>
      <w:r w:rsidRPr="00E15FCC">
        <w:rPr>
          <w:i/>
          <w:iCs/>
          <w:lang w:val="en-US"/>
        </w:rPr>
        <w:t>G</w:t>
      </w:r>
      <w:r w:rsidRPr="00E15FCC">
        <w:rPr>
          <w:i/>
          <w:iCs/>
          <w:vertAlign w:val="subscript"/>
          <w:lang w:val="en-US"/>
        </w:rPr>
        <w:t>TX</w:t>
      </w:r>
      <w:r w:rsidRPr="00E15FCC">
        <w:rPr>
          <w:lang w:val="en-US"/>
        </w:rPr>
        <w:t xml:space="preserve"> will correspond to one value of </w:t>
      </w:r>
      <w:r w:rsidRPr="00E15FCC">
        <w:rPr>
          <w:i/>
          <w:iCs/>
          <w:lang w:val="en-US"/>
        </w:rPr>
        <w:t xml:space="preserve">R </w:t>
      </w:r>
      <w:r w:rsidRPr="00E15FCC">
        <w:rPr>
          <w:lang w:val="en-US"/>
        </w:rPr>
        <w:t>considering that only the transmitter antenna gain will vary for each sector chosen.</w:t>
      </w:r>
    </w:p>
    <w:p w:rsidR="00E15FCC" w:rsidRPr="00E15FCC" w:rsidRDefault="00E15FCC" w:rsidP="007473D5">
      <w:pPr>
        <w:rPr>
          <w:lang w:val="en-US"/>
        </w:rPr>
      </w:pPr>
      <w:r w:rsidRPr="00E15FCC">
        <w:rPr>
          <w:lang w:val="en-US"/>
        </w:rPr>
        <w:t>d)</w:t>
      </w:r>
      <w:r w:rsidRPr="00E15FCC">
        <w:rPr>
          <w:lang w:val="en-US"/>
        </w:rPr>
        <w:tab/>
        <w:t>Receiver interference threshold</w:t>
      </w:r>
      <w:r w:rsidR="007473D5">
        <w:rPr>
          <w:lang w:val="en-US"/>
        </w:rPr>
        <w:t>,</w:t>
      </w:r>
      <w:r w:rsidRPr="00E15FCC">
        <w:rPr>
          <w:lang w:val="en-US"/>
        </w:rPr>
        <w:t xml:space="preserve"> </w:t>
      </w:r>
      <w:r w:rsidR="007473D5" w:rsidRPr="00EB73B7">
        <w:rPr>
          <w:i/>
          <w:lang w:val="en-US"/>
        </w:rPr>
        <w:t>I</w:t>
      </w:r>
      <w:r w:rsidRPr="00EB73B7">
        <w:rPr>
          <w:i/>
          <w:sz w:val="28"/>
          <w:vertAlign w:val="subscript"/>
          <w:lang w:val="en-US"/>
        </w:rPr>
        <w:t>RX</w:t>
      </w:r>
    </w:p>
    <w:p w:rsidR="00E15FCC" w:rsidRPr="00E15FCC" w:rsidRDefault="00E15FCC" w:rsidP="00E15FCC">
      <w:pPr>
        <w:rPr>
          <w:lang w:val="en-US"/>
        </w:rPr>
      </w:pPr>
      <w:r w:rsidRPr="00E15FCC">
        <w:rPr>
          <w:lang w:val="en-US"/>
        </w:rPr>
        <w:t xml:space="preserve">Two methods to calculate the receiver interference threshold were proposed: direct calculation from the receiver </w:t>
      </w:r>
      <w:r w:rsidRPr="00E15FCC">
        <w:rPr>
          <w:i/>
          <w:iCs/>
          <w:lang w:val="en-US"/>
        </w:rPr>
        <w:t>C/I</w:t>
      </w:r>
      <w:r w:rsidRPr="00E15FCC">
        <w:rPr>
          <w:i/>
          <w:iCs/>
          <w:vertAlign w:val="subscript"/>
          <w:lang w:val="en-US"/>
        </w:rPr>
        <w:t>MAX</w:t>
      </w:r>
      <w:r w:rsidRPr="00E15FCC">
        <w:rPr>
          <w:lang w:val="en-US"/>
        </w:rPr>
        <w:t xml:space="preserve"> or calculation from the minimum required margin at the receiver. As the second method requires more steps it will be used to illustrate the calculation.</w:t>
      </w:r>
    </w:p>
    <w:p w:rsidR="00E15FCC" w:rsidRPr="00E15FCC" w:rsidRDefault="00E15FCC" w:rsidP="00E15FCC">
      <w:pPr>
        <w:rPr>
          <w:lang w:val="en-US"/>
        </w:rPr>
      </w:pPr>
      <w:r w:rsidRPr="00E15FCC">
        <w:rPr>
          <w:lang w:val="en-US"/>
        </w:rPr>
        <w:t xml:space="preserve">Table 20 shows typical values of </w:t>
      </w:r>
      <w:r w:rsidRPr="00E15FCC">
        <w:rPr>
          <w:i/>
          <w:iCs/>
          <w:lang w:val="en-US"/>
        </w:rPr>
        <w:t>C/I</w:t>
      </w:r>
      <w:r w:rsidRPr="00E15FCC">
        <w:rPr>
          <w:i/>
          <w:iCs/>
          <w:vertAlign w:val="subscript"/>
          <w:lang w:val="en-US"/>
        </w:rPr>
        <w:t>MAX</w:t>
      </w:r>
      <w:r w:rsidRPr="00E15FCC">
        <w:rPr>
          <w:lang w:val="en-US"/>
        </w:rPr>
        <w:t xml:space="preserve"> and </w:t>
      </w:r>
      <w:r w:rsidRPr="00E15FCC">
        <w:rPr>
          <w:i/>
          <w:iCs/>
          <w:lang w:val="en-US"/>
        </w:rPr>
        <w:t>I</w:t>
      </w:r>
      <w:r w:rsidRPr="00E15FCC">
        <w:rPr>
          <w:i/>
          <w:iCs/>
          <w:vertAlign w:val="subscript"/>
          <w:lang w:val="en-US"/>
        </w:rPr>
        <w:t>EQ</w:t>
      </w:r>
      <w:r w:rsidRPr="00E15FCC">
        <w:rPr>
          <w:lang w:val="en-US"/>
        </w:rPr>
        <w:t>, obtained from equipment specifications. These values are used in equation (42).</w:t>
      </w:r>
    </w:p>
    <w:p w:rsidR="00E15FCC" w:rsidRPr="00E15FCC" w:rsidRDefault="00E15FCC" w:rsidP="00E15FCC">
      <w:pPr>
        <w:pStyle w:val="TableNo"/>
        <w:rPr>
          <w:lang w:val="en-US"/>
        </w:rPr>
      </w:pPr>
      <w:r w:rsidRPr="00E15FCC">
        <w:rPr>
          <w:lang w:val="en-US"/>
        </w:rPr>
        <w:lastRenderedPageBreak/>
        <w:t>TABLE 20</w:t>
      </w:r>
    </w:p>
    <w:p w:rsidR="00E15FCC" w:rsidRPr="00E15FCC" w:rsidRDefault="00E15FCC" w:rsidP="00E15FCC">
      <w:pPr>
        <w:pStyle w:val="Tabletitle"/>
        <w:rPr>
          <w:vertAlign w:val="subscript"/>
          <w:lang w:val="en-US"/>
        </w:rPr>
      </w:pPr>
      <w:r w:rsidRPr="00E15FCC">
        <w:rPr>
          <w:lang w:val="en-US"/>
        </w:rPr>
        <w:t xml:space="preserve">Values of </w:t>
      </w:r>
      <w:r w:rsidRPr="00E15FCC">
        <w:rPr>
          <w:i/>
          <w:iCs/>
          <w:lang w:val="en-US"/>
        </w:rPr>
        <w:t>C</w:t>
      </w:r>
      <w:r w:rsidRPr="00E15FCC">
        <w:rPr>
          <w:lang w:val="en-US"/>
        </w:rPr>
        <w:t>/</w:t>
      </w:r>
      <w:r w:rsidRPr="00E15FCC">
        <w:rPr>
          <w:i/>
          <w:iCs/>
          <w:lang w:val="en-US"/>
        </w:rPr>
        <w:t>I</w:t>
      </w:r>
      <w:r w:rsidRPr="00E15FCC">
        <w:rPr>
          <w:i/>
          <w:iCs/>
          <w:vertAlign w:val="subscript"/>
          <w:lang w:val="en-US"/>
        </w:rPr>
        <w:t>MAX</w:t>
      </w:r>
      <w:r w:rsidRPr="00E15FCC">
        <w:rPr>
          <w:lang w:val="en-US"/>
        </w:rPr>
        <w:t xml:space="preserve"> and </w:t>
      </w:r>
      <w:r w:rsidRPr="00E15FCC">
        <w:rPr>
          <w:i/>
          <w:iCs/>
          <w:lang w:val="en-US"/>
        </w:rPr>
        <w:t>I</w:t>
      </w:r>
      <w:r w:rsidRPr="00E15FCC">
        <w:rPr>
          <w:i/>
          <w:iCs/>
          <w:vertAlign w:val="subscript"/>
          <w:lang w:val="en-US"/>
        </w:rPr>
        <w:t>EQ</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
        <w:gridCol w:w="2797"/>
        <w:gridCol w:w="2835"/>
        <w:gridCol w:w="38"/>
      </w:tblGrid>
      <w:tr w:rsidR="00E15FCC" w:rsidRPr="00F60F70">
        <w:trPr>
          <w:gridAfter w:val="1"/>
          <w:wAfter w:w="38" w:type="dxa"/>
          <w:jc w:val="center"/>
        </w:trPr>
        <w:tc>
          <w:tcPr>
            <w:tcW w:w="2835" w:type="dxa"/>
            <w:gridSpan w:val="2"/>
            <w:tcBorders>
              <w:top w:val="single" w:sz="4" w:space="0" w:color="auto"/>
              <w:left w:val="single" w:sz="4" w:space="0" w:color="auto"/>
              <w:bottom w:val="single" w:sz="4" w:space="0" w:color="auto"/>
              <w:right w:val="single" w:sz="4" w:space="0" w:color="auto"/>
            </w:tcBorders>
          </w:tcPr>
          <w:p w:rsidR="00E15FCC" w:rsidRPr="00C12926" w:rsidRDefault="00E15FCC" w:rsidP="00E15FCC">
            <w:pPr>
              <w:pStyle w:val="Tablehead"/>
            </w:pPr>
            <w:r w:rsidRPr="00C12926">
              <w:rPr>
                <w:i/>
              </w:rPr>
              <w:t>C</w:t>
            </w:r>
            <w:r w:rsidRPr="00C12926">
              <w:t>/</w:t>
            </w:r>
            <w:r w:rsidRPr="00C12926">
              <w:rPr>
                <w:i/>
              </w:rPr>
              <w:t>I</w:t>
            </w:r>
            <w:r w:rsidRPr="00C12926">
              <w:rPr>
                <w:i/>
                <w:vertAlign w:val="subscript"/>
              </w:rPr>
              <w:t>MAX</w:t>
            </w:r>
            <w:r w:rsidRPr="00C12926">
              <w:rPr>
                <w:i/>
              </w:rPr>
              <w:t xml:space="preserve"> </w:t>
            </w:r>
            <w:r w:rsidRPr="00C12926">
              <w:rPr>
                <w:i/>
              </w:rPr>
              <w:br/>
            </w:r>
            <w:r w:rsidRPr="00C12926">
              <w:t>(dB)</w:t>
            </w:r>
          </w:p>
        </w:tc>
        <w:tc>
          <w:tcPr>
            <w:tcW w:w="2835" w:type="dxa"/>
            <w:tcBorders>
              <w:top w:val="single" w:sz="4" w:space="0" w:color="auto"/>
              <w:left w:val="single" w:sz="4" w:space="0" w:color="auto"/>
              <w:bottom w:val="single" w:sz="4" w:space="0" w:color="auto"/>
              <w:right w:val="single" w:sz="4" w:space="0" w:color="auto"/>
            </w:tcBorders>
            <w:vAlign w:val="center"/>
          </w:tcPr>
          <w:p w:rsidR="00E15FCC" w:rsidRPr="00F60F70" w:rsidRDefault="00E15FCC" w:rsidP="00E15FCC">
            <w:pPr>
              <w:pStyle w:val="Tablehead"/>
              <w:rPr>
                <w:vertAlign w:val="superscript"/>
                <w:lang w:val="en-US"/>
              </w:rPr>
            </w:pPr>
            <w:r w:rsidRPr="00F60F70">
              <w:rPr>
                <w:lang w:val="en-US"/>
              </w:rPr>
              <w:t>System I</w:t>
            </w:r>
            <w:r w:rsidRPr="00F60F70">
              <w:rPr>
                <w:i/>
                <w:vertAlign w:val="subscript"/>
                <w:lang w:val="en-US"/>
              </w:rPr>
              <w:t>EQ</w:t>
            </w:r>
            <w:r w:rsidR="00EB73B7" w:rsidRPr="00F60F70">
              <w:rPr>
                <w:vertAlign w:val="superscript"/>
                <w:lang w:val="en-US"/>
              </w:rPr>
              <w:t>(1)</w:t>
            </w:r>
            <w:r w:rsidR="00F60F70" w:rsidRPr="00F60F70">
              <w:rPr>
                <w:i/>
                <w:lang w:val="en-US"/>
              </w:rPr>
              <w:br/>
            </w:r>
            <w:r w:rsidRPr="00F60F70">
              <w:rPr>
                <w:lang w:val="en-US"/>
              </w:rPr>
              <w:t>(dBm)</w:t>
            </w:r>
          </w:p>
        </w:tc>
      </w:tr>
      <w:tr w:rsidR="00E15FCC" w:rsidRPr="00F60F70">
        <w:trPr>
          <w:gridAfter w:val="1"/>
          <w:wAfter w:w="38" w:type="dxa"/>
          <w:jc w:val="center"/>
        </w:trPr>
        <w:tc>
          <w:tcPr>
            <w:tcW w:w="2835" w:type="dxa"/>
            <w:gridSpan w:val="2"/>
            <w:tcBorders>
              <w:top w:val="single" w:sz="4" w:space="0" w:color="auto"/>
              <w:left w:val="single" w:sz="4" w:space="0" w:color="auto"/>
              <w:bottom w:val="single" w:sz="4" w:space="0" w:color="auto"/>
              <w:right w:val="single" w:sz="4" w:space="0" w:color="auto"/>
            </w:tcBorders>
          </w:tcPr>
          <w:p w:rsidR="00E15FCC" w:rsidRPr="00F60F70" w:rsidRDefault="00E15FCC" w:rsidP="00E15FCC">
            <w:pPr>
              <w:pStyle w:val="Tabletext"/>
              <w:jc w:val="center"/>
              <w:rPr>
                <w:lang w:val="en-US"/>
              </w:rPr>
            </w:pPr>
            <w:r w:rsidRPr="00F60F70">
              <w:rPr>
                <w:lang w:val="en-US"/>
              </w:rPr>
              <w:t>17.0</w:t>
            </w:r>
          </w:p>
        </w:tc>
        <w:tc>
          <w:tcPr>
            <w:tcW w:w="2835" w:type="dxa"/>
            <w:tcBorders>
              <w:top w:val="single" w:sz="4" w:space="0" w:color="auto"/>
              <w:left w:val="single" w:sz="4" w:space="0" w:color="auto"/>
              <w:bottom w:val="single" w:sz="4" w:space="0" w:color="auto"/>
              <w:right w:val="single" w:sz="4" w:space="0" w:color="auto"/>
            </w:tcBorders>
            <w:vAlign w:val="center"/>
          </w:tcPr>
          <w:p w:rsidR="00E15FCC" w:rsidRPr="00F60F70" w:rsidRDefault="00E15FCC" w:rsidP="00E15FCC">
            <w:pPr>
              <w:pStyle w:val="Tabletext"/>
              <w:jc w:val="center"/>
              <w:rPr>
                <w:lang w:val="en-US"/>
              </w:rPr>
            </w:pPr>
            <w:r w:rsidRPr="00F60F70">
              <w:rPr>
                <w:lang w:val="en-US"/>
              </w:rPr>
              <w:t>–105.0</w:t>
            </w:r>
          </w:p>
        </w:tc>
      </w:tr>
      <w:tr w:rsidR="00E15FCC" w:rsidRPr="00E64C3F">
        <w:tblPrEx>
          <w:tblCellMar>
            <w:left w:w="70" w:type="dxa"/>
            <w:right w:w="70" w:type="dxa"/>
          </w:tblCellMar>
        </w:tblPrEx>
        <w:trPr>
          <w:gridBefore w:val="1"/>
          <w:wBefore w:w="38" w:type="dxa"/>
          <w:jc w:val="center"/>
        </w:trPr>
        <w:tc>
          <w:tcPr>
            <w:tcW w:w="5670" w:type="dxa"/>
            <w:gridSpan w:val="3"/>
            <w:tcBorders>
              <w:top w:val="single" w:sz="4" w:space="0" w:color="auto"/>
              <w:left w:val="nil"/>
              <w:bottom w:val="nil"/>
              <w:right w:val="nil"/>
            </w:tcBorders>
          </w:tcPr>
          <w:p w:rsidR="00E15FCC" w:rsidRPr="00E15FCC" w:rsidRDefault="00E15FCC" w:rsidP="00E15FCC">
            <w:pPr>
              <w:pStyle w:val="Tabletext"/>
              <w:ind w:left="284" w:hanging="284"/>
              <w:rPr>
                <w:lang w:val="en-US"/>
              </w:rPr>
            </w:pPr>
            <w:r w:rsidRPr="00E15FCC">
              <w:rPr>
                <w:vertAlign w:val="superscript"/>
                <w:lang w:val="en-US"/>
              </w:rPr>
              <w:t>(1)</w:t>
            </w:r>
            <w:r w:rsidRPr="00E15FCC">
              <w:rPr>
                <w:lang w:val="en-US"/>
              </w:rPr>
              <w:tab/>
              <w:t xml:space="preserve">These values were obtained considering </w:t>
            </w:r>
            <w:r w:rsidRPr="00E15FCC">
              <w:rPr>
                <w:i/>
                <w:iCs/>
                <w:lang w:val="en-US"/>
              </w:rPr>
              <w:t>C</w:t>
            </w:r>
            <w:r w:rsidRPr="00E15FCC">
              <w:rPr>
                <w:lang w:val="en-US"/>
              </w:rPr>
              <w:t xml:space="preserve"> equal to the receiver threshold.</w:t>
            </w:r>
          </w:p>
        </w:tc>
      </w:tr>
    </w:tbl>
    <w:p w:rsidR="00F60F70" w:rsidRDefault="00F60F70" w:rsidP="00F60F70">
      <w:pPr>
        <w:pStyle w:val="Tablefin"/>
      </w:pPr>
    </w:p>
    <w:p w:rsidR="00E15FCC" w:rsidRPr="00E15FCC" w:rsidRDefault="00E15FCC" w:rsidP="00F60F70">
      <w:pPr>
        <w:rPr>
          <w:lang w:val="en-US"/>
        </w:rPr>
      </w:pPr>
      <w:r w:rsidRPr="00E15FCC">
        <w:rPr>
          <w:lang w:val="en-US"/>
        </w:rPr>
        <w:t>e)</w:t>
      </w:r>
      <w:r w:rsidRPr="00E15FCC">
        <w:rPr>
          <w:lang w:val="en-US"/>
        </w:rPr>
        <w:tab/>
        <w:t>Maximum degradation</w:t>
      </w:r>
      <w:r w:rsidR="00F60F70">
        <w:rPr>
          <w:lang w:val="en-US"/>
        </w:rPr>
        <w:t>,</w:t>
      </w:r>
      <w:r w:rsidRPr="00E15FCC">
        <w:rPr>
          <w:lang w:val="en-US"/>
        </w:rPr>
        <w:t xml:space="preserve"> </w:t>
      </w:r>
      <w:r w:rsidRPr="00EB73B7">
        <w:rPr>
          <w:i/>
          <w:lang w:val="en-US"/>
        </w:rPr>
        <w:t>D</w:t>
      </w:r>
    </w:p>
    <w:p w:rsidR="00E15FCC" w:rsidRPr="00E15FCC" w:rsidRDefault="00E15FCC" w:rsidP="00E15FCC">
      <w:pPr>
        <w:rPr>
          <w:lang w:val="en-US"/>
        </w:rPr>
      </w:pPr>
      <w:r w:rsidRPr="00E15FCC">
        <w:rPr>
          <w:lang w:val="en-US"/>
        </w:rPr>
        <w:t xml:space="preserve">Table 21 consolidates the parameters </w:t>
      </w:r>
      <w:r w:rsidRPr="00E15FCC">
        <w:rPr>
          <w:i/>
          <w:iCs/>
          <w:lang w:val="en-US"/>
        </w:rPr>
        <w:t>D</w:t>
      </w:r>
      <w:r w:rsidRPr="00E15FCC">
        <w:rPr>
          <w:i/>
          <w:iCs/>
          <w:vertAlign w:val="subscript"/>
          <w:lang w:val="en-US"/>
        </w:rPr>
        <w:t>M</w:t>
      </w:r>
      <w:r w:rsidRPr="00E15FCC">
        <w:rPr>
          <w:i/>
          <w:iCs/>
          <w:lang w:val="en-US"/>
        </w:rPr>
        <w:t xml:space="preserve"> </w:t>
      </w:r>
      <w:r w:rsidRPr="00E15FCC">
        <w:rPr>
          <w:lang w:val="en-US"/>
        </w:rPr>
        <w:t xml:space="preserve">, </w:t>
      </w:r>
      <w:r w:rsidRPr="00E15FCC">
        <w:rPr>
          <w:i/>
          <w:iCs/>
          <w:lang w:val="en-US"/>
        </w:rPr>
        <w:t>D</w:t>
      </w:r>
      <w:r w:rsidRPr="00E15FCC">
        <w:rPr>
          <w:i/>
          <w:iCs/>
          <w:vertAlign w:val="subscript"/>
          <w:lang w:val="en-US"/>
        </w:rPr>
        <w:t>S</w:t>
      </w:r>
      <w:r w:rsidRPr="00E15FCC">
        <w:rPr>
          <w:i/>
          <w:iCs/>
          <w:lang w:val="en-US"/>
        </w:rPr>
        <w:t xml:space="preserve"> </w:t>
      </w:r>
      <w:r w:rsidRPr="00E15FCC">
        <w:rPr>
          <w:lang w:val="en-US"/>
        </w:rPr>
        <w:t xml:space="preserve">, </w:t>
      </w:r>
      <w:r w:rsidRPr="00E15FCC">
        <w:rPr>
          <w:i/>
          <w:iCs/>
          <w:lang w:val="en-US"/>
        </w:rPr>
        <w:t>M</w:t>
      </w:r>
      <w:r w:rsidRPr="00E15FCC">
        <w:rPr>
          <w:i/>
          <w:iCs/>
          <w:vertAlign w:val="subscript"/>
          <w:lang w:val="en-US"/>
        </w:rPr>
        <w:t>C</w:t>
      </w:r>
      <w:r w:rsidRPr="00E15FCC">
        <w:rPr>
          <w:i/>
          <w:iCs/>
          <w:lang w:val="en-US"/>
        </w:rPr>
        <w:t xml:space="preserve"> </w:t>
      </w:r>
      <w:r w:rsidRPr="00E15FCC">
        <w:rPr>
          <w:lang w:val="en-US"/>
        </w:rPr>
        <w:t xml:space="preserve">and </w:t>
      </w:r>
      <w:r w:rsidRPr="00E15FCC">
        <w:rPr>
          <w:i/>
          <w:iCs/>
          <w:lang w:val="en-US"/>
        </w:rPr>
        <w:t>M</w:t>
      </w:r>
      <w:r w:rsidRPr="00E15FCC">
        <w:rPr>
          <w:i/>
          <w:iCs/>
          <w:vertAlign w:val="subscript"/>
          <w:lang w:val="en-US"/>
        </w:rPr>
        <w:t>M</w:t>
      </w:r>
      <w:r w:rsidRPr="00E15FCC">
        <w:rPr>
          <w:i/>
          <w:iCs/>
          <w:lang w:val="en-US"/>
        </w:rPr>
        <w:t xml:space="preserve"> </w:t>
      </w:r>
      <w:r w:rsidRPr="00E15FCC">
        <w:rPr>
          <w:lang w:val="en-US"/>
        </w:rPr>
        <w:t xml:space="preserve">for the example system and the calculated value of </w:t>
      </w:r>
      <w:r w:rsidRPr="00E15FCC">
        <w:rPr>
          <w:i/>
          <w:iCs/>
          <w:lang w:val="en-US"/>
        </w:rPr>
        <w:t>D</w:t>
      </w:r>
      <w:r w:rsidRPr="00E15FCC">
        <w:rPr>
          <w:lang w:val="en-US"/>
        </w:rPr>
        <w:t xml:space="preserve"> (equations (43) and (44)), which is the final parameter of interest to be used in equation (42).</w:t>
      </w:r>
    </w:p>
    <w:p w:rsidR="00E15FCC" w:rsidRPr="00C12926" w:rsidRDefault="00E15FCC" w:rsidP="00E15FCC">
      <w:pPr>
        <w:pStyle w:val="TableNo"/>
      </w:pPr>
      <w:r w:rsidRPr="00C12926">
        <w:t>TABLE 21</w:t>
      </w:r>
    </w:p>
    <w:p w:rsidR="00E15FCC" w:rsidRPr="00C12926" w:rsidRDefault="00E15FCC" w:rsidP="00E15FCC">
      <w:pPr>
        <w:pStyle w:val="Tabletitle"/>
      </w:pPr>
      <w:r w:rsidRPr="00C12926">
        <w:t>Degradation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928"/>
        <w:gridCol w:w="1928"/>
        <w:gridCol w:w="1928"/>
        <w:gridCol w:w="1928"/>
      </w:tblGrid>
      <w:tr w:rsidR="00E15FCC" w:rsidRPr="00F60F70">
        <w:trPr>
          <w:jc w:val="center"/>
        </w:trPr>
        <w:tc>
          <w:tcPr>
            <w:tcW w:w="1928" w:type="dxa"/>
            <w:tcBorders>
              <w:top w:val="single" w:sz="4" w:space="0" w:color="auto"/>
              <w:left w:val="single" w:sz="4" w:space="0" w:color="auto"/>
              <w:bottom w:val="single" w:sz="4" w:space="0" w:color="auto"/>
              <w:right w:val="single" w:sz="4" w:space="0" w:color="auto"/>
            </w:tcBorders>
            <w:vAlign w:val="center"/>
          </w:tcPr>
          <w:p w:rsidR="00E15FCC" w:rsidRPr="00E15FCC" w:rsidRDefault="00E15FCC" w:rsidP="00F60F70">
            <w:pPr>
              <w:pStyle w:val="Tablehead"/>
              <w:ind w:left="-57" w:right="-57"/>
              <w:rPr>
                <w:lang w:val="en-US"/>
              </w:rPr>
            </w:pPr>
            <w:r w:rsidRPr="00E15FCC">
              <w:rPr>
                <w:lang w:val="en-US"/>
              </w:rPr>
              <w:t xml:space="preserve">Calculated or desired margin, </w:t>
            </w:r>
            <w:r w:rsidRPr="00E15FCC">
              <w:rPr>
                <w:i/>
                <w:iCs/>
                <w:lang w:val="en-US"/>
              </w:rPr>
              <w:t>M</w:t>
            </w:r>
            <w:r w:rsidRPr="00E15FCC">
              <w:rPr>
                <w:i/>
                <w:iCs/>
                <w:vertAlign w:val="subscript"/>
                <w:lang w:val="en-US"/>
              </w:rPr>
              <w:t>C</w:t>
            </w:r>
            <w:r w:rsidR="00F60F70">
              <w:rPr>
                <w:i/>
                <w:iCs/>
                <w:lang w:val="en-US"/>
              </w:rPr>
              <w:br/>
            </w:r>
            <w:r w:rsidRPr="00E15FCC">
              <w:rPr>
                <w:lang w:val="en-US"/>
              </w:rPr>
              <w:t>(dB)</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F60F70" w:rsidRDefault="00E15FCC" w:rsidP="00F60F70">
            <w:pPr>
              <w:pStyle w:val="Tablehead"/>
              <w:rPr>
                <w:lang w:val="en-US"/>
              </w:rPr>
            </w:pPr>
            <w:r w:rsidRPr="00F60F70">
              <w:rPr>
                <w:lang w:val="en-US"/>
              </w:rPr>
              <w:t xml:space="preserve">Minimum margin, </w:t>
            </w:r>
            <w:r w:rsidRPr="00F60F70">
              <w:rPr>
                <w:i/>
                <w:iCs/>
                <w:lang w:val="en-US"/>
              </w:rPr>
              <w:t>M</w:t>
            </w:r>
            <w:r w:rsidRPr="00F60F70">
              <w:rPr>
                <w:i/>
                <w:iCs/>
                <w:vertAlign w:val="subscript"/>
                <w:lang w:val="en-US"/>
              </w:rPr>
              <w:t>M</w:t>
            </w:r>
            <w:r w:rsidR="00F60F70">
              <w:rPr>
                <w:lang w:val="en-US"/>
              </w:rPr>
              <w:br/>
            </w:r>
            <w:r w:rsidRPr="00F60F70">
              <w:rPr>
                <w:lang w:val="en-US"/>
              </w:rPr>
              <w:t>(dB)</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F60F70" w:rsidRDefault="00E15FCC" w:rsidP="00F60F70">
            <w:pPr>
              <w:pStyle w:val="Tablehead"/>
              <w:ind w:left="-57" w:right="-57"/>
              <w:rPr>
                <w:lang w:val="en-US"/>
              </w:rPr>
            </w:pPr>
            <w:r w:rsidRPr="00F60F70">
              <w:rPr>
                <w:lang w:val="en-US"/>
              </w:rPr>
              <w:t xml:space="preserve">Maximum degradation, </w:t>
            </w:r>
            <w:r w:rsidRPr="00F60F70">
              <w:rPr>
                <w:i/>
                <w:iCs/>
                <w:lang w:val="en-US"/>
              </w:rPr>
              <w:t>D</w:t>
            </w:r>
            <w:r w:rsidRPr="00F60F70">
              <w:rPr>
                <w:i/>
                <w:iCs/>
                <w:vertAlign w:val="subscript"/>
                <w:lang w:val="en-US"/>
              </w:rPr>
              <w:t>M</w:t>
            </w:r>
            <w:r w:rsidRPr="00F60F70">
              <w:rPr>
                <w:i/>
                <w:iCs/>
                <w:lang w:val="en-US"/>
              </w:rPr>
              <w:t xml:space="preserve"> </w:t>
            </w:r>
            <w:r w:rsidRPr="00F60F70">
              <w:rPr>
                <w:i/>
                <w:iCs/>
                <w:lang w:val="en-US"/>
              </w:rPr>
              <w:br/>
            </w:r>
            <w:r w:rsidRPr="00F60F70">
              <w:rPr>
                <w:lang w:val="en-US"/>
              </w:rPr>
              <w:t>(dB)</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F60F70" w:rsidRDefault="00E15FCC" w:rsidP="00F60F70">
            <w:pPr>
              <w:pStyle w:val="Tablehead"/>
              <w:ind w:left="-57" w:right="-57"/>
              <w:rPr>
                <w:vertAlign w:val="superscript"/>
                <w:lang w:val="en-US"/>
              </w:rPr>
            </w:pPr>
            <w:r w:rsidRPr="00F60F70">
              <w:rPr>
                <w:lang w:val="en-US"/>
              </w:rPr>
              <w:t xml:space="preserve">Estimated degradation, </w:t>
            </w:r>
            <w:r w:rsidRPr="00F60F70">
              <w:rPr>
                <w:i/>
                <w:iCs/>
                <w:lang w:val="en-US"/>
              </w:rPr>
              <w:t>D</w:t>
            </w:r>
            <w:r w:rsidRPr="00F60F70">
              <w:rPr>
                <w:i/>
                <w:iCs/>
                <w:vertAlign w:val="subscript"/>
                <w:lang w:val="en-US"/>
              </w:rPr>
              <w:t>S</w:t>
            </w:r>
            <w:r w:rsidR="00EB73B7" w:rsidRPr="00F60F70">
              <w:rPr>
                <w:vertAlign w:val="superscript"/>
                <w:lang w:val="en-US"/>
              </w:rPr>
              <w:t>(1)</w:t>
            </w:r>
            <w:r w:rsidRPr="00F60F70">
              <w:rPr>
                <w:i/>
                <w:iCs/>
                <w:lang w:val="en-US"/>
              </w:rPr>
              <w:br/>
            </w:r>
            <w:r w:rsidRPr="00F60F70">
              <w:rPr>
                <w:lang w:val="en-US"/>
              </w:rPr>
              <w:t>(dB)</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F60F70" w:rsidRDefault="00E15FCC" w:rsidP="00F60F70">
            <w:pPr>
              <w:pStyle w:val="Tablehead"/>
              <w:ind w:left="-57" w:right="-57"/>
              <w:rPr>
                <w:lang w:val="en-US"/>
              </w:rPr>
            </w:pPr>
            <w:r w:rsidRPr="00F60F70">
              <w:rPr>
                <w:lang w:val="en-US"/>
              </w:rPr>
              <w:t xml:space="preserve">Maximum degradation produced, </w:t>
            </w:r>
            <w:r w:rsidRPr="00F60F70">
              <w:rPr>
                <w:i/>
                <w:iCs/>
                <w:lang w:val="en-US"/>
              </w:rPr>
              <w:t>D</w:t>
            </w:r>
            <w:r w:rsidR="00F60F70">
              <w:rPr>
                <w:i/>
                <w:iCs/>
                <w:lang w:val="en-US"/>
              </w:rPr>
              <w:br/>
            </w:r>
            <w:r w:rsidRPr="00F60F70">
              <w:rPr>
                <w:lang w:val="en-US"/>
              </w:rPr>
              <w:t>(dB)</w:t>
            </w:r>
          </w:p>
        </w:tc>
      </w:tr>
      <w:tr w:rsidR="00E15FCC" w:rsidRPr="00C12926">
        <w:trPr>
          <w:jc w:val="center"/>
        </w:trPr>
        <w:tc>
          <w:tcPr>
            <w:tcW w:w="1928"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35.8</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30.1</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5.7</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3.0</w:t>
            </w:r>
          </w:p>
        </w:tc>
        <w:tc>
          <w:tcPr>
            <w:tcW w:w="1928"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pPr>
            <w:r w:rsidRPr="00C12926">
              <w:t>2.7</w:t>
            </w:r>
          </w:p>
        </w:tc>
      </w:tr>
      <w:tr w:rsidR="00E15FCC" w:rsidRPr="00E64C3F">
        <w:trPr>
          <w:jc w:val="center"/>
        </w:trPr>
        <w:tc>
          <w:tcPr>
            <w:tcW w:w="9639" w:type="dxa"/>
            <w:gridSpan w:val="5"/>
            <w:tcBorders>
              <w:top w:val="single" w:sz="4" w:space="0" w:color="auto"/>
              <w:left w:val="nil"/>
              <w:bottom w:val="nil"/>
              <w:right w:val="nil"/>
            </w:tcBorders>
            <w:vAlign w:val="center"/>
          </w:tcPr>
          <w:p w:rsidR="00E15FCC" w:rsidRPr="00E15FCC" w:rsidRDefault="00E15FCC" w:rsidP="00F60F70">
            <w:pPr>
              <w:pStyle w:val="Tablelegend"/>
              <w:rPr>
                <w:lang w:val="en-US"/>
              </w:rPr>
            </w:pPr>
            <w:r w:rsidRPr="00E15FCC">
              <w:rPr>
                <w:vertAlign w:val="superscript"/>
                <w:lang w:val="en-US"/>
              </w:rPr>
              <w:t>(1)</w:t>
            </w:r>
            <w:r w:rsidRPr="00E15FCC">
              <w:rPr>
                <w:lang w:val="en-US"/>
              </w:rPr>
              <w:tab/>
              <w:t xml:space="preserve">The estimated degradation </w:t>
            </w:r>
            <w:r w:rsidRPr="00E15FCC">
              <w:rPr>
                <w:i/>
                <w:iCs/>
                <w:lang w:val="en-US"/>
              </w:rPr>
              <w:t>D</w:t>
            </w:r>
            <w:r w:rsidRPr="00E15FCC">
              <w:rPr>
                <w:i/>
                <w:iCs/>
                <w:vertAlign w:val="subscript"/>
                <w:lang w:val="en-US"/>
              </w:rPr>
              <w:t>S</w:t>
            </w:r>
            <w:r w:rsidRPr="00E15FCC">
              <w:rPr>
                <w:lang w:val="en-US"/>
              </w:rPr>
              <w:t xml:space="preserve"> should be a value obtained from the concentration of the interfering systems near to the system being analysed. When such information is not available </w:t>
            </w:r>
            <w:r w:rsidRPr="00E15FCC">
              <w:rPr>
                <w:i/>
                <w:iCs/>
                <w:lang w:val="en-US"/>
              </w:rPr>
              <w:t>D</w:t>
            </w:r>
            <w:r w:rsidRPr="00E15FCC">
              <w:rPr>
                <w:i/>
                <w:iCs/>
                <w:vertAlign w:val="subscript"/>
                <w:lang w:val="en-US"/>
              </w:rPr>
              <w:t>S</w:t>
            </w:r>
            <w:r w:rsidRPr="00E15FCC">
              <w:rPr>
                <w:lang w:val="en-US"/>
              </w:rPr>
              <w:t xml:space="preserve"> = 3 dB is used.</w:t>
            </w:r>
          </w:p>
        </w:tc>
      </w:tr>
    </w:tbl>
    <w:p w:rsidR="00F60F70" w:rsidRDefault="00F60F70" w:rsidP="00F60F70">
      <w:pPr>
        <w:pStyle w:val="Tablefin"/>
      </w:pPr>
    </w:p>
    <w:p w:rsidR="00E15FCC" w:rsidRPr="00E15FCC" w:rsidRDefault="00E15FCC" w:rsidP="00E15FCC">
      <w:pPr>
        <w:rPr>
          <w:lang w:val="en-US"/>
        </w:rPr>
      </w:pPr>
      <w:r w:rsidRPr="00E15FCC">
        <w:rPr>
          <w:lang w:val="en-US"/>
        </w:rPr>
        <w:t xml:space="preserve">Using the value of </w:t>
      </w:r>
      <w:r w:rsidRPr="00E15FCC">
        <w:rPr>
          <w:i/>
          <w:iCs/>
          <w:lang w:val="en-US"/>
        </w:rPr>
        <w:t xml:space="preserve">D </w:t>
      </w:r>
      <w:r w:rsidRPr="00E15FCC">
        <w:rPr>
          <w:lang w:val="en-US"/>
        </w:rPr>
        <w:t xml:space="preserve">in equation (42), the value of </w:t>
      </w:r>
      <w:r w:rsidRPr="00E15FCC">
        <w:rPr>
          <w:i/>
          <w:iCs/>
          <w:lang w:val="en-US"/>
        </w:rPr>
        <w:t>I</w:t>
      </w:r>
      <w:r w:rsidRPr="00E15FCC">
        <w:rPr>
          <w:i/>
          <w:iCs/>
          <w:vertAlign w:val="subscript"/>
          <w:lang w:val="en-US"/>
        </w:rPr>
        <w:t>RX</w:t>
      </w:r>
      <w:r w:rsidRPr="00E15FCC">
        <w:rPr>
          <w:lang w:val="en-US"/>
        </w:rPr>
        <w:t xml:space="preserve"> can be obtained for the system.</w:t>
      </w:r>
    </w:p>
    <w:p w:rsidR="00E15FCC" w:rsidRPr="00E15FCC" w:rsidRDefault="00E15FCC" w:rsidP="00E15FCC">
      <w:pPr>
        <w:rPr>
          <w:lang w:val="en-US"/>
        </w:rPr>
      </w:pPr>
      <w:r w:rsidRPr="00E15FCC">
        <w:rPr>
          <w:lang w:val="en-US"/>
        </w:rPr>
        <w:t>In the determination of the additional diffraction attenuation</w:t>
      </w:r>
      <w:r w:rsidR="00F60F70">
        <w:rPr>
          <w:lang w:val="en-US"/>
        </w:rPr>
        <w:t>,</w:t>
      </w:r>
      <w:r w:rsidRPr="00E15FCC">
        <w:rPr>
          <w:lang w:val="en-US"/>
        </w:rPr>
        <w:t xml:space="preserve"> </w:t>
      </w:r>
      <w:r w:rsidRPr="00E15FCC">
        <w:rPr>
          <w:i/>
          <w:iCs/>
          <w:lang w:val="en-US"/>
        </w:rPr>
        <w:t>A</w:t>
      </w:r>
      <w:r w:rsidRPr="00E15FCC">
        <w:rPr>
          <w:i/>
          <w:iCs/>
          <w:vertAlign w:val="subscript"/>
          <w:lang w:val="en-US"/>
        </w:rPr>
        <w:t>D</w:t>
      </w:r>
      <w:r w:rsidRPr="00E15FCC">
        <w:rPr>
          <w:lang w:val="en-US"/>
        </w:rPr>
        <w:t xml:space="preserve">, which is necessary for the calculation of the total attenuation, the value of –2 for the relation </w:t>
      </w:r>
      <w:r w:rsidRPr="00E15FCC">
        <w:rPr>
          <w:i/>
          <w:iCs/>
          <w:lang w:val="en-US"/>
        </w:rPr>
        <w:t>h</w:t>
      </w:r>
      <w:r w:rsidRPr="00E15FCC">
        <w:rPr>
          <w:lang w:val="en-US"/>
        </w:rPr>
        <w:t>/</w:t>
      </w:r>
      <w:r w:rsidRPr="00E15FCC">
        <w:rPr>
          <w:i/>
          <w:iCs/>
          <w:lang w:val="en-US"/>
        </w:rPr>
        <w:t>F</w:t>
      </w:r>
      <w:r w:rsidRPr="00E15FCC">
        <w:rPr>
          <w:iCs/>
          <w:vertAlign w:val="subscript"/>
          <w:lang w:val="en-US"/>
        </w:rPr>
        <w:t>1</w:t>
      </w:r>
      <w:r w:rsidRPr="00E15FCC">
        <w:rPr>
          <w:lang w:val="en-US"/>
        </w:rPr>
        <w:t xml:space="preserve"> in equation (40) has been arbitrarily chosen. This value was established considering the presence of the Earth curvature and the generation of additional diffraction attenuation compatible with practical observations. This affirmative can be verified observing the obtained sector radius shown on Table 22, which are consistent with the interference limit values used for these radio-frequency bands.</w:t>
      </w:r>
    </w:p>
    <w:p w:rsidR="00E15FCC" w:rsidRPr="00E15FCC" w:rsidRDefault="00E15FCC" w:rsidP="00E15FCC">
      <w:pPr>
        <w:rPr>
          <w:lang w:val="en-US"/>
        </w:rPr>
      </w:pPr>
      <w:r w:rsidRPr="00E15FCC">
        <w:rPr>
          <w:lang w:val="en-US"/>
        </w:rPr>
        <w:t xml:space="preserve">Once </w:t>
      </w:r>
      <w:r w:rsidRPr="00E15FCC">
        <w:rPr>
          <w:i/>
          <w:iCs/>
          <w:lang w:val="en-US"/>
        </w:rPr>
        <w:t>I</w:t>
      </w:r>
      <w:r w:rsidRPr="00E15FCC">
        <w:rPr>
          <w:i/>
          <w:iCs/>
          <w:vertAlign w:val="subscript"/>
          <w:lang w:val="en-US"/>
        </w:rPr>
        <w:t>RX</w:t>
      </w:r>
      <w:r w:rsidRPr="00E15FCC">
        <w:rPr>
          <w:i/>
          <w:iCs/>
          <w:lang w:val="en-US"/>
        </w:rPr>
        <w:t xml:space="preserve"> </w:t>
      </w:r>
      <w:r w:rsidRPr="00E15FCC">
        <w:rPr>
          <w:lang w:val="en-US"/>
        </w:rPr>
        <w:t xml:space="preserve">and </w:t>
      </w:r>
      <w:r w:rsidRPr="00E15FCC">
        <w:rPr>
          <w:i/>
          <w:iCs/>
          <w:lang w:val="en-US"/>
        </w:rPr>
        <w:t>A</w:t>
      </w:r>
      <w:r w:rsidRPr="00E15FCC">
        <w:rPr>
          <w:i/>
          <w:iCs/>
          <w:vertAlign w:val="subscript"/>
          <w:lang w:val="en-US"/>
        </w:rPr>
        <w:t>D</w:t>
      </w:r>
      <w:r w:rsidRPr="00E15FCC">
        <w:rPr>
          <w:i/>
          <w:iCs/>
          <w:lang w:val="en-US"/>
        </w:rPr>
        <w:t xml:space="preserve"> </w:t>
      </w:r>
      <w:r w:rsidRPr="00E15FCC">
        <w:rPr>
          <w:lang w:val="en-US"/>
        </w:rPr>
        <w:t>have been determined, the radius</w:t>
      </w:r>
      <w:r w:rsidR="00F60F70">
        <w:rPr>
          <w:lang w:val="en-US"/>
        </w:rPr>
        <w:t>,</w:t>
      </w:r>
      <w:r w:rsidRPr="00E15FCC">
        <w:rPr>
          <w:lang w:val="en-US"/>
        </w:rPr>
        <w:t xml:space="preserve"> </w:t>
      </w:r>
      <w:r w:rsidRPr="00E15FCC">
        <w:rPr>
          <w:i/>
          <w:iCs/>
          <w:lang w:val="en-US"/>
        </w:rPr>
        <w:t>R</w:t>
      </w:r>
      <w:r w:rsidR="00F60F70">
        <w:rPr>
          <w:lang w:val="en-US"/>
        </w:rPr>
        <w:t>,</w:t>
      </w:r>
      <w:r w:rsidRPr="00E15FCC">
        <w:rPr>
          <w:lang w:val="en-US"/>
        </w:rPr>
        <w:t xml:space="preserve"> can be calculated with equation (38).</w:t>
      </w:r>
    </w:p>
    <w:p w:rsidR="00E15FCC" w:rsidRPr="00E15FCC" w:rsidRDefault="00E15FCC" w:rsidP="00E15FCC">
      <w:pPr>
        <w:rPr>
          <w:lang w:val="en-US"/>
        </w:rPr>
      </w:pPr>
      <w:r w:rsidRPr="00E15FCC">
        <w:rPr>
          <w:lang w:val="en-US"/>
        </w:rPr>
        <w:t>At this point, the denied sector area can be calculated. Tables 22 to 23 present the relevant parameters.</w:t>
      </w:r>
    </w:p>
    <w:p w:rsidR="00E15FCC" w:rsidRPr="00E15FCC" w:rsidRDefault="00E15FCC" w:rsidP="00E15FCC">
      <w:pPr>
        <w:pStyle w:val="TableNo"/>
        <w:rPr>
          <w:lang w:val="en-US"/>
        </w:rPr>
      </w:pPr>
      <w:r w:rsidRPr="00E15FCC">
        <w:rPr>
          <w:lang w:val="en-US"/>
        </w:rPr>
        <w:t>TABLE 22</w:t>
      </w:r>
    </w:p>
    <w:p w:rsidR="00E15FCC" w:rsidRPr="00E15FCC" w:rsidRDefault="00E15FCC" w:rsidP="00E15FCC">
      <w:pPr>
        <w:pStyle w:val="Tabletitle"/>
        <w:rPr>
          <w:lang w:val="en-US"/>
        </w:rPr>
      </w:pPr>
      <w:r w:rsidRPr="00E15FCC">
        <w:rPr>
          <w:lang w:val="en-US"/>
        </w:rPr>
        <w:t>Interference parameters and sectors radius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57" w:type="dxa"/>
        </w:tblCellMar>
        <w:tblLook w:val="0000" w:firstRow="0" w:lastRow="0" w:firstColumn="0" w:lastColumn="0" w:noHBand="0" w:noVBand="0"/>
      </w:tblPr>
      <w:tblGrid>
        <w:gridCol w:w="1418"/>
        <w:gridCol w:w="1418"/>
        <w:gridCol w:w="1361"/>
        <w:gridCol w:w="1361"/>
        <w:gridCol w:w="1361"/>
        <w:gridCol w:w="1361"/>
        <w:gridCol w:w="1361"/>
      </w:tblGrid>
      <w:tr w:rsidR="005515B9" w:rsidRPr="00F60F70">
        <w:trPr>
          <w:cantSplit/>
          <w:trHeight w:val="412"/>
          <w:jc w:val="center"/>
        </w:trPr>
        <w:tc>
          <w:tcPr>
            <w:tcW w:w="1418" w:type="dxa"/>
            <w:vMerge w:val="restart"/>
            <w:vAlign w:val="center"/>
          </w:tcPr>
          <w:p w:rsidR="005515B9" w:rsidRPr="00F60F70" w:rsidRDefault="005515B9" w:rsidP="005515B9">
            <w:pPr>
              <w:pStyle w:val="Tablehead"/>
              <w:rPr>
                <w:sz w:val="20"/>
                <w:lang w:val="en-US"/>
              </w:rPr>
            </w:pPr>
            <w:r w:rsidRPr="00F60F70">
              <w:rPr>
                <w:i/>
                <w:iCs/>
                <w:lang w:val="en-US"/>
              </w:rPr>
              <w:t>I</w:t>
            </w:r>
            <w:r w:rsidRPr="00F60F70">
              <w:rPr>
                <w:i/>
                <w:iCs/>
                <w:vertAlign w:val="subscript"/>
                <w:lang w:val="en-US"/>
              </w:rPr>
              <w:t>RX</w:t>
            </w:r>
            <w:r w:rsidRPr="00F60F70">
              <w:rPr>
                <w:lang w:val="en-US"/>
              </w:rPr>
              <w:t xml:space="preserve"> </w:t>
            </w:r>
            <w:r w:rsidRPr="00F60F70">
              <w:rPr>
                <w:lang w:val="en-US"/>
              </w:rPr>
              <w:br/>
              <w:t>(dBm)</w:t>
            </w:r>
          </w:p>
        </w:tc>
        <w:tc>
          <w:tcPr>
            <w:tcW w:w="2779" w:type="dxa"/>
            <w:gridSpan w:val="2"/>
            <w:vAlign w:val="center"/>
          </w:tcPr>
          <w:p w:rsidR="005515B9" w:rsidRPr="00F60F70" w:rsidRDefault="005515B9" w:rsidP="00E15FCC">
            <w:pPr>
              <w:pStyle w:val="Tablehead"/>
              <w:rPr>
                <w:i/>
                <w:iCs/>
                <w:lang w:val="en-US"/>
              </w:rPr>
            </w:pPr>
            <w:r w:rsidRPr="00F60F70">
              <w:rPr>
                <w:lang w:val="en-US"/>
              </w:rPr>
              <w:t xml:space="preserve">Beamwidth </w:t>
            </w:r>
            <w:r w:rsidRPr="00C12926">
              <w:rPr>
                <w:iCs/>
              </w:rPr>
              <w:sym w:font="Symbol" w:char="F071"/>
            </w:r>
            <w:r w:rsidRPr="00F60F70">
              <w:rPr>
                <w:vertAlign w:val="subscript"/>
                <w:lang w:val="en-US"/>
              </w:rPr>
              <w:t>1</w:t>
            </w:r>
          </w:p>
        </w:tc>
        <w:tc>
          <w:tcPr>
            <w:tcW w:w="2722" w:type="dxa"/>
            <w:gridSpan w:val="2"/>
            <w:vAlign w:val="center"/>
          </w:tcPr>
          <w:p w:rsidR="005515B9" w:rsidRPr="00F60F70" w:rsidRDefault="005515B9" w:rsidP="00E15FCC">
            <w:pPr>
              <w:pStyle w:val="Tablehead"/>
              <w:rPr>
                <w:i/>
                <w:iCs/>
                <w:lang w:val="en-US"/>
              </w:rPr>
            </w:pPr>
            <w:r w:rsidRPr="00F60F70">
              <w:rPr>
                <w:lang w:val="en-US"/>
              </w:rPr>
              <w:t xml:space="preserve">Beamwidth </w:t>
            </w:r>
            <w:r w:rsidRPr="00C12926">
              <w:rPr>
                <w:iCs/>
              </w:rPr>
              <w:sym w:font="Symbol" w:char="F071"/>
            </w:r>
            <w:r w:rsidRPr="00F60F70">
              <w:rPr>
                <w:vertAlign w:val="subscript"/>
                <w:lang w:val="en-US"/>
              </w:rPr>
              <w:t>2</w:t>
            </w:r>
          </w:p>
        </w:tc>
        <w:tc>
          <w:tcPr>
            <w:tcW w:w="2722" w:type="dxa"/>
            <w:gridSpan w:val="2"/>
            <w:vAlign w:val="center"/>
          </w:tcPr>
          <w:p w:rsidR="005515B9" w:rsidRPr="00F60F70" w:rsidRDefault="005515B9" w:rsidP="00E15FCC">
            <w:pPr>
              <w:pStyle w:val="Tablehead"/>
              <w:rPr>
                <w:i/>
                <w:iCs/>
                <w:lang w:val="en-US"/>
              </w:rPr>
            </w:pPr>
            <w:r w:rsidRPr="00F60F70">
              <w:rPr>
                <w:lang w:val="en-US"/>
              </w:rPr>
              <w:t xml:space="preserve">Beamwidth </w:t>
            </w:r>
            <w:r w:rsidRPr="00C12926">
              <w:rPr>
                <w:iCs/>
              </w:rPr>
              <w:sym w:font="Symbol" w:char="F071"/>
            </w:r>
            <w:r w:rsidRPr="00F60F70">
              <w:rPr>
                <w:vertAlign w:val="subscript"/>
                <w:lang w:val="en-US"/>
              </w:rPr>
              <w:t>3</w:t>
            </w:r>
          </w:p>
        </w:tc>
      </w:tr>
      <w:tr w:rsidR="005515B9" w:rsidRPr="00F60F70">
        <w:trPr>
          <w:cantSplit/>
          <w:trHeight w:val="412"/>
          <w:jc w:val="center"/>
        </w:trPr>
        <w:tc>
          <w:tcPr>
            <w:tcW w:w="1418" w:type="dxa"/>
            <w:vMerge/>
            <w:vAlign w:val="center"/>
          </w:tcPr>
          <w:p w:rsidR="005515B9" w:rsidRPr="00F60F70" w:rsidRDefault="005515B9" w:rsidP="00E15FCC">
            <w:pPr>
              <w:spacing w:before="0"/>
              <w:jc w:val="center"/>
              <w:rPr>
                <w:sz w:val="20"/>
                <w:lang w:val="en-US"/>
              </w:rPr>
            </w:pPr>
          </w:p>
        </w:tc>
        <w:tc>
          <w:tcPr>
            <w:tcW w:w="1418" w:type="dxa"/>
            <w:vAlign w:val="center"/>
          </w:tcPr>
          <w:p w:rsidR="005515B9" w:rsidRPr="00F60F70" w:rsidRDefault="005515B9" w:rsidP="00E15FCC">
            <w:pPr>
              <w:pStyle w:val="Tablehead"/>
              <w:rPr>
                <w:lang w:val="en-US"/>
              </w:rPr>
            </w:pPr>
            <w:r w:rsidRPr="00F60F70">
              <w:rPr>
                <w:i/>
                <w:iCs/>
                <w:lang w:val="en-US"/>
              </w:rPr>
              <w:t>A</w:t>
            </w:r>
            <w:r w:rsidRPr="00F60F70">
              <w:rPr>
                <w:iCs/>
                <w:vertAlign w:val="subscript"/>
                <w:lang w:val="en-US"/>
              </w:rPr>
              <w:t>1</w:t>
            </w:r>
            <w:r w:rsidRPr="00F60F70">
              <w:rPr>
                <w:lang w:val="en-US"/>
              </w:rPr>
              <w:t xml:space="preserve"> (dBm)</w:t>
            </w:r>
          </w:p>
        </w:tc>
        <w:tc>
          <w:tcPr>
            <w:tcW w:w="1361" w:type="dxa"/>
            <w:vAlign w:val="center"/>
          </w:tcPr>
          <w:p w:rsidR="005515B9" w:rsidRPr="00F60F70" w:rsidRDefault="005515B9" w:rsidP="00E15FCC">
            <w:pPr>
              <w:pStyle w:val="Tablehead"/>
              <w:rPr>
                <w:lang w:val="en-US"/>
              </w:rPr>
            </w:pPr>
            <w:r w:rsidRPr="00F60F70">
              <w:rPr>
                <w:i/>
                <w:iCs/>
                <w:lang w:val="en-US"/>
              </w:rPr>
              <w:t>R</w:t>
            </w:r>
            <w:r w:rsidRPr="00F60F70">
              <w:rPr>
                <w:iCs/>
                <w:vertAlign w:val="subscript"/>
                <w:lang w:val="en-US"/>
              </w:rPr>
              <w:t>1</w:t>
            </w:r>
            <w:r w:rsidRPr="00F60F70">
              <w:rPr>
                <w:lang w:val="en-US"/>
              </w:rPr>
              <w:t xml:space="preserve"> (km)</w:t>
            </w:r>
          </w:p>
        </w:tc>
        <w:tc>
          <w:tcPr>
            <w:tcW w:w="1361" w:type="dxa"/>
            <w:vAlign w:val="center"/>
          </w:tcPr>
          <w:p w:rsidR="005515B9" w:rsidRPr="00F60F70" w:rsidRDefault="005515B9" w:rsidP="00E15FCC">
            <w:pPr>
              <w:pStyle w:val="Tablehead"/>
              <w:rPr>
                <w:lang w:val="en-US"/>
              </w:rPr>
            </w:pPr>
            <w:r w:rsidRPr="00F60F70">
              <w:rPr>
                <w:i/>
                <w:iCs/>
                <w:lang w:val="en-US"/>
              </w:rPr>
              <w:t>A</w:t>
            </w:r>
            <w:r w:rsidRPr="00F60F70">
              <w:rPr>
                <w:iCs/>
                <w:vertAlign w:val="subscript"/>
                <w:lang w:val="en-US"/>
              </w:rPr>
              <w:t>2</w:t>
            </w:r>
            <w:r w:rsidRPr="00F60F70">
              <w:rPr>
                <w:lang w:val="en-US"/>
              </w:rPr>
              <w:t xml:space="preserve"> (dBm)</w:t>
            </w:r>
          </w:p>
        </w:tc>
        <w:tc>
          <w:tcPr>
            <w:tcW w:w="1361" w:type="dxa"/>
            <w:vAlign w:val="center"/>
          </w:tcPr>
          <w:p w:rsidR="005515B9" w:rsidRPr="00F60F70" w:rsidRDefault="005515B9" w:rsidP="00E15FCC">
            <w:pPr>
              <w:pStyle w:val="Tablehead"/>
              <w:rPr>
                <w:lang w:val="en-US"/>
              </w:rPr>
            </w:pPr>
            <w:r w:rsidRPr="00F60F70">
              <w:rPr>
                <w:i/>
                <w:iCs/>
                <w:lang w:val="en-US"/>
              </w:rPr>
              <w:t>R</w:t>
            </w:r>
            <w:r w:rsidRPr="00F60F70">
              <w:rPr>
                <w:iCs/>
                <w:vertAlign w:val="subscript"/>
                <w:lang w:val="en-US"/>
              </w:rPr>
              <w:t>2</w:t>
            </w:r>
            <w:r w:rsidRPr="00F60F70">
              <w:rPr>
                <w:lang w:val="en-US"/>
              </w:rPr>
              <w:t xml:space="preserve"> (km)</w:t>
            </w:r>
          </w:p>
        </w:tc>
        <w:tc>
          <w:tcPr>
            <w:tcW w:w="1361" w:type="dxa"/>
            <w:vAlign w:val="center"/>
          </w:tcPr>
          <w:p w:rsidR="005515B9" w:rsidRPr="00F60F70" w:rsidRDefault="005515B9" w:rsidP="00E15FCC">
            <w:pPr>
              <w:pStyle w:val="Tablehead"/>
              <w:rPr>
                <w:lang w:val="en-US"/>
              </w:rPr>
            </w:pPr>
            <w:r w:rsidRPr="00F60F70">
              <w:rPr>
                <w:i/>
                <w:iCs/>
                <w:lang w:val="en-US"/>
              </w:rPr>
              <w:t>A</w:t>
            </w:r>
            <w:r w:rsidRPr="00F60F70">
              <w:rPr>
                <w:iCs/>
                <w:vertAlign w:val="subscript"/>
                <w:lang w:val="en-US"/>
              </w:rPr>
              <w:t>3</w:t>
            </w:r>
            <w:r w:rsidRPr="00F60F70">
              <w:rPr>
                <w:i/>
                <w:iCs/>
                <w:lang w:val="en-US"/>
              </w:rPr>
              <w:t xml:space="preserve"> </w:t>
            </w:r>
            <w:r w:rsidRPr="00F60F70">
              <w:rPr>
                <w:lang w:val="en-US"/>
              </w:rPr>
              <w:t>(dBm)</w:t>
            </w:r>
          </w:p>
        </w:tc>
        <w:tc>
          <w:tcPr>
            <w:tcW w:w="1361" w:type="dxa"/>
            <w:vAlign w:val="center"/>
          </w:tcPr>
          <w:p w:rsidR="005515B9" w:rsidRPr="00F60F70" w:rsidRDefault="005515B9" w:rsidP="00E15FCC">
            <w:pPr>
              <w:pStyle w:val="Tablehead"/>
              <w:rPr>
                <w:lang w:val="en-US"/>
              </w:rPr>
            </w:pPr>
            <w:r w:rsidRPr="00F60F70">
              <w:rPr>
                <w:i/>
                <w:iCs/>
                <w:lang w:val="en-US"/>
              </w:rPr>
              <w:t>R</w:t>
            </w:r>
            <w:r w:rsidRPr="00F60F70">
              <w:rPr>
                <w:iCs/>
                <w:vertAlign w:val="subscript"/>
                <w:lang w:val="en-US"/>
              </w:rPr>
              <w:t>3</w:t>
            </w:r>
            <w:r w:rsidRPr="00F60F70">
              <w:rPr>
                <w:lang w:val="en-US"/>
              </w:rPr>
              <w:t xml:space="preserve"> (km)</w:t>
            </w:r>
          </w:p>
        </w:tc>
      </w:tr>
      <w:tr w:rsidR="00E15FCC" w:rsidRPr="00C12926">
        <w:trPr>
          <w:cantSplit/>
          <w:jc w:val="center"/>
        </w:trPr>
        <w:tc>
          <w:tcPr>
            <w:tcW w:w="1418" w:type="dxa"/>
            <w:vAlign w:val="center"/>
          </w:tcPr>
          <w:p w:rsidR="00E15FCC" w:rsidRPr="00F60F70" w:rsidRDefault="00E15FCC" w:rsidP="00E15FCC">
            <w:pPr>
              <w:pStyle w:val="Tabletext"/>
              <w:jc w:val="center"/>
              <w:rPr>
                <w:lang w:val="en-US"/>
              </w:rPr>
            </w:pPr>
            <w:r w:rsidRPr="00F60F70">
              <w:rPr>
                <w:lang w:val="en-US"/>
              </w:rPr>
              <w:t>–105.6</w:t>
            </w:r>
          </w:p>
        </w:tc>
        <w:tc>
          <w:tcPr>
            <w:tcW w:w="1418" w:type="dxa"/>
            <w:vAlign w:val="center"/>
          </w:tcPr>
          <w:p w:rsidR="00E15FCC" w:rsidRPr="00F60F70" w:rsidRDefault="00E15FCC" w:rsidP="00E15FCC">
            <w:pPr>
              <w:pStyle w:val="Tabletext"/>
              <w:jc w:val="center"/>
              <w:rPr>
                <w:lang w:val="en-US"/>
              </w:rPr>
            </w:pPr>
            <w:r w:rsidRPr="00F60F70">
              <w:rPr>
                <w:lang w:val="en-US"/>
              </w:rPr>
              <w:t>12.0</w:t>
            </w:r>
          </w:p>
        </w:tc>
        <w:tc>
          <w:tcPr>
            <w:tcW w:w="1361" w:type="dxa"/>
            <w:vAlign w:val="center"/>
          </w:tcPr>
          <w:p w:rsidR="00E15FCC" w:rsidRPr="00F60F70" w:rsidRDefault="00E15FCC" w:rsidP="00E15FCC">
            <w:pPr>
              <w:pStyle w:val="Tabletext"/>
              <w:jc w:val="center"/>
              <w:rPr>
                <w:lang w:val="en-US"/>
              </w:rPr>
            </w:pPr>
            <w:r w:rsidRPr="00F60F70">
              <w:rPr>
                <w:lang w:val="en-US"/>
              </w:rPr>
              <w:t>4.0</w:t>
            </w:r>
          </w:p>
        </w:tc>
        <w:tc>
          <w:tcPr>
            <w:tcW w:w="1361" w:type="dxa"/>
            <w:vAlign w:val="center"/>
          </w:tcPr>
          <w:p w:rsidR="00E15FCC" w:rsidRPr="00F60F70" w:rsidRDefault="00E15FCC" w:rsidP="00E15FCC">
            <w:pPr>
              <w:pStyle w:val="Tabletext"/>
              <w:jc w:val="center"/>
              <w:rPr>
                <w:lang w:val="en-US"/>
              </w:rPr>
            </w:pPr>
            <w:r w:rsidRPr="00F60F70">
              <w:rPr>
                <w:lang w:val="en-US"/>
              </w:rPr>
              <w:t>34.0</w:t>
            </w:r>
          </w:p>
        </w:tc>
        <w:tc>
          <w:tcPr>
            <w:tcW w:w="1361" w:type="dxa"/>
            <w:vAlign w:val="center"/>
          </w:tcPr>
          <w:p w:rsidR="00E15FCC" w:rsidRPr="00F60F70" w:rsidRDefault="00E15FCC" w:rsidP="00E15FCC">
            <w:pPr>
              <w:pStyle w:val="Tabletext"/>
              <w:jc w:val="center"/>
              <w:rPr>
                <w:lang w:val="en-US"/>
              </w:rPr>
            </w:pPr>
            <w:r w:rsidRPr="00F60F70">
              <w:rPr>
                <w:lang w:val="en-US"/>
              </w:rPr>
              <w:t>49.9</w:t>
            </w:r>
          </w:p>
        </w:tc>
        <w:tc>
          <w:tcPr>
            <w:tcW w:w="1361" w:type="dxa"/>
            <w:vAlign w:val="center"/>
          </w:tcPr>
          <w:p w:rsidR="00E15FCC" w:rsidRPr="00F60F70" w:rsidRDefault="00E15FCC" w:rsidP="00E15FCC">
            <w:pPr>
              <w:pStyle w:val="Tabletext"/>
              <w:jc w:val="center"/>
              <w:rPr>
                <w:lang w:val="en-US"/>
              </w:rPr>
            </w:pPr>
            <w:r w:rsidRPr="00F60F70">
              <w:rPr>
                <w:lang w:val="en-US"/>
              </w:rPr>
              <w:t>12.0</w:t>
            </w:r>
          </w:p>
        </w:tc>
        <w:tc>
          <w:tcPr>
            <w:tcW w:w="1361" w:type="dxa"/>
            <w:vAlign w:val="center"/>
          </w:tcPr>
          <w:p w:rsidR="00E15FCC" w:rsidRPr="00C12926" w:rsidRDefault="00E15FCC" w:rsidP="00E15FCC">
            <w:pPr>
              <w:pStyle w:val="Tabletext"/>
              <w:jc w:val="center"/>
            </w:pPr>
            <w:r w:rsidRPr="00F60F70">
              <w:rPr>
                <w:lang w:val="en-US"/>
              </w:rPr>
              <w:t>4.</w:t>
            </w:r>
            <w:r w:rsidRPr="00C12926">
              <w:t>0</w:t>
            </w:r>
          </w:p>
        </w:tc>
      </w:tr>
    </w:tbl>
    <w:p w:rsidR="00F60F70" w:rsidRDefault="00F60F70" w:rsidP="00F60F70">
      <w:pPr>
        <w:pStyle w:val="Tablefin"/>
      </w:pPr>
    </w:p>
    <w:p w:rsidR="00E15FCC" w:rsidRPr="00F60F70" w:rsidRDefault="00E15FCC" w:rsidP="00E15FCC">
      <w:pPr>
        <w:pStyle w:val="TableNo"/>
        <w:rPr>
          <w:lang w:val="en-US"/>
        </w:rPr>
      </w:pPr>
      <w:r w:rsidRPr="00F60F70">
        <w:rPr>
          <w:lang w:val="en-US"/>
        </w:rPr>
        <w:lastRenderedPageBreak/>
        <w:t>TABLE 23</w:t>
      </w:r>
    </w:p>
    <w:p w:rsidR="00E15FCC" w:rsidRPr="00E15FCC" w:rsidRDefault="00E15FCC" w:rsidP="00E15FCC">
      <w:pPr>
        <w:pStyle w:val="Tabletitle"/>
        <w:rPr>
          <w:lang w:val="en-US"/>
        </w:rPr>
      </w:pPr>
      <w:r w:rsidRPr="00E15FCC">
        <w:rPr>
          <w:lang w:val="en-US"/>
        </w:rPr>
        <w:t>Sector areas and denied geometric space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2126"/>
        <w:gridCol w:w="3260"/>
      </w:tblGrid>
      <w:tr w:rsidR="00E15FCC" w:rsidRPr="00E64C3F">
        <w:trPr>
          <w:cantSplit/>
          <w:trHeight w:val="398"/>
          <w:jc w:val="center"/>
        </w:trPr>
        <w:tc>
          <w:tcPr>
            <w:tcW w:w="2126" w:type="dxa"/>
            <w:vAlign w:val="center"/>
          </w:tcPr>
          <w:p w:rsidR="00E15FCC" w:rsidRPr="00C12926" w:rsidRDefault="00E15FCC" w:rsidP="00E15FCC">
            <w:pPr>
              <w:pStyle w:val="Tablehead"/>
            </w:pPr>
            <w:r w:rsidRPr="00C12926">
              <w:t xml:space="preserve">Beamwidth </w:t>
            </w:r>
            <w:r w:rsidRPr="00C12926">
              <w:rPr>
                <w:iCs/>
              </w:rPr>
              <w:sym w:font="Symbol" w:char="F071"/>
            </w:r>
            <w:r w:rsidRPr="00C12926">
              <w:rPr>
                <w:vertAlign w:val="subscript"/>
              </w:rPr>
              <w:t>1</w:t>
            </w:r>
          </w:p>
        </w:tc>
        <w:tc>
          <w:tcPr>
            <w:tcW w:w="2126" w:type="dxa"/>
            <w:vAlign w:val="center"/>
          </w:tcPr>
          <w:p w:rsidR="00E15FCC" w:rsidRPr="00C12926" w:rsidRDefault="00E15FCC" w:rsidP="00E15FCC">
            <w:pPr>
              <w:pStyle w:val="Tablehead"/>
              <w:rPr>
                <w:vertAlign w:val="superscript"/>
              </w:rPr>
            </w:pPr>
            <w:r w:rsidRPr="00C12926">
              <w:t xml:space="preserve">Beamwidth </w:t>
            </w:r>
            <w:r w:rsidRPr="00C12926">
              <w:rPr>
                <w:iCs/>
              </w:rPr>
              <w:sym w:font="Symbol" w:char="F071"/>
            </w:r>
            <w:r w:rsidRPr="00C12926">
              <w:rPr>
                <w:vertAlign w:val="subscript"/>
              </w:rPr>
              <w:t>2</w:t>
            </w:r>
          </w:p>
        </w:tc>
        <w:tc>
          <w:tcPr>
            <w:tcW w:w="2126" w:type="dxa"/>
            <w:vAlign w:val="center"/>
          </w:tcPr>
          <w:p w:rsidR="00E15FCC" w:rsidRPr="00C12926" w:rsidRDefault="00E15FCC" w:rsidP="00E15FCC">
            <w:pPr>
              <w:pStyle w:val="Tablehead"/>
            </w:pPr>
            <w:r w:rsidRPr="00C12926">
              <w:t xml:space="preserve">Beamwidth </w:t>
            </w:r>
            <w:r w:rsidRPr="00C12926">
              <w:rPr>
                <w:iCs/>
              </w:rPr>
              <w:sym w:font="Symbol" w:char="F071"/>
            </w:r>
            <w:r w:rsidRPr="00C12926">
              <w:rPr>
                <w:vertAlign w:val="subscript"/>
              </w:rPr>
              <w:t>3</w:t>
            </w:r>
          </w:p>
        </w:tc>
        <w:tc>
          <w:tcPr>
            <w:tcW w:w="3260" w:type="dxa"/>
            <w:vAlign w:val="center"/>
          </w:tcPr>
          <w:p w:rsidR="00E15FCC" w:rsidRPr="00E15FCC" w:rsidRDefault="00E15FCC" w:rsidP="00E15FCC">
            <w:pPr>
              <w:pStyle w:val="Tablehead"/>
              <w:rPr>
                <w:lang w:val="en-US"/>
              </w:rPr>
            </w:pPr>
            <w:r w:rsidRPr="00E15FCC">
              <w:rPr>
                <w:lang w:val="en-US"/>
              </w:rPr>
              <w:t>Denied geometric space</w:t>
            </w:r>
            <w:r w:rsidR="00EB73B7">
              <w:rPr>
                <w:lang w:val="en-US"/>
              </w:rPr>
              <w:t xml:space="preserve">, </w:t>
            </w:r>
            <w:r w:rsidRPr="00E15FCC">
              <w:rPr>
                <w:i/>
                <w:iCs/>
                <w:lang w:val="en-US"/>
              </w:rPr>
              <w:t>S</w:t>
            </w:r>
            <w:r w:rsidRPr="00E15FCC">
              <w:rPr>
                <w:lang w:val="en-US"/>
              </w:rPr>
              <w:br/>
              <w:t>(km</w:t>
            </w:r>
            <w:r w:rsidRPr="00E15FCC">
              <w:rPr>
                <w:vertAlign w:val="superscript"/>
                <w:lang w:val="en-US"/>
              </w:rPr>
              <w:t>2</w:t>
            </w:r>
            <w:r w:rsidRPr="00E15FCC">
              <w:rPr>
                <w:lang w:val="en-US"/>
              </w:rPr>
              <w:t>)</w:t>
            </w:r>
          </w:p>
        </w:tc>
      </w:tr>
      <w:tr w:rsidR="00E15FCC" w:rsidRPr="00C12926">
        <w:trPr>
          <w:cantSplit/>
          <w:trHeight w:val="399"/>
          <w:jc w:val="center"/>
        </w:trPr>
        <w:tc>
          <w:tcPr>
            <w:tcW w:w="2126" w:type="dxa"/>
            <w:vAlign w:val="center"/>
          </w:tcPr>
          <w:p w:rsidR="00E15FCC" w:rsidRPr="00C12926" w:rsidRDefault="00E15FCC" w:rsidP="00E15FCC">
            <w:pPr>
              <w:pStyle w:val="Tablehead"/>
              <w:rPr>
                <w:i/>
                <w:iCs/>
              </w:rPr>
            </w:pPr>
            <w:r w:rsidRPr="00C12926">
              <w:rPr>
                <w:i/>
                <w:iCs/>
              </w:rPr>
              <w:t>A</w:t>
            </w:r>
            <w:r w:rsidRPr="00C12926">
              <w:rPr>
                <w:i/>
                <w:iCs/>
                <w:vertAlign w:val="subscript"/>
              </w:rPr>
              <w:t>S</w:t>
            </w:r>
            <w:r w:rsidRPr="00C12926">
              <w:rPr>
                <w:iCs/>
                <w:vertAlign w:val="subscript"/>
              </w:rPr>
              <w:t xml:space="preserve">1 </w:t>
            </w:r>
            <w:r w:rsidRPr="00C12926">
              <w:t>(km</w:t>
            </w:r>
            <w:r w:rsidRPr="00C12926">
              <w:rPr>
                <w:vertAlign w:val="superscript"/>
              </w:rPr>
              <w:t>2</w:t>
            </w:r>
            <w:r w:rsidRPr="00C12926">
              <w:t>)</w:t>
            </w:r>
          </w:p>
        </w:tc>
        <w:tc>
          <w:tcPr>
            <w:tcW w:w="2126" w:type="dxa"/>
            <w:vAlign w:val="center"/>
          </w:tcPr>
          <w:p w:rsidR="00E15FCC" w:rsidRPr="00C12926" w:rsidRDefault="00E15FCC" w:rsidP="00E15FCC">
            <w:pPr>
              <w:pStyle w:val="Tablehead"/>
              <w:rPr>
                <w:i/>
                <w:iCs/>
              </w:rPr>
            </w:pPr>
            <w:r w:rsidRPr="00C12926">
              <w:rPr>
                <w:i/>
                <w:iCs/>
              </w:rPr>
              <w:t>A</w:t>
            </w:r>
            <w:r w:rsidRPr="00C12926">
              <w:rPr>
                <w:i/>
                <w:iCs/>
                <w:vertAlign w:val="subscript"/>
              </w:rPr>
              <w:t>S</w:t>
            </w:r>
            <w:r w:rsidRPr="00C12926">
              <w:rPr>
                <w:iCs/>
                <w:vertAlign w:val="subscript"/>
              </w:rPr>
              <w:t xml:space="preserve">2 </w:t>
            </w:r>
            <w:r w:rsidRPr="00C12926">
              <w:t>(km</w:t>
            </w:r>
            <w:r w:rsidRPr="00C12926">
              <w:rPr>
                <w:vertAlign w:val="superscript"/>
              </w:rPr>
              <w:t>2</w:t>
            </w:r>
            <w:r w:rsidRPr="00C12926">
              <w:t>)</w:t>
            </w:r>
          </w:p>
        </w:tc>
        <w:tc>
          <w:tcPr>
            <w:tcW w:w="2126" w:type="dxa"/>
            <w:vAlign w:val="center"/>
          </w:tcPr>
          <w:p w:rsidR="00E15FCC" w:rsidRPr="00C12926" w:rsidRDefault="00E15FCC" w:rsidP="00E15FCC">
            <w:pPr>
              <w:pStyle w:val="Tablehead"/>
              <w:rPr>
                <w:i/>
                <w:iCs/>
              </w:rPr>
            </w:pPr>
            <w:r w:rsidRPr="00C12926">
              <w:rPr>
                <w:i/>
                <w:iCs/>
              </w:rPr>
              <w:t>A</w:t>
            </w:r>
            <w:r w:rsidRPr="00C12926">
              <w:rPr>
                <w:i/>
                <w:iCs/>
                <w:vertAlign w:val="subscript"/>
              </w:rPr>
              <w:t>S</w:t>
            </w:r>
            <w:r w:rsidRPr="00C12926">
              <w:rPr>
                <w:iCs/>
                <w:vertAlign w:val="subscript"/>
              </w:rPr>
              <w:t>3</w:t>
            </w:r>
            <w:r w:rsidRPr="00C12926">
              <w:rPr>
                <w:i/>
                <w:iCs/>
                <w:vertAlign w:val="subscript"/>
              </w:rPr>
              <w:t xml:space="preserve"> </w:t>
            </w:r>
            <w:r w:rsidRPr="00C12926">
              <w:t>(km</w:t>
            </w:r>
            <w:r w:rsidRPr="00C12926">
              <w:rPr>
                <w:vertAlign w:val="superscript"/>
              </w:rPr>
              <w:t>2</w:t>
            </w:r>
            <w:r w:rsidRPr="00C12926">
              <w:t>)</w:t>
            </w:r>
          </w:p>
        </w:tc>
        <w:tc>
          <w:tcPr>
            <w:tcW w:w="3260" w:type="dxa"/>
            <w:vAlign w:val="center"/>
          </w:tcPr>
          <w:p w:rsidR="00E15FCC" w:rsidRPr="00C12926" w:rsidRDefault="00E15FCC" w:rsidP="00E15FCC">
            <w:pPr>
              <w:pStyle w:val="Tablehead"/>
            </w:pPr>
          </w:p>
        </w:tc>
      </w:tr>
      <w:tr w:rsidR="00E15FCC" w:rsidRPr="00C12926">
        <w:trPr>
          <w:cantSplit/>
          <w:jc w:val="center"/>
        </w:trPr>
        <w:tc>
          <w:tcPr>
            <w:tcW w:w="2126" w:type="dxa"/>
            <w:vAlign w:val="center"/>
          </w:tcPr>
          <w:p w:rsidR="00E15FCC" w:rsidRPr="00C12926" w:rsidRDefault="00E15FCC" w:rsidP="00E15FCC">
            <w:pPr>
              <w:pStyle w:val="Tabletext"/>
              <w:jc w:val="center"/>
            </w:pPr>
            <w:r w:rsidRPr="00C12926">
              <w:t>1.4</w:t>
            </w:r>
          </w:p>
        </w:tc>
        <w:tc>
          <w:tcPr>
            <w:tcW w:w="2126" w:type="dxa"/>
            <w:vAlign w:val="center"/>
          </w:tcPr>
          <w:p w:rsidR="00E15FCC" w:rsidRPr="00C12926" w:rsidRDefault="00E15FCC" w:rsidP="00E15FCC">
            <w:pPr>
              <w:pStyle w:val="Tabletext"/>
              <w:jc w:val="center"/>
            </w:pPr>
            <w:r w:rsidRPr="00C12926">
              <w:t>217.6</w:t>
            </w:r>
          </w:p>
        </w:tc>
        <w:tc>
          <w:tcPr>
            <w:tcW w:w="2126" w:type="dxa"/>
            <w:vAlign w:val="center"/>
          </w:tcPr>
          <w:p w:rsidR="00E15FCC" w:rsidRPr="00C12926" w:rsidRDefault="00E15FCC" w:rsidP="00E15FCC">
            <w:pPr>
              <w:pStyle w:val="Tabletext"/>
              <w:jc w:val="center"/>
            </w:pPr>
            <w:r w:rsidRPr="00C12926">
              <w:t>1.4</w:t>
            </w:r>
          </w:p>
        </w:tc>
        <w:tc>
          <w:tcPr>
            <w:tcW w:w="3260" w:type="dxa"/>
            <w:vAlign w:val="center"/>
          </w:tcPr>
          <w:p w:rsidR="00E15FCC" w:rsidRPr="00C12926" w:rsidRDefault="00E15FCC" w:rsidP="00E15FCC">
            <w:pPr>
              <w:pStyle w:val="Tabletext"/>
              <w:jc w:val="center"/>
            </w:pPr>
            <w:r w:rsidRPr="00C12926">
              <w:t>220.3</w:t>
            </w:r>
          </w:p>
        </w:tc>
      </w:tr>
    </w:tbl>
    <w:p w:rsidR="005515B9" w:rsidRDefault="005515B9" w:rsidP="005515B9">
      <w:pPr>
        <w:pStyle w:val="Tablefin"/>
      </w:pPr>
    </w:p>
    <w:p w:rsidR="00E15FCC" w:rsidRPr="00E15FCC" w:rsidRDefault="00E15FCC" w:rsidP="00E15FCC">
      <w:pPr>
        <w:rPr>
          <w:lang w:val="en-US"/>
        </w:rPr>
      </w:pPr>
      <w:r w:rsidRPr="00E15FCC">
        <w:rPr>
          <w:lang w:val="en-US"/>
        </w:rPr>
        <w:t>The sum of the denied sector areas for each sector will give the denied geometric space (</w:t>
      </w:r>
      <w:r w:rsidRPr="00E15FCC">
        <w:rPr>
          <w:i/>
          <w:iCs/>
          <w:lang w:val="en-US"/>
        </w:rPr>
        <w:t>S</w:t>
      </w:r>
      <w:r w:rsidRPr="00E15FCC">
        <w:rPr>
          <w:lang w:val="en-US"/>
        </w:rPr>
        <w:t>), which is the final parameter in the determination of the SUE. Table 24 gives the final results for this example.</w:t>
      </w:r>
    </w:p>
    <w:p w:rsidR="00E15FCC" w:rsidRPr="00E15FCC" w:rsidRDefault="00E15FCC" w:rsidP="00E15FCC">
      <w:pPr>
        <w:pStyle w:val="TableNo"/>
        <w:rPr>
          <w:lang w:val="en-US"/>
        </w:rPr>
      </w:pPr>
      <w:r w:rsidRPr="00E15FCC">
        <w:rPr>
          <w:lang w:val="en-US"/>
        </w:rPr>
        <w:t>TABLE 24</w:t>
      </w:r>
    </w:p>
    <w:p w:rsidR="00E15FCC" w:rsidRPr="00E15FCC" w:rsidRDefault="00E15FCC" w:rsidP="00E15FCC">
      <w:pPr>
        <w:pStyle w:val="Tabletitle"/>
        <w:rPr>
          <w:lang w:val="en-US"/>
        </w:rPr>
      </w:pPr>
      <w:r w:rsidRPr="00E15FCC">
        <w:rPr>
          <w:lang w:val="en-US"/>
        </w:rPr>
        <w:t>SUE for a p-p</w:t>
      </w:r>
      <w:r w:rsidR="00EB73B7">
        <w:rPr>
          <w:lang w:val="en-US"/>
        </w:rPr>
        <w:t xml:space="preserve"> </w:t>
      </w:r>
      <w:r w:rsidRPr="00E15FCC">
        <w:rPr>
          <w:lang w:val="en-US"/>
        </w:rPr>
        <w:t>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tblGrid>
      <w:tr w:rsidR="00E15FCC" w:rsidRPr="00E64C3F">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E15FCC" w:rsidRPr="00E15FCC" w:rsidRDefault="00E15FCC" w:rsidP="00E15FCC">
            <w:pPr>
              <w:pStyle w:val="Tablehead"/>
              <w:rPr>
                <w:lang w:val="en-US"/>
              </w:rPr>
            </w:pPr>
            <w:r w:rsidRPr="00E15FCC">
              <w:rPr>
                <w:lang w:val="en-US"/>
              </w:rPr>
              <w:t>SUE (Mb/s.km.MHz)</w:t>
            </w:r>
          </w:p>
        </w:tc>
      </w:tr>
      <w:tr w:rsidR="00E15FCC" w:rsidRPr="00C12926">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E15FCC" w:rsidRPr="00C12926" w:rsidRDefault="00E15FCC" w:rsidP="00E15FCC">
            <w:pPr>
              <w:pStyle w:val="Tabletext"/>
              <w:jc w:val="center"/>
              <w:rPr>
                <w:highlight w:val="yellow"/>
                <w:vertAlign w:val="superscript"/>
              </w:rPr>
            </w:pPr>
            <w:r w:rsidRPr="00C12926">
              <w:t>0.2</w:t>
            </w:r>
          </w:p>
        </w:tc>
      </w:tr>
    </w:tbl>
    <w:p w:rsidR="005515B9" w:rsidRDefault="005515B9" w:rsidP="005515B9">
      <w:pPr>
        <w:pStyle w:val="Tablefin"/>
      </w:pPr>
    </w:p>
    <w:p w:rsidR="00E15FCC" w:rsidRPr="00E15FCC" w:rsidRDefault="00E15FCC" w:rsidP="00E15FCC">
      <w:pPr>
        <w:pStyle w:val="Heading1"/>
        <w:rPr>
          <w:lang w:val="en-US"/>
        </w:rPr>
      </w:pPr>
      <w:r w:rsidRPr="00E15FCC">
        <w:rPr>
          <w:lang w:val="en-US"/>
        </w:rPr>
        <w:t>3</w:t>
      </w:r>
      <w:r w:rsidRPr="00E15FCC">
        <w:rPr>
          <w:lang w:val="en-US"/>
        </w:rPr>
        <w:tab/>
        <w:t>Spectrum utilization by television and audio broadcasting systems</w:t>
      </w:r>
    </w:p>
    <w:p w:rsidR="00E15FCC" w:rsidRPr="00E15FCC" w:rsidRDefault="00E15FCC" w:rsidP="00E15FCC">
      <w:pPr>
        <w:pStyle w:val="Heading2"/>
        <w:rPr>
          <w:lang w:val="en-US"/>
        </w:rPr>
      </w:pPr>
      <w:r w:rsidRPr="00E15FCC">
        <w:rPr>
          <w:lang w:val="en-US"/>
        </w:rPr>
        <w:t>3.1</w:t>
      </w:r>
      <w:r w:rsidRPr="00E15FCC">
        <w:rPr>
          <w:lang w:val="en-US"/>
        </w:rPr>
        <w:tab/>
        <w:t>Introduction</w:t>
      </w:r>
    </w:p>
    <w:p w:rsidR="00E15FCC" w:rsidRPr="00E15FCC" w:rsidRDefault="00E15FCC" w:rsidP="00E15FCC">
      <w:pPr>
        <w:rPr>
          <w:lang w:val="en-US"/>
        </w:rPr>
      </w:pPr>
      <w:r w:rsidRPr="00E15FCC">
        <w:rPr>
          <w:lang w:val="en-US"/>
        </w:rPr>
        <w:t xml:space="preserve">Suppose that a television or audio broadcasting system is located in a given geographical area with </w:t>
      </w:r>
      <w:r w:rsidRPr="00E15FCC">
        <w:rPr>
          <w:i/>
          <w:iCs/>
          <w:lang w:val="en-US"/>
        </w:rPr>
        <w:t>J</w:t>
      </w:r>
      <w:r w:rsidRPr="00E15FCC">
        <w:rPr>
          <w:lang w:val="en-US"/>
        </w:rPr>
        <w:t xml:space="preserve"> transmitters. For the general case, the spectrum utilization efficiency is given by the complex parameter:</w:t>
      </w:r>
    </w:p>
    <w:p w:rsidR="00E15FCC" w:rsidRPr="00E15FCC" w:rsidRDefault="00E15FCC" w:rsidP="00E15FCC">
      <w:pPr>
        <w:pStyle w:val="Equation"/>
        <w:rPr>
          <w:lang w:val="en-US"/>
        </w:rPr>
      </w:pPr>
      <w:r w:rsidRPr="00E15FCC">
        <w:rPr>
          <w:lang w:val="en-US"/>
        </w:rPr>
        <w:tab/>
      </w:r>
      <w:r w:rsidRPr="00E15FCC">
        <w:rPr>
          <w:lang w:val="en-US"/>
        </w:rPr>
        <w:tab/>
      </w:r>
      <w:r w:rsidRPr="00C12926">
        <w:rPr>
          <w:position w:val="-10"/>
        </w:rPr>
        <w:object w:dxaOrig="1380" w:dyaOrig="340">
          <v:shape id="_x0000_i1071" type="#_x0000_t75" style="width:69pt;height:16.8pt" o:ole="" fillcolor="window">
            <v:imagedata r:id="rId110" o:title=""/>
          </v:shape>
          <o:OLEObject Type="Embed" ProgID="Equation.3" ShapeID="_x0000_i1071" DrawAspect="Content" ObjectID="_1370947803" r:id="rId111"/>
        </w:object>
      </w:r>
      <w:r w:rsidRPr="00E15FCC">
        <w:rPr>
          <w:lang w:val="en-US"/>
        </w:rPr>
        <w:tab/>
        <w:t>(45)</w:t>
      </w:r>
    </w:p>
    <w:p w:rsidR="00E15FCC" w:rsidRPr="00E15FCC" w:rsidRDefault="00E15FCC" w:rsidP="00E15FCC">
      <w:pPr>
        <w:rPr>
          <w:lang w:val="en-US"/>
        </w:rPr>
      </w:pPr>
      <w:r w:rsidRPr="00E15FCC">
        <w:rPr>
          <w:lang w:val="en-US"/>
        </w:rPr>
        <w:t>where:</w:t>
      </w:r>
    </w:p>
    <w:p w:rsidR="00E15FCC" w:rsidRPr="00C12926" w:rsidRDefault="00E15FCC" w:rsidP="00E15FCC">
      <w:pPr>
        <w:pStyle w:val="Equationlegend"/>
      </w:pPr>
      <w:r w:rsidRPr="00C12926">
        <w:rPr>
          <w:i/>
          <w:iCs/>
        </w:rPr>
        <w:tab/>
        <w:t>M</w:t>
      </w:r>
      <w:r w:rsidRPr="00C12926">
        <w:t>:</w:t>
      </w:r>
      <w:r w:rsidRPr="00C12926">
        <w:rPr>
          <w:i/>
          <w:iCs/>
        </w:rPr>
        <w:tab/>
      </w:r>
      <w:r w:rsidRPr="00C12926">
        <w:t>is the useful effect obtained with the broadcasting system in question; and</w:t>
      </w:r>
    </w:p>
    <w:p w:rsidR="00E15FCC" w:rsidRPr="00C12926" w:rsidRDefault="00E15FCC" w:rsidP="00E15FCC">
      <w:pPr>
        <w:pStyle w:val="Equationlegend"/>
        <w:rPr>
          <w:iCs/>
        </w:rPr>
      </w:pPr>
      <w:r w:rsidRPr="00C12926">
        <w:rPr>
          <w:i/>
        </w:rPr>
        <w:tab/>
        <w:t>U</w:t>
      </w:r>
      <w:r w:rsidRPr="00C12926">
        <w:t>:</w:t>
      </w:r>
      <w:r w:rsidRPr="00C12926">
        <w:rPr>
          <w:i/>
        </w:rPr>
        <w:tab/>
      </w:r>
      <w:r w:rsidRPr="00C12926">
        <w:rPr>
          <w:iCs/>
        </w:rPr>
        <w:t>is the spectrum utilization factor for that system.</w:t>
      </w:r>
    </w:p>
    <w:p w:rsidR="00E15FCC" w:rsidRPr="00E15FCC" w:rsidRDefault="00E15FCC" w:rsidP="00E15FCC">
      <w:pPr>
        <w:pStyle w:val="Heading2"/>
        <w:rPr>
          <w:lang w:val="en-US"/>
        </w:rPr>
      </w:pPr>
      <w:r w:rsidRPr="00E15FCC">
        <w:rPr>
          <w:lang w:val="en-US"/>
        </w:rPr>
        <w:t>3.2</w:t>
      </w:r>
      <w:r w:rsidRPr="00E15FCC">
        <w:rPr>
          <w:lang w:val="en-US"/>
        </w:rPr>
        <w:tab/>
        <w:t>Definition of useful effect for a television broadcasting system</w:t>
      </w:r>
    </w:p>
    <w:p w:rsidR="00E15FCC" w:rsidRPr="00E15FCC" w:rsidRDefault="00E15FCC" w:rsidP="00E15FCC">
      <w:pPr>
        <w:rPr>
          <w:lang w:val="en-US"/>
        </w:rPr>
      </w:pPr>
      <w:r w:rsidRPr="00E15FCC">
        <w:rPr>
          <w:lang w:val="en-US"/>
        </w:rPr>
        <w:t>The usefulness of a television broadcast is determined by the number of users (population) able to receive the broadcast, generally at their place of residence.</w:t>
      </w:r>
    </w:p>
    <w:p w:rsidR="00E15FCC" w:rsidRPr="00E15FCC" w:rsidRDefault="00E15FCC" w:rsidP="00E15FCC">
      <w:pPr>
        <w:rPr>
          <w:lang w:val="en-US"/>
        </w:rPr>
      </w:pPr>
      <w:r w:rsidRPr="00E15FCC">
        <w:rPr>
          <w:lang w:val="en-US"/>
        </w:rPr>
        <w:t>The useful effect of a television broadcasting system should vary with the population density in different parts of the geographical area in question and the number of television programmes that can be received. TV programme availability among the population can be illustrated using the cumulative distribution function shown in Fig. 15.</w:t>
      </w:r>
    </w:p>
    <w:p w:rsidR="00E15FCC" w:rsidRDefault="009A2372" w:rsidP="005515B9">
      <w:pPr>
        <w:pStyle w:val="FigureNo"/>
        <w:keepNext/>
        <w:rPr>
          <w:lang w:val="en-US"/>
        </w:rPr>
      </w:pPr>
      <w:r>
        <w:rPr>
          <w:noProof/>
          <w:lang w:val="en-US" w:eastAsia="zh-CN"/>
        </w:rPr>
        <w:lastRenderedPageBreak/>
        <mc:AlternateContent>
          <mc:Choice Requires="wps">
            <w:drawing>
              <wp:anchor distT="0" distB="0" distL="114300" distR="114300" simplePos="0" relativeHeight="251657728" behindDoc="0" locked="0" layoutInCell="0" allowOverlap="1">
                <wp:simplePos x="0" y="0"/>
                <wp:positionH relativeFrom="column">
                  <wp:posOffset>576580</wp:posOffset>
                </wp:positionH>
                <wp:positionV relativeFrom="paragraph">
                  <wp:posOffset>555625</wp:posOffset>
                </wp:positionV>
                <wp:extent cx="832485" cy="267335"/>
                <wp:effectExtent l="0" t="0" r="0" b="0"/>
                <wp:wrapNone/>
                <wp:docPr id="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1ED" w:rsidRPr="00B13BC7" w:rsidRDefault="008741ED" w:rsidP="00E15FCC">
                            <w:pPr>
                              <w:spacing w:before="0"/>
                              <w:rPr>
                                <w:i/>
                                <w:szCs w:val="24"/>
                              </w:rPr>
                            </w:pPr>
                            <w:r w:rsidRPr="00B13BC7">
                              <w:rPr>
                                <w:i/>
                                <w:szCs w:val="24"/>
                                <w:lang w:val="en-US"/>
                              </w:rPr>
                              <w:t>F</w:t>
                            </w:r>
                            <w:r w:rsidRPr="00B13BC7">
                              <w:rPr>
                                <w:i/>
                                <w:szCs w:val="24"/>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45.4pt;margin-top:43.75pt;width:65.55pt;height:21.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VEtgIAALk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" o:allowincell="f" filled="f" stroked="f">
                <v:textbox>
                  <w:txbxContent>
                    <w:p w:rsidR="008741ED" w:rsidRPr="00B13BC7" w:rsidRDefault="008741ED" w:rsidP="00E15FCC">
                      <w:pPr>
                        <w:spacing w:before="0"/>
                        <w:rPr>
                          <w:i/>
                          <w:szCs w:val="24"/>
                        </w:rPr>
                      </w:pPr>
                      <w:r w:rsidRPr="00B13BC7">
                        <w:rPr>
                          <w:i/>
                          <w:szCs w:val="24"/>
                          <w:lang w:val="en-US"/>
                        </w:rPr>
                        <w:t>F</w:t>
                      </w:r>
                      <w:r w:rsidRPr="00B13BC7">
                        <w:rPr>
                          <w:i/>
                          <w:szCs w:val="24"/>
                        </w:rPr>
                        <w:t>(k)</w:t>
                      </w:r>
                    </w:p>
                  </w:txbxContent>
                </v:textbox>
              </v:shape>
            </w:pict>
          </mc:Fallback>
        </mc:AlternateContent>
      </w:r>
      <w:r w:rsidR="00E15FCC" w:rsidRPr="005515B9">
        <w:rPr>
          <w:lang w:val="en-US"/>
        </w:rPr>
        <w:t>Figure 15</w:t>
      </w:r>
    </w:p>
    <w:p w:rsidR="005515B9" w:rsidRPr="005515B9" w:rsidRDefault="005515B9" w:rsidP="005515B9">
      <w:pPr>
        <w:pStyle w:val="Figure"/>
        <w:rPr>
          <w:lang w:val="en-US"/>
        </w:rPr>
      </w:pPr>
      <w:r>
        <w:object w:dxaOrig="9768" w:dyaOrig="5938">
          <v:shape id="_x0000_i1072" type="#_x0000_t75" style="width:488.4pt;height:297pt" o:ole="" o:allowoverlap="f">
            <v:imagedata r:id="rId112" o:title=""/>
          </v:shape>
          <o:OLEObject Type="Embed" ProgID="CorelDRAW.Graphic.12" ShapeID="_x0000_i1072" DrawAspect="Content" ObjectID="_1370947804" r:id="rId113"/>
        </w:object>
      </w:r>
    </w:p>
    <w:p w:rsidR="00E15FCC" w:rsidRPr="00E15FCC" w:rsidRDefault="00E15FCC" w:rsidP="00E15FCC">
      <w:pPr>
        <w:rPr>
          <w:lang w:val="en-US"/>
        </w:rPr>
      </w:pPr>
      <w:r w:rsidRPr="00E15FCC">
        <w:rPr>
          <w:lang w:val="en-US"/>
        </w:rPr>
        <w:t xml:space="preserve">In the graph, </w:t>
      </w:r>
      <w:r w:rsidRPr="00E15FCC">
        <w:rPr>
          <w:i/>
          <w:iCs/>
          <w:lang w:val="en-US"/>
        </w:rPr>
        <w:t>F</w:t>
      </w:r>
      <w:r w:rsidRPr="005515B9">
        <w:rPr>
          <w:iCs/>
          <w:lang w:val="en-US"/>
        </w:rPr>
        <w:t>(</w:t>
      </w:r>
      <w:r w:rsidRPr="00E15FCC">
        <w:rPr>
          <w:i/>
          <w:iCs/>
          <w:lang w:val="en-US"/>
        </w:rPr>
        <w:t>k</w:t>
      </w:r>
      <w:r w:rsidRPr="005515B9">
        <w:rPr>
          <w:iCs/>
          <w:lang w:val="en-US"/>
        </w:rPr>
        <w:t>)</w:t>
      </w:r>
      <w:r w:rsidRPr="00E15FCC">
        <w:rPr>
          <w:lang w:val="en-US"/>
        </w:rPr>
        <w:t xml:space="preserve"> is the proportion of users able to receive at least </w:t>
      </w:r>
      <w:r w:rsidRPr="00E15FCC">
        <w:rPr>
          <w:i/>
          <w:iCs/>
          <w:lang w:val="en-US"/>
        </w:rPr>
        <w:t>k</w:t>
      </w:r>
      <w:r w:rsidRPr="00E15FCC">
        <w:rPr>
          <w:lang w:val="en-US"/>
        </w:rPr>
        <w:t xml:space="preserve"> television programmes. The higher the value of the function, the greater is the number of users supplied with a large number of programmes, and, as a result, the useful effect of the TV broadcasting system in that geographical area. The function </w:t>
      </w:r>
      <w:r w:rsidRPr="00E15FCC">
        <w:rPr>
          <w:i/>
          <w:iCs/>
          <w:lang w:val="en-US"/>
        </w:rPr>
        <w:t>F</w:t>
      </w:r>
      <w:r w:rsidRPr="005515B9">
        <w:rPr>
          <w:iCs/>
          <w:lang w:val="en-US"/>
        </w:rPr>
        <w:t>(</w:t>
      </w:r>
      <w:r w:rsidRPr="00E15FCC">
        <w:rPr>
          <w:i/>
          <w:iCs/>
          <w:lang w:val="en-US"/>
        </w:rPr>
        <w:t>k</w:t>
      </w:r>
      <w:r w:rsidRPr="005515B9">
        <w:rPr>
          <w:iCs/>
          <w:lang w:val="en-US"/>
        </w:rPr>
        <w:t>)</w:t>
      </w:r>
      <w:r w:rsidRPr="00E15FCC">
        <w:rPr>
          <w:lang w:val="en-US"/>
        </w:rPr>
        <w:t xml:space="preserve"> provides a fairly complete characterization of the useful effect and reflects its structure. However, from a practical point of view, </w:t>
      </w:r>
      <w:r w:rsidRPr="00E15FCC">
        <w:rPr>
          <w:i/>
          <w:iCs/>
          <w:lang w:val="en-US"/>
        </w:rPr>
        <w:t>F</w:t>
      </w:r>
      <w:r w:rsidRPr="005515B9">
        <w:rPr>
          <w:iCs/>
          <w:lang w:val="en-US"/>
        </w:rPr>
        <w:t>(</w:t>
      </w:r>
      <w:r w:rsidRPr="00E15FCC">
        <w:rPr>
          <w:i/>
          <w:iCs/>
          <w:lang w:val="en-US"/>
        </w:rPr>
        <w:t>k</w:t>
      </w:r>
      <w:r w:rsidRPr="005515B9">
        <w:rPr>
          <w:iCs/>
          <w:lang w:val="en-US"/>
        </w:rPr>
        <w:t>)</w:t>
      </w:r>
      <w:r w:rsidRPr="00E15FCC">
        <w:rPr>
          <w:lang w:val="en-US"/>
        </w:rPr>
        <w:t xml:space="preserve"> is not particularly well suited to assessing the efficiency of spectrum utilization by TV broadcasting systems. A more convenient approach is to use a one-dimensional indicator that is functionally dependent on </w:t>
      </w:r>
      <w:r w:rsidRPr="00E15FCC">
        <w:rPr>
          <w:i/>
          <w:iCs/>
          <w:lang w:val="en-US"/>
        </w:rPr>
        <w:t>F</w:t>
      </w:r>
      <w:r w:rsidRPr="005515B9">
        <w:rPr>
          <w:iCs/>
          <w:lang w:val="en-US"/>
        </w:rPr>
        <w:t>(</w:t>
      </w:r>
      <w:r w:rsidRPr="00E15FCC">
        <w:rPr>
          <w:i/>
          <w:iCs/>
          <w:lang w:val="en-US"/>
        </w:rPr>
        <w:t>k</w:t>
      </w:r>
      <w:r w:rsidRPr="005515B9">
        <w:rPr>
          <w:iCs/>
          <w:lang w:val="en-US"/>
        </w:rPr>
        <w:t>)</w:t>
      </w:r>
      <w:r w:rsidRPr="00E15FCC">
        <w:rPr>
          <w:lang w:val="en-US"/>
        </w:rPr>
        <w:t xml:space="preserve">. Knowing that the useful effect increases with </w:t>
      </w:r>
      <w:r w:rsidRPr="00E15FCC">
        <w:rPr>
          <w:i/>
          <w:iCs/>
          <w:lang w:val="en-US"/>
        </w:rPr>
        <w:t>F</w:t>
      </w:r>
      <w:r w:rsidRPr="005515B9">
        <w:rPr>
          <w:iCs/>
          <w:lang w:val="en-US"/>
        </w:rPr>
        <w:t>(</w:t>
      </w:r>
      <w:r w:rsidRPr="00E15FCC">
        <w:rPr>
          <w:i/>
          <w:iCs/>
          <w:lang w:val="en-US"/>
        </w:rPr>
        <w:t>k</w:t>
      </w:r>
      <w:r w:rsidRPr="005515B9">
        <w:rPr>
          <w:iCs/>
          <w:lang w:val="en-US"/>
        </w:rPr>
        <w:t>)</w:t>
      </w:r>
      <w:r w:rsidRPr="00E15FCC">
        <w:rPr>
          <w:lang w:val="en-US"/>
        </w:rPr>
        <w:t xml:space="preserve">, a simple indicator can be obtained by calculating the area under the curve, or the base of an equivalent rectangle having the same area (shown with a dotted line in Fig. 15), </w:t>
      </w:r>
      <w:r w:rsidRPr="00E15FCC">
        <w:rPr>
          <w:i/>
          <w:lang w:val="en-US"/>
        </w:rPr>
        <w:t>k</w:t>
      </w:r>
      <w:r w:rsidRPr="00E15FCC">
        <w:rPr>
          <w:i/>
          <w:vertAlign w:val="subscript"/>
          <w:lang w:val="en-US"/>
        </w:rPr>
        <w:t>m</w:t>
      </w:r>
      <w:r w:rsidRPr="00E15FCC">
        <w:rPr>
          <w:lang w:val="en-US"/>
        </w:rPr>
        <w:t>. The latter corresponds to the mean number of TV programmes that can be received by any given user. That number can be used as a simple indicator of the useful effect produced by TV broadcasting systems. The expression for this indicator of useful effect takes the analytic form:</w:t>
      </w:r>
    </w:p>
    <w:p w:rsidR="00E15FCC" w:rsidRPr="00E15FCC" w:rsidRDefault="00E15FCC" w:rsidP="00E15FCC">
      <w:pPr>
        <w:pStyle w:val="Equation"/>
        <w:rPr>
          <w:lang w:val="en-US"/>
        </w:rPr>
      </w:pPr>
      <w:r w:rsidRPr="00E15FCC">
        <w:rPr>
          <w:lang w:val="en-US"/>
        </w:rPr>
        <w:tab/>
      </w:r>
      <w:r w:rsidRPr="00E15FCC">
        <w:rPr>
          <w:lang w:val="en-US"/>
        </w:rPr>
        <w:tab/>
      </w:r>
      <w:r w:rsidRPr="00C12926">
        <w:rPr>
          <w:position w:val="-30"/>
        </w:rPr>
        <w:object w:dxaOrig="1640" w:dyaOrig="720">
          <v:shape id="_x0000_i1073" type="#_x0000_t75" style="width:82.2pt;height:36pt" o:ole="" fillcolor="window">
            <v:imagedata r:id="rId114" o:title=""/>
          </v:shape>
          <o:OLEObject Type="Embed" ProgID="Equation.3" ShapeID="_x0000_i1073" DrawAspect="Content" ObjectID="_1370947805" r:id="rId115"/>
        </w:object>
      </w:r>
      <w:r w:rsidRPr="00E15FCC">
        <w:rPr>
          <w:lang w:val="en-US"/>
        </w:rPr>
        <w:tab/>
        <w:t>(46)</w:t>
      </w:r>
    </w:p>
    <w:p w:rsidR="00E15FCC" w:rsidRPr="00E15FCC" w:rsidRDefault="00E15FCC" w:rsidP="00E15FCC">
      <w:pPr>
        <w:rPr>
          <w:noProof/>
          <w:lang w:val="en-US"/>
        </w:rPr>
      </w:pPr>
      <w:r w:rsidRPr="00E15FCC">
        <w:rPr>
          <w:noProof/>
          <w:lang w:val="en-US"/>
        </w:rPr>
        <w:t>where:</w:t>
      </w:r>
    </w:p>
    <w:p w:rsidR="00E15FCC" w:rsidRPr="00C12926" w:rsidRDefault="00E15FCC" w:rsidP="00E15FCC">
      <w:pPr>
        <w:pStyle w:val="Equationlegend"/>
        <w:rPr>
          <w:noProof/>
        </w:rPr>
      </w:pPr>
      <w:r w:rsidRPr="00C12926">
        <w:rPr>
          <w:i/>
          <w:iCs/>
          <w:noProof/>
        </w:rPr>
        <w:tab/>
        <w:t>I</w:t>
      </w:r>
      <w:r w:rsidRPr="00C12926">
        <w:t>:</w:t>
      </w:r>
      <w:r w:rsidRPr="00C12926">
        <w:rPr>
          <w:noProof/>
        </w:rPr>
        <w:tab/>
        <w:t>number of elements into which the geographical area has been divided</w:t>
      </w:r>
    </w:p>
    <w:p w:rsidR="00E15FCC" w:rsidRPr="00C12926" w:rsidRDefault="00E15FCC" w:rsidP="00E15FCC">
      <w:pPr>
        <w:pStyle w:val="Equationlegend"/>
        <w:rPr>
          <w:noProof/>
        </w:rPr>
      </w:pPr>
      <w:r w:rsidRPr="00C12926">
        <w:rPr>
          <w:noProof/>
        </w:rPr>
        <w:tab/>
      </w:r>
      <w:r w:rsidRPr="00C12926">
        <w:rPr>
          <w:noProof/>
          <w:position w:val="-24"/>
        </w:rPr>
        <w:object w:dxaOrig="760" w:dyaOrig="620">
          <v:shape id="_x0000_i1074" type="#_x0000_t75" style="width:37.8pt;height:31.2pt" o:ole="" fillcolor="window">
            <v:imagedata r:id="rId116" o:title=""/>
          </v:shape>
          <o:OLEObject Type="Embed" ProgID="Equation.3" ShapeID="_x0000_i1074" DrawAspect="Content" ObjectID="_1370947806" r:id="rId117"/>
        </w:object>
      </w:r>
      <w:r w:rsidRPr="00C12926">
        <w:t>:</w:t>
      </w:r>
      <w:r w:rsidRPr="00C12926">
        <w:rPr>
          <w:noProof/>
        </w:rPr>
        <w:tab/>
        <w:t xml:space="preserve">proportion of the population that lives within the </w:t>
      </w:r>
      <w:r w:rsidRPr="00C12926">
        <w:rPr>
          <w:i/>
          <w:iCs/>
          <w:noProof/>
        </w:rPr>
        <w:t>i-</w:t>
      </w:r>
      <w:r w:rsidRPr="00C12926">
        <w:rPr>
          <w:noProof/>
        </w:rPr>
        <w:t>th area element</w:t>
      </w:r>
    </w:p>
    <w:p w:rsidR="00E15FCC" w:rsidRPr="00C12926" w:rsidRDefault="00E15FCC" w:rsidP="00E15FCC">
      <w:pPr>
        <w:pStyle w:val="Equationlegend"/>
        <w:rPr>
          <w:i/>
        </w:rPr>
      </w:pPr>
      <w:r w:rsidRPr="00C12926">
        <w:rPr>
          <w:i/>
        </w:rPr>
        <w:tab/>
        <w:t>n</w:t>
      </w:r>
      <w:r w:rsidRPr="00C12926">
        <w:rPr>
          <w:i/>
          <w:vertAlign w:val="subscript"/>
        </w:rPr>
        <w:t>i</w:t>
      </w:r>
      <w:r w:rsidRPr="00C12926">
        <w:t>:</w:t>
      </w:r>
      <w:r w:rsidRPr="00C12926">
        <w:rPr>
          <w:i/>
        </w:rPr>
        <w:t xml:space="preserve"> </w:t>
      </w:r>
      <w:r w:rsidRPr="00C12926">
        <w:rPr>
          <w:i/>
        </w:rPr>
        <w:tab/>
      </w:r>
      <w:r w:rsidRPr="00C12926">
        <w:t xml:space="preserve">number of inhabitants who live within the </w:t>
      </w:r>
      <w:r w:rsidRPr="00C12926">
        <w:rPr>
          <w:i/>
        </w:rPr>
        <w:t>i-</w:t>
      </w:r>
      <w:r w:rsidRPr="00C12926">
        <w:rPr>
          <w:iCs/>
        </w:rPr>
        <w:t>th</w:t>
      </w:r>
      <w:r w:rsidRPr="00C12926">
        <w:t xml:space="preserve"> area element</w:t>
      </w:r>
    </w:p>
    <w:p w:rsidR="00E15FCC" w:rsidRPr="00C12926" w:rsidRDefault="00E15FCC" w:rsidP="00E15FCC">
      <w:pPr>
        <w:pStyle w:val="Equationlegend"/>
        <w:rPr>
          <w:iCs/>
        </w:rPr>
      </w:pPr>
      <w:r w:rsidRPr="00C12926">
        <w:rPr>
          <w:i/>
        </w:rPr>
        <w:tab/>
        <w:t>k</w:t>
      </w:r>
      <w:r w:rsidRPr="00C12926">
        <w:rPr>
          <w:i/>
          <w:vertAlign w:val="subscript"/>
        </w:rPr>
        <w:t>i</w:t>
      </w:r>
      <w:r w:rsidRPr="00C12926">
        <w:t>:</w:t>
      </w:r>
      <w:r w:rsidRPr="00C12926">
        <w:rPr>
          <w:i/>
        </w:rPr>
        <w:tab/>
      </w:r>
      <w:r w:rsidRPr="00C12926">
        <w:rPr>
          <w:iCs/>
        </w:rPr>
        <w:t xml:space="preserve">number of TV programmes that can be received in the </w:t>
      </w:r>
      <w:r w:rsidRPr="00C12926">
        <w:rPr>
          <w:i/>
        </w:rPr>
        <w:t>i-</w:t>
      </w:r>
      <w:r w:rsidRPr="00C12926">
        <w:rPr>
          <w:iCs/>
        </w:rPr>
        <w:t>th area element; and</w:t>
      </w:r>
    </w:p>
    <w:p w:rsidR="00E15FCC" w:rsidRPr="00C12926" w:rsidRDefault="00E15FCC" w:rsidP="00E15FCC">
      <w:pPr>
        <w:pStyle w:val="Equationlegend"/>
        <w:rPr>
          <w:iCs/>
        </w:rPr>
      </w:pPr>
      <w:r w:rsidRPr="00C12926">
        <w:rPr>
          <w:i/>
        </w:rPr>
        <w:tab/>
        <w:t>N</w:t>
      </w:r>
      <w:r w:rsidRPr="00C12926">
        <w:t>:</w:t>
      </w:r>
      <w:r w:rsidRPr="00C12926">
        <w:rPr>
          <w:iCs/>
        </w:rPr>
        <w:t xml:space="preserve"> </w:t>
      </w:r>
      <w:r w:rsidRPr="00C12926">
        <w:rPr>
          <w:iCs/>
        </w:rPr>
        <w:tab/>
        <w:t>size of the population in the geographical area.</w:t>
      </w:r>
    </w:p>
    <w:p w:rsidR="00E15FCC" w:rsidRPr="00E15FCC" w:rsidRDefault="00E15FCC" w:rsidP="00E15FCC">
      <w:pPr>
        <w:pStyle w:val="Headingb"/>
        <w:rPr>
          <w:lang w:val="en-US"/>
        </w:rPr>
      </w:pPr>
      <w:r w:rsidRPr="00E15FCC">
        <w:rPr>
          <w:lang w:val="en-US"/>
        </w:rPr>
        <w:lastRenderedPageBreak/>
        <w:t>Sample calculation of useful effect</w:t>
      </w:r>
    </w:p>
    <w:p w:rsidR="00E15FCC" w:rsidRPr="00E15FCC" w:rsidRDefault="00E15FCC" w:rsidP="00E15FCC">
      <w:pPr>
        <w:rPr>
          <w:lang w:val="en-US"/>
        </w:rPr>
      </w:pPr>
      <w:r w:rsidRPr="00E15FCC">
        <w:rPr>
          <w:lang w:val="en-US"/>
        </w:rPr>
        <w:t xml:space="preserve">Consider a region with a population of </w:t>
      </w:r>
      <w:r w:rsidRPr="00E15FCC">
        <w:rPr>
          <w:i/>
          <w:iCs/>
          <w:lang w:val="en-US"/>
        </w:rPr>
        <w:t xml:space="preserve">N </w:t>
      </w:r>
      <w:r w:rsidRPr="00E15FCC">
        <w:rPr>
          <w:lang w:val="en-US"/>
        </w:rPr>
        <w:t xml:space="preserve">= 250 000, with </w:t>
      </w:r>
      <w:r w:rsidRPr="00E15FCC">
        <w:rPr>
          <w:i/>
          <w:iCs/>
          <w:lang w:val="en-US"/>
        </w:rPr>
        <w:t xml:space="preserve">I </w:t>
      </w:r>
      <w:r w:rsidRPr="00E15FCC">
        <w:rPr>
          <w:lang w:val="en-US"/>
        </w:rPr>
        <w:t>= 9 separate area elements. The breakdown of population and TV programme availability by area element (</w:t>
      </w:r>
      <w:r w:rsidRPr="00E15FCC">
        <w:rPr>
          <w:i/>
          <w:lang w:val="en-US"/>
        </w:rPr>
        <w:t>n</w:t>
      </w:r>
      <w:r w:rsidRPr="00E15FCC">
        <w:rPr>
          <w:i/>
          <w:vertAlign w:val="subscript"/>
          <w:lang w:val="en-US"/>
        </w:rPr>
        <w:t>i</w:t>
      </w:r>
      <w:r w:rsidRPr="00E15FCC">
        <w:rPr>
          <w:lang w:val="en-US"/>
        </w:rPr>
        <w:t xml:space="preserve"> and </w:t>
      </w:r>
      <w:r w:rsidRPr="00E15FCC">
        <w:rPr>
          <w:i/>
          <w:lang w:val="en-US"/>
        </w:rPr>
        <w:t>k</w:t>
      </w:r>
      <w:r w:rsidRPr="00E15FCC">
        <w:rPr>
          <w:i/>
          <w:vertAlign w:val="subscript"/>
          <w:lang w:val="en-US"/>
        </w:rPr>
        <w:t>i</w:t>
      </w:r>
      <w:r w:rsidRPr="00E15FCC">
        <w:rPr>
          <w:lang w:val="en-US"/>
        </w:rPr>
        <w:t xml:space="preserve"> respectively) is given in Table 25.</w:t>
      </w:r>
    </w:p>
    <w:p w:rsidR="00E15FCC" w:rsidRPr="00E15FCC" w:rsidRDefault="00E15FCC" w:rsidP="00E15FCC">
      <w:pPr>
        <w:pStyle w:val="TableNo"/>
        <w:rPr>
          <w:lang w:val="en-US"/>
        </w:rPr>
      </w:pPr>
      <w:r w:rsidRPr="00E15FCC">
        <w:rPr>
          <w:lang w:val="en-US"/>
        </w:rPr>
        <w:t>T</w:t>
      </w:r>
      <w:r w:rsidR="005515B9" w:rsidRPr="00E15FCC">
        <w:rPr>
          <w:lang w:val="en-US"/>
        </w:rPr>
        <w:t>ABLE</w:t>
      </w:r>
      <w:r w:rsidRPr="00E15FCC">
        <w:rPr>
          <w:lang w:val="en-US"/>
        </w:rPr>
        <w:t xml:space="preserve"> 25</w:t>
      </w:r>
    </w:p>
    <w:p w:rsidR="00E15FCC" w:rsidRPr="00E15FCC" w:rsidRDefault="00E15FCC" w:rsidP="00E15FCC">
      <w:pPr>
        <w:pStyle w:val="Tabletitle"/>
        <w:rPr>
          <w:lang w:val="en-US"/>
        </w:rPr>
      </w:pPr>
      <w:r w:rsidRPr="00E15FCC">
        <w:rPr>
          <w:lang w:val="en-US"/>
        </w:rPr>
        <w:t>Distribution of population and TV programme availability by area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851"/>
        <w:gridCol w:w="851"/>
        <w:gridCol w:w="851"/>
        <w:gridCol w:w="851"/>
        <w:gridCol w:w="851"/>
        <w:gridCol w:w="851"/>
        <w:gridCol w:w="851"/>
        <w:gridCol w:w="851"/>
        <w:gridCol w:w="851"/>
      </w:tblGrid>
      <w:tr w:rsidR="00E15FCC" w:rsidRPr="00C12926">
        <w:trPr>
          <w:jc w:val="center"/>
        </w:trPr>
        <w:tc>
          <w:tcPr>
            <w:tcW w:w="1985" w:type="dxa"/>
          </w:tcPr>
          <w:p w:rsidR="00E15FCC" w:rsidRPr="00C12926" w:rsidRDefault="00E15FCC" w:rsidP="00E15FCC">
            <w:pPr>
              <w:pStyle w:val="Tabletext"/>
            </w:pPr>
            <w:r w:rsidRPr="00C12926">
              <w:t>Area element</w:t>
            </w:r>
          </w:p>
        </w:tc>
        <w:tc>
          <w:tcPr>
            <w:tcW w:w="851" w:type="dxa"/>
          </w:tcPr>
          <w:p w:rsidR="00E15FCC" w:rsidRPr="00C12926" w:rsidRDefault="00E15FCC" w:rsidP="00E15FCC">
            <w:pPr>
              <w:pStyle w:val="Tabletext"/>
              <w:jc w:val="center"/>
            </w:pPr>
            <w:r w:rsidRPr="00C12926">
              <w:t>1</w:t>
            </w:r>
          </w:p>
        </w:tc>
        <w:tc>
          <w:tcPr>
            <w:tcW w:w="851" w:type="dxa"/>
          </w:tcPr>
          <w:p w:rsidR="00E15FCC" w:rsidRPr="00C12926" w:rsidRDefault="00E15FCC" w:rsidP="00E15FCC">
            <w:pPr>
              <w:pStyle w:val="Tabletext"/>
              <w:jc w:val="center"/>
            </w:pPr>
            <w:r w:rsidRPr="00C12926">
              <w:t>2</w:t>
            </w:r>
          </w:p>
        </w:tc>
        <w:tc>
          <w:tcPr>
            <w:tcW w:w="851" w:type="dxa"/>
          </w:tcPr>
          <w:p w:rsidR="00E15FCC" w:rsidRPr="00C12926" w:rsidRDefault="00E15FCC" w:rsidP="00E15FCC">
            <w:pPr>
              <w:pStyle w:val="Tabletext"/>
              <w:jc w:val="center"/>
            </w:pPr>
            <w:r w:rsidRPr="00C12926">
              <w:t>3</w:t>
            </w:r>
          </w:p>
        </w:tc>
        <w:tc>
          <w:tcPr>
            <w:tcW w:w="851" w:type="dxa"/>
          </w:tcPr>
          <w:p w:rsidR="00E15FCC" w:rsidRPr="00C12926" w:rsidRDefault="00E15FCC" w:rsidP="00E15FCC">
            <w:pPr>
              <w:pStyle w:val="Tabletext"/>
              <w:jc w:val="center"/>
            </w:pPr>
            <w:r w:rsidRPr="00C12926">
              <w:t>4</w:t>
            </w:r>
          </w:p>
        </w:tc>
        <w:tc>
          <w:tcPr>
            <w:tcW w:w="851" w:type="dxa"/>
          </w:tcPr>
          <w:p w:rsidR="00E15FCC" w:rsidRPr="00C12926" w:rsidRDefault="00E15FCC" w:rsidP="00E15FCC">
            <w:pPr>
              <w:pStyle w:val="Tabletext"/>
              <w:jc w:val="center"/>
            </w:pPr>
            <w:r w:rsidRPr="00C12926">
              <w:t>5</w:t>
            </w:r>
          </w:p>
        </w:tc>
        <w:tc>
          <w:tcPr>
            <w:tcW w:w="851" w:type="dxa"/>
          </w:tcPr>
          <w:p w:rsidR="00E15FCC" w:rsidRPr="00C12926" w:rsidRDefault="00E15FCC" w:rsidP="00E15FCC">
            <w:pPr>
              <w:pStyle w:val="Tabletext"/>
              <w:jc w:val="center"/>
            </w:pPr>
            <w:r w:rsidRPr="00C12926">
              <w:t>6</w:t>
            </w:r>
          </w:p>
        </w:tc>
        <w:tc>
          <w:tcPr>
            <w:tcW w:w="851" w:type="dxa"/>
          </w:tcPr>
          <w:p w:rsidR="00E15FCC" w:rsidRPr="00C12926" w:rsidRDefault="00E15FCC" w:rsidP="00E15FCC">
            <w:pPr>
              <w:pStyle w:val="Tabletext"/>
              <w:jc w:val="center"/>
            </w:pPr>
            <w:r w:rsidRPr="00C12926">
              <w:t>7</w:t>
            </w:r>
          </w:p>
        </w:tc>
        <w:tc>
          <w:tcPr>
            <w:tcW w:w="851" w:type="dxa"/>
          </w:tcPr>
          <w:p w:rsidR="00E15FCC" w:rsidRPr="00C12926" w:rsidRDefault="00E15FCC" w:rsidP="00E15FCC">
            <w:pPr>
              <w:pStyle w:val="Tabletext"/>
              <w:jc w:val="center"/>
            </w:pPr>
            <w:r w:rsidRPr="00C12926">
              <w:t>8</w:t>
            </w:r>
          </w:p>
        </w:tc>
        <w:tc>
          <w:tcPr>
            <w:tcW w:w="851" w:type="dxa"/>
          </w:tcPr>
          <w:p w:rsidR="00E15FCC" w:rsidRPr="00C12926" w:rsidRDefault="00E15FCC" w:rsidP="00E15FCC">
            <w:pPr>
              <w:pStyle w:val="Tabletext"/>
              <w:jc w:val="center"/>
            </w:pPr>
            <w:r w:rsidRPr="00C12926">
              <w:t>9</w:t>
            </w:r>
          </w:p>
        </w:tc>
      </w:tr>
      <w:tr w:rsidR="00E15FCC" w:rsidRPr="00C12926">
        <w:trPr>
          <w:jc w:val="center"/>
        </w:trPr>
        <w:tc>
          <w:tcPr>
            <w:tcW w:w="1985" w:type="dxa"/>
          </w:tcPr>
          <w:p w:rsidR="00E15FCC" w:rsidRPr="00C12926" w:rsidRDefault="00E15FCC" w:rsidP="00E15FCC">
            <w:pPr>
              <w:pStyle w:val="Tabletext"/>
            </w:pPr>
            <w:r w:rsidRPr="00C12926">
              <w:rPr>
                <w:i/>
              </w:rPr>
              <w:t>n</w:t>
            </w:r>
            <w:r w:rsidRPr="00C12926">
              <w:rPr>
                <w:i/>
                <w:vertAlign w:val="subscript"/>
              </w:rPr>
              <w:t xml:space="preserve">i </w:t>
            </w:r>
            <w:r w:rsidRPr="00C12926">
              <w:t>, in thousands</w:t>
            </w:r>
          </w:p>
        </w:tc>
        <w:tc>
          <w:tcPr>
            <w:tcW w:w="851" w:type="dxa"/>
          </w:tcPr>
          <w:p w:rsidR="00E15FCC" w:rsidRPr="00C12926" w:rsidRDefault="00E15FCC" w:rsidP="00E15FCC">
            <w:pPr>
              <w:pStyle w:val="Tabletext"/>
              <w:jc w:val="center"/>
            </w:pPr>
            <w:r w:rsidRPr="00C12926">
              <w:t>20</w:t>
            </w:r>
          </w:p>
        </w:tc>
        <w:tc>
          <w:tcPr>
            <w:tcW w:w="851" w:type="dxa"/>
          </w:tcPr>
          <w:p w:rsidR="00E15FCC" w:rsidRPr="00C12926" w:rsidRDefault="00E15FCC" w:rsidP="00E15FCC">
            <w:pPr>
              <w:pStyle w:val="Tabletext"/>
              <w:jc w:val="center"/>
            </w:pPr>
            <w:r w:rsidRPr="00C12926">
              <w:t>10</w:t>
            </w:r>
          </w:p>
        </w:tc>
        <w:tc>
          <w:tcPr>
            <w:tcW w:w="851" w:type="dxa"/>
          </w:tcPr>
          <w:p w:rsidR="00E15FCC" w:rsidRPr="00C12926" w:rsidRDefault="00E15FCC" w:rsidP="00E15FCC">
            <w:pPr>
              <w:pStyle w:val="Tabletext"/>
              <w:jc w:val="center"/>
            </w:pPr>
            <w:r w:rsidRPr="00C12926">
              <w:t>60</w:t>
            </w:r>
          </w:p>
        </w:tc>
        <w:tc>
          <w:tcPr>
            <w:tcW w:w="851" w:type="dxa"/>
          </w:tcPr>
          <w:p w:rsidR="00E15FCC" w:rsidRPr="00C12926" w:rsidRDefault="00E15FCC" w:rsidP="00E15FCC">
            <w:pPr>
              <w:pStyle w:val="Tabletext"/>
              <w:jc w:val="center"/>
            </w:pPr>
            <w:r w:rsidRPr="00C12926">
              <w:t>0</w:t>
            </w:r>
          </w:p>
        </w:tc>
        <w:tc>
          <w:tcPr>
            <w:tcW w:w="851" w:type="dxa"/>
          </w:tcPr>
          <w:p w:rsidR="00E15FCC" w:rsidRPr="00C12926" w:rsidRDefault="00E15FCC" w:rsidP="00E15FCC">
            <w:pPr>
              <w:pStyle w:val="Tabletext"/>
              <w:jc w:val="center"/>
            </w:pPr>
            <w:r w:rsidRPr="00C12926">
              <w:t>100</w:t>
            </w:r>
          </w:p>
        </w:tc>
        <w:tc>
          <w:tcPr>
            <w:tcW w:w="851" w:type="dxa"/>
          </w:tcPr>
          <w:p w:rsidR="00E15FCC" w:rsidRPr="00C12926" w:rsidRDefault="00E15FCC" w:rsidP="00E15FCC">
            <w:pPr>
              <w:pStyle w:val="Tabletext"/>
              <w:jc w:val="center"/>
            </w:pPr>
            <w:r w:rsidRPr="00C12926">
              <w:t>10</w:t>
            </w:r>
          </w:p>
        </w:tc>
        <w:tc>
          <w:tcPr>
            <w:tcW w:w="851" w:type="dxa"/>
          </w:tcPr>
          <w:p w:rsidR="00E15FCC" w:rsidRPr="00C12926" w:rsidRDefault="00E15FCC" w:rsidP="00E15FCC">
            <w:pPr>
              <w:pStyle w:val="Tabletext"/>
              <w:jc w:val="center"/>
            </w:pPr>
            <w:r w:rsidRPr="00C12926">
              <w:t>40</w:t>
            </w:r>
          </w:p>
        </w:tc>
        <w:tc>
          <w:tcPr>
            <w:tcW w:w="851" w:type="dxa"/>
          </w:tcPr>
          <w:p w:rsidR="00E15FCC" w:rsidRPr="00C12926" w:rsidRDefault="00E15FCC" w:rsidP="00E15FCC">
            <w:pPr>
              <w:pStyle w:val="Tabletext"/>
              <w:jc w:val="center"/>
            </w:pPr>
            <w:r w:rsidRPr="00C12926">
              <w:t>10</w:t>
            </w:r>
          </w:p>
        </w:tc>
        <w:tc>
          <w:tcPr>
            <w:tcW w:w="851" w:type="dxa"/>
          </w:tcPr>
          <w:p w:rsidR="00E15FCC" w:rsidRPr="00C12926" w:rsidRDefault="00E15FCC" w:rsidP="00E15FCC">
            <w:pPr>
              <w:pStyle w:val="Tabletext"/>
              <w:jc w:val="center"/>
            </w:pPr>
            <w:r w:rsidRPr="00C12926">
              <w:t>0</w:t>
            </w:r>
          </w:p>
        </w:tc>
      </w:tr>
      <w:tr w:rsidR="00E15FCC" w:rsidRPr="00C12926">
        <w:trPr>
          <w:jc w:val="center"/>
        </w:trPr>
        <w:tc>
          <w:tcPr>
            <w:tcW w:w="1985" w:type="dxa"/>
          </w:tcPr>
          <w:p w:rsidR="00E15FCC" w:rsidRPr="00C12926" w:rsidRDefault="00E15FCC" w:rsidP="00E15FCC">
            <w:pPr>
              <w:pStyle w:val="Tabletext"/>
            </w:pPr>
            <w:r w:rsidRPr="00C12926">
              <w:rPr>
                <w:i/>
              </w:rPr>
              <w:t>k</w:t>
            </w:r>
            <w:r w:rsidRPr="00C12926">
              <w:rPr>
                <w:i/>
                <w:vertAlign w:val="subscript"/>
              </w:rPr>
              <w:t>i</w:t>
            </w:r>
            <w:r w:rsidRPr="00C12926">
              <w:rPr>
                <w:i/>
              </w:rPr>
              <w:t xml:space="preserve"> </w:t>
            </w:r>
            <w:r w:rsidRPr="00C12926">
              <w:t>(option 1)</w:t>
            </w:r>
          </w:p>
        </w:tc>
        <w:tc>
          <w:tcPr>
            <w:tcW w:w="851" w:type="dxa"/>
          </w:tcPr>
          <w:p w:rsidR="00E15FCC" w:rsidRPr="00C12926" w:rsidRDefault="00E15FCC" w:rsidP="00E15FCC">
            <w:pPr>
              <w:pStyle w:val="Tabletext"/>
              <w:jc w:val="center"/>
            </w:pPr>
            <w:r w:rsidRPr="00C12926">
              <w:t>4</w:t>
            </w:r>
          </w:p>
        </w:tc>
        <w:tc>
          <w:tcPr>
            <w:tcW w:w="851" w:type="dxa"/>
          </w:tcPr>
          <w:p w:rsidR="00E15FCC" w:rsidRPr="00C12926" w:rsidRDefault="00E15FCC" w:rsidP="00E15FCC">
            <w:pPr>
              <w:pStyle w:val="Tabletext"/>
              <w:jc w:val="center"/>
            </w:pPr>
            <w:r w:rsidRPr="00C12926">
              <w:t>2</w:t>
            </w:r>
          </w:p>
        </w:tc>
        <w:tc>
          <w:tcPr>
            <w:tcW w:w="851" w:type="dxa"/>
          </w:tcPr>
          <w:p w:rsidR="00E15FCC" w:rsidRPr="00C12926" w:rsidRDefault="00E15FCC" w:rsidP="00E15FCC">
            <w:pPr>
              <w:pStyle w:val="Tabletext"/>
              <w:jc w:val="center"/>
            </w:pPr>
            <w:r w:rsidRPr="00C12926">
              <w:t>8</w:t>
            </w:r>
          </w:p>
        </w:tc>
        <w:tc>
          <w:tcPr>
            <w:tcW w:w="851" w:type="dxa"/>
          </w:tcPr>
          <w:p w:rsidR="00E15FCC" w:rsidRPr="00C12926" w:rsidRDefault="00E15FCC" w:rsidP="00E15FCC">
            <w:pPr>
              <w:pStyle w:val="Tabletext"/>
              <w:jc w:val="center"/>
            </w:pPr>
            <w:r w:rsidRPr="00C12926">
              <w:t>1</w:t>
            </w:r>
          </w:p>
        </w:tc>
        <w:tc>
          <w:tcPr>
            <w:tcW w:w="851" w:type="dxa"/>
          </w:tcPr>
          <w:p w:rsidR="00E15FCC" w:rsidRPr="00C12926" w:rsidRDefault="00E15FCC" w:rsidP="00E15FCC">
            <w:pPr>
              <w:pStyle w:val="Tabletext"/>
              <w:jc w:val="center"/>
            </w:pPr>
            <w:r w:rsidRPr="00C12926">
              <w:t>10</w:t>
            </w:r>
          </w:p>
        </w:tc>
        <w:tc>
          <w:tcPr>
            <w:tcW w:w="851" w:type="dxa"/>
          </w:tcPr>
          <w:p w:rsidR="00E15FCC" w:rsidRPr="00C12926" w:rsidRDefault="00E15FCC" w:rsidP="00E15FCC">
            <w:pPr>
              <w:pStyle w:val="Tabletext"/>
              <w:jc w:val="center"/>
            </w:pPr>
            <w:r w:rsidRPr="00C12926">
              <w:t>2</w:t>
            </w:r>
          </w:p>
        </w:tc>
        <w:tc>
          <w:tcPr>
            <w:tcW w:w="851" w:type="dxa"/>
          </w:tcPr>
          <w:p w:rsidR="00E15FCC" w:rsidRPr="00C12926" w:rsidRDefault="00E15FCC" w:rsidP="00E15FCC">
            <w:pPr>
              <w:pStyle w:val="Tabletext"/>
              <w:jc w:val="center"/>
            </w:pPr>
            <w:r w:rsidRPr="00C12926">
              <w:t>6</w:t>
            </w:r>
          </w:p>
        </w:tc>
        <w:tc>
          <w:tcPr>
            <w:tcW w:w="851" w:type="dxa"/>
          </w:tcPr>
          <w:p w:rsidR="00E15FCC" w:rsidRPr="00C12926" w:rsidRDefault="00E15FCC" w:rsidP="00E15FCC">
            <w:pPr>
              <w:pStyle w:val="Tabletext"/>
              <w:jc w:val="center"/>
            </w:pPr>
            <w:r w:rsidRPr="00C12926">
              <w:t>4</w:t>
            </w:r>
          </w:p>
        </w:tc>
        <w:tc>
          <w:tcPr>
            <w:tcW w:w="851" w:type="dxa"/>
          </w:tcPr>
          <w:p w:rsidR="00E15FCC" w:rsidRPr="00C12926" w:rsidRDefault="00E15FCC" w:rsidP="00E15FCC">
            <w:pPr>
              <w:pStyle w:val="Tabletext"/>
              <w:jc w:val="center"/>
            </w:pPr>
            <w:r w:rsidRPr="00C12926">
              <w:t>1</w:t>
            </w:r>
          </w:p>
        </w:tc>
      </w:tr>
      <w:tr w:rsidR="00E15FCC" w:rsidRPr="00C12926">
        <w:trPr>
          <w:jc w:val="center"/>
        </w:trPr>
        <w:tc>
          <w:tcPr>
            <w:tcW w:w="1985" w:type="dxa"/>
          </w:tcPr>
          <w:p w:rsidR="00E15FCC" w:rsidRPr="00C12926" w:rsidRDefault="00E15FCC" w:rsidP="00E15FCC">
            <w:pPr>
              <w:pStyle w:val="Tabletext"/>
            </w:pPr>
            <w:r w:rsidRPr="00C12926">
              <w:rPr>
                <w:i/>
              </w:rPr>
              <w:t>k</w:t>
            </w:r>
            <w:r w:rsidRPr="00C12926">
              <w:rPr>
                <w:i/>
                <w:vertAlign w:val="subscript"/>
              </w:rPr>
              <w:t>i</w:t>
            </w:r>
            <w:r w:rsidRPr="00C12926">
              <w:rPr>
                <w:i/>
              </w:rPr>
              <w:t xml:space="preserve"> </w:t>
            </w:r>
            <w:r w:rsidRPr="00C12926">
              <w:t>(option 2)</w:t>
            </w:r>
          </w:p>
        </w:tc>
        <w:tc>
          <w:tcPr>
            <w:tcW w:w="851" w:type="dxa"/>
          </w:tcPr>
          <w:p w:rsidR="00E15FCC" w:rsidRPr="00C12926" w:rsidRDefault="00E15FCC" w:rsidP="00E15FCC">
            <w:pPr>
              <w:pStyle w:val="Tabletext"/>
              <w:jc w:val="center"/>
            </w:pPr>
            <w:r w:rsidRPr="00C12926">
              <w:t>1</w:t>
            </w:r>
          </w:p>
        </w:tc>
        <w:tc>
          <w:tcPr>
            <w:tcW w:w="851" w:type="dxa"/>
          </w:tcPr>
          <w:p w:rsidR="00E15FCC" w:rsidRPr="00C12926" w:rsidRDefault="00E15FCC" w:rsidP="00E15FCC">
            <w:pPr>
              <w:pStyle w:val="Tabletext"/>
              <w:jc w:val="center"/>
            </w:pPr>
            <w:r w:rsidRPr="00C12926">
              <w:t>2</w:t>
            </w:r>
          </w:p>
        </w:tc>
        <w:tc>
          <w:tcPr>
            <w:tcW w:w="851" w:type="dxa"/>
          </w:tcPr>
          <w:p w:rsidR="00E15FCC" w:rsidRPr="00C12926" w:rsidRDefault="00E15FCC" w:rsidP="00E15FCC">
            <w:pPr>
              <w:pStyle w:val="Tabletext"/>
              <w:jc w:val="center"/>
            </w:pPr>
            <w:r w:rsidRPr="00C12926">
              <w:t>4</w:t>
            </w:r>
          </w:p>
        </w:tc>
        <w:tc>
          <w:tcPr>
            <w:tcW w:w="851" w:type="dxa"/>
          </w:tcPr>
          <w:p w:rsidR="00E15FCC" w:rsidRPr="00C12926" w:rsidRDefault="00E15FCC" w:rsidP="00E15FCC">
            <w:pPr>
              <w:pStyle w:val="Tabletext"/>
              <w:jc w:val="center"/>
            </w:pPr>
            <w:r w:rsidRPr="00C12926">
              <w:t>1</w:t>
            </w:r>
          </w:p>
        </w:tc>
        <w:tc>
          <w:tcPr>
            <w:tcW w:w="851" w:type="dxa"/>
          </w:tcPr>
          <w:p w:rsidR="00E15FCC" w:rsidRPr="00C12926" w:rsidRDefault="00E15FCC" w:rsidP="00E15FCC">
            <w:pPr>
              <w:pStyle w:val="Tabletext"/>
              <w:jc w:val="center"/>
            </w:pPr>
            <w:r w:rsidRPr="00C12926">
              <w:t>4</w:t>
            </w:r>
          </w:p>
        </w:tc>
        <w:tc>
          <w:tcPr>
            <w:tcW w:w="851" w:type="dxa"/>
          </w:tcPr>
          <w:p w:rsidR="00E15FCC" w:rsidRPr="00C12926" w:rsidRDefault="00E15FCC" w:rsidP="00E15FCC">
            <w:pPr>
              <w:pStyle w:val="Tabletext"/>
              <w:jc w:val="center"/>
            </w:pPr>
            <w:r w:rsidRPr="00C12926">
              <w:t>8</w:t>
            </w:r>
          </w:p>
        </w:tc>
        <w:tc>
          <w:tcPr>
            <w:tcW w:w="851" w:type="dxa"/>
          </w:tcPr>
          <w:p w:rsidR="00E15FCC" w:rsidRPr="00C12926" w:rsidRDefault="00E15FCC" w:rsidP="00E15FCC">
            <w:pPr>
              <w:pStyle w:val="Tabletext"/>
              <w:jc w:val="center"/>
            </w:pPr>
            <w:r w:rsidRPr="00C12926">
              <w:t>10</w:t>
            </w:r>
          </w:p>
        </w:tc>
        <w:tc>
          <w:tcPr>
            <w:tcW w:w="851" w:type="dxa"/>
          </w:tcPr>
          <w:p w:rsidR="00E15FCC" w:rsidRPr="00C12926" w:rsidRDefault="00E15FCC" w:rsidP="00E15FCC">
            <w:pPr>
              <w:pStyle w:val="Tabletext"/>
              <w:jc w:val="center"/>
            </w:pPr>
            <w:r w:rsidRPr="00C12926">
              <w:t>6</w:t>
            </w:r>
          </w:p>
        </w:tc>
        <w:tc>
          <w:tcPr>
            <w:tcW w:w="851" w:type="dxa"/>
          </w:tcPr>
          <w:p w:rsidR="00E15FCC" w:rsidRPr="00C12926" w:rsidRDefault="00E15FCC" w:rsidP="00E15FCC">
            <w:pPr>
              <w:pStyle w:val="Tabletext"/>
              <w:jc w:val="center"/>
            </w:pPr>
            <w:r w:rsidRPr="00C12926">
              <w:t>2</w:t>
            </w:r>
          </w:p>
        </w:tc>
      </w:tr>
    </w:tbl>
    <w:p w:rsidR="005515B9" w:rsidRDefault="005515B9" w:rsidP="005515B9">
      <w:pPr>
        <w:pStyle w:val="Tablefin"/>
      </w:pPr>
    </w:p>
    <w:p w:rsidR="008741ED" w:rsidRPr="008741ED" w:rsidRDefault="008741ED" w:rsidP="008741ED">
      <w:pPr>
        <w:rPr>
          <w:lang w:val="en-GB"/>
        </w:rPr>
      </w:pPr>
    </w:p>
    <w:p w:rsidR="00E15FCC" w:rsidRPr="00E15FCC" w:rsidRDefault="00E15FCC" w:rsidP="005515B9">
      <w:pPr>
        <w:rPr>
          <w:lang w:val="en-US"/>
        </w:rPr>
      </w:pPr>
      <w:r w:rsidRPr="00E15FCC">
        <w:rPr>
          <w:lang w:val="en-US"/>
        </w:rPr>
        <w:t>The useful effect for the first option in the Table can be calculated from the given data using equation (46), which gives:</w:t>
      </w:r>
    </w:p>
    <w:p w:rsidR="008741ED" w:rsidRDefault="008741ED" w:rsidP="008741ED">
      <w:pPr>
        <w:pStyle w:val="Blanc"/>
      </w:pPr>
    </w:p>
    <w:p w:rsidR="00E15FCC" w:rsidRPr="00C12926" w:rsidRDefault="00E15FCC" w:rsidP="00E15FCC">
      <w:pPr>
        <w:pStyle w:val="Equation"/>
      </w:pPr>
      <w:r w:rsidRPr="00E15FCC">
        <w:rPr>
          <w:lang w:val="en-US"/>
        </w:rPr>
        <w:tab/>
      </w:r>
      <w:r w:rsidRPr="00C12926">
        <w:rPr>
          <w:position w:val="-24"/>
        </w:rPr>
        <w:object w:dxaOrig="8280" w:dyaOrig="620">
          <v:shape id="_x0000_i1075" type="#_x0000_t75" style="width:414pt;height:31.2pt" o:ole="" fillcolor="window">
            <v:imagedata r:id="rId118" o:title=""/>
          </v:shape>
          <o:OLEObject Type="Embed" ProgID="Equation.3" ShapeID="_x0000_i1075" DrawAspect="Content" ObjectID="_1370947807" r:id="rId119"/>
        </w:object>
      </w:r>
    </w:p>
    <w:p w:rsidR="008741ED" w:rsidRDefault="008741ED" w:rsidP="008741ED">
      <w:pPr>
        <w:pStyle w:val="Blanc"/>
      </w:pPr>
    </w:p>
    <w:p w:rsidR="00E15FCC" w:rsidRPr="00E15FCC" w:rsidRDefault="00E15FCC" w:rsidP="00E15FCC">
      <w:pPr>
        <w:rPr>
          <w:lang w:val="en-US"/>
        </w:rPr>
      </w:pPr>
      <w:r w:rsidRPr="00E15FCC">
        <w:rPr>
          <w:lang w:val="en-US"/>
        </w:rPr>
        <w:t>If the distribution of bands is done as per the second option, which does not fully take into account the distribution of the population, then the useful effect is calculated to be:</w:t>
      </w:r>
    </w:p>
    <w:p w:rsidR="008741ED" w:rsidRDefault="008741ED" w:rsidP="008741ED">
      <w:pPr>
        <w:pStyle w:val="Blanc"/>
      </w:pPr>
    </w:p>
    <w:p w:rsidR="00E15FCC" w:rsidRPr="00C12926" w:rsidRDefault="00E15FCC" w:rsidP="00E15FCC">
      <w:pPr>
        <w:pStyle w:val="Equation"/>
      </w:pPr>
      <w:r w:rsidRPr="00E15FCC">
        <w:rPr>
          <w:lang w:val="en-US"/>
        </w:rPr>
        <w:tab/>
      </w:r>
      <w:r w:rsidRPr="00E15FCC">
        <w:rPr>
          <w:lang w:val="en-US"/>
        </w:rPr>
        <w:tab/>
      </w:r>
      <w:r w:rsidRPr="00C12926">
        <w:rPr>
          <w:position w:val="-24"/>
        </w:rPr>
        <w:object w:dxaOrig="8240" w:dyaOrig="620">
          <v:shape id="_x0000_i1076" type="#_x0000_t75" style="width:414pt;height:31.2pt" o:ole="" fillcolor="window">
            <v:imagedata r:id="rId120" o:title=""/>
          </v:shape>
          <o:OLEObject Type="Embed" ProgID="Equation.3" ShapeID="_x0000_i1076" DrawAspect="Content" ObjectID="_1370947808" r:id="rId121"/>
        </w:object>
      </w:r>
    </w:p>
    <w:p w:rsidR="008741ED" w:rsidRDefault="008741ED" w:rsidP="008741ED">
      <w:pPr>
        <w:pStyle w:val="Blanc"/>
      </w:pPr>
    </w:p>
    <w:p w:rsidR="00E15FCC" w:rsidRPr="00E15FCC" w:rsidRDefault="00E15FCC" w:rsidP="00E15FCC">
      <w:pPr>
        <w:rPr>
          <w:lang w:val="en-US"/>
        </w:rPr>
      </w:pPr>
      <w:r w:rsidRPr="00E15FCC">
        <w:rPr>
          <w:lang w:val="en-US"/>
        </w:rPr>
        <w:t>This example shows that the proposed indicator for the useful effect acts as a sensitive measure for the development strategies for TV broadcasting systems in the geographical area under consideration.</w:t>
      </w:r>
    </w:p>
    <w:p w:rsidR="00E15FCC" w:rsidRPr="00E15FCC" w:rsidRDefault="00E15FCC" w:rsidP="00E15FCC">
      <w:pPr>
        <w:pStyle w:val="Heading2"/>
        <w:rPr>
          <w:lang w:val="en-US"/>
        </w:rPr>
      </w:pPr>
      <w:r w:rsidRPr="00E15FCC">
        <w:rPr>
          <w:lang w:val="en-US"/>
        </w:rPr>
        <w:t>3.3</w:t>
      </w:r>
      <w:r w:rsidRPr="00E15FCC">
        <w:rPr>
          <w:lang w:val="en-US"/>
        </w:rPr>
        <w:tab/>
        <w:t>Definition of spectrum utilization factor for TV broadcasting systems</w:t>
      </w:r>
    </w:p>
    <w:p w:rsidR="00E15FCC" w:rsidRPr="00E15FCC" w:rsidRDefault="00E15FCC" w:rsidP="00E15FCC">
      <w:pPr>
        <w:rPr>
          <w:lang w:val="en-US"/>
        </w:rPr>
      </w:pPr>
      <w:r w:rsidRPr="00E15FCC">
        <w:rPr>
          <w:lang w:val="en-US"/>
        </w:rPr>
        <w:t xml:space="preserve">Spectrum utilization is determined by considering what limitations existing TV stations impose on its utilization by new stations. For a TV station situated at the centre of area element </w:t>
      </w:r>
      <w:r w:rsidRPr="00E15FCC">
        <w:rPr>
          <w:i/>
          <w:iCs/>
          <w:lang w:val="en-US"/>
        </w:rPr>
        <w:t>i</w:t>
      </w:r>
      <w:r w:rsidRPr="00E15FCC">
        <w:rPr>
          <w:lang w:val="en-US"/>
        </w:rPr>
        <w:t>, this may be the total number of TV channels that are denied in that area element due to considerations of EMC with existing TV stations</w:t>
      </w:r>
      <w:r w:rsidR="00434FE7">
        <w:rPr>
          <w:lang w:val="en-US"/>
        </w:rPr>
        <w:t>,</w:t>
      </w:r>
      <w:r w:rsidRPr="00E15FCC">
        <w:rPr>
          <w:lang w:val="en-US"/>
        </w:rPr>
        <w:t xml:space="preserve"> </w:t>
      </w:r>
      <w:r w:rsidRPr="00E15FCC">
        <w:rPr>
          <w:i/>
          <w:lang w:val="en-US"/>
        </w:rPr>
        <w:t>K</w:t>
      </w:r>
      <w:r w:rsidRPr="00E15FCC">
        <w:rPr>
          <w:i/>
          <w:vertAlign w:val="subscript"/>
          <w:lang w:val="en-US"/>
        </w:rPr>
        <w:t>i</w:t>
      </w:r>
      <w:r w:rsidRPr="00E15FCC">
        <w:rPr>
          <w:lang w:val="en-US"/>
        </w:rPr>
        <w:t xml:space="preserve">, or it may be the proportion: </w:t>
      </w:r>
      <w:r w:rsidRPr="00C12926">
        <w:rPr>
          <w:position w:val="-24"/>
        </w:rPr>
        <w:object w:dxaOrig="820" w:dyaOrig="620">
          <v:shape id="_x0000_i1077" type="#_x0000_t75" style="width:40.8pt;height:31.2pt" o:ole="" fillcolor="window">
            <v:imagedata r:id="rId122" o:title=""/>
          </v:shape>
          <o:OLEObject Type="Embed" ProgID="Equation.3" ShapeID="_x0000_i1077" DrawAspect="Content" ObjectID="_1370947809" r:id="rId123"/>
        </w:object>
      </w:r>
      <w:r w:rsidRPr="00E15FCC">
        <w:rPr>
          <w:lang w:val="en-US"/>
        </w:rPr>
        <w:t xml:space="preserve">, where </w:t>
      </w:r>
      <w:r w:rsidRPr="00E15FCC">
        <w:rPr>
          <w:i/>
          <w:iCs/>
          <w:lang w:val="en-US"/>
        </w:rPr>
        <w:t>K</w:t>
      </w:r>
      <w:r w:rsidRPr="00E15FCC">
        <w:rPr>
          <w:lang w:val="en-US"/>
        </w:rPr>
        <w:t xml:space="preserve"> is the total number of TV channels. It is considered that EMC conditions are not met in a given TV channel if the harmful interference generated by one or more of the existing TV transmitters prevents the normal operation of receivers working with the new TV transmitter, or if the new TV transmitter, transmitting signals at the frequency of that channel, creates unacceptable interference for receivers in communication with the existing television transmitters, including those which are operating in some other TV channels. Interference must be considered in co-channels and in the adjacent, heterodyne and image channels.</w:t>
      </w:r>
    </w:p>
    <w:p w:rsidR="00E15FCC" w:rsidRPr="00E15FCC" w:rsidRDefault="00E15FCC" w:rsidP="008741ED">
      <w:pPr>
        <w:keepLines/>
        <w:rPr>
          <w:lang w:val="en-US"/>
        </w:rPr>
      </w:pPr>
      <w:r w:rsidRPr="00E15FCC">
        <w:rPr>
          <w:lang w:val="en-US"/>
        </w:rPr>
        <w:lastRenderedPageBreak/>
        <w:t xml:space="preserve">Because the limitations depend on the position of the theoretical new TV transmitter, multiple results are obtained. They can be simplified by taking the limitations derived for different locations in the territory in question and performing a suitable calculation. The best way is to calculate the weighted average of the limitations at all the theoretical locations of the new transmitter, taking as the weighting factor the proportion of the population that lives in the vicinity of each location. This makes it possible, first, to recognize that the value of spectrum allotted to television systems increases with local population density. Second, it harmonizes the two indicators used to characterize spectrum utilization, </w:t>
      </w:r>
      <w:r w:rsidRPr="00E15FCC">
        <w:rPr>
          <w:i/>
          <w:iCs/>
          <w:lang w:val="en-US"/>
        </w:rPr>
        <w:t xml:space="preserve">M </w:t>
      </w:r>
      <w:r w:rsidRPr="00E15FCC">
        <w:rPr>
          <w:lang w:val="en-US"/>
        </w:rPr>
        <w:t xml:space="preserve">and </w:t>
      </w:r>
      <w:r w:rsidRPr="00E15FCC">
        <w:rPr>
          <w:i/>
          <w:iCs/>
          <w:lang w:val="en-US"/>
        </w:rPr>
        <w:t>U</w:t>
      </w:r>
      <w:r w:rsidRPr="00E15FCC">
        <w:rPr>
          <w:lang w:val="en-US"/>
        </w:rPr>
        <w:t>. The spectrum utilization factor can thus be determined using the equation:</w:t>
      </w:r>
    </w:p>
    <w:p w:rsidR="008741ED" w:rsidRDefault="008741ED" w:rsidP="008741ED">
      <w:pPr>
        <w:pStyle w:val="Blanc"/>
      </w:pPr>
    </w:p>
    <w:p w:rsidR="00E15FCC" w:rsidRPr="00E15FCC" w:rsidRDefault="00E15FCC" w:rsidP="00E15FCC">
      <w:pPr>
        <w:pStyle w:val="Equation"/>
        <w:rPr>
          <w:lang w:val="en-US"/>
        </w:rPr>
      </w:pPr>
      <w:r w:rsidRPr="00E15FCC">
        <w:rPr>
          <w:lang w:val="en-US"/>
        </w:rPr>
        <w:tab/>
      </w:r>
      <w:r w:rsidRPr="00E15FCC">
        <w:rPr>
          <w:lang w:val="en-US"/>
        </w:rPr>
        <w:tab/>
      </w:r>
      <w:r w:rsidRPr="00C12926">
        <w:rPr>
          <w:position w:val="-30"/>
        </w:rPr>
        <w:object w:dxaOrig="1160" w:dyaOrig="720">
          <v:shape id="_x0000_i1078" type="#_x0000_t75" style="width:58.2pt;height:36pt" o:ole="" fillcolor="window">
            <v:imagedata r:id="rId124" o:title=""/>
          </v:shape>
          <o:OLEObject Type="Embed" ProgID="Equation.3" ShapeID="_x0000_i1078" DrawAspect="Content" ObjectID="_1370947810" r:id="rId125"/>
        </w:object>
      </w:r>
      <w:r w:rsidRPr="00E15FCC">
        <w:rPr>
          <w:lang w:val="en-US"/>
        </w:rPr>
        <w:tab/>
        <w:t>(47)</w:t>
      </w:r>
    </w:p>
    <w:p w:rsidR="008741ED" w:rsidRDefault="008741ED" w:rsidP="008741ED">
      <w:pPr>
        <w:pStyle w:val="Blanc"/>
      </w:pPr>
    </w:p>
    <w:p w:rsidR="00E15FCC" w:rsidRPr="00E15FCC" w:rsidRDefault="00E15FCC" w:rsidP="00E15FCC">
      <w:pPr>
        <w:rPr>
          <w:lang w:val="en-US"/>
        </w:rPr>
      </w:pPr>
      <w:r w:rsidRPr="00E15FCC">
        <w:rPr>
          <w:lang w:val="en-US"/>
        </w:rPr>
        <w:t>where:</w:t>
      </w:r>
    </w:p>
    <w:p w:rsidR="00E15FCC" w:rsidRPr="00C12926" w:rsidRDefault="00E15FCC" w:rsidP="00E15FCC">
      <w:pPr>
        <w:pStyle w:val="Equationlegend"/>
      </w:pPr>
      <w:r w:rsidRPr="00C12926">
        <w:tab/>
      </w:r>
      <w:r w:rsidRPr="00C12926">
        <w:rPr>
          <w:position w:val="-24"/>
        </w:rPr>
        <w:object w:dxaOrig="820" w:dyaOrig="620">
          <v:shape id="_x0000_i1079" type="#_x0000_t75" style="width:40.8pt;height:31.2pt" o:ole="" fillcolor="window">
            <v:imagedata r:id="rId126" o:title=""/>
          </v:shape>
          <o:OLEObject Type="Embed" ProgID="Equation.3" ShapeID="_x0000_i1079" DrawAspect="Content" ObjectID="_1370947811" r:id="rId127"/>
        </w:object>
      </w:r>
      <w:r>
        <w:t xml:space="preserve">: </w:t>
      </w:r>
      <w:r>
        <w:tab/>
      </w:r>
      <w:r w:rsidRPr="00C12926">
        <w:t xml:space="preserve">the proportion of bands denied to the theoretical new TV transmitter situated at the centre of the </w:t>
      </w:r>
      <w:r w:rsidRPr="00C12926">
        <w:rPr>
          <w:i/>
          <w:iCs/>
        </w:rPr>
        <w:t>i-</w:t>
      </w:r>
      <w:r w:rsidRPr="00C12926">
        <w:t>th area element.</w:t>
      </w:r>
    </w:p>
    <w:p w:rsidR="00E15FCC" w:rsidRPr="00E15FCC" w:rsidRDefault="00E15FCC" w:rsidP="00E15FCC">
      <w:pPr>
        <w:pStyle w:val="Heading2"/>
        <w:rPr>
          <w:lang w:val="en-US"/>
        </w:rPr>
      </w:pPr>
      <w:r w:rsidRPr="00E15FCC">
        <w:rPr>
          <w:lang w:val="en-US"/>
        </w:rPr>
        <w:t>3.4</w:t>
      </w:r>
      <w:r w:rsidRPr="00E15FCC">
        <w:rPr>
          <w:lang w:val="en-US"/>
        </w:rPr>
        <w:tab/>
        <w:t>Calculating SUE for TV broadcasting systems</w:t>
      </w:r>
    </w:p>
    <w:p w:rsidR="00E15FCC" w:rsidRPr="00E15FCC" w:rsidRDefault="00E15FCC" w:rsidP="00E15FCC">
      <w:pPr>
        <w:rPr>
          <w:lang w:val="en-US"/>
        </w:rPr>
      </w:pPr>
      <w:r w:rsidRPr="00E15FCC">
        <w:rPr>
          <w:lang w:val="en-US"/>
        </w:rPr>
        <w:t>To assess the efficiency of spectrum utilization by TV broadcasting systems, the following steps are recommended:</w:t>
      </w:r>
    </w:p>
    <w:p w:rsidR="00E15FCC" w:rsidRPr="00E15FCC" w:rsidRDefault="00E15FCC" w:rsidP="00E15FCC">
      <w:pPr>
        <w:pStyle w:val="enumlev1"/>
        <w:rPr>
          <w:lang w:val="en-US"/>
        </w:rPr>
      </w:pPr>
      <w:r w:rsidRPr="00E15FCC">
        <w:rPr>
          <w:lang w:val="en-US"/>
        </w:rPr>
        <w:t>–</w:t>
      </w:r>
      <w:r w:rsidRPr="00E15FCC">
        <w:rPr>
          <w:lang w:val="en-US"/>
        </w:rPr>
        <w:tab/>
        <w:t>Divide the geographical area into elements measuring 3 to 5 km square.</w:t>
      </w:r>
    </w:p>
    <w:p w:rsidR="00E15FCC" w:rsidRPr="00E15FCC" w:rsidRDefault="00E15FCC" w:rsidP="00E15FCC">
      <w:pPr>
        <w:pStyle w:val="enumlev1"/>
        <w:rPr>
          <w:lang w:val="en-US"/>
        </w:rPr>
      </w:pPr>
      <w:r w:rsidRPr="00E15FCC">
        <w:rPr>
          <w:lang w:val="en-US"/>
        </w:rPr>
        <w:t>–</w:t>
      </w:r>
      <w:r w:rsidRPr="00E15FCC">
        <w:rPr>
          <w:lang w:val="en-US"/>
        </w:rPr>
        <w:tab/>
        <w:t xml:space="preserve">Determine the proportion of the total population living in the </w:t>
      </w:r>
      <w:r w:rsidRPr="00E15FCC">
        <w:rPr>
          <w:i/>
          <w:iCs/>
          <w:lang w:val="en-US"/>
        </w:rPr>
        <w:t>i-</w:t>
      </w:r>
      <w:r w:rsidRPr="00E15FCC">
        <w:rPr>
          <w:lang w:val="en-US"/>
        </w:rPr>
        <w:t xml:space="preserve">th area element </w:t>
      </w:r>
      <w:r w:rsidRPr="00C12926">
        <w:sym w:font="Symbol" w:char="F061"/>
      </w:r>
      <w:r w:rsidRPr="00E15FCC">
        <w:rPr>
          <w:i/>
          <w:vertAlign w:val="subscript"/>
          <w:lang w:val="en-US"/>
        </w:rPr>
        <w:t>i</w:t>
      </w:r>
      <w:r w:rsidRPr="00E15FCC">
        <w:rPr>
          <w:lang w:val="en-US"/>
        </w:rPr>
        <w:t>.</w:t>
      </w:r>
    </w:p>
    <w:p w:rsidR="00E15FCC" w:rsidRPr="00E15FCC" w:rsidRDefault="00E15FCC" w:rsidP="00E15FCC">
      <w:pPr>
        <w:pStyle w:val="enumlev1"/>
        <w:rPr>
          <w:lang w:val="en-US"/>
        </w:rPr>
      </w:pPr>
      <w:r w:rsidRPr="00E15FCC">
        <w:rPr>
          <w:lang w:val="en-US"/>
        </w:rPr>
        <w:t>–</w:t>
      </w:r>
      <w:r w:rsidRPr="00E15FCC">
        <w:rPr>
          <w:lang w:val="en-US"/>
        </w:rPr>
        <w:tab/>
        <w:t xml:space="preserve">Determine the service area radii of existing TV system transmitters, </w:t>
      </w:r>
      <w:r w:rsidRPr="00E15FCC">
        <w:rPr>
          <w:i/>
          <w:lang w:val="en-US"/>
        </w:rPr>
        <w:t>R</w:t>
      </w:r>
      <w:r w:rsidRPr="00E15FCC">
        <w:rPr>
          <w:i/>
          <w:vertAlign w:val="subscript"/>
          <w:lang w:val="en-US"/>
        </w:rPr>
        <w:t>s</w:t>
      </w:r>
      <w:r w:rsidRPr="00E15FCC">
        <w:rPr>
          <w:lang w:val="en-US"/>
        </w:rPr>
        <w:t>, on the basis of their technical characteristics.</w:t>
      </w:r>
    </w:p>
    <w:p w:rsidR="00E15FCC" w:rsidRPr="00E15FCC" w:rsidRDefault="00E15FCC" w:rsidP="00E15FCC">
      <w:pPr>
        <w:pStyle w:val="enumlev1"/>
        <w:rPr>
          <w:lang w:val="en-US"/>
        </w:rPr>
      </w:pPr>
      <w:r w:rsidRPr="00E15FCC">
        <w:rPr>
          <w:lang w:val="en-US"/>
        </w:rPr>
        <w:t>–</w:t>
      </w:r>
      <w:r w:rsidRPr="00E15FCC">
        <w:rPr>
          <w:lang w:val="en-US"/>
        </w:rPr>
        <w:tab/>
        <w:t xml:space="preserve">Calculate the distances from the centre of each area element </w:t>
      </w:r>
      <w:r w:rsidRPr="00E15FCC">
        <w:rPr>
          <w:i/>
          <w:iCs/>
          <w:lang w:val="en-US"/>
        </w:rPr>
        <w:t>i</w:t>
      </w:r>
      <w:r w:rsidRPr="00E15FCC">
        <w:rPr>
          <w:lang w:val="en-US"/>
        </w:rPr>
        <w:t xml:space="preserve"> to the transmitters of existing systems </w:t>
      </w:r>
      <w:r w:rsidRPr="00E15FCC">
        <w:rPr>
          <w:i/>
          <w:lang w:val="en-US"/>
        </w:rPr>
        <w:t>R</w:t>
      </w:r>
      <w:r w:rsidRPr="00E15FCC">
        <w:rPr>
          <w:i/>
          <w:vertAlign w:val="subscript"/>
          <w:lang w:val="en-US"/>
        </w:rPr>
        <w:t>ij</w:t>
      </w:r>
      <w:r w:rsidRPr="00E15FCC">
        <w:rPr>
          <w:lang w:val="en-US"/>
        </w:rPr>
        <w:t>.</w:t>
      </w:r>
    </w:p>
    <w:p w:rsidR="00E15FCC" w:rsidRPr="00E15FCC" w:rsidRDefault="00E15FCC" w:rsidP="00E15FCC">
      <w:pPr>
        <w:pStyle w:val="enumlev1"/>
        <w:rPr>
          <w:lang w:val="en-US"/>
        </w:rPr>
      </w:pPr>
      <w:r w:rsidRPr="00E15FCC">
        <w:rPr>
          <w:lang w:val="en-US"/>
        </w:rPr>
        <w:t>–</w:t>
      </w:r>
      <w:r w:rsidRPr="00E15FCC">
        <w:rPr>
          <w:lang w:val="en-US"/>
        </w:rPr>
        <w:tab/>
        <w:t xml:space="preserve">For each area element, determine the number of existing TV transmitters in whose service area it falls by comparing </w:t>
      </w:r>
      <w:r w:rsidRPr="00E15FCC">
        <w:rPr>
          <w:i/>
          <w:lang w:val="en-US"/>
        </w:rPr>
        <w:t>R</w:t>
      </w:r>
      <w:r w:rsidRPr="00E15FCC">
        <w:rPr>
          <w:i/>
          <w:vertAlign w:val="subscript"/>
          <w:lang w:val="en-US"/>
        </w:rPr>
        <w:t>s</w:t>
      </w:r>
      <w:r w:rsidRPr="00E15FCC">
        <w:rPr>
          <w:i/>
          <w:lang w:val="en-US"/>
        </w:rPr>
        <w:t xml:space="preserve"> </w:t>
      </w:r>
      <w:r w:rsidRPr="00E15FCC">
        <w:rPr>
          <w:lang w:val="en-US"/>
        </w:rPr>
        <w:t>and</w:t>
      </w:r>
      <w:r w:rsidRPr="00E15FCC">
        <w:rPr>
          <w:i/>
          <w:lang w:val="en-US"/>
        </w:rPr>
        <w:t xml:space="preserve"> R</w:t>
      </w:r>
      <w:r w:rsidRPr="00E15FCC">
        <w:rPr>
          <w:i/>
          <w:vertAlign w:val="subscript"/>
          <w:lang w:val="en-US"/>
        </w:rPr>
        <w:t>ij</w:t>
      </w:r>
      <w:r w:rsidRPr="00E15FCC">
        <w:rPr>
          <w:lang w:val="en-US"/>
        </w:rPr>
        <w:t>.</w:t>
      </w:r>
    </w:p>
    <w:p w:rsidR="00E15FCC" w:rsidRPr="00E15FCC" w:rsidRDefault="00E15FCC" w:rsidP="00E15FCC">
      <w:pPr>
        <w:pStyle w:val="enumlev1"/>
        <w:rPr>
          <w:lang w:val="en-US"/>
        </w:rPr>
      </w:pPr>
      <w:r w:rsidRPr="00E15FCC">
        <w:rPr>
          <w:lang w:val="en-US"/>
        </w:rPr>
        <w:t>–</w:t>
      </w:r>
      <w:r w:rsidRPr="00E15FCC">
        <w:rPr>
          <w:lang w:val="en-US"/>
        </w:rPr>
        <w:tab/>
        <w:t>Generalize the results obtained for the individual area elements and calculate the useful effect using equation (46).</w:t>
      </w:r>
    </w:p>
    <w:p w:rsidR="00E15FCC" w:rsidRPr="00E15FCC" w:rsidRDefault="00E15FCC" w:rsidP="00E15FCC">
      <w:pPr>
        <w:pStyle w:val="enumlev1"/>
        <w:rPr>
          <w:lang w:val="en-US"/>
        </w:rPr>
      </w:pPr>
      <w:r w:rsidRPr="00E15FCC">
        <w:rPr>
          <w:lang w:val="en-US"/>
        </w:rPr>
        <w:t>–</w:t>
      </w:r>
      <w:r w:rsidRPr="00E15FCC">
        <w:rPr>
          <w:lang w:val="en-US"/>
        </w:rPr>
        <w:tab/>
        <w:t xml:space="preserve">Simulate a transmitter of the new system in the centre of the area element, and calculate the </w:t>
      </w:r>
      <w:r w:rsidR="005515B9" w:rsidRPr="005515B9">
        <w:rPr>
          <w:i/>
          <w:lang w:val="en-US"/>
        </w:rPr>
        <w:t>S</w:t>
      </w:r>
      <w:r w:rsidR="005515B9">
        <w:rPr>
          <w:lang w:val="en-US"/>
        </w:rPr>
        <w:t>/</w:t>
      </w:r>
      <w:r w:rsidR="005515B9" w:rsidRPr="005515B9">
        <w:rPr>
          <w:i/>
          <w:lang w:val="en-US"/>
        </w:rPr>
        <w:t>N</w:t>
      </w:r>
      <w:r w:rsidRPr="00E15FCC">
        <w:rPr>
          <w:lang w:val="en-US"/>
        </w:rPr>
        <w:t xml:space="preserve"> ratios at the inputs of receivers communicating with the existing and new TV transmitters.</w:t>
      </w:r>
    </w:p>
    <w:p w:rsidR="00E15FCC" w:rsidRPr="00E15FCC" w:rsidRDefault="00E15FCC" w:rsidP="00E15FCC">
      <w:pPr>
        <w:pStyle w:val="enumlev1"/>
        <w:rPr>
          <w:lang w:val="en-US"/>
        </w:rPr>
      </w:pPr>
      <w:r w:rsidRPr="00E15FCC">
        <w:rPr>
          <w:lang w:val="en-US"/>
        </w:rPr>
        <w:t>–</w:t>
      </w:r>
      <w:r w:rsidRPr="00E15FCC">
        <w:rPr>
          <w:lang w:val="en-US"/>
        </w:rPr>
        <w:tab/>
        <w:t>Determine the frequency bands in which EMC compliance is not achieved between, on the one hand, the new TV transmitter and receivers communicating with it, and, on the other hand, the existing TV transmitters and their receivers.</w:t>
      </w:r>
    </w:p>
    <w:p w:rsidR="00E15FCC" w:rsidRPr="00E15FCC" w:rsidRDefault="00E15FCC" w:rsidP="00E15FCC">
      <w:pPr>
        <w:pStyle w:val="enumlev1"/>
        <w:rPr>
          <w:lang w:val="en-US"/>
        </w:rPr>
      </w:pPr>
      <w:r w:rsidRPr="00E15FCC">
        <w:rPr>
          <w:lang w:val="en-US"/>
        </w:rPr>
        <w:t>–</w:t>
      </w:r>
      <w:r w:rsidRPr="00E15FCC">
        <w:rPr>
          <w:lang w:val="en-US"/>
        </w:rPr>
        <w:tab/>
        <w:t>Generalize the results obtained for the individual area elements, and use equation (47) to calculate the spectrum utilization factor.</w:t>
      </w:r>
    </w:p>
    <w:p w:rsidR="00E15FCC" w:rsidRPr="00E15FCC" w:rsidRDefault="00E15FCC" w:rsidP="00E15FCC">
      <w:pPr>
        <w:rPr>
          <w:lang w:val="en-US"/>
        </w:rPr>
      </w:pPr>
      <w:r w:rsidRPr="00E15FCC">
        <w:rPr>
          <w:lang w:val="en-US"/>
        </w:rPr>
        <w:t>The results of the assessment may be presented in the form of a geographical map showing the values of useful effect and spectrum utilization factor across the area in question (see Fig. 16), or by calculating the average value for the whole area.</w:t>
      </w:r>
    </w:p>
    <w:p w:rsidR="00E15FCC" w:rsidRPr="00E15FCC" w:rsidRDefault="00E15FCC" w:rsidP="00E15FCC">
      <w:pPr>
        <w:pStyle w:val="Heading2"/>
        <w:rPr>
          <w:lang w:val="en-US"/>
        </w:rPr>
      </w:pPr>
      <w:r w:rsidRPr="00E15FCC">
        <w:rPr>
          <w:lang w:val="en-US"/>
        </w:rPr>
        <w:lastRenderedPageBreak/>
        <w:t>3.5</w:t>
      </w:r>
      <w:r w:rsidRPr="00E15FCC">
        <w:rPr>
          <w:lang w:val="en-US"/>
        </w:rPr>
        <w:tab/>
        <w:t>Remarks on the assessment of SUE for sound broadcasting systems</w:t>
      </w:r>
    </w:p>
    <w:p w:rsidR="00E15FCC" w:rsidRPr="00E15FCC" w:rsidRDefault="00E15FCC" w:rsidP="008741ED">
      <w:pPr>
        <w:keepLines/>
        <w:rPr>
          <w:lang w:val="en-US"/>
        </w:rPr>
      </w:pPr>
      <w:r w:rsidRPr="00E15FCC">
        <w:rPr>
          <w:lang w:val="en-US"/>
        </w:rPr>
        <w:t>The nature of spectrum utilization by sound broadcasting systems is similar in many ways to that of TV broadcasting systems. Certain differences are due to the fact that a considerable, and relatively active number of users of sound broadcasting systems consists of private automobile owners and passengers. It would be useful therefore, in calculating the useful effect and the spectrum utilization factor, to take into account the fact that a large portion of the users of broadcasting services are situated along major roads and highways.</w:t>
      </w:r>
    </w:p>
    <w:p w:rsidR="00E15FCC" w:rsidRPr="00E15FCC" w:rsidRDefault="00E15FCC" w:rsidP="00E15FCC">
      <w:pPr>
        <w:rPr>
          <w:lang w:val="en-US"/>
        </w:rPr>
      </w:pPr>
      <w:r w:rsidRPr="00E15FCC">
        <w:rPr>
          <w:lang w:val="en-US"/>
        </w:rPr>
        <w:t xml:space="preserve">As with TV systems, it is proposed to calculate the useful effect as the average number of sound broadcasting programmes that a user in a given region is able to receive, </w:t>
      </w:r>
      <w:r w:rsidRPr="00E15FCC">
        <w:rPr>
          <w:i/>
          <w:lang w:val="en-US"/>
        </w:rPr>
        <w:t>k</w:t>
      </w:r>
      <w:r w:rsidRPr="00E15FCC">
        <w:rPr>
          <w:i/>
          <w:vertAlign w:val="subscript"/>
          <w:lang w:val="en-US"/>
        </w:rPr>
        <w:t>m</w:t>
      </w:r>
      <w:r w:rsidRPr="00E15FCC">
        <w:rPr>
          <w:lang w:val="en-US"/>
        </w:rPr>
        <w:t>. The spectrum utilization factor, likewise, is to be calculated as the weighted average of the estimated number of bands that are denied for a given new sound broadcasting system because EMC conditions for existing systems are not met.</w:t>
      </w:r>
    </w:p>
    <w:p w:rsidR="00E15FCC" w:rsidRPr="00E15FCC" w:rsidRDefault="00E15FCC" w:rsidP="00E15FCC">
      <w:pPr>
        <w:rPr>
          <w:lang w:val="en-US"/>
        </w:rPr>
      </w:pPr>
      <w:r w:rsidRPr="00E15FCC">
        <w:rPr>
          <w:lang w:val="en-US"/>
        </w:rPr>
        <w:t>Assessing the spectrum utilization factor for sound broadcasting system is subject to the following specific conditions:</w:t>
      </w:r>
    </w:p>
    <w:p w:rsidR="00E15FCC" w:rsidRPr="00E15FCC" w:rsidRDefault="005515B9" w:rsidP="00E15FCC">
      <w:pPr>
        <w:pStyle w:val="enumlev1"/>
        <w:rPr>
          <w:lang w:val="en-US"/>
        </w:rPr>
      </w:pPr>
      <w:r>
        <w:rPr>
          <w:lang w:val="en-US"/>
        </w:rPr>
        <w:t>–</w:t>
      </w:r>
      <w:r w:rsidR="00E15FCC" w:rsidRPr="00E15FCC">
        <w:rPr>
          <w:lang w:val="en-US"/>
        </w:rPr>
        <w:tab/>
        <w:t xml:space="preserve">The area elements containing major roads are equated to urban areas (because of the presence of users of sound broadcasting services) and the </w:t>
      </w:r>
      <w:r w:rsidR="00E15FCC" w:rsidRPr="00C12926">
        <w:rPr>
          <w:iCs/>
        </w:rPr>
        <w:sym w:font="Symbol" w:char="F061"/>
      </w:r>
      <w:r w:rsidR="00E15FCC" w:rsidRPr="00E15FCC">
        <w:rPr>
          <w:i/>
          <w:vertAlign w:val="subscript"/>
          <w:lang w:val="en-US"/>
        </w:rPr>
        <w:t>i</w:t>
      </w:r>
      <w:r w:rsidR="00E15FCC" w:rsidRPr="00E15FCC">
        <w:rPr>
          <w:lang w:val="en-US"/>
        </w:rPr>
        <w:t xml:space="preserve"> factors are determined for them accordingly.</w:t>
      </w:r>
    </w:p>
    <w:p w:rsidR="00E15FCC" w:rsidRPr="00E15FCC" w:rsidRDefault="005515B9" w:rsidP="00E15FCC">
      <w:pPr>
        <w:pStyle w:val="enumlev1"/>
        <w:rPr>
          <w:lang w:val="en-US"/>
        </w:rPr>
      </w:pPr>
      <w:r>
        <w:rPr>
          <w:lang w:val="en-US"/>
        </w:rPr>
        <w:t>–</w:t>
      </w:r>
      <w:r w:rsidR="00E15FCC" w:rsidRPr="00E15FCC">
        <w:rPr>
          <w:lang w:val="en-US"/>
        </w:rPr>
        <w:tab/>
        <w:t>In determining the spectrum utilization factor, account is taken of combinations of incompatible bands, which are typical for sound broadcasting system; thus, the fact that sound broadcasting systems can work in a common frequency band without interference in the heterodyne and image channels needs to be taken into account.</w:t>
      </w:r>
    </w:p>
    <w:p w:rsidR="00E15FCC" w:rsidRPr="00E64C3F" w:rsidRDefault="00E15FCC" w:rsidP="005515B9">
      <w:pPr>
        <w:pStyle w:val="FigureNo"/>
        <w:keepNext/>
        <w:rPr>
          <w:lang w:val="en-US"/>
        </w:rPr>
      </w:pPr>
      <w:r w:rsidRPr="00E64C3F">
        <w:rPr>
          <w:lang w:val="en-US"/>
        </w:rPr>
        <w:lastRenderedPageBreak/>
        <w:t>Figure 16</w:t>
      </w:r>
    </w:p>
    <w:p w:rsidR="005515B9" w:rsidRPr="00E64C3F" w:rsidRDefault="005515B9" w:rsidP="005515B9">
      <w:pPr>
        <w:pStyle w:val="Figuretitle"/>
        <w:rPr>
          <w:lang w:val="en-US"/>
        </w:rPr>
      </w:pPr>
      <w:r w:rsidRPr="00E64C3F">
        <w:rPr>
          <w:lang w:val="en-US"/>
        </w:rPr>
        <w:t>Assessment of spectrum utilization frequency</w:t>
      </w:r>
    </w:p>
    <w:p w:rsidR="00D11D34" w:rsidRDefault="00A45508" w:rsidP="005515B9">
      <w:pPr>
        <w:pStyle w:val="Figure"/>
      </w:pPr>
      <w:r>
        <w:object w:dxaOrig="8006" w:dyaOrig="11187">
          <v:shape id="_x0000_i1080" type="#_x0000_t75" style="width:400.2pt;height:559.2pt" o:ole="" o:allowoverlap="f">
            <v:imagedata r:id="rId128" o:title=""/>
          </v:shape>
          <o:OLEObject Type="Embed" ProgID="CorelDRAW.Graphic.12" ShapeID="_x0000_i1080" DrawAspect="Content" ObjectID="_1370947812" r:id="rId129"/>
        </w:object>
      </w:r>
    </w:p>
    <w:p w:rsidR="005515B9" w:rsidRDefault="005515B9" w:rsidP="005515B9"/>
    <w:p w:rsidR="005515B9" w:rsidRPr="005515B9" w:rsidRDefault="005515B9" w:rsidP="005515B9"/>
    <w:p w:rsidR="004B059B" w:rsidRDefault="004B059B" w:rsidP="004B059B">
      <w:pPr>
        <w:pStyle w:val="Line"/>
        <w:rPr>
          <w:lang w:val="es-ES_tradnl"/>
        </w:rPr>
      </w:pPr>
    </w:p>
    <w:p w:rsidR="004B059B" w:rsidRDefault="004B059B" w:rsidP="004B059B"/>
    <w:sectPr w:rsidR="004B059B" w:rsidSect="0088226A">
      <w:headerReference w:type="even" r:id="rId130"/>
      <w:headerReference w:type="default" r:id="rId131"/>
      <w:pgSz w:w="11907" w:h="16834" w:code="9"/>
      <w:pgMar w:top="1418" w:right="1134" w:bottom="1134" w:left="1134" w:header="720" w:footer="482" w:gutter="0"/>
      <w:paperSrc w:first="256" w:other="256"/>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1ED" w:rsidRDefault="008741ED">
      <w:r>
        <w:separator/>
      </w:r>
    </w:p>
  </w:endnote>
  <w:endnote w:type="continuationSeparator" w:id="0">
    <w:p w:rsidR="008741ED" w:rsidRDefault="00874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ED" w:rsidRPr="0088226A" w:rsidRDefault="008741ED">
    <w:pPr>
      <w:pBdr>
        <w:top w:val="single" w:sz="6" w:space="1" w:color="auto"/>
        <w:left w:val="single" w:sz="6" w:space="1" w:color="auto"/>
        <w:bottom w:val="single" w:sz="6" w:space="1" w:color="auto"/>
        <w:right w:val="single" w:sz="6" w:space="1" w:color="auto"/>
      </w:pBdr>
      <w:rPr>
        <w:lang w:val="en-US"/>
      </w:rPr>
    </w:pPr>
    <w:r w:rsidRPr="0088226A">
      <w:rPr>
        <w:b/>
        <w:lang w:val="en-US"/>
      </w:rPr>
      <w:t>Attention:</w:t>
    </w:r>
    <w:r w:rsidRPr="0088226A">
      <w:rPr>
        <w:lang w:val="en-US"/>
      </w:rPr>
      <w:t xml:space="preserve"> This is not an ITU publication made available to the public, but </w:t>
    </w:r>
    <w:r w:rsidRPr="0088226A">
      <w:rPr>
        <w:b/>
        <w:lang w:val="en-US"/>
      </w:rPr>
      <w:t>an internal ITU Document</w:t>
    </w:r>
    <w:r w:rsidRPr="0088226A">
      <w:rPr>
        <w:lang w:val="en-US"/>
      </w:rPr>
      <w:t xml:space="preserve"> intended only for use by the Member States of the ITU and by its Sector Members and their respective staff and collaborators in their ITU related work. It shall not be made available to, and used by, any other persons or entities without the prior written consent of the ITU.</w:t>
    </w:r>
  </w:p>
  <w:p w:rsidR="008741ED" w:rsidRPr="0088226A" w:rsidRDefault="008741ED">
    <w:pPr>
      <w:pStyle w:val="Footer"/>
      <w:rPr>
        <w:lang w:val="en-US"/>
      </w:rPr>
    </w:pPr>
  </w:p>
  <w:p w:rsidR="008741ED" w:rsidRPr="0088226A" w:rsidRDefault="008741ED">
    <w:pPr>
      <w:pStyle w:val="Footer"/>
      <w:rPr>
        <w:lang w:val="en-US"/>
      </w:rPr>
    </w:pPr>
    <w:r>
      <w:fldChar w:fldCharType="begin"/>
    </w:r>
    <w:r w:rsidRPr="0088226A">
      <w:rPr>
        <w:lang w:val="en-US"/>
      </w:rPr>
      <w:instrText xml:space="preserve"> FILENAME \p \* MERGEFORMAT </w:instrText>
    </w:r>
    <w:r>
      <w:fldChar w:fldCharType="separate"/>
    </w:r>
    <w:r w:rsidR="0059747D">
      <w:rPr>
        <w:lang w:val="en-US"/>
      </w:rPr>
      <w:t>P:\QPUB\BR\REC\SM\1046-2\SM1046-2E.docx</w:t>
    </w:r>
    <w:r>
      <w:fldChar w:fldCharType="end"/>
    </w:r>
    <w:r w:rsidRPr="0088226A">
      <w:rPr>
        <w:lang w:val="en-US"/>
      </w:rPr>
      <w:tab/>
    </w:r>
    <w:r>
      <w:fldChar w:fldCharType="begin"/>
    </w:r>
    <w:r>
      <w:instrText xml:space="preserve"> savedate \@ dd.MM.yy </w:instrText>
    </w:r>
    <w:r>
      <w:fldChar w:fldCharType="separate"/>
    </w:r>
    <w:r w:rsidR="00E64C3F">
      <w:t>27.06.11</w:t>
    </w:r>
    <w:r>
      <w:fldChar w:fldCharType="end"/>
    </w:r>
    <w:r w:rsidRPr="0088226A">
      <w:rPr>
        <w:lang w:val="en-US"/>
      </w:rPr>
      <w:tab/>
    </w:r>
    <w:r>
      <w:fldChar w:fldCharType="begin"/>
    </w:r>
    <w:r>
      <w:instrText xml:space="preserve"> printdate \@ dd.MM.yy </w:instrText>
    </w:r>
    <w:r>
      <w:fldChar w:fldCharType="separate"/>
    </w:r>
    <w:r w:rsidR="0059747D">
      <w:t>28.06.06</w:t>
    </w:r>
    <w:r>
      <w:fldChar w:fldCharType="end"/>
    </w:r>
  </w:p>
  <w:p w:rsidR="008741ED" w:rsidRDefault="008741ED">
    <w:pPr>
      <w:pStyle w:val="Footer"/>
    </w:pPr>
    <w:r>
      <w:t>(52072)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1ED" w:rsidRDefault="008741ED">
      <w:r>
        <w:separator/>
      </w:r>
    </w:p>
  </w:footnote>
  <w:footnote w:type="continuationSeparator" w:id="0">
    <w:p w:rsidR="008741ED" w:rsidRDefault="008741ED">
      <w:r>
        <w:continuationSeparator/>
      </w:r>
    </w:p>
  </w:footnote>
  <w:footnote w:id="1">
    <w:p w:rsidR="008741ED" w:rsidRPr="00491279" w:rsidRDefault="008741ED">
      <w:pPr>
        <w:pStyle w:val="FootnoteText"/>
        <w:rPr>
          <w:lang w:val="en-US"/>
        </w:rPr>
      </w:pPr>
      <w:r w:rsidRPr="00491279">
        <w:rPr>
          <w:rStyle w:val="FootnoteReference"/>
          <w:lang w:val="en-US"/>
        </w:rPr>
        <w:t>*</w:t>
      </w:r>
      <w:r w:rsidRPr="00491279">
        <w:rPr>
          <w:lang w:val="en-US"/>
        </w:rPr>
        <w:tab/>
        <w:t>Radiocommunication Study Group 1 made editorial amendments to this Recommendation in 2011 in accordance with Resolution ITU-R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47D" w:rsidRDefault="0059747D">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ED" w:rsidRDefault="008741ED">
    <w:pPr>
      <w:pStyle w:val="Header"/>
    </w:pPr>
    <w:r>
      <w:tab/>
    </w:r>
    <w:r>
      <w:rPr>
        <w:b/>
        <w:bCs/>
      </w:rPr>
      <w:fldChar w:fldCharType="begin"/>
    </w:r>
    <w:r>
      <w:rPr>
        <w:b/>
        <w:bCs/>
      </w:rPr>
      <w:instrText xml:space="preserve"> DOCPROPERTY "Header" \* MERGEFORMAT </w:instrText>
    </w:r>
    <w:r>
      <w:rPr>
        <w:b/>
        <w:bCs/>
      </w:rPr>
      <w:fldChar w:fldCharType="separate"/>
    </w:r>
    <w:r w:rsidR="0059747D">
      <w:rPr>
        <w:b/>
        <w:bCs/>
      </w:rPr>
      <w:t xml:space="preserve">Rec. </w:t>
    </w:r>
    <w:r>
      <w:rPr>
        <w:b/>
        <w:bCs/>
      </w:rPr>
      <w:fldChar w:fldCharType="end"/>
    </w:r>
    <w:r>
      <w:rPr>
        <w:b/>
        <w:bCs/>
      </w:rPr>
      <w:fldChar w:fldCharType="begin"/>
    </w:r>
    <w:r>
      <w:rPr>
        <w:b/>
        <w:bCs/>
      </w:rPr>
      <w:instrText>styleref href</w:instrText>
    </w:r>
    <w:r>
      <w:rPr>
        <w:b/>
        <w:bCs/>
      </w:rPr>
      <w:fldChar w:fldCharType="separate"/>
    </w:r>
    <w:r w:rsidR="00E64C3F">
      <w:rPr>
        <w:b/>
        <w:bCs/>
        <w:noProof/>
      </w:rPr>
      <w:t>ITU-R  SM.1046-2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4C3F">
      <w:rPr>
        <w:rStyle w:val="PageNumber"/>
        <w:b/>
        <w:bCs/>
        <w:noProof/>
      </w:rPr>
      <w:t>45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47D" w:rsidRDefault="0059747D" w:rsidP="00B033C8">
    <w:pPr>
      <w:pStyle w:val="Header"/>
      <w:ind w:right="360" w:firstLine="360"/>
    </w:pPr>
    <w:r>
      <w:rPr>
        <w:noProof/>
        <w:lang w:val="en-US" w:eastAsia="zh-CN"/>
      </w:rPr>
      <w:drawing>
        <wp:anchor distT="0" distB="0" distL="114300" distR="114300" simplePos="0" relativeHeight="251659776" behindDoc="1" locked="0" layoutInCell="1" allowOverlap="1" wp14:anchorId="5BCC44A5" wp14:editId="4672445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47D" w:rsidRDefault="0059747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4C3F">
      <w:rPr>
        <w:rStyle w:val="PageNumber"/>
        <w:b/>
        <w:bCs/>
        <w:noProof/>
        <w:lang w:val="en-US"/>
      </w:rPr>
      <w:t>ii</w:t>
    </w:r>
    <w:r>
      <w:rPr>
        <w:rStyle w:val="PageNumber"/>
        <w:b/>
        <w:bCs/>
      </w:rPr>
      <w:fldChar w:fldCharType="end"/>
    </w:r>
    <w:r>
      <w:rPr>
        <w:lang w:val="en-US"/>
      </w:rPr>
      <w:tab/>
    </w:r>
    <w:fldSimple w:instr=" DOCPROPERTY &quot;Header&quot; \* MERGEFORMAT ">
      <w:r w:rsidRPr="0059747D">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64C3F">
      <w:rPr>
        <w:b/>
        <w:bCs/>
        <w:noProof/>
      </w:rPr>
      <w:t>ITU-R  SM.1046-2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747D" w:rsidRDefault="0059747D">
    <w:pPr>
      <w:pStyle w:val="Header"/>
    </w:pPr>
    <w:r>
      <w:tab/>
    </w:r>
    <w:fldSimple w:instr=" DOCPROPERTY &quot;Header&quot; \* MERGEFORMAT ">
      <w:r w:rsidRPr="0059747D">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SM.1046-2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ED" w:rsidRDefault="008741ED" w:rsidP="0088226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4C3F">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9747D">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E64C3F">
      <w:rPr>
        <w:b/>
        <w:bCs/>
        <w:noProof/>
      </w:rPr>
      <w:t>ITU-R  SM.1046-2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ED" w:rsidRDefault="008741ED">
    <w:pPr>
      <w:pStyle w:val="Header"/>
    </w:pPr>
    <w:r>
      <w:tab/>
    </w:r>
    <w:r>
      <w:rPr>
        <w:b/>
        <w:bCs/>
      </w:rPr>
      <w:fldChar w:fldCharType="begin"/>
    </w:r>
    <w:r>
      <w:rPr>
        <w:b/>
        <w:bCs/>
      </w:rPr>
      <w:instrText xml:space="preserve"> DOCPROPERTY "Header" \* MERGEFORMAT </w:instrText>
    </w:r>
    <w:r>
      <w:rPr>
        <w:b/>
        <w:bCs/>
      </w:rPr>
      <w:fldChar w:fldCharType="separate"/>
    </w:r>
    <w:r w:rsidR="0059747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64C3F">
      <w:rPr>
        <w:b/>
        <w:bCs/>
        <w:noProof/>
      </w:rPr>
      <w:t>ITU-R  SM.1046-2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4C3F">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ED" w:rsidRDefault="008741ED" w:rsidP="0088226A">
    <w:pPr>
      <w:pStyle w:val="Header"/>
      <w:tabs>
        <w:tab w:val="clear" w:pos="4848"/>
        <w:tab w:val="clear" w:pos="9696"/>
        <w:tab w:val="center" w:pos="7088"/>
        <w:tab w:val="right" w:pos="14515"/>
      </w:tabs>
      <w:jc w:val="left"/>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9747D">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59747D">
      <w:rPr>
        <w:b/>
        <w:bCs/>
        <w:noProof/>
      </w:rPr>
      <w:t>ITU-R  SM.1046-2</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ED" w:rsidRDefault="008741ED" w:rsidP="00274296">
    <w:pPr>
      <w:pStyle w:val="Header"/>
      <w:tabs>
        <w:tab w:val="clear" w:pos="4848"/>
        <w:tab w:val="clear" w:pos="9696"/>
        <w:tab w:val="center" w:pos="7258"/>
        <w:tab w:val="left" w:pos="14515"/>
      </w:tabs>
    </w:pPr>
    <w:r>
      <w:tab/>
    </w:r>
    <w:r>
      <w:rPr>
        <w:b/>
        <w:bCs/>
      </w:rPr>
      <w:fldChar w:fldCharType="begin"/>
    </w:r>
    <w:r>
      <w:rPr>
        <w:b/>
        <w:bCs/>
      </w:rPr>
      <w:instrText xml:space="preserve"> DOCPROPERTY "Header" \* MERGEFORMAT </w:instrText>
    </w:r>
    <w:r>
      <w:rPr>
        <w:b/>
        <w:bCs/>
      </w:rPr>
      <w:fldChar w:fldCharType="separate"/>
    </w:r>
    <w:r w:rsidR="0059747D">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64C3F">
      <w:rPr>
        <w:b/>
        <w:bCs/>
        <w:noProof/>
      </w:rPr>
      <w:t>ITU-R  SM.1046-2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64C3F">
      <w:rPr>
        <w:rStyle w:val="PageNumber"/>
        <w:b/>
        <w:bCs/>
        <w:noProof/>
      </w:rPr>
      <w:t>19</w:t>
    </w:r>
    <w:r>
      <w:rPr>
        <w:rStyle w:val="PageNumber"/>
        <w:b/>
        <w:bCs/>
      </w:rPr>
      <w:fldChar w:fldCharType="end"/>
    </w:r>
    <w:r>
      <w:rPr>
        <w:noProof/>
        <w:lang w:val="en-US" w:eastAsia="zh-CN"/>
      </w:rPr>
      <mc:AlternateContent>
        <mc:Choice Requires="wps">
          <w:drawing>
            <wp:anchor distT="0" distB="0" distL="114300" distR="114300" simplePos="0" relativeHeight="251657728" behindDoc="0" locked="0" layoutInCell="1" allowOverlap="1" wp14:anchorId="12E11F4F" wp14:editId="617AD26B">
              <wp:simplePos x="0" y="0"/>
              <wp:positionH relativeFrom="column">
                <wp:posOffset>9361170</wp:posOffset>
              </wp:positionH>
              <wp:positionV relativeFrom="paragraph">
                <wp:posOffset>327660</wp:posOffset>
              </wp:positionV>
              <wp:extent cx="360045" cy="62998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629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41ED" w:rsidRDefault="008741ED">
                          <w:pPr>
                            <w:pStyle w:val="Header"/>
                          </w:pPr>
                          <w:r>
                            <w:tab/>
                          </w:r>
                          <w:r>
                            <w:tab/>
                          </w:r>
                          <w:r>
                            <w:fldChar w:fldCharType="begin"/>
                          </w:r>
                          <w:r>
                            <w:instrText>PAGE</w:instrText>
                          </w:r>
                          <w:r>
                            <w:fldChar w:fldCharType="separate"/>
                          </w:r>
                          <w:r w:rsidR="00E64C3F">
                            <w:rPr>
                              <w:noProof/>
                            </w:rPr>
                            <w:t>19</w:t>
                          </w:r>
                          <w:r>
                            <w:fldChar w:fldCharType="end"/>
                          </w:r>
                        </w:p>
                        <w:p w:rsidR="008741ED" w:rsidRDefault="008741ED">
                          <w:pPr>
                            <w:spacing w:before="0"/>
                          </w:pPr>
                        </w:p>
                        <w:p w:rsidR="008741ED" w:rsidRDefault="008741ED">
                          <w:pPr>
                            <w:spacing w:before="0"/>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737.1pt;margin-top:25.8pt;width:28.35pt;height:496.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" filled="f" stroked="f">
              <v:textbox style="layout-flow:vertical">
                <w:txbxContent>
                  <w:p w:rsidR="008741ED" w:rsidRDefault="008741ED">
                    <w:pPr>
                      <w:pStyle w:val="Header"/>
                    </w:pPr>
                    <w:r>
                      <w:tab/>
                    </w:r>
                    <w:r>
                      <w:tab/>
                    </w:r>
                    <w:r>
                      <w:fldChar w:fldCharType="begin"/>
                    </w:r>
                    <w:r>
                      <w:instrText>PAGE</w:instrText>
                    </w:r>
                    <w:r>
                      <w:fldChar w:fldCharType="separate"/>
                    </w:r>
                    <w:r w:rsidR="00E64C3F">
                      <w:rPr>
                        <w:noProof/>
                      </w:rPr>
                      <w:t>19</w:t>
                    </w:r>
                    <w:r>
                      <w:fldChar w:fldCharType="end"/>
                    </w:r>
                  </w:p>
                  <w:p w:rsidR="008741ED" w:rsidRDefault="008741ED">
                    <w:pPr>
                      <w:spacing w:before="0"/>
                    </w:pPr>
                  </w:p>
                  <w:p w:rsidR="008741ED" w:rsidRDefault="008741ED">
                    <w:pPr>
                      <w:spacing w:before="0"/>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1ED" w:rsidRDefault="008741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64C3F">
      <w:rPr>
        <w:rStyle w:val="PageNumber"/>
        <w:b/>
        <w:bCs/>
        <w:noProof/>
        <w:lang w:val="en-US"/>
      </w:rPr>
      <w:t>44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59747D">
      <w:rPr>
        <w:b/>
        <w:bCs/>
        <w:lang w:val="en-US"/>
      </w:rPr>
      <w:t xml:space="preserve">Rec. </w:t>
    </w:r>
    <w:r>
      <w:rPr>
        <w:b/>
        <w:bCs/>
      </w:rPr>
      <w:fldChar w:fldCharType="end"/>
    </w:r>
    <w:r>
      <w:rPr>
        <w:b/>
        <w:bCs/>
      </w:rPr>
      <w:fldChar w:fldCharType="begin"/>
    </w:r>
    <w:r>
      <w:rPr>
        <w:b/>
        <w:bCs/>
        <w:lang w:val="en-US"/>
      </w:rPr>
      <w:instrText>styleref href</w:instrText>
    </w:r>
    <w:r>
      <w:rPr>
        <w:b/>
        <w:bCs/>
      </w:rPr>
      <w:fldChar w:fldCharType="separate"/>
    </w:r>
    <w:r w:rsidR="00E64C3F">
      <w:rPr>
        <w:b/>
        <w:bCs/>
        <w:noProof/>
      </w:rPr>
      <w:t>ITU-R  SM.1046-2</w:t>
    </w:r>
    <w:r>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226A"/>
    <w:rsid w:val="00094188"/>
    <w:rsid w:val="00121D42"/>
    <w:rsid w:val="001C2D6E"/>
    <w:rsid w:val="00274296"/>
    <w:rsid w:val="00281ED9"/>
    <w:rsid w:val="00434FE7"/>
    <w:rsid w:val="00483296"/>
    <w:rsid w:val="00491279"/>
    <w:rsid w:val="004B059B"/>
    <w:rsid w:val="004F0EE7"/>
    <w:rsid w:val="005515B9"/>
    <w:rsid w:val="0059747D"/>
    <w:rsid w:val="00683D05"/>
    <w:rsid w:val="006A02DC"/>
    <w:rsid w:val="00706114"/>
    <w:rsid w:val="007473D5"/>
    <w:rsid w:val="00795F03"/>
    <w:rsid w:val="007A243E"/>
    <w:rsid w:val="008741ED"/>
    <w:rsid w:val="0088226A"/>
    <w:rsid w:val="0098081A"/>
    <w:rsid w:val="009A2372"/>
    <w:rsid w:val="009A3FC5"/>
    <w:rsid w:val="00A45508"/>
    <w:rsid w:val="00AF4004"/>
    <w:rsid w:val="00BB5B3D"/>
    <w:rsid w:val="00CA61BF"/>
    <w:rsid w:val="00D11D34"/>
    <w:rsid w:val="00E15FCC"/>
    <w:rsid w:val="00E6129A"/>
    <w:rsid w:val="00E64C3F"/>
    <w:rsid w:val="00EB73B7"/>
    <w:rsid w:val="00ED2F9B"/>
    <w:rsid w:val="00EF2C77"/>
    <w:rsid w:val="00F60F70"/>
    <w:rsid w:val="00F94F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210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
    <w:name w:val="Table_#"/>
    <w:basedOn w:val="Normal"/>
    <w:next w:val="TableTitle0"/>
    <w:rsid w:val="004B059B"/>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4B059B"/>
    <w:pPr>
      <w:spacing w:before="0"/>
    </w:pPr>
    <w:rPr>
      <w:b/>
    </w:rPr>
  </w:style>
  <w:style w:type="paragraph" w:customStyle="1" w:styleId="TableText0">
    <w:name w:val="Table_Text"/>
    <w:basedOn w:val="TableLegend0"/>
    <w:rsid w:val="004B059B"/>
    <w:pPr>
      <w:spacing w:before="100" w:after="100" w:line="190" w:lineRule="exact"/>
      <w:ind w:left="0" w:right="0"/>
    </w:pPr>
  </w:style>
  <w:style w:type="paragraph" w:customStyle="1" w:styleId="TableLegend0">
    <w:name w:val="Table_Legend"/>
    <w:basedOn w:val="Normal"/>
    <w:next w:val="Normal"/>
    <w:rsid w:val="004B059B"/>
    <w:pPr>
      <w:keepNext/>
      <w:spacing w:before="86" w:line="199" w:lineRule="exact"/>
      <w:ind w:left="-85" w:right="-85"/>
    </w:pPr>
    <w:rPr>
      <w:sz w:val="18"/>
      <w:lang w:val="en-GB"/>
    </w:rPr>
  </w:style>
  <w:style w:type="paragraph" w:styleId="CommentText">
    <w:name w:val="annotation text"/>
    <w:basedOn w:val="Normal"/>
    <w:semiHidden/>
    <w:rsid w:val="004B059B"/>
    <w:pPr>
      <w:spacing w:before="136"/>
    </w:pPr>
    <w:rPr>
      <w:sz w:val="20"/>
      <w:lang w:val="en-GB"/>
    </w:rPr>
  </w:style>
  <w:style w:type="character" w:styleId="Hyperlink">
    <w:name w:val="Hyperlink"/>
    <w:basedOn w:val="DefaultParagraphFont"/>
    <w:rsid w:val="0059747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
    <w:name w:val="Table_#"/>
    <w:basedOn w:val="Normal"/>
    <w:next w:val="TableTitle0"/>
    <w:rsid w:val="004B059B"/>
    <w:pPr>
      <w:keepNext/>
      <w:tabs>
        <w:tab w:val="clear" w:pos="794"/>
        <w:tab w:val="clear" w:pos="1191"/>
        <w:tab w:val="clear" w:pos="1588"/>
        <w:tab w:val="clear" w:pos="1985"/>
      </w:tabs>
      <w:spacing w:before="567" w:after="113"/>
      <w:jc w:val="center"/>
    </w:pPr>
    <w:rPr>
      <w:sz w:val="18"/>
      <w:lang w:val="en-GB"/>
    </w:rPr>
  </w:style>
  <w:style w:type="paragraph" w:customStyle="1" w:styleId="TableTitle0">
    <w:name w:val="Table_Title"/>
    <w:basedOn w:val="Table"/>
    <w:next w:val="Blanc"/>
    <w:rsid w:val="004B059B"/>
    <w:pPr>
      <w:spacing w:before="0"/>
    </w:pPr>
    <w:rPr>
      <w:b/>
    </w:rPr>
  </w:style>
  <w:style w:type="paragraph" w:customStyle="1" w:styleId="TableText0">
    <w:name w:val="Table_Text"/>
    <w:basedOn w:val="TableLegend0"/>
    <w:rsid w:val="004B059B"/>
    <w:pPr>
      <w:spacing w:before="100" w:after="100" w:line="190" w:lineRule="exact"/>
      <w:ind w:left="0" w:right="0"/>
    </w:pPr>
  </w:style>
  <w:style w:type="paragraph" w:customStyle="1" w:styleId="TableLegend0">
    <w:name w:val="Table_Legend"/>
    <w:basedOn w:val="Normal"/>
    <w:next w:val="Normal"/>
    <w:rsid w:val="004B059B"/>
    <w:pPr>
      <w:keepNext/>
      <w:spacing w:before="86" w:line="199" w:lineRule="exact"/>
      <w:ind w:left="-85" w:right="-85"/>
    </w:pPr>
    <w:rPr>
      <w:sz w:val="18"/>
      <w:lang w:val="en-GB"/>
    </w:rPr>
  </w:style>
  <w:style w:type="paragraph" w:styleId="CommentText">
    <w:name w:val="annotation text"/>
    <w:basedOn w:val="Normal"/>
    <w:semiHidden/>
    <w:rsid w:val="004B059B"/>
    <w:pPr>
      <w:spacing w:before="136"/>
    </w:pPr>
    <w:rPr>
      <w:sz w:val="20"/>
      <w:lang w:val="en-GB"/>
    </w:rPr>
  </w:style>
  <w:style w:type="character" w:styleId="Hyperlink">
    <w:name w:val="Hyperlink"/>
    <w:basedOn w:val="DefaultParagraphFont"/>
    <w:rsid w:val="0059747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oleObject" Target="embeddings/oleObject50.bin"/><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image" Target="media/image35.wmf"/><Relationship Id="rId89" Type="http://schemas.openxmlformats.org/officeDocument/2006/relationships/oleObject" Target="embeddings/oleObject36.bin"/><Relationship Id="rId112" Type="http://schemas.openxmlformats.org/officeDocument/2006/relationships/image" Target="media/image49.wmf"/><Relationship Id="rId133"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oleObject45.bin"/><Relationship Id="rId11" Type="http://schemas.openxmlformats.org/officeDocument/2006/relationships/header" Target="header3.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header" Target="header7.xml"/><Relationship Id="rId79" Type="http://schemas.openxmlformats.org/officeDocument/2006/relationships/oleObject" Target="embeddings/oleObject31.bin"/><Relationship Id="rId102" Type="http://schemas.openxmlformats.org/officeDocument/2006/relationships/image" Target="media/image44.wmf"/><Relationship Id="rId123" Type="http://schemas.openxmlformats.org/officeDocument/2006/relationships/oleObject" Target="embeddings/oleObject53.bin"/><Relationship Id="rId128" Type="http://schemas.openxmlformats.org/officeDocument/2006/relationships/image" Target="media/image57.wmf"/><Relationship Id="rId5" Type="http://schemas.openxmlformats.org/officeDocument/2006/relationships/footnotes" Target="footnotes.xml"/><Relationship Id="rId90" Type="http://schemas.openxmlformats.org/officeDocument/2006/relationships/image" Target="media/image38.wmf"/><Relationship Id="rId95" Type="http://schemas.openxmlformats.org/officeDocument/2006/relationships/oleObject" Target="embeddings/oleObject39.bin"/><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0.wmf"/><Relationship Id="rId77" Type="http://schemas.openxmlformats.org/officeDocument/2006/relationships/oleObject" Target="embeddings/oleObject30.bin"/><Relationship Id="rId100" Type="http://schemas.openxmlformats.org/officeDocument/2006/relationships/image" Target="media/image43.wmf"/><Relationship Id="rId105" Type="http://schemas.openxmlformats.org/officeDocument/2006/relationships/oleObject" Target="embeddings/oleObject44.bin"/><Relationship Id="rId113" Type="http://schemas.openxmlformats.org/officeDocument/2006/relationships/oleObject" Target="embeddings/oleObject48.bin"/><Relationship Id="rId118" Type="http://schemas.openxmlformats.org/officeDocument/2006/relationships/image" Target="media/image52.wmf"/><Relationship Id="rId126" Type="http://schemas.openxmlformats.org/officeDocument/2006/relationships/image" Target="media/image56.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header" Target="header6.xml"/><Relationship Id="rId80" Type="http://schemas.openxmlformats.org/officeDocument/2006/relationships/image" Target="media/image33.wmf"/><Relationship Id="rId85" Type="http://schemas.openxmlformats.org/officeDocument/2006/relationships/oleObject" Target="embeddings/oleObject34.bin"/><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oleObject" Target="embeddings/oleObject52.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5.wmf"/><Relationship Id="rId67" Type="http://schemas.openxmlformats.org/officeDocument/2006/relationships/image" Target="media/image29.wmf"/><Relationship Id="rId103" Type="http://schemas.openxmlformats.org/officeDocument/2006/relationships/oleObject" Target="embeddings/oleObject43.bin"/><Relationship Id="rId108" Type="http://schemas.openxmlformats.org/officeDocument/2006/relationships/image" Target="media/image47.wmf"/><Relationship Id="rId116" Type="http://schemas.openxmlformats.org/officeDocument/2006/relationships/image" Target="media/image51.wmf"/><Relationship Id="rId124" Type="http://schemas.openxmlformats.org/officeDocument/2006/relationships/image" Target="media/image55.wmf"/><Relationship Id="rId129" Type="http://schemas.openxmlformats.org/officeDocument/2006/relationships/oleObject" Target="embeddings/oleObject56.bin"/><Relationship Id="rId20" Type="http://schemas.openxmlformats.org/officeDocument/2006/relationships/oleObject" Target="embeddings/oleObject4.bin"/><Relationship Id="rId41" Type="http://schemas.openxmlformats.org/officeDocument/2006/relationships/image" Target="media/image16.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header" Target="header8.xml"/><Relationship Id="rId83" Type="http://schemas.openxmlformats.org/officeDocument/2006/relationships/oleObject" Target="embeddings/oleObject33.bin"/><Relationship Id="rId88" Type="http://schemas.openxmlformats.org/officeDocument/2006/relationships/image" Target="media/image37.wmf"/><Relationship Id="rId91" Type="http://schemas.openxmlformats.org/officeDocument/2006/relationships/oleObject" Target="embeddings/oleObject37.bin"/><Relationship Id="rId96" Type="http://schemas.openxmlformats.org/officeDocument/2006/relationships/image" Target="media/image41.wmf"/><Relationship Id="rId111" Type="http://schemas.openxmlformats.org/officeDocument/2006/relationships/oleObject" Target="embeddings/oleObject47.bin"/><Relationship Id="rId13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1.bin"/><Relationship Id="rId127" Type="http://schemas.openxmlformats.org/officeDocument/2006/relationships/oleObject" Target="embeddings/oleObject55.bin"/><Relationship Id="rId10" Type="http://schemas.openxmlformats.org/officeDocument/2006/relationships/hyperlink" Target="http://www.itu.int/publ/R-REC/en" TargetMode="External"/><Relationship Id="rId31" Type="http://schemas.openxmlformats.org/officeDocument/2006/relationships/image" Target="media/image11.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wmf"/><Relationship Id="rId73" Type="http://schemas.openxmlformats.org/officeDocument/2006/relationships/footer" Target="footer1.xml"/><Relationship Id="rId78" Type="http://schemas.openxmlformats.org/officeDocument/2006/relationships/image" Target="media/image32.w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54.wmf"/><Relationship Id="rId130"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6.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1.w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4.bin"/><Relationship Id="rId7" Type="http://schemas.openxmlformats.org/officeDocument/2006/relationships/header" Target="header1.xml"/><Relationship Id="rId71" Type="http://schemas.openxmlformats.org/officeDocument/2006/relationships/header" Target="header5.xml"/><Relationship Id="rId92" Type="http://schemas.openxmlformats.org/officeDocument/2006/relationships/image" Target="media/image39.wmf"/><Relationship Id="rId2" Type="http://schemas.microsoft.com/office/2007/relationships/stylesWithEffects" Target="stylesWithEffects.xml"/><Relationship Id="rId29" Type="http://schemas.openxmlformats.org/officeDocument/2006/relationships/image" Target="media/image10.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oleObject" Target="embeddings/oleObject35.bin"/><Relationship Id="rId110" Type="http://schemas.openxmlformats.org/officeDocument/2006/relationships/image" Target="media/image48.wmf"/><Relationship Id="rId115" Type="http://schemas.openxmlformats.org/officeDocument/2006/relationships/oleObject" Target="embeddings/oleObject49.bin"/><Relationship Id="rId131" Type="http://schemas.openxmlformats.org/officeDocument/2006/relationships/header" Target="header10.xml"/><Relationship Id="rId61" Type="http://schemas.openxmlformats.org/officeDocument/2006/relationships/image" Target="media/image26.wmf"/><Relationship Id="rId82" Type="http://schemas.openxmlformats.org/officeDocument/2006/relationships/image" Target="media/image34.wmf"/><Relationship Id="rId19"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13</TotalTime>
  <Pages>47</Pages>
  <Words>12943</Words>
  <Characters>73776</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15.03.06      SP_x000d_
1ere épreuve                 25.04.06     KJ</dc:description>
  <cp:lastModifiedBy>santosbo</cp:lastModifiedBy>
  <cp:revision>4</cp:revision>
  <cp:lastPrinted>2006-06-28T14:32:00Z</cp:lastPrinted>
  <dcterms:created xsi:type="dcterms:W3CDTF">2011-06-27T12:07:00Z</dcterms:created>
  <dcterms:modified xsi:type="dcterms:W3CDTF">2011-06-30T11:52:00Z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