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>
        <w:tc>
          <w:tcPr>
            <w:tcW w:w="10089" w:type="dxa"/>
          </w:tcPr>
          <w:p w:rsidR="00276D21" w:rsidRPr="001511A6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1511A6" w:rsidRDefault="00FE79FE" w:rsidP="00490F7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Recommendation  ITU-R  </w:t>
            </w:r>
            <w:r w:rsidR="00A62A14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M.</w:t>
            </w:r>
            <w:r w:rsidR="00490F7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1047-2</w:t>
            </w:r>
          </w:p>
          <w:p w:rsidR="00FE79FE" w:rsidRPr="001511A6" w:rsidRDefault="00FE79FE" w:rsidP="00490F7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(</w:t>
            </w:r>
            <w:r w:rsidR="00490F7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09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/</w:t>
            </w:r>
            <w:r w:rsidR="00490F7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2012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)</w:t>
            </w:r>
          </w:p>
        </w:tc>
      </w:tr>
      <w:tr w:rsidR="00FE79FE" w:rsidRPr="001511A6">
        <w:tc>
          <w:tcPr>
            <w:tcW w:w="10089" w:type="dxa"/>
          </w:tcPr>
          <w:p w:rsidR="00013002" w:rsidRPr="001511A6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FE79FE" w:rsidRPr="001511A6" w:rsidRDefault="00490F71" w:rsidP="0008498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0849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National</w:t>
            </w:r>
            <w:r w:rsidRPr="0008498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spectrum management</w:t>
            </w:r>
          </w:p>
          <w:p w:rsidR="00A62A14" w:rsidRPr="001511A6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FE79FE">
        <w:tc>
          <w:tcPr>
            <w:tcW w:w="10089" w:type="dxa"/>
          </w:tcPr>
          <w:p w:rsidR="009E3058" w:rsidRPr="0026666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E3058" w:rsidRPr="0026666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9E3058" w:rsidRPr="0026666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76D21" w:rsidRPr="001511A6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1511A6" w:rsidRDefault="00A62A14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  <w:r w:rsidR="00FE79FE"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 Series</w:t>
            </w:r>
          </w:p>
          <w:p w:rsidR="00FE79FE" w:rsidRPr="001511A6" w:rsidRDefault="00A62A14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Spectrum management</w:t>
            </w:r>
          </w:p>
          <w:p w:rsidR="00FE79FE" w:rsidRPr="001511A6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586EF8" w:rsidRPr="00586EF8" w:rsidRDefault="00586EF8" w:rsidP="007565C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586EF8" w:rsidRPr="00E47F3F" w:rsidRDefault="00586EF8" w:rsidP="00586EF8">
      <w:pPr>
        <w:spacing w:before="240"/>
        <w:rPr>
          <w:sz w:val="20"/>
          <w:lang w:val="en-GB"/>
        </w:rPr>
      </w:pPr>
      <w:r>
        <w:rPr>
          <w:sz w:val="20"/>
          <w:lang w:val="en-US"/>
        </w:rPr>
        <w:t>T</w:t>
      </w:r>
      <w:r w:rsidRPr="00E47F3F">
        <w:rPr>
          <w:sz w:val="20"/>
          <w:lang w:val="en-GB"/>
        </w:rPr>
        <w:t>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586EF8" w:rsidRPr="00E47F3F" w:rsidRDefault="00586EF8" w:rsidP="00586EF8">
      <w:pPr>
        <w:rPr>
          <w:sz w:val="20"/>
          <w:lang w:val="en-GB"/>
        </w:rPr>
      </w:pPr>
      <w:r w:rsidRPr="00E47F3F">
        <w:rPr>
          <w:sz w:val="20"/>
          <w:lang w:val="en-GB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B714F3" w:rsidRPr="00E47F3F" w:rsidRDefault="00B714F3" w:rsidP="002F5199">
      <w:pPr>
        <w:pStyle w:val="Heading1"/>
        <w:spacing w:before="680"/>
        <w:jc w:val="center"/>
        <w:rPr>
          <w:szCs w:val="24"/>
          <w:lang w:val="en-GB"/>
        </w:rPr>
      </w:pPr>
      <w:r w:rsidRPr="00E47F3F">
        <w:rPr>
          <w:szCs w:val="24"/>
          <w:lang w:val="en-GB"/>
        </w:rPr>
        <w:t>Policy on Intellectual Property Right (IPR)</w:t>
      </w:r>
    </w:p>
    <w:p w:rsidR="00B714F3" w:rsidRPr="00E47F3F" w:rsidRDefault="00B714F3" w:rsidP="00F074C2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GB"/>
        </w:rPr>
      </w:pPr>
      <w:r w:rsidRPr="00E47F3F">
        <w:rPr>
          <w:sz w:val="20"/>
          <w:lang w:val="en-GB"/>
        </w:rPr>
        <w:t xml:space="preserve">ITU-R policy on IPR is described in the Common Patent Policy for ITU-T/ITU-R/ISO/IEC referenced in </w:t>
      </w:r>
      <w:bookmarkStart w:id="1" w:name="_GoBack"/>
      <w:bookmarkEnd w:id="1"/>
      <w:r w:rsidRPr="00E47F3F">
        <w:rPr>
          <w:sz w:val="20"/>
          <w:lang w:val="en-GB"/>
        </w:rPr>
        <w:t xml:space="preserve">Resolution ITU-R 1. Forms to be used for the submission of patent statements and licensing declarations by patent holders are available from </w:t>
      </w:r>
      <w:hyperlink r:id="rId10" w:history="1">
        <w:r w:rsidR="00F074C2" w:rsidRPr="00E47F3F">
          <w:rPr>
            <w:rStyle w:val="Hyperlink"/>
            <w:sz w:val="20"/>
            <w:lang w:val="en-GB"/>
          </w:rPr>
          <w:t>http://www.itu.int/ITU-R/go/patents/en</w:t>
        </w:r>
      </w:hyperlink>
      <w:r w:rsidRPr="00E47F3F">
        <w:rPr>
          <w:sz w:val="20"/>
          <w:lang w:val="en-GB"/>
        </w:rPr>
        <w:t xml:space="preserve"> where the Guidelines for Implementation of the Common Patent Policy for ITU</w:t>
      </w:r>
      <w:r w:rsidRPr="00E47F3F">
        <w:rPr>
          <w:sz w:val="20"/>
          <w:lang w:val="en-GB"/>
        </w:rPr>
        <w:noBreakHyphen/>
        <w:t>T/ITU</w:t>
      </w:r>
      <w:r w:rsidRPr="00E47F3F">
        <w:rPr>
          <w:sz w:val="20"/>
          <w:lang w:val="en-GB"/>
        </w:rPr>
        <w:noBreakHyphen/>
        <w:t xml:space="preserve">R/ISO/IEC and the ITU-R patent information database can also be found. </w:t>
      </w:r>
    </w:p>
    <w:p w:rsidR="00586EF8" w:rsidRPr="00E47F3F" w:rsidRDefault="00586EF8" w:rsidP="00586EF8">
      <w:pPr>
        <w:jc w:val="center"/>
        <w:rPr>
          <w:sz w:val="22"/>
          <w:lang w:val="en-GB"/>
        </w:rPr>
      </w:pPr>
    </w:p>
    <w:p w:rsidR="00A971A1" w:rsidRPr="00E47F3F" w:rsidRDefault="00A971A1" w:rsidP="00586EF8">
      <w:pPr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36EE3" w:rsidRPr="00AC11DD">
        <w:tc>
          <w:tcPr>
            <w:tcW w:w="9360" w:type="dxa"/>
            <w:gridSpan w:val="2"/>
          </w:tcPr>
          <w:p w:rsidR="00036EE3" w:rsidRPr="00E47F3F" w:rsidRDefault="00036EE3" w:rsidP="00036EE3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GB"/>
              </w:rPr>
            </w:pPr>
            <w:r w:rsidRPr="00E47F3F">
              <w:rPr>
                <w:sz w:val="22"/>
                <w:szCs w:val="22"/>
                <w:lang w:val="en-GB"/>
              </w:rPr>
              <w:t xml:space="preserve">Series of ITU-R Recommendations </w:t>
            </w:r>
          </w:p>
          <w:p w:rsidR="00036EE3" w:rsidRPr="00E47F3F" w:rsidRDefault="00036EE3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GB"/>
              </w:rPr>
            </w:pPr>
            <w:r w:rsidRPr="00E47F3F">
              <w:rPr>
                <w:b w:val="0"/>
                <w:sz w:val="18"/>
                <w:szCs w:val="18"/>
                <w:lang w:val="en-GB"/>
              </w:rPr>
              <w:t xml:space="preserve">(Also available online at </w:t>
            </w:r>
            <w:hyperlink r:id="rId11" w:history="1">
              <w:r w:rsidR="00305A41" w:rsidRPr="00E47F3F">
                <w:rPr>
                  <w:rStyle w:val="Hyperlink"/>
                  <w:b w:val="0"/>
                  <w:sz w:val="18"/>
                  <w:szCs w:val="18"/>
                  <w:lang w:val="en-GB"/>
                </w:rPr>
                <w:t>http://www.itu.int/publ/R-REC/en</w:t>
              </w:r>
            </w:hyperlink>
            <w:r w:rsidRPr="00E47F3F">
              <w:rPr>
                <w:b w:val="0"/>
                <w:sz w:val="18"/>
                <w:szCs w:val="18"/>
                <w:lang w:val="en-GB"/>
              </w:rPr>
              <w:t>)</w:t>
            </w:r>
          </w:p>
        </w:tc>
      </w:tr>
      <w:tr w:rsidR="00A971A1" w:rsidRPr="00E47F3F">
        <w:tc>
          <w:tcPr>
            <w:tcW w:w="1140" w:type="dxa"/>
          </w:tcPr>
          <w:p w:rsidR="00A971A1" w:rsidRPr="00E47F3F" w:rsidRDefault="00A971A1" w:rsidP="000D0677">
            <w:pPr>
              <w:spacing w:before="200" w:after="100"/>
              <w:ind w:left="57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Series</w:t>
            </w:r>
          </w:p>
        </w:tc>
        <w:tc>
          <w:tcPr>
            <w:tcW w:w="8220" w:type="dxa"/>
          </w:tcPr>
          <w:p w:rsidR="00A971A1" w:rsidRPr="00E47F3F" w:rsidRDefault="00A971A1" w:rsidP="00036EE3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GB"/>
              </w:rPr>
            </w:pPr>
            <w:r w:rsidRPr="00E47F3F">
              <w:rPr>
                <w:bCs/>
                <w:sz w:val="20"/>
                <w:lang w:val="en-GB"/>
              </w:rPr>
              <w:t>Title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BO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GB"/>
              </w:rPr>
            </w:pPr>
            <w:r w:rsidRPr="00E47F3F">
              <w:rPr>
                <w:b w:val="0"/>
                <w:bCs/>
                <w:sz w:val="20"/>
                <w:lang w:val="en-GB"/>
              </w:rPr>
              <w:t>Satellite delivery</w:t>
            </w:r>
          </w:p>
        </w:tc>
      </w:tr>
      <w:tr w:rsidR="00A31928" w:rsidRPr="00AC11DD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BR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E47F3F">
              <w:rPr>
                <w:b w:val="0"/>
                <w:sz w:val="20"/>
                <w:lang w:val="en-GB"/>
              </w:rPr>
              <w:t>Recording for production, archival and play-out; film for television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BS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E47F3F">
              <w:rPr>
                <w:b w:val="0"/>
                <w:sz w:val="20"/>
                <w:lang w:val="en-GB"/>
              </w:rPr>
              <w:t>Broadcasting service (sound)</w:t>
            </w:r>
          </w:p>
        </w:tc>
      </w:tr>
      <w:tr w:rsidR="00A31928" w:rsidRPr="00E47F3F">
        <w:tc>
          <w:tcPr>
            <w:tcW w:w="1140" w:type="dxa"/>
            <w:shd w:val="clear" w:color="auto" w:fill="auto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A31928" w:rsidRPr="00E47F3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E47F3F">
              <w:rPr>
                <w:b w:val="0"/>
                <w:sz w:val="20"/>
                <w:lang w:val="en-GB"/>
              </w:rPr>
              <w:t>Broadcasting service (television)</w:t>
            </w:r>
          </w:p>
        </w:tc>
      </w:tr>
      <w:tr w:rsidR="00A31928" w:rsidRPr="00E47F3F">
        <w:tc>
          <w:tcPr>
            <w:tcW w:w="1140" w:type="dxa"/>
            <w:shd w:val="clear" w:color="auto" w:fill="auto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A31928" w:rsidRPr="00E47F3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Fixed service</w:t>
            </w:r>
          </w:p>
        </w:tc>
      </w:tr>
      <w:tr w:rsidR="00A31928" w:rsidRPr="00E47F3F">
        <w:tc>
          <w:tcPr>
            <w:tcW w:w="1140" w:type="dxa"/>
            <w:shd w:val="clear" w:color="auto" w:fill="auto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M</w:t>
            </w:r>
          </w:p>
        </w:tc>
        <w:tc>
          <w:tcPr>
            <w:tcW w:w="8220" w:type="dxa"/>
            <w:shd w:val="clear" w:color="auto" w:fill="auto"/>
          </w:tcPr>
          <w:p w:rsidR="00A31928" w:rsidRPr="00E47F3F" w:rsidRDefault="00A31928" w:rsidP="006B1D2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GB"/>
              </w:rPr>
            </w:pPr>
            <w:r w:rsidRPr="00E47F3F">
              <w:rPr>
                <w:b w:val="0"/>
                <w:sz w:val="20"/>
                <w:lang w:val="en-GB"/>
              </w:rPr>
              <w:t>Mobile, radiodetermination, amateur and related satellite services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P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Radiowave propagation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RA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Radio astronomy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RS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Remote sensing systems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S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Fixed-satellite service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SA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Space applications and meteorology</w:t>
            </w:r>
          </w:p>
        </w:tc>
      </w:tr>
      <w:tr w:rsidR="00A31928" w:rsidRPr="00AC11DD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SF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Frequency sharing and coordination between fixed-satellite and fixed service systems</w:t>
            </w:r>
          </w:p>
        </w:tc>
      </w:tr>
      <w:tr w:rsidR="00A31928" w:rsidRPr="00E47F3F">
        <w:tc>
          <w:tcPr>
            <w:tcW w:w="1140" w:type="dxa"/>
            <w:shd w:val="clear" w:color="auto" w:fill="F3F3F3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GB"/>
              </w:rPr>
            </w:pPr>
            <w:r w:rsidRPr="00E47F3F">
              <w:rPr>
                <w:b/>
                <w:bCs/>
                <w:color w:val="000080"/>
                <w:sz w:val="20"/>
                <w:lang w:val="en-GB"/>
              </w:rPr>
              <w:t>SM</w:t>
            </w:r>
          </w:p>
        </w:tc>
        <w:tc>
          <w:tcPr>
            <w:tcW w:w="8220" w:type="dxa"/>
            <w:shd w:val="clear" w:color="auto" w:fill="F3F3F3"/>
          </w:tcPr>
          <w:p w:rsidR="00A31928" w:rsidRPr="00E47F3F" w:rsidRDefault="00A31928" w:rsidP="006B1D2B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GB"/>
              </w:rPr>
            </w:pPr>
            <w:r w:rsidRPr="00E47F3F">
              <w:rPr>
                <w:b/>
                <w:bCs/>
                <w:color w:val="000080"/>
                <w:sz w:val="20"/>
                <w:lang w:val="en-GB"/>
              </w:rPr>
              <w:t>Spectrum management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SNG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Satellite news gathering</w:t>
            </w:r>
          </w:p>
        </w:tc>
      </w:tr>
      <w:tr w:rsidR="00A31928" w:rsidRPr="00AC11DD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TF</w:t>
            </w:r>
          </w:p>
        </w:tc>
        <w:tc>
          <w:tcPr>
            <w:tcW w:w="8220" w:type="dxa"/>
          </w:tcPr>
          <w:p w:rsidR="00A31928" w:rsidRPr="00E47F3F" w:rsidRDefault="00A31928" w:rsidP="006B1D2B">
            <w:pPr>
              <w:spacing w:before="30" w:after="3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Time signals and frequency standards emissions</w:t>
            </w:r>
          </w:p>
        </w:tc>
      </w:tr>
      <w:tr w:rsidR="00A31928" w:rsidRPr="00E47F3F">
        <w:tc>
          <w:tcPr>
            <w:tcW w:w="1140" w:type="dxa"/>
          </w:tcPr>
          <w:p w:rsidR="00A31928" w:rsidRPr="00E47F3F" w:rsidRDefault="00A31928" w:rsidP="006B1D2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GB"/>
              </w:rPr>
            </w:pPr>
            <w:r w:rsidRPr="00E47F3F">
              <w:rPr>
                <w:b/>
                <w:bCs/>
                <w:sz w:val="20"/>
                <w:lang w:val="en-GB"/>
              </w:rPr>
              <w:t>V</w:t>
            </w:r>
          </w:p>
        </w:tc>
        <w:tc>
          <w:tcPr>
            <w:tcW w:w="8220" w:type="dxa"/>
          </w:tcPr>
          <w:p w:rsidR="00A31928" w:rsidRPr="00E47F3F" w:rsidRDefault="00A31928" w:rsidP="00906589">
            <w:pPr>
              <w:spacing w:before="30" w:after="180"/>
              <w:jc w:val="left"/>
              <w:rPr>
                <w:sz w:val="20"/>
                <w:lang w:val="en-GB"/>
              </w:rPr>
            </w:pPr>
            <w:r w:rsidRPr="00E47F3F">
              <w:rPr>
                <w:sz w:val="20"/>
                <w:lang w:val="en-GB"/>
              </w:rPr>
              <w:t>Vocabulary and related subjects</w:t>
            </w:r>
          </w:p>
        </w:tc>
      </w:tr>
    </w:tbl>
    <w:p w:rsidR="00036EE3" w:rsidRPr="00E47F3F" w:rsidRDefault="00036EE3" w:rsidP="00036EE3">
      <w:pPr>
        <w:spacing w:before="30" w:after="30"/>
        <w:jc w:val="center"/>
        <w:rPr>
          <w:sz w:val="20"/>
          <w:lang w:val="en-GB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36EE3" w:rsidRPr="00E47F3F">
        <w:tc>
          <w:tcPr>
            <w:tcW w:w="720" w:type="dxa"/>
          </w:tcPr>
          <w:p w:rsidR="00036EE3" w:rsidRPr="00E47F3F" w:rsidRDefault="00036EE3" w:rsidP="00036EE3">
            <w:pPr>
              <w:jc w:val="center"/>
              <w:rPr>
                <w:sz w:val="22"/>
                <w:lang w:val="en-GB"/>
              </w:rPr>
            </w:pPr>
          </w:p>
        </w:tc>
      </w:tr>
    </w:tbl>
    <w:p w:rsidR="00036EE3" w:rsidRPr="00E47F3F" w:rsidRDefault="00036EE3" w:rsidP="00036EE3">
      <w:pPr>
        <w:spacing w:before="0"/>
        <w:jc w:val="center"/>
        <w:rPr>
          <w:sz w:val="22"/>
          <w:lang w:val="en-GB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36EE3" w:rsidRPr="00AC11DD">
        <w:tc>
          <w:tcPr>
            <w:tcW w:w="9360" w:type="dxa"/>
          </w:tcPr>
          <w:p w:rsidR="00036EE3" w:rsidRPr="00E47F3F" w:rsidRDefault="00036EE3" w:rsidP="002F5199">
            <w:pPr>
              <w:spacing w:after="120"/>
              <w:jc w:val="center"/>
              <w:rPr>
                <w:sz w:val="20"/>
                <w:lang w:val="en-GB"/>
              </w:rPr>
            </w:pPr>
            <w:r w:rsidRPr="00E47F3F">
              <w:rPr>
                <w:b/>
                <w:bCs/>
                <w:i/>
                <w:iCs/>
                <w:sz w:val="20"/>
                <w:lang w:val="en-GB"/>
              </w:rPr>
              <w:t>Note</w:t>
            </w:r>
            <w:r w:rsidRPr="00E47F3F">
              <w:rPr>
                <w:sz w:val="20"/>
                <w:lang w:val="en-GB"/>
              </w:rPr>
              <w:t xml:space="preserve">: </w:t>
            </w:r>
            <w:r w:rsidRPr="00E47F3F">
              <w:rPr>
                <w:i/>
                <w:iCs/>
                <w:sz w:val="20"/>
                <w:lang w:val="en-GB"/>
              </w:rPr>
              <w:t>This ITU-R Recommendation was approved in English under the procedure detailed in Resolution ITU-R 1.</w:t>
            </w:r>
          </w:p>
        </w:tc>
      </w:tr>
    </w:tbl>
    <w:p w:rsidR="00B714F3" w:rsidRPr="00E47F3F" w:rsidRDefault="00B714F3" w:rsidP="002F5199">
      <w:pPr>
        <w:spacing w:before="0"/>
        <w:jc w:val="center"/>
        <w:rPr>
          <w:sz w:val="22"/>
          <w:lang w:val="en-GB"/>
        </w:rPr>
      </w:pPr>
    </w:p>
    <w:p w:rsidR="00B714F3" w:rsidRPr="00E47F3F" w:rsidRDefault="00B714F3" w:rsidP="002F5199">
      <w:pPr>
        <w:spacing w:before="0"/>
        <w:jc w:val="center"/>
        <w:rPr>
          <w:sz w:val="22"/>
          <w:lang w:val="en-GB"/>
        </w:rPr>
      </w:pPr>
    </w:p>
    <w:p w:rsidR="00470E28" w:rsidRPr="00E47F3F" w:rsidRDefault="002F5199" w:rsidP="00906589">
      <w:pPr>
        <w:spacing w:before="0"/>
        <w:jc w:val="right"/>
        <w:rPr>
          <w:i/>
          <w:iCs/>
          <w:sz w:val="20"/>
          <w:lang w:val="en-GB"/>
        </w:rPr>
      </w:pPr>
      <w:r w:rsidRPr="00E47F3F">
        <w:rPr>
          <w:i/>
          <w:iCs/>
          <w:sz w:val="20"/>
          <w:lang w:val="en-GB"/>
        </w:rPr>
        <w:t>Electronic Publication</w:t>
      </w:r>
    </w:p>
    <w:p w:rsidR="002F5199" w:rsidRPr="00E47F3F" w:rsidRDefault="002F5199" w:rsidP="00E31B63">
      <w:pPr>
        <w:spacing w:before="0"/>
        <w:jc w:val="right"/>
        <w:rPr>
          <w:sz w:val="20"/>
          <w:lang w:val="en-GB"/>
        </w:rPr>
      </w:pPr>
      <w:r w:rsidRPr="00E47F3F">
        <w:rPr>
          <w:sz w:val="20"/>
          <w:lang w:val="en-GB"/>
        </w:rPr>
        <w:t>Geneva, 20</w:t>
      </w:r>
      <w:r w:rsidR="00A25DEC" w:rsidRPr="00E47F3F">
        <w:rPr>
          <w:sz w:val="20"/>
          <w:lang w:val="en-GB"/>
        </w:rPr>
        <w:t>1</w:t>
      </w:r>
      <w:r w:rsidR="00E31B63" w:rsidRPr="00E47F3F">
        <w:rPr>
          <w:sz w:val="20"/>
          <w:lang w:val="en-GB"/>
        </w:rPr>
        <w:t>2</w:t>
      </w:r>
    </w:p>
    <w:p w:rsidR="00470E28" w:rsidRPr="00E47F3F" w:rsidRDefault="00470E28" w:rsidP="00906589">
      <w:pPr>
        <w:jc w:val="center"/>
        <w:rPr>
          <w:sz w:val="22"/>
          <w:lang w:val="en-GB"/>
        </w:rPr>
      </w:pPr>
    </w:p>
    <w:p w:rsidR="00586EF8" w:rsidRPr="00E47F3F" w:rsidRDefault="00586EF8" w:rsidP="00B871C5">
      <w:pPr>
        <w:jc w:val="center"/>
        <w:rPr>
          <w:sz w:val="20"/>
          <w:lang w:val="en-GB"/>
        </w:rPr>
      </w:pPr>
      <w:r w:rsidRPr="00E47F3F">
        <w:rPr>
          <w:sz w:val="20"/>
          <w:lang w:val="en-GB"/>
        </w:rPr>
        <w:sym w:font="Symbol" w:char="F0E3"/>
      </w:r>
      <w:r w:rsidRPr="00E47F3F">
        <w:rPr>
          <w:sz w:val="20"/>
          <w:lang w:val="en-GB"/>
        </w:rPr>
        <w:t xml:space="preserve"> ITU </w:t>
      </w:r>
      <w:bookmarkStart w:id="2" w:name="iiannee"/>
      <w:bookmarkEnd w:id="2"/>
      <w:r w:rsidRPr="00E47F3F">
        <w:rPr>
          <w:sz w:val="20"/>
          <w:lang w:val="en-GB"/>
        </w:rPr>
        <w:t>20</w:t>
      </w:r>
      <w:r w:rsidR="00A25DEC" w:rsidRPr="00E47F3F">
        <w:rPr>
          <w:sz w:val="20"/>
          <w:lang w:val="en-GB"/>
        </w:rPr>
        <w:t>1</w:t>
      </w:r>
      <w:r w:rsidR="00E31B63" w:rsidRPr="00E47F3F">
        <w:rPr>
          <w:sz w:val="20"/>
          <w:lang w:val="en-GB"/>
        </w:rPr>
        <w:t>2</w:t>
      </w:r>
    </w:p>
    <w:p w:rsidR="00586EF8" w:rsidRPr="00E47F3F" w:rsidRDefault="00586EF8" w:rsidP="00470E28">
      <w:pPr>
        <w:rPr>
          <w:sz w:val="18"/>
          <w:szCs w:val="18"/>
          <w:lang w:val="en-GB"/>
        </w:rPr>
      </w:pPr>
      <w:r w:rsidRPr="00E47F3F">
        <w:rPr>
          <w:sz w:val="18"/>
          <w:szCs w:val="18"/>
          <w:lang w:val="en-GB"/>
        </w:rPr>
        <w:t>All rights reserved. No part of thi</w:t>
      </w:r>
      <w:r w:rsidR="00470E28" w:rsidRPr="00E47F3F">
        <w:rPr>
          <w:sz w:val="18"/>
          <w:szCs w:val="18"/>
          <w:lang w:val="en-GB"/>
        </w:rPr>
        <w:t xml:space="preserve">s publication may be reproduced, </w:t>
      </w:r>
      <w:r w:rsidRPr="00E47F3F">
        <w:rPr>
          <w:sz w:val="18"/>
          <w:szCs w:val="18"/>
          <w:lang w:val="en-GB"/>
        </w:rPr>
        <w:t xml:space="preserve">by any means </w:t>
      </w:r>
      <w:r w:rsidR="00470E28" w:rsidRPr="00E47F3F">
        <w:rPr>
          <w:sz w:val="18"/>
          <w:szCs w:val="18"/>
          <w:lang w:val="en-GB"/>
        </w:rPr>
        <w:t xml:space="preserve">whatsoever, </w:t>
      </w:r>
      <w:r w:rsidRPr="00E47F3F">
        <w:rPr>
          <w:sz w:val="18"/>
          <w:szCs w:val="18"/>
          <w:lang w:val="en-GB"/>
        </w:rPr>
        <w:t xml:space="preserve">without written permission </w:t>
      </w:r>
      <w:r w:rsidR="00470E28" w:rsidRPr="00E47F3F">
        <w:rPr>
          <w:sz w:val="18"/>
          <w:szCs w:val="18"/>
          <w:lang w:val="en-GB"/>
        </w:rPr>
        <w:t>of</w:t>
      </w:r>
      <w:r w:rsidRPr="00E47F3F">
        <w:rPr>
          <w:sz w:val="18"/>
          <w:szCs w:val="18"/>
          <w:lang w:val="en-GB"/>
        </w:rPr>
        <w:t xml:space="preserve"> ITU.</w:t>
      </w:r>
    </w:p>
    <w:p w:rsidR="007565CC" w:rsidRPr="00E47F3F" w:rsidRDefault="007565CC" w:rsidP="00A971A1">
      <w:pPr>
        <w:spacing w:before="160"/>
        <w:rPr>
          <w:i/>
          <w:sz w:val="20"/>
          <w:lang w:val="en-GB"/>
        </w:rPr>
        <w:sectPr w:rsidR="007565CC" w:rsidRPr="00E47F3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90F71" w:rsidRPr="00E47F3F" w:rsidRDefault="00934ED7" w:rsidP="004B502C">
      <w:pPr>
        <w:pStyle w:val="RecNo"/>
        <w:rPr>
          <w:lang w:val="en-GB"/>
        </w:rPr>
      </w:pPr>
      <w:bookmarkStart w:id="3" w:name="irecnoe"/>
      <w:bookmarkEnd w:id="3"/>
      <w:r w:rsidRPr="00E47F3F">
        <w:rPr>
          <w:lang w:val="en-GB"/>
        </w:rPr>
        <w:lastRenderedPageBreak/>
        <w:t xml:space="preserve">RECOMMENDATION  </w:t>
      </w:r>
      <w:r w:rsidRPr="00E47F3F">
        <w:rPr>
          <w:rStyle w:val="href"/>
          <w:lang w:val="en-GB"/>
        </w:rPr>
        <w:t xml:space="preserve">ITU-R  </w:t>
      </w:r>
      <w:r w:rsidR="00906589" w:rsidRPr="00E47F3F">
        <w:rPr>
          <w:rStyle w:val="href"/>
          <w:lang w:val="en-GB"/>
        </w:rPr>
        <w:t>S</w:t>
      </w:r>
      <w:r w:rsidRPr="00E47F3F">
        <w:rPr>
          <w:rStyle w:val="href"/>
          <w:lang w:val="en-GB"/>
        </w:rPr>
        <w:t>M.</w:t>
      </w:r>
      <w:bookmarkStart w:id="4" w:name="Pre_title"/>
      <w:r w:rsidR="00490F71" w:rsidRPr="00E47F3F">
        <w:rPr>
          <w:rStyle w:val="href"/>
          <w:lang w:val="en-GB"/>
        </w:rPr>
        <w:t>1047-2</w:t>
      </w:r>
      <w:r w:rsidR="004C0992">
        <w:rPr>
          <w:rStyle w:val="FootnoteReference"/>
          <w:lang w:val="en-GB"/>
        </w:rPr>
        <w:footnoteReference w:customMarkFollows="1" w:id="1"/>
        <w:t>*</w:t>
      </w:r>
      <w:r w:rsidR="00490F71" w:rsidRPr="00E47F3F">
        <w:rPr>
          <w:lang w:val="en-GB"/>
        </w:rPr>
        <w:t xml:space="preserve"> </w:t>
      </w:r>
    </w:p>
    <w:p w:rsidR="00490F71" w:rsidRPr="00E47F3F" w:rsidRDefault="00490F71" w:rsidP="0008498A">
      <w:pPr>
        <w:pStyle w:val="Rectitle"/>
        <w:rPr>
          <w:lang w:val="en-GB"/>
        </w:rPr>
      </w:pPr>
      <w:r w:rsidRPr="00E47F3F">
        <w:rPr>
          <w:lang w:val="en-GB"/>
        </w:rPr>
        <w:t>National spectrum management</w:t>
      </w:r>
      <w:bookmarkEnd w:id="4"/>
    </w:p>
    <w:p w:rsidR="00490F71" w:rsidRPr="00E47F3F" w:rsidRDefault="00490F71" w:rsidP="00490F71">
      <w:pPr>
        <w:pStyle w:val="Recdate"/>
        <w:rPr>
          <w:lang w:val="en-GB"/>
        </w:rPr>
      </w:pPr>
      <w:bookmarkStart w:id="5" w:name="Revision_history"/>
      <w:r w:rsidRPr="00E47F3F">
        <w:rPr>
          <w:lang w:val="en-GB"/>
        </w:rPr>
        <w:t>(1994-2001-2012)</w:t>
      </w:r>
      <w:bookmarkEnd w:id="5"/>
    </w:p>
    <w:p w:rsidR="00490F71" w:rsidRPr="004C0992" w:rsidRDefault="00490F71" w:rsidP="004C0992">
      <w:pPr>
        <w:pStyle w:val="HeadingSum"/>
        <w:rPr>
          <w:sz w:val="22"/>
          <w:szCs w:val="22"/>
        </w:rPr>
      </w:pPr>
      <w:r w:rsidRPr="004C0992">
        <w:rPr>
          <w:sz w:val="22"/>
          <w:szCs w:val="22"/>
        </w:rPr>
        <w:t>Scope</w:t>
      </w:r>
    </w:p>
    <w:p w:rsidR="00490F71" w:rsidRPr="004C0992" w:rsidRDefault="00490F71" w:rsidP="004C0992">
      <w:pPr>
        <w:pStyle w:val="Summary"/>
      </w:pPr>
      <w:r w:rsidRPr="004C0992">
        <w:t>This Recommendation gives a brief introduction on spectrum management and recommends the subject areas to be considered under spectrum management.</w:t>
      </w:r>
    </w:p>
    <w:p w:rsidR="004C0992" w:rsidRPr="00AC11DD" w:rsidRDefault="004C0992" w:rsidP="004C0992">
      <w:pPr>
        <w:pStyle w:val="Headingb"/>
        <w:rPr>
          <w:rFonts w:eastAsiaTheme="minorEastAsia"/>
          <w:lang w:val="en-GB"/>
        </w:rPr>
      </w:pPr>
      <w:r w:rsidRPr="00AC11DD">
        <w:rPr>
          <w:rFonts w:eastAsiaTheme="minorEastAsia"/>
          <w:lang w:val="en-GB"/>
        </w:rPr>
        <w:t>Keywords</w:t>
      </w:r>
    </w:p>
    <w:p w:rsidR="004C0992" w:rsidRPr="004C0992" w:rsidRDefault="004C0992" w:rsidP="00490F71">
      <w:pPr>
        <w:rPr>
          <w:rFonts w:eastAsia="Malgun Gothic"/>
          <w:lang w:val="en-US" w:eastAsia="ko-KR"/>
        </w:rPr>
      </w:pPr>
      <w:r w:rsidRPr="00826ADB">
        <w:rPr>
          <w:rFonts w:eastAsia="Malgun Gothic" w:hint="eastAsia"/>
          <w:lang w:val="en-US" w:eastAsia="ko-KR"/>
        </w:rPr>
        <w:t>National spectrum management, spectrum management function, spectrum management responsibilities, spectrum management requirements</w:t>
      </w:r>
    </w:p>
    <w:p w:rsidR="00490F71" w:rsidRPr="00E47F3F" w:rsidRDefault="00490F71" w:rsidP="00490F71">
      <w:pPr>
        <w:pStyle w:val="Normalaftertitle"/>
        <w:rPr>
          <w:lang w:val="en-GB"/>
        </w:rPr>
      </w:pPr>
      <w:r w:rsidRPr="00E47F3F">
        <w:rPr>
          <w:lang w:val="en-GB"/>
        </w:rPr>
        <w:t>The ITU Radiocommunication Assembly,</w:t>
      </w:r>
    </w:p>
    <w:p w:rsidR="00490F71" w:rsidRPr="00E47F3F" w:rsidRDefault="00490F71" w:rsidP="00490F71">
      <w:pPr>
        <w:pStyle w:val="Call"/>
        <w:rPr>
          <w:lang w:val="en-GB"/>
        </w:rPr>
      </w:pPr>
      <w:r w:rsidRPr="00E47F3F">
        <w:rPr>
          <w:lang w:val="en-GB"/>
        </w:rPr>
        <w:t>considering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lang w:val="en-GB"/>
        </w:rPr>
        <w:t>a)</w:t>
      </w:r>
      <w:r w:rsidRPr="00E47F3F">
        <w:rPr>
          <w:lang w:val="en-GB"/>
        </w:rPr>
        <w:tab/>
        <w:t>that effective spectrum management is essential to maximizing the benefits drawn from the scarce spectrum resource;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lang w:val="en-GB"/>
        </w:rPr>
        <w:t>b)</w:t>
      </w:r>
      <w:r w:rsidRPr="00E47F3F">
        <w:rPr>
          <w:lang w:val="en-GB"/>
        </w:rPr>
        <w:tab/>
        <w:t>that due to the growing demands on the radio-frequency spectrum, there is a need to improve spectrum management;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lang w:val="en-GB"/>
        </w:rPr>
        <w:t>c)</w:t>
      </w:r>
      <w:r w:rsidRPr="00E47F3F">
        <w:rPr>
          <w:lang w:val="en-GB"/>
        </w:rPr>
        <w:tab/>
        <w:t>that material is needed to assist spectrum managers in the development and implementation of effective national spectrum management systems and strategies;</w:t>
      </w:r>
    </w:p>
    <w:p w:rsidR="00490F71" w:rsidRPr="00E47F3F" w:rsidRDefault="00490F71" w:rsidP="00EE3AA4">
      <w:pPr>
        <w:rPr>
          <w:lang w:val="en-GB"/>
        </w:rPr>
      </w:pPr>
      <w:r w:rsidRPr="00E47F3F">
        <w:rPr>
          <w:lang w:val="en-GB"/>
        </w:rPr>
        <w:t>d)</w:t>
      </w:r>
      <w:r w:rsidRPr="00E47F3F">
        <w:rPr>
          <w:lang w:val="en-GB"/>
        </w:rPr>
        <w:tab/>
        <w:t xml:space="preserve">that ITU-R has already developed, published and is updating on </w:t>
      </w:r>
      <w:r w:rsidR="00CF4554">
        <w:rPr>
          <w:lang w:val="en-GB"/>
        </w:rPr>
        <w:t xml:space="preserve">a </w:t>
      </w:r>
      <w:r w:rsidRPr="00E47F3F">
        <w:rPr>
          <w:lang w:val="en-GB"/>
        </w:rPr>
        <w:t>regular basis the ITU Handbooks on National Spectrum Management, Computer-</w:t>
      </w:r>
      <w:r w:rsidR="00EE3AA4">
        <w:rPr>
          <w:lang w:val="en-GB"/>
        </w:rPr>
        <w:t>a</w:t>
      </w:r>
      <w:r w:rsidRPr="00E47F3F">
        <w:rPr>
          <w:lang w:val="en-GB"/>
        </w:rPr>
        <w:t>ided Techniques for Spectrum Management</w:t>
      </w:r>
      <w:r w:rsidR="00EE3AA4">
        <w:rPr>
          <w:lang w:val="en-GB"/>
        </w:rPr>
        <w:t>,</w:t>
      </w:r>
      <w:r w:rsidRPr="00E47F3F">
        <w:rPr>
          <w:lang w:val="en-GB"/>
        </w:rPr>
        <w:t xml:space="preserve"> and </w:t>
      </w:r>
      <w:r w:rsidR="00EE3AA4" w:rsidRPr="00E47F3F">
        <w:rPr>
          <w:lang w:val="en-GB"/>
        </w:rPr>
        <w:t>Spectrum Monitoring</w:t>
      </w:r>
      <w:r w:rsidR="00EE3AA4">
        <w:rPr>
          <w:lang w:val="en-GB"/>
        </w:rPr>
        <w:t>,</w:t>
      </w:r>
      <w:r w:rsidR="00EE3AA4" w:rsidRPr="00E47F3F">
        <w:rPr>
          <w:lang w:val="en-GB"/>
        </w:rPr>
        <w:t xml:space="preserve"> </w:t>
      </w:r>
      <w:r w:rsidRPr="00E47F3F">
        <w:rPr>
          <w:lang w:val="en-GB"/>
        </w:rPr>
        <w:t>as well as the Radiocommunications Data Dictionary (Recommendation ITU-R SM.1413) to aid in establishing efficient sp</w:t>
      </w:r>
      <w:r w:rsidR="00CF4554">
        <w:rPr>
          <w:lang w:val="en-GB"/>
        </w:rPr>
        <w:t>ectrum management practices (SM-</w:t>
      </w:r>
      <w:r w:rsidRPr="00E47F3F">
        <w:rPr>
          <w:lang w:val="en-GB"/>
        </w:rPr>
        <w:t>Series Reports and Recommendations covering different aspects of spectrum management and monitoring);</w:t>
      </w:r>
    </w:p>
    <w:p w:rsidR="00490F71" w:rsidRPr="00E47F3F" w:rsidRDefault="00490F71" w:rsidP="00490F71">
      <w:pPr>
        <w:rPr>
          <w:lang w:val="en-GB"/>
        </w:rPr>
      </w:pPr>
      <w:r w:rsidRPr="00CF4554">
        <w:rPr>
          <w:lang w:val="en-GB"/>
        </w:rPr>
        <w:t>e)</w:t>
      </w:r>
      <w:r w:rsidRPr="00E47F3F">
        <w:rPr>
          <w:lang w:val="en-GB"/>
        </w:rPr>
        <w:tab/>
        <w:t>the guidance provided through the related Radiocommunication Assembly Resolutions specifically Resolution ITU-R 22-</w:t>
      </w:r>
      <w:r w:rsidRPr="00E47F3F">
        <w:rPr>
          <w:lang w:val="en-GB" w:eastAsia="ko-KR"/>
        </w:rPr>
        <w:t>3</w:t>
      </w:r>
      <w:r w:rsidRPr="00E47F3F">
        <w:rPr>
          <w:lang w:val="en-GB"/>
        </w:rPr>
        <w:t xml:space="preserve"> on the “Improvement of national radio spectrum management practices and techniques” and Resolution ITU-R 11</w:t>
      </w:r>
      <w:r w:rsidRPr="00E47F3F">
        <w:rPr>
          <w:lang w:val="en-GB" w:eastAsia="ko-KR"/>
        </w:rPr>
        <w:t>-4</w:t>
      </w:r>
      <w:r w:rsidRPr="00E47F3F">
        <w:rPr>
          <w:lang w:val="en-GB"/>
        </w:rPr>
        <w:t xml:space="preserve"> on “Further development of the spectrum management system for developing countries”,</w:t>
      </w:r>
    </w:p>
    <w:p w:rsidR="00490F71" w:rsidRPr="00E47F3F" w:rsidRDefault="00490F71" w:rsidP="00490F71">
      <w:pPr>
        <w:pStyle w:val="Call"/>
        <w:rPr>
          <w:lang w:val="en-GB"/>
        </w:rPr>
      </w:pPr>
      <w:r w:rsidRPr="00E47F3F">
        <w:rPr>
          <w:lang w:val="en-GB"/>
        </w:rPr>
        <w:t>noting</w:t>
      </w:r>
    </w:p>
    <w:p w:rsidR="00490F71" w:rsidRPr="00E47F3F" w:rsidRDefault="00490F71" w:rsidP="0008498A">
      <w:pPr>
        <w:rPr>
          <w:lang w:val="en-GB"/>
        </w:rPr>
      </w:pPr>
      <w:r w:rsidRPr="00E47F3F">
        <w:rPr>
          <w:lang w:val="en-GB"/>
        </w:rPr>
        <w:t xml:space="preserve">that the economic aspects are properly treated as an integral part of an overall spectrum management process, in accordance with </w:t>
      </w:r>
      <w:r w:rsidR="00CF4554">
        <w:rPr>
          <w:lang w:val="en-GB"/>
        </w:rPr>
        <w:t xml:space="preserve">the </w:t>
      </w:r>
      <w:r w:rsidRPr="00E47F3F">
        <w:rPr>
          <w:lang w:val="en-GB"/>
        </w:rPr>
        <w:t>general guidance given in Report ITU-R SM.2012,</w:t>
      </w:r>
    </w:p>
    <w:p w:rsidR="00490F71" w:rsidRPr="00E47F3F" w:rsidRDefault="00490F71" w:rsidP="00490F71">
      <w:pPr>
        <w:pStyle w:val="Call"/>
        <w:rPr>
          <w:lang w:val="en-GB"/>
        </w:rPr>
      </w:pPr>
      <w:r w:rsidRPr="00E47F3F">
        <w:rPr>
          <w:lang w:val="en-GB"/>
        </w:rPr>
        <w:t>recommends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b/>
          <w:lang w:val="en-GB"/>
        </w:rPr>
        <w:t>1</w:t>
      </w:r>
      <w:r w:rsidRPr="00E47F3F">
        <w:rPr>
          <w:lang w:val="en-GB"/>
        </w:rPr>
        <w:tab/>
        <w:t>that the development of national spectrum management programmes should address the following subject areas:</w:t>
      </w:r>
    </w:p>
    <w:p w:rsidR="00490F71" w:rsidRPr="00E47F3F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spectrum management fundamentals;</w:t>
      </w:r>
    </w:p>
    <w:p w:rsidR="00490F71" w:rsidRPr="00E47F3F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spectrum planning</w:t>
      </w:r>
      <w:r w:rsidR="004B502C" w:rsidRPr="00E47F3F">
        <w:rPr>
          <w:lang w:val="en-GB"/>
        </w:rPr>
        <w:t xml:space="preserve"> </w:t>
      </w:r>
      <w:r w:rsidR="00CF4554">
        <w:rPr>
          <w:lang w:val="en-GB" w:eastAsia="ko-KR"/>
        </w:rPr>
        <w:t>(short/long-</w:t>
      </w:r>
      <w:r w:rsidRPr="00E47F3F">
        <w:rPr>
          <w:lang w:val="en-GB" w:eastAsia="ko-KR"/>
        </w:rPr>
        <w:t>term planning, strategic planning, spectrum use planning, spectrum management system planning, service or network planning)</w:t>
      </w:r>
      <w:r w:rsidRPr="00E47F3F">
        <w:rPr>
          <w:lang w:val="en-GB"/>
        </w:rPr>
        <w:t>;</w:t>
      </w:r>
    </w:p>
    <w:p w:rsidR="00490F71" w:rsidRPr="00E47F3F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spectrum engineering practices (coordination, technical analysis, interference mitigation, etc.);</w:t>
      </w:r>
    </w:p>
    <w:p w:rsidR="00490F71" w:rsidRPr="00E47F3F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frequency authorization (spectrum rights, allocations, assignments,</w:t>
      </w:r>
      <w:r w:rsidRPr="00E47F3F">
        <w:rPr>
          <w:lang w:val="en-GB" w:eastAsia="ko-KR"/>
        </w:rPr>
        <w:t xml:space="preserve"> licensing, </w:t>
      </w:r>
      <w:r w:rsidRPr="00E47F3F">
        <w:rPr>
          <w:lang w:val="en-GB"/>
        </w:rPr>
        <w:t>etc.);</w:t>
      </w:r>
    </w:p>
    <w:p w:rsidR="00490F71" w:rsidRPr="00E47F3F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spectrum use (including spectrum efficiency</w:t>
      </w:r>
      <w:r w:rsidR="004B502C" w:rsidRPr="00E47F3F">
        <w:rPr>
          <w:lang w:val="en-GB"/>
        </w:rPr>
        <w:t xml:space="preserve"> and spectrum demand</w:t>
      </w:r>
      <w:r w:rsidRPr="00E47F3F">
        <w:rPr>
          <w:lang w:val="en-GB"/>
        </w:rPr>
        <w:t>);</w:t>
      </w:r>
    </w:p>
    <w:p w:rsidR="00490F71" w:rsidRPr="00E47F3F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spectrum control (inspection and monitoring);</w:t>
      </w:r>
    </w:p>
    <w:p w:rsidR="00CF4554" w:rsidRDefault="00490F71" w:rsidP="00490F71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automation of spectrum management</w:t>
      </w:r>
      <w:r w:rsidRPr="00E47F3F">
        <w:rPr>
          <w:lang w:val="en-GB" w:eastAsia="ko-KR"/>
        </w:rPr>
        <w:t xml:space="preserve"> and integration with spectrum </w:t>
      </w:r>
      <w:r w:rsidRPr="00E47F3F">
        <w:rPr>
          <w:lang w:val="en-GB"/>
        </w:rPr>
        <w:t>monitoring</w:t>
      </w:r>
      <w:r w:rsidRPr="00E47F3F">
        <w:rPr>
          <w:lang w:val="en-GB" w:eastAsia="ko-KR"/>
        </w:rPr>
        <w:t xml:space="preserve"> systems</w:t>
      </w:r>
      <w:r w:rsidRPr="00E47F3F">
        <w:rPr>
          <w:lang w:val="en-GB"/>
        </w:rPr>
        <w:t>;</w:t>
      </w:r>
    </w:p>
    <w:p w:rsidR="00490F71" w:rsidRPr="00E47F3F" w:rsidRDefault="00CF4554" w:rsidP="00490F71">
      <w:pPr>
        <w:pStyle w:val="enumlev1"/>
        <w:rPr>
          <w:lang w:val="en-GB"/>
        </w:rPr>
      </w:pPr>
      <w:r>
        <w:rPr>
          <w:lang w:val="en-GB"/>
        </w:rPr>
        <w:t>–</w:t>
      </w:r>
      <w:r w:rsidR="00490F71" w:rsidRPr="00E47F3F">
        <w:rPr>
          <w:lang w:val="en-GB"/>
        </w:rPr>
        <w:tab/>
        <w:t>spectrum economics (spectrum fees);</w:t>
      </w:r>
    </w:p>
    <w:p w:rsidR="00490F71" w:rsidRPr="00E47F3F" w:rsidRDefault="00490F71" w:rsidP="00CF4554">
      <w:pPr>
        <w:pStyle w:val="enumlev1"/>
        <w:rPr>
          <w:lang w:val="en-GB"/>
        </w:rPr>
      </w:pPr>
      <w:r w:rsidRPr="00E47F3F">
        <w:rPr>
          <w:lang w:val="en-GB"/>
        </w:rPr>
        <w:t>–</w:t>
      </w:r>
      <w:r w:rsidRPr="00E47F3F">
        <w:rPr>
          <w:lang w:val="en-GB"/>
        </w:rPr>
        <w:tab/>
        <w:t>standards</w:t>
      </w:r>
      <w:r w:rsidRPr="00E47F3F">
        <w:rPr>
          <w:lang w:val="en-GB" w:eastAsia="ko-KR"/>
        </w:rPr>
        <w:t xml:space="preserve"> and equipment authorization</w:t>
      </w:r>
      <w:r w:rsidR="00CF4554">
        <w:rPr>
          <w:lang w:val="en-GB" w:eastAsia="ko-KR"/>
        </w:rPr>
        <w:t>;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b/>
          <w:bCs/>
          <w:lang w:val="en-GB"/>
        </w:rPr>
        <w:t>2</w:t>
      </w:r>
      <w:r w:rsidRPr="00E47F3F">
        <w:rPr>
          <w:b/>
          <w:bCs/>
          <w:lang w:val="en-GB"/>
        </w:rPr>
        <w:tab/>
      </w:r>
      <w:r w:rsidRPr="00E47F3F">
        <w:rPr>
          <w:lang w:val="en-GB"/>
        </w:rPr>
        <w:t>the use of formats for recording national frequency assignments, compatible with those used by the Radiocommunication Bureau for electronic notification of frequency assignments;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b/>
          <w:lang w:val="en-GB"/>
        </w:rPr>
        <w:t>3</w:t>
      </w:r>
      <w:r w:rsidRPr="00E47F3F">
        <w:rPr>
          <w:b/>
          <w:lang w:val="en-GB"/>
        </w:rPr>
        <w:tab/>
      </w:r>
      <w:r w:rsidRPr="00E47F3F">
        <w:rPr>
          <w:lang w:val="en-GB"/>
        </w:rPr>
        <w:t xml:space="preserve">that in addressing subjects specified in </w:t>
      </w:r>
      <w:r w:rsidRPr="00E47F3F">
        <w:rPr>
          <w:i/>
          <w:iCs/>
          <w:lang w:val="en-GB"/>
        </w:rPr>
        <w:t xml:space="preserve">recommends </w:t>
      </w:r>
      <w:r w:rsidRPr="00E47F3F">
        <w:rPr>
          <w:lang w:val="en-GB"/>
        </w:rPr>
        <w:t>1, administrations are guided by the appropriate sections of the ITU-R Recommendations, Reports and ITU Handbooks;</w:t>
      </w:r>
    </w:p>
    <w:p w:rsidR="00490F71" w:rsidRPr="00E47F3F" w:rsidRDefault="00490F71" w:rsidP="00490F71">
      <w:pPr>
        <w:rPr>
          <w:lang w:val="en-GB"/>
        </w:rPr>
      </w:pPr>
      <w:r w:rsidRPr="00E47F3F">
        <w:rPr>
          <w:b/>
          <w:bCs/>
          <w:lang w:val="en-GB"/>
        </w:rPr>
        <w:t>4</w:t>
      </w:r>
      <w:r w:rsidRPr="00E47F3F">
        <w:rPr>
          <w:lang w:val="en-GB"/>
        </w:rPr>
        <w:tab/>
        <w:t xml:space="preserve">that in addressing the subject specified in </w:t>
      </w:r>
      <w:r w:rsidRPr="00E47F3F">
        <w:rPr>
          <w:i/>
          <w:iCs/>
          <w:lang w:val="en-GB"/>
        </w:rPr>
        <w:t>recommends</w:t>
      </w:r>
      <w:r w:rsidRPr="00E47F3F">
        <w:rPr>
          <w:lang w:val="en-GB"/>
        </w:rPr>
        <w:t xml:space="preserve"> 2, administrations are guided by the appropriate sections of the Radio Regulations, Radiocommunications Data Dictionary, the ITU-R Recommendations, Reports and ITU Handbooks;</w:t>
      </w:r>
    </w:p>
    <w:p w:rsidR="00490F71" w:rsidRPr="00E47F3F" w:rsidRDefault="00490F71" w:rsidP="0008498A">
      <w:pPr>
        <w:rPr>
          <w:lang w:val="en-GB"/>
        </w:rPr>
      </w:pPr>
      <w:r w:rsidRPr="00E47F3F">
        <w:rPr>
          <w:b/>
          <w:bCs/>
          <w:lang w:val="en-GB"/>
        </w:rPr>
        <w:t>5</w:t>
      </w:r>
      <w:r w:rsidRPr="00E47F3F">
        <w:rPr>
          <w:lang w:val="en-GB"/>
        </w:rPr>
        <w:tab/>
        <w:t xml:space="preserve">that the development of staff skills and knowledge in subjects specified in </w:t>
      </w:r>
      <w:r w:rsidRPr="00E47F3F">
        <w:rPr>
          <w:i/>
          <w:iCs/>
          <w:lang w:val="en-GB"/>
        </w:rPr>
        <w:t>recommends </w:t>
      </w:r>
      <w:r w:rsidRPr="00E47F3F">
        <w:rPr>
          <w:lang w:val="en-GB"/>
        </w:rPr>
        <w:t>1 is a continuous process to enhance effective spectrum management.</w:t>
      </w:r>
    </w:p>
    <w:p w:rsidR="00490F71" w:rsidRPr="00E47F3F" w:rsidRDefault="00490F71" w:rsidP="00490F71">
      <w:pPr>
        <w:rPr>
          <w:lang w:val="en-GB"/>
        </w:rPr>
      </w:pPr>
    </w:p>
    <w:p w:rsidR="004B502C" w:rsidRPr="00E47F3F" w:rsidRDefault="004B502C" w:rsidP="0008498A">
      <w:pPr>
        <w:rPr>
          <w:lang w:val="en-GB"/>
        </w:rPr>
      </w:pPr>
    </w:p>
    <w:p w:rsidR="004B502C" w:rsidRPr="00E47F3F" w:rsidRDefault="004B502C">
      <w:pPr>
        <w:jc w:val="center"/>
        <w:rPr>
          <w:lang w:val="en-GB"/>
        </w:rPr>
      </w:pPr>
      <w:r w:rsidRPr="00E47F3F">
        <w:rPr>
          <w:lang w:val="en-GB"/>
        </w:rPr>
        <w:t>______________</w:t>
      </w:r>
    </w:p>
    <w:p w:rsidR="00934ED7" w:rsidRPr="00E47F3F" w:rsidRDefault="00934ED7" w:rsidP="00356B5D">
      <w:pPr>
        <w:pStyle w:val="RecNo"/>
        <w:spacing w:before="0"/>
        <w:rPr>
          <w:lang w:val="en-GB"/>
        </w:rPr>
      </w:pPr>
    </w:p>
    <w:sectPr w:rsidR="00934ED7" w:rsidRPr="00E47F3F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848" w:rsidRDefault="00870848">
      <w:r>
        <w:separator/>
      </w:r>
    </w:p>
  </w:endnote>
  <w:endnote w:type="continuationSeparator" w:id="0">
    <w:p w:rsidR="00870848" w:rsidRDefault="00870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848" w:rsidRDefault="00870848">
      <w:r>
        <w:separator/>
      </w:r>
    </w:p>
  </w:footnote>
  <w:footnote w:type="continuationSeparator" w:id="0">
    <w:p w:rsidR="00870848" w:rsidRDefault="00870848">
      <w:r>
        <w:continuationSeparator/>
      </w:r>
    </w:p>
  </w:footnote>
  <w:footnote w:id="1">
    <w:p w:rsidR="004C0992" w:rsidRPr="004C0992" w:rsidRDefault="004C0992">
      <w:pPr>
        <w:pStyle w:val="FootnoteText"/>
        <w:rPr>
          <w:lang w:val="en-GB"/>
        </w:rPr>
      </w:pPr>
      <w:r w:rsidRPr="004C0992">
        <w:rPr>
          <w:rStyle w:val="FootnoteReference"/>
          <w:lang w:val="en-GB"/>
        </w:rPr>
        <w:t>*</w:t>
      </w:r>
      <w:r w:rsidRPr="004C0992">
        <w:rPr>
          <w:lang w:val="en-GB"/>
        </w:rPr>
        <w:t xml:space="preserve"> </w:t>
      </w:r>
      <w:r w:rsidRPr="004C0992">
        <w:rPr>
          <w:lang w:val="en-GB"/>
        </w:rPr>
        <w:tab/>
        <w:t>Radiocommunication Study Group 1 made editorial amendments to this Recommendation in the year 2019 in accordance with Resolution ITU-R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882" w:rsidRDefault="0060188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882" w:rsidRDefault="00BA4F93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2D1E1386" wp14:editId="75DFB51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882" w:rsidRDefault="00596C9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01882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C11DD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="00601882">
      <w:rPr>
        <w:lang w:val="en-US"/>
      </w:rPr>
      <w:tab/>
    </w:r>
    <w:fldSimple w:instr=" DOCPROPERTY &quot;Header&quot; \* MERGEFORMAT ">
      <w:r w:rsidR="00A614E5" w:rsidRPr="00A614E5">
        <w:rPr>
          <w:b/>
          <w:bCs/>
          <w:lang w:val="en-US"/>
        </w:rPr>
        <w:t xml:space="preserve">Rec. </w:t>
      </w:r>
    </w:fldSimple>
    <w:r w:rsidR="00601882">
      <w:rPr>
        <w:b/>
        <w:bCs/>
      </w:rPr>
      <w:t xml:space="preserve"> </w:t>
    </w:r>
    <w:r>
      <w:rPr>
        <w:b/>
        <w:bCs/>
      </w:rPr>
      <w:fldChar w:fldCharType="begin"/>
    </w:r>
    <w:r w:rsidR="00601882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C11DD">
      <w:rPr>
        <w:b/>
        <w:bCs/>
        <w:noProof/>
        <w:lang w:val="en-US"/>
      </w:rPr>
      <w:t>ITU-R  SM.1047-2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1882" w:rsidRDefault="00601882">
    <w:pPr>
      <w:pStyle w:val="Header"/>
    </w:pPr>
    <w:r>
      <w:tab/>
    </w:r>
    <w:fldSimple w:instr=" DOCPROPERTY &quot;Header&quot; \* MERGEFORMAT ">
      <w:r w:rsidR="00A614E5" w:rsidRPr="00A614E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596C9C">
      <w:rPr>
        <w:b/>
        <w:bCs/>
      </w:rPr>
      <w:fldChar w:fldCharType="begin"/>
    </w:r>
    <w:r>
      <w:rPr>
        <w:b/>
        <w:bCs/>
      </w:rPr>
      <w:instrText>styleref href</w:instrText>
    </w:r>
    <w:r w:rsidR="00596C9C">
      <w:rPr>
        <w:b/>
        <w:bCs/>
      </w:rPr>
      <w:fldChar w:fldCharType="separate"/>
    </w:r>
    <w:r w:rsidR="00AC11DD">
      <w:rPr>
        <w:b/>
        <w:bCs/>
        <w:noProof/>
      </w:rPr>
      <w:t>ITU-R  SM.1047-2</w:t>
    </w:r>
    <w:r w:rsidR="00596C9C">
      <w:rPr>
        <w:b/>
        <w:bCs/>
      </w:rPr>
      <w:fldChar w:fldCharType="end"/>
    </w:r>
    <w:r>
      <w:tab/>
    </w:r>
    <w:r w:rsidR="00596C9C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596C9C">
      <w:rPr>
        <w:rStyle w:val="PageNumber"/>
        <w:b/>
        <w:bCs/>
      </w:rPr>
      <w:fldChar w:fldCharType="separate"/>
    </w:r>
    <w:r w:rsidR="00AC11DD">
      <w:rPr>
        <w:rStyle w:val="PageNumber"/>
        <w:b/>
        <w:bCs/>
        <w:noProof/>
      </w:rPr>
      <w:t>1</w:t>
    </w:r>
    <w:r w:rsidR="00596C9C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D4400"/>
    <w:multiLevelType w:val="hybridMultilevel"/>
    <w:tmpl w:val="E536F8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150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ED7"/>
    <w:rsid w:val="00013002"/>
    <w:rsid w:val="00036EE3"/>
    <w:rsid w:val="00072484"/>
    <w:rsid w:val="0008498A"/>
    <w:rsid w:val="00096612"/>
    <w:rsid w:val="000B7683"/>
    <w:rsid w:val="000D0677"/>
    <w:rsid w:val="000E6A6E"/>
    <w:rsid w:val="00102934"/>
    <w:rsid w:val="00147110"/>
    <w:rsid w:val="001511A6"/>
    <w:rsid w:val="002058CE"/>
    <w:rsid w:val="002165F1"/>
    <w:rsid w:val="00276D21"/>
    <w:rsid w:val="00296D7F"/>
    <w:rsid w:val="002B3CF6"/>
    <w:rsid w:val="002C768A"/>
    <w:rsid w:val="002D76C4"/>
    <w:rsid w:val="002F5199"/>
    <w:rsid w:val="00305A41"/>
    <w:rsid w:val="00356B5D"/>
    <w:rsid w:val="00420DFD"/>
    <w:rsid w:val="00437A76"/>
    <w:rsid w:val="00470E28"/>
    <w:rsid w:val="00490F71"/>
    <w:rsid w:val="004934C5"/>
    <w:rsid w:val="004B502C"/>
    <w:rsid w:val="004C0992"/>
    <w:rsid w:val="004F24ED"/>
    <w:rsid w:val="00556548"/>
    <w:rsid w:val="00586EF8"/>
    <w:rsid w:val="00596C9C"/>
    <w:rsid w:val="005A127F"/>
    <w:rsid w:val="005B49AB"/>
    <w:rsid w:val="005B50E7"/>
    <w:rsid w:val="005E7B4F"/>
    <w:rsid w:val="00601882"/>
    <w:rsid w:val="00607D68"/>
    <w:rsid w:val="00613212"/>
    <w:rsid w:val="006149B1"/>
    <w:rsid w:val="00680D2B"/>
    <w:rsid w:val="00681B32"/>
    <w:rsid w:val="006B1D2B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8310C9"/>
    <w:rsid w:val="00853CC5"/>
    <w:rsid w:val="00870848"/>
    <w:rsid w:val="008C7848"/>
    <w:rsid w:val="00906589"/>
    <w:rsid w:val="00906AD6"/>
    <w:rsid w:val="00917AF2"/>
    <w:rsid w:val="0092418A"/>
    <w:rsid w:val="00934ED7"/>
    <w:rsid w:val="009543C3"/>
    <w:rsid w:val="00966E1B"/>
    <w:rsid w:val="009947C0"/>
    <w:rsid w:val="009C521F"/>
    <w:rsid w:val="009E3058"/>
    <w:rsid w:val="009F2D2C"/>
    <w:rsid w:val="00A25DEC"/>
    <w:rsid w:val="00A31928"/>
    <w:rsid w:val="00A614E5"/>
    <w:rsid w:val="00A62A14"/>
    <w:rsid w:val="00A6617B"/>
    <w:rsid w:val="00A71FE5"/>
    <w:rsid w:val="00A971A1"/>
    <w:rsid w:val="00AA3AD8"/>
    <w:rsid w:val="00AB0DC8"/>
    <w:rsid w:val="00AC11DD"/>
    <w:rsid w:val="00B033C8"/>
    <w:rsid w:val="00B33425"/>
    <w:rsid w:val="00B44E24"/>
    <w:rsid w:val="00B54ECC"/>
    <w:rsid w:val="00B714F3"/>
    <w:rsid w:val="00B871C5"/>
    <w:rsid w:val="00B87B6B"/>
    <w:rsid w:val="00BA4F93"/>
    <w:rsid w:val="00BC5D77"/>
    <w:rsid w:val="00BF487A"/>
    <w:rsid w:val="00C46BD9"/>
    <w:rsid w:val="00C55258"/>
    <w:rsid w:val="00C73560"/>
    <w:rsid w:val="00CB0F14"/>
    <w:rsid w:val="00CD659B"/>
    <w:rsid w:val="00CE0A43"/>
    <w:rsid w:val="00CF4554"/>
    <w:rsid w:val="00D83556"/>
    <w:rsid w:val="00D86036"/>
    <w:rsid w:val="00DF4176"/>
    <w:rsid w:val="00E17240"/>
    <w:rsid w:val="00E31B63"/>
    <w:rsid w:val="00E47F3F"/>
    <w:rsid w:val="00E74595"/>
    <w:rsid w:val="00EB7C57"/>
    <w:rsid w:val="00ED2695"/>
    <w:rsid w:val="00EE3AA4"/>
    <w:rsid w:val="00F074C2"/>
    <w:rsid w:val="00F30C9B"/>
    <w:rsid w:val="00F354B1"/>
    <w:rsid w:val="00F76900"/>
    <w:rsid w:val="00FA7BEE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5:docId w15:val="{7DD64B0B-CAB2-4C90-BCCC-97BC19D97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03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D8603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8603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8603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8603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86036"/>
    <w:pPr>
      <w:outlineLvl w:val="4"/>
    </w:pPr>
  </w:style>
  <w:style w:type="paragraph" w:styleId="Heading6">
    <w:name w:val="heading 6"/>
    <w:basedOn w:val="Heading4"/>
    <w:next w:val="Normal"/>
    <w:qFormat/>
    <w:rsid w:val="00D8603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86036"/>
    <w:pPr>
      <w:outlineLvl w:val="6"/>
    </w:pPr>
  </w:style>
  <w:style w:type="paragraph" w:styleId="Heading8">
    <w:name w:val="heading 8"/>
    <w:basedOn w:val="Heading6"/>
    <w:next w:val="Normal"/>
    <w:qFormat/>
    <w:rsid w:val="00D86036"/>
    <w:pPr>
      <w:outlineLvl w:val="7"/>
    </w:pPr>
  </w:style>
  <w:style w:type="paragraph" w:styleId="Heading9">
    <w:name w:val="heading 9"/>
    <w:basedOn w:val="Heading6"/>
    <w:next w:val="Normal"/>
    <w:qFormat/>
    <w:rsid w:val="00D8603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8603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8603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86036"/>
  </w:style>
  <w:style w:type="paragraph" w:customStyle="1" w:styleId="Headingb">
    <w:name w:val="Heading_b"/>
    <w:basedOn w:val="Heading3"/>
    <w:next w:val="Normal"/>
    <w:link w:val="HeadingbChar"/>
    <w:qFormat/>
    <w:rsid w:val="00D8603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8603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86036"/>
  </w:style>
  <w:style w:type="paragraph" w:customStyle="1" w:styleId="AnnexNoTitle">
    <w:name w:val="Annex_NoTitle"/>
    <w:basedOn w:val="Normal"/>
    <w:next w:val="Normalaftertitle"/>
    <w:rsid w:val="00D8603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D86036"/>
    <w:pPr>
      <w:spacing w:before="320"/>
    </w:pPr>
  </w:style>
  <w:style w:type="paragraph" w:customStyle="1" w:styleId="enumlev2">
    <w:name w:val="enumlev2"/>
    <w:basedOn w:val="enumlev1"/>
    <w:rsid w:val="00D86036"/>
    <w:pPr>
      <w:ind w:left="1191" w:hanging="397"/>
    </w:pPr>
  </w:style>
  <w:style w:type="paragraph" w:customStyle="1" w:styleId="enumlev1">
    <w:name w:val="enumlev1"/>
    <w:basedOn w:val="Normal"/>
    <w:link w:val="enumlev1Char"/>
    <w:uiPriority w:val="99"/>
    <w:rsid w:val="00D86036"/>
    <w:pPr>
      <w:spacing w:before="80"/>
      <w:ind w:left="794" w:hanging="794"/>
    </w:pPr>
  </w:style>
  <w:style w:type="paragraph" w:customStyle="1" w:styleId="enumlev3">
    <w:name w:val="enumlev3"/>
    <w:basedOn w:val="enumlev2"/>
    <w:rsid w:val="00D86036"/>
    <w:pPr>
      <w:ind w:left="1588"/>
    </w:pPr>
  </w:style>
  <w:style w:type="paragraph" w:customStyle="1" w:styleId="Note">
    <w:name w:val="Note"/>
    <w:basedOn w:val="Normal"/>
    <w:rsid w:val="00D8603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8603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D86036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D86036"/>
    <w:pPr>
      <w:jc w:val="center"/>
    </w:pPr>
  </w:style>
  <w:style w:type="paragraph" w:customStyle="1" w:styleId="Recdate">
    <w:name w:val="Rec_date"/>
    <w:basedOn w:val="Recref"/>
    <w:next w:val="Normalaftertitle"/>
    <w:rsid w:val="00D86036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D86036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86036"/>
  </w:style>
  <w:style w:type="paragraph" w:customStyle="1" w:styleId="Tablefin">
    <w:name w:val="Table_fin"/>
    <w:basedOn w:val="Normal"/>
    <w:next w:val="Normal"/>
    <w:rsid w:val="00D8603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8603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D8603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D8603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8603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D8603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8603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86036"/>
    <w:pPr>
      <w:ind w:left="794"/>
    </w:pPr>
  </w:style>
  <w:style w:type="paragraph" w:customStyle="1" w:styleId="Figurelegend">
    <w:name w:val="Figure_legend"/>
    <w:basedOn w:val="Normal"/>
    <w:rsid w:val="00D8603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8603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D8603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86036"/>
    <w:pPr>
      <w:keepNext w:val="0"/>
      <w:spacing w:before="0" w:after="240"/>
    </w:pPr>
  </w:style>
  <w:style w:type="paragraph" w:customStyle="1" w:styleId="tocpart">
    <w:name w:val="tocpart"/>
    <w:basedOn w:val="Normal"/>
    <w:rsid w:val="00D8603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8603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8603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8603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8603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8603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86036"/>
    <w:rPr>
      <w:b/>
    </w:rPr>
  </w:style>
  <w:style w:type="paragraph" w:customStyle="1" w:styleId="Chaptitle">
    <w:name w:val="Chap_title"/>
    <w:basedOn w:val="Arttitle"/>
    <w:next w:val="Normalaftertitle"/>
    <w:rsid w:val="00D86036"/>
  </w:style>
  <w:style w:type="character" w:styleId="FootnoteReference">
    <w:name w:val="footnote reference"/>
    <w:basedOn w:val="DefaultParagraphFont"/>
    <w:semiHidden/>
    <w:rsid w:val="00D86036"/>
    <w:rPr>
      <w:position w:val="6"/>
      <w:sz w:val="18"/>
    </w:rPr>
  </w:style>
  <w:style w:type="paragraph" w:styleId="FootnoteText">
    <w:name w:val="footnote text"/>
    <w:basedOn w:val="Normal"/>
    <w:semiHidden/>
    <w:rsid w:val="00D8603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D86036"/>
  </w:style>
  <w:style w:type="paragraph" w:styleId="Index2">
    <w:name w:val="index 2"/>
    <w:basedOn w:val="Normal"/>
    <w:next w:val="Normal"/>
    <w:semiHidden/>
    <w:rsid w:val="00D86036"/>
    <w:pPr>
      <w:ind w:left="283"/>
    </w:pPr>
  </w:style>
  <w:style w:type="paragraph" w:styleId="Index3">
    <w:name w:val="index 3"/>
    <w:basedOn w:val="Normal"/>
    <w:next w:val="Normal"/>
    <w:semiHidden/>
    <w:rsid w:val="00D86036"/>
    <w:pPr>
      <w:ind w:left="566"/>
    </w:pPr>
  </w:style>
  <w:style w:type="paragraph" w:styleId="IndexHeading">
    <w:name w:val="index heading"/>
    <w:basedOn w:val="Normal"/>
    <w:next w:val="Index1"/>
    <w:semiHidden/>
    <w:rsid w:val="00D86036"/>
  </w:style>
  <w:style w:type="paragraph" w:customStyle="1" w:styleId="Line">
    <w:name w:val="Line"/>
    <w:basedOn w:val="Normal"/>
    <w:next w:val="Normal"/>
    <w:rsid w:val="00D8603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8603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86036"/>
  </w:style>
  <w:style w:type="paragraph" w:customStyle="1" w:styleId="Partref">
    <w:name w:val="Part_ref"/>
    <w:basedOn w:val="Normal"/>
    <w:next w:val="Normal"/>
    <w:rsid w:val="00D8603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8603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86036"/>
  </w:style>
  <w:style w:type="paragraph" w:customStyle="1" w:styleId="QuestionNo">
    <w:name w:val="Question_No"/>
    <w:basedOn w:val="RecNo"/>
    <w:next w:val="Normal"/>
    <w:rsid w:val="00D86036"/>
  </w:style>
  <w:style w:type="paragraph" w:customStyle="1" w:styleId="Questionref">
    <w:name w:val="Question_ref"/>
    <w:basedOn w:val="Recref"/>
    <w:next w:val="Questiondate"/>
    <w:rsid w:val="00D86036"/>
  </w:style>
  <w:style w:type="paragraph" w:customStyle="1" w:styleId="Questiontitle">
    <w:name w:val="Question_title"/>
    <w:basedOn w:val="Normal"/>
    <w:next w:val="Questionref"/>
    <w:rsid w:val="00D86036"/>
  </w:style>
  <w:style w:type="paragraph" w:customStyle="1" w:styleId="Reftext">
    <w:name w:val="Ref_text"/>
    <w:basedOn w:val="Normal"/>
    <w:rsid w:val="00D8603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D8603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86036"/>
  </w:style>
  <w:style w:type="paragraph" w:customStyle="1" w:styleId="RepNo">
    <w:name w:val="Rep_No"/>
    <w:basedOn w:val="RecNo"/>
    <w:next w:val="Reptitle"/>
    <w:rsid w:val="00D86036"/>
  </w:style>
  <w:style w:type="paragraph" w:customStyle="1" w:styleId="Reptitle">
    <w:name w:val="Rep_title"/>
    <w:basedOn w:val="Rectitle"/>
    <w:next w:val="Repref"/>
    <w:rsid w:val="00D86036"/>
  </w:style>
  <w:style w:type="paragraph" w:customStyle="1" w:styleId="Repref">
    <w:name w:val="Rep_ref"/>
    <w:basedOn w:val="Recref"/>
    <w:next w:val="Repdate"/>
    <w:rsid w:val="00D86036"/>
  </w:style>
  <w:style w:type="paragraph" w:customStyle="1" w:styleId="Resdate">
    <w:name w:val="Res_date"/>
    <w:basedOn w:val="Recdate"/>
    <w:next w:val="Normalaftertitle"/>
    <w:rsid w:val="00D86036"/>
  </w:style>
  <w:style w:type="paragraph" w:customStyle="1" w:styleId="ResNo">
    <w:name w:val="Res_No"/>
    <w:basedOn w:val="RecNo"/>
    <w:next w:val="Restitle"/>
    <w:rsid w:val="00D86036"/>
  </w:style>
  <w:style w:type="paragraph" w:customStyle="1" w:styleId="Restitle">
    <w:name w:val="Res_title"/>
    <w:basedOn w:val="Normal"/>
    <w:next w:val="Resref"/>
    <w:rsid w:val="00D86036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D86036"/>
  </w:style>
  <w:style w:type="paragraph" w:customStyle="1" w:styleId="SectionNo">
    <w:name w:val="Section_No"/>
    <w:basedOn w:val="Normal"/>
    <w:next w:val="Normal"/>
    <w:rsid w:val="00D86036"/>
  </w:style>
  <w:style w:type="paragraph" w:customStyle="1" w:styleId="Sectiontitle">
    <w:name w:val="Section_title"/>
    <w:basedOn w:val="Normal"/>
    <w:next w:val="Normalaftertitle"/>
    <w:rsid w:val="00D8603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8603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8603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8603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8603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8603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86036"/>
  </w:style>
  <w:style w:type="paragraph" w:styleId="TOC6">
    <w:name w:val="toc 6"/>
    <w:basedOn w:val="TOC4"/>
    <w:semiHidden/>
    <w:rsid w:val="00D86036"/>
  </w:style>
  <w:style w:type="paragraph" w:styleId="TOC7">
    <w:name w:val="toc 7"/>
    <w:basedOn w:val="TOC4"/>
    <w:semiHidden/>
    <w:rsid w:val="00D86036"/>
  </w:style>
  <w:style w:type="paragraph" w:styleId="TOC8">
    <w:name w:val="toc 8"/>
    <w:basedOn w:val="TOC4"/>
    <w:semiHidden/>
    <w:rsid w:val="00D86036"/>
  </w:style>
  <w:style w:type="paragraph" w:customStyle="1" w:styleId="Annexref">
    <w:name w:val="Annex_ref"/>
    <w:basedOn w:val="Normal"/>
    <w:next w:val="Normalaftertitle"/>
    <w:rsid w:val="00D8603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86036"/>
  </w:style>
  <w:style w:type="paragraph" w:customStyle="1" w:styleId="Tabletitle">
    <w:name w:val="Table_title"/>
    <w:basedOn w:val="Normal"/>
    <w:next w:val="Tablehead"/>
    <w:rsid w:val="00D8603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4C0992"/>
    <w:rPr>
      <w:sz w:val="22"/>
      <w:szCs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D86036"/>
    <w:pPr>
      <w:ind w:left="-85" w:firstLine="0"/>
    </w:pPr>
    <w:rPr>
      <w:lang w:val="en-US"/>
    </w:rPr>
  </w:style>
  <w:style w:type="character" w:customStyle="1" w:styleId="HeadingbChar">
    <w:name w:val="Heading_b Char"/>
    <w:link w:val="Headingb"/>
    <w:uiPriority w:val="99"/>
    <w:locked/>
    <w:rsid w:val="00490F71"/>
    <w:rPr>
      <w:b/>
      <w:sz w:val="24"/>
      <w:lang w:val="fr-FR" w:eastAsia="en-US"/>
    </w:rPr>
  </w:style>
  <w:style w:type="character" w:customStyle="1" w:styleId="enumlev1Char">
    <w:name w:val="enumlev1 Char"/>
    <w:link w:val="enumlev1"/>
    <w:uiPriority w:val="99"/>
    <w:locked/>
    <w:rsid w:val="00490F71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10491A-D055-4547-85DD-94E5BA7C4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</TotalTime>
  <Pages>4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SM.1047-2 - National spectrum management</vt:lpstr>
    </vt:vector>
  </TitlesOfParts>
  <Manager/>
  <Company>ITU</Company>
  <LinksUpToDate>false</LinksUpToDate>
  <CharactersWithSpaces>5564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SM.1047-2 - National spectrum management</dc:title>
  <dc:subject>SM Series = Spectrum management</dc:subject>
  <dc:creator>ITU Radiocommunication Bureau (BR)</dc:creator>
  <cp:keywords>SM,1047-2</cp:keywords>
  <dc:description>Soby, 03.10.2012, ITU51007790</dc:description>
  <cp:lastModifiedBy>Gachet, Christelle</cp:lastModifiedBy>
  <cp:revision>13</cp:revision>
  <cp:lastPrinted>2019-09-12T13:13:00Z</cp:lastPrinted>
  <dcterms:created xsi:type="dcterms:W3CDTF">2012-09-04T14:25:00Z</dcterms:created>
  <dcterms:modified xsi:type="dcterms:W3CDTF">2019-09-16T08:11:00Z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Soby</vt:lpwstr>
  </property>
  <property fmtid="{D5CDD505-2E9C-101B-9397-08002B2CF9AE}" pid="11" name="Date completed">
    <vt:lpwstr>mercredi, 3. octobre 2012</vt:lpwstr>
  </property>
</Properties>
</file>