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9ACE3" w14:textId="77777777" w:rsidR="0080408F" w:rsidRPr="00C16A02" w:rsidRDefault="0080408F" w:rsidP="0080408F">
      <w:pPr>
        <w:pStyle w:val="RecNo"/>
        <w:spacing w:before="0"/>
        <w:rPr>
          <w:lang w:val="en-US" w:eastAsia="ko-KR"/>
        </w:rPr>
      </w:pPr>
      <w:r w:rsidRPr="00C16A02">
        <w:rPr>
          <w:lang w:val="en-US" w:eastAsia="ko-KR"/>
        </w:rPr>
        <w:t xml:space="preserve">RECOMMENDATION </w:t>
      </w:r>
      <w:r>
        <w:rPr>
          <w:lang w:val="en-US" w:eastAsia="ko-KR"/>
        </w:rPr>
        <w:t xml:space="preserve"> </w:t>
      </w:r>
      <w:r w:rsidRPr="00C16A02">
        <w:rPr>
          <w:rStyle w:val="href"/>
          <w:lang w:val="en-US"/>
        </w:rPr>
        <w:t xml:space="preserve">ITU-R </w:t>
      </w:r>
      <w:r w:rsidRPr="0080408F">
        <w:rPr>
          <w:rStyle w:val="href"/>
          <w:lang w:val="en-US"/>
        </w:rPr>
        <w:t xml:space="preserve"> </w:t>
      </w:r>
      <w:r w:rsidRPr="00C16A02">
        <w:rPr>
          <w:rStyle w:val="href"/>
          <w:lang w:val="en-US"/>
        </w:rPr>
        <w:t>SM.1056</w:t>
      </w:r>
      <w:r w:rsidRPr="0080408F">
        <w:rPr>
          <w:rStyle w:val="href"/>
          <w:lang w:val="en-US"/>
        </w:rPr>
        <w:t>-1</w:t>
      </w:r>
      <w:r w:rsidR="005E4628" w:rsidRPr="009F4D02">
        <w:rPr>
          <w:rFonts w:eastAsia="Batang"/>
          <w:position w:val="6"/>
          <w:lang w:val="en-US" w:eastAsia="ko-KR"/>
        </w:rPr>
        <w:footnoteReference w:customMarkFollows="1" w:id="1"/>
        <w:t>*</w:t>
      </w:r>
    </w:p>
    <w:p w14:paraId="16D9ACE4" w14:textId="77777777" w:rsidR="0080408F" w:rsidRPr="00C16A02" w:rsidRDefault="0080408F" w:rsidP="0080408F">
      <w:pPr>
        <w:pStyle w:val="Rectitle"/>
        <w:rPr>
          <w:lang w:val="en-US"/>
        </w:rPr>
      </w:pPr>
      <w:r w:rsidRPr="00C16A02">
        <w:rPr>
          <w:lang w:val="en-US"/>
        </w:rPr>
        <w:t>Limitation of radiation from industrial, scientific</w:t>
      </w:r>
      <w:r>
        <w:rPr>
          <w:lang w:val="en-US"/>
        </w:rPr>
        <w:br/>
      </w:r>
      <w:r w:rsidRPr="00C16A02">
        <w:rPr>
          <w:lang w:val="en-US"/>
        </w:rPr>
        <w:t>and medical (ISM) equipment</w:t>
      </w:r>
    </w:p>
    <w:p w14:paraId="16D9ACE5" w14:textId="77777777" w:rsidR="0080408F" w:rsidRPr="00C16A02" w:rsidRDefault="0080408F" w:rsidP="0080408F">
      <w:pPr>
        <w:pStyle w:val="Recref"/>
        <w:rPr>
          <w:lang w:val="en-US" w:eastAsia="ko-KR"/>
        </w:rPr>
      </w:pPr>
      <w:r w:rsidRPr="00C16A02">
        <w:rPr>
          <w:lang w:val="en-US" w:eastAsia="ko-KR"/>
        </w:rPr>
        <w:t>(Question ITU-R 70/1)</w:t>
      </w:r>
    </w:p>
    <w:p w14:paraId="16D9ACE6" w14:textId="77777777" w:rsidR="006E1606" w:rsidRDefault="006E1606" w:rsidP="0080408F">
      <w:pPr>
        <w:pStyle w:val="Recdate"/>
        <w:rPr>
          <w:lang w:val="en-US"/>
        </w:rPr>
      </w:pPr>
    </w:p>
    <w:p w14:paraId="16D9ACE7" w14:textId="77777777" w:rsidR="0080408F" w:rsidRPr="0080408F" w:rsidRDefault="0080408F" w:rsidP="0080408F">
      <w:pPr>
        <w:pStyle w:val="Recdate"/>
        <w:rPr>
          <w:lang w:val="en-US"/>
        </w:rPr>
      </w:pPr>
      <w:r w:rsidRPr="0080408F">
        <w:rPr>
          <w:lang w:val="en-US"/>
        </w:rPr>
        <w:t>(1994-2007)</w:t>
      </w:r>
    </w:p>
    <w:p w14:paraId="16D9ACE8" w14:textId="77777777" w:rsidR="0080408F" w:rsidRDefault="0080408F" w:rsidP="0080408F">
      <w:pPr>
        <w:rPr>
          <w:lang w:val="en-US"/>
        </w:rPr>
      </w:pPr>
    </w:p>
    <w:p w14:paraId="16D9ACE9" w14:textId="77777777" w:rsidR="0080408F" w:rsidRPr="0080408F" w:rsidRDefault="0080408F" w:rsidP="0080408F">
      <w:pPr>
        <w:pStyle w:val="HeadingSum"/>
        <w:rPr>
          <w:lang w:val="en-US"/>
        </w:rPr>
      </w:pPr>
      <w:r w:rsidRPr="0080408F">
        <w:rPr>
          <w:lang w:val="en-US"/>
        </w:rPr>
        <w:t>Scope</w:t>
      </w:r>
    </w:p>
    <w:p w14:paraId="16D9ACEA" w14:textId="77777777" w:rsidR="0080408F" w:rsidRPr="0080408F" w:rsidRDefault="0080408F" w:rsidP="0080408F">
      <w:pPr>
        <w:pStyle w:val="Summary"/>
        <w:rPr>
          <w:rFonts w:eastAsia="SimSun"/>
          <w:lang w:val="en-US" w:eastAsia="zh-CN"/>
        </w:rPr>
      </w:pPr>
      <w:r w:rsidRPr="0080408F">
        <w:rPr>
          <w:lang w:val="en-US"/>
        </w:rPr>
        <w:t xml:space="preserve">This Recommendation provides limits of radiation from various ISM devices and </w:t>
      </w:r>
      <w:r w:rsidRPr="0080408F">
        <w:rPr>
          <w:lang w:val="en-US" w:eastAsia="zh-CN"/>
        </w:rPr>
        <w:t xml:space="preserve">gives advice on how to use the limits in Publication 11 of </w:t>
      </w:r>
      <w:r w:rsidRPr="0080408F">
        <w:rPr>
          <w:lang w:val="en-US"/>
        </w:rPr>
        <w:t>International Special Committee on Radio Interference</w:t>
      </w:r>
      <w:r w:rsidRPr="0080408F">
        <w:rPr>
          <w:lang w:val="en-US" w:eastAsia="zh-CN"/>
        </w:rPr>
        <w:t xml:space="preserve"> (CISPR).</w:t>
      </w:r>
    </w:p>
    <w:p w14:paraId="16D9ACEB" w14:textId="77777777" w:rsidR="005E4628" w:rsidRPr="007B1B03" w:rsidRDefault="005E4628" w:rsidP="005E4628">
      <w:pPr>
        <w:pStyle w:val="Headingb"/>
        <w:rPr>
          <w:rFonts w:eastAsia="Batang"/>
          <w:lang w:val="en-GB"/>
        </w:rPr>
      </w:pPr>
      <w:r w:rsidRPr="007B1B03">
        <w:rPr>
          <w:rFonts w:eastAsia="Batang"/>
          <w:lang w:val="en-GB"/>
        </w:rPr>
        <w:t>Keywords</w:t>
      </w:r>
    </w:p>
    <w:p w14:paraId="16D9ACEC" w14:textId="77777777" w:rsidR="006E1606" w:rsidRDefault="005E4628" w:rsidP="005E4628">
      <w:pPr>
        <w:rPr>
          <w:lang w:val="en-US"/>
        </w:rPr>
      </w:pPr>
      <w:r w:rsidRPr="00F233B8">
        <w:rPr>
          <w:rFonts w:eastAsia="Batang"/>
          <w:lang w:val="en-GB"/>
        </w:rPr>
        <w:t>Limitation, radiations, ISM devices, CISPR</w:t>
      </w:r>
    </w:p>
    <w:p w14:paraId="16D9ACED" w14:textId="77777777" w:rsidR="0080408F" w:rsidRPr="00C16A02" w:rsidRDefault="0080408F" w:rsidP="0080408F">
      <w:pPr>
        <w:pStyle w:val="Normalaftertitle"/>
        <w:rPr>
          <w:lang w:val="en-US"/>
        </w:rPr>
      </w:pPr>
      <w:r w:rsidRPr="00C16A02">
        <w:rPr>
          <w:lang w:val="en-US"/>
        </w:rPr>
        <w:t>The ITU Radiocommunication Assembly,</w:t>
      </w:r>
    </w:p>
    <w:p w14:paraId="16D9ACEE" w14:textId="77777777" w:rsidR="0080408F" w:rsidRPr="00C16A02" w:rsidRDefault="0080408F" w:rsidP="0080408F">
      <w:pPr>
        <w:pStyle w:val="Call"/>
        <w:rPr>
          <w:lang w:val="en-US"/>
        </w:rPr>
      </w:pPr>
      <w:r w:rsidRPr="00C16A02">
        <w:rPr>
          <w:lang w:val="en-US"/>
        </w:rPr>
        <w:t>considering</w:t>
      </w:r>
    </w:p>
    <w:p w14:paraId="16D9ACEF" w14:textId="77777777" w:rsidR="0080408F" w:rsidRPr="00C16A02" w:rsidRDefault="0080408F" w:rsidP="0080408F">
      <w:pPr>
        <w:rPr>
          <w:lang w:val="en-US"/>
        </w:rPr>
      </w:pPr>
      <w:r w:rsidRPr="00F233B8">
        <w:rPr>
          <w:i/>
          <w:iCs/>
          <w:lang w:val="en-US"/>
        </w:rPr>
        <w:t>a)</w:t>
      </w:r>
      <w:r w:rsidRPr="00C16A02">
        <w:rPr>
          <w:lang w:val="en-US"/>
        </w:rPr>
        <w:tab/>
        <w:t xml:space="preserve">that No. </w:t>
      </w:r>
      <w:r w:rsidRPr="00F233B8">
        <w:rPr>
          <w:b/>
          <w:bCs/>
          <w:lang w:val="en-US"/>
        </w:rPr>
        <w:t>1.15</w:t>
      </w:r>
      <w:r w:rsidRPr="00C16A02">
        <w:rPr>
          <w:lang w:val="en-US"/>
        </w:rPr>
        <w:t xml:space="preserve"> of the Radio Regulations (RR) defines ISM applications (of radio-frequency energy) as operation of equipment or appliances designed to generate and use locally radio-frequency energy for industrial, scientific, medical, domestic or similar purposes, excluding applications in the field of telecommunications;</w:t>
      </w:r>
    </w:p>
    <w:p w14:paraId="16D9ACF0" w14:textId="77777777" w:rsidR="0080408F" w:rsidRPr="00C16A02" w:rsidRDefault="0080408F" w:rsidP="0080408F">
      <w:pPr>
        <w:rPr>
          <w:lang w:val="en-US"/>
        </w:rPr>
      </w:pPr>
      <w:r w:rsidRPr="00F233B8">
        <w:rPr>
          <w:i/>
          <w:iCs/>
          <w:lang w:val="en-US"/>
        </w:rPr>
        <w:t>b)</w:t>
      </w:r>
      <w:r w:rsidRPr="00C16A02">
        <w:rPr>
          <w:lang w:val="en-US"/>
        </w:rPr>
        <w:tab/>
        <w:t>that ISM equipment has the potential to cause harmful interference to radiocommunication services and applications throughout the spectrum;</w:t>
      </w:r>
    </w:p>
    <w:p w14:paraId="16D9ACF1" w14:textId="77777777" w:rsidR="0080408F" w:rsidRPr="00C16A02" w:rsidRDefault="0080408F" w:rsidP="0080408F">
      <w:pPr>
        <w:rPr>
          <w:lang w:val="en-US"/>
        </w:rPr>
      </w:pPr>
      <w:r w:rsidRPr="008D32EA">
        <w:rPr>
          <w:i/>
          <w:iCs/>
          <w:lang w:val="en-US"/>
        </w:rPr>
        <w:t>c)</w:t>
      </w:r>
      <w:r w:rsidRPr="00C16A02">
        <w:rPr>
          <w:lang w:val="en-US"/>
        </w:rPr>
        <w:tab/>
        <w:t>that for the optimum use of the frequency spectrum, it is necessary to lay down limits of radiation from ISM equipment outside the bands designated for their use;</w:t>
      </w:r>
    </w:p>
    <w:p w14:paraId="16D9ACF2" w14:textId="77777777" w:rsidR="0080408F" w:rsidRPr="00C16A02" w:rsidRDefault="0080408F" w:rsidP="0080408F">
      <w:pPr>
        <w:rPr>
          <w:lang w:val="en-US"/>
        </w:rPr>
      </w:pPr>
      <w:r w:rsidRPr="008D32EA">
        <w:rPr>
          <w:i/>
          <w:iCs/>
          <w:lang w:val="en-US"/>
        </w:rPr>
        <w:t>d)</w:t>
      </w:r>
      <w:r w:rsidRPr="00C16A02">
        <w:rPr>
          <w:lang w:val="en-US"/>
        </w:rPr>
        <w:tab/>
        <w:t>that due to the different operating environments and characteristics of ISM equipment several categories of limits are necessary;</w:t>
      </w:r>
    </w:p>
    <w:p w14:paraId="16D9ACF3" w14:textId="77777777" w:rsidR="0080408F" w:rsidRPr="00C16A02" w:rsidRDefault="0080408F" w:rsidP="0080408F">
      <w:pPr>
        <w:rPr>
          <w:lang w:val="en-US"/>
        </w:rPr>
      </w:pPr>
      <w:r w:rsidRPr="008D32EA">
        <w:rPr>
          <w:i/>
          <w:iCs/>
          <w:lang w:val="en-US"/>
        </w:rPr>
        <w:t>e)</w:t>
      </w:r>
      <w:r w:rsidRPr="00C16A02">
        <w:rPr>
          <w:lang w:val="en-US"/>
        </w:rPr>
        <w:tab/>
        <w:t>that radio services operating in the bands designated for use by ISM equipment prior to WARC-79 are required to accept harmful interference and that radiation limits are necessary in all other bands to protect radio services;</w:t>
      </w:r>
    </w:p>
    <w:p w14:paraId="16D9ACF4" w14:textId="77777777" w:rsidR="0080408F" w:rsidRPr="00C16A02" w:rsidRDefault="0080408F" w:rsidP="0080408F">
      <w:pPr>
        <w:rPr>
          <w:lang w:val="en-US"/>
        </w:rPr>
      </w:pPr>
      <w:r w:rsidRPr="008D32EA">
        <w:rPr>
          <w:i/>
          <w:iCs/>
          <w:lang w:val="en-US"/>
        </w:rPr>
        <w:t>f)</w:t>
      </w:r>
      <w:r w:rsidRPr="00C16A02">
        <w:rPr>
          <w:lang w:val="en-US"/>
        </w:rPr>
        <w:tab/>
        <w:t>that radiation from ISM equipment may be costly and technically difficult to suppress and thus development of suppression requirements must take into consideration physical, technological, economic, operational and safety aspects of ISM usage to avoid unnecessarily severe measures;</w:t>
      </w:r>
    </w:p>
    <w:p w14:paraId="16D9ACF5" w14:textId="77777777" w:rsidR="0080408F" w:rsidRPr="00C16A02" w:rsidRDefault="0080408F" w:rsidP="0080408F">
      <w:pPr>
        <w:rPr>
          <w:lang w:val="en-US"/>
        </w:rPr>
      </w:pPr>
      <w:r w:rsidRPr="008D32EA">
        <w:rPr>
          <w:i/>
          <w:iCs/>
          <w:lang w:val="en-US"/>
        </w:rPr>
        <w:t>g)</w:t>
      </w:r>
      <w:r w:rsidRPr="00C16A02">
        <w:rPr>
          <w:lang w:val="en-US"/>
        </w:rPr>
        <w:tab/>
        <w:t xml:space="preserve">that equipment meeting the radiation limits, which are compromise values, may in some circumstances cause harmful interference; </w:t>
      </w:r>
      <w:proofErr w:type="gramStart"/>
      <w:r w:rsidRPr="00C16A02">
        <w:rPr>
          <w:lang w:val="en-US"/>
        </w:rPr>
        <w:t>and,</w:t>
      </w:r>
      <w:proofErr w:type="gramEnd"/>
      <w:r w:rsidRPr="00C16A02">
        <w:rPr>
          <w:lang w:val="en-US"/>
        </w:rPr>
        <w:t xml:space="preserve"> there needs to be provisions for measures to be taken to eliminate or reduce interference in individual cases;</w:t>
      </w:r>
    </w:p>
    <w:p w14:paraId="16D9ACF6" w14:textId="77777777" w:rsidR="0080408F" w:rsidRPr="00C16A02" w:rsidRDefault="0080408F" w:rsidP="0080408F">
      <w:pPr>
        <w:rPr>
          <w:lang w:val="en-US"/>
        </w:rPr>
      </w:pPr>
      <w:r w:rsidRPr="008D32EA">
        <w:rPr>
          <w:i/>
          <w:iCs/>
          <w:lang w:val="en-US"/>
        </w:rPr>
        <w:t>h)</w:t>
      </w:r>
      <w:r w:rsidRPr="00C16A02">
        <w:rPr>
          <w:lang w:val="en-US"/>
        </w:rPr>
        <w:tab/>
        <w:t>that the legal and administrative provisions differ in different countries and thus administrations have different methods of applying and enforcing limits;</w:t>
      </w:r>
    </w:p>
    <w:p w14:paraId="16D9ACF7" w14:textId="77777777" w:rsidR="0080408F" w:rsidRPr="00C16A02" w:rsidRDefault="0080408F" w:rsidP="0080408F">
      <w:pPr>
        <w:rPr>
          <w:lang w:val="en-US"/>
        </w:rPr>
      </w:pPr>
      <w:r w:rsidRPr="008D32EA">
        <w:rPr>
          <w:i/>
          <w:iCs/>
          <w:lang w:val="en-US"/>
        </w:rPr>
        <w:lastRenderedPageBreak/>
        <w:t>j)</w:t>
      </w:r>
      <w:r w:rsidRPr="00C16A02">
        <w:rPr>
          <w:lang w:val="en-US"/>
        </w:rPr>
        <w:tab/>
        <w:t xml:space="preserve">that the </w:t>
      </w:r>
      <w:r w:rsidR="00BC214D">
        <w:rPr>
          <w:lang w:val="en-US"/>
        </w:rPr>
        <w:t>International Electrotechnical Commission/International Special Committee on Radio Interference (I</w:t>
      </w:r>
      <w:r w:rsidR="005267FC">
        <w:rPr>
          <w:lang w:val="en-US"/>
        </w:rPr>
        <w:t>EC</w:t>
      </w:r>
      <w:r w:rsidR="00BC214D">
        <w:rPr>
          <w:lang w:val="en-US"/>
        </w:rPr>
        <w:t>/</w:t>
      </w:r>
      <w:r w:rsidRPr="00C16A02">
        <w:rPr>
          <w:lang w:val="en-US"/>
        </w:rPr>
        <w:t>CISPR</w:t>
      </w:r>
      <w:r w:rsidR="00BC214D">
        <w:rPr>
          <w:lang w:val="en-US"/>
        </w:rPr>
        <w:t>)</w:t>
      </w:r>
      <w:r w:rsidRPr="00C16A02">
        <w:rPr>
          <w:lang w:val="en-US"/>
        </w:rPr>
        <w:t xml:space="preserve"> has developed limits and </w:t>
      </w:r>
      <w:proofErr w:type="gramStart"/>
      <w:r w:rsidRPr="00C16A02">
        <w:rPr>
          <w:lang w:val="en-US"/>
        </w:rPr>
        <w:t>taken into account</w:t>
      </w:r>
      <w:proofErr w:type="gramEnd"/>
      <w:r w:rsidRPr="00C16A02">
        <w:rPr>
          <w:lang w:val="en-US"/>
        </w:rPr>
        <w:t xml:space="preserve"> the principles outlined in </w:t>
      </w:r>
      <w:r w:rsidR="00BC214D">
        <w:rPr>
          <w:lang w:val="en-US"/>
        </w:rPr>
        <w:t>e</w:t>
      </w:r>
      <w:r w:rsidRPr="00C16A02">
        <w:rPr>
          <w:lang w:val="en-US"/>
        </w:rPr>
        <w:t xml:space="preserve">) and </w:t>
      </w:r>
      <w:r w:rsidR="005267FC">
        <w:rPr>
          <w:lang w:val="en-US"/>
        </w:rPr>
        <w:t>f</w:t>
      </w:r>
      <w:r w:rsidRPr="00C16A02">
        <w:rPr>
          <w:lang w:val="en-US"/>
        </w:rPr>
        <w:t>) and the requirements to harmonize the procedures for the control of interference in order to eliminate technical barriers to trade;</w:t>
      </w:r>
    </w:p>
    <w:p w14:paraId="16D9ACF8" w14:textId="77777777" w:rsidR="0080408F" w:rsidRPr="00C16A02" w:rsidRDefault="0080408F" w:rsidP="0080408F">
      <w:pPr>
        <w:rPr>
          <w:lang w:val="en-US"/>
        </w:rPr>
      </w:pPr>
      <w:r w:rsidRPr="008D32EA">
        <w:rPr>
          <w:i/>
          <w:iCs/>
          <w:lang w:val="en-US"/>
        </w:rPr>
        <w:t>k)</w:t>
      </w:r>
      <w:r w:rsidRPr="00C16A02">
        <w:rPr>
          <w:lang w:val="en-US"/>
        </w:rPr>
        <w:tab/>
        <w:t xml:space="preserve">that the interference potential depends on the location of ISM equipment within the user’s premises and that the measuring distance and the point of reference for </w:t>
      </w:r>
      <w:r w:rsidRPr="00C16A02">
        <w:rPr>
          <w:i/>
          <w:lang w:val="en-US"/>
        </w:rPr>
        <w:t>in situ</w:t>
      </w:r>
      <w:r w:rsidRPr="00C16A02">
        <w:rPr>
          <w:lang w:val="en-US"/>
        </w:rPr>
        <w:t xml:space="preserve"> measurements have to be </w:t>
      </w:r>
      <w:proofErr w:type="gramStart"/>
      <w:r w:rsidRPr="00C16A02">
        <w:rPr>
          <w:lang w:val="en-US"/>
        </w:rPr>
        <w:t>taken into account</w:t>
      </w:r>
      <w:proofErr w:type="gramEnd"/>
      <w:r w:rsidRPr="00C16A02">
        <w:rPr>
          <w:lang w:val="en-US"/>
        </w:rPr>
        <w:t>;</w:t>
      </w:r>
    </w:p>
    <w:p w14:paraId="16D9ACF9" w14:textId="77777777" w:rsidR="0080408F" w:rsidRPr="00C16A02" w:rsidRDefault="0080408F" w:rsidP="0080408F">
      <w:pPr>
        <w:rPr>
          <w:lang w:val="en-US"/>
        </w:rPr>
      </w:pPr>
      <w:r w:rsidRPr="008D32EA">
        <w:rPr>
          <w:i/>
          <w:iCs/>
          <w:lang w:val="en-US"/>
        </w:rPr>
        <w:t>l)</w:t>
      </w:r>
      <w:r w:rsidRPr="00C16A02">
        <w:rPr>
          <w:lang w:val="en-US"/>
        </w:rPr>
        <w:tab/>
        <w:t>that severe difficulties could arise if different limits were to be recommended by different international bodies for the same class of equipment,</w:t>
      </w:r>
    </w:p>
    <w:p w14:paraId="16D9ACFB" w14:textId="77777777" w:rsidR="0080408F" w:rsidRPr="00C16A02" w:rsidRDefault="0080408F" w:rsidP="0080408F">
      <w:pPr>
        <w:pStyle w:val="Call"/>
        <w:rPr>
          <w:lang w:val="en-US"/>
        </w:rPr>
      </w:pPr>
      <w:r w:rsidRPr="00C16A02">
        <w:rPr>
          <w:lang w:val="en-US"/>
        </w:rPr>
        <w:t>noting</w:t>
      </w:r>
    </w:p>
    <w:p w14:paraId="41940272" w14:textId="77777777" w:rsidR="00970C0D" w:rsidRPr="00970C0D" w:rsidRDefault="00970C0D" w:rsidP="00970C0D">
      <w:pPr>
        <w:rPr>
          <w:rFonts w:eastAsia="Yu Mincho"/>
          <w:lang w:val="en-GB"/>
        </w:rPr>
      </w:pPr>
      <w:r w:rsidRPr="00970C0D">
        <w:rPr>
          <w:rFonts w:eastAsia="Yu Mincho"/>
          <w:bCs/>
          <w:i/>
          <w:iCs/>
          <w:lang w:val="en-GB"/>
        </w:rPr>
        <w:t>a)</w:t>
      </w:r>
      <w:r w:rsidRPr="00970C0D">
        <w:rPr>
          <w:rFonts w:eastAsia="Yu Mincho"/>
          <w:lang w:val="en-GB"/>
        </w:rPr>
        <w:tab/>
        <w:t>that, for ISM applications, the frequencies typically used by ISM equipment and some current and future ISM applications are shown in Annex 1;</w:t>
      </w:r>
    </w:p>
    <w:p w14:paraId="662EB850" w14:textId="77777777" w:rsidR="00970C0D" w:rsidRPr="00970C0D" w:rsidRDefault="00970C0D" w:rsidP="00970C0D">
      <w:pPr>
        <w:rPr>
          <w:rFonts w:eastAsia="Yu Mincho"/>
          <w:lang w:val="en-GB"/>
        </w:rPr>
      </w:pPr>
      <w:r w:rsidRPr="00970C0D">
        <w:rPr>
          <w:rFonts w:eastAsia="Yu Mincho"/>
          <w:bCs/>
          <w:i/>
          <w:iCs/>
          <w:lang w:val="en-GB"/>
        </w:rPr>
        <w:t>b)</w:t>
      </w:r>
      <w:r w:rsidRPr="00970C0D">
        <w:rPr>
          <w:rFonts w:eastAsia="Yu Mincho"/>
          <w:lang w:val="en-GB"/>
        </w:rPr>
        <w:tab/>
        <w:t>that, although the ITU has designated specific frequency bands for ISM applications, other operating frequencies are also being used where practical constraints do not permit the usage of the designated bands;</w:t>
      </w:r>
    </w:p>
    <w:p w14:paraId="2961BA4B" w14:textId="77777777" w:rsidR="00970C0D" w:rsidRPr="00970C0D" w:rsidRDefault="00970C0D" w:rsidP="00970C0D">
      <w:pPr>
        <w:rPr>
          <w:rFonts w:eastAsia="Yu Mincho"/>
          <w:lang w:val="en-GB"/>
        </w:rPr>
      </w:pPr>
      <w:r w:rsidRPr="00970C0D">
        <w:rPr>
          <w:rFonts w:eastAsia="Yu Mincho"/>
          <w:bCs/>
          <w:i/>
          <w:iCs/>
          <w:lang w:val="en-GB"/>
        </w:rPr>
        <w:t>c)</w:t>
      </w:r>
      <w:r w:rsidRPr="00970C0D">
        <w:rPr>
          <w:rFonts w:eastAsia="Yu Mincho"/>
          <w:lang w:val="en-GB"/>
        </w:rPr>
        <w:tab/>
        <w:t>that CISPR Publication TR 16-4-4 “Uncertainties, statistics and limit modelling – Statistics of complaints and a model for the calculation of limits for the protection of radio services” provides concepts of the derivation of limits;</w:t>
      </w:r>
    </w:p>
    <w:p w14:paraId="253491EF" w14:textId="77777777" w:rsidR="00970C0D" w:rsidRPr="00970C0D" w:rsidRDefault="00970C0D" w:rsidP="00970C0D">
      <w:pPr>
        <w:rPr>
          <w:rFonts w:eastAsia="Yu Mincho"/>
          <w:lang w:val="en-GB"/>
        </w:rPr>
      </w:pPr>
      <w:r w:rsidRPr="00970C0D">
        <w:rPr>
          <w:rFonts w:eastAsia="Yu Mincho"/>
          <w:bCs/>
          <w:i/>
          <w:iCs/>
          <w:lang w:val="en-GB"/>
        </w:rPr>
        <w:t>d)</w:t>
      </w:r>
      <w:r w:rsidRPr="00970C0D">
        <w:rPr>
          <w:rFonts w:eastAsia="Yu Mincho"/>
          <w:lang w:val="en-GB"/>
        </w:rPr>
        <w:tab/>
        <w:t>that multimedia equipment (MME) including information technology equipment (ITE) which use RF energy have not been considered by the CISPR as ISM equipment and CISPR Publication 32, contain a guide for the application of limits and methods of measurements for MME;</w:t>
      </w:r>
    </w:p>
    <w:p w14:paraId="6CCF4AA0" w14:textId="77777777" w:rsidR="00970C0D" w:rsidRPr="00970C0D" w:rsidRDefault="00970C0D" w:rsidP="00970C0D">
      <w:pPr>
        <w:rPr>
          <w:rFonts w:eastAsia="Yu Mincho"/>
          <w:lang w:val="en-GB"/>
        </w:rPr>
      </w:pPr>
      <w:r w:rsidRPr="00970C0D">
        <w:rPr>
          <w:rFonts w:eastAsia="Yu Mincho"/>
          <w:i/>
          <w:iCs/>
          <w:lang w:val="en-GB"/>
        </w:rPr>
        <w:t>e)</w:t>
      </w:r>
      <w:r w:rsidRPr="00970C0D">
        <w:rPr>
          <w:rFonts w:eastAsia="Yu Mincho"/>
          <w:lang w:val="en-GB"/>
        </w:rPr>
        <w:tab/>
        <w:t xml:space="preserve">that RF lighting device operating in the ISM frequency bands 2.45 and 5.8 GHz (and 915 MHz band for Region 2 as defined by the </w:t>
      </w:r>
      <w:r w:rsidRPr="00970C0D">
        <w:rPr>
          <w:rFonts w:eastAsia="SimSun"/>
          <w:lang w:val="en-GB" w:eastAsia="zh-CN"/>
        </w:rPr>
        <w:t>RR</w:t>
      </w:r>
      <w:r w:rsidRPr="00970C0D" w:rsidDel="00AC2EE4">
        <w:rPr>
          <w:rFonts w:eastAsia="Yu Mincho"/>
          <w:lang w:val="en-GB"/>
        </w:rPr>
        <w:t>)</w:t>
      </w:r>
      <w:r w:rsidRPr="00970C0D">
        <w:rPr>
          <w:rFonts w:eastAsia="Yu Mincho"/>
          <w:lang w:val="en-GB"/>
        </w:rPr>
        <w:t xml:space="preserve"> have been considered as ISM equipment in CISPR Publication 11, and other type lighting devices are covered in CISPR Publication 15;</w:t>
      </w:r>
    </w:p>
    <w:p w14:paraId="676EBCEE" w14:textId="77777777" w:rsidR="00970C0D" w:rsidRPr="00970C0D" w:rsidRDefault="00970C0D" w:rsidP="00970C0D">
      <w:pPr>
        <w:rPr>
          <w:rFonts w:eastAsia="Yu Mincho"/>
          <w:lang w:val="en-GB" w:eastAsia="ja-JP"/>
        </w:rPr>
      </w:pPr>
      <w:r w:rsidRPr="00970C0D">
        <w:rPr>
          <w:rFonts w:eastAsia="Yu Mincho"/>
          <w:i/>
          <w:iCs/>
          <w:lang w:val="en-GB" w:eastAsia="ja-JP"/>
        </w:rPr>
        <w:t>f)</w:t>
      </w:r>
      <w:r w:rsidRPr="00970C0D">
        <w:rPr>
          <w:rFonts w:eastAsia="Yu Mincho"/>
          <w:lang w:val="en-GB" w:eastAsia="ja-JP"/>
        </w:rPr>
        <w:tab/>
        <w:t>that domestic induction cookers have been considered to be ISM equipment, but in accordance with the policy to consolidate emission requirements for household electrical products in CISPR 14-1, the requirements for domestic induction cookers have been transferred from CISPR 11 to CISPR 14-1,</w:t>
      </w:r>
    </w:p>
    <w:p w14:paraId="16D9AD02" w14:textId="77777777" w:rsidR="0080408F" w:rsidRPr="00C16A02" w:rsidRDefault="0080408F" w:rsidP="0080408F">
      <w:pPr>
        <w:pStyle w:val="Call"/>
        <w:rPr>
          <w:lang w:val="en-US" w:eastAsia="zh-CN"/>
        </w:rPr>
      </w:pPr>
      <w:r w:rsidRPr="00C16A02">
        <w:rPr>
          <w:lang w:val="en-US" w:eastAsia="zh-CN"/>
        </w:rPr>
        <w:t>recognizing</w:t>
      </w:r>
    </w:p>
    <w:p w14:paraId="16D9AD03" w14:textId="77777777" w:rsidR="0080408F" w:rsidRPr="00C16A02" w:rsidRDefault="0080408F" w:rsidP="0080408F">
      <w:pPr>
        <w:rPr>
          <w:lang w:val="en-US" w:eastAsia="zh-CN"/>
        </w:rPr>
      </w:pPr>
      <w:r w:rsidRPr="00C17997">
        <w:rPr>
          <w:i/>
          <w:iCs/>
          <w:lang w:val="en-US" w:eastAsia="zh-CN"/>
        </w:rPr>
        <w:t>a)</w:t>
      </w:r>
      <w:r w:rsidRPr="00C16A02">
        <w:rPr>
          <w:lang w:val="en-US" w:eastAsia="zh-CN"/>
        </w:rPr>
        <w:tab/>
        <w:t xml:space="preserve">that </w:t>
      </w:r>
      <w:r w:rsidRPr="00C16A02">
        <w:rPr>
          <w:lang w:val="en-US"/>
        </w:rPr>
        <w:t xml:space="preserve">Resolution </w:t>
      </w:r>
      <w:r w:rsidRPr="008C4302">
        <w:rPr>
          <w:b/>
          <w:bCs/>
          <w:lang w:val="en-US"/>
        </w:rPr>
        <w:t xml:space="preserve">63 </w:t>
      </w:r>
      <w:r w:rsidRPr="008C4302">
        <w:rPr>
          <w:b/>
          <w:bCs/>
          <w:lang w:val="en-US" w:eastAsia="zh-CN"/>
        </w:rPr>
        <w:t>(Rev.WRC-03)</w:t>
      </w:r>
      <w:r w:rsidRPr="00C16A02">
        <w:rPr>
          <w:lang w:val="en-US"/>
        </w:rPr>
        <w:t xml:space="preserve"> </w:t>
      </w:r>
      <w:r w:rsidRPr="00C16A02">
        <w:rPr>
          <w:lang w:val="en-US" w:eastAsia="zh-CN"/>
        </w:rPr>
        <w:t xml:space="preserve">resolves </w:t>
      </w:r>
      <w:r w:rsidRPr="00C16A02">
        <w:rPr>
          <w:lang w:val="en-US"/>
        </w:rPr>
        <w:t>that to ensure that radiocommunication services are adequately protected, studies are required on the limits to be imposed on the radiation from ISM equipment within the frequency bands designated in the Radio Regulations for this use and outside of those bands</w:t>
      </w:r>
      <w:r w:rsidRPr="00C16A02">
        <w:rPr>
          <w:lang w:val="en-US" w:eastAsia="zh-CN"/>
        </w:rPr>
        <w:t>, in close collaboration with CISPR;</w:t>
      </w:r>
    </w:p>
    <w:p w14:paraId="16D9AD04" w14:textId="77777777" w:rsidR="0080408F" w:rsidRPr="00C16A02" w:rsidRDefault="0080408F" w:rsidP="0080408F">
      <w:pPr>
        <w:rPr>
          <w:rFonts w:eastAsia="SimSun"/>
          <w:lang w:val="en-US" w:eastAsia="zh-CN"/>
        </w:rPr>
      </w:pPr>
      <w:r w:rsidRPr="00C17997">
        <w:rPr>
          <w:i/>
          <w:iCs/>
          <w:lang w:val="en-US" w:eastAsia="zh-CN"/>
        </w:rPr>
        <w:t>b)</w:t>
      </w:r>
      <w:r w:rsidRPr="00C16A02">
        <w:rPr>
          <w:lang w:val="en-US" w:eastAsia="zh-CN"/>
        </w:rPr>
        <w:tab/>
        <w:t xml:space="preserve">that Resolution </w:t>
      </w:r>
      <w:r w:rsidRPr="008C4302">
        <w:rPr>
          <w:b/>
          <w:bCs/>
          <w:lang w:val="en-US" w:eastAsia="zh-CN"/>
        </w:rPr>
        <w:t>952 (WRC-03</w:t>
      </w:r>
      <w:r w:rsidRPr="00C16A02">
        <w:rPr>
          <w:lang w:val="en-US" w:eastAsia="zh-CN"/>
        </w:rPr>
        <w:t xml:space="preserve">) resolves to invite CISPR to use the definition of ISM application as show in No. </w:t>
      </w:r>
      <w:r w:rsidRPr="008C4302">
        <w:rPr>
          <w:b/>
          <w:bCs/>
          <w:lang w:val="en-US" w:eastAsia="zh-CN"/>
        </w:rPr>
        <w:t>1.15</w:t>
      </w:r>
      <w:r w:rsidRPr="00C16A02">
        <w:rPr>
          <w:lang w:val="en-US" w:eastAsia="zh-CN"/>
        </w:rPr>
        <w:t xml:space="preserve"> of RR, until a new definition is developed in ITU-R in collaboration with CISPR,</w:t>
      </w:r>
    </w:p>
    <w:p w14:paraId="16D9AD06" w14:textId="77777777" w:rsidR="0080408F" w:rsidRPr="00C16A02" w:rsidRDefault="0080408F" w:rsidP="0080408F">
      <w:pPr>
        <w:pStyle w:val="Call"/>
        <w:rPr>
          <w:lang w:val="en-US"/>
        </w:rPr>
      </w:pPr>
      <w:r w:rsidRPr="00C16A02">
        <w:rPr>
          <w:lang w:val="en-US"/>
        </w:rPr>
        <w:t>recommends</w:t>
      </w:r>
    </w:p>
    <w:p w14:paraId="16D9AD07" w14:textId="77777777" w:rsidR="0080408F" w:rsidRPr="00C16A02" w:rsidRDefault="0080408F" w:rsidP="0080408F">
      <w:pPr>
        <w:rPr>
          <w:lang w:val="en-US"/>
        </w:rPr>
      </w:pPr>
      <w:r w:rsidRPr="00C16A02">
        <w:rPr>
          <w:b/>
          <w:lang w:val="en-US"/>
        </w:rPr>
        <w:t>1</w:t>
      </w:r>
      <w:r w:rsidRPr="00C16A02">
        <w:rPr>
          <w:lang w:val="en-US"/>
        </w:rPr>
        <w:tab/>
        <w:t>that administrations may use the latest edition of CISPR Publication 11, including amendments, as a guide for the application of limits and methods of measurements for ISM devices, in order to protect radiocommunications;</w:t>
      </w:r>
    </w:p>
    <w:p w14:paraId="16D9AD08" w14:textId="77777777" w:rsidR="0080408F" w:rsidRPr="00C16A02" w:rsidRDefault="0080408F" w:rsidP="0080408F">
      <w:pPr>
        <w:rPr>
          <w:lang w:val="en-US"/>
        </w:rPr>
      </w:pPr>
      <w:r w:rsidRPr="00C16A02">
        <w:rPr>
          <w:b/>
          <w:lang w:val="en-US"/>
        </w:rPr>
        <w:t>2</w:t>
      </w:r>
      <w:r w:rsidRPr="00C16A02">
        <w:rPr>
          <w:lang w:val="en-US"/>
        </w:rPr>
        <w:tab/>
        <w:t>that continued cooperation with the CISPR should be initiated to ensure that radiocommunication needs are fully taken into consideration.</w:t>
      </w:r>
    </w:p>
    <w:p w14:paraId="16D9AD09" w14:textId="53586F35" w:rsidR="0080408F" w:rsidRPr="00C16A02" w:rsidRDefault="0080408F" w:rsidP="00144EB5">
      <w:pPr>
        <w:pStyle w:val="AnnexNoTitle"/>
        <w:rPr>
          <w:lang w:val="en-US"/>
        </w:rPr>
      </w:pPr>
      <w:r w:rsidRPr="00C16A02">
        <w:rPr>
          <w:lang w:val="en-US"/>
        </w:rPr>
        <w:br w:type="page"/>
      </w:r>
      <w:bookmarkStart w:id="0" w:name="_Toc138236209"/>
      <w:r w:rsidRPr="00C16A02">
        <w:rPr>
          <w:lang w:val="en-US"/>
        </w:rPr>
        <w:lastRenderedPageBreak/>
        <w:t>Annex 1</w:t>
      </w:r>
      <w:r w:rsidRPr="00C16A02">
        <w:rPr>
          <w:lang w:val="en-US"/>
        </w:rPr>
        <w:br/>
      </w:r>
      <w:r w:rsidRPr="00C16A02">
        <w:rPr>
          <w:lang w:val="en-US"/>
        </w:rPr>
        <w:br/>
        <w:t>Industrial, scientific and medical (ISM) applications</w:t>
      </w:r>
      <w:bookmarkEnd w:id="0"/>
    </w:p>
    <w:p w14:paraId="16D9AD0A" w14:textId="77777777" w:rsidR="0080408F" w:rsidRPr="00C16A02" w:rsidRDefault="0080408F" w:rsidP="0080408F">
      <w:pPr>
        <w:pStyle w:val="Heading1"/>
        <w:rPr>
          <w:lang w:val="en-US"/>
        </w:rPr>
      </w:pPr>
      <w:bookmarkStart w:id="1" w:name="_Toc138236210"/>
      <w:r w:rsidRPr="00C16A02">
        <w:rPr>
          <w:lang w:val="en-US"/>
        </w:rPr>
        <w:t>1</w:t>
      </w:r>
      <w:r w:rsidRPr="00C16A02">
        <w:rPr>
          <w:lang w:val="en-US"/>
        </w:rPr>
        <w:tab/>
        <w:t>Introduction</w:t>
      </w:r>
      <w:bookmarkEnd w:id="1"/>
    </w:p>
    <w:p w14:paraId="16D9AD0B" w14:textId="77777777" w:rsidR="0080408F" w:rsidRPr="00C16A02" w:rsidRDefault="0080408F" w:rsidP="0080408F">
      <w:pPr>
        <w:rPr>
          <w:lang w:val="en-US"/>
        </w:rPr>
      </w:pPr>
      <w:r w:rsidRPr="00C16A02">
        <w:rPr>
          <w:lang w:val="en-US"/>
        </w:rPr>
        <w:t xml:space="preserve">This Annex includes the ITU definition of ISM applications, a list of frequencies typically used by ISM equipment and describes some current and future ISM applications. </w:t>
      </w:r>
    </w:p>
    <w:p w14:paraId="16D9AD0C" w14:textId="77777777" w:rsidR="0080408F" w:rsidRPr="00C16A02" w:rsidRDefault="0080408F" w:rsidP="0080408F">
      <w:pPr>
        <w:pStyle w:val="Heading1"/>
        <w:rPr>
          <w:lang w:val="en-US"/>
        </w:rPr>
      </w:pPr>
      <w:bookmarkStart w:id="2" w:name="_Toc138236211"/>
      <w:r w:rsidRPr="00C16A02">
        <w:rPr>
          <w:lang w:val="en-US"/>
        </w:rPr>
        <w:t>2</w:t>
      </w:r>
      <w:r w:rsidRPr="00C16A02">
        <w:rPr>
          <w:lang w:val="en-US"/>
        </w:rPr>
        <w:tab/>
        <w:t>ISM applications</w:t>
      </w:r>
      <w:bookmarkEnd w:id="2"/>
    </w:p>
    <w:p w14:paraId="16D9AD0D" w14:textId="77777777" w:rsidR="0080408F" w:rsidRPr="00C16A02" w:rsidRDefault="0080408F" w:rsidP="0080408F">
      <w:pPr>
        <w:rPr>
          <w:lang w:val="en-US"/>
        </w:rPr>
      </w:pPr>
      <w:r w:rsidRPr="00C16A02">
        <w:rPr>
          <w:lang w:val="en-US"/>
        </w:rPr>
        <w:t>According to RR No. </w:t>
      </w:r>
      <w:r w:rsidRPr="008C4302">
        <w:rPr>
          <w:b/>
          <w:bCs/>
          <w:lang w:val="en-US"/>
        </w:rPr>
        <w:t>1.15</w:t>
      </w:r>
      <w:r w:rsidRPr="00C16A02">
        <w:rPr>
          <w:lang w:val="en-US"/>
        </w:rPr>
        <w:t>, ISM application is the operation of equipment or appliances designed to generate and use locally radio-frequency energy for industrial, scientific, medical, domestic or similar purposes, excluding applications in the field of telecommunications.</w:t>
      </w:r>
    </w:p>
    <w:p w14:paraId="16D9AD0E" w14:textId="77777777" w:rsidR="0080408F" w:rsidRPr="00C16A02" w:rsidRDefault="0080408F" w:rsidP="0080408F">
      <w:pPr>
        <w:rPr>
          <w:lang w:val="en-US"/>
        </w:rPr>
      </w:pPr>
      <w:r w:rsidRPr="00C16A02">
        <w:rPr>
          <w:lang w:val="en-US"/>
        </w:rPr>
        <w:t>A partial list of ISM applications and equipment include:</w:t>
      </w:r>
    </w:p>
    <w:p w14:paraId="16D9AD0F" w14:textId="77777777" w:rsidR="0080408F" w:rsidRDefault="0080408F" w:rsidP="00A6617B">
      <w:pPr>
        <w:rPr>
          <w:lang w:val="en-US"/>
        </w:rPr>
        <w:sectPr w:rsidR="0080408F">
          <w:headerReference w:type="even" r:id="rId7"/>
          <w:headerReference w:type="default" r:id="rId8"/>
          <w:pgSz w:w="11907" w:h="16834" w:code="9"/>
          <w:pgMar w:top="1418" w:right="1134" w:bottom="1134" w:left="1134" w:header="720" w:footer="482" w:gutter="0"/>
          <w:paperSrc w:first="15" w:other="15"/>
          <w:cols w:space="720"/>
        </w:sectPr>
      </w:pPr>
    </w:p>
    <w:p w14:paraId="16D9AD10" w14:textId="77777777" w:rsidR="0080408F" w:rsidRPr="00C16A02" w:rsidRDefault="0080408F" w:rsidP="0080408F">
      <w:pPr>
        <w:pStyle w:val="Headingi"/>
        <w:rPr>
          <w:lang w:val="en-US"/>
        </w:rPr>
      </w:pPr>
      <w:r w:rsidRPr="00C16A02">
        <w:rPr>
          <w:lang w:val="en-US"/>
        </w:rPr>
        <w:t>Induction heating equipment (below 1 MHz)</w:t>
      </w:r>
    </w:p>
    <w:p w14:paraId="16D9AD11" w14:textId="77777777" w:rsidR="0080408F" w:rsidRPr="00C16A02" w:rsidRDefault="0080408F" w:rsidP="0080408F">
      <w:pPr>
        <w:pStyle w:val="enumlev1"/>
        <w:spacing w:before="35"/>
        <w:jc w:val="left"/>
        <w:rPr>
          <w:lang w:val="en-US"/>
        </w:rPr>
      </w:pPr>
      <w:r w:rsidRPr="00C16A02">
        <w:rPr>
          <w:lang w:val="en-US"/>
        </w:rPr>
        <w:t>–</w:t>
      </w:r>
      <w:r w:rsidRPr="00C16A02">
        <w:rPr>
          <w:lang w:val="en-US"/>
        </w:rPr>
        <w:tab/>
        <w:t>domestic induction cookers</w:t>
      </w:r>
    </w:p>
    <w:p w14:paraId="16D9AD12" w14:textId="77777777" w:rsidR="0080408F" w:rsidRPr="00C16A02" w:rsidRDefault="0080408F" w:rsidP="0080408F">
      <w:pPr>
        <w:pStyle w:val="enumlev1"/>
        <w:spacing w:before="35"/>
        <w:jc w:val="left"/>
        <w:rPr>
          <w:lang w:val="en-US"/>
        </w:rPr>
      </w:pPr>
      <w:r w:rsidRPr="00C16A02">
        <w:rPr>
          <w:lang w:val="en-US"/>
        </w:rPr>
        <w:t>–</w:t>
      </w:r>
      <w:r w:rsidRPr="00C16A02">
        <w:rPr>
          <w:lang w:val="en-US"/>
        </w:rPr>
        <w:tab/>
        <w:t>metal melting</w:t>
      </w:r>
    </w:p>
    <w:p w14:paraId="16D9AD13" w14:textId="77777777" w:rsidR="0080408F" w:rsidRPr="00C16A02" w:rsidRDefault="0080408F" w:rsidP="0080408F">
      <w:pPr>
        <w:pStyle w:val="enumlev1"/>
        <w:spacing w:before="35"/>
        <w:jc w:val="left"/>
        <w:rPr>
          <w:lang w:val="en-US"/>
        </w:rPr>
      </w:pPr>
      <w:r w:rsidRPr="00C16A02">
        <w:rPr>
          <w:lang w:val="en-US"/>
        </w:rPr>
        <w:t>–</w:t>
      </w:r>
      <w:r w:rsidRPr="00C16A02">
        <w:rPr>
          <w:lang w:val="en-US"/>
        </w:rPr>
        <w:tab/>
        <w:t>billet heating</w:t>
      </w:r>
    </w:p>
    <w:p w14:paraId="16D9AD14" w14:textId="77777777" w:rsidR="0080408F" w:rsidRPr="00C16A02" w:rsidRDefault="0080408F" w:rsidP="0080408F">
      <w:pPr>
        <w:pStyle w:val="enumlev1"/>
        <w:spacing w:before="35"/>
        <w:jc w:val="left"/>
        <w:rPr>
          <w:lang w:val="en-US"/>
        </w:rPr>
      </w:pPr>
      <w:r w:rsidRPr="00C16A02">
        <w:rPr>
          <w:lang w:val="en-US"/>
        </w:rPr>
        <w:t>–</w:t>
      </w:r>
      <w:r w:rsidRPr="00C16A02">
        <w:rPr>
          <w:lang w:val="en-US"/>
        </w:rPr>
        <w:tab/>
        <w:t>tube welding</w:t>
      </w:r>
    </w:p>
    <w:p w14:paraId="16D9AD15" w14:textId="77777777" w:rsidR="0080408F" w:rsidRPr="00C16A02" w:rsidRDefault="0080408F" w:rsidP="0080408F">
      <w:pPr>
        <w:pStyle w:val="enumlev1"/>
        <w:spacing w:before="35"/>
        <w:jc w:val="left"/>
        <w:rPr>
          <w:lang w:val="en-US"/>
        </w:rPr>
      </w:pPr>
      <w:r w:rsidRPr="00C16A02">
        <w:rPr>
          <w:lang w:val="en-US"/>
        </w:rPr>
        <w:t>–</w:t>
      </w:r>
      <w:r w:rsidRPr="00C16A02">
        <w:rPr>
          <w:lang w:val="en-US"/>
        </w:rPr>
        <w:tab/>
        <w:t>soldering and brazing</w:t>
      </w:r>
    </w:p>
    <w:p w14:paraId="16D9AD16" w14:textId="77777777" w:rsidR="0080408F" w:rsidRPr="00C16A02" w:rsidRDefault="0080408F" w:rsidP="0080408F">
      <w:pPr>
        <w:pStyle w:val="enumlev1"/>
        <w:spacing w:before="35"/>
        <w:jc w:val="left"/>
        <w:rPr>
          <w:lang w:val="en-US"/>
        </w:rPr>
      </w:pPr>
      <w:r w:rsidRPr="00C16A02">
        <w:rPr>
          <w:lang w:val="en-US"/>
        </w:rPr>
        <w:t>–</w:t>
      </w:r>
      <w:r w:rsidRPr="00C16A02">
        <w:rPr>
          <w:lang w:val="en-US"/>
        </w:rPr>
        <w:tab/>
        <w:t>component heating</w:t>
      </w:r>
    </w:p>
    <w:p w14:paraId="16D9AD17" w14:textId="77777777" w:rsidR="0080408F" w:rsidRPr="00C16A02" w:rsidRDefault="0080408F" w:rsidP="0080408F">
      <w:pPr>
        <w:pStyle w:val="enumlev1"/>
        <w:spacing w:before="35"/>
        <w:jc w:val="left"/>
        <w:rPr>
          <w:lang w:val="en-US"/>
        </w:rPr>
      </w:pPr>
      <w:r w:rsidRPr="00C16A02">
        <w:rPr>
          <w:lang w:val="en-US"/>
        </w:rPr>
        <w:t>–</w:t>
      </w:r>
      <w:r w:rsidRPr="00C16A02">
        <w:rPr>
          <w:lang w:val="en-US"/>
        </w:rPr>
        <w:tab/>
        <w:t>spot welding</w:t>
      </w:r>
    </w:p>
    <w:p w14:paraId="16D9AD18" w14:textId="77777777" w:rsidR="0080408F" w:rsidRPr="00C16A02" w:rsidRDefault="0080408F" w:rsidP="0080408F">
      <w:pPr>
        <w:pStyle w:val="enumlev1"/>
        <w:spacing w:before="35"/>
        <w:jc w:val="left"/>
        <w:rPr>
          <w:lang w:val="en-US"/>
        </w:rPr>
      </w:pPr>
      <w:r w:rsidRPr="00C16A02">
        <w:rPr>
          <w:lang w:val="en-US"/>
        </w:rPr>
        <w:t>–</w:t>
      </w:r>
      <w:r w:rsidRPr="00C16A02">
        <w:rPr>
          <w:lang w:val="en-US"/>
        </w:rPr>
        <w:tab/>
        <w:t xml:space="preserve">selective surface heat treating of </w:t>
      </w:r>
      <w:r w:rsidRPr="00C16A02">
        <w:rPr>
          <w:lang w:val="en-US"/>
        </w:rPr>
        <w:br/>
        <w:t>metal parts</w:t>
      </w:r>
    </w:p>
    <w:p w14:paraId="16D9AD19" w14:textId="77777777" w:rsidR="0080408F" w:rsidRPr="00C16A02" w:rsidRDefault="0080408F" w:rsidP="0080408F">
      <w:pPr>
        <w:pStyle w:val="enumlev1"/>
        <w:spacing w:before="35"/>
        <w:jc w:val="left"/>
        <w:rPr>
          <w:lang w:val="en-US"/>
        </w:rPr>
      </w:pPr>
      <w:r w:rsidRPr="00C16A02">
        <w:rPr>
          <w:lang w:val="en-US"/>
        </w:rPr>
        <w:t>–</w:t>
      </w:r>
      <w:r w:rsidRPr="00C16A02">
        <w:rPr>
          <w:lang w:val="en-US"/>
        </w:rPr>
        <w:tab/>
        <w:t>semiconductor crystal growing and refining</w:t>
      </w:r>
    </w:p>
    <w:p w14:paraId="16D9AD1A" w14:textId="77777777" w:rsidR="0080408F" w:rsidRPr="00C16A02" w:rsidRDefault="0080408F" w:rsidP="0080408F">
      <w:pPr>
        <w:pStyle w:val="enumlev1"/>
        <w:spacing w:before="35"/>
        <w:jc w:val="left"/>
        <w:rPr>
          <w:lang w:val="en-US"/>
        </w:rPr>
      </w:pPr>
      <w:r w:rsidRPr="00C16A02">
        <w:rPr>
          <w:lang w:val="en-US"/>
        </w:rPr>
        <w:t>–</w:t>
      </w:r>
      <w:r w:rsidRPr="00C16A02">
        <w:rPr>
          <w:lang w:val="en-US"/>
        </w:rPr>
        <w:tab/>
        <w:t>seam bonding of autobody surfaces</w:t>
      </w:r>
    </w:p>
    <w:p w14:paraId="16D9AD1B" w14:textId="77777777" w:rsidR="0080408F" w:rsidRPr="00C16A02" w:rsidRDefault="0080408F" w:rsidP="0080408F">
      <w:pPr>
        <w:pStyle w:val="enumlev1"/>
        <w:spacing w:before="35"/>
        <w:jc w:val="left"/>
        <w:rPr>
          <w:lang w:val="en-US"/>
        </w:rPr>
      </w:pPr>
      <w:r w:rsidRPr="00C16A02">
        <w:rPr>
          <w:lang w:val="en-US"/>
        </w:rPr>
        <w:t>–</w:t>
      </w:r>
      <w:r w:rsidRPr="00C16A02">
        <w:rPr>
          <w:lang w:val="en-US"/>
        </w:rPr>
        <w:tab/>
        <w:t>package sealing</w:t>
      </w:r>
    </w:p>
    <w:p w14:paraId="16D9AD1C" w14:textId="77777777" w:rsidR="0080408F" w:rsidRPr="00C16A02" w:rsidRDefault="0080408F" w:rsidP="0080408F">
      <w:pPr>
        <w:pStyle w:val="enumlev1"/>
        <w:spacing w:before="35"/>
        <w:jc w:val="left"/>
        <w:rPr>
          <w:lang w:val="en-US"/>
        </w:rPr>
      </w:pPr>
      <w:r w:rsidRPr="00C16A02">
        <w:rPr>
          <w:lang w:val="en-US"/>
        </w:rPr>
        <w:t>–</w:t>
      </w:r>
      <w:r w:rsidRPr="00C16A02">
        <w:rPr>
          <w:lang w:val="en-US"/>
        </w:rPr>
        <w:tab/>
        <w:t>heating strip steel for galvanizing, annealing and paint drying</w:t>
      </w:r>
    </w:p>
    <w:p w14:paraId="16D9AD1D" w14:textId="77777777" w:rsidR="0080408F" w:rsidRPr="00C16A02" w:rsidRDefault="0080408F" w:rsidP="0080408F">
      <w:pPr>
        <w:pStyle w:val="Headingi"/>
        <w:jc w:val="left"/>
        <w:rPr>
          <w:lang w:val="en-US"/>
        </w:rPr>
      </w:pPr>
      <w:r w:rsidRPr="00C16A02">
        <w:rPr>
          <w:lang w:val="en-US"/>
        </w:rPr>
        <w:t xml:space="preserve">RF dielectric heating equipment </w:t>
      </w:r>
      <w:r w:rsidRPr="00C16A02">
        <w:rPr>
          <w:lang w:val="en-US"/>
        </w:rPr>
        <w:br/>
        <w:t>(1-100 MHz)</w:t>
      </w:r>
    </w:p>
    <w:p w14:paraId="16D9AD1E" w14:textId="77777777" w:rsidR="0080408F" w:rsidRPr="00C16A02" w:rsidRDefault="0080408F" w:rsidP="0080408F">
      <w:pPr>
        <w:pStyle w:val="enumlev1"/>
        <w:spacing w:before="30"/>
        <w:rPr>
          <w:lang w:val="en-US"/>
        </w:rPr>
      </w:pPr>
      <w:r w:rsidRPr="00C16A02">
        <w:rPr>
          <w:lang w:val="en-US"/>
        </w:rPr>
        <w:t>–</w:t>
      </w:r>
      <w:r w:rsidRPr="00C16A02">
        <w:rPr>
          <w:lang w:val="en-US"/>
        </w:rPr>
        <w:tab/>
        <w:t>veneer and lumber drying</w:t>
      </w:r>
    </w:p>
    <w:p w14:paraId="16D9AD1F" w14:textId="77777777" w:rsidR="0080408F" w:rsidRPr="00C16A02" w:rsidRDefault="0080408F" w:rsidP="0080408F">
      <w:pPr>
        <w:pStyle w:val="enumlev1"/>
        <w:spacing w:before="30"/>
        <w:rPr>
          <w:lang w:val="en-US"/>
        </w:rPr>
      </w:pPr>
      <w:r w:rsidRPr="00C16A02">
        <w:rPr>
          <w:lang w:val="en-US"/>
        </w:rPr>
        <w:t>–</w:t>
      </w:r>
      <w:r w:rsidRPr="00C16A02">
        <w:rPr>
          <w:lang w:val="en-US"/>
        </w:rPr>
        <w:tab/>
        <w:t>textile drying</w:t>
      </w:r>
    </w:p>
    <w:p w14:paraId="16D9AD20" w14:textId="77777777" w:rsidR="0080408F" w:rsidRPr="00C16A02" w:rsidRDefault="0080408F" w:rsidP="0080408F">
      <w:pPr>
        <w:pStyle w:val="enumlev1"/>
        <w:spacing w:before="30"/>
        <w:rPr>
          <w:lang w:val="en-US"/>
        </w:rPr>
      </w:pPr>
      <w:r w:rsidRPr="00C16A02">
        <w:rPr>
          <w:lang w:val="en-US"/>
        </w:rPr>
        <w:t>–</w:t>
      </w:r>
      <w:r w:rsidRPr="00C16A02">
        <w:rPr>
          <w:lang w:val="en-US"/>
        </w:rPr>
        <w:tab/>
      </w:r>
      <w:proofErr w:type="spellStart"/>
      <w:r w:rsidRPr="00C16A02">
        <w:rPr>
          <w:lang w:val="en-US"/>
        </w:rPr>
        <w:t>fibreglass</w:t>
      </w:r>
      <w:proofErr w:type="spellEnd"/>
      <w:r w:rsidRPr="00C16A02">
        <w:rPr>
          <w:lang w:val="en-US"/>
        </w:rPr>
        <w:t xml:space="preserve"> drying</w:t>
      </w:r>
    </w:p>
    <w:p w14:paraId="16D9AD21" w14:textId="77777777" w:rsidR="0080408F" w:rsidRPr="00C16A02" w:rsidRDefault="0080408F" w:rsidP="0080408F">
      <w:pPr>
        <w:pStyle w:val="enumlev1"/>
        <w:spacing w:before="30"/>
        <w:rPr>
          <w:lang w:val="en-US"/>
        </w:rPr>
      </w:pPr>
      <w:r w:rsidRPr="00C16A02">
        <w:rPr>
          <w:lang w:val="en-US"/>
        </w:rPr>
        <w:t>–</w:t>
      </w:r>
      <w:r w:rsidRPr="00C16A02">
        <w:rPr>
          <w:lang w:val="en-US"/>
        </w:rPr>
        <w:tab/>
        <w:t>paper and paper coating drying</w:t>
      </w:r>
    </w:p>
    <w:p w14:paraId="16D9AD22" w14:textId="77777777" w:rsidR="0080408F" w:rsidRPr="00C16A02" w:rsidRDefault="0080408F" w:rsidP="0080408F">
      <w:pPr>
        <w:pStyle w:val="enumlev1"/>
        <w:spacing w:before="30"/>
        <w:rPr>
          <w:lang w:val="en-US"/>
        </w:rPr>
      </w:pPr>
      <w:r w:rsidRPr="00C16A02">
        <w:rPr>
          <w:lang w:val="en-US"/>
        </w:rPr>
        <w:t>–</w:t>
      </w:r>
      <w:r w:rsidRPr="00C16A02">
        <w:rPr>
          <w:lang w:val="en-US"/>
        </w:rPr>
        <w:tab/>
        <w:t>plastic pre-heating</w:t>
      </w:r>
    </w:p>
    <w:p w14:paraId="16D9AD23" w14:textId="77777777" w:rsidR="0080408F" w:rsidRPr="00C16A02" w:rsidRDefault="0080408F" w:rsidP="0080408F">
      <w:pPr>
        <w:pStyle w:val="enumlev1"/>
        <w:spacing w:before="30"/>
        <w:rPr>
          <w:lang w:val="en-US"/>
        </w:rPr>
      </w:pPr>
      <w:r w:rsidRPr="00C16A02">
        <w:rPr>
          <w:lang w:val="en-US"/>
        </w:rPr>
        <w:t>–</w:t>
      </w:r>
      <w:r w:rsidRPr="00C16A02">
        <w:rPr>
          <w:lang w:val="en-US"/>
        </w:rPr>
        <w:tab/>
        <w:t xml:space="preserve">plastic welding and </w:t>
      </w:r>
      <w:proofErr w:type="spellStart"/>
      <w:r w:rsidRPr="00C16A02">
        <w:rPr>
          <w:lang w:val="en-US"/>
        </w:rPr>
        <w:t>moulding</w:t>
      </w:r>
      <w:proofErr w:type="spellEnd"/>
    </w:p>
    <w:p w14:paraId="16D9AD24" w14:textId="77777777" w:rsidR="0080408F" w:rsidRPr="00C16A02" w:rsidRDefault="0080408F" w:rsidP="0080408F">
      <w:pPr>
        <w:pStyle w:val="enumlev1"/>
        <w:spacing w:before="30"/>
        <w:rPr>
          <w:lang w:val="en-US"/>
        </w:rPr>
      </w:pPr>
      <w:r w:rsidRPr="00C16A02">
        <w:rPr>
          <w:lang w:val="en-US"/>
        </w:rPr>
        <w:t>–</w:t>
      </w:r>
      <w:r w:rsidRPr="00C16A02">
        <w:rPr>
          <w:lang w:val="en-US"/>
        </w:rPr>
        <w:tab/>
        <w:t>food post baking and drying</w:t>
      </w:r>
    </w:p>
    <w:p w14:paraId="16D9AD25" w14:textId="77777777" w:rsidR="0080408F" w:rsidRPr="00C16A02" w:rsidRDefault="0080408F" w:rsidP="0080408F">
      <w:pPr>
        <w:pStyle w:val="enumlev1"/>
        <w:spacing w:before="30"/>
        <w:rPr>
          <w:lang w:val="en-US"/>
        </w:rPr>
      </w:pPr>
      <w:r w:rsidRPr="00C16A02">
        <w:rPr>
          <w:lang w:val="en-US"/>
        </w:rPr>
        <w:t>–</w:t>
      </w:r>
      <w:r w:rsidRPr="00C16A02">
        <w:rPr>
          <w:lang w:val="en-US"/>
        </w:rPr>
        <w:tab/>
        <w:t>meat and fish thawing</w:t>
      </w:r>
    </w:p>
    <w:p w14:paraId="16D9AD26" w14:textId="77777777" w:rsidR="0080408F" w:rsidRPr="00C16A02" w:rsidRDefault="0080408F" w:rsidP="0080408F">
      <w:pPr>
        <w:pStyle w:val="enumlev1"/>
        <w:spacing w:before="30"/>
        <w:rPr>
          <w:lang w:val="en-US"/>
        </w:rPr>
      </w:pPr>
      <w:r w:rsidRPr="00C16A02">
        <w:rPr>
          <w:lang w:val="en-US"/>
        </w:rPr>
        <w:t>–</w:t>
      </w:r>
      <w:r w:rsidRPr="00C16A02">
        <w:rPr>
          <w:lang w:val="en-US"/>
        </w:rPr>
        <w:tab/>
        <w:t>foundry core drying</w:t>
      </w:r>
    </w:p>
    <w:p w14:paraId="16D9AD27" w14:textId="77777777" w:rsidR="0080408F" w:rsidRPr="00C16A02" w:rsidRDefault="0080408F" w:rsidP="0080408F">
      <w:pPr>
        <w:pStyle w:val="enumlev1"/>
        <w:spacing w:before="30"/>
        <w:rPr>
          <w:lang w:val="en-US"/>
        </w:rPr>
      </w:pPr>
      <w:r w:rsidRPr="00C16A02">
        <w:rPr>
          <w:lang w:val="en-US"/>
        </w:rPr>
        <w:t>–</w:t>
      </w:r>
      <w:r w:rsidRPr="00C16A02">
        <w:rPr>
          <w:lang w:val="en-US"/>
        </w:rPr>
        <w:tab/>
        <w:t>glue drying</w:t>
      </w:r>
    </w:p>
    <w:p w14:paraId="16D9AD28" w14:textId="77777777" w:rsidR="0080408F" w:rsidRPr="00C16A02" w:rsidRDefault="0080408F" w:rsidP="0080408F">
      <w:pPr>
        <w:pStyle w:val="enumlev1"/>
        <w:spacing w:before="30"/>
        <w:rPr>
          <w:lang w:val="en-US"/>
        </w:rPr>
      </w:pPr>
      <w:r w:rsidRPr="00C16A02">
        <w:rPr>
          <w:lang w:val="en-US"/>
        </w:rPr>
        <w:t>–</w:t>
      </w:r>
      <w:r w:rsidRPr="00C16A02">
        <w:rPr>
          <w:lang w:val="en-US"/>
        </w:rPr>
        <w:tab/>
        <w:t>film drying</w:t>
      </w:r>
    </w:p>
    <w:p w14:paraId="16D9AD29" w14:textId="77777777" w:rsidR="0080408F" w:rsidRPr="00C16A02" w:rsidRDefault="0080408F" w:rsidP="0080408F">
      <w:pPr>
        <w:pStyle w:val="enumlev1"/>
        <w:spacing w:before="30"/>
        <w:rPr>
          <w:lang w:val="en-US"/>
        </w:rPr>
      </w:pPr>
      <w:r w:rsidRPr="00C16A02">
        <w:rPr>
          <w:lang w:val="en-US"/>
        </w:rPr>
        <w:t>–</w:t>
      </w:r>
      <w:r w:rsidRPr="00C16A02">
        <w:rPr>
          <w:lang w:val="en-US"/>
        </w:rPr>
        <w:tab/>
        <w:t>adhesive curing</w:t>
      </w:r>
    </w:p>
    <w:p w14:paraId="16D9AD2A" w14:textId="77777777" w:rsidR="0080408F" w:rsidRPr="00C16A02" w:rsidRDefault="0080408F" w:rsidP="0080408F">
      <w:pPr>
        <w:pStyle w:val="enumlev1"/>
        <w:spacing w:before="30"/>
        <w:rPr>
          <w:lang w:val="en-US"/>
        </w:rPr>
      </w:pPr>
      <w:r w:rsidRPr="00C16A02">
        <w:rPr>
          <w:lang w:val="en-US"/>
        </w:rPr>
        <w:t>–</w:t>
      </w:r>
      <w:r w:rsidRPr="00C16A02">
        <w:rPr>
          <w:lang w:val="en-US"/>
        </w:rPr>
        <w:tab/>
        <w:t>material preheating</w:t>
      </w:r>
    </w:p>
    <w:p w14:paraId="16D9AD2B" w14:textId="77777777" w:rsidR="0080408F" w:rsidRPr="00C16A02" w:rsidRDefault="0080408F" w:rsidP="0080408F">
      <w:pPr>
        <w:pStyle w:val="Headingi"/>
        <w:rPr>
          <w:lang w:val="en-US"/>
        </w:rPr>
      </w:pPr>
      <w:r w:rsidRPr="00C16A02">
        <w:rPr>
          <w:lang w:val="en-US"/>
        </w:rPr>
        <w:t>Medical equipment</w:t>
      </w:r>
    </w:p>
    <w:p w14:paraId="16D9AD2C" w14:textId="77777777" w:rsidR="0080408F" w:rsidRPr="00C16A02" w:rsidRDefault="0080408F" w:rsidP="0080408F">
      <w:pPr>
        <w:pStyle w:val="enumlev1"/>
        <w:spacing w:before="40"/>
        <w:rPr>
          <w:lang w:val="en-US"/>
        </w:rPr>
      </w:pPr>
      <w:r w:rsidRPr="00C16A02">
        <w:rPr>
          <w:lang w:val="en-US"/>
        </w:rPr>
        <w:t>–</w:t>
      </w:r>
      <w:r w:rsidRPr="00C16A02">
        <w:rPr>
          <w:lang w:val="en-US"/>
        </w:rPr>
        <w:tab/>
        <w:t>short-wave and microwave diathermy and hyperthermia equipment</w:t>
      </w:r>
    </w:p>
    <w:p w14:paraId="16D9AD2D" w14:textId="77777777" w:rsidR="0080408F" w:rsidRPr="00C16A02" w:rsidRDefault="0080408F" w:rsidP="0080408F">
      <w:pPr>
        <w:pStyle w:val="enumlev1"/>
        <w:spacing w:before="40"/>
        <w:rPr>
          <w:lang w:val="en-US"/>
        </w:rPr>
      </w:pPr>
      <w:r w:rsidRPr="00C16A02">
        <w:rPr>
          <w:lang w:val="en-US"/>
        </w:rPr>
        <w:t>–</w:t>
      </w:r>
      <w:r w:rsidRPr="00C16A02">
        <w:rPr>
          <w:lang w:val="en-US"/>
        </w:rPr>
        <w:tab/>
        <w:t>electrical surgical units (ESU)</w:t>
      </w:r>
    </w:p>
    <w:p w14:paraId="16D9AD2E" w14:textId="77777777" w:rsidR="0080408F" w:rsidRPr="00C16A02" w:rsidRDefault="0080408F" w:rsidP="0080408F">
      <w:pPr>
        <w:pStyle w:val="enumlev1"/>
        <w:spacing w:before="40"/>
        <w:rPr>
          <w:lang w:val="en-US"/>
        </w:rPr>
      </w:pPr>
      <w:r w:rsidRPr="00C16A02">
        <w:rPr>
          <w:lang w:val="en-US"/>
        </w:rPr>
        <w:t>–</w:t>
      </w:r>
      <w:r w:rsidRPr="00C16A02">
        <w:rPr>
          <w:lang w:val="en-US"/>
        </w:rPr>
        <w:tab/>
        <w:t>magnetic resonance imaging (MRI)</w:t>
      </w:r>
    </w:p>
    <w:p w14:paraId="16D9AD2F" w14:textId="77777777" w:rsidR="0080408F" w:rsidRPr="00C16A02" w:rsidRDefault="0080408F" w:rsidP="0080408F">
      <w:pPr>
        <w:pStyle w:val="enumlev1"/>
        <w:spacing w:before="40"/>
        <w:rPr>
          <w:lang w:val="en-US"/>
        </w:rPr>
      </w:pPr>
      <w:r w:rsidRPr="00C16A02">
        <w:rPr>
          <w:lang w:val="en-US"/>
        </w:rPr>
        <w:t>–</w:t>
      </w:r>
      <w:r w:rsidRPr="00C16A02">
        <w:rPr>
          <w:lang w:val="en-US"/>
        </w:rPr>
        <w:tab/>
        <w:t>ultrasonic diagnostic imaging</w:t>
      </w:r>
    </w:p>
    <w:p w14:paraId="16D9AD30" w14:textId="77777777" w:rsidR="006E1606" w:rsidRDefault="006E1606" w:rsidP="006E1606">
      <w:pPr>
        <w:pStyle w:val="Blanc"/>
      </w:pPr>
    </w:p>
    <w:p w14:paraId="16D9AD31" w14:textId="77777777" w:rsidR="0080408F" w:rsidRPr="00C16A02" w:rsidRDefault="0080408F" w:rsidP="0080408F">
      <w:pPr>
        <w:pStyle w:val="Headingi"/>
        <w:rPr>
          <w:lang w:val="en-US"/>
        </w:rPr>
      </w:pPr>
      <w:r w:rsidRPr="00C16A02">
        <w:rPr>
          <w:lang w:val="en-US"/>
        </w:rPr>
        <w:t>Microwave equipment (above 900 MHz)</w:t>
      </w:r>
    </w:p>
    <w:p w14:paraId="16D9AD32" w14:textId="77777777" w:rsidR="0080408F" w:rsidRPr="00C16A02" w:rsidRDefault="0080408F" w:rsidP="0080408F">
      <w:pPr>
        <w:pStyle w:val="enumlev1"/>
        <w:spacing w:before="40"/>
        <w:rPr>
          <w:lang w:val="en-US"/>
        </w:rPr>
      </w:pPr>
      <w:r w:rsidRPr="00C16A02">
        <w:rPr>
          <w:lang w:val="en-US"/>
        </w:rPr>
        <w:t>–</w:t>
      </w:r>
      <w:r w:rsidRPr="00C16A02">
        <w:rPr>
          <w:lang w:val="en-US"/>
        </w:rPr>
        <w:tab/>
        <w:t>domestic and commercial microwave ovens</w:t>
      </w:r>
    </w:p>
    <w:p w14:paraId="16D9AD33" w14:textId="77777777" w:rsidR="0080408F" w:rsidRPr="00C16A02" w:rsidRDefault="0080408F" w:rsidP="0080408F">
      <w:pPr>
        <w:pStyle w:val="enumlev1"/>
        <w:spacing w:before="40"/>
        <w:rPr>
          <w:lang w:val="en-US"/>
        </w:rPr>
      </w:pPr>
      <w:r w:rsidRPr="00C16A02">
        <w:rPr>
          <w:lang w:val="en-US"/>
        </w:rPr>
        <w:t>–</w:t>
      </w:r>
      <w:r w:rsidRPr="00C16A02">
        <w:rPr>
          <w:lang w:val="en-US"/>
        </w:rPr>
        <w:tab/>
        <w:t>food tempering, thawing and cooking</w:t>
      </w:r>
    </w:p>
    <w:p w14:paraId="16D9AD34" w14:textId="77777777" w:rsidR="0080408F" w:rsidRPr="00C16A02" w:rsidRDefault="0080408F" w:rsidP="0080408F">
      <w:pPr>
        <w:pStyle w:val="enumlev1"/>
        <w:spacing w:before="40"/>
        <w:rPr>
          <w:lang w:val="en-US"/>
        </w:rPr>
      </w:pPr>
      <w:r w:rsidRPr="00C16A02">
        <w:rPr>
          <w:lang w:val="en-US"/>
        </w:rPr>
        <w:t>–</w:t>
      </w:r>
      <w:r w:rsidRPr="00C16A02">
        <w:rPr>
          <w:lang w:val="en-US"/>
        </w:rPr>
        <w:tab/>
        <w:t>UV paint and coating curing</w:t>
      </w:r>
    </w:p>
    <w:p w14:paraId="16D9AD35" w14:textId="77777777" w:rsidR="0080408F" w:rsidRPr="00C16A02" w:rsidRDefault="0080408F" w:rsidP="0080408F">
      <w:pPr>
        <w:pStyle w:val="enumlev1"/>
        <w:spacing w:before="40"/>
        <w:rPr>
          <w:lang w:val="en-US"/>
        </w:rPr>
      </w:pPr>
      <w:r w:rsidRPr="00C16A02">
        <w:rPr>
          <w:lang w:val="en-US"/>
        </w:rPr>
        <w:t>–</w:t>
      </w:r>
      <w:r w:rsidRPr="00C16A02">
        <w:rPr>
          <w:lang w:val="en-US"/>
        </w:rPr>
        <w:tab/>
        <w:t>rubber vulcanization</w:t>
      </w:r>
    </w:p>
    <w:p w14:paraId="16D9AD36" w14:textId="77777777" w:rsidR="0080408F" w:rsidRPr="00C16A02" w:rsidRDefault="0080408F" w:rsidP="0080408F">
      <w:pPr>
        <w:pStyle w:val="enumlev1"/>
        <w:spacing w:before="40"/>
        <w:rPr>
          <w:lang w:val="en-US"/>
        </w:rPr>
      </w:pPr>
      <w:r w:rsidRPr="00C16A02">
        <w:rPr>
          <w:lang w:val="en-US"/>
        </w:rPr>
        <w:t>–</w:t>
      </w:r>
      <w:r w:rsidRPr="00C16A02">
        <w:rPr>
          <w:lang w:val="en-US"/>
        </w:rPr>
        <w:tab/>
        <w:t>pharmaceutical processing</w:t>
      </w:r>
    </w:p>
    <w:p w14:paraId="16D9AD37" w14:textId="77777777" w:rsidR="006E1606" w:rsidRDefault="006E1606" w:rsidP="006E1606">
      <w:pPr>
        <w:pStyle w:val="Blanc"/>
      </w:pPr>
    </w:p>
    <w:p w14:paraId="16D9AD38" w14:textId="77777777" w:rsidR="0080408F" w:rsidRPr="00C16A02" w:rsidRDefault="0080408F" w:rsidP="0080408F">
      <w:pPr>
        <w:pStyle w:val="Headingi"/>
        <w:rPr>
          <w:lang w:val="en-US"/>
        </w:rPr>
      </w:pPr>
      <w:r w:rsidRPr="00C16A02">
        <w:rPr>
          <w:lang w:val="en-US"/>
        </w:rPr>
        <w:t>Miscellaneous equipment</w:t>
      </w:r>
    </w:p>
    <w:p w14:paraId="16D9AD39" w14:textId="77777777" w:rsidR="0080408F" w:rsidRPr="00C16A02" w:rsidRDefault="0080408F" w:rsidP="0080408F">
      <w:pPr>
        <w:pStyle w:val="enumlev1"/>
        <w:spacing w:before="40"/>
        <w:rPr>
          <w:lang w:val="en-US"/>
        </w:rPr>
      </w:pPr>
      <w:r w:rsidRPr="00C16A02">
        <w:rPr>
          <w:lang w:val="en-US"/>
        </w:rPr>
        <w:t>–</w:t>
      </w:r>
      <w:r w:rsidRPr="00C16A02">
        <w:rPr>
          <w:lang w:val="en-US"/>
        </w:rPr>
        <w:tab/>
        <w:t>RF excited arc welders</w:t>
      </w:r>
    </w:p>
    <w:p w14:paraId="16D9AD3A" w14:textId="77777777" w:rsidR="0080408F" w:rsidRPr="00C16A02" w:rsidRDefault="0080408F" w:rsidP="0080408F">
      <w:pPr>
        <w:pStyle w:val="enumlev1"/>
        <w:spacing w:before="40"/>
        <w:rPr>
          <w:lang w:val="en-US"/>
        </w:rPr>
      </w:pPr>
      <w:r w:rsidRPr="00C16A02">
        <w:rPr>
          <w:lang w:val="en-US"/>
        </w:rPr>
        <w:t>–</w:t>
      </w:r>
      <w:r w:rsidRPr="00C16A02">
        <w:rPr>
          <w:lang w:val="en-US"/>
        </w:rPr>
        <w:tab/>
        <w:t>spark erosion equipment</w:t>
      </w:r>
    </w:p>
    <w:p w14:paraId="16D9AD3B" w14:textId="77777777" w:rsidR="006E1606" w:rsidRDefault="006E1606" w:rsidP="006E1606">
      <w:pPr>
        <w:pStyle w:val="Blanc"/>
      </w:pPr>
    </w:p>
    <w:p w14:paraId="16D9AD3C" w14:textId="77777777" w:rsidR="0080408F" w:rsidRPr="00C16A02" w:rsidRDefault="0080408F" w:rsidP="0080408F">
      <w:pPr>
        <w:pStyle w:val="Headingi"/>
        <w:rPr>
          <w:lang w:val="en-US"/>
        </w:rPr>
      </w:pPr>
      <w:r w:rsidRPr="00C16A02">
        <w:rPr>
          <w:lang w:val="en-US"/>
        </w:rPr>
        <w:t>Laboratory and scientific equipment</w:t>
      </w:r>
    </w:p>
    <w:p w14:paraId="16D9AD3D" w14:textId="77777777" w:rsidR="0080408F" w:rsidRPr="00C16A02" w:rsidRDefault="0080408F" w:rsidP="0080408F">
      <w:pPr>
        <w:pStyle w:val="enumlev1"/>
        <w:spacing w:before="40"/>
        <w:rPr>
          <w:lang w:val="en-US"/>
        </w:rPr>
      </w:pPr>
      <w:r w:rsidRPr="00C16A02">
        <w:rPr>
          <w:lang w:val="en-US"/>
        </w:rPr>
        <w:t>–</w:t>
      </w:r>
      <w:r w:rsidRPr="00C16A02">
        <w:rPr>
          <w:lang w:val="en-US"/>
        </w:rPr>
        <w:tab/>
        <w:t>signal generators</w:t>
      </w:r>
    </w:p>
    <w:p w14:paraId="16D9AD3E" w14:textId="77777777" w:rsidR="0080408F" w:rsidRPr="00C16A02" w:rsidRDefault="0080408F" w:rsidP="0080408F">
      <w:pPr>
        <w:pStyle w:val="enumlev1"/>
        <w:spacing w:before="40"/>
        <w:rPr>
          <w:lang w:val="en-US"/>
        </w:rPr>
      </w:pPr>
      <w:r w:rsidRPr="00C16A02">
        <w:rPr>
          <w:lang w:val="en-US"/>
        </w:rPr>
        <w:t>–</w:t>
      </w:r>
      <w:r w:rsidRPr="00C16A02">
        <w:rPr>
          <w:lang w:val="en-US"/>
        </w:rPr>
        <w:tab/>
        <w:t>measuring receivers</w:t>
      </w:r>
    </w:p>
    <w:p w14:paraId="16D9AD3F" w14:textId="77777777" w:rsidR="0080408F" w:rsidRPr="00C16A02" w:rsidRDefault="0080408F" w:rsidP="0080408F">
      <w:pPr>
        <w:pStyle w:val="enumlev1"/>
        <w:spacing w:before="40"/>
        <w:rPr>
          <w:lang w:val="en-US"/>
        </w:rPr>
      </w:pPr>
      <w:r w:rsidRPr="00C16A02">
        <w:rPr>
          <w:lang w:val="en-US"/>
        </w:rPr>
        <w:t>–</w:t>
      </w:r>
      <w:r w:rsidRPr="00C16A02">
        <w:rPr>
          <w:lang w:val="en-US"/>
        </w:rPr>
        <w:tab/>
        <w:t>frequency counters</w:t>
      </w:r>
    </w:p>
    <w:p w14:paraId="16D9AD40" w14:textId="77777777" w:rsidR="0080408F" w:rsidRPr="00C16A02" w:rsidRDefault="0080408F" w:rsidP="0080408F">
      <w:pPr>
        <w:pStyle w:val="enumlev1"/>
        <w:spacing w:before="40"/>
        <w:rPr>
          <w:lang w:val="en-US"/>
        </w:rPr>
      </w:pPr>
      <w:r w:rsidRPr="00C16A02">
        <w:rPr>
          <w:lang w:val="en-US"/>
        </w:rPr>
        <w:t>–</w:t>
      </w:r>
      <w:r w:rsidRPr="00C16A02">
        <w:rPr>
          <w:lang w:val="en-US"/>
        </w:rPr>
        <w:tab/>
        <w:t>flow meters</w:t>
      </w:r>
    </w:p>
    <w:p w14:paraId="16D9AD41" w14:textId="77777777" w:rsidR="0080408F" w:rsidRPr="00C16A02" w:rsidRDefault="0080408F" w:rsidP="0080408F">
      <w:pPr>
        <w:pStyle w:val="enumlev1"/>
        <w:spacing w:before="40"/>
        <w:rPr>
          <w:lang w:val="en-US"/>
        </w:rPr>
      </w:pPr>
      <w:r w:rsidRPr="00C16A02">
        <w:rPr>
          <w:lang w:val="en-US"/>
        </w:rPr>
        <w:t>–</w:t>
      </w:r>
      <w:r w:rsidRPr="00C16A02">
        <w:rPr>
          <w:lang w:val="en-US"/>
        </w:rPr>
        <w:tab/>
        <w:t xml:space="preserve">spectrum </w:t>
      </w:r>
      <w:proofErr w:type="spellStart"/>
      <w:r w:rsidRPr="00C16A02">
        <w:rPr>
          <w:lang w:val="en-US"/>
        </w:rPr>
        <w:t>analysers</w:t>
      </w:r>
      <w:proofErr w:type="spellEnd"/>
    </w:p>
    <w:p w14:paraId="16D9AD42" w14:textId="77777777" w:rsidR="0080408F" w:rsidRPr="00C16A02" w:rsidRDefault="0080408F" w:rsidP="0080408F">
      <w:pPr>
        <w:pStyle w:val="enumlev1"/>
        <w:spacing w:before="40"/>
        <w:rPr>
          <w:lang w:val="en-US"/>
        </w:rPr>
      </w:pPr>
      <w:r w:rsidRPr="00C16A02">
        <w:rPr>
          <w:lang w:val="en-US"/>
        </w:rPr>
        <w:t>–</w:t>
      </w:r>
      <w:r w:rsidRPr="00C16A02">
        <w:rPr>
          <w:lang w:val="en-US"/>
        </w:rPr>
        <w:tab/>
        <w:t>weighing machines</w:t>
      </w:r>
    </w:p>
    <w:p w14:paraId="16D9AD43" w14:textId="77777777" w:rsidR="0080408F" w:rsidRPr="00C16A02" w:rsidRDefault="0080408F" w:rsidP="0080408F">
      <w:pPr>
        <w:pStyle w:val="enumlev1"/>
        <w:spacing w:before="40"/>
        <w:rPr>
          <w:lang w:val="en-US"/>
        </w:rPr>
      </w:pPr>
      <w:r w:rsidRPr="00C16A02">
        <w:rPr>
          <w:lang w:val="en-US"/>
        </w:rPr>
        <w:t>–</w:t>
      </w:r>
      <w:r w:rsidRPr="00C16A02">
        <w:rPr>
          <w:lang w:val="en-US"/>
        </w:rPr>
        <w:tab/>
        <w:t>chemical analysis machines</w:t>
      </w:r>
    </w:p>
    <w:p w14:paraId="16D9AD44" w14:textId="77777777" w:rsidR="0080408F" w:rsidRPr="00C16A02" w:rsidRDefault="0080408F" w:rsidP="0080408F">
      <w:pPr>
        <w:pStyle w:val="enumlev1"/>
        <w:spacing w:before="40"/>
        <w:rPr>
          <w:lang w:val="en-US"/>
        </w:rPr>
      </w:pPr>
      <w:r w:rsidRPr="00C16A02">
        <w:rPr>
          <w:lang w:val="en-US"/>
        </w:rPr>
        <w:t>–</w:t>
      </w:r>
      <w:r w:rsidRPr="00C16A02">
        <w:rPr>
          <w:lang w:val="en-US"/>
        </w:rPr>
        <w:tab/>
        <w:t>electronic microscopes</w:t>
      </w:r>
    </w:p>
    <w:p w14:paraId="16D9AD45" w14:textId="77777777" w:rsidR="0080408F" w:rsidRPr="00C16A02" w:rsidRDefault="0080408F" w:rsidP="0080408F">
      <w:pPr>
        <w:pStyle w:val="enumlev1"/>
        <w:spacing w:before="40"/>
        <w:rPr>
          <w:lang w:val="en-US"/>
        </w:rPr>
      </w:pPr>
      <w:r w:rsidRPr="00C16A02">
        <w:rPr>
          <w:lang w:val="en-US"/>
        </w:rPr>
        <w:t>–</w:t>
      </w:r>
      <w:r w:rsidRPr="00C16A02">
        <w:rPr>
          <w:lang w:val="en-US"/>
        </w:rPr>
        <w:tab/>
        <w:t>switched mode power supplies (not incorporated in an equipment)</w:t>
      </w:r>
    </w:p>
    <w:p w14:paraId="16D9AD46" w14:textId="77777777" w:rsidR="0080408F" w:rsidRDefault="0080408F" w:rsidP="00A6617B">
      <w:pPr>
        <w:rPr>
          <w:lang w:val="en-US"/>
        </w:rPr>
        <w:sectPr w:rsidR="0080408F" w:rsidSect="0080408F">
          <w:type w:val="continuous"/>
          <w:pgSz w:w="11907" w:h="16834" w:code="9"/>
          <w:pgMar w:top="1418" w:right="1134" w:bottom="1134" w:left="1134" w:header="720" w:footer="482" w:gutter="0"/>
          <w:paperSrc w:first="15" w:other="15"/>
          <w:cols w:num="2" w:space="720"/>
        </w:sectPr>
      </w:pPr>
    </w:p>
    <w:p w14:paraId="16D9AD47" w14:textId="77777777" w:rsidR="0080408F" w:rsidRPr="00C16A02" w:rsidRDefault="0080408F" w:rsidP="0080408F">
      <w:pPr>
        <w:pStyle w:val="Heading2"/>
        <w:spacing w:before="0"/>
        <w:rPr>
          <w:lang w:val="en-US"/>
        </w:rPr>
      </w:pPr>
      <w:bookmarkStart w:id="3" w:name="_Toc138236212"/>
      <w:r w:rsidRPr="00C16A02">
        <w:rPr>
          <w:lang w:val="en-US"/>
        </w:rPr>
        <w:lastRenderedPageBreak/>
        <w:t>2.1</w:t>
      </w:r>
      <w:r w:rsidRPr="00C16A02">
        <w:rPr>
          <w:lang w:val="en-US"/>
        </w:rPr>
        <w:tab/>
        <w:t>Current applications</w:t>
      </w:r>
      <w:bookmarkEnd w:id="3"/>
    </w:p>
    <w:p w14:paraId="16D9AD48" w14:textId="77777777" w:rsidR="0080408F" w:rsidRPr="00C16A02" w:rsidRDefault="0080408F" w:rsidP="0080408F">
      <w:pPr>
        <w:rPr>
          <w:lang w:val="en-US"/>
        </w:rPr>
      </w:pPr>
      <w:r w:rsidRPr="00C16A02">
        <w:rPr>
          <w:lang w:val="en-US"/>
        </w:rPr>
        <w:t>The frequencies currently employed for industrial, scientific, medical and other non</w:t>
      </w:r>
      <w:r w:rsidRPr="00C16A02">
        <w:rPr>
          <w:lang w:val="en-US"/>
        </w:rPr>
        <w:noBreakHyphen/>
        <w:t xml:space="preserve">communications applications cover a very wide spectrum including frequencies other than those designated by the RR. A number of ISM </w:t>
      </w:r>
      <w:proofErr w:type="spellStart"/>
      <w:r w:rsidRPr="00C16A02">
        <w:rPr>
          <w:lang w:val="en-US"/>
        </w:rPr>
        <w:t>equipments</w:t>
      </w:r>
      <w:proofErr w:type="spellEnd"/>
      <w:r w:rsidRPr="00C16A02">
        <w:rPr>
          <w:lang w:val="en-US"/>
        </w:rPr>
        <w:t xml:space="preserve"> use frequencies of undefined tolerance and stability and some of them use frequencies allocated to the safety services and radionavigation services. Table 1 provides a summary of some of the ISM applications in various frequency bands.</w:t>
      </w:r>
    </w:p>
    <w:p w14:paraId="16D9AD49" w14:textId="77777777" w:rsidR="0080408F" w:rsidRPr="00C16A02" w:rsidRDefault="0080408F" w:rsidP="0080408F">
      <w:pPr>
        <w:pStyle w:val="TableNo"/>
        <w:rPr>
          <w:lang w:val="en-US"/>
        </w:rPr>
      </w:pPr>
      <w:r w:rsidRPr="00C16A02">
        <w:rPr>
          <w:lang w:val="en-US"/>
        </w:rPr>
        <w:t>TABLE 1</w:t>
      </w:r>
    </w:p>
    <w:p w14:paraId="16D9AD4A" w14:textId="77777777" w:rsidR="0080408F" w:rsidRPr="00C16A02" w:rsidRDefault="0080408F" w:rsidP="0080408F">
      <w:pPr>
        <w:pStyle w:val="Tabletitle"/>
        <w:rPr>
          <w:lang w:val="en-US"/>
        </w:rPr>
      </w:pPr>
      <w:r w:rsidRPr="00C16A02">
        <w:rPr>
          <w:lang w:val="en-US"/>
        </w:rPr>
        <w:t>ISM equipment in current use</w:t>
      </w:r>
    </w:p>
    <w:tbl>
      <w:tblPr>
        <w:tblW w:w="9639" w:type="dxa"/>
        <w:jc w:val="center"/>
        <w:tblLayout w:type="fixed"/>
        <w:tblLook w:val="0000" w:firstRow="0" w:lastRow="0" w:firstColumn="0" w:lastColumn="0" w:noHBand="0" w:noVBand="0"/>
      </w:tblPr>
      <w:tblGrid>
        <w:gridCol w:w="1595"/>
        <w:gridCol w:w="5098"/>
        <w:gridCol w:w="1403"/>
        <w:gridCol w:w="1543"/>
      </w:tblGrid>
      <w:tr w:rsidR="0080408F" w:rsidRPr="000F31AE" w14:paraId="16D9AD4F" w14:textId="77777777">
        <w:trPr>
          <w:cantSplit/>
          <w:jc w:val="center"/>
        </w:trPr>
        <w:tc>
          <w:tcPr>
            <w:tcW w:w="1611" w:type="dxa"/>
            <w:tcBorders>
              <w:top w:val="single" w:sz="6" w:space="0" w:color="auto"/>
              <w:left w:val="single" w:sz="6" w:space="0" w:color="auto"/>
            </w:tcBorders>
          </w:tcPr>
          <w:p w14:paraId="16D9AD4B" w14:textId="77777777" w:rsidR="0080408F" w:rsidRPr="000F31AE" w:rsidRDefault="0080408F" w:rsidP="0080408F">
            <w:pPr>
              <w:pStyle w:val="Tablehead"/>
              <w:rPr>
                <w:sz w:val="20"/>
              </w:rPr>
            </w:pPr>
            <w:r w:rsidRPr="000F31AE">
              <w:rPr>
                <w:sz w:val="20"/>
              </w:rPr>
              <w:t>Frequency</w:t>
            </w:r>
            <w:r w:rsidRPr="000F31AE">
              <w:rPr>
                <w:sz w:val="20"/>
              </w:rPr>
              <w:br/>
              <w:t>(MHz)</w:t>
            </w:r>
          </w:p>
        </w:tc>
        <w:tc>
          <w:tcPr>
            <w:tcW w:w="5160" w:type="dxa"/>
            <w:tcBorders>
              <w:top w:val="single" w:sz="6" w:space="0" w:color="auto"/>
              <w:left w:val="single" w:sz="6" w:space="0" w:color="auto"/>
            </w:tcBorders>
          </w:tcPr>
          <w:p w14:paraId="16D9AD4C" w14:textId="77777777" w:rsidR="0080408F" w:rsidRPr="000F31AE" w:rsidRDefault="0080408F" w:rsidP="0080408F">
            <w:pPr>
              <w:pStyle w:val="Tablehead"/>
              <w:rPr>
                <w:sz w:val="20"/>
              </w:rPr>
            </w:pPr>
            <w:r w:rsidRPr="000F31AE">
              <w:rPr>
                <w:sz w:val="20"/>
              </w:rPr>
              <w:t>Major applications</w:t>
            </w:r>
          </w:p>
        </w:tc>
        <w:tc>
          <w:tcPr>
            <w:tcW w:w="1418" w:type="dxa"/>
            <w:tcBorders>
              <w:top w:val="single" w:sz="6" w:space="0" w:color="auto"/>
              <w:left w:val="single" w:sz="6" w:space="0" w:color="auto"/>
            </w:tcBorders>
          </w:tcPr>
          <w:p w14:paraId="16D9AD4D" w14:textId="77777777" w:rsidR="0080408F" w:rsidRPr="000F31AE" w:rsidRDefault="0080408F" w:rsidP="0080408F">
            <w:pPr>
              <w:pStyle w:val="Tablehead"/>
              <w:rPr>
                <w:sz w:val="20"/>
              </w:rPr>
            </w:pPr>
            <w:r w:rsidRPr="000F31AE">
              <w:rPr>
                <w:sz w:val="20"/>
              </w:rPr>
              <w:t xml:space="preserve">RF power </w:t>
            </w:r>
            <w:r w:rsidRPr="000F31AE">
              <w:rPr>
                <w:sz w:val="20"/>
              </w:rPr>
              <w:br/>
              <w:t>(</w:t>
            </w:r>
            <w:proofErr w:type="spellStart"/>
            <w:r w:rsidRPr="000F31AE">
              <w:rPr>
                <w:sz w:val="20"/>
              </w:rPr>
              <w:t>typical</w:t>
            </w:r>
            <w:proofErr w:type="spellEnd"/>
            <w:r w:rsidRPr="000F31AE">
              <w:rPr>
                <w:sz w:val="20"/>
              </w:rPr>
              <w:t>)</w:t>
            </w:r>
          </w:p>
        </w:tc>
        <w:tc>
          <w:tcPr>
            <w:tcW w:w="1560" w:type="dxa"/>
            <w:tcBorders>
              <w:top w:val="single" w:sz="6" w:space="0" w:color="auto"/>
              <w:left w:val="single" w:sz="6" w:space="0" w:color="auto"/>
              <w:right w:val="single" w:sz="6" w:space="0" w:color="auto"/>
            </w:tcBorders>
          </w:tcPr>
          <w:p w14:paraId="16D9AD4E" w14:textId="77777777" w:rsidR="0080408F" w:rsidRPr="000F31AE" w:rsidRDefault="0080408F" w:rsidP="0080408F">
            <w:pPr>
              <w:pStyle w:val="Tablehead"/>
              <w:rPr>
                <w:sz w:val="20"/>
              </w:rPr>
            </w:pPr>
            <w:proofErr w:type="spellStart"/>
            <w:r w:rsidRPr="000F31AE">
              <w:rPr>
                <w:sz w:val="20"/>
              </w:rPr>
              <w:t>Estimated</w:t>
            </w:r>
            <w:proofErr w:type="spellEnd"/>
            <w:r w:rsidRPr="000F31AE">
              <w:rPr>
                <w:sz w:val="20"/>
              </w:rPr>
              <w:t xml:space="preserve"> </w:t>
            </w:r>
            <w:r w:rsidRPr="000F31AE">
              <w:rPr>
                <w:sz w:val="20"/>
              </w:rPr>
              <w:br/>
              <w:t>No. in use</w:t>
            </w:r>
          </w:p>
        </w:tc>
      </w:tr>
      <w:tr w:rsidR="0080408F" w:rsidRPr="000F31AE" w14:paraId="16D9AD54" w14:textId="77777777">
        <w:trPr>
          <w:cantSplit/>
          <w:jc w:val="center"/>
        </w:trPr>
        <w:tc>
          <w:tcPr>
            <w:tcW w:w="1611" w:type="dxa"/>
            <w:tcBorders>
              <w:top w:val="single" w:sz="6" w:space="0" w:color="auto"/>
              <w:left w:val="single" w:sz="6" w:space="0" w:color="auto"/>
            </w:tcBorders>
          </w:tcPr>
          <w:p w14:paraId="16D9AD50" w14:textId="77777777" w:rsidR="0080408F" w:rsidRPr="000F31AE" w:rsidRDefault="0080408F" w:rsidP="0080408F">
            <w:pPr>
              <w:pStyle w:val="Tabletext"/>
              <w:jc w:val="center"/>
              <w:rPr>
                <w:sz w:val="20"/>
              </w:rPr>
            </w:pPr>
            <w:proofErr w:type="spellStart"/>
            <w:r w:rsidRPr="000F31AE">
              <w:rPr>
                <w:sz w:val="20"/>
              </w:rPr>
              <w:t>Below</w:t>
            </w:r>
            <w:proofErr w:type="spellEnd"/>
            <w:r w:rsidRPr="000F31AE">
              <w:rPr>
                <w:sz w:val="20"/>
              </w:rPr>
              <w:t xml:space="preserve"> 0.15</w:t>
            </w:r>
          </w:p>
        </w:tc>
        <w:tc>
          <w:tcPr>
            <w:tcW w:w="5160" w:type="dxa"/>
            <w:tcBorders>
              <w:top w:val="single" w:sz="6" w:space="0" w:color="auto"/>
              <w:left w:val="single" w:sz="6" w:space="0" w:color="auto"/>
            </w:tcBorders>
          </w:tcPr>
          <w:p w14:paraId="16D9AD51" w14:textId="77777777" w:rsidR="0080408F" w:rsidRPr="00C16A02" w:rsidRDefault="0080408F" w:rsidP="0080408F">
            <w:pPr>
              <w:pStyle w:val="Tabletext"/>
              <w:jc w:val="left"/>
              <w:rPr>
                <w:sz w:val="20"/>
                <w:lang w:val="en-US"/>
              </w:rPr>
            </w:pPr>
            <w:r w:rsidRPr="00C16A02">
              <w:rPr>
                <w:sz w:val="20"/>
                <w:lang w:val="en-US"/>
              </w:rPr>
              <w:t>Industrial induction heating (welding and melting of metals)</w:t>
            </w:r>
            <w:r w:rsidRPr="00C16A02">
              <w:rPr>
                <w:sz w:val="20"/>
                <w:lang w:val="en-US"/>
              </w:rPr>
              <w:br/>
              <w:t>Ultrasonic cleaning (15-30 kHz)</w:t>
            </w:r>
            <w:r w:rsidRPr="00C16A02">
              <w:rPr>
                <w:sz w:val="20"/>
                <w:lang w:val="en-US"/>
              </w:rPr>
              <w:br/>
              <w:t>Medical applications (ultrasonic diagnostic imaging)</w:t>
            </w:r>
          </w:p>
        </w:tc>
        <w:tc>
          <w:tcPr>
            <w:tcW w:w="1418" w:type="dxa"/>
            <w:tcBorders>
              <w:top w:val="single" w:sz="6" w:space="0" w:color="auto"/>
              <w:left w:val="single" w:sz="6" w:space="0" w:color="auto"/>
            </w:tcBorders>
          </w:tcPr>
          <w:p w14:paraId="16D9AD52" w14:textId="77777777" w:rsidR="0080408F" w:rsidRPr="000F31AE" w:rsidRDefault="0080408F" w:rsidP="0080408F">
            <w:pPr>
              <w:pStyle w:val="Tabletext"/>
              <w:jc w:val="center"/>
              <w:rPr>
                <w:sz w:val="20"/>
              </w:rPr>
            </w:pPr>
            <w:r w:rsidRPr="000F31AE">
              <w:rPr>
                <w:sz w:val="20"/>
              </w:rPr>
              <w:t>10 kW-10 MW</w:t>
            </w:r>
            <w:r w:rsidRPr="000F31AE">
              <w:rPr>
                <w:sz w:val="20"/>
              </w:rPr>
              <w:br/>
              <w:t>20-1</w:t>
            </w:r>
            <w:r w:rsidRPr="000F31AE">
              <w:rPr>
                <w:rFonts w:ascii="Tms Rmn" w:hAnsi="Tms Rmn"/>
                <w:sz w:val="20"/>
              </w:rPr>
              <w:t> </w:t>
            </w:r>
            <w:r w:rsidRPr="000F31AE">
              <w:rPr>
                <w:sz w:val="20"/>
              </w:rPr>
              <w:t>000 W</w:t>
            </w:r>
            <w:r w:rsidRPr="000F31AE">
              <w:rPr>
                <w:sz w:val="20"/>
              </w:rPr>
              <w:br/>
              <w:t>100-1</w:t>
            </w:r>
            <w:r w:rsidRPr="000F31AE">
              <w:rPr>
                <w:rFonts w:ascii="Tms Rmn" w:hAnsi="Tms Rmn"/>
                <w:sz w:val="20"/>
              </w:rPr>
              <w:t> </w:t>
            </w:r>
            <w:r w:rsidRPr="000F31AE">
              <w:rPr>
                <w:sz w:val="20"/>
              </w:rPr>
              <w:t>000 W</w:t>
            </w:r>
          </w:p>
        </w:tc>
        <w:tc>
          <w:tcPr>
            <w:tcW w:w="1560" w:type="dxa"/>
            <w:tcBorders>
              <w:top w:val="single" w:sz="6" w:space="0" w:color="auto"/>
              <w:left w:val="single" w:sz="6" w:space="0" w:color="auto"/>
              <w:right w:val="single" w:sz="6" w:space="0" w:color="auto"/>
            </w:tcBorders>
          </w:tcPr>
          <w:p w14:paraId="16D9AD53" w14:textId="77777777" w:rsidR="0080408F" w:rsidRPr="000F31AE" w:rsidRDefault="0080408F" w:rsidP="0080408F">
            <w:pPr>
              <w:pStyle w:val="Tabletext"/>
              <w:jc w:val="center"/>
              <w:rPr>
                <w:sz w:val="20"/>
              </w:rPr>
            </w:pPr>
            <w:r w:rsidRPr="000F31AE">
              <w:rPr>
                <w:rFonts w:ascii="Symbol" w:hAnsi="Symbol"/>
                <w:sz w:val="20"/>
              </w:rPr>
              <w:t></w:t>
            </w:r>
            <w:r w:rsidRPr="000F31AE">
              <w:rPr>
                <w:sz w:val="20"/>
              </w:rPr>
              <w:t xml:space="preserve"> 100 000</w:t>
            </w:r>
            <w:r w:rsidRPr="000F31AE">
              <w:rPr>
                <w:sz w:val="20"/>
              </w:rPr>
              <w:br/>
            </w:r>
            <w:r w:rsidRPr="000F31AE">
              <w:rPr>
                <w:rFonts w:ascii="Symbol" w:hAnsi="Symbol"/>
                <w:sz w:val="20"/>
              </w:rPr>
              <w:t></w:t>
            </w:r>
            <w:r w:rsidRPr="000F31AE">
              <w:rPr>
                <w:sz w:val="20"/>
              </w:rPr>
              <w:t xml:space="preserve"> 100 000</w:t>
            </w:r>
            <w:r w:rsidRPr="000F31AE">
              <w:rPr>
                <w:sz w:val="20"/>
              </w:rPr>
              <w:br/>
            </w:r>
            <w:r w:rsidRPr="000F31AE">
              <w:rPr>
                <w:rFonts w:ascii="Symbol" w:hAnsi="Symbol"/>
                <w:sz w:val="20"/>
              </w:rPr>
              <w:t></w:t>
            </w:r>
            <w:r w:rsidRPr="000F31AE">
              <w:rPr>
                <w:sz w:val="20"/>
              </w:rPr>
              <w:t xml:space="preserve"> 10 000</w:t>
            </w:r>
          </w:p>
        </w:tc>
      </w:tr>
      <w:tr w:rsidR="0080408F" w:rsidRPr="000F31AE" w14:paraId="16D9AD59" w14:textId="77777777">
        <w:trPr>
          <w:cantSplit/>
          <w:jc w:val="center"/>
        </w:trPr>
        <w:tc>
          <w:tcPr>
            <w:tcW w:w="1611" w:type="dxa"/>
            <w:tcBorders>
              <w:top w:val="single" w:sz="6" w:space="0" w:color="auto"/>
              <w:left w:val="single" w:sz="6" w:space="0" w:color="auto"/>
            </w:tcBorders>
          </w:tcPr>
          <w:p w14:paraId="16D9AD55" w14:textId="77777777" w:rsidR="0080408F" w:rsidRPr="000F31AE" w:rsidRDefault="0080408F" w:rsidP="0080408F">
            <w:pPr>
              <w:pStyle w:val="Tabletext"/>
              <w:jc w:val="center"/>
              <w:rPr>
                <w:sz w:val="20"/>
              </w:rPr>
            </w:pPr>
            <w:r w:rsidRPr="000F31AE">
              <w:rPr>
                <w:sz w:val="20"/>
              </w:rPr>
              <w:t>0.15-1</w:t>
            </w:r>
          </w:p>
        </w:tc>
        <w:tc>
          <w:tcPr>
            <w:tcW w:w="5160" w:type="dxa"/>
            <w:tcBorders>
              <w:top w:val="single" w:sz="6" w:space="0" w:color="auto"/>
              <w:left w:val="single" w:sz="6" w:space="0" w:color="auto"/>
            </w:tcBorders>
          </w:tcPr>
          <w:p w14:paraId="16D9AD56" w14:textId="77777777" w:rsidR="0080408F" w:rsidRPr="00C16A02" w:rsidRDefault="0080408F" w:rsidP="0080408F">
            <w:pPr>
              <w:pStyle w:val="Tabletext"/>
              <w:jc w:val="left"/>
              <w:rPr>
                <w:sz w:val="20"/>
                <w:lang w:val="en-US"/>
              </w:rPr>
            </w:pPr>
            <w:r w:rsidRPr="00C16A02">
              <w:rPr>
                <w:sz w:val="20"/>
                <w:lang w:val="en-US"/>
              </w:rPr>
              <w:t>Induction heating (heat treating, package sealing, welding and</w:t>
            </w:r>
            <w:r w:rsidRPr="00C16A02">
              <w:rPr>
                <w:sz w:val="20"/>
                <w:lang w:val="en-US"/>
              </w:rPr>
              <w:br/>
              <w:t xml:space="preserve">melting of metals) </w:t>
            </w:r>
            <w:r w:rsidRPr="00C16A02">
              <w:rPr>
                <w:sz w:val="20"/>
                <w:lang w:val="en-US"/>
              </w:rPr>
              <w:br/>
              <w:t>Ultrasonic medical diagnostics</w:t>
            </w:r>
          </w:p>
        </w:tc>
        <w:tc>
          <w:tcPr>
            <w:tcW w:w="1418" w:type="dxa"/>
            <w:tcBorders>
              <w:top w:val="single" w:sz="6" w:space="0" w:color="auto"/>
              <w:left w:val="single" w:sz="6" w:space="0" w:color="auto"/>
            </w:tcBorders>
          </w:tcPr>
          <w:p w14:paraId="16D9AD57" w14:textId="77777777" w:rsidR="0080408F" w:rsidRPr="000F31AE" w:rsidRDefault="0080408F" w:rsidP="0080408F">
            <w:pPr>
              <w:pStyle w:val="Tabletext"/>
              <w:jc w:val="center"/>
              <w:rPr>
                <w:sz w:val="20"/>
              </w:rPr>
            </w:pPr>
            <w:r w:rsidRPr="000F31AE">
              <w:rPr>
                <w:sz w:val="20"/>
              </w:rPr>
              <w:t>1 kW-1 MW</w:t>
            </w:r>
            <w:r w:rsidRPr="000F31AE">
              <w:rPr>
                <w:sz w:val="20"/>
              </w:rPr>
              <w:br/>
              <w:t>100-1 000 W</w:t>
            </w:r>
          </w:p>
        </w:tc>
        <w:tc>
          <w:tcPr>
            <w:tcW w:w="1560" w:type="dxa"/>
            <w:tcBorders>
              <w:top w:val="single" w:sz="6" w:space="0" w:color="auto"/>
              <w:left w:val="single" w:sz="6" w:space="0" w:color="auto"/>
              <w:right w:val="single" w:sz="6" w:space="0" w:color="auto"/>
            </w:tcBorders>
          </w:tcPr>
          <w:p w14:paraId="16D9AD58" w14:textId="77777777" w:rsidR="0080408F" w:rsidRPr="000F31AE" w:rsidRDefault="0080408F" w:rsidP="0080408F">
            <w:pPr>
              <w:pStyle w:val="Tabletext"/>
              <w:jc w:val="center"/>
              <w:rPr>
                <w:sz w:val="20"/>
              </w:rPr>
            </w:pPr>
            <w:r w:rsidRPr="000F31AE">
              <w:rPr>
                <w:rFonts w:ascii="Symbol" w:hAnsi="Symbol"/>
                <w:sz w:val="20"/>
              </w:rPr>
              <w:t></w:t>
            </w:r>
            <w:r w:rsidRPr="000F31AE">
              <w:rPr>
                <w:sz w:val="20"/>
              </w:rPr>
              <w:t xml:space="preserve"> 100 000</w:t>
            </w:r>
            <w:r w:rsidRPr="000F31AE">
              <w:rPr>
                <w:sz w:val="20"/>
              </w:rPr>
              <w:br/>
            </w:r>
            <w:r w:rsidRPr="000F31AE">
              <w:rPr>
                <w:rFonts w:ascii="Symbol" w:hAnsi="Symbol"/>
                <w:sz w:val="20"/>
              </w:rPr>
              <w:t></w:t>
            </w:r>
            <w:r w:rsidRPr="000F31AE">
              <w:rPr>
                <w:sz w:val="20"/>
              </w:rPr>
              <w:t xml:space="preserve"> 100 000</w:t>
            </w:r>
          </w:p>
        </w:tc>
      </w:tr>
      <w:tr w:rsidR="0080408F" w:rsidRPr="000F31AE" w14:paraId="16D9AD5E" w14:textId="77777777">
        <w:trPr>
          <w:cantSplit/>
          <w:jc w:val="center"/>
        </w:trPr>
        <w:tc>
          <w:tcPr>
            <w:tcW w:w="1611" w:type="dxa"/>
            <w:tcBorders>
              <w:top w:val="single" w:sz="6" w:space="0" w:color="auto"/>
              <w:left w:val="single" w:sz="6" w:space="0" w:color="auto"/>
            </w:tcBorders>
          </w:tcPr>
          <w:p w14:paraId="16D9AD5A" w14:textId="77777777" w:rsidR="0080408F" w:rsidRPr="000F31AE" w:rsidRDefault="0080408F" w:rsidP="0080408F">
            <w:pPr>
              <w:pStyle w:val="Tabletext"/>
              <w:jc w:val="center"/>
              <w:rPr>
                <w:sz w:val="20"/>
              </w:rPr>
            </w:pPr>
            <w:r w:rsidRPr="000F31AE">
              <w:rPr>
                <w:sz w:val="20"/>
              </w:rPr>
              <w:t>1-10</w:t>
            </w:r>
          </w:p>
        </w:tc>
        <w:tc>
          <w:tcPr>
            <w:tcW w:w="5160" w:type="dxa"/>
            <w:tcBorders>
              <w:top w:val="single" w:sz="6" w:space="0" w:color="auto"/>
              <w:left w:val="single" w:sz="6" w:space="0" w:color="auto"/>
            </w:tcBorders>
          </w:tcPr>
          <w:p w14:paraId="16D9AD5B" w14:textId="77777777" w:rsidR="0080408F" w:rsidRPr="00C16A02" w:rsidRDefault="0080408F" w:rsidP="0080408F">
            <w:pPr>
              <w:pStyle w:val="Tabletext"/>
              <w:jc w:val="left"/>
              <w:rPr>
                <w:sz w:val="20"/>
                <w:lang w:val="en-US"/>
              </w:rPr>
            </w:pPr>
            <w:r w:rsidRPr="00C16A02">
              <w:rPr>
                <w:sz w:val="20"/>
                <w:lang w:val="en-US"/>
              </w:rPr>
              <w:t>Surgical diathermy (1-10 MHz dampened wave oscillator)</w:t>
            </w:r>
            <w:r w:rsidRPr="00C16A02">
              <w:rPr>
                <w:sz w:val="20"/>
                <w:lang w:val="en-US"/>
              </w:rPr>
              <w:br/>
              <w:t>Wood gluing and wood curing (3.2 and 6.5 MHz)</w:t>
            </w:r>
            <w:r w:rsidRPr="00C16A02">
              <w:rPr>
                <w:sz w:val="20"/>
                <w:lang w:val="en-US"/>
              </w:rPr>
              <w:br/>
              <w:t>Valve induction generators production of semi-conductor material</w:t>
            </w:r>
            <w:r w:rsidRPr="00C16A02">
              <w:rPr>
                <w:sz w:val="20"/>
                <w:lang w:val="en-US"/>
              </w:rPr>
              <w:br/>
              <w:t>RF arc stabilized welding (1-10 MHz dampened wave oscillator)</w:t>
            </w:r>
          </w:p>
        </w:tc>
        <w:tc>
          <w:tcPr>
            <w:tcW w:w="1418" w:type="dxa"/>
            <w:tcBorders>
              <w:top w:val="single" w:sz="6" w:space="0" w:color="auto"/>
              <w:left w:val="single" w:sz="6" w:space="0" w:color="auto"/>
            </w:tcBorders>
          </w:tcPr>
          <w:p w14:paraId="16D9AD5C" w14:textId="77777777" w:rsidR="0080408F" w:rsidRPr="000F31AE" w:rsidRDefault="0080408F" w:rsidP="0080408F">
            <w:pPr>
              <w:pStyle w:val="Tabletext"/>
              <w:jc w:val="center"/>
              <w:rPr>
                <w:sz w:val="20"/>
              </w:rPr>
            </w:pPr>
            <w:r w:rsidRPr="000F31AE">
              <w:rPr>
                <w:sz w:val="20"/>
              </w:rPr>
              <w:t>100-1</w:t>
            </w:r>
            <w:r w:rsidRPr="000F31AE">
              <w:rPr>
                <w:rFonts w:ascii="Tms Rmn" w:hAnsi="Tms Rmn"/>
                <w:sz w:val="20"/>
              </w:rPr>
              <w:t> </w:t>
            </w:r>
            <w:r w:rsidRPr="000F31AE">
              <w:rPr>
                <w:sz w:val="20"/>
              </w:rPr>
              <w:t>000 W</w:t>
            </w:r>
            <w:r w:rsidRPr="000F31AE">
              <w:rPr>
                <w:sz w:val="20"/>
              </w:rPr>
              <w:br/>
              <w:t>10 kW-1.5 MW</w:t>
            </w:r>
            <w:r w:rsidRPr="000F31AE">
              <w:rPr>
                <w:sz w:val="20"/>
              </w:rPr>
              <w:br/>
              <w:t>1-200 kW</w:t>
            </w:r>
            <w:r w:rsidRPr="000F31AE">
              <w:rPr>
                <w:sz w:val="20"/>
              </w:rPr>
              <w:br/>
              <w:t>2-10 kW</w:t>
            </w:r>
          </w:p>
        </w:tc>
        <w:tc>
          <w:tcPr>
            <w:tcW w:w="1560" w:type="dxa"/>
            <w:tcBorders>
              <w:top w:val="single" w:sz="6" w:space="0" w:color="auto"/>
              <w:left w:val="single" w:sz="6" w:space="0" w:color="auto"/>
              <w:right w:val="single" w:sz="6" w:space="0" w:color="auto"/>
            </w:tcBorders>
          </w:tcPr>
          <w:p w14:paraId="16D9AD5D" w14:textId="77777777" w:rsidR="0080408F" w:rsidRPr="000F31AE" w:rsidRDefault="0080408F" w:rsidP="0080408F">
            <w:pPr>
              <w:pStyle w:val="Tabletext"/>
              <w:jc w:val="center"/>
              <w:rPr>
                <w:sz w:val="20"/>
              </w:rPr>
            </w:pPr>
            <w:r w:rsidRPr="000F31AE">
              <w:rPr>
                <w:rFonts w:ascii="Symbol" w:hAnsi="Symbol"/>
                <w:sz w:val="20"/>
              </w:rPr>
              <w:t></w:t>
            </w:r>
            <w:r w:rsidRPr="000F31AE">
              <w:rPr>
                <w:sz w:val="20"/>
              </w:rPr>
              <w:t xml:space="preserve"> 100</w:t>
            </w:r>
            <w:r w:rsidRPr="000F31AE">
              <w:rPr>
                <w:rFonts w:ascii="Tms Rmn" w:hAnsi="Tms Rmn"/>
                <w:sz w:val="20"/>
              </w:rPr>
              <w:t> </w:t>
            </w:r>
            <w:r w:rsidRPr="000F31AE">
              <w:rPr>
                <w:sz w:val="20"/>
              </w:rPr>
              <w:t>000</w:t>
            </w:r>
            <w:r w:rsidRPr="000F31AE">
              <w:rPr>
                <w:sz w:val="20"/>
              </w:rPr>
              <w:br/>
            </w:r>
            <w:r w:rsidRPr="000F31AE">
              <w:rPr>
                <w:sz w:val="20"/>
              </w:rPr>
              <w:br/>
            </w:r>
            <w:r w:rsidRPr="000F31AE">
              <w:rPr>
                <w:sz w:val="20"/>
              </w:rPr>
              <w:br/>
            </w:r>
            <w:r w:rsidRPr="000F31AE">
              <w:rPr>
                <w:rFonts w:ascii="Symbol" w:hAnsi="Symbol"/>
                <w:sz w:val="20"/>
              </w:rPr>
              <w:t></w:t>
            </w:r>
            <w:r w:rsidRPr="000F31AE">
              <w:rPr>
                <w:sz w:val="20"/>
              </w:rPr>
              <w:t xml:space="preserve"> 1</w:t>
            </w:r>
            <w:r w:rsidRPr="000F31AE">
              <w:rPr>
                <w:rFonts w:ascii="Tms Rmn" w:hAnsi="Tms Rmn"/>
                <w:sz w:val="20"/>
              </w:rPr>
              <w:t> </w:t>
            </w:r>
            <w:r w:rsidRPr="000F31AE">
              <w:rPr>
                <w:sz w:val="20"/>
              </w:rPr>
              <w:t>000</w:t>
            </w:r>
            <w:r w:rsidRPr="000F31AE">
              <w:rPr>
                <w:sz w:val="20"/>
              </w:rPr>
              <w:br/>
            </w:r>
            <w:r w:rsidRPr="000F31AE">
              <w:rPr>
                <w:rFonts w:ascii="Symbol" w:hAnsi="Symbol"/>
                <w:sz w:val="20"/>
              </w:rPr>
              <w:t></w:t>
            </w:r>
            <w:r w:rsidRPr="000F31AE">
              <w:rPr>
                <w:sz w:val="20"/>
              </w:rPr>
              <w:t xml:space="preserve"> 10</w:t>
            </w:r>
            <w:r w:rsidRPr="000F31AE">
              <w:rPr>
                <w:rFonts w:ascii="Tms Rmn" w:hAnsi="Tms Rmn"/>
                <w:sz w:val="20"/>
              </w:rPr>
              <w:t> </w:t>
            </w:r>
            <w:r w:rsidRPr="000F31AE">
              <w:rPr>
                <w:sz w:val="20"/>
              </w:rPr>
              <w:t>000</w:t>
            </w:r>
          </w:p>
        </w:tc>
      </w:tr>
      <w:tr w:rsidR="0080408F" w:rsidRPr="00F233B8" w14:paraId="16D9AD63" w14:textId="77777777">
        <w:trPr>
          <w:cantSplit/>
          <w:jc w:val="center"/>
        </w:trPr>
        <w:tc>
          <w:tcPr>
            <w:tcW w:w="1611" w:type="dxa"/>
            <w:tcBorders>
              <w:top w:val="single" w:sz="6" w:space="0" w:color="auto"/>
              <w:left w:val="single" w:sz="6" w:space="0" w:color="auto"/>
            </w:tcBorders>
          </w:tcPr>
          <w:p w14:paraId="16D9AD5F" w14:textId="77777777" w:rsidR="0080408F" w:rsidRPr="000F31AE" w:rsidRDefault="0080408F" w:rsidP="0080408F">
            <w:pPr>
              <w:pStyle w:val="Tabletext"/>
              <w:jc w:val="center"/>
              <w:rPr>
                <w:sz w:val="20"/>
              </w:rPr>
            </w:pPr>
            <w:r w:rsidRPr="000F31AE">
              <w:rPr>
                <w:sz w:val="20"/>
              </w:rPr>
              <w:t>10-100</w:t>
            </w:r>
          </w:p>
        </w:tc>
        <w:tc>
          <w:tcPr>
            <w:tcW w:w="5160" w:type="dxa"/>
            <w:tcBorders>
              <w:top w:val="single" w:sz="6" w:space="0" w:color="auto"/>
              <w:left w:val="single" w:sz="6" w:space="0" w:color="auto"/>
            </w:tcBorders>
          </w:tcPr>
          <w:p w14:paraId="16D9AD60" w14:textId="77777777" w:rsidR="0080408F" w:rsidRPr="00C16A02" w:rsidRDefault="0080408F" w:rsidP="0080408F">
            <w:pPr>
              <w:pStyle w:val="Tabletext"/>
              <w:jc w:val="left"/>
              <w:rPr>
                <w:sz w:val="20"/>
                <w:lang w:val="en-US"/>
              </w:rPr>
            </w:pPr>
            <w:r w:rsidRPr="00C16A02">
              <w:rPr>
                <w:sz w:val="20"/>
                <w:lang w:val="en-US"/>
              </w:rPr>
              <w:t>Dielectric heating (the majority operate on frequencies in the ISM bands at 13.56, 27.12 and 40.68 MHz, but many also operate on frequencies outside the ISM bands)</w:t>
            </w:r>
          </w:p>
        </w:tc>
        <w:tc>
          <w:tcPr>
            <w:tcW w:w="1418" w:type="dxa"/>
            <w:tcBorders>
              <w:top w:val="single" w:sz="6" w:space="0" w:color="auto"/>
              <w:left w:val="single" w:sz="6" w:space="0" w:color="auto"/>
            </w:tcBorders>
          </w:tcPr>
          <w:p w14:paraId="16D9AD61" w14:textId="77777777" w:rsidR="0080408F" w:rsidRPr="00C16A02" w:rsidRDefault="0080408F" w:rsidP="0080408F">
            <w:pPr>
              <w:pStyle w:val="Tabletext"/>
              <w:jc w:val="center"/>
              <w:rPr>
                <w:sz w:val="20"/>
                <w:lang w:val="en-US"/>
              </w:rPr>
            </w:pPr>
          </w:p>
        </w:tc>
        <w:tc>
          <w:tcPr>
            <w:tcW w:w="1560" w:type="dxa"/>
            <w:tcBorders>
              <w:top w:val="single" w:sz="6" w:space="0" w:color="auto"/>
              <w:left w:val="single" w:sz="6" w:space="0" w:color="auto"/>
              <w:right w:val="single" w:sz="6" w:space="0" w:color="auto"/>
            </w:tcBorders>
          </w:tcPr>
          <w:p w14:paraId="16D9AD62" w14:textId="77777777" w:rsidR="0080408F" w:rsidRPr="00C16A02" w:rsidRDefault="0080408F" w:rsidP="0080408F">
            <w:pPr>
              <w:pStyle w:val="Tabletext"/>
              <w:jc w:val="center"/>
              <w:rPr>
                <w:sz w:val="20"/>
                <w:lang w:val="en-US"/>
              </w:rPr>
            </w:pPr>
          </w:p>
        </w:tc>
      </w:tr>
      <w:tr w:rsidR="0080408F" w:rsidRPr="000F31AE" w14:paraId="16D9AD68" w14:textId="77777777">
        <w:trPr>
          <w:cantSplit/>
          <w:jc w:val="center"/>
        </w:trPr>
        <w:tc>
          <w:tcPr>
            <w:tcW w:w="1611" w:type="dxa"/>
            <w:tcBorders>
              <w:left w:val="single" w:sz="6" w:space="0" w:color="auto"/>
            </w:tcBorders>
          </w:tcPr>
          <w:p w14:paraId="16D9AD64" w14:textId="77777777" w:rsidR="0080408F" w:rsidRPr="00C16A02" w:rsidRDefault="0080408F" w:rsidP="0080408F">
            <w:pPr>
              <w:pStyle w:val="Tabletext"/>
              <w:jc w:val="center"/>
              <w:rPr>
                <w:sz w:val="20"/>
                <w:lang w:val="en-US"/>
              </w:rPr>
            </w:pPr>
          </w:p>
        </w:tc>
        <w:tc>
          <w:tcPr>
            <w:tcW w:w="5160" w:type="dxa"/>
            <w:tcBorders>
              <w:left w:val="single" w:sz="6" w:space="0" w:color="auto"/>
            </w:tcBorders>
          </w:tcPr>
          <w:p w14:paraId="16D9AD65" w14:textId="77777777" w:rsidR="0080408F" w:rsidRPr="00C16A02" w:rsidRDefault="0080408F" w:rsidP="0080408F">
            <w:pPr>
              <w:pStyle w:val="Tabletext"/>
              <w:jc w:val="left"/>
              <w:rPr>
                <w:sz w:val="20"/>
                <w:lang w:val="en-US"/>
              </w:rPr>
            </w:pPr>
            <w:r w:rsidRPr="00C16A02">
              <w:rPr>
                <w:sz w:val="20"/>
                <w:lang w:val="en-US"/>
              </w:rPr>
              <w:t>–</w:t>
            </w:r>
            <w:r w:rsidRPr="00C16A02">
              <w:rPr>
                <w:sz w:val="20"/>
                <w:lang w:val="en-US"/>
              </w:rPr>
              <w:tab/>
              <w:t>ceramics</w:t>
            </w:r>
            <w:r w:rsidRPr="00C16A02">
              <w:rPr>
                <w:sz w:val="20"/>
                <w:lang w:val="en-US"/>
              </w:rPr>
              <w:br/>
              <w:t>–</w:t>
            </w:r>
            <w:r w:rsidRPr="00C16A02">
              <w:rPr>
                <w:sz w:val="20"/>
                <w:lang w:val="en-US"/>
              </w:rPr>
              <w:tab/>
              <w:t>foundry core drying</w:t>
            </w:r>
            <w:r w:rsidRPr="00C16A02">
              <w:rPr>
                <w:sz w:val="20"/>
                <w:lang w:val="en-US"/>
              </w:rPr>
              <w:br/>
              <w:t>–</w:t>
            </w:r>
            <w:r w:rsidRPr="00C16A02">
              <w:rPr>
                <w:sz w:val="20"/>
                <w:lang w:val="en-US"/>
              </w:rPr>
              <w:tab/>
              <w:t>textile drying</w:t>
            </w:r>
            <w:r w:rsidRPr="00C16A02">
              <w:rPr>
                <w:sz w:val="20"/>
                <w:lang w:val="en-US"/>
              </w:rPr>
              <w:br/>
              <w:t>–</w:t>
            </w:r>
            <w:r w:rsidRPr="00C16A02">
              <w:rPr>
                <w:sz w:val="20"/>
                <w:lang w:val="en-US"/>
              </w:rPr>
              <w:tab/>
              <w:t>business products (books, paper, gluing and drying)</w:t>
            </w:r>
            <w:r w:rsidRPr="00C16A02">
              <w:rPr>
                <w:sz w:val="20"/>
                <w:lang w:val="en-US"/>
              </w:rPr>
              <w:br/>
              <w:t>–</w:t>
            </w:r>
            <w:r w:rsidRPr="00C16A02">
              <w:rPr>
                <w:sz w:val="20"/>
                <w:lang w:val="en-US"/>
              </w:rPr>
              <w:tab/>
              <w:t>food (post baking, meat and fish thawing)</w:t>
            </w:r>
            <w:r w:rsidRPr="00C16A02">
              <w:rPr>
                <w:sz w:val="20"/>
                <w:lang w:val="en-US"/>
              </w:rPr>
              <w:br/>
              <w:t>–</w:t>
            </w:r>
            <w:r w:rsidRPr="00C16A02">
              <w:rPr>
                <w:sz w:val="20"/>
                <w:lang w:val="en-US"/>
              </w:rPr>
              <w:tab/>
              <w:t>solvent drying</w:t>
            </w:r>
            <w:r w:rsidRPr="00C16A02">
              <w:rPr>
                <w:sz w:val="20"/>
                <w:lang w:val="en-US"/>
              </w:rPr>
              <w:br/>
              <w:t>–</w:t>
            </w:r>
            <w:r w:rsidRPr="00C16A02">
              <w:rPr>
                <w:sz w:val="20"/>
                <w:lang w:val="en-US"/>
              </w:rPr>
              <w:tab/>
              <w:t>wood drying and gluing (veneer and lumber drying)</w:t>
            </w:r>
            <w:r w:rsidRPr="00C16A02">
              <w:rPr>
                <w:sz w:val="20"/>
                <w:lang w:val="en-US"/>
              </w:rPr>
              <w:br/>
              <w:t>–</w:t>
            </w:r>
            <w:r w:rsidRPr="00C16A02">
              <w:rPr>
                <w:sz w:val="20"/>
                <w:lang w:val="en-US"/>
              </w:rPr>
              <w:tab/>
              <w:t>general dielectric drying</w:t>
            </w:r>
            <w:r w:rsidRPr="00C16A02">
              <w:rPr>
                <w:sz w:val="20"/>
                <w:lang w:val="en-US"/>
              </w:rPr>
              <w:br/>
              <w:t>–</w:t>
            </w:r>
            <w:r w:rsidRPr="00C16A02">
              <w:rPr>
                <w:sz w:val="20"/>
                <w:lang w:val="en-US"/>
              </w:rPr>
              <w:tab/>
              <w:t xml:space="preserve">plastic heating (die sealing and plastic embossing) </w:t>
            </w:r>
          </w:p>
        </w:tc>
        <w:tc>
          <w:tcPr>
            <w:tcW w:w="1418" w:type="dxa"/>
            <w:tcBorders>
              <w:left w:val="single" w:sz="6" w:space="0" w:color="auto"/>
            </w:tcBorders>
          </w:tcPr>
          <w:p w14:paraId="16D9AD66" w14:textId="77777777" w:rsidR="0080408F" w:rsidRPr="00C16A02" w:rsidRDefault="0080408F" w:rsidP="0080408F">
            <w:pPr>
              <w:pStyle w:val="Tabletext"/>
              <w:jc w:val="center"/>
              <w:rPr>
                <w:sz w:val="20"/>
                <w:lang w:val="en-US"/>
              </w:rPr>
            </w:pPr>
            <w:r w:rsidRPr="00C16A02">
              <w:rPr>
                <w:sz w:val="20"/>
                <w:lang w:val="en-US"/>
              </w:rPr>
              <w:t>15-300 kW</w:t>
            </w:r>
            <w:r w:rsidRPr="00C16A02">
              <w:rPr>
                <w:sz w:val="20"/>
                <w:lang w:val="en-US"/>
              </w:rPr>
              <w:br/>
              <w:t xml:space="preserve">15-300 kW </w:t>
            </w:r>
            <w:r w:rsidRPr="00C16A02">
              <w:rPr>
                <w:sz w:val="20"/>
                <w:lang w:val="en-US"/>
              </w:rPr>
              <w:br/>
              <w:t>15-200 kW</w:t>
            </w:r>
            <w:r w:rsidRPr="00C16A02">
              <w:rPr>
                <w:sz w:val="20"/>
                <w:lang w:val="en-US"/>
              </w:rPr>
              <w:br/>
              <w:t>5-25 kW</w:t>
            </w:r>
            <w:r w:rsidRPr="00C16A02">
              <w:rPr>
                <w:sz w:val="20"/>
                <w:lang w:val="en-US"/>
              </w:rPr>
              <w:br/>
              <w:t>10-100 kW</w:t>
            </w:r>
            <w:r w:rsidRPr="00C16A02">
              <w:rPr>
                <w:sz w:val="20"/>
                <w:lang w:val="en-US"/>
              </w:rPr>
              <w:br/>
            </w:r>
            <w:r w:rsidRPr="00C16A02">
              <w:rPr>
                <w:sz w:val="20"/>
                <w:lang w:val="en-US"/>
              </w:rPr>
              <w:br/>
              <w:t>5-400 kW</w:t>
            </w:r>
            <w:r w:rsidRPr="00C16A02">
              <w:rPr>
                <w:sz w:val="20"/>
                <w:lang w:val="en-US"/>
              </w:rPr>
              <w:br/>
              <w:t>5-1 000 kW</w:t>
            </w:r>
            <w:r w:rsidRPr="00C16A02">
              <w:rPr>
                <w:sz w:val="20"/>
                <w:lang w:val="en-US"/>
              </w:rPr>
              <w:br/>
              <w:t xml:space="preserve">1-50 kW </w:t>
            </w:r>
            <w:r w:rsidRPr="00C16A02">
              <w:rPr>
                <w:sz w:val="20"/>
                <w:lang w:val="en-US"/>
              </w:rPr>
              <w:br/>
              <w:t xml:space="preserve">(most </w:t>
            </w:r>
            <w:r w:rsidRPr="000F31AE">
              <w:rPr>
                <w:rFonts w:ascii="Symbol" w:hAnsi="Symbol"/>
                <w:sz w:val="20"/>
              </w:rPr>
              <w:t></w:t>
            </w:r>
            <w:r w:rsidRPr="00C16A02">
              <w:rPr>
                <w:sz w:val="20"/>
                <w:lang w:val="en-US"/>
              </w:rPr>
              <w:t xml:space="preserve"> 5 kW)</w:t>
            </w:r>
          </w:p>
        </w:tc>
        <w:tc>
          <w:tcPr>
            <w:tcW w:w="1560" w:type="dxa"/>
            <w:tcBorders>
              <w:left w:val="single" w:sz="6" w:space="0" w:color="auto"/>
              <w:right w:val="single" w:sz="6" w:space="0" w:color="auto"/>
            </w:tcBorders>
          </w:tcPr>
          <w:p w14:paraId="16D9AD67" w14:textId="77777777" w:rsidR="0080408F" w:rsidRPr="000F31AE" w:rsidRDefault="0080408F" w:rsidP="0080408F">
            <w:pPr>
              <w:pStyle w:val="Tabletext"/>
              <w:jc w:val="center"/>
              <w:rPr>
                <w:sz w:val="20"/>
              </w:rPr>
            </w:pPr>
            <w:r w:rsidRPr="000F31AE">
              <w:rPr>
                <w:rFonts w:ascii="Symbol" w:hAnsi="Symbol"/>
                <w:sz w:val="20"/>
              </w:rPr>
              <w:t></w:t>
            </w:r>
            <w:r w:rsidRPr="000F31AE">
              <w:rPr>
                <w:sz w:val="20"/>
              </w:rPr>
              <w:t xml:space="preserve"> 1</w:t>
            </w:r>
            <w:r w:rsidRPr="000F31AE">
              <w:rPr>
                <w:rFonts w:ascii="Tms Rmn" w:hAnsi="Tms Rmn"/>
                <w:sz w:val="20"/>
              </w:rPr>
              <w:t> </w:t>
            </w:r>
            <w:r w:rsidRPr="000F31AE">
              <w:rPr>
                <w:sz w:val="20"/>
              </w:rPr>
              <w:t>000</w:t>
            </w:r>
            <w:r w:rsidRPr="000F31AE">
              <w:rPr>
                <w:sz w:val="20"/>
              </w:rPr>
              <w:br/>
            </w:r>
            <w:r w:rsidRPr="000F31AE">
              <w:rPr>
                <w:rFonts w:ascii="Symbol" w:hAnsi="Symbol"/>
                <w:sz w:val="20"/>
              </w:rPr>
              <w:t></w:t>
            </w:r>
            <w:r w:rsidRPr="000F31AE">
              <w:rPr>
                <w:sz w:val="20"/>
              </w:rPr>
              <w:t xml:space="preserve"> 1</w:t>
            </w:r>
            <w:r w:rsidRPr="000F31AE">
              <w:rPr>
                <w:rFonts w:ascii="Tms Rmn" w:hAnsi="Tms Rmn"/>
                <w:sz w:val="20"/>
              </w:rPr>
              <w:t> </w:t>
            </w:r>
            <w:r w:rsidRPr="000F31AE">
              <w:rPr>
                <w:sz w:val="20"/>
              </w:rPr>
              <w:t>000</w:t>
            </w:r>
            <w:r w:rsidRPr="000F31AE">
              <w:rPr>
                <w:sz w:val="20"/>
              </w:rPr>
              <w:br/>
            </w:r>
            <w:r w:rsidRPr="000F31AE">
              <w:rPr>
                <w:rFonts w:ascii="Symbol" w:hAnsi="Symbol"/>
                <w:sz w:val="20"/>
              </w:rPr>
              <w:t></w:t>
            </w:r>
            <w:r w:rsidRPr="000F31AE">
              <w:rPr>
                <w:sz w:val="20"/>
              </w:rPr>
              <w:t xml:space="preserve"> 1</w:t>
            </w:r>
            <w:r w:rsidRPr="000F31AE">
              <w:rPr>
                <w:rFonts w:ascii="Tms Rmn" w:hAnsi="Tms Rmn"/>
                <w:sz w:val="20"/>
              </w:rPr>
              <w:t> </w:t>
            </w:r>
            <w:r w:rsidRPr="000F31AE">
              <w:rPr>
                <w:sz w:val="20"/>
              </w:rPr>
              <w:t>000</w:t>
            </w:r>
            <w:r w:rsidRPr="000F31AE">
              <w:rPr>
                <w:sz w:val="20"/>
              </w:rPr>
              <w:br/>
            </w:r>
            <w:r w:rsidRPr="000F31AE">
              <w:rPr>
                <w:rFonts w:ascii="Symbol" w:hAnsi="Symbol"/>
                <w:sz w:val="20"/>
              </w:rPr>
              <w:t></w:t>
            </w:r>
            <w:r w:rsidRPr="000F31AE">
              <w:rPr>
                <w:sz w:val="20"/>
              </w:rPr>
              <w:t xml:space="preserve"> 1</w:t>
            </w:r>
            <w:r w:rsidRPr="000F31AE">
              <w:rPr>
                <w:rFonts w:ascii="Tms Rmn" w:hAnsi="Tms Rmn"/>
                <w:sz w:val="20"/>
              </w:rPr>
              <w:t> </w:t>
            </w:r>
            <w:r w:rsidRPr="000F31AE">
              <w:rPr>
                <w:sz w:val="20"/>
              </w:rPr>
              <w:t>000</w:t>
            </w:r>
            <w:r w:rsidRPr="000F31AE">
              <w:rPr>
                <w:sz w:val="20"/>
              </w:rPr>
              <w:br/>
            </w:r>
            <w:r w:rsidRPr="000F31AE">
              <w:rPr>
                <w:rFonts w:ascii="Symbol" w:hAnsi="Symbol"/>
                <w:sz w:val="20"/>
              </w:rPr>
              <w:t></w:t>
            </w:r>
            <w:r w:rsidRPr="000F31AE">
              <w:rPr>
                <w:sz w:val="20"/>
              </w:rPr>
              <w:t xml:space="preserve"> 1</w:t>
            </w:r>
            <w:r w:rsidRPr="000F31AE">
              <w:rPr>
                <w:rFonts w:ascii="Tms Rmn" w:hAnsi="Tms Rmn"/>
                <w:sz w:val="20"/>
              </w:rPr>
              <w:t> </w:t>
            </w:r>
            <w:r w:rsidRPr="000F31AE">
              <w:rPr>
                <w:sz w:val="20"/>
              </w:rPr>
              <w:t>000</w:t>
            </w:r>
            <w:r w:rsidRPr="000F31AE">
              <w:rPr>
                <w:sz w:val="20"/>
              </w:rPr>
              <w:br/>
            </w:r>
            <w:r w:rsidRPr="000F31AE">
              <w:rPr>
                <w:sz w:val="20"/>
              </w:rPr>
              <w:br/>
            </w:r>
            <w:r w:rsidRPr="000F31AE">
              <w:rPr>
                <w:rFonts w:ascii="Symbol" w:hAnsi="Symbol"/>
                <w:sz w:val="20"/>
              </w:rPr>
              <w:t></w:t>
            </w:r>
            <w:r w:rsidRPr="000F31AE">
              <w:rPr>
                <w:sz w:val="20"/>
              </w:rPr>
              <w:t xml:space="preserve"> 10</w:t>
            </w:r>
            <w:r w:rsidRPr="000F31AE">
              <w:rPr>
                <w:rFonts w:ascii="Tms Rmn" w:hAnsi="Tms Rmn"/>
                <w:sz w:val="20"/>
              </w:rPr>
              <w:t> </w:t>
            </w:r>
            <w:r w:rsidRPr="000F31AE">
              <w:rPr>
                <w:sz w:val="20"/>
              </w:rPr>
              <w:t>000</w:t>
            </w:r>
            <w:r w:rsidRPr="000F31AE">
              <w:rPr>
                <w:sz w:val="20"/>
              </w:rPr>
              <w:br/>
            </w:r>
            <w:r w:rsidRPr="000F31AE">
              <w:rPr>
                <w:rFonts w:ascii="Symbol" w:hAnsi="Symbol"/>
                <w:sz w:val="20"/>
              </w:rPr>
              <w:t></w:t>
            </w:r>
            <w:r w:rsidRPr="000F31AE">
              <w:rPr>
                <w:sz w:val="20"/>
              </w:rPr>
              <w:t xml:space="preserve"> 100</w:t>
            </w:r>
            <w:r w:rsidRPr="000F31AE">
              <w:rPr>
                <w:rFonts w:ascii="Tms Rmn" w:hAnsi="Tms Rmn"/>
                <w:sz w:val="20"/>
              </w:rPr>
              <w:t> </w:t>
            </w:r>
            <w:r w:rsidRPr="000F31AE">
              <w:rPr>
                <w:sz w:val="20"/>
              </w:rPr>
              <w:t>000</w:t>
            </w:r>
            <w:r w:rsidRPr="000F31AE">
              <w:rPr>
                <w:sz w:val="20"/>
              </w:rPr>
              <w:br/>
            </w:r>
            <w:r w:rsidRPr="000F31AE">
              <w:rPr>
                <w:rFonts w:ascii="Symbol" w:hAnsi="Symbol"/>
                <w:sz w:val="20"/>
              </w:rPr>
              <w:t></w:t>
            </w:r>
            <w:r w:rsidRPr="000F31AE">
              <w:rPr>
                <w:sz w:val="20"/>
              </w:rPr>
              <w:t xml:space="preserve"> 10</w:t>
            </w:r>
            <w:r w:rsidRPr="000F31AE">
              <w:rPr>
                <w:rFonts w:ascii="Tms Rmn" w:hAnsi="Tms Rmn"/>
                <w:sz w:val="20"/>
              </w:rPr>
              <w:t> </w:t>
            </w:r>
            <w:r w:rsidRPr="000F31AE">
              <w:rPr>
                <w:sz w:val="20"/>
              </w:rPr>
              <w:t>000</w:t>
            </w:r>
            <w:r w:rsidRPr="000F31AE">
              <w:rPr>
                <w:sz w:val="20"/>
              </w:rPr>
              <w:br/>
            </w:r>
          </w:p>
        </w:tc>
      </w:tr>
      <w:tr w:rsidR="0080408F" w:rsidRPr="000F31AE" w14:paraId="16D9AD6D" w14:textId="77777777">
        <w:trPr>
          <w:cantSplit/>
          <w:jc w:val="center"/>
        </w:trPr>
        <w:tc>
          <w:tcPr>
            <w:tcW w:w="1611" w:type="dxa"/>
            <w:tcBorders>
              <w:left w:val="single" w:sz="6" w:space="0" w:color="auto"/>
              <w:bottom w:val="single" w:sz="6" w:space="0" w:color="auto"/>
            </w:tcBorders>
          </w:tcPr>
          <w:p w14:paraId="16D9AD69" w14:textId="77777777" w:rsidR="0080408F" w:rsidRPr="000F31AE" w:rsidRDefault="0080408F" w:rsidP="0080408F">
            <w:pPr>
              <w:pStyle w:val="Tabletext"/>
              <w:jc w:val="center"/>
              <w:rPr>
                <w:sz w:val="20"/>
              </w:rPr>
            </w:pPr>
          </w:p>
        </w:tc>
        <w:tc>
          <w:tcPr>
            <w:tcW w:w="5160" w:type="dxa"/>
            <w:tcBorders>
              <w:left w:val="single" w:sz="6" w:space="0" w:color="auto"/>
              <w:bottom w:val="single" w:sz="6" w:space="0" w:color="auto"/>
            </w:tcBorders>
          </w:tcPr>
          <w:p w14:paraId="16D9AD6A" w14:textId="77777777" w:rsidR="0080408F" w:rsidRPr="00C16A02" w:rsidRDefault="0080408F" w:rsidP="0080408F">
            <w:pPr>
              <w:pStyle w:val="Tabletext"/>
              <w:jc w:val="left"/>
              <w:rPr>
                <w:sz w:val="20"/>
                <w:lang w:val="en-US"/>
              </w:rPr>
            </w:pPr>
            <w:r w:rsidRPr="00C16A02">
              <w:rPr>
                <w:sz w:val="20"/>
                <w:lang w:val="en-US"/>
              </w:rPr>
              <w:t>Medical applications</w:t>
            </w:r>
            <w:r w:rsidRPr="00C16A02">
              <w:rPr>
                <w:sz w:val="20"/>
                <w:lang w:val="en-US"/>
              </w:rPr>
              <w:br/>
              <w:t>–</w:t>
            </w:r>
            <w:r w:rsidRPr="00C16A02">
              <w:rPr>
                <w:sz w:val="20"/>
                <w:lang w:val="en-US"/>
              </w:rPr>
              <w:tab/>
              <w:t>medical diathermy (27 MHz)</w:t>
            </w:r>
            <w:r w:rsidRPr="00C16A02">
              <w:rPr>
                <w:sz w:val="20"/>
                <w:lang w:val="en-US"/>
              </w:rPr>
              <w:br/>
              <w:t>–</w:t>
            </w:r>
            <w:r w:rsidRPr="00C16A02">
              <w:rPr>
                <w:sz w:val="20"/>
                <w:lang w:val="en-US"/>
              </w:rPr>
              <w:tab/>
              <w:t xml:space="preserve">magnetic resonance imaging (10-100 MHz in </w:t>
            </w:r>
            <w:proofErr w:type="gramStart"/>
            <w:r w:rsidRPr="00C16A02">
              <w:rPr>
                <w:sz w:val="20"/>
                <w:lang w:val="en-US"/>
              </w:rPr>
              <w:t>large shielded</w:t>
            </w:r>
            <w:proofErr w:type="gramEnd"/>
            <w:r w:rsidRPr="00C16A02">
              <w:rPr>
                <w:sz w:val="20"/>
                <w:lang w:val="en-US"/>
              </w:rPr>
              <w:t xml:space="preserve"> </w:t>
            </w:r>
            <w:r w:rsidRPr="00C16A02">
              <w:rPr>
                <w:sz w:val="20"/>
                <w:lang w:val="en-US"/>
              </w:rPr>
              <w:tab/>
              <w:t>rooms)</w:t>
            </w:r>
          </w:p>
        </w:tc>
        <w:tc>
          <w:tcPr>
            <w:tcW w:w="1418" w:type="dxa"/>
            <w:tcBorders>
              <w:left w:val="single" w:sz="6" w:space="0" w:color="auto"/>
              <w:bottom w:val="single" w:sz="6" w:space="0" w:color="auto"/>
            </w:tcBorders>
          </w:tcPr>
          <w:p w14:paraId="16D9AD6B" w14:textId="77777777" w:rsidR="0080408F" w:rsidRPr="000F31AE" w:rsidRDefault="0080408F" w:rsidP="0080408F">
            <w:pPr>
              <w:pStyle w:val="Tabletext"/>
              <w:jc w:val="center"/>
              <w:rPr>
                <w:sz w:val="20"/>
              </w:rPr>
            </w:pPr>
            <w:r w:rsidRPr="00C16A02">
              <w:rPr>
                <w:sz w:val="20"/>
                <w:lang w:val="en-US"/>
              </w:rPr>
              <w:br/>
            </w:r>
            <w:r w:rsidRPr="000F31AE">
              <w:rPr>
                <w:sz w:val="20"/>
              </w:rPr>
              <w:t>100-1</w:t>
            </w:r>
            <w:r w:rsidRPr="000F31AE">
              <w:rPr>
                <w:rFonts w:ascii="Tms Rmn" w:hAnsi="Tms Rmn"/>
                <w:sz w:val="20"/>
              </w:rPr>
              <w:t> </w:t>
            </w:r>
            <w:r w:rsidRPr="000F31AE">
              <w:rPr>
                <w:sz w:val="20"/>
              </w:rPr>
              <w:t>000 W</w:t>
            </w:r>
          </w:p>
        </w:tc>
        <w:tc>
          <w:tcPr>
            <w:tcW w:w="1560" w:type="dxa"/>
            <w:tcBorders>
              <w:left w:val="single" w:sz="6" w:space="0" w:color="auto"/>
              <w:bottom w:val="single" w:sz="6" w:space="0" w:color="auto"/>
              <w:right w:val="single" w:sz="6" w:space="0" w:color="auto"/>
            </w:tcBorders>
          </w:tcPr>
          <w:p w14:paraId="16D9AD6C" w14:textId="77777777" w:rsidR="0080408F" w:rsidRPr="000F31AE" w:rsidRDefault="0080408F" w:rsidP="0080408F">
            <w:pPr>
              <w:pStyle w:val="Tabletext"/>
              <w:jc w:val="center"/>
              <w:rPr>
                <w:sz w:val="20"/>
              </w:rPr>
            </w:pPr>
            <w:r w:rsidRPr="000F31AE">
              <w:rPr>
                <w:sz w:val="20"/>
              </w:rPr>
              <w:br/>
            </w:r>
            <w:r w:rsidRPr="000F31AE">
              <w:rPr>
                <w:rFonts w:ascii="Symbol" w:hAnsi="Symbol"/>
                <w:sz w:val="20"/>
              </w:rPr>
              <w:t></w:t>
            </w:r>
            <w:r w:rsidRPr="000F31AE">
              <w:rPr>
                <w:sz w:val="20"/>
              </w:rPr>
              <w:t xml:space="preserve"> 1</w:t>
            </w:r>
            <w:r w:rsidRPr="000F31AE">
              <w:rPr>
                <w:rFonts w:ascii="Tms Rmn" w:hAnsi="Tms Rmn"/>
                <w:sz w:val="20"/>
              </w:rPr>
              <w:t> </w:t>
            </w:r>
            <w:r w:rsidRPr="000F31AE">
              <w:rPr>
                <w:sz w:val="20"/>
              </w:rPr>
              <w:t>000</w:t>
            </w:r>
          </w:p>
        </w:tc>
      </w:tr>
      <w:tr w:rsidR="0080408F" w:rsidRPr="000F31AE" w14:paraId="16D9AD72" w14:textId="77777777">
        <w:trPr>
          <w:cantSplit/>
          <w:jc w:val="center"/>
        </w:trPr>
        <w:tc>
          <w:tcPr>
            <w:tcW w:w="1611" w:type="dxa"/>
            <w:tcBorders>
              <w:left w:val="single" w:sz="6" w:space="0" w:color="auto"/>
            </w:tcBorders>
          </w:tcPr>
          <w:p w14:paraId="16D9AD6E" w14:textId="77777777" w:rsidR="0080408F" w:rsidRPr="000F31AE" w:rsidRDefault="0080408F" w:rsidP="0080408F">
            <w:pPr>
              <w:pStyle w:val="Tabletext"/>
              <w:jc w:val="center"/>
              <w:rPr>
                <w:sz w:val="20"/>
              </w:rPr>
            </w:pPr>
            <w:r w:rsidRPr="000F31AE">
              <w:rPr>
                <w:sz w:val="20"/>
              </w:rPr>
              <w:t>100-1 000</w:t>
            </w:r>
          </w:p>
        </w:tc>
        <w:tc>
          <w:tcPr>
            <w:tcW w:w="5160" w:type="dxa"/>
            <w:tcBorders>
              <w:left w:val="single" w:sz="6" w:space="0" w:color="auto"/>
            </w:tcBorders>
          </w:tcPr>
          <w:p w14:paraId="16D9AD6F" w14:textId="77777777" w:rsidR="0080408F" w:rsidRPr="00C16A02" w:rsidRDefault="0080408F" w:rsidP="0080408F">
            <w:pPr>
              <w:pStyle w:val="Tabletext"/>
              <w:jc w:val="left"/>
              <w:rPr>
                <w:sz w:val="20"/>
                <w:lang w:val="en-US"/>
              </w:rPr>
            </w:pPr>
            <w:r w:rsidRPr="00C16A02">
              <w:rPr>
                <w:sz w:val="20"/>
                <w:lang w:val="en-US"/>
              </w:rPr>
              <w:t>Food processing (915 MHz)</w:t>
            </w:r>
            <w:r w:rsidRPr="00C16A02">
              <w:rPr>
                <w:sz w:val="20"/>
                <w:lang w:val="en-US"/>
              </w:rPr>
              <w:br/>
              <w:t>Medical applications (433 MHz)</w:t>
            </w:r>
            <w:r w:rsidRPr="00C16A02">
              <w:rPr>
                <w:sz w:val="20"/>
                <w:lang w:val="en-US"/>
              </w:rPr>
              <w:br/>
              <w:t>RF plasma generators</w:t>
            </w:r>
            <w:r w:rsidRPr="00C16A02">
              <w:rPr>
                <w:sz w:val="20"/>
                <w:lang w:val="en-US"/>
              </w:rPr>
              <w:br/>
              <w:t>Rubber vulcanization (915 MHz)</w:t>
            </w:r>
          </w:p>
        </w:tc>
        <w:tc>
          <w:tcPr>
            <w:tcW w:w="1418" w:type="dxa"/>
            <w:tcBorders>
              <w:left w:val="single" w:sz="6" w:space="0" w:color="auto"/>
            </w:tcBorders>
          </w:tcPr>
          <w:p w14:paraId="16D9AD70" w14:textId="77777777" w:rsidR="0080408F" w:rsidRPr="000F31AE" w:rsidRDefault="0080408F" w:rsidP="0080408F">
            <w:pPr>
              <w:pStyle w:val="Tabletext"/>
              <w:jc w:val="center"/>
              <w:rPr>
                <w:sz w:val="20"/>
              </w:rPr>
            </w:pPr>
            <w:r w:rsidRPr="000F31AE">
              <w:rPr>
                <w:rFonts w:ascii="Symbol" w:hAnsi="Symbol"/>
                <w:sz w:val="20"/>
              </w:rPr>
              <w:t></w:t>
            </w:r>
            <w:r w:rsidRPr="000F31AE">
              <w:rPr>
                <w:sz w:val="20"/>
              </w:rPr>
              <w:t xml:space="preserve"> 200 kW</w:t>
            </w:r>
          </w:p>
        </w:tc>
        <w:tc>
          <w:tcPr>
            <w:tcW w:w="1560" w:type="dxa"/>
            <w:tcBorders>
              <w:left w:val="single" w:sz="6" w:space="0" w:color="auto"/>
              <w:right w:val="single" w:sz="6" w:space="0" w:color="auto"/>
            </w:tcBorders>
          </w:tcPr>
          <w:p w14:paraId="16D9AD71" w14:textId="77777777" w:rsidR="0080408F" w:rsidRPr="000F31AE" w:rsidRDefault="0080408F" w:rsidP="0080408F">
            <w:pPr>
              <w:pStyle w:val="Tabletext"/>
              <w:jc w:val="center"/>
              <w:rPr>
                <w:sz w:val="20"/>
              </w:rPr>
            </w:pPr>
            <w:r w:rsidRPr="000F31AE">
              <w:rPr>
                <w:rFonts w:ascii="Symbol" w:hAnsi="Symbol"/>
                <w:sz w:val="20"/>
              </w:rPr>
              <w:t></w:t>
            </w:r>
            <w:r w:rsidRPr="000F31AE">
              <w:rPr>
                <w:sz w:val="20"/>
              </w:rPr>
              <w:t xml:space="preserve"> 1</w:t>
            </w:r>
            <w:r w:rsidRPr="000F31AE">
              <w:rPr>
                <w:rFonts w:ascii="Tms Rmn" w:hAnsi="Tms Rmn"/>
                <w:sz w:val="20"/>
              </w:rPr>
              <w:t> </w:t>
            </w:r>
            <w:r w:rsidRPr="000F31AE">
              <w:rPr>
                <w:sz w:val="20"/>
              </w:rPr>
              <w:t>000</w:t>
            </w:r>
            <w:r w:rsidRPr="000F31AE">
              <w:rPr>
                <w:sz w:val="20"/>
              </w:rPr>
              <w:br/>
            </w:r>
            <w:r w:rsidRPr="000F31AE">
              <w:rPr>
                <w:sz w:val="20"/>
              </w:rPr>
              <w:br/>
            </w:r>
            <w:r w:rsidRPr="000F31AE">
              <w:rPr>
                <w:sz w:val="20"/>
              </w:rPr>
              <w:br/>
            </w:r>
            <w:r w:rsidRPr="000F31AE">
              <w:rPr>
                <w:rFonts w:ascii="Symbol" w:hAnsi="Symbol"/>
                <w:sz w:val="20"/>
              </w:rPr>
              <w:t></w:t>
            </w:r>
            <w:r w:rsidRPr="000F31AE">
              <w:rPr>
                <w:sz w:val="20"/>
              </w:rPr>
              <w:t xml:space="preserve"> 1</w:t>
            </w:r>
            <w:r w:rsidRPr="000F31AE">
              <w:rPr>
                <w:rFonts w:ascii="Tms Rmn" w:hAnsi="Tms Rmn"/>
                <w:sz w:val="20"/>
              </w:rPr>
              <w:t> </w:t>
            </w:r>
            <w:r w:rsidRPr="000F31AE">
              <w:rPr>
                <w:sz w:val="20"/>
              </w:rPr>
              <w:t>000</w:t>
            </w:r>
          </w:p>
        </w:tc>
      </w:tr>
      <w:tr w:rsidR="0080408F" w:rsidRPr="000F31AE" w14:paraId="16D9AD77" w14:textId="77777777">
        <w:trPr>
          <w:cantSplit/>
          <w:jc w:val="center"/>
        </w:trPr>
        <w:tc>
          <w:tcPr>
            <w:tcW w:w="1611" w:type="dxa"/>
            <w:tcBorders>
              <w:top w:val="single" w:sz="6" w:space="0" w:color="auto"/>
              <w:left w:val="single" w:sz="6" w:space="0" w:color="auto"/>
              <w:bottom w:val="single" w:sz="6" w:space="0" w:color="auto"/>
            </w:tcBorders>
          </w:tcPr>
          <w:p w14:paraId="16D9AD73" w14:textId="77777777" w:rsidR="0080408F" w:rsidRPr="000F31AE" w:rsidRDefault="0080408F" w:rsidP="0080408F">
            <w:pPr>
              <w:pStyle w:val="Tabletext"/>
              <w:jc w:val="center"/>
              <w:rPr>
                <w:sz w:val="20"/>
              </w:rPr>
            </w:pPr>
            <w:proofErr w:type="spellStart"/>
            <w:r w:rsidRPr="000F31AE">
              <w:rPr>
                <w:sz w:val="20"/>
              </w:rPr>
              <w:t>Above</w:t>
            </w:r>
            <w:proofErr w:type="spellEnd"/>
            <w:r w:rsidRPr="000F31AE">
              <w:rPr>
                <w:sz w:val="20"/>
              </w:rPr>
              <w:t xml:space="preserve"> 1 000</w:t>
            </w:r>
          </w:p>
        </w:tc>
        <w:tc>
          <w:tcPr>
            <w:tcW w:w="5160" w:type="dxa"/>
            <w:tcBorders>
              <w:top w:val="single" w:sz="6" w:space="0" w:color="auto"/>
              <w:left w:val="single" w:sz="6" w:space="0" w:color="auto"/>
              <w:bottom w:val="single" w:sz="6" w:space="0" w:color="auto"/>
            </w:tcBorders>
          </w:tcPr>
          <w:p w14:paraId="16D9AD74" w14:textId="77777777" w:rsidR="0080408F" w:rsidRPr="00F233B8" w:rsidRDefault="0080408F" w:rsidP="0080408F">
            <w:pPr>
              <w:pStyle w:val="Tabletext"/>
              <w:jc w:val="left"/>
              <w:rPr>
                <w:sz w:val="20"/>
              </w:rPr>
            </w:pPr>
            <w:r w:rsidRPr="00F233B8">
              <w:rPr>
                <w:sz w:val="20"/>
              </w:rPr>
              <w:t xml:space="preserve">RF plasma </w:t>
            </w:r>
            <w:proofErr w:type="spellStart"/>
            <w:r w:rsidRPr="00F233B8">
              <w:rPr>
                <w:sz w:val="20"/>
              </w:rPr>
              <w:t>generators</w:t>
            </w:r>
            <w:proofErr w:type="spellEnd"/>
            <w:r w:rsidRPr="00F233B8">
              <w:rPr>
                <w:sz w:val="20"/>
              </w:rPr>
              <w:br/>
              <w:t xml:space="preserve">Domestic </w:t>
            </w:r>
            <w:proofErr w:type="spellStart"/>
            <w:r w:rsidRPr="00F233B8">
              <w:rPr>
                <w:sz w:val="20"/>
              </w:rPr>
              <w:t>microwave</w:t>
            </w:r>
            <w:proofErr w:type="spellEnd"/>
            <w:r w:rsidRPr="00F233B8">
              <w:rPr>
                <w:sz w:val="20"/>
              </w:rPr>
              <w:t xml:space="preserve"> </w:t>
            </w:r>
            <w:proofErr w:type="spellStart"/>
            <w:r w:rsidRPr="00F233B8">
              <w:rPr>
                <w:sz w:val="20"/>
              </w:rPr>
              <w:t>ovens</w:t>
            </w:r>
            <w:proofErr w:type="spellEnd"/>
            <w:r w:rsidRPr="00F233B8">
              <w:rPr>
                <w:sz w:val="20"/>
              </w:rPr>
              <w:t xml:space="preserve"> (2 450 MHz)</w:t>
            </w:r>
            <w:r w:rsidRPr="00F233B8">
              <w:rPr>
                <w:sz w:val="20"/>
              </w:rPr>
              <w:br/>
              <w:t xml:space="preserve">Commercial </w:t>
            </w:r>
            <w:proofErr w:type="spellStart"/>
            <w:r w:rsidRPr="00F233B8">
              <w:rPr>
                <w:sz w:val="20"/>
              </w:rPr>
              <w:t>microwave</w:t>
            </w:r>
            <w:proofErr w:type="spellEnd"/>
            <w:r w:rsidRPr="00F233B8">
              <w:rPr>
                <w:sz w:val="20"/>
              </w:rPr>
              <w:t xml:space="preserve"> </w:t>
            </w:r>
            <w:proofErr w:type="spellStart"/>
            <w:r w:rsidRPr="00F233B8">
              <w:rPr>
                <w:sz w:val="20"/>
              </w:rPr>
              <w:t>ovens</w:t>
            </w:r>
            <w:proofErr w:type="spellEnd"/>
            <w:r w:rsidRPr="00F233B8">
              <w:rPr>
                <w:sz w:val="20"/>
              </w:rPr>
              <w:t xml:space="preserve"> (2 450 MHz)</w:t>
            </w:r>
            <w:r w:rsidRPr="00F233B8">
              <w:rPr>
                <w:sz w:val="20"/>
              </w:rPr>
              <w:br/>
            </w:r>
            <w:proofErr w:type="spellStart"/>
            <w:r w:rsidRPr="00F233B8">
              <w:rPr>
                <w:sz w:val="20"/>
              </w:rPr>
              <w:t>Rubber</w:t>
            </w:r>
            <w:proofErr w:type="spellEnd"/>
            <w:r w:rsidRPr="00F233B8">
              <w:rPr>
                <w:sz w:val="20"/>
              </w:rPr>
              <w:t xml:space="preserve"> </w:t>
            </w:r>
            <w:proofErr w:type="spellStart"/>
            <w:r w:rsidRPr="00F233B8">
              <w:rPr>
                <w:sz w:val="20"/>
              </w:rPr>
              <w:t>vulcanization</w:t>
            </w:r>
            <w:proofErr w:type="spellEnd"/>
            <w:r w:rsidRPr="00F233B8">
              <w:rPr>
                <w:sz w:val="20"/>
              </w:rPr>
              <w:t xml:space="preserve"> (2 450 MHz)</w:t>
            </w:r>
            <w:r w:rsidRPr="00F233B8">
              <w:rPr>
                <w:sz w:val="20"/>
              </w:rPr>
              <w:br/>
              <w:t xml:space="preserve">RF </w:t>
            </w:r>
            <w:proofErr w:type="spellStart"/>
            <w:r w:rsidRPr="00F233B8">
              <w:rPr>
                <w:sz w:val="20"/>
              </w:rPr>
              <w:t>excited</w:t>
            </w:r>
            <w:proofErr w:type="spellEnd"/>
            <w:r w:rsidRPr="00F233B8">
              <w:rPr>
                <w:sz w:val="20"/>
              </w:rPr>
              <w:t xml:space="preserve"> ultraviolet </w:t>
            </w:r>
            <w:proofErr w:type="spellStart"/>
            <w:r w:rsidRPr="00F233B8">
              <w:rPr>
                <w:sz w:val="20"/>
              </w:rPr>
              <w:t>curing</w:t>
            </w:r>
            <w:proofErr w:type="spellEnd"/>
          </w:p>
        </w:tc>
        <w:tc>
          <w:tcPr>
            <w:tcW w:w="1418" w:type="dxa"/>
            <w:tcBorders>
              <w:top w:val="single" w:sz="6" w:space="0" w:color="auto"/>
              <w:left w:val="single" w:sz="6" w:space="0" w:color="auto"/>
              <w:bottom w:val="single" w:sz="6" w:space="0" w:color="auto"/>
            </w:tcBorders>
          </w:tcPr>
          <w:p w14:paraId="16D9AD75" w14:textId="77777777" w:rsidR="0080408F" w:rsidRPr="000F31AE" w:rsidRDefault="0080408F" w:rsidP="0080408F">
            <w:pPr>
              <w:pStyle w:val="Tabletext"/>
              <w:jc w:val="center"/>
              <w:rPr>
                <w:sz w:val="20"/>
              </w:rPr>
            </w:pPr>
            <w:r w:rsidRPr="00F233B8">
              <w:rPr>
                <w:sz w:val="20"/>
              </w:rPr>
              <w:br/>
            </w:r>
            <w:r w:rsidRPr="000F31AE">
              <w:rPr>
                <w:sz w:val="20"/>
              </w:rPr>
              <w:t>600-1</w:t>
            </w:r>
            <w:r w:rsidRPr="000F31AE">
              <w:rPr>
                <w:rFonts w:ascii="Tms Rmn" w:hAnsi="Tms Rmn"/>
                <w:sz w:val="20"/>
              </w:rPr>
              <w:t> </w:t>
            </w:r>
            <w:r w:rsidRPr="000F31AE">
              <w:rPr>
                <w:sz w:val="20"/>
              </w:rPr>
              <w:t>500 W</w:t>
            </w:r>
            <w:r w:rsidRPr="000F31AE">
              <w:rPr>
                <w:sz w:val="20"/>
              </w:rPr>
              <w:br/>
              <w:t>1.5-200 kW</w:t>
            </w:r>
            <w:r w:rsidRPr="000F31AE">
              <w:rPr>
                <w:sz w:val="20"/>
              </w:rPr>
              <w:br/>
              <w:t>6-100 kW</w:t>
            </w:r>
          </w:p>
        </w:tc>
        <w:tc>
          <w:tcPr>
            <w:tcW w:w="1560" w:type="dxa"/>
            <w:tcBorders>
              <w:top w:val="single" w:sz="6" w:space="0" w:color="auto"/>
              <w:left w:val="single" w:sz="6" w:space="0" w:color="auto"/>
              <w:bottom w:val="single" w:sz="6" w:space="0" w:color="auto"/>
              <w:right w:val="single" w:sz="6" w:space="0" w:color="auto"/>
            </w:tcBorders>
          </w:tcPr>
          <w:p w14:paraId="16D9AD76" w14:textId="77777777" w:rsidR="0080408F" w:rsidRPr="000F31AE" w:rsidRDefault="0080408F" w:rsidP="0080408F">
            <w:pPr>
              <w:pStyle w:val="Tabletext"/>
              <w:jc w:val="center"/>
              <w:rPr>
                <w:sz w:val="20"/>
              </w:rPr>
            </w:pPr>
            <w:r w:rsidRPr="000F31AE">
              <w:rPr>
                <w:sz w:val="20"/>
              </w:rPr>
              <w:br/>
            </w:r>
            <w:r w:rsidRPr="000F31AE">
              <w:rPr>
                <w:rFonts w:ascii="Symbol" w:hAnsi="Symbol"/>
                <w:sz w:val="20"/>
              </w:rPr>
              <w:t></w:t>
            </w:r>
            <w:r w:rsidRPr="000F31AE">
              <w:rPr>
                <w:sz w:val="20"/>
              </w:rPr>
              <w:t xml:space="preserve"> 200 million</w:t>
            </w:r>
            <w:r w:rsidRPr="000F31AE">
              <w:rPr>
                <w:sz w:val="20"/>
              </w:rPr>
              <w:br/>
            </w:r>
            <w:r w:rsidRPr="000F31AE">
              <w:rPr>
                <w:sz w:val="20"/>
              </w:rPr>
              <w:br/>
            </w:r>
            <w:r w:rsidRPr="000F31AE">
              <w:rPr>
                <w:rFonts w:ascii="Symbol" w:hAnsi="Symbol"/>
                <w:sz w:val="20"/>
              </w:rPr>
              <w:t></w:t>
            </w:r>
            <w:r w:rsidRPr="000F31AE">
              <w:rPr>
                <w:sz w:val="20"/>
              </w:rPr>
              <w:t xml:space="preserve"> 1</w:t>
            </w:r>
            <w:r w:rsidRPr="000F31AE">
              <w:rPr>
                <w:rFonts w:ascii="Tms Rmn" w:hAnsi="Tms Rmn"/>
                <w:sz w:val="20"/>
              </w:rPr>
              <w:t> </w:t>
            </w:r>
            <w:r w:rsidRPr="000F31AE">
              <w:rPr>
                <w:sz w:val="20"/>
              </w:rPr>
              <w:t>000</w:t>
            </w:r>
          </w:p>
        </w:tc>
      </w:tr>
    </w:tbl>
    <w:p w14:paraId="16D9AD78" w14:textId="77777777" w:rsidR="0080408F" w:rsidRDefault="0080408F" w:rsidP="0080408F">
      <w:pPr>
        <w:pStyle w:val="Tablefin"/>
      </w:pPr>
    </w:p>
    <w:p w14:paraId="16D9AD79" w14:textId="77777777" w:rsidR="0080408F" w:rsidRPr="006E1606" w:rsidRDefault="0080408F" w:rsidP="0080408F">
      <w:pPr>
        <w:pStyle w:val="Heading2"/>
        <w:rPr>
          <w:lang w:val="en-US"/>
        </w:rPr>
      </w:pPr>
      <w:bookmarkStart w:id="4" w:name="_Toc138236213"/>
      <w:r w:rsidRPr="006E1606">
        <w:rPr>
          <w:lang w:val="en-US"/>
        </w:rPr>
        <w:lastRenderedPageBreak/>
        <w:t>2.2</w:t>
      </w:r>
      <w:r w:rsidRPr="006E1606">
        <w:rPr>
          <w:lang w:val="en-US"/>
        </w:rPr>
        <w:tab/>
        <w:t>Future applications</w:t>
      </w:r>
      <w:bookmarkEnd w:id="4"/>
    </w:p>
    <w:p w14:paraId="16D9AD7A" w14:textId="77777777" w:rsidR="0080408F" w:rsidRPr="00C16A02" w:rsidRDefault="0080408F" w:rsidP="0080408F">
      <w:pPr>
        <w:rPr>
          <w:lang w:val="en-US"/>
        </w:rPr>
      </w:pPr>
      <w:r w:rsidRPr="00C16A02">
        <w:rPr>
          <w:lang w:val="en-US"/>
        </w:rPr>
        <w:t>Investigations into new non-communication applications of electromagnetic energy for improving industrial processes are dramatically increasing throughout the world. These investigations are not limited to the ISM bands. Selection of the application frequency for production apparatus is based on many factors, which include, but are not limited to:</w:t>
      </w:r>
    </w:p>
    <w:p w14:paraId="16D9AD7B" w14:textId="77777777" w:rsidR="0080408F" w:rsidRPr="00C16A02" w:rsidRDefault="0080408F" w:rsidP="0080408F">
      <w:pPr>
        <w:pStyle w:val="enumlev1"/>
        <w:rPr>
          <w:lang w:val="en-US"/>
        </w:rPr>
      </w:pPr>
      <w:r w:rsidRPr="00C16A02">
        <w:rPr>
          <w:lang w:val="en-US"/>
        </w:rPr>
        <w:t>–</w:t>
      </w:r>
      <w:r w:rsidRPr="00C16A02">
        <w:rPr>
          <w:lang w:val="en-US"/>
        </w:rPr>
        <w:tab/>
        <w:t>availability of a suitable power source,</w:t>
      </w:r>
    </w:p>
    <w:p w14:paraId="16D9AD7C" w14:textId="77777777" w:rsidR="0080408F" w:rsidRPr="00C16A02" w:rsidRDefault="0080408F" w:rsidP="0080408F">
      <w:pPr>
        <w:pStyle w:val="enumlev1"/>
        <w:rPr>
          <w:lang w:val="en-US"/>
        </w:rPr>
      </w:pPr>
      <w:r w:rsidRPr="00C16A02">
        <w:rPr>
          <w:lang w:val="en-US"/>
        </w:rPr>
        <w:t>–</w:t>
      </w:r>
      <w:r w:rsidRPr="00C16A02">
        <w:rPr>
          <w:lang w:val="en-US"/>
        </w:rPr>
        <w:tab/>
        <w:t>RF interference potential and containment costs,</w:t>
      </w:r>
    </w:p>
    <w:p w14:paraId="16D9AD7D" w14:textId="77777777" w:rsidR="0080408F" w:rsidRPr="00C16A02" w:rsidRDefault="0080408F" w:rsidP="0080408F">
      <w:pPr>
        <w:pStyle w:val="enumlev1"/>
        <w:rPr>
          <w:lang w:val="en-US"/>
        </w:rPr>
      </w:pPr>
      <w:r w:rsidRPr="00C16A02">
        <w:rPr>
          <w:lang w:val="en-US"/>
        </w:rPr>
        <w:t>–</w:t>
      </w:r>
      <w:r w:rsidRPr="00C16A02">
        <w:rPr>
          <w:lang w:val="en-US"/>
        </w:rPr>
        <w:tab/>
        <w:t>safety considerations,</w:t>
      </w:r>
    </w:p>
    <w:p w14:paraId="16D9AD7E" w14:textId="77777777" w:rsidR="0080408F" w:rsidRPr="00C16A02" w:rsidRDefault="0080408F" w:rsidP="0080408F">
      <w:pPr>
        <w:pStyle w:val="enumlev1"/>
        <w:rPr>
          <w:lang w:val="en-US"/>
        </w:rPr>
      </w:pPr>
      <w:r w:rsidRPr="00C16A02">
        <w:rPr>
          <w:lang w:val="en-US"/>
        </w:rPr>
        <w:t>–</w:t>
      </w:r>
      <w:r w:rsidRPr="00C16A02">
        <w:rPr>
          <w:lang w:val="en-US"/>
        </w:rPr>
        <w:tab/>
        <w:t>availability of a suitable ISM frequency, and</w:t>
      </w:r>
    </w:p>
    <w:p w14:paraId="16D9AD7F" w14:textId="77777777" w:rsidR="0080408F" w:rsidRPr="00C16A02" w:rsidRDefault="0080408F" w:rsidP="0080408F">
      <w:pPr>
        <w:pStyle w:val="enumlev1"/>
        <w:rPr>
          <w:lang w:val="en-US"/>
        </w:rPr>
      </w:pPr>
      <w:r w:rsidRPr="00C16A02">
        <w:rPr>
          <w:lang w:val="en-US"/>
        </w:rPr>
        <w:t>–</w:t>
      </w:r>
      <w:r w:rsidRPr="00C16A02">
        <w:rPr>
          <w:lang w:val="en-US"/>
        </w:rPr>
        <w:tab/>
        <w:t xml:space="preserve">frequency optimization for the particular operation. </w:t>
      </w:r>
    </w:p>
    <w:p w14:paraId="16D9AD80" w14:textId="77777777" w:rsidR="0080408F" w:rsidRPr="00C16A02" w:rsidRDefault="0080408F" w:rsidP="0080408F">
      <w:pPr>
        <w:rPr>
          <w:lang w:val="en-US"/>
        </w:rPr>
      </w:pPr>
      <w:r w:rsidRPr="00C16A02">
        <w:rPr>
          <w:lang w:val="en-US"/>
        </w:rPr>
        <w:t>A number of new applications promise significant social and economic benefits, which may not be available by any other process and also promise significant savings in energy and the environment.</w:t>
      </w:r>
    </w:p>
    <w:p w14:paraId="16D9AD81" w14:textId="77777777" w:rsidR="0080408F" w:rsidRPr="00C16A02" w:rsidRDefault="0080408F" w:rsidP="0080408F">
      <w:pPr>
        <w:rPr>
          <w:lang w:val="en-US"/>
        </w:rPr>
      </w:pPr>
      <w:r w:rsidRPr="00C16A02">
        <w:rPr>
          <w:lang w:val="en-US"/>
        </w:rPr>
        <w:t>Areas of recent investigations include:</w:t>
      </w:r>
    </w:p>
    <w:p w14:paraId="16D9AD82" w14:textId="77777777" w:rsidR="0080408F" w:rsidRPr="00C16A02" w:rsidRDefault="0080408F" w:rsidP="0080408F">
      <w:pPr>
        <w:pStyle w:val="Heading3"/>
        <w:rPr>
          <w:lang w:val="en-US"/>
        </w:rPr>
      </w:pPr>
      <w:r w:rsidRPr="00C16A02">
        <w:rPr>
          <w:lang w:val="en-US"/>
        </w:rPr>
        <w:t>2.2.1</w:t>
      </w:r>
      <w:r w:rsidRPr="00C16A02">
        <w:rPr>
          <w:lang w:val="en-US"/>
        </w:rPr>
        <w:tab/>
        <w:t>Induction heating</w:t>
      </w:r>
    </w:p>
    <w:p w14:paraId="16D9AD83" w14:textId="77777777" w:rsidR="0080408F" w:rsidRPr="00C16A02" w:rsidRDefault="0080408F" w:rsidP="0080408F">
      <w:pPr>
        <w:rPr>
          <w:lang w:val="en-US"/>
        </w:rPr>
      </w:pPr>
      <w:r w:rsidRPr="00C16A02">
        <w:rPr>
          <w:lang w:val="en-US"/>
        </w:rPr>
        <w:t>While not a new application, new high-flux induction generators are encouraging a number of applications, such as:</w:t>
      </w:r>
    </w:p>
    <w:p w14:paraId="16D9AD84" w14:textId="77777777" w:rsidR="0080408F" w:rsidRPr="00C16A02" w:rsidRDefault="0080408F" w:rsidP="0080408F">
      <w:pPr>
        <w:pStyle w:val="enumlev1"/>
        <w:rPr>
          <w:lang w:val="en-US"/>
        </w:rPr>
      </w:pPr>
      <w:r w:rsidRPr="00C16A02">
        <w:rPr>
          <w:lang w:val="en-US"/>
        </w:rPr>
        <w:t>–</w:t>
      </w:r>
      <w:r w:rsidRPr="00C16A02">
        <w:rPr>
          <w:lang w:val="en-US"/>
        </w:rPr>
        <w:tab/>
        <w:t>refining of very pure semi-conductor material,</w:t>
      </w:r>
    </w:p>
    <w:p w14:paraId="16D9AD85" w14:textId="77777777" w:rsidR="0080408F" w:rsidRPr="00C16A02" w:rsidRDefault="0080408F" w:rsidP="0080408F">
      <w:pPr>
        <w:pStyle w:val="enumlev1"/>
        <w:rPr>
          <w:lang w:val="en-US"/>
        </w:rPr>
      </w:pPr>
      <w:r w:rsidRPr="00C16A02">
        <w:rPr>
          <w:lang w:val="en-US"/>
        </w:rPr>
        <w:t>–</w:t>
      </w:r>
      <w:r w:rsidRPr="00C16A02">
        <w:rPr>
          <w:lang w:val="en-US"/>
        </w:rPr>
        <w:tab/>
        <w:t>melting of metals, particularly vacuum melting for the aerospace and automotive industries.</w:t>
      </w:r>
    </w:p>
    <w:p w14:paraId="16D9AD86" w14:textId="77777777" w:rsidR="0080408F" w:rsidRPr="00C16A02" w:rsidRDefault="0080408F" w:rsidP="0080408F">
      <w:pPr>
        <w:pStyle w:val="Heading3"/>
        <w:rPr>
          <w:lang w:val="en-US"/>
        </w:rPr>
      </w:pPr>
      <w:r w:rsidRPr="00C16A02">
        <w:rPr>
          <w:lang w:val="en-US"/>
        </w:rPr>
        <w:t>2.2.2</w:t>
      </w:r>
      <w:r w:rsidRPr="00C16A02">
        <w:rPr>
          <w:lang w:val="en-US"/>
        </w:rPr>
        <w:tab/>
        <w:t>Plasma chemistry</w:t>
      </w:r>
    </w:p>
    <w:p w14:paraId="16D9AD87" w14:textId="77777777" w:rsidR="0080408F" w:rsidRPr="00C16A02" w:rsidRDefault="0080408F" w:rsidP="0080408F">
      <w:pPr>
        <w:rPr>
          <w:lang w:val="en-US"/>
        </w:rPr>
      </w:pPr>
      <w:r w:rsidRPr="00C16A02">
        <w:rPr>
          <w:lang w:val="en-US"/>
        </w:rPr>
        <w:t>The ISM bands at 27 MHz, 915 MHz and 2</w:t>
      </w:r>
      <w:r w:rsidRPr="00C16A02">
        <w:rPr>
          <w:rFonts w:ascii="Tms Rmn" w:hAnsi="Tms Rmn"/>
          <w:sz w:val="12"/>
          <w:lang w:val="en-US"/>
        </w:rPr>
        <w:t> </w:t>
      </w:r>
      <w:r w:rsidRPr="00C16A02">
        <w:rPr>
          <w:lang w:val="en-US"/>
        </w:rPr>
        <w:t>450 MHz, as well as other frequencies are being investigated in the following plasma chemistry experiments:</w:t>
      </w:r>
    </w:p>
    <w:p w14:paraId="16D9AD88" w14:textId="77777777" w:rsidR="0080408F" w:rsidRPr="00C16A02" w:rsidRDefault="0080408F" w:rsidP="0080408F">
      <w:pPr>
        <w:pStyle w:val="enumlev1"/>
        <w:rPr>
          <w:lang w:val="en-US"/>
        </w:rPr>
      </w:pPr>
      <w:r w:rsidRPr="00C16A02">
        <w:rPr>
          <w:lang w:val="en-US"/>
        </w:rPr>
        <w:t>–</w:t>
      </w:r>
      <w:r w:rsidRPr="00C16A02">
        <w:rPr>
          <w:lang w:val="en-US"/>
        </w:rPr>
        <w:tab/>
        <w:t>diamond growing,</w:t>
      </w:r>
    </w:p>
    <w:p w14:paraId="16D9AD89" w14:textId="77777777" w:rsidR="0080408F" w:rsidRPr="00C16A02" w:rsidRDefault="0080408F" w:rsidP="0080408F">
      <w:pPr>
        <w:pStyle w:val="enumlev1"/>
        <w:rPr>
          <w:lang w:val="en-US"/>
        </w:rPr>
      </w:pPr>
      <w:r w:rsidRPr="00C16A02">
        <w:rPr>
          <w:lang w:val="en-US"/>
        </w:rPr>
        <w:t>–</w:t>
      </w:r>
      <w:r w:rsidRPr="00C16A02">
        <w:rPr>
          <w:lang w:val="en-US"/>
        </w:rPr>
        <w:tab/>
        <w:t>ceramic processing and sintering,</w:t>
      </w:r>
    </w:p>
    <w:p w14:paraId="16D9AD8A" w14:textId="77777777" w:rsidR="0080408F" w:rsidRPr="00C16A02" w:rsidRDefault="0080408F" w:rsidP="0080408F">
      <w:pPr>
        <w:pStyle w:val="enumlev1"/>
        <w:rPr>
          <w:lang w:val="en-US"/>
        </w:rPr>
      </w:pPr>
      <w:r w:rsidRPr="00C16A02">
        <w:rPr>
          <w:lang w:val="en-US"/>
        </w:rPr>
        <w:t>–</w:t>
      </w:r>
      <w:r w:rsidRPr="00C16A02">
        <w:rPr>
          <w:lang w:val="en-US"/>
        </w:rPr>
        <w:tab/>
        <w:t>raw material processing.</w:t>
      </w:r>
    </w:p>
    <w:p w14:paraId="16D9AD8B" w14:textId="77777777" w:rsidR="0080408F" w:rsidRPr="00C16A02" w:rsidRDefault="0080408F" w:rsidP="0080408F">
      <w:pPr>
        <w:pStyle w:val="Heading3"/>
        <w:rPr>
          <w:lang w:val="en-US"/>
        </w:rPr>
      </w:pPr>
      <w:r w:rsidRPr="00C16A02">
        <w:rPr>
          <w:lang w:val="en-US"/>
        </w:rPr>
        <w:t>2.2.3</w:t>
      </w:r>
      <w:r w:rsidRPr="00C16A02">
        <w:rPr>
          <w:lang w:val="en-US"/>
        </w:rPr>
        <w:tab/>
        <w:t>Medical treatment</w:t>
      </w:r>
    </w:p>
    <w:p w14:paraId="16D9AD8C" w14:textId="77777777" w:rsidR="0080408F" w:rsidRPr="00C16A02" w:rsidRDefault="0080408F" w:rsidP="0080408F">
      <w:pPr>
        <w:rPr>
          <w:lang w:val="en-US"/>
        </w:rPr>
      </w:pPr>
      <w:r w:rsidRPr="00C16A02">
        <w:rPr>
          <w:lang w:val="en-US"/>
        </w:rPr>
        <w:t>Some recent investigations include:</w:t>
      </w:r>
    </w:p>
    <w:p w14:paraId="16D9AD8D" w14:textId="77777777" w:rsidR="0080408F" w:rsidRPr="00C16A02" w:rsidRDefault="0080408F" w:rsidP="0080408F">
      <w:pPr>
        <w:pStyle w:val="enumlev1"/>
        <w:rPr>
          <w:lang w:val="en-US"/>
        </w:rPr>
      </w:pPr>
      <w:r w:rsidRPr="00C16A02">
        <w:rPr>
          <w:lang w:val="en-US"/>
        </w:rPr>
        <w:t>–</w:t>
      </w:r>
      <w:r w:rsidRPr="00C16A02">
        <w:rPr>
          <w:lang w:val="en-US"/>
        </w:rPr>
        <w:tab/>
        <w:t>acceleration of chemical analysis using 2</w:t>
      </w:r>
      <w:r w:rsidRPr="00C16A02">
        <w:rPr>
          <w:rFonts w:ascii="Tms Rmn" w:hAnsi="Tms Rmn"/>
          <w:sz w:val="12"/>
          <w:lang w:val="en-US"/>
        </w:rPr>
        <w:t> </w:t>
      </w:r>
      <w:r w:rsidRPr="00C16A02">
        <w:rPr>
          <w:lang w:val="en-US"/>
        </w:rPr>
        <w:t>450 MHz,</w:t>
      </w:r>
    </w:p>
    <w:p w14:paraId="16D9AD8E" w14:textId="77777777" w:rsidR="0080408F" w:rsidRPr="00C16A02" w:rsidRDefault="0080408F" w:rsidP="0080408F">
      <w:pPr>
        <w:pStyle w:val="enumlev1"/>
        <w:rPr>
          <w:lang w:val="en-US"/>
        </w:rPr>
      </w:pPr>
      <w:r w:rsidRPr="00C16A02">
        <w:rPr>
          <w:lang w:val="en-US"/>
        </w:rPr>
        <w:t>–</w:t>
      </w:r>
      <w:r w:rsidRPr="00C16A02">
        <w:rPr>
          <w:lang w:val="en-US"/>
        </w:rPr>
        <w:tab/>
        <w:t>local radiation treatment for cancer on frequencies below 400 MHz (hyperthermia),</w:t>
      </w:r>
    </w:p>
    <w:p w14:paraId="16D9AD8F" w14:textId="77777777" w:rsidR="0080408F" w:rsidRPr="00C16A02" w:rsidRDefault="0080408F" w:rsidP="0080408F">
      <w:pPr>
        <w:pStyle w:val="enumlev1"/>
        <w:rPr>
          <w:lang w:val="en-US"/>
        </w:rPr>
      </w:pPr>
      <w:r w:rsidRPr="00C16A02">
        <w:rPr>
          <w:lang w:val="en-US"/>
        </w:rPr>
        <w:t>–</w:t>
      </w:r>
      <w:r w:rsidRPr="00C16A02">
        <w:rPr>
          <w:lang w:val="en-US"/>
        </w:rPr>
        <w:tab/>
        <w:t>tissue fixation,</w:t>
      </w:r>
    </w:p>
    <w:p w14:paraId="16D9AD90" w14:textId="77777777" w:rsidR="0080408F" w:rsidRPr="00C16A02" w:rsidRDefault="0080408F" w:rsidP="0080408F">
      <w:pPr>
        <w:pStyle w:val="enumlev1"/>
        <w:rPr>
          <w:lang w:val="en-US"/>
        </w:rPr>
      </w:pPr>
      <w:r w:rsidRPr="00C16A02">
        <w:rPr>
          <w:lang w:val="en-US"/>
        </w:rPr>
        <w:t>–</w:t>
      </w:r>
      <w:r w:rsidRPr="00C16A02">
        <w:rPr>
          <w:lang w:val="en-US"/>
        </w:rPr>
        <w:tab/>
        <w:t>magnetic resonance imaging using 10 to 100 MHz in specially shielded rooms,</w:t>
      </w:r>
    </w:p>
    <w:p w14:paraId="16D9AD91" w14:textId="77777777" w:rsidR="0080408F" w:rsidRPr="00C16A02" w:rsidRDefault="0080408F" w:rsidP="0080408F">
      <w:pPr>
        <w:pStyle w:val="enumlev1"/>
        <w:rPr>
          <w:lang w:val="en-US"/>
        </w:rPr>
      </w:pPr>
      <w:r w:rsidRPr="00C16A02">
        <w:rPr>
          <w:lang w:val="en-US"/>
        </w:rPr>
        <w:t>–</w:t>
      </w:r>
      <w:r w:rsidRPr="00C16A02">
        <w:rPr>
          <w:lang w:val="en-US"/>
        </w:rPr>
        <w:tab/>
        <w:t>treatment of hyperthermia.</w:t>
      </w:r>
    </w:p>
    <w:p w14:paraId="16D9AD92" w14:textId="77777777" w:rsidR="0080408F" w:rsidRPr="00C16A02" w:rsidRDefault="0080408F" w:rsidP="0080408F">
      <w:pPr>
        <w:pStyle w:val="Heading3"/>
        <w:rPr>
          <w:lang w:val="en-US"/>
        </w:rPr>
      </w:pPr>
      <w:r w:rsidRPr="00C16A02">
        <w:rPr>
          <w:lang w:val="en-US"/>
        </w:rPr>
        <w:t>2.2.4</w:t>
      </w:r>
      <w:r w:rsidRPr="00C16A02">
        <w:rPr>
          <w:lang w:val="en-US"/>
        </w:rPr>
        <w:tab/>
        <w:t>Material and food processing</w:t>
      </w:r>
    </w:p>
    <w:p w14:paraId="16D9AD93" w14:textId="77777777" w:rsidR="0080408F" w:rsidRPr="00C16A02" w:rsidRDefault="0080408F" w:rsidP="0080408F">
      <w:pPr>
        <w:pStyle w:val="enumlev1"/>
        <w:rPr>
          <w:lang w:val="en-US"/>
        </w:rPr>
      </w:pPr>
      <w:r w:rsidRPr="00C16A02">
        <w:rPr>
          <w:lang w:val="en-US"/>
        </w:rPr>
        <w:t>–</w:t>
      </w:r>
      <w:r w:rsidRPr="00C16A02">
        <w:rPr>
          <w:lang w:val="en-US"/>
        </w:rPr>
        <w:tab/>
        <w:t>environment space heating using 5</w:t>
      </w:r>
      <w:r w:rsidRPr="00C16A02">
        <w:rPr>
          <w:rFonts w:ascii="Tms Rmn" w:hAnsi="Tms Rmn"/>
          <w:sz w:val="12"/>
          <w:lang w:val="en-US"/>
        </w:rPr>
        <w:t> </w:t>
      </w:r>
      <w:r w:rsidRPr="00C16A02">
        <w:rPr>
          <w:lang w:val="en-US"/>
        </w:rPr>
        <w:t>800 MHz,</w:t>
      </w:r>
    </w:p>
    <w:p w14:paraId="16D9AD94" w14:textId="77777777" w:rsidR="0080408F" w:rsidRPr="00C16A02" w:rsidRDefault="0080408F" w:rsidP="0080408F">
      <w:pPr>
        <w:pStyle w:val="enumlev1"/>
        <w:rPr>
          <w:lang w:val="en-US"/>
        </w:rPr>
      </w:pPr>
      <w:r w:rsidRPr="00C16A02">
        <w:rPr>
          <w:lang w:val="en-US"/>
        </w:rPr>
        <w:t>–</w:t>
      </w:r>
      <w:r w:rsidRPr="00C16A02">
        <w:rPr>
          <w:lang w:val="en-US"/>
        </w:rPr>
        <w:tab/>
        <w:t>recovery of oil from shale using frequencies below 10 MHz,</w:t>
      </w:r>
    </w:p>
    <w:p w14:paraId="16D9AD95" w14:textId="77777777" w:rsidR="0080408F" w:rsidRPr="00C16A02" w:rsidRDefault="0080408F" w:rsidP="0080408F">
      <w:pPr>
        <w:pStyle w:val="enumlev1"/>
        <w:rPr>
          <w:lang w:val="en-US"/>
        </w:rPr>
      </w:pPr>
      <w:r w:rsidRPr="00C16A02">
        <w:rPr>
          <w:lang w:val="en-US"/>
        </w:rPr>
        <w:t>–</w:t>
      </w:r>
      <w:r w:rsidRPr="00C16A02">
        <w:rPr>
          <w:lang w:val="en-US"/>
        </w:rPr>
        <w:tab/>
        <w:t>disposal of hazardous waste using microwave frequencies like 2</w:t>
      </w:r>
      <w:r w:rsidRPr="00C16A02">
        <w:rPr>
          <w:rFonts w:ascii="Tms Rmn" w:hAnsi="Tms Rmn"/>
          <w:sz w:val="12"/>
          <w:lang w:val="en-US"/>
        </w:rPr>
        <w:t> </w:t>
      </w:r>
      <w:r w:rsidRPr="00C16A02">
        <w:rPr>
          <w:lang w:val="en-US"/>
        </w:rPr>
        <w:t>450 MHz,</w:t>
      </w:r>
    </w:p>
    <w:p w14:paraId="16D9AD96" w14:textId="77777777" w:rsidR="0080408F" w:rsidRPr="00C16A02" w:rsidRDefault="0080408F" w:rsidP="0080408F">
      <w:pPr>
        <w:pStyle w:val="enumlev1"/>
        <w:rPr>
          <w:lang w:val="en-US"/>
        </w:rPr>
      </w:pPr>
      <w:r w:rsidRPr="00C16A02">
        <w:rPr>
          <w:lang w:val="en-US"/>
        </w:rPr>
        <w:t>–</w:t>
      </w:r>
      <w:r w:rsidRPr="00C16A02">
        <w:rPr>
          <w:lang w:val="en-US"/>
        </w:rPr>
        <w:tab/>
        <w:t>bulk thawing and cooking at 915 MHz, 2</w:t>
      </w:r>
      <w:r w:rsidRPr="00C16A02">
        <w:rPr>
          <w:rFonts w:ascii="Tms Rmn" w:hAnsi="Tms Rmn"/>
          <w:sz w:val="12"/>
          <w:lang w:val="en-US"/>
        </w:rPr>
        <w:t> </w:t>
      </w:r>
      <w:r w:rsidRPr="00C16A02">
        <w:rPr>
          <w:lang w:val="en-US"/>
        </w:rPr>
        <w:t>450 MHz and 5</w:t>
      </w:r>
      <w:r w:rsidRPr="00C16A02">
        <w:rPr>
          <w:rFonts w:ascii="Tms Rmn" w:hAnsi="Tms Rmn"/>
          <w:sz w:val="12"/>
          <w:lang w:val="en-US"/>
        </w:rPr>
        <w:t> </w:t>
      </w:r>
      <w:r w:rsidRPr="00C16A02">
        <w:rPr>
          <w:lang w:val="en-US"/>
        </w:rPr>
        <w:t>800 MHz,</w:t>
      </w:r>
    </w:p>
    <w:p w14:paraId="16D9AD97" w14:textId="77777777" w:rsidR="0080408F" w:rsidRPr="00C16A02" w:rsidRDefault="0080408F" w:rsidP="0080408F">
      <w:pPr>
        <w:pStyle w:val="enumlev1"/>
        <w:rPr>
          <w:lang w:val="en-US"/>
        </w:rPr>
      </w:pPr>
      <w:r w:rsidRPr="00C16A02">
        <w:rPr>
          <w:lang w:val="en-US"/>
        </w:rPr>
        <w:t>–</w:t>
      </w:r>
      <w:r w:rsidRPr="00C16A02">
        <w:rPr>
          <w:lang w:val="en-US"/>
        </w:rPr>
        <w:tab/>
        <w:t>clothes drying at 2</w:t>
      </w:r>
      <w:r w:rsidRPr="00C16A02">
        <w:rPr>
          <w:rFonts w:ascii="Tms Rmn" w:hAnsi="Tms Rmn"/>
          <w:sz w:val="12"/>
          <w:lang w:val="en-US"/>
        </w:rPr>
        <w:t> </w:t>
      </w:r>
      <w:r w:rsidRPr="00C16A02">
        <w:rPr>
          <w:lang w:val="en-US"/>
        </w:rPr>
        <w:t>450 MHz,</w:t>
      </w:r>
    </w:p>
    <w:p w14:paraId="16D9AD98" w14:textId="77777777" w:rsidR="0080408F" w:rsidRPr="00C16A02" w:rsidRDefault="0080408F" w:rsidP="0080408F">
      <w:pPr>
        <w:pStyle w:val="enumlev1"/>
        <w:rPr>
          <w:lang w:val="en-US"/>
        </w:rPr>
      </w:pPr>
      <w:r w:rsidRPr="00C16A02">
        <w:rPr>
          <w:lang w:val="en-US"/>
        </w:rPr>
        <w:t>–</w:t>
      </w:r>
      <w:r w:rsidRPr="00C16A02">
        <w:rPr>
          <w:lang w:val="en-US"/>
        </w:rPr>
        <w:tab/>
        <w:t>soil remediation,</w:t>
      </w:r>
    </w:p>
    <w:p w14:paraId="16D9AD99" w14:textId="77777777" w:rsidR="0080408F" w:rsidRPr="00C16A02" w:rsidRDefault="0080408F" w:rsidP="0080408F">
      <w:pPr>
        <w:pStyle w:val="enumlev1"/>
        <w:rPr>
          <w:lang w:val="en-US"/>
        </w:rPr>
      </w:pPr>
      <w:r w:rsidRPr="00C16A02">
        <w:rPr>
          <w:lang w:val="en-US"/>
        </w:rPr>
        <w:t>–</w:t>
      </w:r>
      <w:r w:rsidRPr="00C16A02">
        <w:rPr>
          <w:lang w:val="en-US"/>
        </w:rPr>
        <w:tab/>
        <w:t>medical waste sterilization,</w:t>
      </w:r>
    </w:p>
    <w:p w14:paraId="16D9AD9A" w14:textId="77777777" w:rsidR="0080408F" w:rsidRPr="00C16A02" w:rsidRDefault="0080408F" w:rsidP="0080408F">
      <w:pPr>
        <w:pStyle w:val="enumlev1"/>
        <w:rPr>
          <w:lang w:val="en-US"/>
        </w:rPr>
      </w:pPr>
      <w:r w:rsidRPr="00C16A02">
        <w:rPr>
          <w:lang w:val="en-US"/>
        </w:rPr>
        <w:lastRenderedPageBreak/>
        <w:t>–</w:t>
      </w:r>
      <w:r w:rsidRPr="00C16A02">
        <w:rPr>
          <w:lang w:val="en-US"/>
        </w:rPr>
        <w:tab/>
        <w:t>pasteurization and sterilization of foods,</w:t>
      </w:r>
    </w:p>
    <w:p w14:paraId="16D9AD9B" w14:textId="77777777" w:rsidR="0080408F" w:rsidRPr="00C16A02" w:rsidRDefault="0080408F" w:rsidP="0080408F">
      <w:pPr>
        <w:pStyle w:val="enumlev1"/>
        <w:rPr>
          <w:lang w:val="en-US"/>
        </w:rPr>
      </w:pPr>
      <w:r w:rsidRPr="00C16A02">
        <w:rPr>
          <w:lang w:val="en-US"/>
        </w:rPr>
        <w:t>–</w:t>
      </w:r>
      <w:r w:rsidRPr="00C16A02">
        <w:rPr>
          <w:lang w:val="en-US"/>
        </w:rPr>
        <w:tab/>
        <w:t>treatment of refuse (13.56 MHz and 2</w:t>
      </w:r>
      <w:r w:rsidRPr="00C16A02">
        <w:rPr>
          <w:rFonts w:ascii="Tms Rmn" w:hAnsi="Tms Rmn"/>
          <w:sz w:val="12"/>
          <w:lang w:val="en-US"/>
        </w:rPr>
        <w:t> </w:t>
      </w:r>
      <w:r w:rsidRPr="00C16A02">
        <w:rPr>
          <w:lang w:val="en-US"/>
        </w:rPr>
        <w:t>450 MHz).</w:t>
      </w:r>
    </w:p>
    <w:p w14:paraId="16D9AD9C" w14:textId="77777777" w:rsidR="0080408F" w:rsidRPr="00C16A02" w:rsidRDefault="0080408F" w:rsidP="0080408F">
      <w:pPr>
        <w:pStyle w:val="Heading3"/>
        <w:rPr>
          <w:lang w:val="en-US"/>
        </w:rPr>
      </w:pPr>
      <w:r w:rsidRPr="00C16A02">
        <w:rPr>
          <w:lang w:val="en-US"/>
        </w:rPr>
        <w:t>2.2.5</w:t>
      </w:r>
      <w:r w:rsidRPr="00C16A02">
        <w:rPr>
          <w:lang w:val="en-US"/>
        </w:rPr>
        <w:tab/>
        <w:t>Power transfer</w:t>
      </w:r>
    </w:p>
    <w:p w14:paraId="16D9AD9D" w14:textId="77777777" w:rsidR="0080408F" w:rsidRPr="00C16A02" w:rsidRDefault="0080408F" w:rsidP="0080408F">
      <w:pPr>
        <w:rPr>
          <w:lang w:val="en-US"/>
        </w:rPr>
      </w:pPr>
      <w:r w:rsidRPr="00C16A02">
        <w:rPr>
          <w:lang w:val="en-US"/>
        </w:rPr>
        <w:t>Most experiments on transfer of energy have occurred at microwave frequencies, e.g., 2</w:t>
      </w:r>
      <w:r w:rsidRPr="00C16A02">
        <w:rPr>
          <w:rFonts w:ascii="Tms Rmn" w:hAnsi="Tms Rmn"/>
          <w:sz w:val="12"/>
          <w:lang w:val="en-US"/>
        </w:rPr>
        <w:t> </w:t>
      </w:r>
      <w:r w:rsidRPr="00C16A02">
        <w:rPr>
          <w:lang w:val="en-US"/>
        </w:rPr>
        <w:t>450</w:t>
      </w:r>
      <w:r>
        <w:rPr>
          <w:lang w:val="en-US"/>
        </w:rPr>
        <w:t> </w:t>
      </w:r>
      <w:r w:rsidRPr="00C16A02">
        <w:rPr>
          <w:lang w:val="en-US"/>
        </w:rPr>
        <w:t>MHz, 5</w:t>
      </w:r>
      <w:r w:rsidRPr="00C16A02">
        <w:rPr>
          <w:rFonts w:ascii="Tms Rmn" w:hAnsi="Tms Rmn"/>
          <w:sz w:val="12"/>
          <w:lang w:val="en-US"/>
        </w:rPr>
        <w:t> </w:t>
      </w:r>
      <w:r w:rsidRPr="00C16A02">
        <w:rPr>
          <w:lang w:val="en-US"/>
        </w:rPr>
        <w:t>800 MHz and higher.</w:t>
      </w:r>
    </w:p>
    <w:p w14:paraId="16D9AD9E" w14:textId="77777777" w:rsidR="0080408F" w:rsidRPr="00C16A02" w:rsidRDefault="0080408F" w:rsidP="0080408F">
      <w:pPr>
        <w:pStyle w:val="enumlev1"/>
        <w:rPr>
          <w:lang w:val="en-US"/>
        </w:rPr>
      </w:pPr>
      <w:r w:rsidRPr="00C16A02">
        <w:rPr>
          <w:lang w:val="en-US"/>
        </w:rPr>
        <w:t>–</w:t>
      </w:r>
      <w:r w:rsidRPr="00C16A02">
        <w:rPr>
          <w:lang w:val="en-US"/>
        </w:rPr>
        <w:tab/>
        <w:t>Solar power satellite experiments are continuing at 2</w:t>
      </w:r>
      <w:r w:rsidRPr="00C16A02">
        <w:rPr>
          <w:rFonts w:ascii="Tms Rmn" w:hAnsi="Tms Rmn"/>
          <w:sz w:val="12"/>
          <w:lang w:val="en-US"/>
        </w:rPr>
        <w:t> </w:t>
      </w:r>
      <w:r w:rsidRPr="00C16A02">
        <w:rPr>
          <w:lang w:val="en-US"/>
        </w:rPr>
        <w:t>450 MHz and 35 GHz;</w:t>
      </w:r>
    </w:p>
    <w:p w14:paraId="16D9AD9F" w14:textId="77777777" w:rsidR="0080408F" w:rsidRPr="00C16A02" w:rsidRDefault="0080408F" w:rsidP="0080408F">
      <w:pPr>
        <w:pStyle w:val="enumlev1"/>
        <w:rPr>
          <w:lang w:val="en-US"/>
        </w:rPr>
      </w:pPr>
      <w:r w:rsidRPr="00C16A02">
        <w:rPr>
          <w:lang w:val="en-US"/>
        </w:rPr>
        <w:t>–</w:t>
      </w:r>
      <w:r w:rsidRPr="00C16A02">
        <w:rPr>
          <w:lang w:val="en-US"/>
        </w:rPr>
        <w:tab/>
        <w:t>transfer of power to an aircraft at 2</w:t>
      </w:r>
      <w:r w:rsidRPr="00C16A02">
        <w:rPr>
          <w:rFonts w:ascii="Tms Rmn" w:hAnsi="Tms Rmn"/>
          <w:sz w:val="12"/>
          <w:lang w:val="en-US"/>
        </w:rPr>
        <w:t> </w:t>
      </w:r>
      <w:r w:rsidRPr="00C16A02">
        <w:rPr>
          <w:lang w:val="en-US"/>
        </w:rPr>
        <w:t>450 MHz;</w:t>
      </w:r>
    </w:p>
    <w:p w14:paraId="16D9ADA0" w14:textId="77777777" w:rsidR="0080408F" w:rsidRPr="00C16A02" w:rsidRDefault="0080408F" w:rsidP="0080408F">
      <w:pPr>
        <w:pStyle w:val="enumlev1"/>
        <w:rPr>
          <w:lang w:val="en-US"/>
        </w:rPr>
      </w:pPr>
      <w:r w:rsidRPr="00C16A02">
        <w:rPr>
          <w:lang w:val="en-US"/>
        </w:rPr>
        <w:t>–</w:t>
      </w:r>
      <w:r w:rsidRPr="00C16A02">
        <w:rPr>
          <w:lang w:val="en-US"/>
        </w:rPr>
        <w:tab/>
        <w:t>electrified roadway – a number of energy transfer stations embedded in the roadway to recharge electrically powered vehicles passing overhead (915 MHz and 2</w:t>
      </w:r>
      <w:r w:rsidRPr="00C16A02">
        <w:rPr>
          <w:rFonts w:ascii="Tms Rmn" w:hAnsi="Tms Rmn"/>
          <w:sz w:val="12"/>
          <w:lang w:val="en-US"/>
        </w:rPr>
        <w:t> </w:t>
      </w:r>
      <w:r w:rsidRPr="00C16A02">
        <w:rPr>
          <w:lang w:val="en-US"/>
        </w:rPr>
        <w:t>450 MHz);</w:t>
      </w:r>
    </w:p>
    <w:p w14:paraId="16D9ADA1" w14:textId="77777777" w:rsidR="0080408F" w:rsidRPr="00C16A02" w:rsidRDefault="0080408F" w:rsidP="0080408F">
      <w:pPr>
        <w:pStyle w:val="enumlev1"/>
        <w:rPr>
          <w:lang w:val="en-US"/>
        </w:rPr>
      </w:pPr>
      <w:r w:rsidRPr="00C16A02">
        <w:rPr>
          <w:lang w:val="en-US"/>
        </w:rPr>
        <w:t>–</w:t>
      </w:r>
      <w:r w:rsidRPr="00C16A02">
        <w:rPr>
          <w:lang w:val="en-US"/>
        </w:rPr>
        <w:tab/>
        <w:t xml:space="preserve">electromagnetic (EM) propulsion systems below 1 </w:t>
      </w:r>
      <w:proofErr w:type="spellStart"/>
      <w:r w:rsidRPr="00C16A02">
        <w:rPr>
          <w:lang w:val="en-US"/>
        </w:rPr>
        <w:t>MHz.</w:t>
      </w:r>
      <w:proofErr w:type="spellEnd"/>
    </w:p>
    <w:p w14:paraId="16D9ADA2" w14:textId="77777777" w:rsidR="0080408F" w:rsidRPr="00C16A02" w:rsidRDefault="0080408F" w:rsidP="0080408F">
      <w:pPr>
        <w:pStyle w:val="Heading1"/>
        <w:rPr>
          <w:lang w:val="en-US"/>
        </w:rPr>
      </w:pPr>
      <w:bookmarkStart w:id="5" w:name="_Toc138236214"/>
      <w:r w:rsidRPr="00C16A02">
        <w:rPr>
          <w:lang w:val="en-US"/>
        </w:rPr>
        <w:t>3</w:t>
      </w:r>
      <w:r w:rsidRPr="00C16A02">
        <w:rPr>
          <w:lang w:val="en-US"/>
        </w:rPr>
        <w:tab/>
        <w:t>Radiation levels inside the bands designated for ISM applications</w:t>
      </w:r>
      <w:bookmarkEnd w:id="5"/>
    </w:p>
    <w:p w14:paraId="16D9ADA3" w14:textId="77777777" w:rsidR="0080408F" w:rsidRPr="00C16A02" w:rsidRDefault="0080408F" w:rsidP="0080408F">
      <w:pPr>
        <w:pStyle w:val="Heading2"/>
        <w:rPr>
          <w:lang w:val="en-US"/>
        </w:rPr>
      </w:pPr>
      <w:bookmarkStart w:id="6" w:name="_Toc138236215"/>
      <w:r w:rsidRPr="00C16A02">
        <w:rPr>
          <w:lang w:val="en-US"/>
        </w:rPr>
        <w:t>3.1</w:t>
      </w:r>
      <w:r w:rsidRPr="00C16A02">
        <w:rPr>
          <w:lang w:val="en-US"/>
        </w:rPr>
        <w:tab/>
        <w:t>Rationale</w:t>
      </w:r>
      <w:bookmarkEnd w:id="6"/>
    </w:p>
    <w:p w14:paraId="16D9ADA4" w14:textId="77777777" w:rsidR="0080408F" w:rsidRPr="00C16A02" w:rsidRDefault="0080408F" w:rsidP="0080408F">
      <w:pPr>
        <w:pStyle w:val="enumlev1"/>
        <w:rPr>
          <w:lang w:val="en-US"/>
        </w:rPr>
      </w:pPr>
      <w:r w:rsidRPr="00C16A02">
        <w:rPr>
          <w:lang w:val="en-US"/>
        </w:rPr>
        <w:t>There are at least five reasons for setting in-band limits for ISM equipment, which are:</w:t>
      </w:r>
    </w:p>
    <w:p w14:paraId="16D9ADA5" w14:textId="77777777" w:rsidR="0080408F" w:rsidRPr="00C16A02" w:rsidRDefault="0080408F" w:rsidP="0080408F">
      <w:pPr>
        <w:pStyle w:val="enumlev1"/>
        <w:rPr>
          <w:lang w:val="en-US"/>
        </w:rPr>
      </w:pPr>
      <w:r w:rsidRPr="00C16A02">
        <w:rPr>
          <w:lang w:val="en-US"/>
        </w:rPr>
        <w:t>–</w:t>
      </w:r>
      <w:r w:rsidRPr="00C16A02">
        <w:rPr>
          <w:lang w:val="en-US"/>
        </w:rPr>
        <w:tab/>
        <w:t>to control bio-effects;</w:t>
      </w:r>
    </w:p>
    <w:p w14:paraId="16D9ADA6" w14:textId="77777777" w:rsidR="0080408F" w:rsidRPr="00C16A02" w:rsidRDefault="0080408F" w:rsidP="0080408F">
      <w:pPr>
        <w:pStyle w:val="enumlev1"/>
        <w:rPr>
          <w:lang w:val="en-US"/>
        </w:rPr>
      </w:pPr>
      <w:r w:rsidRPr="00C16A02">
        <w:rPr>
          <w:lang w:val="en-US"/>
        </w:rPr>
        <w:t>–</w:t>
      </w:r>
      <w:r w:rsidRPr="00C16A02">
        <w:rPr>
          <w:lang w:val="en-US"/>
        </w:rPr>
        <w:tab/>
        <w:t>to minimize out-of-band emissions for the protection of radio services;</w:t>
      </w:r>
    </w:p>
    <w:p w14:paraId="16D9ADA7" w14:textId="77777777" w:rsidR="0080408F" w:rsidRPr="00C16A02" w:rsidRDefault="0080408F" w:rsidP="0080408F">
      <w:pPr>
        <w:pStyle w:val="enumlev1"/>
        <w:rPr>
          <w:lang w:val="en-US"/>
        </w:rPr>
      </w:pPr>
      <w:r w:rsidRPr="00C16A02">
        <w:rPr>
          <w:lang w:val="en-US"/>
        </w:rPr>
        <w:t>–</w:t>
      </w:r>
      <w:r w:rsidRPr="00C16A02">
        <w:rPr>
          <w:lang w:val="en-US"/>
        </w:rPr>
        <w:tab/>
        <w:t>to minimize in-band emissions for the protection of radio services operating in the ISM bands;</w:t>
      </w:r>
    </w:p>
    <w:p w14:paraId="16D9ADA8" w14:textId="77777777" w:rsidR="0080408F" w:rsidRPr="00C16A02" w:rsidRDefault="0080408F" w:rsidP="0080408F">
      <w:pPr>
        <w:pStyle w:val="enumlev1"/>
        <w:rPr>
          <w:lang w:val="en-US"/>
        </w:rPr>
      </w:pPr>
      <w:r w:rsidRPr="00C16A02">
        <w:rPr>
          <w:lang w:val="en-US"/>
        </w:rPr>
        <w:t>–</w:t>
      </w:r>
      <w:r w:rsidRPr="00C16A02">
        <w:rPr>
          <w:lang w:val="en-US"/>
        </w:rPr>
        <w:tab/>
        <w:t>to minimize radio emissions for the protection of adjacent band radio services;</w:t>
      </w:r>
    </w:p>
    <w:p w14:paraId="16D9ADA9" w14:textId="77777777" w:rsidR="0080408F" w:rsidRPr="00C16A02" w:rsidRDefault="0080408F" w:rsidP="0080408F">
      <w:pPr>
        <w:pStyle w:val="enumlev1"/>
        <w:rPr>
          <w:lang w:val="en-US"/>
        </w:rPr>
      </w:pPr>
      <w:r w:rsidRPr="00C16A02">
        <w:rPr>
          <w:lang w:val="en-US"/>
        </w:rPr>
        <w:t>–</w:t>
      </w:r>
      <w:r w:rsidRPr="00C16A02">
        <w:rPr>
          <w:lang w:val="en-US"/>
        </w:rPr>
        <w:tab/>
        <w:t>to minimize radio emissions to protect electronic or radio services operated in the immediate vicinity of ISM equipment.</w:t>
      </w:r>
    </w:p>
    <w:p w14:paraId="16D9ADAA" w14:textId="77777777" w:rsidR="0080408F" w:rsidRPr="00C16A02" w:rsidRDefault="0080408F" w:rsidP="0080408F">
      <w:pPr>
        <w:rPr>
          <w:lang w:val="en-US"/>
        </w:rPr>
      </w:pPr>
      <w:r w:rsidRPr="00C16A02">
        <w:rPr>
          <w:lang w:val="en-US"/>
        </w:rPr>
        <w:t>The limits and methods of measurement and methods employed for bio-effects compliance are outside the scope of the ITU and the CISPR and therefore bio-effect could not be used for setting in-band limits. However, it has been observed that, in many cases, compliance with the biological effects limits has not substantially reduced radiation levels at CISPR measuring distances.</w:t>
      </w:r>
    </w:p>
    <w:p w14:paraId="16D9ADAB" w14:textId="77777777" w:rsidR="0080408F" w:rsidRPr="00C16A02" w:rsidRDefault="0080408F" w:rsidP="0080408F">
      <w:pPr>
        <w:rPr>
          <w:lang w:val="en-US"/>
        </w:rPr>
      </w:pPr>
      <w:r w:rsidRPr="00C16A02">
        <w:rPr>
          <w:lang w:val="en-US"/>
        </w:rPr>
        <w:t>It should be noted reducing in-band radiation does not necessarily reduce out-of-band radiation, and that the out-of-band radiation can increase through suppression of in-band signals.</w:t>
      </w:r>
    </w:p>
    <w:p w14:paraId="16D9ADAC" w14:textId="77777777" w:rsidR="0080408F" w:rsidRPr="00C16A02" w:rsidRDefault="0080408F" w:rsidP="0080408F">
      <w:pPr>
        <w:rPr>
          <w:lang w:val="en-US"/>
        </w:rPr>
      </w:pPr>
      <w:r w:rsidRPr="00C16A02">
        <w:rPr>
          <w:lang w:val="en-US"/>
        </w:rPr>
        <w:t>In-band limits to protect in-band radio services have not been considered be</w:t>
      </w:r>
      <w:r w:rsidRPr="00C16A02">
        <w:rPr>
          <w:lang w:val="en-US"/>
        </w:rPr>
        <w:softHyphen/>
        <w:t>cause the services to be protected have not been specified. Furthermore, the setting of restrictive limits will decrease the usefulness of the ISM bands for industrial purposes. The result of this would be to encourage the use of ISM equipment in frequency ranges more suitable to their processes, but detrimental to radio services.</w:t>
      </w:r>
    </w:p>
    <w:p w14:paraId="16D9ADAD" w14:textId="77777777" w:rsidR="0080408F" w:rsidRPr="00C16A02" w:rsidRDefault="0080408F" w:rsidP="0080408F">
      <w:pPr>
        <w:rPr>
          <w:lang w:val="en-US"/>
        </w:rPr>
      </w:pPr>
      <w:r w:rsidRPr="00C16A02">
        <w:rPr>
          <w:lang w:val="en-US"/>
        </w:rPr>
        <w:t>The use of in-band limits to protect radio services adjacent to the ISM bands or to protect electronic or radio equipment in the vicinity of ISM operations is more properly dealt with as an equipment immunity issue. Therefore, this is best resolved by ensuring necessary distance separation or by incorporating adequate immunity characteristics in potential victim equipment. However, the calculation and realization of immunity is practical only if the field strengths to be encountered in practice are known. For this reason, the following table of measured levels of radiation based on measurements in a number of different countries is supplied.</w:t>
      </w:r>
    </w:p>
    <w:p w14:paraId="16D9ADAE" w14:textId="77777777" w:rsidR="0080408F" w:rsidRPr="00C16A02" w:rsidRDefault="0080408F" w:rsidP="0080408F">
      <w:pPr>
        <w:pStyle w:val="Heading2"/>
        <w:rPr>
          <w:lang w:val="en-US"/>
        </w:rPr>
      </w:pPr>
      <w:bookmarkStart w:id="7" w:name="_Toc138236216"/>
      <w:r w:rsidRPr="00C16A02">
        <w:rPr>
          <w:lang w:val="en-US"/>
        </w:rPr>
        <w:lastRenderedPageBreak/>
        <w:t>3.2</w:t>
      </w:r>
      <w:r w:rsidRPr="00C16A02">
        <w:rPr>
          <w:lang w:val="en-US"/>
        </w:rPr>
        <w:tab/>
        <w:t>ITU designated ISM bands and measured levels</w:t>
      </w:r>
      <w:bookmarkEnd w:id="7"/>
      <w:r w:rsidRPr="00C16A02">
        <w:rPr>
          <w:lang w:val="en-US"/>
        </w:rPr>
        <w:t xml:space="preserve"> </w:t>
      </w:r>
    </w:p>
    <w:p w14:paraId="16D9ADAF" w14:textId="77777777" w:rsidR="0080408F" w:rsidRDefault="0080408F" w:rsidP="0080408F">
      <w:pPr>
        <w:rPr>
          <w:lang w:val="en-US"/>
        </w:rPr>
      </w:pPr>
      <w:r w:rsidRPr="00C16A02">
        <w:rPr>
          <w:lang w:val="en-US"/>
        </w:rPr>
        <w:t>Some measurements of the radiation levels generated by ISM equipment in the bands designated for their use have been carried out in different countries and at different locations. Table 2 gives a survey of the results.</w:t>
      </w:r>
    </w:p>
    <w:p w14:paraId="16D9ADB1" w14:textId="77777777" w:rsidR="0080408F" w:rsidRPr="00C16A02" w:rsidRDefault="0080408F" w:rsidP="0080408F">
      <w:pPr>
        <w:pStyle w:val="TableNo"/>
        <w:rPr>
          <w:lang w:val="en-US"/>
        </w:rPr>
      </w:pPr>
      <w:r w:rsidRPr="00C16A02">
        <w:rPr>
          <w:lang w:val="en-US"/>
        </w:rPr>
        <w:t>TABLE 2</w:t>
      </w:r>
    </w:p>
    <w:p w14:paraId="16D9ADB2" w14:textId="77777777" w:rsidR="0080408F" w:rsidRPr="00C16A02" w:rsidRDefault="0080408F" w:rsidP="0080408F">
      <w:pPr>
        <w:pStyle w:val="Tabletitle"/>
        <w:rPr>
          <w:lang w:val="en-US"/>
        </w:rPr>
      </w:pPr>
      <w:r w:rsidRPr="00C16A02">
        <w:rPr>
          <w:lang w:val="en-US"/>
        </w:rPr>
        <w:t>Range of measured levels of field strength from ISM equipment</w:t>
      </w:r>
      <w:r w:rsidRPr="00C16A02">
        <w:rPr>
          <w:lang w:val="en-US"/>
        </w:rPr>
        <w:br/>
        <w:t>in the ITU-designated ISM bands</w:t>
      </w:r>
    </w:p>
    <w:tbl>
      <w:tblPr>
        <w:tblW w:w="9639" w:type="dxa"/>
        <w:jc w:val="center"/>
        <w:tblLayout w:type="fixed"/>
        <w:tblLook w:val="0000" w:firstRow="0" w:lastRow="0" w:firstColumn="0" w:lastColumn="0" w:noHBand="0" w:noVBand="0"/>
      </w:tblPr>
      <w:tblGrid>
        <w:gridCol w:w="2357"/>
        <w:gridCol w:w="1607"/>
        <w:gridCol w:w="3535"/>
        <w:gridCol w:w="2140"/>
      </w:tblGrid>
      <w:tr w:rsidR="0080408F" w:rsidRPr="00F233B8" w14:paraId="16D9ADB7" w14:textId="77777777">
        <w:trPr>
          <w:cantSplit/>
          <w:jc w:val="center"/>
        </w:trPr>
        <w:tc>
          <w:tcPr>
            <w:tcW w:w="2381" w:type="dxa"/>
            <w:tcBorders>
              <w:top w:val="single" w:sz="6" w:space="0" w:color="auto"/>
              <w:left w:val="single" w:sz="6" w:space="0" w:color="auto"/>
            </w:tcBorders>
          </w:tcPr>
          <w:p w14:paraId="16D9ADB3" w14:textId="77777777" w:rsidR="0080408F" w:rsidRPr="000F31AE" w:rsidRDefault="0080408F" w:rsidP="0080408F">
            <w:pPr>
              <w:pStyle w:val="Tablehead"/>
              <w:rPr>
                <w:sz w:val="20"/>
              </w:rPr>
            </w:pPr>
            <w:r w:rsidRPr="000F31AE">
              <w:rPr>
                <w:sz w:val="20"/>
              </w:rPr>
              <w:t>Frequency band</w:t>
            </w:r>
          </w:p>
        </w:tc>
        <w:tc>
          <w:tcPr>
            <w:tcW w:w="1622" w:type="dxa"/>
            <w:tcBorders>
              <w:top w:val="single" w:sz="6" w:space="0" w:color="auto"/>
              <w:left w:val="single" w:sz="6" w:space="0" w:color="auto"/>
            </w:tcBorders>
          </w:tcPr>
          <w:p w14:paraId="16D9ADB4" w14:textId="77777777" w:rsidR="0080408F" w:rsidRPr="000F31AE" w:rsidRDefault="0080408F" w:rsidP="0080408F">
            <w:pPr>
              <w:pStyle w:val="Tablehead"/>
              <w:rPr>
                <w:sz w:val="20"/>
              </w:rPr>
            </w:pPr>
            <w:r w:rsidRPr="000F31AE">
              <w:rPr>
                <w:sz w:val="20"/>
              </w:rPr>
              <w:t>Centre</w:t>
            </w:r>
            <w:r w:rsidRPr="000F31AE">
              <w:rPr>
                <w:sz w:val="20"/>
              </w:rPr>
              <w:br/>
            </w:r>
            <w:proofErr w:type="spellStart"/>
            <w:r w:rsidRPr="000F31AE">
              <w:rPr>
                <w:sz w:val="20"/>
              </w:rPr>
              <w:t>frequency</w:t>
            </w:r>
            <w:proofErr w:type="spellEnd"/>
          </w:p>
        </w:tc>
        <w:tc>
          <w:tcPr>
            <w:tcW w:w="3572" w:type="dxa"/>
            <w:tcBorders>
              <w:top w:val="single" w:sz="6" w:space="0" w:color="auto"/>
              <w:left w:val="single" w:sz="6" w:space="0" w:color="auto"/>
            </w:tcBorders>
          </w:tcPr>
          <w:p w14:paraId="16D9ADB5" w14:textId="77777777" w:rsidR="0080408F" w:rsidRPr="00C16A02" w:rsidRDefault="0080408F" w:rsidP="0080408F">
            <w:pPr>
              <w:pStyle w:val="Tablehead"/>
              <w:rPr>
                <w:sz w:val="20"/>
                <w:lang w:val="en-US"/>
              </w:rPr>
            </w:pPr>
            <w:r w:rsidRPr="00C16A02">
              <w:rPr>
                <w:sz w:val="20"/>
                <w:lang w:val="en-US"/>
              </w:rPr>
              <w:t>No. of appropriate Footnote to the Table of Frequency Allocations of the ITU RR</w:t>
            </w:r>
          </w:p>
        </w:tc>
        <w:tc>
          <w:tcPr>
            <w:tcW w:w="2161" w:type="dxa"/>
            <w:tcBorders>
              <w:top w:val="single" w:sz="6" w:space="0" w:color="auto"/>
              <w:left w:val="single" w:sz="6" w:space="0" w:color="auto"/>
              <w:right w:val="single" w:sz="6" w:space="0" w:color="auto"/>
            </w:tcBorders>
          </w:tcPr>
          <w:p w14:paraId="16D9ADB6" w14:textId="77777777" w:rsidR="0080408F" w:rsidRPr="00C16A02" w:rsidRDefault="0080408F" w:rsidP="0080408F">
            <w:pPr>
              <w:pStyle w:val="Tablehead"/>
              <w:rPr>
                <w:sz w:val="20"/>
                <w:lang w:val="en-US"/>
              </w:rPr>
            </w:pPr>
            <w:r w:rsidRPr="00C16A02">
              <w:rPr>
                <w:sz w:val="20"/>
                <w:lang w:val="en-US"/>
              </w:rPr>
              <w:t xml:space="preserve">Range of measured field strengths </w:t>
            </w:r>
            <w:r w:rsidRPr="00C16A02">
              <w:rPr>
                <w:sz w:val="20"/>
                <w:lang w:val="en-US"/>
              </w:rPr>
              <w:br/>
              <w:t>(dB(</w:t>
            </w:r>
            <w:r w:rsidRPr="000F31AE">
              <w:rPr>
                <w:rFonts w:ascii="Symbol" w:hAnsi="Symbol"/>
                <w:sz w:val="20"/>
              </w:rPr>
              <w:t></w:t>
            </w:r>
            <w:r w:rsidRPr="00C16A02">
              <w:rPr>
                <w:sz w:val="20"/>
                <w:lang w:val="en-US"/>
              </w:rPr>
              <w:t>V/m))</w:t>
            </w:r>
            <w:r w:rsidRPr="00C16A02">
              <w:rPr>
                <w:position w:val="6"/>
                <w:sz w:val="16"/>
                <w:szCs w:val="16"/>
                <w:lang w:val="en-US"/>
              </w:rPr>
              <w:t>(1)</w:t>
            </w:r>
          </w:p>
        </w:tc>
      </w:tr>
      <w:tr w:rsidR="0080408F" w:rsidRPr="000F31AE" w14:paraId="16D9ADBC" w14:textId="77777777">
        <w:trPr>
          <w:cantSplit/>
          <w:jc w:val="center"/>
        </w:trPr>
        <w:tc>
          <w:tcPr>
            <w:tcW w:w="2381" w:type="dxa"/>
            <w:tcBorders>
              <w:top w:val="single" w:sz="6" w:space="0" w:color="auto"/>
              <w:left w:val="single" w:sz="6" w:space="0" w:color="auto"/>
            </w:tcBorders>
          </w:tcPr>
          <w:p w14:paraId="16D9ADB8" w14:textId="77777777" w:rsidR="0080408F" w:rsidRPr="000F31AE" w:rsidRDefault="0080408F" w:rsidP="0080408F">
            <w:pPr>
              <w:pStyle w:val="Tabletext"/>
              <w:tabs>
                <w:tab w:val="clear" w:pos="1701"/>
                <w:tab w:val="left" w:pos="1750"/>
              </w:tabs>
              <w:ind w:right="284"/>
              <w:jc w:val="center"/>
              <w:rPr>
                <w:sz w:val="20"/>
              </w:rPr>
            </w:pPr>
            <w:r w:rsidRPr="000F31AE">
              <w:rPr>
                <w:sz w:val="20"/>
              </w:rPr>
              <w:t>6.765-6.795 MHz</w:t>
            </w:r>
          </w:p>
        </w:tc>
        <w:tc>
          <w:tcPr>
            <w:tcW w:w="1622" w:type="dxa"/>
            <w:tcBorders>
              <w:top w:val="single" w:sz="6" w:space="0" w:color="auto"/>
              <w:left w:val="single" w:sz="6" w:space="0" w:color="auto"/>
            </w:tcBorders>
          </w:tcPr>
          <w:p w14:paraId="16D9ADB9" w14:textId="77777777" w:rsidR="0080408F" w:rsidRPr="000F31AE" w:rsidRDefault="0080408F" w:rsidP="0080408F">
            <w:pPr>
              <w:pStyle w:val="Tabletext"/>
              <w:tabs>
                <w:tab w:val="clear" w:pos="1701"/>
                <w:tab w:val="left" w:pos="1750"/>
              </w:tabs>
              <w:ind w:right="227"/>
              <w:jc w:val="right"/>
              <w:rPr>
                <w:sz w:val="20"/>
              </w:rPr>
            </w:pPr>
            <w:r w:rsidRPr="000F31AE">
              <w:rPr>
                <w:sz w:val="20"/>
              </w:rPr>
              <w:t>6.78 MHz</w:t>
            </w:r>
          </w:p>
        </w:tc>
        <w:tc>
          <w:tcPr>
            <w:tcW w:w="3572" w:type="dxa"/>
            <w:tcBorders>
              <w:top w:val="single" w:sz="6" w:space="0" w:color="auto"/>
              <w:left w:val="single" w:sz="6" w:space="0" w:color="auto"/>
            </w:tcBorders>
          </w:tcPr>
          <w:p w14:paraId="16D9ADBA" w14:textId="77777777" w:rsidR="0080408F" w:rsidRPr="000F31AE" w:rsidRDefault="0080408F" w:rsidP="0080408F">
            <w:pPr>
              <w:pStyle w:val="Tabletext"/>
              <w:jc w:val="center"/>
              <w:rPr>
                <w:sz w:val="20"/>
              </w:rPr>
            </w:pPr>
            <w:r w:rsidRPr="000F31AE">
              <w:rPr>
                <w:sz w:val="20"/>
              </w:rPr>
              <w:t>5.138</w:t>
            </w:r>
          </w:p>
        </w:tc>
        <w:tc>
          <w:tcPr>
            <w:tcW w:w="2161" w:type="dxa"/>
            <w:tcBorders>
              <w:top w:val="single" w:sz="6" w:space="0" w:color="auto"/>
              <w:left w:val="single" w:sz="6" w:space="0" w:color="auto"/>
              <w:right w:val="single" w:sz="6" w:space="0" w:color="auto"/>
            </w:tcBorders>
          </w:tcPr>
          <w:p w14:paraId="16D9ADBB" w14:textId="77777777" w:rsidR="0080408F" w:rsidRPr="000F31AE" w:rsidRDefault="0080408F" w:rsidP="0080408F">
            <w:pPr>
              <w:pStyle w:val="Tabletext"/>
              <w:jc w:val="center"/>
              <w:rPr>
                <w:sz w:val="20"/>
              </w:rPr>
            </w:pPr>
            <w:r w:rsidRPr="000F31AE">
              <w:rPr>
                <w:sz w:val="20"/>
              </w:rPr>
              <w:t>80-100</w:t>
            </w:r>
          </w:p>
        </w:tc>
      </w:tr>
      <w:tr w:rsidR="0080408F" w:rsidRPr="000F31AE" w14:paraId="16D9ADC1" w14:textId="77777777">
        <w:trPr>
          <w:cantSplit/>
          <w:jc w:val="center"/>
        </w:trPr>
        <w:tc>
          <w:tcPr>
            <w:tcW w:w="2381" w:type="dxa"/>
            <w:tcBorders>
              <w:left w:val="single" w:sz="6" w:space="0" w:color="auto"/>
            </w:tcBorders>
          </w:tcPr>
          <w:p w14:paraId="16D9ADBD" w14:textId="77777777" w:rsidR="0080408F" w:rsidRPr="000F31AE" w:rsidRDefault="0080408F" w:rsidP="0080408F">
            <w:pPr>
              <w:pStyle w:val="Tabletext"/>
              <w:tabs>
                <w:tab w:val="clear" w:pos="1701"/>
                <w:tab w:val="left" w:pos="1750"/>
              </w:tabs>
              <w:ind w:right="284"/>
              <w:jc w:val="center"/>
              <w:rPr>
                <w:sz w:val="20"/>
              </w:rPr>
            </w:pPr>
            <w:r w:rsidRPr="000F31AE">
              <w:rPr>
                <w:sz w:val="20"/>
              </w:rPr>
              <w:t>13.553-13.567 MHz</w:t>
            </w:r>
          </w:p>
        </w:tc>
        <w:tc>
          <w:tcPr>
            <w:tcW w:w="1622" w:type="dxa"/>
            <w:tcBorders>
              <w:left w:val="single" w:sz="6" w:space="0" w:color="auto"/>
            </w:tcBorders>
          </w:tcPr>
          <w:p w14:paraId="16D9ADBE" w14:textId="77777777" w:rsidR="0080408F" w:rsidRPr="000F31AE" w:rsidRDefault="0080408F" w:rsidP="0080408F">
            <w:pPr>
              <w:pStyle w:val="Tabletext"/>
              <w:tabs>
                <w:tab w:val="clear" w:pos="1701"/>
                <w:tab w:val="left" w:pos="1750"/>
              </w:tabs>
              <w:ind w:right="227"/>
              <w:jc w:val="right"/>
              <w:rPr>
                <w:sz w:val="20"/>
              </w:rPr>
            </w:pPr>
            <w:r w:rsidRPr="000F31AE">
              <w:rPr>
                <w:sz w:val="20"/>
              </w:rPr>
              <w:t>13.567 MHz</w:t>
            </w:r>
          </w:p>
        </w:tc>
        <w:tc>
          <w:tcPr>
            <w:tcW w:w="3572" w:type="dxa"/>
            <w:tcBorders>
              <w:left w:val="single" w:sz="6" w:space="0" w:color="auto"/>
            </w:tcBorders>
          </w:tcPr>
          <w:p w14:paraId="16D9ADBF" w14:textId="77777777" w:rsidR="0080408F" w:rsidRPr="000F31AE" w:rsidRDefault="0080408F" w:rsidP="0080408F">
            <w:pPr>
              <w:pStyle w:val="Tabletext"/>
              <w:jc w:val="center"/>
              <w:rPr>
                <w:sz w:val="20"/>
              </w:rPr>
            </w:pPr>
            <w:r w:rsidRPr="000F31AE">
              <w:rPr>
                <w:sz w:val="20"/>
              </w:rPr>
              <w:t>5.150</w:t>
            </w:r>
          </w:p>
        </w:tc>
        <w:tc>
          <w:tcPr>
            <w:tcW w:w="2161" w:type="dxa"/>
            <w:tcBorders>
              <w:left w:val="single" w:sz="6" w:space="0" w:color="auto"/>
              <w:right w:val="single" w:sz="6" w:space="0" w:color="auto"/>
            </w:tcBorders>
          </w:tcPr>
          <w:p w14:paraId="16D9ADC0" w14:textId="77777777" w:rsidR="0080408F" w:rsidRPr="000F31AE" w:rsidRDefault="0080408F" w:rsidP="0080408F">
            <w:pPr>
              <w:pStyle w:val="Tabletext"/>
              <w:jc w:val="center"/>
              <w:rPr>
                <w:sz w:val="20"/>
              </w:rPr>
            </w:pPr>
            <w:r w:rsidRPr="000F31AE">
              <w:rPr>
                <w:sz w:val="20"/>
              </w:rPr>
              <w:t>80-120</w:t>
            </w:r>
          </w:p>
        </w:tc>
      </w:tr>
      <w:tr w:rsidR="0080408F" w:rsidRPr="000F31AE" w14:paraId="16D9ADC6" w14:textId="77777777">
        <w:trPr>
          <w:cantSplit/>
          <w:jc w:val="center"/>
        </w:trPr>
        <w:tc>
          <w:tcPr>
            <w:tcW w:w="2381" w:type="dxa"/>
            <w:tcBorders>
              <w:left w:val="single" w:sz="6" w:space="0" w:color="auto"/>
            </w:tcBorders>
          </w:tcPr>
          <w:p w14:paraId="16D9ADC2" w14:textId="77777777" w:rsidR="0080408F" w:rsidRPr="000F31AE" w:rsidRDefault="0080408F" w:rsidP="0080408F">
            <w:pPr>
              <w:pStyle w:val="Tabletext"/>
              <w:tabs>
                <w:tab w:val="clear" w:pos="1701"/>
                <w:tab w:val="left" w:pos="1750"/>
              </w:tabs>
              <w:ind w:right="284"/>
              <w:jc w:val="center"/>
              <w:rPr>
                <w:sz w:val="20"/>
              </w:rPr>
            </w:pPr>
            <w:r w:rsidRPr="000F31AE">
              <w:rPr>
                <w:sz w:val="20"/>
              </w:rPr>
              <w:t>26.957-27.283 MHz</w:t>
            </w:r>
          </w:p>
        </w:tc>
        <w:tc>
          <w:tcPr>
            <w:tcW w:w="1622" w:type="dxa"/>
            <w:tcBorders>
              <w:left w:val="single" w:sz="6" w:space="0" w:color="auto"/>
            </w:tcBorders>
          </w:tcPr>
          <w:p w14:paraId="16D9ADC3" w14:textId="77777777" w:rsidR="0080408F" w:rsidRPr="000F31AE" w:rsidRDefault="0080408F" w:rsidP="0080408F">
            <w:pPr>
              <w:pStyle w:val="Tabletext"/>
              <w:tabs>
                <w:tab w:val="clear" w:pos="1701"/>
                <w:tab w:val="left" w:pos="1750"/>
              </w:tabs>
              <w:ind w:right="227"/>
              <w:jc w:val="right"/>
              <w:rPr>
                <w:sz w:val="20"/>
              </w:rPr>
            </w:pPr>
            <w:r w:rsidRPr="000F31AE">
              <w:rPr>
                <w:sz w:val="20"/>
              </w:rPr>
              <w:t>27.12 MHz</w:t>
            </w:r>
          </w:p>
        </w:tc>
        <w:tc>
          <w:tcPr>
            <w:tcW w:w="3572" w:type="dxa"/>
            <w:tcBorders>
              <w:left w:val="single" w:sz="6" w:space="0" w:color="auto"/>
            </w:tcBorders>
          </w:tcPr>
          <w:p w14:paraId="16D9ADC4" w14:textId="77777777" w:rsidR="0080408F" w:rsidRPr="000F31AE" w:rsidRDefault="0080408F" w:rsidP="0080408F">
            <w:pPr>
              <w:pStyle w:val="Tabletext"/>
              <w:jc w:val="center"/>
              <w:rPr>
                <w:sz w:val="20"/>
              </w:rPr>
            </w:pPr>
            <w:r w:rsidRPr="000F31AE">
              <w:rPr>
                <w:sz w:val="20"/>
              </w:rPr>
              <w:t>5.150</w:t>
            </w:r>
          </w:p>
        </w:tc>
        <w:tc>
          <w:tcPr>
            <w:tcW w:w="2161" w:type="dxa"/>
            <w:tcBorders>
              <w:left w:val="single" w:sz="6" w:space="0" w:color="auto"/>
              <w:right w:val="single" w:sz="6" w:space="0" w:color="auto"/>
            </w:tcBorders>
          </w:tcPr>
          <w:p w14:paraId="16D9ADC5" w14:textId="77777777" w:rsidR="0080408F" w:rsidRPr="000F31AE" w:rsidRDefault="0080408F" w:rsidP="0080408F">
            <w:pPr>
              <w:pStyle w:val="Tabletext"/>
              <w:jc w:val="center"/>
              <w:rPr>
                <w:sz w:val="20"/>
              </w:rPr>
            </w:pPr>
            <w:r w:rsidRPr="000F31AE">
              <w:rPr>
                <w:sz w:val="20"/>
              </w:rPr>
              <w:t>70-120</w:t>
            </w:r>
          </w:p>
        </w:tc>
      </w:tr>
      <w:tr w:rsidR="0080408F" w:rsidRPr="000F31AE" w14:paraId="16D9ADCB" w14:textId="77777777">
        <w:trPr>
          <w:cantSplit/>
          <w:jc w:val="center"/>
        </w:trPr>
        <w:tc>
          <w:tcPr>
            <w:tcW w:w="2381" w:type="dxa"/>
            <w:tcBorders>
              <w:left w:val="single" w:sz="6" w:space="0" w:color="auto"/>
            </w:tcBorders>
          </w:tcPr>
          <w:p w14:paraId="16D9ADC7" w14:textId="77777777" w:rsidR="0080408F" w:rsidRPr="000F31AE" w:rsidRDefault="0080408F" w:rsidP="0080408F">
            <w:pPr>
              <w:pStyle w:val="Tabletext"/>
              <w:tabs>
                <w:tab w:val="clear" w:pos="1701"/>
                <w:tab w:val="left" w:pos="1750"/>
              </w:tabs>
              <w:ind w:right="284"/>
              <w:jc w:val="right"/>
              <w:rPr>
                <w:sz w:val="20"/>
              </w:rPr>
            </w:pPr>
            <w:r w:rsidRPr="000F31AE">
              <w:rPr>
                <w:sz w:val="20"/>
              </w:rPr>
              <w:t>40.66-40.70 MHz</w:t>
            </w:r>
          </w:p>
        </w:tc>
        <w:tc>
          <w:tcPr>
            <w:tcW w:w="1622" w:type="dxa"/>
            <w:tcBorders>
              <w:left w:val="single" w:sz="6" w:space="0" w:color="auto"/>
            </w:tcBorders>
          </w:tcPr>
          <w:p w14:paraId="16D9ADC8" w14:textId="77777777" w:rsidR="0080408F" w:rsidRPr="000F31AE" w:rsidRDefault="0080408F" w:rsidP="0080408F">
            <w:pPr>
              <w:pStyle w:val="Tabletext"/>
              <w:tabs>
                <w:tab w:val="clear" w:pos="1701"/>
                <w:tab w:val="left" w:pos="1750"/>
              </w:tabs>
              <w:ind w:right="227"/>
              <w:jc w:val="right"/>
              <w:rPr>
                <w:sz w:val="20"/>
              </w:rPr>
            </w:pPr>
            <w:r w:rsidRPr="000F31AE">
              <w:rPr>
                <w:sz w:val="20"/>
              </w:rPr>
              <w:t>40.68 MHz</w:t>
            </w:r>
          </w:p>
        </w:tc>
        <w:tc>
          <w:tcPr>
            <w:tcW w:w="3572" w:type="dxa"/>
            <w:tcBorders>
              <w:left w:val="single" w:sz="6" w:space="0" w:color="auto"/>
            </w:tcBorders>
          </w:tcPr>
          <w:p w14:paraId="16D9ADC9" w14:textId="77777777" w:rsidR="0080408F" w:rsidRPr="000F31AE" w:rsidRDefault="0080408F" w:rsidP="0080408F">
            <w:pPr>
              <w:pStyle w:val="Tabletext"/>
              <w:jc w:val="center"/>
              <w:rPr>
                <w:sz w:val="20"/>
              </w:rPr>
            </w:pPr>
            <w:r w:rsidRPr="000F31AE">
              <w:rPr>
                <w:sz w:val="20"/>
              </w:rPr>
              <w:t>5.150</w:t>
            </w:r>
          </w:p>
        </w:tc>
        <w:tc>
          <w:tcPr>
            <w:tcW w:w="2161" w:type="dxa"/>
            <w:tcBorders>
              <w:left w:val="single" w:sz="6" w:space="0" w:color="auto"/>
              <w:right w:val="single" w:sz="6" w:space="0" w:color="auto"/>
            </w:tcBorders>
          </w:tcPr>
          <w:p w14:paraId="16D9ADCA" w14:textId="77777777" w:rsidR="0080408F" w:rsidRPr="000F31AE" w:rsidRDefault="0080408F" w:rsidP="0080408F">
            <w:pPr>
              <w:pStyle w:val="Tabletext"/>
              <w:jc w:val="center"/>
              <w:rPr>
                <w:sz w:val="20"/>
              </w:rPr>
            </w:pPr>
            <w:r w:rsidRPr="000F31AE">
              <w:rPr>
                <w:sz w:val="20"/>
              </w:rPr>
              <w:t>60-120</w:t>
            </w:r>
          </w:p>
        </w:tc>
      </w:tr>
      <w:tr w:rsidR="0080408F" w:rsidRPr="000F31AE" w14:paraId="16D9ADD0" w14:textId="77777777">
        <w:trPr>
          <w:cantSplit/>
          <w:jc w:val="center"/>
        </w:trPr>
        <w:tc>
          <w:tcPr>
            <w:tcW w:w="2381" w:type="dxa"/>
            <w:tcBorders>
              <w:left w:val="single" w:sz="6" w:space="0" w:color="auto"/>
            </w:tcBorders>
          </w:tcPr>
          <w:p w14:paraId="16D9ADCC" w14:textId="77777777" w:rsidR="0080408F" w:rsidRPr="000F31AE" w:rsidRDefault="0080408F" w:rsidP="0080408F">
            <w:pPr>
              <w:pStyle w:val="Tabletext"/>
              <w:tabs>
                <w:tab w:val="clear" w:pos="1701"/>
                <w:tab w:val="left" w:pos="1750"/>
              </w:tabs>
              <w:ind w:right="284"/>
              <w:jc w:val="right"/>
              <w:rPr>
                <w:sz w:val="20"/>
              </w:rPr>
            </w:pPr>
            <w:r w:rsidRPr="000F31AE">
              <w:rPr>
                <w:sz w:val="20"/>
              </w:rPr>
              <w:t>433.05-434.79 MHz</w:t>
            </w:r>
          </w:p>
        </w:tc>
        <w:tc>
          <w:tcPr>
            <w:tcW w:w="1622" w:type="dxa"/>
            <w:tcBorders>
              <w:left w:val="single" w:sz="6" w:space="0" w:color="auto"/>
            </w:tcBorders>
          </w:tcPr>
          <w:p w14:paraId="16D9ADCD" w14:textId="77777777" w:rsidR="0080408F" w:rsidRPr="000F31AE" w:rsidRDefault="0080408F" w:rsidP="0080408F">
            <w:pPr>
              <w:pStyle w:val="Tabletext"/>
              <w:tabs>
                <w:tab w:val="clear" w:pos="1701"/>
                <w:tab w:val="left" w:pos="1750"/>
              </w:tabs>
              <w:ind w:right="227"/>
              <w:jc w:val="right"/>
              <w:rPr>
                <w:sz w:val="20"/>
              </w:rPr>
            </w:pPr>
            <w:r w:rsidRPr="000F31AE">
              <w:rPr>
                <w:sz w:val="20"/>
              </w:rPr>
              <w:t>433.92 MHz</w:t>
            </w:r>
          </w:p>
        </w:tc>
        <w:tc>
          <w:tcPr>
            <w:tcW w:w="3572" w:type="dxa"/>
            <w:tcBorders>
              <w:left w:val="single" w:sz="6" w:space="0" w:color="auto"/>
            </w:tcBorders>
          </w:tcPr>
          <w:p w14:paraId="16D9ADCE" w14:textId="77777777" w:rsidR="0080408F" w:rsidRPr="000F31AE" w:rsidRDefault="0080408F" w:rsidP="0080408F">
            <w:pPr>
              <w:pStyle w:val="Tabletext"/>
              <w:jc w:val="center"/>
              <w:rPr>
                <w:sz w:val="20"/>
              </w:rPr>
            </w:pPr>
            <w:r w:rsidRPr="000F31AE">
              <w:rPr>
                <w:sz w:val="20"/>
              </w:rPr>
              <w:t>5.138 (</w:t>
            </w:r>
            <w:proofErr w:type="spellStart"/>
            <w:r w:rsidRPr="000F31AE">
              <w:rPr>
                <w:sz w:val="20"/>
              </w:rPr>
              <w:t>Region</w:t>
            </w:r>
            <w:proofErr w:type="spellEnd"/>
            <w:r w:rsidRPr="000F31AE">
              <w:rPr>
                <w:sz w:val="20"/>
              </w:rPr>
              <w:t xml:space="preserve"> 1), 5.280</w:t>
            </w:r>
          </w:p>
        </w:tc>
        <w:tc>
          <w:tcPr>
            <w:tcW w:w="2161" w:type="dxa"/>
            <w:tcBorders>
              <w:left w:val="single" w:sz="6" w:space="0" w:color="auto"/>
              <w:right w:val="single" w:sz="6" w:space="0" w:color="auto"/>
            </w:tcBorders>
          </w:tcPr>
          <w:p w14:paraId="16D9ADCF" w14:textId="77777777" w:rsidR="0080408F" w:rsidRPr="000F31AE" w:rsidRDefault="0080408F" w:rsidP="0080408F">
            <w:pPr>
              <w:pStyle w:val="Tabletext"/>
              <w:jc w:val="center"/>
              <w:rPr>
                <w:sz w:val="20"/>
              </w:rPr>
            </w:pPr>
            <w:r w:rsidRPr="000F31AE">
              <w:rPr>
                <w:sz w:val="20"/>
              </w:rPr>
              <w:t>60-120</w:t>
            </w:r>
          </w:p>
        </w:tc>
      </w:tr>
      <w:tr w:rsidR="0080408F" w:rsidRPr="000F31AE" w14:paraId="16D9ADD5" w14:textId="77777777">
        <w:trPr>
          <w:cantSplit/>
          <w:jc w:val="center"/>
        </w:trPr>
        <w:tc>
          <w:tcPr>
            <w:tcW w:w="2381" w:type="dxa"/>
            <w:tcBorders>
              <w:left w:val="single" w:sz="6" w:space="0" w:color="auto"/>
            </w:tcBorders>
          </w:tcPr>
          <w:p w14:paraId="16D9ADD1" w14:textId="77777777" w:rsidR="0080408F" w:rsidRPr="000F31AE" w:rsidRDefault="0080408F" w:rsidP="0080408F">
            <w:pPr>
              <w:pStyle w:val="Tabletext"/>
              <w:tabs>
                <w:tab w:val="clear" w:pos="1701"/>
                <w:tab w:val="left" w:pos="1750"/>
              </w:tabs>
              <w:ind w:right="85"/>
              <w:jc w:val="right"/>
              <w:rPr>
                <w:sz w:val="20"/>
              </w:rPr>
            </w:pPr>
            <w:r w:rsidRPr="000F31AE">
              <w:rPr>
                <w:sz w:val="20"/>
              </w:rPr>
              <w:t>902-928 MHz</w:t>
            </w:r>
            <w:r w:rsidRPr="00E02802">
              <w:rPr>
                <w:position w:val="6"/>
                <w:sz w:val="16"/>
                <w:szCs w:val="16"/>
              </w:rPr>
              <w:t>(2)</w:t>
            </w:r>
          </w:p>
        </w:tc>
        <w:tc>
          <w:tcPr>
            <w:tcW w:w="1622" w:type="dxa"/>
            <w:tcBorders>
              <w:left w:val="single" w:sz="6" w:space="0" w:color="auto"/>
            </w:tcBorders>
          </w:tcPr>
          <w:p w14:paraId="16D9ADD2" w14:textId="77777777" w:rsidR="0080408F" w:rsidRPr="000F31AE" w:rsidRDefault="0080408F" w:rsidP="0080408F">
            <w:pPr>
              <w:pStyle w:val="Tabletext"/>
              <w:tabs>
                <w:tab w:val="clear" w:pos="1701"/>
                <w:tab w:val="left" w:pos="1750"/>
              </w:tabs>
              <w:ind w:right="227"/>
              <w:jc w:val="right"/>
              <w:rPr>
                <w:sz w:val="20"/>
              </w:rPr>
            </w:pPr>
            <w:r w:rsidRPr="000F31AE">
              <w:rPr>
                <w:sz w:val="20"/>
              </w:rPr>
              <w:t>915 MHz</w:t>
            </w:r>
          </w:p>
        </w:tc>
        <w:tc>
          <w:tcPr>
            <w:tcW w:w="3572" w:type="dxa"/>
            <w:tcBorders>
              <w:left w:val="single" w:sz="6" w:space="0" w:color="auto"/>
            </w:tcBorders>
          </w:tcPr>
          <w:p w14:paraId="16D9ADD3" w14:textId="77777777" w:rsidR="0080408F" w:rsidRPr="000F31AE" w:rsidRDefault="0080408F" w:rsidP="0080408F">
            <w:pPr>
              <w:pStyle w:val="Tabletext"/>
              <w:jc w:val="center"/>
              <w:rPr>
                <w:sz w:val="20"/>
              </w:rPr>
            </w:pPr>
            <w:r w:rsidRPr="000F31AE">
              <w:rPr>
                <w:sz w:val="20"/>
              </w:rPr>
              <w:t>5.150 (</w:t>
            </w:r>
            <w:proofErr w:type="spellStart"/>
            <w:r w:rsidRPr="000F31AE">
              <w:rPr>
                <w:sz w:val="20"/>
              </w:rPr>
              <w:t>Region</w:t>
            </w:r>
            <w:proofErr w:type="spellEnd"/>
            <w:r w:rsidRPr="000F31AE">
              <w:rPr>
                <w:sz w:val="20"/>
              </w:rPr>
              <w:t xml:space="preserve"> 2)</w:t>
            </w:r>
          </w:p>
        </w:tc>
        <w:tc>
          <w:tcPr>
            <w:tcW w:w="2161" w:type="dxa"/>
            <w:tcBorders>
              <w:left w:val="single" w:sz="6" w:space="0" w:color="auto"/>
              <w:right w:val="single" w:sz="6" w:space="0" w:color="auto"/>
            </w:tcBorders>
          </w:tcPr>
          <w:p w14:paraId="16D9ADD4" w14:textId="77777777" w:rsidR="0080408F" w:rsidRPr="000F31AE" w:rsidRDefault="0080408F" w:rsidP="0080408F">
            <w:pPr>
              <w:pStyle w:val="Tabletext"/>
              <w:jc w:val="center"/>
              <w:rPr>
                <w:sz w:val="20"/>
              </w:rPr>
            </w:pPr>
            <w:r w:rsidRPr="000F31AE">
              <w:rPr>
                <w:sz w:val="20"/>
              </w:rPr>
              <w:t>60-120</w:t>
            </w:r>
          </w:p>
        </w:tc>
      </w:tr>
      <w:tr w:rsidR="0080408F" w:rsidRPr="000F31AE" w14:paraId="16D9ADDA" w14:textId="77777777">
        <w:trPr>
          <w:cantSplit/>
          <w:jc w:val="center"/>
        </w:trPr>
        <w:tc>
          <w:tcPr>
            <w:tcW w:w="2381" w:type="dxa"/>
            <w:tcBorders>
              <w:left w:val="single" w:sz="6" w:space="0" w:color="auto"/>
            </w:tcBorders>
          </w:tcPr>
          <w:p w14:paraId="16D9ADD6" w14:textId="77777777" w:rsidR="0080408F" w:rsidRPr="000F31AE" w:rsidRDefault="0080408F" w:rsidP="0080408F">
            <w:pPr>
              <w:pStyle w:val="Tabletext"/>
              <w:tabs>
                <w:tab w:val="clear" w:pos="1701"/>
                <w:tab w:val="left" w:pos="1750"/>
              </w:tabs>
              <w:ind w:right="284"/>
              <w:jc w:val="right"/>
              <w:rPr>
                <w:sz w:val="20"/>
              </w:rPr>
            </w:pPr>
            <w:r w:rsidRPr="000F31AE">
              <w:rPr>
                <w:sz w:val="20"/>
              </w:rPr>
              <w:t>2 400-2 500 MHz</w:t>
            </w:r>
          </w:p>
        </w:tc>
        <w:tc>
          <w:tcPr>
            <w:tcW w:w="1622" w:type="dxa"/>
            <w:tcBorders>
              <w:left w:val="single" w:sz="6" w:space="0" w:color="auto"/>
            </w:tcBorders>
          </w:tcPr>
          <w:p w14:paraId="16D9ADD7" w14:textId="77777777" w:rsidR="0080408F" w:rsidRPr="000F31AE" w:rsidRDefault="0080408F" w:rsidP="0080408F">
            <w:pPr>
              <w:pStyle w:val="Tabletext"/>
              <w:tabs>
                <w:tab w:val="clear" w:pos="1701"/>
                <w:tab w:val="left" w:pos="1750"/>
              </w:tabs>
              <w:ind w:right="227"/>
              <w:jc w:val="right"/>
              <w:rPr>
                <w:sz w:val="20"/>
              </w:rPr>
            </w:pPr>
            <w:r w:rsidRPr="000F31AE">
              <w:rPr>
                <w:sz w:val="20"/>
              </w:rPr>
              <w:t>2 450 MHz</w:t>
            </w:r>
          </w:p>
        </w:tc>
        <w:tc>
          <w:tcPr>
            <w:tcW w:w="3572" w:type="dxa"/>
            <w:tcBorders>
              <w:left w:val="single" w:sz="6" w:space="0" w:color="auto"/>
            </w:tcBorders>
          </w:tcPr>
          <w:p w14:paraId="16D9ADD8" w14:textId="77777777" w:rsidR="0080408F" w:rsidRPr="000F31AE" w:rsidRDefault="0080408F" w:rsidP="0080408F">
            <w:pPr>
              <w:pStyle w:val="Tabletext"/>
              <w:jc w:val="center"/>
              <w:rPr>
                <w:sz w:val="20"/>
              </w:rPr>
            </w:pPr>
            <w:r w:rsidRPr="000F31AE">
              <w:rPr>
                <w:sz w:val="20"/>
              </w:rPr>
              <w:t>5.150</w:t>
            </w:r>
          </w:p>
        </w:tc>
        <w:tc>
          <w:tcPr>
            <w:tcW w:w="2161" w:type="dxa"/>
            <w:tcBorders>
              <w:left w:val="single" w:sz="6" w:space="0" w:color="auto"/>
              <w:right w:val="single" w:sz="6" w:space="0" w:color="auto"/>
            </w:tcBorders>
          </w:tcPr>
          <w:p w14:paraId="16D9ADD9" w14:textId="77777777" w:rsidR="0080408F" w:rsidRPr="000F31AE" w:rsidRDefault="0080408F" w:rsidP="0080408F">
            <w:pPr>
              <w:pStyle w:val="Tabletext"/>
              <w:jc w:val="center"/>
              <w:rPr>
                <w:sz w:val="20"/>
              </w:rPr>
            </w:pPr>
            <w:r w:rsidRPr="000F31AE">
              <w:rPr>
                <w:sz w:val="20"/>
              </w:rPr>
              <w:t>30-120</w:t>
            </w:r>
          </w:p>
        </w:tc>
      </w:tr>
      <w:tr w:rsidR="0080408F" w:rsidRPr="000F31AE" w14:paraId="16D9ADDF" w14:textId="77777777">
        <w:trPr>
          <w:cantSplit/>
          <w:jc w:val="center"/>
        </w:trPr>
        <w:tc>
          <w:tcPr>
            <w:tcW w:w="2381" w:type="dxa"/>
            <w:tcBorders>
              <w:left w:val="single" w:sz="6" w:space="0" w:color="auto"/>
            </w:tcBorders>
          </w:tcPr>
          <w:p w14:paraId="16D9ADDB" w14:textId="77777777" w:rsidR="0080408F" w:rsidRPr="000F31AE" w:rsidRDefault="0080408F" w:rsidP="0080408F">
            <w:pPr>
              <w:pStyle w:val="Tabletext"/>
              <w:tabs>
                <w:tab w:val="clear" w:pos="1701"/>
                <w:tab w:val="left" w:pos="1750"/>
              </w:tabs>
              <w:ind w:right="284"/>
              <w:jc w:val="right"/>
              <w:rPr>
                <w:sz w:val="20"/>
              </w:rPr>
            </w:pPr>
            <w:r w:rsidRPr="000F31AE">
              <w:rPr>
                <w:sz w:val="20"/>
              </w:rPr>
              <w:t>5.725-5.825 GHz</w:t>
            </w:r>
          </w:p>
        </w:tc>
        <w:tc>
          <w:tcPr>
            <w:tcW w:w="1622" w:type="dxa"/>
            <w:tcBorders>
              <w:left w:val="single" w:sz="6" w:space="0" w:color="auto"/>
            </w:tcBorders>
          </w:tcPr>
          <w:p w14:paraId="16D9ADDC" w14:textId="77777777" w:rsidR="0080408F" w:rsidRPr="000F31AE" w:rsidRDefault="0080408F" w:rsidP="0080408F">
            <w:pPr>
              <w:pStyle w:val="Tabletext"/>
              <w:tabs>
                <w:tab w:val="clear" w:pos="1701"/>
                <w:tab w:val="left" w:pos="1750"/>
              </w:tabs>
              <w:ind w:right="227"/>
              <w:jc w:val="right"/>
              <w:rPr>
                <w:sz w:val="20"/>
              </w:rPr>
            </w:pPr>
            <w:r w:rsidRPr="000F31AE">
              <w:rPr>
                <w:sz w:val="20"/>
              </w:rPr>
              <w:t>5.8 GHz</w:t>
            </w:r>
          </w:p>
        </w:tc>
        <w:tc>
          <w:tcPr>
            <w:tcW w:w="3572" w:type="dxa"/>
            <w:tcBorders>
              <w:left w:val="single" w:sz="6" w:space="0" w:color="auto"/>
            </w:tcBorders>
          </w:tcPr>
          <w:p w14:paraId="16D9ADDD" w14:textId="77777777" w:rsidR="0080408F" w:rsidRPr="000F31AE" w:rsidRDefault="0080408F" w:rsidP="0080408F">
            <w:pPr>
              <w:pStyle w:val="Tabletext"/>
              <w:jc w:val="center"/>
              <w:rPr>
                <w:sz w:val="20"/>
              </w:rPr>
            </w:pPr>
            <w:r w:rsidRPr="000F31AE">
              <w:rPr>
                <w:sz w:val="20"/>
              </w:rPr>
              <w:t>5.150</w:t>
            </w:r>
          </w:p>
        </w:tc>
        <w:tc>
          <w:tcPr>
            <w:tcW w:w="2161" w:type="dxa"/>
            <w:tcBorders>
              <w:left w:val="single" w:sz="6" w:space="0" w:color="auto"/>
              <w:right w:val="single" w:sz="6" w:space="0" w:color="auto"/>
            </w:tcBorders>
          </w:tcPr>
          <w:p w14:paraId="16D9ADDE" w14:textId="77777777" w:rsidR="0080408F" w:rsidRPr="000F31AE" w:rsidRDefault="0080408F" w:rsidP="0080408F">
            <w:pPr>
              <w:pStyle w:val="Tabletext"/>
              <w:jc w:val="center"/>
              <w:rPr>
                <w:sz w:val="20"/>
              </w:rPr>
            </w:pPr>
            <w:r w:rsidRPr="000F31AE">
              <w:rPr>
                <w:sz w:val="20"/>
              </w:rPr>
              <w:t>No information</w:t>
            </w:r>
          </w:p>
        </w:tc>
      </w:tr>
      <w:tr w:rsidR="0080408F" w:rsidRPr="000F31AE" w14:paraId="16D9ADE4" w14:textId="77777777">
        <w:trPr>
          <w:cantSplit/>
          <w:jc w:val="center"/>
        </w:trPr>
        <w:tc>
          <w:tcPr>
            <w:tcW w:w="2381" w:type="dxa"/>
            <w:tcBorders>
              <w:left w:val="single" w:sz="6" w:space="0" w:color="auto"/>
            </w:tcBorders>
          </w:tcPr>
          <w:p w14:paraId="16D9ADE0" w14:textId="77777777" w:rsidR="0080408F" w:rsidRPr="000F31AE" w:rsidRDefault="0080408F" w:rsidP="0080408F">
            <w:pPr>
              <w:pStyle w:val="Tabletext"/>
              <w:tabs>
                <w:tab w:val="clear" w:pos="1701"/>
                <w:tab w:val="left" w:pos="1750"/>
              </w:tabs>
              <w:ind w:right="284"/>
              <w:jc w:val="right"/>
              <w:rPr>
                <w:sz w:val="20"/>
              </w:rPr>
            </w:pPr>
            <w:r w:rsidRPr="000F31AE">
              <w:rPr>
                <w:sz w:val="20"/>
              </w:rPr>
              <w:t>24.00-24.25 GHz</w:t>
            </w:r>
          </w:p>
        </w:tc>
        <w:tc>
          <w:tcPr>
            <w:tcW w:w="1622" w:type="dxa"/>
            <w:tcBorders>
              <w:left w:val="single" w:sz="6" w:space="0" w:color="auto"/>
            </w:tcBorders>
          </w:tcPr>
          <w:p w14:paraId="16D9ADE1" w14:textId="77777777" w:rsidR="0080408F" w:rsidRPr="000F31AE" w:rsidRDefault="0080408F" w:rsidP="0080408F">
            <w:pPr>
              <w:pStyle w:val="Tabletext"/>
              <w:tabs>
                <w:tab w:val="clear" w:pos="1701"/>
                <w:tab w:val="left" w:pos="1750"/>
              </w:tabs>
              <w:ind w:right="227"/>
              <w:jc w:val="right"/>
              <w:rPr>
                <w:sz w:val="20"/>
              </w:rPr>
            </w:pPr>
            <w:r w:rsidRPr="000F31AE">
              <w:rPr>
                <w:sz w:val="20"/>
              </w:rPr>
              <w:t>24.125 GHz</w:t>
            </w:r>
          </w:p>
        </w:tc>
        <w:tc>
          <w:tcPr>
            <w:tcW w:w="3572" w:type="dxa"/>
            <w:tcBorders>
              <w:left w:val="single" w:sz="6" w:space="0" w:color="auto"/>
            </w:tcBorders>
          </w:tcPr>
          <w:p w14:paraId="16D9ADE2" w14:textId="77777777" w:rsidR="0080408F" w:rsidRPr="000F31AE" w:rsidRDefault="0080408F" w:rsidP="0080408F">
            <w:pPr>
              <w:pStyle w:val="Tabletext"/>
              <w:jc w:val="center"/>
              <w:rPr>
                <w:sz w:val="20"/>
              </w:rPr>
            </w:pPr>
            <w:r w:rsidRPr="000F31AE">
              <w:rPr>
                <w:sz w:val="20"/>
              </w:rPr>
              <w:t>5.150</w:t>
            </w:r>
          </w:p>
        </w:tc>
        <w:tc>
          <w:tcPr>
            <w:tcW w:w="2161" w:type="dxa"/>
            <w:tcBorders>
              <w:left w:val="single" w:sz="6" w:space="0" w:color="auto"/>
              <w:right w:val="single" w:sz="6" w:space="0" w:color="auto"/>
            </w:tcBorders>
          </w:tcPr>
          <w:p w14:paraId="16D9ADE3" w14:textId="77777777" w:rsidR="0080408F" w:rsidRPr="000F31AE" w:rsidRDefault="0080408F" w:rsidP="0080408F">
            <w:pPr>
              <w:pStyle w:val="Tabletext"/>
              <w:jc w:val="center"/>
              <w:rPr>
                <w:sz w:val="20"/>
              </w:rPr>
            </w:pPr>
            <w:r w:rsidRPr="000F31AE">
              <w:rPr>
                <w:sz w:val="20"/>
              </w:rPr>
              <w:t>No information</w:t>
            </w:r>
          </w:p>
        </w:tc>
      </w:tr>
      <w:tr w:rsidR="0080408F" w:rsidRPr="000F31AE" w14:paraId="16D9ADE9" w14:textId="77777777">
        <w:trPr>
          <w:cantSplit/>
          <w:jc w:val="center"/>
        </w:trPr>
        <w:tc>
          <w:tcPr>
            <w:tcW w:w="2381" w:type="dxa"/>
            <w:tcBorders>
              <w:left w:val="single" w:sz="6" w:space="0" w:color="auto"/>
            </w:tcBorders>
          </w:tcPr>
          <w:p w14:paraId="16D9ADE5" w14:textId="77777777" w:rsidR="0080408F" w:rsidRPr="000F31AE" w:rsidRDefault="0080408F" w:rsidP="0080408F">
            <w:pPr>
              <w:pStyle w:val="Tabletext"/>
              <w:tabs>
                <w:tab w:val="clear" w:pos="1701"/>
                <w:tab w:val="left" w:pos="1750"/>
              </w:tabs>
              <w:ind w:right="284"/>
              <w:jc w:val="right"/>
              <w:rPr>
                <w:sz w:val="20"/>
              </w:rPr>
            </w:pPr>
            <w:r w:rsidRPr="000F31AE">
              <w:rPr>
                <w:sz w:val="20"/>
              </w:rPr>
              <w:t>61.00-61.50 GHz</w:t>
            </w:r>
          </w:p>
        </w:tc>
        <w:tc>
          <w:tcPr>
            <w:tcW w:w="1622" w:type="dxa"/>
            <w:tcBorders>
              <w:left w:val="single" w:sz="6" w:space="0" w:color="auto"/>
            </w:tcBorders>
          </w:tcPr>
          <w:p w14:paraId="16D9ADE6" w14:textId="77777777" w:rsidR="0080408F" w:rsidRPr="000F31AE" w:rsidRDefault="0080408F" w:rsidP="0080408F">
            <w:pPr>
              <w:pStyle w:val="Tabletext"/>
              <w:tabs>
                <w:tab w:val="clear" w:pos="1701"/>
                <w:tab w:val="left" w:pos="1750"/>
              </w:tabs>
              <w:ind w:right="227"/>
              <w:jc w:val="right"/>
              <w:rPr>
                <w:sz w:val="20"/>
              </w:rPr>
            </w:pPr>
            <w:r w:rsidRPr="000F31AE">
              <w:rPr>
                <w:sz w:val="20"/>
              </w:rPr>
              <w:t>61.25 GHz</w:t>
            </w:r>
          </w:p>
        </w:tc>
        <w:tc>
          <w:tcPr>
            <w:tcW w:w="3572" w:type="dxa"/>
            <w:tcBorders>
              <w:left w:val="single" w:sz="6" w:space="0" w:color="auto"/>
            </w:tcBorders>
          </w:tcPr>
          <w:p w14:paraId="16D9ADE7" w14:textId="77777777" w:rsidR="0080408F" w:rsidRPr="000F31AE" w:rsidRDefault="0080408F" w:rsidP="0080408F">
            <w:pPr>
              <w:pStyle w:val="Tabletext"/>
              <w:jc w:val="center"/>
              <w:rPr>
                <w:sz w:val="20"/>
              </w:rPr>
            </w:pPr>
            <w:r w:rsidRPr="000F31AE">
              <w:rPr>
                <w:sz w:val="20"/>
              </w:rPr>
              <w:t>5.138</w:t>
            </w:r>
          </w:p>
        </w:tc>
        <w:tc>
          <w:tcPr>
            <w:tcW w:w="2161" w:type="dxa"/>
            <w:tcBorders>
              <w:left w:val="single" w:sz="6" w:space="0" w:color="auto"/>
              <w:right w:val="single" w:sz="6" w:space="0" w:color="auto"/>
            </w:tcBorders>
          </w:tcPr>
          <w:p w14:paraId="16D9ADE8" w14:textId="77777777" w:rsidR="0080408F" w:rsidRPr="000F31AE" w:rsidRDefault="0080408F" w:rsidP="0080408F">
            <w:pPr>
              <w:pStyle w:val="Tabletext"/>
              <w:jc w:val="center"/>
              <w:rPr>
                <w:sz w:val="20"/>
              </w:rPr>
            </w:pPr>
            <w:r w:rsidRPr="000F31AE">
              <w:rPr>
                <w:sz w:val="20"/>
              </w:rPr>
              <w:t>No information</w:t>
            </w:r>
          </w:p>
        </w:tc>
      </w:tr>
      <w:tr w:rsidR="0080408F" w:rsidRPr="000F31AE" w14:paraId="16D9ADEE" w14:textId="77777777">
        <w:trPr>
          <w:cantSplit/>
          <w:jc w:val="center"/>
        </w:trPr>
        <w:tc>
          <w:tcPr>
            <w:tcW w:w="2381" w:type="dxa"/>
            <w:tcBorders>
              <w:left w:val="single" w:sz="6" w:space="0" w:color="auto"/>
            </w:tcBorders>
          </w:tcPr>
          <w:p w14:paraId="16D9ADEA" w14:textId="77777777" w:rsidR="0080408F" w:rsidRPr="000F31AE" w:rsidRDefault="0080408F" w:rsidP="0080408F">
            <w:pPr>
              <w:pStyle w:val="Tabletext"/>
              <w:tabs>
                <w:tab w:val="clear" w:pos="1701"/>
                <w:tab w:val="left" w:pos="1750"/>
              </w:tabs>
              <w:ind w:right="284"/>
              <w:jc w:val="right"/>
              <w:rPr>
                <w:sz w:val="20"/>
              </w:rPr>
            </w:pPr>
            <w:r w:rsidRPr="000F31AE">
              <w:rPr>
                <w:sz w:val="20"/>
              </w:rPr>
              <w:t>122-123 GHz</w:t>
            </w:r>
          </w:p>
        </w:tc>
        <w:tc>
          <w:tcPr>
            <w:tcW w:w="1622" w:type="dxa"/>
            <w:tcBorders>
              <w:left w:val="single" w:sz="6" w:space="0" w:color="auto"/>
            </w:tcBorders>
          </w:tcPr>
          <w:p w14:paraId="16D9ADEB" w14:textId="77777777" w:rsidR="0080408F" w:rsidRPr="000F31AE" w:rsidRDefault="0080408F" w:rsidP="0080408F">
            <w:pPr>
              <w:pStyle w:val="Tabletext"/>
              <w:tabs>
                <w:tab w:val="clear" w:pos="1701"/>
                <w:tab w:val="left" w:pos="1750"/>
              </w:tabs>
              <w:ind w:right="227"/>
              <w:jc w:val="right"/>
              <w:rPr>
                <w:sz w:val="20"/>
              </w:rPr>
            </w:pPr>
            <w:r w:rsidRPr="000F31AE">
              <w:rPr>
                <w:sz w:val="20"/>
              </w:rPr>
              <w:t>122.5 GHz</w:t>
            </w:r>
          </w:p>
        </w:tc>
        <w:tc>
          <w:tcPr>
            <w:tcW w:w="3572" w:type="dxa"/>
            <w:tcBorders>
              <w:left w:val="single" w:sz="6" w:space="0" w:color="auto"/>
            </w:tcBorders>
          </w:tcPr>
          <w:p w14:paraId="16D9ADEC" w14:textId="77777777" w:rsidR="0080408F" w:rsidRPr="000F31AE" w:rsidRDefault="0080408F" w:rsidP="0080408F">
            <w:pPr>
              <w:pStyle w:val="Tabletext"/>
              <w:jc w:val="center"/>
              <w:rPr>
                <w:sz w:val="20"/>
              </w:rPr>
            </w:pPr>
            <w:r w:rsidRPr="000F31AE">
              <w:rPr>
                <w:sz w:val="20"/>
              </w:rPr>
              <w:t>5.138</w:t>
            </w:r>
          </w:p>
        </w:tc>
        <w:tc>
          <w:tcPr>
            <w:tcW w:w="2161" w:type="dxa"/>
            <w:tcBorders>
              <w:left w:val="single" w:sz="6" w:space="0" w:color="auto"/>
              <w:right w:val="single" w:sz="6" w:space="0" w:color="auto"/>
            </w:tcBorders>
          </w:tcPr>
          <w:p w14:paraId="16D9ADED" w14:textId="77777777" w:rsidR="0080408F" w:rsidRPr="000F31AE" w:rsidRDefault="0080408F" w:rsidP="0080408F">
            <w:pPr>
              <w:pStyle w:val="Tabletext"/>
              <w:jc w:val="center"/>
              <w:rPr>
                <w:sz w:val="20"/>
              </w:rPr>
            </w:pPr>
            <w:r w:rsidRPr="000F31AE">
              <w:rPr>
                <w:sz w:val="20"/>
              </w:rPr>
              <w:t>No information</w:t>
            </w:r>
          </w:p>
        </w:tc>
      </w:tr>
      <w:tr w:rsidR="0080408F" w:rsidRPr="000F31AE" w14:paraId="16D9ADF3" w14:textId="77777777">
        <w:trPr>
          <w:cantSplit/>
          <w:jc w:val="center"/>
        </w:trPr>
        <w:tc>
          <w:tcPr>
            <w:tcW w:w="2381" w:type="dxa"/>
            <w:tcBorders>
              <w:left w:val="single" w:sz="6" w:space="0" w:color="auto"/>
              <w:bottom w:val="single" w:sz="6" w:space="0" w:color="auto"/>
            </w:tcBorders>
          </w:tcPr>
          <w:p w14:paraId="16D9ADEF" w14:textId="77777777" w:rsidR="0080408F" w:rsidRPr="000F31AE" w:rsidRDefault="0080408F" w:rsidP="0080408F">
            <w:pPr>
              <w:pStyle w:val="Tabletext"/>
              <w:tabs>
                <w:tab w:val="clear" w:pos="1701"/>
                <w:tab w:val="left" w:pos="1750"/>
              </w:tabs>
              <w:ind w:right="284"/>
              <w:jc w:val="right"/>
              <w:rPr>
                <w:sz w:val="20"/>
              </w:rPr>
            </w:pPr>
            <w:r w:rsidRPr="000F31AE">
              <w:rPr>
                <w:sz w:val="20"/>
              </w:rPr>
              <w:t>244-246 GHz</w:t>
            </w:r>
          </w:p>
        </w:tc>
        <w:tc>
          <w:tcPr>
            <w:tcW w:w="1622" w:type="dxa"/>
            <w:tcBorders>
              <w:left w:val="single" w:sz="6" w:space="0" w:color="auto"/>
              <w:bottom w:val="single" w:sz="6" w:space="0" w:color="auto"/>
            </w:tcBorders>
          </w:tcPr>
          <w:p w14:paraId="16D9ADF0" w14:textId="77777777" w:rsidR="0080408F" w:rsidRPr="000F31AE" w:rsidRDefault="0080408F" w:rsidP="0080408F">
            <w:pPr>
              <w:pStyle w:val="Tabletext"/>
              <w:tabs>
                <w:tab w:val="clear" w:pos="1701"/>
                <w:tab w:val="left" w:pos="1750"/>
              </w:tabs>
              <w:ind w:right="227"/>
              <w:jc w:val="right"/>
              <w:rPr>
                <w:sz w:val="20"/>
              </w:rPr>
            </w:pPr>
            <w:r w:rsidRPr="000F31AE">
              <w:rPr>
                <w:sz w:val="20"/>
              </w:rPr>
              <w:t>245 GHz</w:t>
            </w:r>
          </w:p>
        </w:tc>
        <w:tc>
          <w:tcPr>
            <w:tcW w:w="3572" w:type="dxa"/>
            <w:tcBorders>
              <w:left w:val="single" w:sz="6" w:space="0" w:color="auto"/>
              <w:bottom w:val="single" w:sz="6" w:space="0" w:color="auto"/>
            </w:tcBorders>
          </w:tcPr>
          <w:p w14:paraId="16D9ADF1" w14:textId="77777777" w:rsidR="0080408F" w:rsidRPr="000F31AE" w:rsidRDefault="0080408F" w:rsidP="0080408F">
            <w:pPr>
              <w:pStyle w:val="Tabletext"/>
              <w:jc w:val="center"/>
              <w:rPr>
                <w:sz w:val="20"/>
              </w:rPr>
            </w:pPr>
            <w:r w:rsidRPr="000F31AE">
              <w:rPr>
                <w:sz w:val="20"/>
              </w:rPr>
              <w:t>5.138</w:t>
            </w:r>
          </w:p>
        </w:tc>
        <w:tc>
          <w:tcPr>
            <w:tcW w:w="2161" w:type="dxa"/>
            <w:tcBorders>
              <w:left w:val="single" w:sz="6" w:space="0" w:color="auto"/>
              <w:bottom w:val="single" w:sz="6" w:space="0" w:color="auto"/>
              <w:right w:val="single" w:sz="6" w:space="0" w:color="auto"/>
            </w:tcBorders>
          </w:tcPr>
          <w:p w14:paraId="16D9ADF2" w14:textId="77777777" w:rsidR="0080408F" w:rsidRPr="000F31AE" w:rsidRDefault="0080408F" w:rsidP="0080408F">
            <w:pPr>
              <w:pStyle w:val="Tabletext"/>
              <w:jc w:val="center"/>
              <w:rPr>
                <w:sz w:val="20"/>
              </w:rPr>
            </w:pPr>
            <w:r w:rsidRPr="000F31AE">
              <w:rPr>
                <w:sz w:val="20"/>
              </w:rPr>
              <w:t>No information</w:t>
            </w:r>
          </w:p>
        </w:tc>
      </w:tr>
      <w:tr w:rsidR="0080408F" w:rsidRPr="00F233B8" w14:paraId="16D9ADF6" w14:textId="77777777">
        <w:trPr>
          <w:cantSplit/>
          <w:jc w:val="center"/>
        </w:trPr>
        <w:tc>
          <w:tcPr>
            <w:tcW w:w="9736" w:type="dxa"/>
            <w:gridSpan w:val="4"/>
            <w:tcBorders>
              <w:top w:val="single" w:sz="6" w:space="0" w:color="auto"/>
            </w:tcBorders>
          </w:tcPr>
          <w:p w14:paraId="16D9ADF4" w14:textId="77777777" w:rsidR="0080408F" w:rsidRPr="00F233B8" w:rsidRDefault="0080408F" w:rsidP="0080408F">
            <w:pPr>
              <w:pStyle w:val="Tablelegend"/>
              <w:rPr>
                <w:sz w:val="20"/>
                <w:lang w:val="en-GB"/>
              </w:rPr>
            </w:pPr>
            <w:r w:rsidRPr="0080408F">
              <w:rPr>
                <w:sz w:val="20"/>
                <w:vertAlign w:val="superscript"/>
                <w:lang w:val="en-US"/>
              </w:rPr>
              <w:t>(1)</w:t>
            </w:r>
            <w:r w:rsidRPr="0080408F">
              <w:rPr>
                <w:sz w:val="20"/>
                <w:lang w:val="en-US"/>
              </w:rPr>
              <w:tab/>
              <w:t xml:space="preserve">The field strength is that existing at a distance of 30 m from the boundary of the building in which the ISM equipment is situated. </w:t>
            </w:r>
            <w:r w:rsidRPr="00F233B8">
              <w:rPr>
                <w:sz w:val="20"/>
                <w:lang w:val="en-GB"/>
              </w:rPr>
              <w:t>Therefore the actual distance between the ISM equipment and the measuring point is not known.</w:t>
            </w:r>
          </w:p>
          <w:p w14:paraId="16D9ADF5" w14:textId="77777777" w:rsidR="0080408F" w:rsidRPr="0080408F" w:rsidRDefault="0080408F" w:rsidP="0080408F">
            <w:pPr>
              <w:pStyle w:val="Tablelegend"/>
              <w:rPr>
                <w:sz w:val="20"/>
                <w:lang w:val="en-US"/>
              </w:rPr>
            </w:pPr>
            <w:r w:rsidRPr="0080408F">
              <w:rPr>
                <w:sz w:val="20"/>
                <w:vertAlign w:val="superscript"/>
                <w:lang w:val="en-US"/>
              </w:rPr>
              <w:t>(2)</w:t>
            </w:r>
            <w:r w:rsidRPr="0080408F">
              <w:rPr>
                <w:sz w:val="20"/>
                <w:lang w:val="en-US"/>
              </w:rPr>
              <w:tab/>
              <w:t>896 MHz in the United Kingdom.</w:t>
            </w:r>
          </w:p>
        </w:tc>
      </w:tr>
    </w:tbl>
    <w:p w14:paraId="16D9ADF7" w14:textId="77777777" w:rsidR="0080408F" w:rsidRDefault="0080408F" w:rsidP="0080408F">
      <w:pPr>
        <w:pStyle w:val="Tablefin"/>
      </w:pPr>
    </w:p>
    <w:p w14:paraId="16D9ADF9" w14:textId="77777777" w:rsidR="0080408F" w:rsidRPr="00C16A02" w:rsidRDefault="0080408F" w:rsidP="0080408F">
      <w:pPr>
        <w:pStyle w:val="Heading1"/>
        <w:rPr>
          <w:lang w:val="en-US"/>
        </w:rPr>
      </w:pPr>
      <w:bookmarkStart w:id="8" w:name="_Toc138236217"/>
      <w:r w:rsidRPr="00C16A02">
        <w:rPr>
          <w:lang w:val="en-US"/>
        </w:rPr>
        <w:t>4</w:t>
      </w:r>
      <w:r w:rsidRPr="00C16A02">
        <w:rPr>
          <w:lang w:val="en-US"/>
        </w:rPr>
        <w:tab/>
        <w:t>Sources for more information</w:t>
      </w:r>
      <w:bookmarkEnd w:id="8"/>
    </w:p>
    <w:p w14:paraId="16D9ADFA" w14:textId="77777777" w:rsidR="0080408F" w:rsidRPr="00C16A02" w:rsidRDefault="0080408F" w:rsidP="0080408F">
      <w:pPr>
        <w:pStyle w:val="enumlev1"/>
        <w:ind w:left="1191" w:hanging="1191"/>
        <w:jc w:val="left"/>
        <w:rPr>
          <w:lang w:val="en-US"/>
        </w:rPr>
      </w:pPr>
      <w:r w:rsidRPr="00C16A02">
        <w:rPr>
          <w:lang w:val="en-US"/>
        </w:rPr>
        <w:t>–</w:t>
      </w:r>
      <w:r w:rsidRPr="00C16A02">
        <w:rPr>
          <w:lang w:val="en-US"/>
        </w:rPr>
        <w:tab/>
        <w:t xml:space="preserve">Journal and Symposium Reports of the </w:t>
      </w:r>
      <w:r w:rsidRPr="00C16A02">
        <w:rPr>
          <w:lang w:val="en-US"/>
        </w:rPr>
        <w:br/>
        <w:t xml:space="preserve">International Microwave Power Institute </w:t>
      </w:r>
      <w:r w:rsidRPr="00C16A02">
        <w:rPr>
          <w:lang w:val="en-US"/>
        </w:rPr>
        <w:br/>
        <w:t xml:space="preserve">13542 Union Village Circle </w:t>
      </w:r>
      <w:r w:rsidRPr="00C16A02">
        <w:rPr>
          <w:lang w:val="en-US"/>
        </w:rPr>
        <w:br/>
        <w:t xml:space="preserve">Clifton, VA 22024 </w:t>
      </w:r>
      <w:r w:rsidRPr="00C16A02">
        <w:rPr>
          <w:lang w:val="en-US"/>
        </w:rPr>
        <w:br/>
        <w:t xml:space="preserve">United States of America </w:t>
      </w:r>
    </w:p>
    <w:p w14:paraId="16D9ADFB" w14:textId="77777777" w:rsidR="0080408F" w:rsidRPr="00C16A02" w:rsidRDefault="0080408F" w:rsidP="0080408F">
      <w:pPr>
        <w:pStyle w:val="enumlev1"/>
        <w:ind w:left="1191" w:hanging="1191"/>
        <w:jc w:val="left"/>
        <w:rPr>
          <w:lang w:val="en-US"/>
        </w:rPr>
      </w:pPr>
      <w:r w:rsidRPr="00C16A02">
        <w:rPr>
          <w:lang w:val="en-US"/>
        </w:rPr>
        <w:t>–</w:t>
      </w:r>
      <w:r w:rsidRPr="00C16A02">
        <w:rPr>
          <w:lang w:val="en-US"/>
        </w:rPr>
        <w:tab/>
        <w:t>Electric Power Research Institute</w:t>
      </w:r>
      <w:r w:rsidRPr="00C16A02">
        <w:rPr>
          <w:lang w:val="en-US"/>
        </w:rPr>
        <w:br/>
        <w:t>P.O. Box 10412</w:t>
      </w:r>
      <w:r w:rsidRPr="00C16A02">
        <w:rPr>
          <w:lang w:val="en-US"/>
        </w:rPr>
        <w:br/>
        <w:t>Palo Alto, CA 94303</w:t>
      </w:r>
      <w:r w:rsidRPr="00C16A02">
        <w:rPr>
          <w:lang w:val="en-US"/>
        </w:rPr>
        <w:br/>
        <w:t>United States of America</w:t>
      </w:r>
    </w:p>
    <w:p w14:paraId="16D9ADFC" w14:textId="77777777" w:rsidR="00A6617B" w:rsidRDefault="0080408F" w:rsidP="0080408F">
      <w:pPr>
        <w:pStyle w:val="enumlev1"/>
        <w:ind w:left="1191" w:hanging="1191"/>
        <w:jc w:val="left"/>
      </w:pPr>
      <w:r w:rsidRPr="00F233B8">
        <w:br w:type="page"/>
      </w:r>
      <w:r w:rsidRPr="000F31AE">
        <w:lastRenderedPageBreak/>
        <w:t>–</w:t>
      </w:r>
      <w:r w:rsidRPr="000F31AE">
        <w:tab/>
        <w:t>U.I.E.</w:t>
      </w:r>
      <w:r w:rsidRPr="000F31AE">
        <w:br/>
        <w:t xml:space="preserve">International Union for </w:t>
      </w:r>
      <w:proofErr w:type="spellStart"/>
      <w:r w:rsidRPr="000F31AE">
        <w:t>Electroheat</w:t>
      </w:r>
      <w:proofErr w:type="spellEnd"/>
      <w:r w:rsidRPr="000F31AE">
        <w:tab/>
        <w:t>Tel:</w:t>
      </w:r>
      <w:r w:rsidRPr="000F31AE">
        <w:tab/>
        <w:t>(33 1) 47 78 99 34</w:t>
      </w:r>
      <w:r w:rsidRPr="000F31AE">
        <w:br/>
        <w:t xml:space="preserve">Monsieur G. </w:t>
      </w:r>
      <w:proofErr w:type="spellStart"/>
      <w:r w:rsidRPr="000F31AE">
        <w:t>Vanderschueren</w:t>
      </w:r>
      <w:proofErr w:type="spellEnd"/>
      <w:r w:rsidRPr="000F31AE">
        <w:tab/>
      </w:r>
      <w:r>
        <w:tab/>
      </w:r>
      <w:r w:rsidRPr="000F31AE">
        <w:t>Fax:</w:t>
      </w:r>
      <w:r w:rsidRPr="000F31AE">
        <w:tab/>
        <w:t>(33 1) 49 06 03 73</w:t>
      </w:r>
      <w:r w:rsidRPr="000F31AE">
        <w:br/>
        <w:t>Secrétaire Général</w:t>
      </w:r>
      <w:r w:rsidRPr="000F31AE">
        <w:br/>
        <w:t>Tour Atlantique</w:t>
      </w:r>
      <w:r w:rsidRPr="000F31AE">
        <w:br/>
        <w:t>CEDEX 6</w:t>
      </w:r>
      <w:r w:rsidRPr="000F31AE">
        <w:br/>
        <w:t>F-92080 PARIS LA DEFENSE</w:t>
      </w:r>
      <w:r w:rsidRPr="000F31AE">
        <w:br/>
        <w:t>France</w:t>
      </w:r>
    </w:p>
    <w:p w14:paraId="16D9ADFD" w14:textId="77777777" w:rsidR="0080408F" w:rsidRDefault="0080408F" w:rsidP="0080408F"/>
    <w:p w14:paraId="16D9ADFE" w14:textId="77777777" w:rsidR="0080408F" w:rsidRDefault="0080408F" w:rsidP="0080408F"/>
    <w:p w14:paraId="16D9ADFF" w14:textId="77777777" w:rsidR="0080408F" w:rsidRPr="006E1606" w:rsidRDefault="0080408F" w:rsidP="0080408F">
      <w:pPr>
        <w:pStyle w:val="Line"/>
        <w:rPr>
          <w:lang w:val="fr-FR"/>
        </w:rPr>
      </w:pPr>
    </w:p>
    <w:sectPr w:rsidR="0080408F" w:rsidRPr="006E1606" w:rsidSect="0080408F">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71F32" w14:textId="77777777" w:rsidR="003868B2" w:rsidRDefault="003868B2">
      <w:r>
        <w:separator/>
      </w:r>
    </w:p>
  </w:endnote>
  <w:endnote w:type="continuationSeparator" w:id="0">
    <w:p w14:paraId="124923DD" w14:textId="77777777" w:rsidR="003868B2" w:rsidRDefault="0038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68D47" w14:textId="77777777" w:rsidR="003868B2" w:rsidRDefault="003868B2">
      <w:r>
        <w:separator/>
      </w:r>
    </w:p>
  </w:footnote>
  <w:footnote w:type="continuationSeparator" w:id="0">
    <w:p w14:paraId="556BB4F8" w14:textId="77777777" w:rsidR="003868B2" w:rsidRDefault="003868B2">
      <w:r>
        <w:continuationSeparator/>
      </w:r>
    </w:p>
  </w:footnote>
  <w:footnote w:id="1">
    <w:p w14:paraId="16D9AE06" w14:textId="32213ED4" w:rsidR="005E4628" w:rsidRPr="00934798" w:rsidRDefault="005E4628" w:rsidP="005E4628">
      <w:pPr>
        <w:pStyle w:val="FootnoteText"/>
        <w:rPr>
          <w:lang w:val="en-US"/>
        </w:rPr>
      </w:pPr>
      <w:r w:rsidRPr="005E4628">
        <w:rPr>
          <w:rStyle w:val="FootnoteReference"/>
          <w:lang w:val="en-GB"/>
        </w:rPr>
        <w:t>*</w:t>
      </w:r>
      <w:r w:rsidRPr="005E4628">
        <w:rPr>
          <w:lang w:val="en-GB"/>
        </w:rPr>
        <w:tab/>
      </w:r>
      <w:r w:rsidRPr="008762AE">
        <w:rPr>
          <w:lang w:val="en-US"/>
        </w:rPr>
        <w:t>Radiocommunication Study Group 1 made editorial amendments to this Recommendation</w:t>
      </w:r>
      <w:r w:rsidRPr="008762AE">
        <w:rPr>
          <w:lang w:val="en-US" w:eastAsia="ko-KR"/>
        </w:rPr>
        <w:t xml:space="preserve"> in</w:t>
      </w:r>
      <w:r>
        <w:rPr>
          <w:lang w:val="en-US" w:eastAsia="ko-KR"/>
        </w:rPr>
        <w:t> the year</w:t>
      </w:r>
      <w:r w:rsidR="00F233B8">
        <w:rPr>
          <w:lang w:val="en-US" w:eastAsia="ko-KR"/>
        </w:rPr>
        <w:t>s</w:t>
      </w:r>
      <w:r>
        <w:rPr>
          <w:lang w:val="en-US" w:eastAsia="ko-KR"/>
        </w:rPr>
        <w:t xml:space="preserve"> 2019</w:t>
      </w:r>
      <w:r w:rsidR="00F233B8">
        <w:rPr>
          <w:lang w:val="en-US" w:eastAsia="ko-KR"/>
        </w:rPr>
        <w:t xml:space="preserve"> and 2023</w:t>
      </w:r>
      <w:r>
        <w:rPr>
          <w:lang w:val="en-US" w:eastAsia="ko-KR"/>
        </w:rPr>
        <w:t xml:space="preserve"> </w:t>
      </w:r>
      <w:r w:rsidRPr="008762AE">
        <w:rPr>
          <w:lang w:val="en-US"/>
        </w:rPr>
        <w:t>in accordance with Resolution ITU</w:t>
      </w:r>
      <w:r w:rsidRPr="008762AE">
        <w:rPr>
          <w:lang w:val="en-US"/>
        </w:rPr>
        <w:noBreakHyphen/>
        <w: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AE04" w14:textId="18D89543"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3C215B">
      <w:rPr>
        <w:rStyle w:val="PageNumber"/>
        <w:b/>
        <w:bCs/>
        <w:noProof/>
        <w:lang w:val="en-US"/>
      </w:rPr>
      <w:t>2</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C01C54">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C01C54">
      <w:rPr>
        <w:b/>
        <w:bCs/>
        <w:noProof/>
        <w:lang w:val="en-US"/>
      </w:rPr>
      <w:t>ITU-R  SM.1056-1</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AE05" w14:textId="56B1D158" w:rsidR="00607D68" w:rsidRDefault="00607D68">
    <w:pPr>
      <w:pStyle w:val="Header"/>
    </w:pPr>
    <w:r>
      <w:tab/>
    </w:r>
    <w:r>
      <w:rPr>
        <w:b/>
        <w:bCs/>
      </w:rPr>
      <w:fldChar w:fldCharType="begin"/>
    </w:r>
    <w:r>
      <w:rPr>
        <w:b/>
        <w:bCs/>
      </w:rPr>
      <w:instrText xml:space="preserve"> DOCPROPERTY "Header" \* MERGEFORMAT </w:instrText>
    </w:r>
    <w:r>
      <w:rPr>
        <w:b/>
        <w:bCs/>
      </w:rPr>
      <w:fldChar w:fldCharType="separate"/>
    </w:r>
    <w:r w:rsidR="00C01C54">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C01C54">
      <w:rPr>
        <w:b/>
        <w:bCs/>
        <w:noProof/>
      </w:rPr>
      <w:t>ITU-R  SM.1056-1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3C215B">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1606"/>
    <w:rsid w:val="00144EB5"/>
    <w:rsid w:val="002D76C4"/>
    <w:rsid w:val="003868B2"/>
    <w:rsid w:val="003B7C3D"/>
    <w:rsid w:val="003C215B"/>
    <w:rsid w:val="004B6820"/>
    <w:rsid w:val="005267FC"/>
    <w:rsid w:val="005E4628"/>
    <w:rsid w:val="00607D68"/>
    <w:rsid w:val="006E1606"/>
    <w:rsid w:val="0080408F"/>
    <w:rsid w:val="008C4302"/>
    <w:rsid w:val="008D32EA"/>
    <w:rsid w:val="00970C0D"/>
    <w:rsid w:val="00A02605"/>
    <w:rsid w:val="00A6617B"/>
    <w:rsid w:val="00AB0DC8"/>
    <w:rsid w:val="00B24D13"/>
    <w:rsid w:val="00B44E24"/>
    <w:rsid w:val="00B63998"/>
    <w:rsid w:val="00B70A57"/>
    <w:rsid w:val="00BC214D"/>
    <w:rsid w:val="00C01C54"/>
    <w:rsid w:val="00C17997"/>
    <w:rsid w:val="00C21563"/>
    <w:rsid w:val="00D340E4"/>
    <w:rsid w:val="00DF4176"/>
    <w:rsid w:val="00F23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9ACE3"/>
  <w15:chartTrackingRefBased/>
  <w15:docId w15:val="{BC13FCF9-5055-49C7-B587-471524DD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uiPriority w:val="9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uiPriority w:val="99"/>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uiPriority w:val="39"/>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link w:val="FootnoteText"/>
    <w:uiPriority w:val="99"/>
    <w:rsid w:val="005E4628"/>
    <w:rPr>
      <w:sz w:val="22"/>
      <w:lang w:val="fr-FR" w:eastAsia="en-US"/>
    </w:rPr>
  </w:style>
  <w:style w:type="paragraph" w:customStyle="1" w:styleId="Figure">
    <w:name w:val="Figure"/>
    <w:basedOn w:val="FigureNo"/>
    <w:next w:val="Normal"/>
    <w:rsid w:val="00A6617B"/>
    <w:pPr>
      <w:keepNext w:val="0"/>
      <w:spacing w:before="0" w:after="240"/>
    </w:pPr>
  </w:style>
  <w:style w:type="character" w:styleId="Hyperlink">
    <w:name w:val="Hyperlink"/>
    <w:uiPriority w:val="99"/>
    <w:unhideWhenUsed/>
    <w:rsid w:val="003B7C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F3D32-5BE5-4953-803E-67A70980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23</TotalTime>
  <Pages>8</Pages>
  <Words>2477</Words>
  <Characters>13901</Characters>
  <Application>Microsoft Office Word</Application>
  <DocSecurity>0</DocSecurity>
  <Lines>448</Lines>
  <Paragraphs>287</Paragraphs>
  <ScaleCrop>false</ScaleCrop>
  <HeadingPairs>
    <vt:vector size="2" baseType="variant">
      <vt:variant>
        <vt:lpstr>Title</vt:lpstr>
      </vt:variant>
      <vt:variant>
        <vt:i4>1</vt:i4>
      </vt:variant>
    </vt:vector>
  </HeadingPairs>
  <TitlesOfParts>
    <vt:vector size="1" baseType="lpstr">
      <vt:lpstr>RECOMMENDATION  ITU-R  SM.1056-1* - Limitation of radiation from industrial, scientific and medical (ISM) equipment</vt:lpstr>
    </vt:vector>
  </TitlesOfParts>
  <Manager/>
  <Company>ITU</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SM.1056-1* - Limitation of radiation from industrial, scientific and medical (ISM) equipment</dc:title>
  <dc:subject>SM Series = Spectrum management</dc:subject>
  <dc:creator>ITU Radiocommunication Bureau (BR)</dc:creator>
  <cp:keywords>SM,1056-1*</cp:keywords>
  <dc:description>Berdyeva, 23/06/2023, ITU51013808</dc:description>
  <cp:lastModifiedBy>Berdyeva, Elena</cp:lastModifiedBy>
  <cp:revision>17</cp:revision>
  <cp:lastPrinted>2023-06-23T13:03:00Z</cp:lastPrinted>
  <dcterms:created xsi:type="dcterms:W3CDTF">2019-09-13T09:41:00Z</dcterms:created>
  <dcterms:modified xsi:type="dcterms:W3CDTF">2023-06-23T13:05:00Z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21 June 2023</vt:lpwstr>
  </property>
</Properties>
</file>