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489A" w:rsidRDefault="004F19C4">
      <w:pPr>
        <w:pStyle w:val="RecNo"/>
        <w:spacing w:before="0"/>
      </w:pPr>
      <w:r>
        <w:t xml:space="preserve">RECOMMANDATION  </w:t>
      </w:r>
      <w:r>
        <w:rPr>
          <w:rStyle w:val="href"/>
        </w:rPr>
        <w:t>UIT-R  SM.1633</w:t>
      </w:r>
      <w:r w:rsidR="00551F81">
        <w:rPr>
          <w:rStyle w:val="href"/>
        </w:rPr>
        <w:t>-0</w:t>
      </w:r>
      <w:r w:rsidR="00551F81">
        <w:rPr>
          <w:rStyle w:val="FootnoteReference"/>
        </w:rPr>
        <w:footnoteReference w:customMarkFollows="1" w:id="1"/>
        <w:t>*</w:t>
      </w:r>
    </w:p>
    <w:p w:rsidR="002B489A" w:rsidRDefault="004F19C4">
      <w:pPr>
        <w:pStyle w:val="Rectitle"/>
      </w:pPr>
      <w:r>
        <w:t xml:space="preserve">Analyse de compatibilité entre un service passif et un service actif ayant </w:t>
      </w:r>
      <w:r>
        <w:br/>
        <w:t>des attributions dans des bandes adjacentes et voisines</w:t>
      </w:r>
    </w:p>
    <w:p w:rsidR="002B489A" w:rsidRDefault="002B489A">
      <w:pPr>
        <w:pStyle w:val="Recref"/>
      </w:pPr>
    </w:p>
    <w:p w:rsidR="002B489A" w:rsidRDefault="004F19C4" w:rsidP="00551F81">
      <w:pPr>
        <w:pStyle w:val="Recdate"/>
        <w:spacing w:before="240"/>
      </w:pPr>
      <w:r>
        <w:t>(2003)</w:t>
      </w:r>
    </w:p>
    <w:p w:rsidR="00551F81" w:rsidRPr="00551F81" w:rsidRDefault="00551F81" w:rsidP="00551F81">
      <w:pPr>
        <w:keepNext/>
        <w:keepLines/>
        <w:spacing w:before="360"/>
        <w:rPr>
          <w:b/>
          <w:bCs/>
          <w:szCs w:val="24"/>
        </w:rPr>
      </w:pPr>
      <w:r w:rsidRPr="00551F81">
        <w:rPr>
          <w:b/>
          <w:bCs/>
          <w:szCs w:val="24"/>
        </w:rPr>
        <w:t>Domaine d'application</w:t>
      </w:r>
    </w:p>
    <w:p w:rsidR="00551F81" w:rsidRPr="00551F81" w:rsidRDefault="00551F81" w:rsidP="00551F81">
      <w:pPr>
        <w:rPr>
          <w:szCs w:val="24"/>
        </w:rPr>
      </w:pPr>
      <w:r w:rsidRPr="00551F81">
        <w:rPr>
          <w:szCs w:val="24"/>
        </w:rPr>
        <w:t>La présente Recommandation sert de base concernant la méthode d'analyse de compatibilité entre un service passif et un service actif ayant des attributions dans des bandes adjacentes et voisines.</w:t>
      </w:r>
    </w:p>
    <w:p w:rsidR="00551F81" w:rsidRPr="00551F81" w:rsidRDefault="00551F81" w:rsidP="00551F81">
      <w:pPr>
        <w:keepNext/>
        <w:keepLines/>
        <w:rPr>
          <w:rFonts w:eastAsia="Batang"/>
          <w:b/>
          <w:szCs w:val="24"/>
        </w:rPr>
      </w:pPr>
      <w:r w:rsidRPr="00551F81">
        <w:rPr>
          <w:rFonts w:eastAsia="Batang"/>
          <w:b/>
          <w:szCs w:val="24"/>
        </w:rPr>
        <w:t>Mots clés</w:t>
      </w:r>
    </w:p>
    <w:p w:rsidR="00551F81" w:rsidRDefault="00551F81" w:rsidP="00551F81">
      <w:r w:rsidRPr="00551F81">
        <w:rPr>
          <w:rFonts w:eastAsia="Batang"/>
          <w:szCs w:val="24"/>
          <w:lang w:eastAsia="ko-KR"/>
        </w:rPr>
        <w:t>Compatibilité, rayonnements non désirés, seuil, bande attribuée à un service actif, bande attribuée à un service passif</w:t>
      </w:r>
    </w:p>
    <w:p w:rsidR="002B489A" w:rsidRDefault="004F19C4" w:rsidP="00551F81">
      <w:pPr>
        <w:pStyle w:val="Normalaftertitle"/>
        <w:spacing w:before="480"/>
      </w:pPr>
      <w:r>
        <w:t>L'Assemblée des radiocommunications de l'UIT,</w:t>
      </w:r>
    </w:p>
    <w:p w:rsidR="002B489A" w:rsidRDefault="004F19C4">
      <w:pPr>
        <w:pStyle w:val="Call"/>
      </w:pPr>
      <w:r>
        <w:t>considérant</w:t>
      </w:r>
    </w:p>
    <w:p w:rsidR="002B489A" w:rsidRDefault="004F19C4">
      <w:r>
        <w:t>a)</w:t>
      </w:r>
      <w:r>
        <w:tab/>
        <w:t>que le service de radioastronomie (SRA), le service d'exploration de la Terre par satellite (SETS) (passive) et le service de recherche spatiale (passive) sont fondés sur la réception des émissions naturelles à des niveaux de puissance bien moindres que ceux qui sont généralement utilisés dans les autres services de radiocommunication;</w:t>
      </w:r>
    </w:p>
    <w:p w:rsidR="002B489A" w:rsidRDefault="004F19C4">
      <w:r>
        <w:t>b)</w:t>
      </w:r>
      <w:r>
        <w:tab/>
        <w:t>que, du fait de ces faibles niveaux de puissance reçus, ces services passifs sont généralement plus vulnérables que d'autres services aux brouillages causés par des rayonnements non désirés;</w:t>
      </w:r>
    </w:p>
    <w:p w:rsidR="002B489A" w:rsidRDefault="004F19C4">
      <w:r>
        <w:t>c)</w:t>
      </w:r>
      <w:r>
        <w:tab/>
        <w:t xml:space="preserve">que les limites générales des rayonnements non essentiels contenues dans l'Appendice </w:t>
      </w:r>
      <w:r>
        <w:rPr>
          <w:bCs/>
        </w:rPr>
        <w:t>3</w:t>
      </w:r>
      <w:r>
        <w:t xml:space="preserve"> du Règlement des radiocommunications (RR) pourraient ne pas protéger dans la mesure souhaitable les services passifs contre les brouillages; cependant, en fonction de la séparation entre les bandes attribuées aux services actifs et passifs, les niveaux réels des rayonnements non essentiels tombant dans une bande passive pourraient être inférieurs;</w:t>
      </w:r>
    </w:p>
    <w:p w:rsidR="002B489A" w:rsidRDefault="004F19C4">
      <w:r>
        <w:t>d)</w:t>
      </w:r>
      <w:r>
        <w:tab/>
        <w:t xml:space="preserve">que les niveaux généraux d'émissions dans le domaine des émissions hors bande contenus dans la Recommandation UIT-R </w:t>
      </w:r>
      <w:r>
        <w:rPr>
          <w:bCs/>
        </w:rPr>
        <w:t>SM.1541</w:t>
      </w:r>
      <w:r>
        <w:t xml:space="preserve"> pourraient ne pas protéger le fonctionnement des services passifs contre les brouillages;</w:t>
      </w:r>
    </w:p>
    <w:p w:rsidR="002B489A" w:rsidRDefault="004F19C4">
      <w:r>
        <w:t>e)</w:t>
      </w:r>
      <w:r>
        <w:tab/>
        <w:t>que les services passifs et actifs peuvent utiliser différentes pratiques opérationnelles et techniques de réduction des brouillages pour minimiser l'impact des brouillages sur les services passifs;</w:t>
      </w:r>
    </w:p>
    <w:p w:rsidR="002B489A" w:rsidRDefault="004F19C4">
      <w:r>
        <w:t>f)</w:t>
      </w:r>
      <w:r>
        <w:tab/>
        <w:t>que l'applicabilité de ces mesures de réduction des brouillages peut être limitée pour des raisons pratiques et économiques;</w:t>
      </w:r>
    </w:p>
    <w:p w:rsidR="002B489A" w:rsidRDefault="004F19C4">
      <w:r>
        <w:t>g)</w:t>
      </w:r>
      <w:r>
        <w:tab/>
        <w:t>que la charge de la réalisation de la compatibilité entre services actifs et passifs devrait être répartie équitablement;</w:t>
      </w:r>
    </w:p>
    <w:p w:rsidR="002B489A" w:rsidRDefault="004F19C4">
      <w:r>
        <w:t>h)</w:t>
      </w:r>
      <w:r>
        <w:tab/>
        <w:t xml:space="preserve">que la Recommandation </w:t>
      </w:r>
      <w:r>
        <w:rPr>
          <w:bCs/>
        </w:rPr>
        <w:t>66</w:t>
      </w:r>
      <w:r>
        <w:t xml:space="preserve"> (Rév.CMR-2000) dispose, au point </w:t>
      </w:r>
      <w:r>
        <w:rPr>
          <w:iCs/>
        </w:rPr>
        <w:t xml:space="preserve">5 </w:t>
      </w:r>
      <w:r>
        <w:t xml:space="preserve">du </w:t>
      </w:r>
      <w:r>
        <w:rPr>
          <w:i/>
        </w:rPr>
        <w:t>recommande</w:t>
      </w:r>
      <w:r>
        <w:t>, que l'UIT</w:t>
      </w:r>
      <w:r>
        <w:noBreakHyphen/>
        <w:t xml:space="preserve">R devrait «étudier les bandes de fréquences et les situations dans lesquelles il faudra peut-être, pour des raisons techniques ou d'exploitation, fixer pour les rayonnements non essentiels des limites </w:t>
      </w:r>
      <w:r>
        <w:lastRenderedPageBreak/>
        <w:t xml:space="preserve">plus rigoureuses que les limites générales indiquées dans l'Appendice 3, afin de protéger les services de sécurité et les services passifs comme le service de radioastronomie, et l'incidence sur tous les services concernés de la mise en œuvre ou non de ces limites»; </w:t>
      </w:r>
    </w:p>
    <w:p w:rsidR="002B489A" w:rsidRDefault="004F19C4" w:rsidP="0006728D">
      <w:pPr>
        <w:numPr>
          <w:ilvl w:val="0"/>
          <w:numId w:val="2"/>
        </w:numPr>
        <w:ind w:left="0" w:firstLine="0"/>
      </w:pPr>
      <w:r>
        <w:t xml:space="preserve">que la Recommandation </w:t>
      </w:r>
      <w:r>
        <w:rPr>
          <w:bCs/>
        </w:rPr>
        <w:t>66</w:t>
      </w:r>
      <w:r>
        <w:t xml:space="preserve"> (Rév.CMR-2000) dispose, au point 6 du </w:t>
      </w:r>
      <w:r>
        <w:rPr>
          <w:i/>
        </w:rPr>
        <w:t>recommande</w:t>
      </w:r>
      <w:r>
        <w:t>, que l'UIT</w:t>
      </w:r>
      <w:r>
        <w:noBreakHyphen/>
        <w:t>R devrait «étudier les bandes de fréquences et les situations dans lesquelles il faudra peut-être, pour des raisons techniques ou d'exploitation, fixer des limites aux émissions hors bande, afin de protéger les services de sécurité et les services passifs comme le service de radioastronomie, et l'incidence sur tous les services concernés de la mise en œuvre ou non de ces limites»;</w:t>
      </w:r>
    </w:p>
    <w:p w:rsidR="002B489A" w:rsidRDefault="004F19C4">
      <w:r>
        <w:t>k)</w:t>
      </w:r>
      <w:r>
        <w:tab/>
        <w:t>que les situations dans lesquelles les services passifs risquent d'avoir les plus grandes difficultés sont celles dont la liste figure au Tableau 1,</w:t>
      </w:r>
    </w:p>
    <w:p w:rsidR="002B489A" w:rsidRDefault="004F19C4">
      <w:pPr>
        <w:pStyle w:val="Call"/>
      </w:pPr>
      <w:r>
        <w:t>recommande</w:t>
      </w:r>
    </w:p>
    <w:p w:rsidR="002B489A" w:rsidRDefault="004F19C4">
      <w:r>
        <w:rPr>
          <w:b/>
          <w:bCs/>
        </w:rPr>
        <w:t>1</w:t>
      </w:r>
      <w:r>
        <w:tab/>
        <w:t xml:space="preserve">que la méthode exposée à l'Annexe 1 soit utilisée pour effectuer l'analyse de compatibilité entre un service passif et un service actif fonctionnant dans les bandes attribuées dont la liste figure au Tableau 1; </w:t>
      </w:r>
    </w:p>
    <w:p w:rsidR="002B489A" w:rsidRDefault="004F19C4">
      <w:r>
        <w:rPr>
          <w:b/>
          <w:bCs/>
        </w:rPr>
        <w:t>2</w:t>
      </w:r>
      <w:r>
        <w:tab/>
        <w:t>que d'autres méthodes conduisant à des solutions de compatibilité soient utilisées lorsque cela est approprié;</w:t>
      </w:r>
    </w:p>
    <w:p w:rsidR="002B489A" w:rsidRDefault="004F19C4">
      <w:r>
        <w:rPr>
          <w:b/>
          <w:bCs/>
        </w:rPr>
        <w:t>3</w:t>
      </w:r>
      <w:r>
        <w:tab/>
        <w:t>que les résultats des études bande par bande (voir les Annexes 2 à 21) soient pris en considération dans l'élaboration de solutions aux problèmes de brouillage entre les services indiqués.</w:t>
      </w:r>
    </w:p>
    <w:p w:rsidR="002B489A" w:rsidRDefault="002B489A"/>
    <w:p w:rsidR="002B489A" w:rsidRDefault="004F19C4">
      <w:pPr>
        <w:pStyle w:val="TableNo"/>
      </w:pPr>
      <w:r>
        <w:lastRenderedPageBreak/>
        <w:t>TABLEAU  1</w:t>
      </w:r>
    </w:p>
    <w:p w:rsidR="002B489A" w:rsidRDefault="004F19C4">
      <w:pPr>
        <w:pStyle w:val="Tabletitle"/>
      </w:pPr>
      <w:r>
        <w:t>Liste de référence des bandes de fréquences concernant les études bande par bande</w:t>
      </w:r>
    </w:p>
    <w:tbl>
      <w:tblPr>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813"/>
        <w:gridCol w:w="4710"/>
        <w:gridCol w:w="1116"/>
      </w:tblGrid>
      <w:tr w:rsidR="002B489A">
        <w:tc>
          <w:tcPr>
            <w:tcW w:w="3813" w:type="dxa"/>
          </w:tcPr>
          <w:p w:rsidR="002B489A" w:rsidRDefault="004F19C4">
            <w:pPr>
              <w:pStyle w:val="Tablehead"/>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t>Bande de service passif</w:t>
            </w:r>
          </w:p>
        </w:tc>
        <w:tc>
          <w:tcPr>
            <w:tcW w:w="4710" w:type="dxa"/>
            <w:tcBorders>
              <w:right w:val="single" w:sz="4" w:space="0" w:color="auto"/>
            </w:tcBorders>
          </w:tcPr>
          <w:p w:rsidR="002B489A" w:rsidRDefault="004F19C4">
            <w:pPr>
              <w:pStyle w:val="Tablehead"/>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t>Bande de service actif</w:t>
            </w:r>
          </w:p>
        </w:tc>
        <w:tc>
          <w:tcPr>
            <w:tcW w:w="1116" w:type="dxa"/>
          </w:tcPr>
          <w:p w:rsidR="002B489A" w:rsidRDefault="004F19C4">
            <w:pPr>
              <w:pStyle w:val="Tablehead"/>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t>Annexe</w:t>
            </w:r>
          </w:p>
        </w:tc>
      </w:tr>
      <w:tr w:rsidR="002B489A">
        <w:tc>
          <w:tcPr>
            <w:tcW w:w="3813"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t>1</w:t>
            </w:r>
            <w:r>
              <w:rPr>
                <w:rFonts w:ascii="Tms Rmn" w:hAnsi="Tms Rmn"/>
                <w:sz w:val="12"/>
              </w:rPr>
              <w:t> </w:t>
            </w:r>
            <w:r>
              <w:t>400-1</w:t>
            </w:r>
            <w:r>
              <w:rPr>
                <w:rFonts w:ascii="Tms Rmn" w:hAnsi="Tms Rmn"/>
                <w:sz w:val="12"/>
              </w:rPr>
              <w:t> </w:t>
            </w:r>
            <w:r>
              <w:t>427 MHz (SRA)</w:t>
            </w:r>
          </w:p>
        </w:tc>
        <w:tc>
          <w:tcPr>
            <w:tcW w:w="471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t>1</w:t>
            </w:r>
            <w:r>
              <w:rPr>
                <w:rFonts w:ascii="Tms Rmn" w:hAnsi="Tms Rmn"/>
                <w:sz w:val="12"/>
              </w:rPr>
              <w:t> </w:t>
            </w:r>
            <w:r>
              <w:t>452-1</w:t>
            </w:r>
            <w:r>
              <w:rPr>
                <w:rFonts w:ascii="Tms Rmn" w:hAnsi="Tms Rmn"/>
                <w:sz w:val="12"/>
              </w:rPr>
              <w:t> </w:t>
            </w:r>
            <w:r>
              <w:t>492 MHz (SRS)</w:t>
            </w:r>
            <w:r>
              <w:rPr>
                <w:position w:val="-6"/>
                <w:sz w:val="20"/>
              </w:rPr>
              <w:sym w:font="Symbol" w:char="F0AF"/>
            </w:r>
          </w:p>
        </w:tc>
        <w:tc>
          <w:tcPr>
            <w:tcW w:w="1116"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2</w:t>
            </w:r>
          </w:p>
        </w:tc>
      </w:tr>
      <w:tr w:rsidR="002B489A">
        <w:tc>
          <w:tcPr>
            <w:tcW w:w="3813"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t>1</w:t>
            </w:r>
            <w:r>
              <w:rPr>
                <w:rFonts w:ascii="Tms Rmn" w:hAnsi="Tms Rmn"/>
                <w:sz w:val="12"/>
              </w:rPr>
              <w:t> </w:t>
            </w:r>
            <w:r>
              <w:t>400-1</w:t>
            </w:r>
            <w:r>
              <w:rPr>
                <w:rFonts w:ascii="Tms Rmn" w:hAnsi="Tms Rmn"/>
                <w:sz w:val="12"/>
              </w:rPr>
              <w:t> </w:t>
            </w:r>
            <w:r>
              <w:t>427 MHz (SETS)</w:t>
            </w:r>
          </w:p>
        </w:tc>
        <w:tc>
          <w:tcPr>
            <w:tcW w:w="471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t>1</w:t>
            </w:r>
            <w:r>
              <w:rPr>
                <w:rFonts w:ascii="Tms Rmn" w:hAnsi="Tms Rmn"/>
                <w:sz w:val="12"/>
              </w:rPr>
              <w:t> </w:t>
            </w:r>
            <w:r>
              <w:t>350-1</w:t>
            </w:r>
            <w:r>
              <w:rPr>
                <w:rFonts w:ascii="Tms Rmn" w:hAnsi="Tms Rmn"/>
                <w:sz w:val="12"/>
              </w:rPr>
              <w:t> </w:t>
            </w:r>
            <w:r>
              <w:t>400 MHz (RN)</w:t>
            </w:r>
          </w:p>
        </w:tc>
        <w:tc>
          <w:tcPr>
            <w:tcW w:w="1116"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3</w:t>
            </w:r>
          </w:p>
        </w:tc>
      </w:tr>
      <w:tr w:rsidR="002B489A">
        <w:tc>
          <w:tcPr>
            <w:tcW w:w="3813"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t>1</w:t>
            </w:r>
            <w:r>
              <w:rPr>
                <w:rFonts w:ascii="Tms Rmn" w:hAnsi="Tms Rmn"/>
                <w:sz w:val="12"/>
              </w:rPr>
              <w:t> </w:t>
            </w:r>
            <w:r>
              <w:t>400-1</w:t>
            </w:r>
            <w:r>
              <w:rPr>
                <w:rFonts w:ascii="Tms Rmn" w:hAnsi="Tms Rmn"/>
                <w:sz w:val="12"/>
              </w:rPr>
              <w:t> </w:t>
            </w:r>
            <w:r>
              <w:t>427 MHz (SETS/SRA)</w:t>
            </w:r>
          </w:p>
        </w:tc>
        <w:tc>
          <w:tcPr>
            <w:tcW w:w="471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t>1</w:t>
            </w:r>
            <w:r>
              <w:rPr>
                <w:rFonts w:ascii="Tms Rmn" w:hAnsi="Tms Rmn"/>
                <w:sz w:val="12"/>
              </w:rPr>
              <w:t> </w:t>
            </w:r>
            <w:r>
              <w:t>525-1</w:t>
            </w:r>
            <w:r>
              <w:rPr>
                <w:rFonts w:ascii="Tms Rmn" w:hAnsi="Tms Rmn"/>
                <w:sz w:val="12"/>
              </w:rPr>
              <w:t> </w:t>
            </w:r>
            <w:r>
              <w:t>559 MHz (SMS)</w:t>
            </w:r>
            <w:r>
              <w:rPr>
                <w:position w:val="-6"/>
                <w:sz w:val="20"/>
              </w:rPr>
              <w:sym w:font="Symbol" w:char="F0AF"/>
            </w:r>
          </w:p>
        </w:tc>
        <w:tc>
          <w:tcPr>
            <w:tcW w:w="1116"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4</w:t>
            </w:r>
          </w:p>
        </w:tc>
      </w:tr>
      <w:tr w:rsidR="002B489A">
        <w:tc>
          <w:tcPr>
            <w:tcW w:w="3813"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t>1</w:t>
            </w:r>
            <w:r>
              <w:rPr>
                <w:rFonts w:ascii="Tms Rmn" w:hAnsi="Tms Rmn"/>
                <w:sz w:val="12"/>
              </w:rPr>
              <w:t> </w:t>
            </w:r>
            <w:r>
              <w:t>610,6-1</w:t>
            </w:r>
            <w:r>
              <w:rPr>
                <w:rFonts w:ascii="Tms Rmn" w:hAnsi="Tms Rmn"/>
                <w:sz w:val="12"/>
              </w:rPr>
              <w:t> </w:t>
            </w:r>
            <w:r>
              <w:t>613,8 MHz (SRA)</w:t>
            </w:r>
          </w:p>
        </w:tc>
        <w:tc>
          <w:tcPr>
            <w:tcW w:w="471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t>1</w:t>
            </w:r>
            <w:r>
              <w:rPr>
                <w:rFonts w:ascii="Tms Rmn" w:hAnsi="Tms Rmn"/>
                <w:sz w:val="12"/>
              </w:rPr>
              <w:t> </w:t>
            </w:r>
            <w:r>
              <w:t>559-1</w:t>
            </w:r>
            <w:r>
              <w:rPr>
                <w:rFonts w:ascii="Tms Rmn" w:hAnsi="Tms Rmn"/>
                <w:sz w:val="12"/>
              </w:rPr>
              <w:t> </w:t>
            </w:r>
            <w:r>
              <w:t>610 MHz (SRNS)</w:t>
            </w:r>
            <w:r>
              <w:rPr>
                <w:position w:val="-6"/>
                <w:sz w:val="20"/>
              </w:rPr>
              <w:sym w:font="Symbol" w:char="F0AF"/>
            </w:r>
          </w:p>
        </w:tc>
        <w:tc>
          <w:tcPr>
            <w:tcW w:w="1116"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5</w:t>
            </w:r>
          </w:p>
        </w:tc>
      </w:tr>
      <w:tr w:rsidR="002B489A">
        <w:tc>
          <w:tcPr>
            <w:tcW w:w="3813"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t>1</w:t>
            </w:r>
            <w:r>
              <w:rPr>
                <w:rFonts w:ascii="Tms Rmn" w:hAnsi="Tms Rmn"/>
                <w:sz w:val="12"/>
              </w:rPr>
              <w:t> </w:t>
            </w:r>
            <w:r>
              <w:t>610,6-1</w:t>
            </w:r>
            <w:r>
              <w:rPr>
                <w:rFonts w:ascii="Tms Rmn" w:hAnsi="Tms Rmn"/>
                <w:sz w:val="12"/>
              </w:rPr>
              <w:t> </w:t>
            </w:r>
            <w:r>
              <w:t>613,8 MHz (SRA)</w:t>
            </w:r>
          </w:p>
        </w:tc>
        <w:tc>
          <w:tcPr>
            <w:tcW w:w="471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t>1</w:t>
            </w:r>
            <w:r>
              <w:rPr>
                <w:rFonts w:ascii="Tms Rmn" w:hAnsi="Tms Rmn"/>
                <w:sz w:val="12"/>
              </w:rPr>
              <w:t> </w:t>
            </w:r>
            <w:r>
              <w:t>613,8-1</w:t>
            </w:r>
            <w:r>
              <w:rPr>
                <w:rFonts w:ascii="Tms Rmn" w:hAnsi="Tms Rmn"/>
                <w:sz w:val="12"/>
              </w:rPr>
              <w:t> </w:t>
            </w:r>
            <w:r>
              <w:t>626,5 MHz (SMS</w:t>
            </w:r>
            <w:r>
              <w:rPr>
                <w:position w:val="-6"/>
                <w:sz w:val="20"/>
              </w:rPr>
              <w:sym w:font="Symbol" w:char="F0AF"/>
            </w:r>
            <w:r>
              <w:t>)</w:t>
            </w:r>
          </w:p>
        </w:tc>
        <w:tc>
          <w:tcPr>
            <w:tcW w:w="1116"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6</w:t>
            </w:r>
          </w:p>
        </w:tc>
      </w:tr>
      <w:tr w:rsidR="002B489A">
        <w:tc>
          <w:tcPr>
            <w:tcW w:w="3813"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t>1</w:t>
            </w:r>
            <w:r>
              <w:rPr>
                <w:rFonts w:ascii="Tms Rmn" w:hAnsi="Tms Rmn"/>
                <w:sz w:val="12"/>
              </w:rPr>
              <w:t> </w:t>
            </w:r>
            <w:r>
              <w:t>610,6-1</w:t>
            </w:r>
            <w:r>
              <w:rPr>
                <w:rFonts w:ascii="Tms Rmn" w:hAnsi="Tms Rmn"/>
                <w:sz w:val="12"/>
              </w:rPr>
              <w:t> </w:t>
            </w:r>
            <w:r>
              <w:t>613,8 MHz (SRA)</w:t>
            </w:r>
          </w:p>
        </w:tc>
        <w:tc>
          <w:tcPr>
            <w:tcW w:w="471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t>1</w:t>
            </w:r>
            <w:r>
              <w:rPr>
                <w:rFonts w:ascii="Tms Rmn" w:hAnsi="Tms Rmn"/>
                <w:sz w:val="12"/>
              </w:rPr>
              <w:t> </w:t>
            </w:r>
            <w:r>
              <w:t>525-1</w:t>
            </w:r>
            <w:r>
              <w:rPr>
                <w:rFonts w:ascii="Tms Rmn" w:hAnsi="Tms Rmn"/>
                <w:sz w:val="12"/>
              </w:rPr>
              <w:t> </w:t>
            </w:r>
            <w:r>
              <w:t>559 MHz (SMS)</w:t>
            </w:r>
            <w:r>
              <w:rPr>
                <w:position w:val="-6"/>
                <w:sz w:val="20"/>
              </w:rPr>
              <w:sym w:font="Symbol" w:char="F0AF"/>
            </w:r>
          </w:p>
        </w:tc>
        <w:tc>
          <w:tcPr>
            <w:tcW w:w="1116"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7</w:t>
            </w:r>
          </w:p>
        </w:tc>
      </w:tr>
      <w:tr w:rsidR="002B489A">
        <w:tc>
          <w:tcPr>
            <w:tcW w:w="3813"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t>2</w:t>
            </w:r>
            <w:r>
              <w:rPr>
                <w:rFonts w:ascii="Tms Rmn" w:hAnsi="Tms Rmn"/>
                <w:sz w:val="12"/>
              </w:rPr>
              <w:t> </w:t>
            </w:r>
            <w:r>
              <w:t>690-2</w:t>
            </w:r>
            <w:r>
              <w:rPr>
                <w:rFonts w:ascii="Tms Rmn" w:hAnsi="Tms Rmn"/>
                <w:sz w:val="12"/>
              </w:rPr>
              <w:t> </w:t>
            </w:r>
            <w:r>
              <w:t>700 MHz (SRA)</w:t>
            </w:r>
          </w:p>
        </w:tc>
        <w:tc>
          <w:tcPr>
            <w:tcW w:w="471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t>2</w:t>
            </w:r>
            <w:r>
              <w:rPr>
                <w:rFonts w:ascii="Tms Rmn" w:hAnsi="Tms Rmn"/>
                <w:sz w:val="12"/>
              </w:rPr>
              <w:t> </w:t>
            </w:r>
            <w:r>
              <w:t>655-2</w:t>
            </w:r>
            <w:r>
              <w:rPr>
                <w:rFonts w:ascii="Tms Rmn" w:hAnsi="Tms Rmn"/>
                <w:sz w:val="12"/>
              </w:rPr>
              <w:t> </w:t>
            </w:r>
            <w:r>
              <w:t>690 MHz (SRS, SFS)</w:t>
            </w:r>
            <w:r>
              <w:rPr>
                <w:position w:val="-6"/>
                <w:sz w:val="20"/>
              </w:rPr>
              <w:sym w:font="Symbol" w:char="F0AF"/>
            </w:r>
          </w:p>
        </w:tc>
        <w:tc>
          <w:tcPr>
            <w:tcW w:w="1116"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8</w:t>
            </w:r>
          </w:p>
        </w:tc>
      </w:tr>
      <w:tr w:rsidR="002B489A">
        <w:tc>
          <w:tcPr>
            <w:tcW w:w="3813"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US"/>
              </w:rPr>
            </w:pPr>
            <w:r>
              <w:rPr>
                <w:lang w:val="en-US"/>
              </w:rPr>
              <w:t>10,6-10,7 GHz (SETS)</w:t>
            </w:r>
          </w:p>
        </w:tc>
        <w:tc>
          <w:tcPr>
            <w:tcW w:w="471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US"/>
              </w:rPr>
            </w:pPr>
            <w:r>
              <w:rPr>
                <w:lang w:val="en-US"/>
              </w:rPr>
              <w:t>10,7-10,95 GHz (SFS)</w:t>
            </w:r>
            <w:r>
              <w:rPr>
                <w:position w:val="-6"/>
                <w:sz w:val="20"/>
              </w:rPr>
              <w:sym w:font="Symbol" w:char="F0AF"/>
            </w:r>
          </w:p>
        </w:tc>
        <w:tc>
          <w:tcPr>
            <w:tcW w:w="1116"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9</w:t>
            </w:r>
          </w:p>
        </w:tc>
      </w:tr>
      <w:tr w:rsidR="002B489A">
        <w:tc>
          <w:tcPr>
            <w:tcW w:w="3813"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US"/>
              </w:rPr>
            </w:pPr>
            <w:r>
              <w:rPr>
                <w:lang w:val="en-US"/>
              </w:rPr>
              <w:t>10,6-10,7 GHz (SRA)</w:t>
            </w:r>
          </w:p>
        </w:tc>
        <w:tc>
          <w:tcPr>
            <w:tcW w:w="471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US"/>
              </w:rPr>
            </w:pPr>
            <w:r>
              <w:rPr>
                <w:lang w:val="en-US"/>
              </w:rPr>
              <w:t>10,7-10,95 GHz (SFS)</w:t>
            </w:r>
            <w:r>
              <w:rPr>
                <w:position w:val="-6"/>
                <w:sz w:val="20"/>
              </w:rPr>
              <w:sym w:font="Symbol" w:char="F0AF"/>
            </w:r>
          </w:p>
        </w:tc>
        <w:tc>
          <w:tcPr>
            <w:tcW w:w="1116"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10</w:t>
            </w:r>
          </w:p>
        </w:tc>
      </w:tr>
      <w:tr w:rsidR="002B489A">
        <w:tc>
          <w:tcPr>
            <w:tcW w:w="3813"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US"/>
              </w:rPr>
            </w:pPr>
            <w:r>
              <w:rPr>
                <w:lang w:val="en-US"/>
              </w:rPr>
              <w:t>21,2-21,4 GHz (SETS)</w:t>
            </w:r>
          </w:p>
        </w:tc>
        <w:tc>
          <w:tcPr>
            <w:tcW w:w="471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US"/>
              </w:rPr>
            </w:pPr>
            <w:r>
              <w:rPr>
                <w:lang w:val="en-US"/>
              </w:rPr>
              <w:t>20,2-21,2 GHz (SMS, SFS)</w:t>
            </w:r>
            <w:r>
              <w:rPr>
                <w:position w:val="-6"/>
                <w:sz w:val="20"/>
              </w:rPr>
              <w:sym w:font="Symbol" w:char="F0AF"/>
            </w:r>
          </w:p>
        </w:tc>
        <w:tc>
          <w:tcPr>
            <w:tcW w:w="1116"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11</w:t>
            </w:r>
          </w:p>
        </w:tc>
      </w:tr>
      <w:tr w:rsidR="002B489A">
        <w:tc>
          <w:tcPr>
            <w:tcW w:w="3813"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US"/>
              </w:rPr>
            </w:pPr>
            <w:r>
              <w:rPr>
                <w:lang w:val="en-US"/>
              </w:rPr>
              <w:t>22,21-22,5 GHz (SRA)</w:t>
            </w:r>
          </w:p>
        </w:tc>
        <w:tc>
          <w:tcPr>
            <w:tcW w:w="471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US"/>
              </w:rPr>
            </w:pPr>
            <w:r>
              <w:rPr>
                <w:lang w:val="en-US"/>
              </w:rPr>
              <w:t>21,4-22 GHz (SRS)</w:t>
            </w:r>
            <w:r>
              <w:rPr>
                <w:position w:val="-6"/>
                <w:sz w:val="20"/>
              </w:rPr>
              <w:sym w:font="Symbol" w:char="F0AF"/>
            </w:r>
          </w:p>
        </w:tc>
        <w:tc>
          <w:tcPr>
            <w:tcW w:w="1116"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12</w:t>
            </w:r>
          </w:p>
        </w:tc>
      </w:tr>
      <w:tr w:rsidR="002B489A">
        <w:tc>
          <w:tcPr>
            <w:tcW w:w="3813"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US"/>
              </w:rPr>
            </w:pPr>
            <w:r>
              <w:rPr>
                <w:lang w:val="en-US"/>
              </w:rPr>
              <w:t>23,6-24 GHz (SETS)</w:t>
            </w:r>
          </w:p>
        </w:tc>
        <w:tc>
          <w:tcPr>
            <w:tcW w:w="471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US"/>
              </w:rPr>
            </w:pPr>
            <w:r>
              <w:rPr>
                <w:lang w:val="en-US"/>
              </w:rPr>
              <w:t>22,55-23,55 GHz (SIS)</w:t>
            </w:r>
          </w:p>
        </w:tc>
        <w:tc>
          <w:tcPr>
            <w:tcW w:w="1116"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13</w:t>
            </w:r>
          </w:p>
        </w:tc>
      </w:tr>
      <w:tr w:rsidR="002B489A">
        <w:tc>
          <w:tcPr>
            <w:tcW w:w="3813"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US"/>
              </w:rPr>
            </w:pPr>
            <w:r>
              <w:rPr>
                <w:lang w:val="en-US"/>
              </w:rPr>
              <w:t>31,3-31,5 GHz (SETS)</w:t>
            </w:r>
          </w:p>
        </w:tc>
        <w:tc>
          <w:tcPr>
            <w:tcW w:w="471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US"/>
              </w:rPr>
            </w:pPr>
            <w:r>
              <w:rPr>
                <w:lang w:val="en-US"/>
              </w:rPr>
              <w:t>30-31 GHz (SFS, SMS)</w:t>
            </w:r>
            <w:r>
              <w:rPr>
                <w:position w:val="2"/>
                <w:sz w:val="20"/>
              </w:rPr>
              <w:sym w:font="Symbol" w:char="F0AD"/>
            </w:r>
          </w:p>
        </w:tc>
        <w:tc>
          <w:tcPr>
            <w:tcW w:w="1116"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14</w:t>
            </w:r>
          </w:p>
        </w:tc>
      </w:tr>
      <w:tr w:rsidR="002B489A">
        <w:tc>
          <w:tcPr>
            <w:tcW w:w="3813"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US"/>
              </w:rPr>
            </w:pPr>
            <w:r>
              <w:rPr>
                <w:lang w:val="en-US"/>
              </w:rPr>
              <w:t>31,3-31,5 GHz (SETS)</w:t>
            </w:r>
          </w:p>
        </w:tc>
        <w:tc>
          <w:tcPr>
            <w:tcW w:w="471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US"/>
              </w:rPr>
            </w:pPr>
            <w:r>
              <w:rPr>
                <w:lang w:val="en-US"/>
              </w:rPr>
              <w:t xml:space="preserve">31,0-31,3 GHz (SF) </w:t>
            </w:r>
          </w:p>
        </w:tc>
        <w:tc>
          <w:tcPr>
            <w:tcW w:w="1116"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15</w:t>
            </w:r>
          </w:p>
        </w:tc>
      </w:tr>
      <w:tr w:rsidR="002B489A">
        <w:tc>
          <w:tcPr>
            <w:tcW w:w="3813"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US"/>
              </w:rPr>
            </w:pPr>
            <w:r>
              <w:rPr>
                <w:lang w:val="en-US"/>
              </w:rPr>
              <w:t>31,5-31,8 GHz (SETS)</w:t>
            </w:r>
          </w:p>
        </w:tc>
        <w:tc>
          <w:tcPr>
            <w:tcW w:w="471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US"/>
              </w:rPr>
            </w:pPr>
            <w:r>
              <w:rPr>
                <w:lang w:val="en-US"/>
              </w:rPr>
              <w:t>31,8-33,4 GHz (SF)</w:t>
            </w:r>
          </w:p>
        </w:tc>
        <w:tc>
          <w:tcPr>
            <w:tcW w:w="1116"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16</w:t>
            </w:r>
          </w:p>
        </w:tc>
      </w:tr>
      <w:tr w:rsidR="002B489A">
        <w:tc>
          <w:tcPr>
            <w:tcW w:w="3813"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US"/>
              </w:rPr>
            </w:pPr>
            <w:r>
              <w:rPr>
                <w:lang w:val="en-US"/>
              </w:rPr>
              <w:t>31,5-31,8 GHz (SETS)</w:t>
            </w:r>
          </w:p>
        </w:tc>
        <w:tc>
          <w:tcPr>
            <w:tcW w:w="471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US"/>
              </w:rPr>
            </w:pPr>
            <w:r>
              <w:rPr>
                <w:lang w:val="en-US"/>
              </w:rPr>
              <w:t>31,8-33,4 GHz (RN)</w:t>
            </w:r>
          </w:p>
        </w:tc>
        <w:tc>
          <w:tcPr>
            <w:tcW w:w="1116"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17</w:t>
            </w:r>
          </w:p>
        </w:tc>
      </w:tr>
      <w:tr w:rsidR="002B489A">
        <w:tc>
          <w:tcPr>
            <w:tcW w:w="3813"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US"/>
              </w:rPr>
            </w:pPr>
            <w:r>
              <w:rPr>
                <w:lang w:val="en-US"/>
              </w:rPr>
              <w:t>42,5-43,5 GHz (SRA)</w:t>
            </w:r>
          </w:p>
        </w:tc>
        <w:tc>
          <w:tcPr>
            <w:tcW w:w="471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US"/>
              </w:rPr>
            </w:pPr>
            <w:r>
              <w:rPr>
                <w:lang w:val="en-US"/>
              </w:rPr>
              <w:t>41,5-42,5 GHz (SRS, SFS)</w:t>
            </w:r>
            <w:r>
              <w:rPr>
                <w:position w:val="-6"/>
                <w:sz w:val="20"/>
              </w:rPr>
              <w:sym w:font="Symbol" w:char="F0AF"/>
            </w:r>
          </w:p>
        </w:tc>
        <w:tc>
          <w:tcPr>
            <w:tcW w:w="1116"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18</w:t>
            </w:r>
          </w:p>
        </w:tc>
      </w:tr>
      <w:tr w:rsidR="002B489A">
        <w:tc>
          <w:tcPr>
            <w:tcW w:w="3813"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US"/>
              </w:rPr>
            </w:pPr>
            <w:r>
              <w:rPr>
                <w:lang w:val="en-US"/>
              </w:rPr>
              <w:t>50,2-50,4 GHz (SETS)</w:t>
            </w:r>
          </w:p>
        </w:tc>
        <w:tc>
          <w:tcPr>
            <w:tcW w:w="471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US"/>
              </w:rPr>
            </w:pPr>
            <w:r>
              <w:rPr>
                <w:lang w:val="en-US"/>
              </w:rPr>
              <w:t>47,2-50,2 GHz (SFS)</w:t>
            </w:r>
            <w:r>
              <w:rPr>
                <w:position w:val="2"/>
                <w:sz w:val="20"/>
              </w:rPr>
              <w:sym w:font="Symbol" w:char="F0AD"/>
            </w:r>
          </w:p>
        </w:tc>
        <w:tc>
          <w:tcPr>
            <w:tcW w:w="1116"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19</w:t>
            </w:r>
          </w:p>
        </w:tc>
      </w:tr>
      <w:tr w:rsidR="002B489A">
        <w:tc>
          <w:tcPr>
            <w:tcW w:w="3813"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US"/>
              </w:rPr>
            </w:pPr>
            <w:r>
              <w:rPr>
                <w:lang w:val="en-US"/>
              </w:rPr>
              <w:t>50,2-50,4 GHz (SETS)</w:t>
            </w:r>
          </w:p>
        </w:tc>
        <w:tc>
          <w:tcPr>
            <w:tcW w:w="471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US"/>
              </w:rPr>
            </w:pPr>
            <w:r>
              <w:rPr>
                <w:lang w:val="en-US"/>
              </w:rPr>
              <w:t>50,4-51,4 GHz (SFS, SMS)</w:t>
            </w:r>
            <w:r>
              <w:rPr>
                <w:position w:val="2"/>
                <w:sz w:val="20"/>
              </w:rPr>
              <w:sym w:font="Symbol" w:char="F0AD"/>
            </w:r>
          </w:p>
        </w:tc>
        <w:tc>
          <w:tcPr>
            <w:tcW w:w="1116"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20</w:t>
            </w:r>
          </w:p>
        </w:tc>
      </w:tr>
      <w:tr w:rsidR="002B489A">
        <w:tc>
          <w:tcPr>
            <w:tcW w:w="3813" w:type="dxa"/>
            <w:tcBorders>
              <w:bottom w:val="single" w:sz="6" w:space="0" w:color="000000"/>
            </w:tcBorders>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t>52,6-52,8 GHz (SETS)</w:t>
            </w:r>
          </w:p>
        </w:tc>
        <w:tc>
          <w:tcPr>
            <w:tcW w:w="4710" w:type="dxa"/>
            <w:tcBorders>
              <w:bottom w:val="single" w:sz="6" w:space="0" w:color="000000"/>
            </w:tcBorders>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t>51,4-52,6 GHz (</w:t>
            </w:r>
            <w:r>
              <w:rPr>
                <w:lang w:val="en-US"/>
              </w:rPr>
              <w:t>SF</w:t>
            </w:r>
            <w:r>
              <w:t>)</w:t>
            </w:r>
          </w:p>
        </w:tc>
        <w:tc>
          <w:tcPr>
            <w:tcW w:w="1116" w:type="dxa"/>
            <w:tcBorders>
              <w:bottom w:val="single" w:sz="6" w:space="0" w:color="000000"/>
            </w:tcBorders>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21</w:t>
            </w:r>
          </w:p>
        </w:tc>
      </w:tr>
      <w:tr w:rsidR="002B489A">
        <w:trPr>
          <w:cantSplit/>
        </w:trPr>
        <w:tc>
          <w:tcPr>
            <w:tcW w:w="9639" w:type="dxa"/>
            <w:gridSpan w:val="3"/>
            <w:tcBorders>
              <w:left w:val="nil"/>
              <w:bottom w:val="nil"/>
              <w:right w:val="nil"/>
            </w:tcBorders>
          </w:tcPr>
          <w:p w:rsidR="002B489A" w:rsidRDefault="004F19C4">
            <w:pPr>
              <w:pStyle w:val="Tablelegend"/>
              <w:framePr w:hSpace="181" w:wrap="notBeside" w:vAnchor="text" w:hAnchor="text" w:xAlign="center" w:y="1"/>
              <w:tabs>
                <w:tab w:val="clear" w:pos="284"/>
                <w:tab w:val="clear" w:pos="567"/>
                <w:tab w:val="left" w:pos="720"/>
              </w:tabs>
              <w:ind w:left="720" w:hanging="805"/>
            </w:pPr>
            <w:r>
              <w:t>SIS:</w:t>
            </w:r>
            <w:r>
              <w:tab/>
              <w:t>service intersatellites</w:t>
            </w:r>
          </w:p>
          <w:p w:rsidR="002B489A" w:rsidRDefault="004F19C4">
            <w:pPr>
              <w:pStyle w:val="Tablelegend"/>
              <w:framePr w:hSpace="181" w:wrap="notBeside" w:vAnchor="text" w:hAnchor="text" w:xAlign="center" w:y="1"/>
              <w:tabs>
                <w:tab w:val="clear" w:pos="284"/>
                <w:tab w:val="clear" w:pos="567"/>
                <w:tab w:val="left" w:pos="720"/>
              </w:tabs>
              <w:ind w:left="720" w:hanging="805"/>
            </w:pPr>
            <w:r>
              <w:t>SRNS:</w:t>
            </w:r>
            <w:r>
              <w:tab/>
              <w:t>service de radionavigation par satellite</w:t>
            </w:r>
          </w:p>
        </w:tc>
      </w:tr>
    </w:tbl>
    <w:p w:rsidR="002B489A" w:rsidRDefault="002B489A">
      <w:pPr>
        <w:pStyle w:val="Tablefin"/>
        <w:rPr>
          <w:lang w:val="fr-FR"/>
        </w:rPr>
      </w:pPr>
    </w:p>
    <w:p w:rsidR="002B489A" w:rsidRDefault="004F19C4">
      <w:pPr>
        <w:pStyle w:val="AnnexNoTitle"/>
      </w:pPr>
      <w:r>
        <w:br w:type="page"/>
        <w:t>Annexe 1</w:t>
      </w:r>
      <w:r>
        <w:br/>
      </w:r>
      <w:r>
        <w:br/>
        <w:t>Méthode</w:t>
      </w:r>
    </w:p>
    <w:p w:rsidR="002B489A" w:rsidRDefault="004F19C4">
      <w:pPr>
        <w:pStyle w:val="Heading1"/>
      </w:pPr>
      <w:r>
        <w:t>1</w:t>
      </w:r>
      <w:r>
        <w:tab/>
        <w:t>Généralités</w:t>
      </w:r>
    </w:p>
    <w:p w:rsidR="002B489A" w:rsidRDefault="004F19C4">
      <w:r>
        <w:t>La méthode générale suivante définit des moyens systématiques pour calculer des critères de compatibilité mutuellement acceptables entre les opérateurs de services actifs et passifs fonctionnant dans les bandes qui leur sont attribuées. Le diagramme de flux de la Fig. 1 résume la méthode, chaque étape étant décrite en détail au § 2 de la présente Annexe. La procédure étant itérative, plusieurs cycles peuvent être nécessaires pour trouver une solution.</w:t>
      </w:r>
    </w:p>
    <w:p w:rsidR="002B489A" w:rsidRDefault="004F19C4">
      <w:r>
        <w:t xml:space="preserve">La première étape consiste à déterminer les paramètres de transmission du service actif (boîte (i)). Le point de départ est le scénario le plus défavorable qui est utilisé pour déterminer si un brouillage nuisible risque d'être causé aux services passifs par un quelconque des services actifs fonctionnant dans une bande adjacente ou proche. Ce cas le plus défavorable de niveau de puissance peut souvent être déterminé à partir des limites réglementaires existantes (boîte (1)), comme les puissances surfaciques qui figurent à l'Article </w:t>
      </w:r>
      <w:r>
        <w:rPr>
          <w:bCs/>
        </w:rPr>
        <w:t>21</w:t>
      </w:r>
      <w:r>
        <w:t xml:space="preserve"> du RR. On doit alors utiliser ces limites réglementaires de la puissance émise par le service actif pour déterminer le niveau du cas le plus défavorable de rayonnements non désirés dans la bande passive (boîte (ii)).</w:t>
      </w:r>
    </w:p>
    <w:p w:rsidR="002B489A" w:rsidRDefault="004F19C4">
      <w:r>
        <w:t>L'étape suivante consiste à déterminer si ce niveau de brouillage dans le cas le plus défavorable est supérieur au seuil de brouillage du service passif pour la bande considérée (losange (a)). Ces niveaux de seuil sont donnés dans diverses Recommandations UIT-R (boîte (2)) par exemple les Recommandations U</w:t>
      </w:r>
      <w:r>
        <w:rPr>
          <w:rFonts w:ascii="Times" w:hAnsi="Times"/>
        </w:rPr>
        <w:t>IT</w:t>
      </w:r>
      <w:r>
        <w:rPr>
          <w:rFonts w:ascii="Times" w:hAnsi="Times"/>
        </w:rPr>
        <w:noBreakHyphen/>
        <w:t>R</w:t>
      </w:r>
      <w:r>
        <w:rPr>
          <w:rFonts w:ascii="Times" w:hAnsi="Times"/>
          <w:b/>
        </w:rPr>
        <w:t> </w:t>
      </w:r>
      <w:r>
        <w:rPr>
          <w:rFonts w:ascii="Times" w:hAnsi="Times"/>
          <w:bCs/>
        </w:rPr>
        <w:t>RA.769</w:t>
      </w:r>
      <w:r>
        <w:t>, ou U</w:t>
      </w:r>
      <w:r>
        <w:rPr>
          <w:rFonts w:ascii="Times" w:hAnsi="Times"/>
        </w:rPr>
        <w:t>IT-R</w:t>
      </w:r>
      <w:r>
        <w:rPr>
          <w:rFonts w:ascii="Times" w:hAnsi="Times"/>
          <w:b/>
        </w:rPr>
        <w:t xml:space="preserve"> </w:t>
      </w:r>
      <w:r>
        <w:rPr>
          <w:rFonts w:ascii="Times" w:hAnsi="Times"/>
          <w:bCs/>
        </w:rPr>
        <w:t>SA.1029</w:t>
      </w:r>
      <w:r>
        <w:t>. Si ce seuil de brouillage est supérieur au niveau le plus défavorable de rayonnements non désirés dans la bande, il n'y a alors pas d'impact négatif sur le fonctionnement du service. Dans ce cas, la méthode suit la ligne «Oui» et le processus s'achève. A ce point, comme pour tous les autres points de terminaison de la méthode, les hypothèses utilisées pour arriver au point de terminaison forment la base technique d'un accord de travail compatible entre les services actifs et passifs concernés. La façon dont ces hypothèses techniques et les conclusions qui en découlent sont utilisées est un problème réglementaire qui dépasse la portée technique de la présente Recommandation. Cependant, dans le cas du losange (a), si le brouillage est estimé supérieur aux critères du service passif, il est alors nécessaire de suivre la branche «Non» vers le losange (b). A la première itération, aucune nouvelle information n'est disponible et le chemin continue vers la boîte (iii). Pour les itérations ultérieures, le seuil dans le losange (b) peut être différent des critères du service passif utilisés dans le losange (a) comme suite à la modification ou à l'addition de paramètres, et à une nouvelle répartition des inconvénients. Ces modifications ou additions de paramètres peuvent résulter des losanges (c), (d) ou (e). Le losange (b) permet d'estimer ultérieurement s'il y a compatibilité.</w:t>
      </w:r>
    </w:p>
    <w:p w:rsidR="002B489A" w:rsidRDefault="004F19C4">
      <w:r>
        <w:t>Si tel est le cas, le processus suit la branche «Oui», et la procédure s'achève. Si tel n'est pas le cas, la discordance doit être évaluée, au moyen de quoi, en rejoignant les losanges (c), (d) ou (e), les possibilités suivantes sont explorées:</w:t>
      </w:r>
    </w:p>
    <w:p w:rsidR="002B489A" w:rsidRDefault="004F19C4">
      <w:pPr>
        <w:pStyle w:val="enumlev1"/>
      </w:pPr>
      <w:r>
        <w:t>–</w:t>
      </w:r>
      <w:r>
        <w:tab/>
        <w:t>préciser les paramètres d'émission du service actif tels que les paramètres réels du système, la puissance primaire disponible, etc., et/ou;</w:t>
      </w:r>
    </w:p>
    <w:p w:rsidR="002B489A" w:rsidRDefault="004F19C4">
      <w:pPr>
        <w:pStyle w:val="enumlev1"/>
      </w:pPr>
      <w:r>
        <w:t>–</w:t>
      </w:r>
      <w:r>
        <w:tab/>
        <w:t>préciser les paramètres de réception dans la bande passive, et/ou;</w:t>
      </w:r>
    </w:p>
    <w:p w:rsidR="002B489A" w:rsidRDefault="004F19C4">
      <w:pPr>
        <w:pStyle w:val="enumlev1"/>
      </w:pPr>
      <w:r>
        <w:t>–</w:t>
      </w:r>
      <w:r>
        <w:tab/>
        <w:t>pousser plus loin les techniques de réduction des brouillages à la fois pour les services actifs et pour les services passifs, ce qui peut inclure aussi bien les possibilités (a) et (b).</w:t>
      </w:r>
    </w:p>
    <w:p w:rsidR="002B489A" w:rsidRDefault="004F19C4">
      <w:pPr>
        <w:pStyle w:val="FigureNo"/>
      </w:pPr>
      <w:r>
        <w:br w:type="page"/>
      </w:r>
      <w:r w:rsidR="0006728D">
        <w:rPr>
          <w:noProof/>
          <w:lang w:val="fr-CH" w:eastAsia="fr-CH"/>
        </w:rPr>
        <w:drawing>
          <wp:inline distT="0" distB="0" distL="0" distR="0">
            <wp:extent cx="5629275" cy="8601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9275" cy="8601075"/>
                    </a:xfrm>
                    <a:prstGeom prst="rect">
                      <a:avLst/>
                    </a:prstGeom>
                    <a:noFill/>
                    <a:ln>
                      <a:noFill/>
                    </a:ln>
                  </pic:spPr>
                </pic:pic>
              </a:graphicData>
            </a:graphic>
          </wp:inline>
        </w:drawing>
      </w:r>
    </w:p>
    <w:p w:rsidR="002B489A" w:rsidRDefault="004F19C4">
      <w:r>
        <w:br w:type="page"/>
        <w:t>Lorsque, durant l'évaluation des différences, comme indiqué dans la boîte (iii), il apparaît que l'écart entre les deux niveaux est important, il est alors clair que les hypothèses utilisées dans la première itération sont insuffisantes pour résoudre le problème et qu'on doit faire des hypothèses plus détaillées sur les caractéristiques et le fonctionnement des deux services. Cependant, si l'écart est faible, il peut y avoir une possibilité de modifier légèrement une des hypothèses sous-jacentes de façon à permettre de converger vers une solution à l'itération suivante. Un examen des données dont on dispose peut indiquer quelles hypothèses supplémentaires pourraient être intéressantes.</w:t>
      </w:r>
    </w:p>
    <w:p w:rsidR="002B489A" w:rsidRDefault="004F19C4">
      <w:r>
        <w:t>De ce point de vue, un ou plusieurs paramètres du service actif, paramètres du service passif, critères de compatibilité ou méthodes de réduction des brouillages possibles peuvent être pris en considération pour des modifications par itérations successives. Il faudra effectuer autant d'itérations que nécessaire pour, soit résoudre complètement le problème, soit avoir épuisé toutes les solutions possibles. Dans ce dernier c</w:t>
      </w:r>
      <w:r>
        <w:tab/>
        <w:t>as, et si aucun fonctionnement compatible ne paraît possible, la méthode s'achève alors sur une «solution consultative». Cela implique que la seule solution possible est que l'opérateur d'un système actif donné consulte celui d'un système de service passif pour établir une solution bilatérale, si cela est possible. Les particularités de telles solutions consultatives dépassent le domaine d'application de la présente Recommandation.</w:t>
      </w:r>
    </w:p>
    <w:p w:rsidR="002B489A" w:rsidRDefault="004F19C4">
      <w:r>
        <w:t>La présente méthode ne traite que les risques de brouillage venant d'un seul service actif fonctionnant dans la bande qui lui est attribuée. On notera que le SETS (passive) peut subir simultanément des brouillages causés par plusieurs services, et qu'il peut donc être nécessaire de prendre en compte les effets cumulatifs de services actifs multiples.</w:t>
      </w:r>
    </w:p>
    <w:p w:rsidR="002B489A" w:rsidRDefault="004F19C4">
      <w:pPr>
        <w:pStyle w:val="Heading1"/>
      </w:pPr>
      <w:r>
        <w:t>2</w:t>
      </w:r>
      <w:r>
        <w:tab/>
        <w:t>Description détaillée du diagramme de flux</w:t>
      </w:r>
    </w:p>
    <w:p w:rsidR="002B489A" w:rsidRDefault="004F19C4">
      <w:pPr>
        <w:pStyle w:val="Heading2"/>
      </w:pPr>
      <w:r>
        <w:t>2.1</w:t>
      </w:r>
      <w:r>
        <w:tab/>
        <w:t>Boîte (1): Documents existants de l'UIT</w:t>
      </w:r>
    </w:p>
    <w:p w:rsidR="002B489A" w:rsidRDefault="004F19C4">
      <w:r>
        <w:t>Cette boîte se rapporte aux documents qui peuvent être pertinents pour déterminer les rayonnements émis. Les articles suivants du RR, les Recommandations et Rapports UIT-R concernent la détermination de la puissance d'émission qui peut passer dans les bandes passives et sont fournis pour référence. Ces dispositions réglementaires et Recommandations doivent servir comme point de départ pour l'évaluation du risque de rayonnements non désirés d'un service actif dans les bandes d'un service passif.</w:t>
      </w:r>
    </w:p>
    <w:p w:rsidR="002B489A" w:rsidRDefault="004F19C4">
      <w:pPr>
        <w:pStyle w:val="Headingb"/>
      </w:pPr>
      <w:r>
        <w:t>Règlement des radiocommunications</w:t>
      </w:r>
    </w:p>
    <w:p w:rsidR="002B489A" w:rsidRDefault="004F19C4">
      <w:r>
        <w:t>Articles 1, 5, 21, 22, Appendice 3.</w:t>
      </w:r>
    </w:p>
    <w:p w:rsidR="002B489A" w:rsidRDefault="004F19C4">
      <w:pPr>
        <w:pStyle w:val="Headingb"/>
      </w:pPr>
      <w:r>
        <w:t>Recommandations</w:t>
      </w:r>
    </w:p>
    <w:p w:rsidR="002B489A" w:rsidRDefault="004F19C4">
      <w:pPr>
        <w:tabs>
          <w:tab w:val="clear" w:pos="794"/>
          <w:tab w:val="clear" w:pos="1191"/>
          <w:tab w:val="clear" w:pos="1588"/>
          <w:tab w:val="clear" w:pos="1985"/>
          <w:tab w:val="left" w:pos="1134"/>
          <w:tab w:val="left" w:pos="1980"/>
        </w:tabs>
        <w:ind w:left="1980" w:hanging="1980"/>
      </w:pPr>
      <w:r>
        <w:rPr>
          <w:bCs/>
        </w:rPr>
        <w:t>UIT-R F.758:</w:t>
      </w:r>
      <w:r>
        <w:rPr>
          <w:b/>
        </w:rPr>
        <w:tab/>
      </w:r>
      <w:r>
        <w:t>Considérations relatives à la mise au point de critères de partage entre le service fixe de terre et d'autres services</w:t>
      </w:r>
    </w:p>
    <w:p w:rsidR="002B489A" w:rsidRDefault="004F19C4">
      <w:pPr>
        <w:tabs>
          <w:tab w:val="clear" w:pos="794"/>
          <w:tab w:val="clear" w:pos="1191"/>
          <w:tab w:val="clear" w:pos="1588"/>
          <w:tab w:val="clear" w:pos="1985"/>
          <w:tab w:val="left" w:pos="1134"/>
          <w:tab w:val="left" w:pos="1980"/>
        </w:tabs>
        <w:ind w:left="1980" w:hanging="1980"/>
      </w:pPr>
      <w:r>
        <w:rPr>
          <w:bCs/>
        </w:rPr>
        <w:t>UIT-R F.1191:</w:t>
      </w:r>
      <w:r>
        <w:rPr>
          <w:b/>
        </w:rPr>
        <w:tab/>
      </w:r>
      <w:r>
        <w:t>Largeurs de bande et rayonnements non désirés des systèmes numériques du service fixe</w:t>
      </w:r>
    </w:p>
    <w:p w:rsidR="002B489A" w:rsidRDefault="004F19C4">
      <w:pPr>
        <w:tabs>
          <w:tab w:val="clear" w:pos="794"/>
          <w:tab w:val="clear" w:pos="1191"/>
          <w:tab w:val="clear" w:pos="1588"/>
          <w:tab w:val="clear" w:pos="1985"/>
          <w:tab w:val="left" w:pos="1134"/>
          <w:tab w:val="left" w:pos="1980"/>
        </w:tabs>
        <w:ind w:left="1980" w:hanging="1980"/>
      </w:pPr>
      <w:r>
        <w:rPr>
          <w:bCs/>
        </w:rPr>
        <w:t>UIT-R SM.326:</w:t>
      </w:r>
      <w:r>
        <w:rPr>
          <w:b/>
        </w:rPr>
        <w:tab/>
      </w:r>
      <w:r>
        <w:t>Détermination et mesure de la puissance des émetteurs radioélectriques à modulation d'amplitude</w:t>
      </w:r>
    </w:p>
    <w:p w:rsidR="002B489A" w:rsidRDefault="004F19C4">
      <w:pPr>
        <w:tabs>
          <w:tab w:val="clear" w:pos="794"/>
          <w:tab w:val="clear" w:pos="1191"/>
          <w:tab w:val="clear" w:pos="1588"/>
          <w:tab w:val="clear" w:pos="1985"/>
          <w:tab w:val="left" w:pos="1134"/>
          <w:tab w:val="left" w:pos="1980"/>
        </w:tabs>
        <w:ind w:left="1980" w:hanging="1980"/>
      </w:pPr>
      <w:r>
        <w:rPr>
          <w:bCs/>
        </w:rPr>
        <w:t>UIT-R SM.328:</w:t>
      </w:r>
      <w:r>
        <w:rPr>
          <w:bCs/>
        </w:rPr>
        <w:tab/>
      </w:r>
      <w:r>
        <w:t>Spectres et largeurs de bande des émissions</w:t>
      </w:r>
    </w:p>
    <w:p w:rsidR="002B489A" w:rsidRDefault="004F19C4">
      <w:pPr>
        <w:tabs>
          <w:tab w:val="clear" w:pos="794"/>
          <w:tab w:val="clear" w:pos="1191"/>
          <w:tab w:val="clear" w:pos="1588"/>
          <w:tab w:val="clear" w:pos="1985"/>
          <w:tab w:val="left" w:pos="1134"/>
          <w:tab w:val="left" w:pos="1980"/>
        </w:tabs>
        <w:ind w:left="1980" w:hanging="1980"/>
      </w:pPr>
      <w:r>
        <w:rPr>
          <w:bCs/>
        </w:rPr>
        <w:t>UIT-R SM.329:</w:t>
      </w:r>
      <w:r>
        <w:rPr>
          <w:b/>
        </w:rPr>
        <w:tab/>
      </w:r>
      <w:r>
        <w:t>Rayonnements non désirés dans le domaine des rayonnements non essentiels</w:t>
      </w:r>
    </w:p>
    <w:p w:rsidR="002B489A" w:rsidRDefault="004F19C4">
      <w:pPr>
        <w:tabs>
          <w:tab w:val="clear" w:pos="794"/>
          <w:tab w:val="clear" w:pos="1191"/>
          <w:tab w:val="clear" w:pos="1588"/>
          <w:tab w:val="clear" w:pos="1985"/>
          <w:tab w:val="left" w:pos="1134"/>
          <w:tab w:val="left" w:pos="1980"/>
        </w:tabs>
        <w:ind w:left="1980" w:hanging="1980"/>
      </w:pPr>
      <w:r>
        <w:rPr>
          <w:bCs/>
        </w:rPr>
        <w:t>UIT-R SM.1446:</w:t>
      </w:r>
      <w:r>
        <w:rPr>
          <w:b/>
        </w:rPr>
        <w:tab/>
      </w:r>
      <w:r>
        <w:t>Définition et mesure des produits d'intermodulation dans un émetteur utilisant des techniques de modulation de fréquence, de phase ou d'autres techniques de modulation complexes</w:t>
      </w:r>
    </w:p>
    <w:p w:rsidR="002B489A" w:rsidRDefault="004F19C4">
      <w:pPr>
        <w:tabs>
          <w:tab w:val="clear" w:pos="794"/>
          <w:tab w:val="clear" w:pos="1191"/>
          <w:tab w:val="clear" w:pos="1588"/>
          <w:tab w:val="clear" w:pos="1985"/>
          <w:tab w:val="left" w:pos="1134"/>
          <w:tab w:val="left" w:pos="1980"/>
        </w:tabs>
        <w:ind w:left="1980" w:hanging="1980"/>
      </w:pPr>
      <w:r>
        <w:rPr>
          <w:bCs/>
        </w:rPr>
        <w:br w:type="page"/>
        <w:t xml:space="preserve">UIT-R SM.1539: </w:t>
      </w:r>
      <w:r>
        <w:rPr>
          <w:bCs/>
        </w:rPr>
        <w:tab/>
      </w:r>
      <w:r>
        <w:t>Variation de la frontière entre le domaine des émissions hors bande et le domaine des rayonnements non essentiels dont il faut tenir compte dans l'application des Recommandations UIT</w:t>
      </w:r>
      <w:r>
        <w:noBreakHyphen/>
        <w:t>R SM.1541 et UIT-R SM.329</w:t>
      </w:r>
    </w:p>
    <w:p w:rsidR="002B489A" w:rsidRDefault="004F19C4">
      <w:pPr>
        <w:tabs>
          <w:tab w:val="clear" w:pos="794"/>
          <w:tab w:val="clear" w:pos="1191"/>
          <w:tab w:val="clear" w:pos="1588"/>
          <w:tab w:val="clear" w:pos="1985"/>
          <w:tab w:val="left" w:pos="1134"/>
          <w:tab w:val="left" w:pos="1980"/>
        </w:tabs>
        <w:ind w:left="1980" w:hanging="1980"/>
      </w:pPr>
      <w:r>
        <w:rPr>
          <w:bCs/>
        </w:rPr>
        <w:t>UIT-R SM.1540</w:t>
      </w:r>
      <w:r>
        <w:t>:</w:t>
      </w:r>
      <w:r>
        <w:tab/>
        <w:t>Rayonnements non désirés du domaine des émissions hors bande tombant dans les bandes adjacentes attribuées</w:t>
      </w:r>
    </w:p>
    <w:p w:rsidR="002B489A" w:rsidRDefault="004F19C4">
      <w:pPr>
        <w:tabs>
          <w:tab w:val="clear" w:pos="794"/>
          <w:tab w:val="clear" w:pos="1191"/>
          <w:tab w:val="clear" w:pos="1588"/>
          <w:tab w:val="clear" w:pos="1985"/>
          <w:tab w:val="left" w:pos="1134"/>
          <w:tab w:val="left" w:pos="1980"/>
        </w:tabs>
        <w:ind w:left="1980" w:hanging="1980"/>
      </w:pPr>
      <w:r>
        <w:rPr>
          <w:bCs/>
        </w:rPr>
        <w:t>UIT-R SM.1541:</w:t>
      </w:r>
      <w:r>
        <w:rPr>
          <w:b/>
        </w:rPr>
        <w:tab/>
      </w:r>
      <w:r>
        <w:t>Rayonnements non désirés dans le domaine des émissions hors bande.</w:t>
      </w:r>
    </w:p>
    <w:p w:rsidR="002B489A" w:rsidRDefault="004F19C4">
      <w:r>
        <w:t>Certaines données peuvent être nécessaires au-delà de ce qui est fourni par ces Recommandations. Entre autres:</w:t>
      </w:r>
    </w:p>
    <w:p w:rsidR="002B489A" w:rsidRDefault="004F19C4">
      <w:pPr>
        <w:pStyle w:val="enumlev1"/>
      </w:pPr>
      <w:r>
        <w:t>–</w:t>
      </w:r>
      <w:r>
        <w:tab/>
        <w:t>le facteur d'utilisation des systèmes;</w:t>
      </w:r>
    </w:p>
    <w:p w:rsidR="002B489A" w:rsidRDefault="004F19C4">
      <w:pPr>
        <w:pStyle w:val="enumlev1"/>
      </w:pPr>
      <w:r>
        <w:t>–</w:t>
      </w:r>
      <w:r>
        <w:tab/>
        <w:t>la distribution géographique et les densités des émetteurs y compris les densités de déploiement;</w:t>
      </w:r>
    </w:p>
    <w:p w:rsidR="002B489A" w:rsidRDefault="004F19C4">
      <w:pPr>
        <w:pStyle w:val="enumlev1"/>
      </w:pPr>
      <w:r>
        <w:t>–</w:t>
      </w:r>
      <w:r>
        <w:tab/>
        <w:t>l'orientation ou le balayage des antennes pour les systèmes de radiorepérage ou les émissions Terre vers espace;</w:t>
      </w:r>
    </w:p>
    <w:p w:rsidR="002B489A" w:rsidRDefault="004F19C4">
      <w:pPr>
        <w:pStyle w:val="enumlev1"/>
      </w:pPr>
      <w:r>
        <w:t>–</w:t>
      </w:r>
      <w:r>
        <w:tab/>
        <w:t>la couverture du faisceau pour les émissions espace vers Terre;</w:t>
      </w:r>
    </w:p>
    <w:p w:rsidR="002B489A" w:rsidRDefault="004F19C4">
      <w:pPr>
        <w:pStyle w:val="enumlev1"/>
      </w:pPr>
      <w:r>
        <w:t>–</w:t>
      </w:r>
      <w:r>
        <w:tab/>
        <w:t>les gabarits spectraux pertinents; et</w:t>
      </w:r>
    </w:p>
    <w:p w:rsidR="002B489A" w:rsidRDefault="004F19C4">
      <w:pPr>
        <w:pStyle w:val="enumlev1"/>
      </w:pPr>
      <w:r>
        <w:t>–</w:t>
      </w:r>
      <w:r>
        <w:tab/>
        <w:t>les diagrammes d'antenne.</w:t>
      </w:r>
    </w:p>
    <w:p w:rsidR="002B489A" w:rsidRDefault="004F19C4">
      <w:r>
        <w:t>Les données requises peuvent n'être pas toutes disponibles pour tous les éléments ci-dessus. Il peut être nécessaire de formuler des hypothèses pour certains paramètres. D'autres informations comme celles sur le déploiement peuvent nécessiter la construction de modèles de simulation.</w:t>
      </w:r>
    </w:p>
    <w:p w:rsidR="002B489A" w:rsidRDefault="004F19C4">
      <w:pPr>
        <w:pStyle w:val="Heading2"/>
      </w:pPr>
      <w:r>
        <w:t>2.2</w:t>
      </w:r>
      <w:r>
        <w:tab/>
        <w:t>Boîte (2): Documents existants de l'UIT</w:t>
      </w:r>
    </w:p>
    <w:p w:rsidR="002B489A" w:rsidRDefault="004F19C4">
      <w:r>
        <w:t>Cette boîte se rapporte à des documents relatifs au choix des critères appropriés des services passifs pour leur protection contre les brouillages. Les divers critères des services passifs, chacun d'eux étant développé par le groupe de travail responsable des services passifs respectifs, servent d'entrée du losange (a) sur le diagramme de flux. Ces Recommandations ont été développées au fil du temps pour aider d'autres groupes de travail, traitant des services actifs, à évaluer le risque de brouillage de leurs services respectifs à l'égard des services passifs. La liste des Recommandations à prendre en considération est la suivante:</w:t>
      </w:r>
    </w:p>
    <w:p w:rsidR="002B489A" w:rsidRDefault="004F19C4">
      <w:pPr>
        <w:pStyle w:val="Headingb"/>
      </w:pPr>
      <w:r>
        <w:t>Recommandations</w:t>
      </w:r>
    </w:p>
    <w:p w:rsidR="002B489A" w:rsidRDefault="004F19C4">
      <w:pPr>
        <w:tabs>
          <w:tab w:val="clear" w:pos="794"/>
          <w:tab w:val="clear" w:pos="1191"/>
          <w:tab w:val="clear" w:pos="1588"/>
          <w:tab w:val="clear" w:pos="1985"/>
          <w:tab w:val="left" w:pos="1134"/>
          <w:tab w:val="left" w:pos="1980"/>
        </w:tabs>
        <w:ind w:left="1980" w:hanging="1980"/>
      </w:pPr>
      <w:r>
        <w:rPr>
          <w:bCs/>
        </w:rPr>
        <w:t>UIT-R RA.769:</w:t>
      </w:r>
      <w:r>
        <w:rPr>
          <w:b/>
        </w:rPr>
        <w:tab/>
      </w:r>
      <w:r>
        <w:t>Critères de protection applicables aux mesures en radioastronomie</w:t>
      </w:r>
    </w:p>
    <w:p w:rsidR="002B489A" w:rsidRDefault="004F19C4">
      <w:pPr>
        <w:tabs>
          <w:tab w:val="clear" w:pos="794"/>
          <w:tab w:val="clear" w:pos="1191"/>
          <w:tab w:val="clear" w:pos="1588"/>
          <w:tab w:val="clear" w:pos="1985"/>
          <w:tab w:val="left" w:pos="1134"/>
          <w:tab w:val="left" w:pos="1980"/>
        </w:tabs>
        <w:ind w:left="1980" w:hanging="1980"/>
        <w:rPr>
          <w:bCs/>
        </w:rPr>
      </w:pPr>
      <w:r>
        <w:rPr>
          <w:bCs/>
        </w:rPr>
        <w:t>UIT-R RA.1513:</w:t>
      </w:r>
      <w:r>
        <w:rPr>
          <w:bCs/>
        </w:rPr>
        <w:tab/>
        <w:t>Niveaux de perte de données pour les observations de radioastronomie et critères de pourcentage de temps découlant des dégradations générées par les brouillages, dans le cas des bandes de fréquences attribuées à titre primaire au service de radioastronomie</w:t>
      </w:r>
    </w:p>
    <w:p w:rsidR="002B489A" w:rsidRDefault="004F19C4">
      <w:pPr>
        <w:tabs>
          <w:tab w:val="clear" w:pos="794"/>
          <w:tab w:val="clear" w:pos="1191"/>
          <w:tab w:val="clear" w:pos="1588"/>
          <w:tab w:val="clear" w:pos="1985"/>
          <w:tab w:val="left" w:pos="1134"/>
          <w:tab w:val="left" w:pos="1980"/>
        </w:tabs>
        <w:ind w:left="1980" w:hanging="1980"/>
        <w:rPr>
          <w:bCs/>
        </w:rPr>
      </w:pPr>
      <w:r>
        <w:rPr>
          <w:bCs/>
        </w:rPr>
        <w:t>UIT-R SA.1028:</w:t>
      </w:r>
      <w:r>
        <w:rPr>
          <w:bCs/>
        </w:rPr>
        <w:tab/>
        <w:t>Critères de qualité de fonctionnement pour la télédétection passive par satellite</w:t>
      </w:r>
    </w:p>
    <w:p w:rsidR="002B489A" w:rsidRDefault="004F19C4">
      <w:pPr>
        <w:tabs>
          <w:tab w:val="clear" w:pos="794"/>
          <w:tab w:val="clear" w:pos="1191"/>
          <w:tab w:val="clear" w:pos="1588"/>
          <w:tab w:val="clear" w:pos="1985"/>
          <w:tab w:val="left" w:pos="1134"/>
          <w:tab w:val="left" w:pos="1980"/>
        </w:tabs>
        <w:ind w:left="1980" w:hanging="1980"/>
        <w:rPr>
          <w:bCs/>
        </w:rPr>
      </w:pPr>
      <w:r>
        <w:rPr>
          <w:bCs/>
        </w:rPr>
        <w:t>UIT-R SA.1029:</w:t>
      </w:r>
      <w:r>
        <w:rPr>
          <w:bCs/>
        </w:rPr>
        <w:tab/>
        <w:t>Critères de brouillage applicables à la télédétection passive par satellite.</w:t>
      </w:r>
    </w:p>
    <w:p w:rsidR="002B489A" w:rsidRDefault="004F19C4">
      <w:pPr>
        <w:pStyle w:val="Heading2"/>
      </w:pPr>
      <w:r>
        <w:t>2.3</w:t>
      </w:r>
      <w:r>
        <w:tab/>
        <w:t>Boîte (3): Evaluer le brouillage</w:t>
      </w:r>
    </w:p>
    <w:p w:rsidR="002B489A" w:rsidRDefault="004F19C4">
      <w:r>
        <w:t>La fonction de cette boîte est de permettre au service passif de générer un nouveau critère de partage fondé sur les informations fournies à partir des boîtes (5) et (6). Par exemple, on peut supposer des niveaux de lobe latéral inférieurs à la valeur de gain d'antenne en réception de 0 dBi supposée habituellement pour le SRA. Si c'était le cas, le processus de  recalcul du critère de partage serait effectué dans la boîte (3).</w:t>
      </w:r>
    </w:p>
    <w:p w:rsidR="002B489A" w:rsidRDefault="004F19C4">
      <w:r>
        <w:br w:type="page"/>
        <w:t xml:space="preserve">Pour évaluer le brouillage causé par des systèmes SFS non OSG à des stations du SRA, la méthode de la Recommandation UIT-R </w:t>
      </w:r>
      <w:r>
        <w:rPr>
          <w:bCs/>
        </w:rPr>
        <w:t>S.1586</w:t>
      </w:r>
      <w:r>
        <w:t xml:space="preserve"> devrait être utilisée. De même, pour évaluer le brouillage causé par des systèmes SMS et SRNS non OSG à des stations du service de radioastronomie, la méthode de la Recommandation UIT-R </w:t>
      </w:r>
      <w:r>
        <w:rPr>
          <w:bCs/>
        </w:rPr>
        <w:t>M.1583</w:t>
      </w:r>
      <w:r>
        <w:t xml:space="preserve"> devrait être utilisée.</w:t>
      </w:r>
    </w:p>
    <w:p w:rsidR="002B489A" w:rsidRDefault="004F19C4">
      <w:pPr>
        <w:pStyle w:val="Heading2"/>
      </w:pPr>
      <w:r>
        <w:t>2.4</w:t>
      </w:r>
      <w:r>
        <w:tab/>
        <w:t xml:space="preserve">Boîtes (4), (5) et (6): Nouvelles informations </w:t>
      </w:r>
    </w:p>
    <w:p w:rsidR="002B489A" w:rsidRDefault="004F19C4">
      <w:r>
        <w:t>La fonction de ces boîtes est de traiter les nouvelles informations introduites dans l'étude de partage pendant qu'elle procède à des itérations multiples. Par exemple, ce serait le cas lorsqu'on fait usage des informations de l'Appendice 4 du RR soumises au Bureau des radiocommunications (BR) dans la boîte (4) pour justifier l'utilisation dans la bande d'une puissance surfacique inférieure à la valeur réglementaire. D'autres informations peuvent consister en informations sur un filtre ou une antenne dans l'une des boîtes (4), (5) et (6) qui sont introduites dans le processus afin de résoudre le problème. De nouvelles informations peuvent aussi consister en l'entrée de données supplémentaires non considérées antérieurement, telles que des Recommandations UIT-R spécifiques, des Recommandations régionales, ou des normes régionales. Des exemples pour les boîtes concernées sont donnés ci</w:t>
      </w:r>
      <w:r>
        <w:noBreakHyphen/>
        <w:t xml:space="preserve">après: </w:t>
      </w:r>
    </w:p>
    <w:p w:rsidR="002B489A" w:rsidRDefault="004F19C4">
      <w:pPr>
        <w:pStyle w:val="Headingb"/>
      </w:pPr>
      <w:r>
        <w:t>Boîte (4)</w:t>
      </w:r>
    </w:p>
    <w:p w:rsidR="002B489A" w:rsidRDefault="004F19C4">
      <w:r>
        <w:t>Aux plus hautes fréquences, les gabarits d'antenne d'émission peuvent avoir une ouverture de faisceau significativement plus étroite afin de maximiser la puissance dans une zone de service limitée de façon à accroître le débit et s'affranchir des effets atmosphériques. Il s'ensuit que la plus grande partie de la surface de la Terre peut recevoir un niveau de puissance surfacique de rayonnements non désirés très inférieur au niveau de perturbation du service passif. Au lieu d'avoir un niveau applicable à la totalité de la surface terrestre, il peut être possible d'assouplir le niveau sur une fraction de celle-ci. Il en résultera que la probabilité qu'une station du SRA reçoive des brouillages nuisibles venant d'une direction spécifique devient très faible.</w:t>
      </w:r>
    </w:p>
    <w:p w:rsidR="002B489A" w:rsidRDefault="004F19C4">
      <w:r>
        <w:t xml:space="preserve">Dans la bande 40-42,5 GHz, la Recommandation UIT-R </w:t>
      </w:r>
      <w:r>
        <w:rPr>
          <w:bCs/>
        </w:rPr>
        <w:t>S.1557</w:t>
      </w:r>
      <w:r>
        <w:t> – Caractéristiques et prescriptions opérationnelles relatives aux systèmes du service fixe par satellite fonctionnant dans les bandes 50/40 GHz à utiliser pour les études de partage entre le service fixe par satellite et le service fixe, contient des paramètres qui peuvent être utilisés pour les études concernant cette bande.</w:t>
      </w:r>
    </w:p>
    <w:p w:rsidR="002B489A" w:rsidRDefault="004F19C4">
      <w:pPr>
        <w:pStyle w:val="Headingb"/>
      </w:pPr>
      <w:r>
        <w:t>Boîte (5)</w:t>
      </w:r>
    </w:p>
    <w:p w:rsidR="002B489A" w:rsidRDefault="004F19C4">
      <w:r>
        <w:t>Des caractéristiques telles que les gabarits d'antennes de réception propres à la bande sont des caractéristiques qui pourraient être utilisées pour diminuer la différence entre le niveau de brouillage nuisible du service passif et le niveau reçu de rayonnements non désirés.</w:t>
      </w:r>
    </w:p>
    <w:p w:rsidR="002B489A" w:rsidRDefault="004F19C4">
      <w:pPr>
        <w:pStyle w:val="Headingb"/>
      </w:pPr>
      <w:r>
        <w:t>Boîte (6)</w:t>
      </w:r>
    </w:p>
    <w:p w:rsidR="002B489A" w:rsidRDefault="004F19C4">
      <w:r>
        <w:t xml:space="preserve">La Recommandation </w:t>
      </w:r>
      <w:r>
        <w:rPr>
          <w:rFonts w:ascii="Times" w:hAnsi="Times"/>
        </w:rPr>
        <w:t xml:space="preserve">UIT-R </w:t>
      </w:r>
      <w:r>
        <w:rPr>
          <w:rFonts w:ascii="Times" w:hAnsi="Times"/>
          <w:bCs/>
        </w:rPr>
        <w:t>SM.1542</w:t>
      </w:r>
      <w:r>
        <w:rPr>
          <w:rFonts w:ascii="Times" w:hAnsi="Times"/>
        </w:rPr>
        <w:t xml:space="preserve"> </w:t>
      </w:r>
      <w:r>
        <w:t>donne une abondante liste de méthodes de réduction des brouillages qui peuvent minimiser l'impact du service actif sur le service passif. Dans tout cas spécifique, seules certaines des méthodes de réduction des brouillages énumérées peuvent être applicables à la situation à traiter. En appliquant certaines méthodes de réduction des brouillages, il peut souvent être nécessaire de déterminer comment sera répartie la charge résultant de leur application.</w:t>
      </w:r>
    </w:p>
    <w:p w:rsidR="002B489A" w:rsidRDefault="004F19C4">
      <w:pPr>
        <w:pStyle w:val="Heading2"/>
      </w:pPr>
      <w:r>
        <w:t>2.5</w:t>
      </w:r>
      <w:r>
        <w:tab/>
        <w:t>Boîte (i): Rayonnement de l'émetteur</w:t>
      </w:r>
    </w:p>
    <w:p w:rsidR="002B489A" w:rsidRDefault="004F19C4">
      <w:r>
        <w:t>L'objet de cette boîte est d'établir la densité de puissance émise dans la bande au rebord de l'antenne.</w:t>
      </w:r>
    </w:p>
    <w:p w:rsidR="002B489A" w:rsidRDefault="004F19C4">
      <w:pPr>
        <w:pStyle w:val="Heading3"/>
      </w:pPr>
      <w:r>
        <w:br w:type="page"/>
        <w:t>2.5.1</w:t>
      </w:r>
      <w:r>
        <w:tab/>
        <w:t>Cas général</w:t>
      </w:r>
    </w:p>
    <w:p w:rsidR="002B489A" w:rsidRDefault="004F19C4">
      <w:r>
        <w:t>On peut généralement trouver la valeur par:</w:t>
      </w:r>
    </w:p>
    <w:p w:rsidR="002B489A" w:rsidRDefault="004F19C4">
      <w:pPr>
        <w:pStyle w:val="Equation"/>
      </w:pPr>
      <w:r>
        <w:tab/>
      </w:r>
      <w:r>
        <w:tab/>
      </w:r>
      <w:r>
        <w:rPr>
          <w:position w:val="-16"/>
        </w:rPr>
        <w:object w:dxaOrig="274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5pt;height:20.5pt" o:ole="">
            <v:imagedata r:id="rId9" o:title=""/>
          </v:shape>
          <o:OLEObject Type="Embed" ProgID="Equation.3" ShapeID="_x0000_i1025" DrawAspect="Content" ObjectID="_1649163271" r:id="rId10"/>
        </w:object>
      </w:r>
      <w:r>
        <w:tab/>
        <w:t>(1)</w:t>
      </w:r>
    </w:p>
    <w:p w:rsidR="002B489A" w:rsidRDefault="004F19C4">
      <w:pPr>
        <w:spacing w:before="0"/>
      </w:pPr>
      <w:r>
        <w:t>où:</w:t>
      </w:r>
    </w:p>
    <w:p w:rsidR="002B489A" w:rsidRDefault="004F19C4">
      <w:pPr>
        <w:pStyle w:val="Equationlegend"/>
        <w:rPr>
          <w:lang w:val="fr-FR"/>
        </w:rPr>
      </w:pPr>
      <w:r>
        <w:rPr>
          <w:i/>
          <w:lang w:val="fr-FR"/>
        </w:rPr>
        <w:tab/>
        <w:t>p</w:t>
      </w:r>
      <w:r>
        <w:rPr>
          <w:i/>
          <w:vertAlign w:val="subscript"/>
          <w:lang w:val="fr-FR"/>
        </w:rPr>
        <w:t>density</w:t>
      </w:r>
      <w:r>
        <w:rPr>
          <w:rFonts w:ascii="Tms Rmn" w:hAnsi="Tms Rmn"/>
          <w:sz w:val="12"/>
          <w:lang w:val="fr-FR"/>
        </w:rPr>
        <w:t> </w:t>
      </w:r>
      <w:r>
        <w:rPr>
          <w:iCs/>
          <w:lang w:val="fr-FR"/>
        </w:rPr>
        <w:t>:</w:t>
      </w:r>
      <w:r>
        <w:rPr>
          <w:lang w:val="fr-FR"/>
        </w:rPr>
        <w:tab/>
        <w:t>densité de puissance émise dans l'antenne d'émission (dB(W/Hz))</w:t>
      </w:r>
    </w:p>
    <w:p w:rsidR="002B489A" w:rsidRDefault="004F19C4">
      <w:pPr>
        <w:pStyle w:val="Equationlegend"/>
        <w:rPr>
          <w:lang w:val="fr-FR"/>
        </w:rPr>
      </w:pPr>
      <w:r>
        <w:rPr>
          <w:lang w:val="fr-FR"/>
        </w:rPr>
        <w:tab/>
      </w:r>
      <w:r>
        <w:rPr>
          <w:i/>
          <w:lang w:val="fr-FR"/>
        </w:rPr>
        <w:t>p.i.r.e.</w:t>
      </w:r>
      <w:r>
        <w:rPr>
          <w:i/>
          <w:sz w:val="28"/>
          <w:vertAlign w:val="subscript"/>
          <w:lang w:val="fr-FR"/>
        </w:rPr>
        <w:t>density</w:t>
      </w:r>
      <w:r>
        <w:rPr>
          <w:rFonts w:ascii="Tms Rmn" w:hAnsi="Tms Rmn"/>
          <w:sz w:val="12"/>
          <w:lang w:val="fr-FR"/>
        </w:rPr>
        <w:t> </w:t>
      </w:r>
      <w:r>
        <w:rPr>
          <w:lang w:val="fr-FR"/>
        </w:rPr>
        <w:t>:</w:t>
      </w:r>
      <w:r>
        <w:rPr>
          <w:lang w:val="fr-FR"/>
        </w:rPr>
        <w:tab/>
        <w:t>densité de p.i.r.e. en émission (dB(W/Hz))</w:t>
      </w:r>
    </w:p>
    <w:p w:rsidR="002B489A" w:rsidRDefault="004F19C4">
      <w:pPr>
        <w:pStyle w:val="Equationlegend"/>
        <w:rPr>
          <w:lang w:val="fr-FR"/>
        </w:rPr>
      </w:pPr>
      <w:r>
        <w:rPr>
          <w:lang w:val="fr-FR"/>
        </w:rPr>
        <w:tab/>
      </w:r>
      <w:r>
        <w:rPr>
          <w:i/>
          <w:lang w:val="fr-FR"/>
        </w:rPr>
        <w:t>G</w:t>
      </w:r>
      <w:r>
        <w:rPr>
          <w:i/>
          <w:sz w:val="28"/>
          <w:vertAlign w:val="subscript"/>
          <w:lang w:val="fr-FR"/>
        </w:rPr>
        <w:t>t</w:t>
      </w:r>
      <w:r>
        <w:rPr>
          <w:rFonts w:ascii="Tms Rmn" w:hAnsi="Tms Rmn"/>
          <w:sz w:val="12"/>
          <w:lang w:val="fr-FR"/>
        </w:rPr>
        <w:t> </w:t>
      </w:r>
      <w:r>
        <w:rPr>
          <w:lang w:val="fr-FR"/>
        </w:rPr>
        <w:t>:</w:t>
      </w:r>
      <w:r>
        <w:rPr>
          <w:lang w:val="fr-FR"/>
        </w:rPr>
        <w:tab/>
        <w:t>gain de l'antenne d'émission (dBi).</w:t>
      </w:r>
    </w:p>
    <w:p w:rsidR="002B489A" w:rsidRDefault="004F19C4">
      <w:r>
        <w:t>La densité de puissance émise peut aussi être calculée avec:</w:t>
      </w:r>
    </w:p>
    <w:p w:rsidR="002B489A" w:rsidRDefault="004F19C4">
      <w:pPr>
        <w:pStyle w:val="Equation"/>
        <w:tabs>
          <w:tab w:val="clear" w:pos="794"/>
          <w:tab w:val="clear" w:pos="4820"/>
          <w:tab w:val="center" w:pos="0"/>
          <w:tab w:val="left" w:pos="2835"/>
        </w:tabs>
        <w:spacing w:before="240"/>
        <w:jc w:val="center"/>
      </w:pPr>
      <w:r>
        <w:tab/>
      </w:r>
      <w:r>
        <w:rPr>
          <w:position w:val="-16"/>
        </w:rPr>
        <w:object w:dxaOrig="4800" w:dyaOrig="400">
          <v:shape id="_x0000_i1026" type="#_x0000_t75" style="width:240pt;height:20.5pt" o:ole="">
            <v:imagedata r:id="rId11" o:title=""/>
          </v:shape>
          <o:OLEObject Type="Embed" ProgID="Equation.3" ShapeID="_x0000_i1026" DrawAspect="Content" ObjectID="_1649163272" r:id="rId12"/>
        </w:object>
      </w:r>
      <w:r>
        <w:tab/>
        <w:t>(2)</w:t>
      </w:r>
    </w:p>
    <w:p w:rsidR="002B489A" w:rsidRDefault="004F19C4">
      <w:pPr>
        <w:spacing w:before="0"/>
      </w:pPr>
      <w:r>
        <w:t>où:</w:t>
      </w:r>
    </w:p>
    <w:p w:rsidR="002B489A" w:rsidRDefault="004F19C4">
      <w:pPr>
        <w:pStyle w:val="Equationlegend"/>
        <w:spacing w:before="0"/>
        <w:rPr>
          <w:lang w:val="fr-FR"/>
        </w:rPr>
      </w:pPr>
      <w:r>
        <w:rPr>
          <w:i/>
          <w:lang w:val="fr-FR"/>
        </w:rPr>
        <w:tab/>
        <w:t>p</w:t>
      </w:r>
      <w:r>
        <w:rPr>
          <w:i/>
          <w:vertAlign w:val="subscript"/>
          <w:lang w:val="fr-FR"/>
        </w:rPr>
        <w:t>t</w:t>
      </w:r>
      <w:r>
        <w:rPr>
          <w:rFonts w:ascii="Tms Rmn" w:hAnsi="Tms Rmn"/>
          <w:sz w:val="12"/>
          <w:lang w:val="fr-FR"/>
        </w:rPr>
        <w:t> </w:t>
      </w:r>
      <w:r>
        <w:rPr>
          <w:lang w:val="fr-FR"/>
        </w:rPr>
        <w:t>:</w:t>
      </w:r>
      <w:r>
        <w:rPr>
          <w:lang w:val="fr-FR"/>
        </w:rPr>
        <w:tab/>
        <w:t>puissance nominale maximum d'amplification d'émission (W)</w:t>
      </w:r>
    </w:p>
    <w:p w:rsidR="002B489A" w:rsidRDefault="004F19C4">
      <w:pPr>
        <w:pStyle w:val="Equationlegend"/>
        <w:rPr>
          <w:lang w:val="fr-FR"/>
        </w:rPr>
      </w:pPr>
      <w:r>
        <w:rPr>
          <w:lang w:val="fr-FR"/>
        </w:rPr>
        <w:tab/>
      </w:r>
      <w:r>
        <w:rPr>
          <w:i/>
          <w:lang w:val="fr-FR"/>
        </w:rPr>
        <w:t>OBO</w:t>
      </w:r>
      <w:r>
        <w:rPr>
          <w:rFonts w:ascii="Tms Rmn" w:hAnsi="Tms Rmn"/>
          <w:sz w:val="12"/>
          <w:lang w:val="fr-FR"/>
        </w:rPr>
        <w:t> </w:t>
      </w:r>
      <w:r>
        <w:rPr>
          <w:lang w:val="fr-FR"/>
        </w:rPr>
        <w:t>:</w:t>
      </w:r>
      <w:r>
        <w:rPr>
          <w:lang w:val="fr-FR"/>
        </w:rPr>
        <w:tab/>
        <w:t>puissance de sortie vers l'arrière (dB)</w:t>
      </w:r>
    </w:p>
    <w:p w:rsidR="002B489A" w:rsidRDefault="004F19C4">
      <w:pPr>
        <w:pStyle w:val="Equationlegend"/>
        <w:rPr>
          <w:lang w:val="fr-FR"/>
        </w:rPr>
      </w:pPr>
      <w:r>
        <w:rPr>
          <w:i/>
          <w:lang w:val="fr-FR"/>
        </w:rPr>
        <w:tab/>
        <w:t>BW</w:t>
      </w:r>
      <w:r>
        <w:rPr>
          <w:i/>
          <w:vertAlign w:val="subscript"/>
          <w:lang w:val="fr-FR"/>
        </w:rPr>
        <w:t>nb</w:t>
      </w:r>
      <w:r>
        <w:rPr>
          <w:rFonts w:ascii="Tms Rmn" w:hAnsi="Tms Rmn"/>
          <w:sz w:val="12"/>
          <w:lang w:val="fr-FR"/>
        </w:rPr>
        <w:t> </w:t>
      </w:r>
      <w:r>
        <w:rPr>
          <w:lang w:val="fr-FR"/>
        </w:rPr>
        <w:t>:</w:t>
      </w:r>
      <w:r>
        <w:rPr>
          <w:b/>
          <w:vertAlign w:val="subscript"/>
          <w:lang w:val="fr-FR"/>
        </w:rPr>
        <w:tab/>
      </w:r>
      <w:r>
        <w:rPr>
          <w:lang w:val="fr-FR"/>
        </w:rPr>
        <w:t>largeur de bande nécessaire (Hz)</w:t>
      </w:r>
    </w:p>
    <w:p w:rsidR="002B489A" w:rsidRDefault="004F19C4">
      <w:pPr>
        <w:pStyle w:val="Equationlegend"/>
        <w:rPr>
          <w:lang w:val="fr-FR"/>
        </w:rPr>
      </w:pPr>
      <w:r>
        <w:rPr>
          <w:i/>
          <w:lang w:val="fr-FR"/>
        </w:rPr>
        <w:tab/>
        <w:t>L</w:t>
      </w:r>
      <w:r>
        <w:rPr>
          <w:i/>
          <w:vertAlign w:val="subscript"/>
          <w:lang w:val="fr-FR"/>
        </w:rPr>
        <w:t>c</w:t>
      </w:r>
      <w:r>
        <w:rPr>
          <w:rFonts w:ascii="Tms Rmn" w:hAnsi="Tms Rmn"/>
          <w:sz w:val="12"/>
          <w:lang w:val="fr-FR"/>
        </w:rPr>
        <w:t> </w:t>
      </w:r>
      <w:r>
        <w:rPr>
          <w:lang w:val="fr-FR"/>
        </w:rPr>
        <w:t>:</w:t>
      </w:r>
      <w:r>
        <w:rPr>
          <w:lang w:val="fr-FR"/>
        </w:rPr>
        <w:tab/>
        <w:t>affaiblissement de circuit entre l'amplificateur d'émission et l'antenne d'émission (dB).</w:t>
      </w:r>
    </w:p>
    <w:p w:rsidR="002B489A" w:rsidRDefault="004F19C4">
      <w:r>
        <w:t>On notera dans l'équation (2) que la densité de puissance d'émission est supposée être uniformément distribuée sur la largeur de bande nécessaire. Si cette hypothèse est erronée, on peut introduire une correction en modifiant la largeur de bande en conséquence.</w:t>
      </w:r>
    </w:p>
    <w:p w:rsidR="002B489A" w:rsidRDefault="004F19C4">
      <w:pPr>
        <w:pStyle w:val="Heading3"/>
      </w:pPr>
      <w:r>
        <w:t>2.5.2</w:t>
      </w:r>
      <w:r>
        <w:tab/>
        <w:t>Niveau de puissance émise dans la bande par un satellite sur la base du Tableau 21.4 du RR</w:t>
      </w:r>
    </w:p>
    <w:p w:rsidR="002B489A" w:rsidRDefault="004F19C4">
      <w:r>
        <w:t>Pour calculer la densité de puissance émise à partir des limites de puissance surfacique, on a alors:</w:t>
      </w:r>
    </w:p>
    <w:p w:rsidR="002B489A" w:rsidRDefault="004F19C4">
      <w:pPr>
        <w:pStyle w:val="Equation"/>
      </w:pPr>
      <w:r>
        <w:tab/>
      </w:r>
      <w:r>
        <w:tab/>
      </w:r>
      <w:r>
        <w:rPr>
          <w:position w:val="-16"/>
        </w:rPr>
        <w:object w:dxaOrig="3920" w:dyaOrig="480">
          <v:shape id="_x0000_i1027" type="#_x0000_t75" style="width:196pt;height:24pt" o:ole="">
            <v:imagedata r:id="rId13" o:title=""/>
          </v:shape>
          <o:OLEObject Type="Embed" ProgID="Equation.3" ShapeID="_x0000_i1027" DrawAspect="Content" ObjectID="_1649163273" r:id="rId14"/>
        </w:object>
      </w:r>
      <w:r>
        <w:tab/>
        <w:t>(3)</w:t>
      </w:r>
    </w:p>
    <w:p w:rsidR="002B489A" w:rsidRDefault="004F19C4">
      <w:pPr>
        <w:spacing w:before="0"/>
      </w:pPr>
      <w:r>
        <w:t>où:</w:t>
      </w:r>
    </w:p>
    <w:p w:rsidR="002B489A" w:rsidRDefault="004F19C4">
      <w:pPr>
        <w:pStyle w:val="Equationlegend"/>
        <w:spacing w:before="0"/>
        <w:rPr>
          <w:lang w:val="fr-FR"/>
        </w:rPr>
      </w:pPr>
      <w:r>
        <w:rPr>
          <w:i/>
          <w:lang w:val="fr-FR"/>
        </w:rPr>
        <w:tab/>
        <w:t>pfd</w:t>
      </w:r>
      <w:r>
        <w:rPr>
          <w:rFonts w:ascii="Tms Rmn" w:hAnsi="Tms Rmn"/>
          <w:sz w:val="12"/>
          <w:lang w:val="fr-FR"/>
        </w:rPr>
        <w:t> </w:t>
      </w:r>
      <w:r>
        <w:rPr>
          <w:lang w:val="fr-FR"/>
        </w:rPr>
        <w:t>:</w:t>
      </w:r>
      <w:r>
        <w:rPr>
          <w:lang w:val="fr-FR"/>
        </w:rPr>
        <w:tab/>
        <w:t>puissance surfacique sur la liaison descendante (dB(W/(m</w:t>
      </w:r>
      <w:r>
        <w:rPr>
          <w:vertAlign w:val="superscript"/>
          <w:lang w:val="fr-FR"/>
        </w:rPr>
        <w:t>2</w:t>
      </w:r>
      <w:r>
        <w:rPr>
          <w:lang w:val="fr-FR"/>
        </w:rPr>
        <w:t> </w:t>
      </w:r>
      <w:r>
        <w:rPr>
          <w:rFonts w:ascii="Symbol" w:hAnsi="Symbol"/>
          <w:lang w:val="fr-FR"/>
        </w:rPr>
        <w:t></w:t>
      </w:r>
      <w:r>
        <w:rPr>
          <w:lang w:val="fr-FR"/>
        </w:rPr>
        <w:t> MHz)))</w:t>
      </w:r>
    </w:p>
    <w:p w:rsidR="002B489A" w:rsidRDefault="004F19C4">
      <w:pPr>
        <w:pStyle w:val="Equationlegend"/>
        <w:rPr>
          <w:lang w:val="fr-FR"/>
        </w:rPr>
      </w:pPr>
      <w:r>
        <w:rPr>
          <w:i/>
          <w:lang w:val="fr-FR"/>
        </w:rPr>
        <w:tab/>
        <w:t>d</w:t>
      </w:r>
      <w:r>
        <w:rPr>
          <w:rFonts w:ascii="Tms Rmn" w:hAnsi="Tms Rmn"/>
          <w:sz w:val="12"/>
          <w:lang w:val="fr-FR"/>
        </w:rPr>
        <w:t> </w:t>
      </w:r>
      <w:r>
        <w:rPr>
          <w:lang w:val="fr-FR"/>
        </w:rPr>
        <w:t>:</w:t>
      </w:r>
      <w:r>
        <w:rPr>
          <w:lang w:val="fr-FR"/>
        </w:rPr>
        <w:tab/>
        <w:t>trajet oblique, du satellite à la station terrienne (km)</w:t>
      </w:r>
    </w:p>
    <w:p w:rsidR="002B489A" w:rsidRDefault="004F19C4">
      <w:pPr>
        <w:pStyle w:val="Equationlegend"/>
        <w:rPr>
          <w:lang w:val="fr-FR"/>
        </w:rPr>
      </w:pPr>
      <w:r>
        <w:rPr>
          <w:i/>
          <w:lang w:val="fr-FR"/>
        </w:rPr>
        <w:tab/>
        <w:t>G</w:t>
      </w:r>
      <w:r>
        <w:rPr>
          <w:i/>
          <w:vertAlign w:val="subscript"/>
          <w:lang w:val="fr-FR"/>
        </w:rPr>
        <w:t>t</w:t>
      </w:r>
      <w:r>
        <w:rPr>
          <w:rFonts w:ascii="Tms Rmn" w:hAnsi="Tms Rmn"/>
          <w:sz w:val="12"/>
          <w:lang w:val="fr-FR"/>
        </w:rPr>
        <w:t> </w:t>
      </w:r>
      <w:r>
        <w:rPr>
          <w:lang w:val="fr-FR"/>
        </w:rPr>
        <w:t>:</w:t>
      </w:r>
      <w:r>
        <w:rPr>
          <w:b/>
          <w:lang w:val="fr-FR"/>
        </w:rPr>
        <w:tab/>
      </w:r>
      <w:r>
        <w:rPr>
          <w:lang w:val="fr-FR"/>
        </w:rPr>
        <w:t>gain d'antenne d'émission (dBi)</w:t>
      </w:r>
    </w:p>
    <w:p w:rsidR="002B489A" w:rsidRDefault="004F19C4">
      <w:pPr>
        <w:pStyle w:val="Equationlegend"/>
        <w:rPr>
          <w:lang w:val="fr-FR"/>
        </w:rPr>
      </w:pPr>
      <w:r>
        <w:rPr>
          <w:i/>
          <w:lang w:val="fr-FR"/>
        </w:rPr>
        <w:tab/>
        <w:t>L</w:t>
      </w:r>
      <w:r>
        <w:rPr>
          <w:i/>
          <w:vertAlign w:val="subscript"/>
          <w:lang w:val="fr-FR"/>
        </w:rPr>
        <w:t>c</w:t>
      </w:r>
      <w:r>
        <w:rPr>
          <w:rFonts w:ascii="Tms Rmn" w:hAnsi="Tms Rmn"/>
          <w:sz w:val="12"/>
          <w:lang w:val="fr-FR"/>
        </w:rPr>
        <w:t> </w:t>
      </w:r>
      <w:r>
        <w:rPr>
          <w:lang w:val="fr-FR"/>
        </w:rPr>
        <w:t>:</w:t>
      </w:r>
      <w:r>
        <w:rPr>
          <w:lang w:val="fr-FR"/>
        </w:rPr>
        <w:tab/>
        <w:t>affaiblissement de circuit entre l'amplificateur d'émission et l'antenne d'émission (dB).</w:t>
      </w:r>
    </w:p>
    <w:p w:rsidR="002B489A" w:rsidRDefault="004F19C4">
      <w:r>
        <w:t>Si on utilise ces valeurs, le résultat donnera le plus haut niveau possible de rayonnement de l'émetteur, ce qui est irréaliste dans de nombreux cas. Cela tient à divers facteurs comme la décroissance réelle de l'antenne d'émission et la forme spectrale de l'onde qui ne sont pas pris en compte. En faisant les calculs ci-dessus, on devrait garder présent à l'esprit que le gain d'antenne d'émission dépend de chaque système et de ses applications. Typiquement, le gain d'antenne d'émission de satellite varie comme suit:</w:t>
      </w:r>
    </w:p>
    <w:p w:rsidR="002B489A" w:rsidRDefault="004F19C4">
      <w:pPr>
        <w:pStyle w:val="enumlev1"/>
      </w:pPr>
      <w:r>
        <w:t>–</w:t>
      </w:r>
      <w:r>
        <w:tab/>
        <w:t>pour les systèmes SMS non OSG, le gain varie entre 17 dBi et 31 dBi selon les altitudes du satellite, les angles d'élévation;</w:t>
      </w:r>
    </w:p>
    <w:p w:rsidR="002B489A" w:rsidRDefault="004F19C4">
      <w:pPr>
        <w:pStyle w:val="enumlev1"/>
      </w:pPr>
      <w:r>
        <w:t>–</w:t>
      </w:r>
      <w:r>
        <w:tab/>
        <w:t>pour les systèmes SMS OSG, le gain varie entre 41 dBi et 45 dBi;</w:t>
      </w:r>
    </w:p>
    <w:p w:rsidR="002B489A" w:rsidRDefault="004F19C4">
      <w:pPr>
        <w:pStyle w:val="enumlev1"/>
      </w:pPr>
      <w:r>
        <w:t>–</w:t>
      </w:r>
      <w:r>
        <w:tab/>
        <w:t>pour les gains d'antenne de satellite SFS des bandes 4/6 GHz et 12/14 GHz existantes, le gain varie entre 20 dBi et 42 dBi. Cependant, le gain d'antenne des futurs systèmes de satellite à 4/6 GHz et 12/14 GHz peut être significativement plus élevé que celui des systèmes existants; et</w:t>
      </w:r>
    </w:p>
    <w:p w:rsidR="002B489A" w:rsidRDefault="004F19C4">
      <w:pPr>
        <w:pStyle w:val="enumlev1"/>
      </w:pPr>
      <w:r>
        <w:br w:type="page"/>
        <w:t>–</w:t>
      </w:r>
      <w:r>
        <w:tab/>
        <w:t>pour les systèmes à satellites SFS dans les bandes des 20/30 GHz et 40/50 GHz, le gain d'antenne d'émission de satellite se situe entre 44 dBi et 60 dBi.</w:t>
      </w:r>
    </w:p>
    <w:p w:rsidR="002B489A" w:rsidRDefault="004F19C4">
      <w:pPr>
        <w:pStyle w:val="Heading3"/>
      </w:pPr>
      <w:r>
        <w:t>2.5.3</w:t>
      </w:r>
      <w:r>
        <w:tab/>
        <w:t>Densité de puissance fondée sur la puissance RF totale de la station spatiale</w:t>
      </w:r>
    </w:p>
    <w:p w:rsidR="002B489A" w:rsidRDefault="004F19C4">
      <w:r>
        <w:t>Le calcul de la densité de p.i.r.e. d'émission dépend de la puissance RF d'émission totale d'un satellite, de l'affaiblissement des circuits entre un amplificateur de puissance d'émission et l'antenne d'émission, du gain d'antenne d'émission, du schéma de réutilisation des fréquences, de la largeur de bande assignée, du nombre de faisceaux, etc. La densité de p.i.r.e. d'émission moyenne peut se calculer par:</w:t>
      </w:r>
    </w:p>
    <w:p w:rsidR="002B489A" w:rsidRDefault="004F19C4">
      <w:pPr>
        <w:pStyle w:val="Equation"/>
      </w:pPr>
      <w:r>
        <w:tab/>
      </w:r>
      <w:r>
        <w:tab/>
      </w:r>
      <w:r>
        <w:rPr>
          <w:position w:val="-36"/>
        </w:rPr>
        <w:object w:dxaOrig="6460" w:dyaOrig="840">
          <v:shape id="_x0000_i1028" type="#_x0000_t75" style="width:323.5pt;height:42pt" o:ole="">
            <v:imagedata r:id="rId15" o:title=""/>
          </v:shape>
          <o:OLEObject Type="Embed" ProgID="Equation.3" ShapeID="_x0000_i1028" DrawAspect="Content" ObjectID="_1649163274" r:id="rId16"/>
        </w:object>
      </w:r>
      <w:r>
        <w:tab/>
        <w:t>(4)</w:t>
      </w:r>
    </w:p>
    <w:p w:rsidR="002B489A" w:rsidRDefault="004F19C4">
      <w:r>
        <w:t>où:</w:t>
      </w:r>
    </w:p>
    <w:p w:rsidR="002B489A" w:rsidRDefault="004F19C4">
      <w:pPr>
        <w:pStyle w:val="Equationlegend"/>
        <w:rPr>
          <w:lang w:val="fr-FR"/>
        </w:rPr>
      </w:pPr>
      <w:r>
        <w:rPr>
          <w:b/>
          <w:lang w:val="fr-FR"/>
        </w:rPr>
        <w:tab/>
      </w:r>
      <w:r>
        <w:rPr>
          <w:i/>
          <w:lang w:val="fr-FR"/>
        </w:rPr>
        <w:t>p</w:t>
      </w:r>
      <w:r>
        <w:rPr>
          <w:i/>
          <w:vertAlign w:val="subscript"/>
          <w:lang w:val="fr-FR"/>
        </w:rPr>
        <w:t>total</w:t>
      </w:r>
      <w:r>
        <w:rPr>
          <w:rFonts w:ascii="Tms Rmn" w:hAnsi="Tms Rmn"/>
          <w:sz w:val="12"/>
          <w:lang w:val="fr-FR"/>
        </w:rPr>
        <w:t> </w:t>
      </w:r>
      <w:r>
        <w:rPr>
          <w:lang w:val="fr-FR"/>
        </w:rPr>
        <w:t>:</w:t>
      </w:r>
      <w:r>
        <w:rPr>
          <w:lang w:val="fr-FR"/>
        </w:rPr>
        <w:tab/>
        <w:t>puissance d'émission RF totale (W)</w:t>
      </w:r>
    </w:p>
    <w:p w:rsidR="002B489A" w:rsidRDefault="004F19C4">
      <w:pPr>
        <w:pStyle w:val="Equationlegend"/>
        <w:rPr>
          <w:lang w:val="fr-FR"/>
        </w:rPr>
      </w:pPr>
      <w:r>
        <w:rPr>
          <w:lang w:val="fr-FR"/>
        </w:rPr>
        <w:tab/>
      </w:r>
      <w:r>
        <w:rPr>
          <w:i/>
          <w:sz w:val="28"/>
          <w:lang w:val="fr-FR"/>
        </w:rPr>
        <w:t>N</w:t>
      </w:r>
      <w:r>
        <w:rPr>
          <w:i/>
          <w:vertAlign w:val="subscript"/>
          <w:lang w:val="fr-FR"/>
        </w:rPr>
        <w:t>beam</w:t>
      </w:r>
      <w:r>
        <w:rPr>
          <w:rFonts w:ascii="Tms Rmn" w:hAnsi="Tms Rmn"/>
          <w:sz w:val="12"/>
          <w:lang w:val="fr-FR"/>
        </w:rPr>
        <w:t> </w:t>
      </w:r>
      <w:r>
        <w:rPr>
          <w:lang w:val="fr-FR"/>
        </w:rPr>
        <w:t>:</w:t>
      </w:r>
      <w:r>
        <w:rPr>
          <w:lang w:val="fr-FR"/>
        </w:rPr>
        <w:tab/>
        <w:t>nombre de faisceaux</w:t>
      </w:r>
    </w:p>
    <w:p w:rsidR="002B489A" w:rsidRDefault="004F19C4">
      <w:pPr>
        <w:pStyle w:val="Equationlegend"/>
        <w:jc w:val="left"/>
        <w:rPr>
          <w:lang w:val="fr-FR"/>
        </w:rPr>
      </w:pPr>
      <w:r>
        <w:rPr>
          <w:lang w:val="fr-FR"/>
        </w:rPr>
        <w:tab/>
      </w:r>
      <w:r>
        <w:rPr>
          <w:i/>
          <w:lang w:val="fr-FR"/>
        </w:rPr>
        <w:t>BW</w:t>
      </w:r>
      <w:r>
        <w:rPr>
          <w:i/>
          <w:sz w:val="28"/>
          <w:vertAlign w:val="subscript"/>
          <w:lang w:val="fr-FR"/>
        </w:rPr>
        <w:t>as</w:t>
      </w:r>
      <w:r>
        <w:rPr>
          <w:rFonts w:ascii="Tms Rmn" w:hAnsi="Tms Rmn"/>
          <w:sz w:val="12"/>
          <w:lang w:val="fr-FR"/>
        </w:rPr>
        <w:t> </w:t>
      </w:r>
      <w:r>
        <w:rPr>
          <w:lang w:val="fr-FR"/>
        </w:rPr>
        <w:t>:</w:t>
      </w:r>
      <w:r>
        <w:rPr>
          <w:lang w:val="fr-FR"/>
        </w:rPr>
        <w:tab/>
        <w:t>largeur de bande assignée (Hz)</w:t>
      </w:r>
      <w:r>
        <w:rPr>
          <w:lang w:val="fr-FR"/>
        </w:rPr>
        <w:br/>
        <w:t>Par exemple: 500 MHz pour la bande 4/6 GHz; 1</w:t>
      </w:r>
      <w:r>
        <w:rPr>
          <w:rFonts w:ascii="Tms Rmn" w:hAnsi="Tms Rmn"/>
          <w:sz w:val="12"/>
          <w:lang w:val="fr-FR"/>
        </w:rPr>
        <w:t> </w:t>
      </w:r>
      <w:r>
        <w:rPr>
          <w:lang w:val="fr-FR"/>
        </w:rPr>
        <w:t>000 MHz pour la bande 12/14 GHz, etc.</w:t>
      </w:r>
    </w:p>
    <w:p w:rsidR="002B489A" w:rsidRDefault="004F19C4">
      <w:pPr>
        <w:pStyle w:val="Equationlegend"/>
        <w:rPr>
          <w:lang w:val="fr-FR"/>
        </w:rPr>
      </w:pPr>
      <w:r>
        <w:rPr>
          <w:lang w:val="fr-FR"/>
        </w:rPr>
        <w:tab/>
      </w:r>
      <w:r>
        <w:rPr>
          <w:i/>
          <w:lang w:val="fr-FR"/>
        </w:rPr>
        <w:t>N</w:t>
      </w:r>
      <w:r>
        <w:rPr>
          <w:i/>
          <w:sz w:val="28"/>
          <w:vertAlign w:val="subscript"/>
          <w:lang w:val="fr-FR"/>
        </w:rPr>
        <w:t>freq</w:t>
      </w:r>
      <w:r>
        <w:rPr>
          <w:rFonts w:ascii="Tms Rmn" w:hAnsi="Tms Rmn"/>
          <w:sz w:val="12"/>
          <w:lang w:val="fr-FR"/>
        </w:rPr>
        <w:t> </w:t>
      </w:r>
      <w:r>
        <w:rPr>
          <w:lang w:val="fr-FR"/>
        </w:rPr>
        <w:t>:</w:t>
      </w:r>
      <w:r>
        <w:rPr>
          <w:lang w:val="fr-FR"/>
        </w:rPr>
        <w:tab/>
        <w:t>schéma de réutilisation des fréquences</w:t>
      </w:r>
    </w:p>
    <w:p w:rsidR="002B489A" w:rsidRDefault="004F19C4">
      <w:pPr>
        <w:pStyle w:val="Equationlegend"/>
        <w:rPr>
          <w:lang w:val="fr-FR"/>
        </w:rPr>
      </w:pPr>
      <w:r>
        <w:rPr>
          <w:lang w:val="fr-FR"/>
        </w:rPr>
        <w:tab/>
      </w:r>
      <w:r>
        <w:rPr>
          <w:i/>
          <w:lang w:val="fr-FR"/>
        </w:rPr>
        <w:t>OBO</w:t>
      </w:r>
      <w:r>
        <w:rPr>
          <w:rFonts w:ascii="Tms Rmn" w:hAnsi="Tms Rmn"/>
          <w:sz w:val="12"/>
          <w:lang w:val="fr-FR"/>
        </w:rPr>
        <w:t> </w:t>
      </w:r>
      <w:r>
        <w:rPr>
          <w:lang w:val="fr-FR"/>
        </w:rPr>
        <w:t>:</w:t>
      </w:r>
      <w:r>
        <w:rPr>
          <w:lang w:val="fr-FR"/>
        </w:rPr>
        <w:tab/>
        <w:t>puissance de sortie vers l'arrière (dB).</w:t>
      </w:r>
    </w:p>
    <w:p w:rsidR="002B489A" w:rsidRDefault="004F19C4">
      <w:pPr>
        <w:pStyle w:val="Heading3"/>
      </w:pPr>
      <w:r>
        <w:t>2.5.4</w:t>
      </w:r>
      <w:r>
        <w:tab/>
        <w:t>Densité de puissance fondée sur les notifications de satellites à l'UIT</w:t>
      </w:r>
    </w:p>
    <w:p w:rsidR="002B489A" w:rsidRDefault="004F19C4">
      <w:r>
        <w:t xml:space="preserve">La densité de puissance d'émission des satellites peut être obtenue directement des notifications selon l'Appendice </w:t>
      </w:r>
      <w:r>
        <w:rPr>
          <w:bCs/>
        </w:rPr>
        <w:t>4</w:t>
      </w:r>
      <w:r>
        <w:t xml:space="preserve"> du RR.</w:t>
      </w:r>
    </w:p>
    <w:p w:rsidR="002B489A" w:rsidRDefault="004F19C4">
      <w:pPr>
        <w:pStyle w:val="Heading2"/>
      </w:pPr>
      <w:bookmarkStart w:id="1" w:name="_Toc511466299"/>
      <w:bookmarkStart w:id="2" w:name="_Toc511466439"/>
      <w:r>
        <w:t>2.6</w:t>
      </w:r>
      <w:r>
        <w:tab/>
        <w:t>Boîte (ii): Puissance broui</w:t>
      </w:r>
      <w:bookmarkEnd w:id="1"/>
      <w:bookmarkEnd w:id="2"/>
      <w:r>
        <w:t>lleuse</w:t>
      </w:r>
    </w:p>
    <w:p w:rsidR="002B489A" w:rsidRDefault="004F19C4">
      <w:r>
        <w:t>L'objet de cette étape est de calculer le niveau de rayonnement non désiré reçu par le service passif sur la base de la puissance surfacique dans la bande déterminée dans la boîte (i). La façon dont cela est fixé va varier selon les caractéristiques du service d'émission et selon celles du service passif recevant le brouillage. Les risques de brouillage causé au service passif du fait des rayonnements non désirés du service actif pourront être calculés sur la base de ce qui suit:</w:t>
      </w:r>
    </w:p>
    <w:p w:rsidR="002B489A" w:rsidRDefault="004F19C4">
      <w:pPr>
        <w:pStyle w:val="Equation"/>
      </w:pPr>
      <w:r>
        <w:tab/>
      </w:r>
      <w:r>
        <w:tab/>
      </w:r>
      <w:r>
        <w:rPr>
          <w:position w:val="-16"/>
        </w:rPr>
        <w:object w:dxaOrig="5240" w:dyaOrig="400">
          <v:shape id="_x0000_i1029" type="#_x0000_t75" style="width:261.5pt;height:20.5pt" o:ole="">
            <v:imagedata r:id="rId17" o:title=""/>
          </v:shape>
          <o:OLEObject Type="Embed" ProgID="Equation.3" ShapeID="_x0000_i1029" DrawAspect="Content" ObjectID="_1649163275" r:id="rId18"/>
        </w:object>
      </w:r>
      <w:r>
        <w:tab/>
        <w:t>(5)</w:t>
      </w:r>
    </w:p>
    <w:p w:rsidR="002B489A" w:rsidRDefault="004F19C4">
      <w:r>
        <w:t>où:</w:t>
      </w:r>
    </w:p>
    <w:p w:rsidR="002B489A" w:rsidRDefault="004F19C4">
      <w:pPr>
        <w:pStyle w:val="Equationlegend"/>
        <w:tabs>
          <w:tab w:val="left" w:pos="210"/>
          <w:tab w:val="left" w:pos="360"/>
          <w:tab w:val="left" w:pos="2160"/>
          <w:tab w:val="left" w:pos="2340"/>
        </w:tabs>
        <w:rPr>
          <w:lang w:val="fr-FR"/>
        </w:rPr>
      </w:pPr>
      <w:r>
        <w:rPr>
          <w:i/>
          <w:lang w:val="es-ES"/>
        </w:rPr>
        <w:tab/>
      </w:r>
      <w:r>
        <w:rPr>
          <w:i/>
          <w:lang w:val="fr-FR"/>
        </w:rPr>
        <w:t>pfd</w:t>
      </w:r>
      <w:r>
        <w:rPr>
          <w:i/>
          <w:vertAlign w:val="subscript"/>
          <w:lang w:val="fr-FR"/>
        </w:rPr>
        <w:t>(uwanted emissions)</w:t>
      </w:r>
      <w:r>
        <w:rPr>
          <w:i/>
          <w:iCs/>
          <w:sz w:val="12"/>
          <w:vertAlign w:val="subscript"/>
          <w:lang w:val="fr-FR"/>
        </w:rPr>
        <w:t>  </w:t>
      </w:r>
      <w:r>
        <w:rPr>
          <w:lang w:val="fr-FR"/>
        </w:rPr>
        <w:t>:</w:t>
      </w:r>
      <w:r>
        <w:rPr>
          <w:lang w:val="fr-FR"/>
        </w:rPr>
        <w:tab/>
      </w:r>
      <w:r>
        <w:rPr>
          <w:i/>
          <w:iCs/>
          <w:vertAlign w:val="subscript"/>
          <w:lang w:val="fr-FR"/>
        </w:rPr>
        <w:tab/>
      </w:r>
      <w:r>
        <w:rPr>
          <w:lang w:val="fr-FR"/>
        </w:rPr>
        <w:t>niveau de puissance surfacique sur les sites de réception du SRA</w:t>
      </w:r>
    </w:p>
    <w:p w:rsidR="002B489A" w:rsidRDefault="004F19C4">
      <w:pPr>
        <w:pStyle w:val="Equationlegend"/>
        <w:tabs>
          <w:tab w:val="clear" w:pos="1701"/>
          <w:tab w:val="left" w:pos="540"/>
          <w:tab w:val="left" w:pos="2160"/>
          <w:tab w:val="left" w:pos="2340"/>
        </w:tabs>
        <w:ind w:left="2160" w:hanging="2160"/>
        <w:rPr>
          <w:lang w:val="fr-FR"/>
        </w:rPr>
      </w:pPr>
      <w:r>
        <w:rPr>
          <w:lang w:val="fr-FR"/>
        </w:rPr>
        <w:tab/>
      </w:r>
      <w:r>
        <w:rPr>
          <w:i/>
          <w:lang w:val="fr-FR"/>
        </w:rPr>
        <w:t>Pfd</w:t>
      </w:r>
      <w:r>
        <w:rPr>
          <w:i/>
          <w:iCs/>
          <w:vertAlign w:val="subscript"/>
          <w:lang w:val="fr-FR"/>
        </w:rPr>
        <w:t>in</w:t>
      </w:r>
      <w:r>
        <w:rPr>
          <w:i/>
          <w:iCs/>
          <w:vertAlign w:val="subscript"/>
          <w:lang w:val="fr-FR"/>
        </w:rPr>
        <w:noBreakHyphen/>
        <w:t>band_active</w:t>
      </w:r>
      <w:r>
        <w:rPr>
          <w:i/>
          <w:iCs/>
          <w:sz w:val="12"/>
          <w:vertAlign w:val="subscript"/>
          <w:lang w:val="fr-FR"/>
        </w:rPr>
        <w:t>  </w:t>
      </w:r>
      <w:r>
        <w:rPr>
          <w:lang w:val="fr-FR"/>
        </w:rPr>
        <w:t>:</w:t>
      </w:r>
      <w:r>
        <w:rPr>
          <w:lang w:val="fr-FR"/>
        </w:rPr>
        <w:tab/>
      </w:r>
      <w:r>
        <w:rPr>
          <w:lang w:val="fr-FR"/>
        </w:rPr>
        <w:tab/>
        <w:t>niveaux de puissance surfacique dans la bande des systèmes de service actif. Les limites maximales de puissance surfacique admissibles indiquées dans le Tableau </w:t>
      </w:r>
      <w:r>
        <w:rPr>
          <w:bCs/>
          <w:lang w:val="fr-FR"/>
        </w:rPr>
        <w:t>21-4</w:t>
      </w:r>
      <w:r>
        <w:rPr>
          <w:lang w:val="fr-FR"/>
        </w:rPr>
        <w:t xml:space="preserve"> du RR peuvent être utilisées pour le calcul. Dans certains cas, il n'y a pas de limite de puissance surfacique sur la liaison descendante et on peut utiliser les limites maximales de puissance surfacique de la liaison descendante du système actif</w:t>
      </w:r>
    </w:p>
    <w:p w:rsidR="002B489A" w:rsidRDefault="004F19C4">
      <w:pPr>
        <w:pStyle w:val="Equationlegend"/>
        <w:tabs>
          <w:tab w:val="clear" w:pos="1701"/>
          <w:tab w:val="clear" w:pos="1985"/>
          <w:tab w:val="left" w:pos="1474"/>
          <w:tab w:val="left" w:pos="1503"/>
          <w:tab w:val="left" w:pos="2160"/>
          <w:tab w:val="left" w:pos="2340"/>
        </w:tabs>
        <w:ind w:left="2160" w:hanging="2160"/>
        <w:rPr>
          <w:lang w:val="fr-FR"/>
        </w:rPr>
      </w:pPr>
      <w:r>
        <w:rPr>
          <w:i/>
          <w:iCs/>
          <w:lang w:val="fr-FR"/>
        </w:rPr>
        <w:tab/>
        <w:t>OoB</w:t>
      </w:r>
      <w:r>
        <w:rPr>
          <w:i/>
          <w:iCs/>
          <w:sz w:val="12"/>
          <w:vertAlign w:val="subscript"/>
          <w:lang w:val="fr-FR"/>
        </w:rPr>
        <w:t> </w:t>
      </w:r>
      <w:r>
        <w:rPr>
          <w:lang w:val="fr-FR"/>
        </w:rPr>
        <w:t>:</w:t>
      </w:r>
      <w:r>
        <w:rPr>
          <w:i/>
          <w:iCs/>
          <w:lang w:val="fr-FR"/>
        </w:rPr>
        <w:tab/>
      </w:r>
      <w:r>
        <w:rPr>
          <w:lang w:val="fr-FR"/>
        </w:rPr>
        <w:t xml:space="preserve">gabarit de protection hors bande (par exemple, sur la base de la Recommandation </w:t>
      </w:r>
      <w:r>
        <w:rPr>
          <w:rFonts w:ascii="Times" w:hAnsi="Times"/>
          <w:lang w:val="fr-FR"/>
        </w:rPr>
        <w:t>UIT</w:t>
      </w:r>
      <w:r>
        <w:rPr>
          <w:rFonts w:ascii="Times" w:hAnsi="Times"/>
          <w:lang w:val="fr-FR"/>
        </w:rPr>
        <w:noBreakHyphen/>
        <w:t>R</w:t>
      </w:r>
      <w:r>
        <w:rPr>
          <w:rFonts w:ascii="Times" w:hAnsi="Times"/>
          <w:b/>
          <w:lang w:val="fr-FR"/>
        </w:rPr>
        <w:t> </w:t>
      </w:r>
      <w:r>
        <w:rPr>
          <w:rFonts w:ascii="Times" w:hAnsi="Times"/>
          <w:bCs/>
          <w:lang w:val="fr-FR"/>
        </w:rPr>
        <w:t>SM.1541</w:t>
      </w:r>
      <w:r>
        <w:rPr>
          <w:lang w:val="fr-FR"/>
        </w:rPr>
        <w:t>))</w:t>
      </w:r>
    </w:p>
    <w:p w:rsidR="002B489A" w:rsidRDefault="004F19C4">
      <w:pPr>
        <w:pStyle w:val="Equationlegend"/>
        <w:tabs>
          <w:tab w:val="clear" w:pos="1701"/>
          <w:tab w:val="clear" w:pos="1985"/>
          <w:tab w:val="left" w:pos="1786"/>
          <w:tab w:val="left" w:pos="2160"/>
          <w:tab w:val="left" w:pos="2340"/>
        </w:tabs>
        <w:ind w:left="2160" w:hanging="2160"/>
        <w:rPr>
          <w:lang w:val="fr-FR"/>
        </w:rPr>
      </w:pPr>
      <w:r>
        <w:rPr>
          <w:i/>
          <w:iCs/>
          <w:lang w:val="fr-FR"/>
        </w:rPr>
        <w:tab/>
        <w:t>L</w:t>
      </w:r>
      <w:r>
        <w:rPr>
          <w:i/>
          <w:iCs/>
          <w:sz w:val="12"/>
          <w:vertAlign w:val="subscript"/>
          <w:lang w:val="fr-FR"/>
        </w:rPr>
        <w:t> </w:t>
      </w:r>
      <w:r>
        <w:rPr>
          <w:lang w:val="fr-FR"/>
        </w:rPr>
        <w:t>:</w:t>
      </w:r>
      <w:r>
        <w:rPr>
          <w:i/>
          <w:iCs/>
          <w:lang w:val="fr-FR"/>
        </w:rPr>
        <w:tab/>
      </w:r>
      <w:r>
        <w:rPr>
          <w:lang w:val="fr-FR"/>
        </w:rPr>
        <w:t>l'affaiblissement par les gaz atmosphériques et pertes par scintillement (Recommandation UIT</w:t>
      </w:r>
      <w:r>
        <w:rPr>
          <w:lang w:val="fr-FR"/>
        </w:rPr>
        <w:noBreakHyphen/>
        <w:t>R</w:t>
      </w:r>
      <w:r>
        <w:rPr>
          <w:b/>
          <w:lang w:val="fr-FR"/>
        </w:rPr>
        <w:t> </w:t>
      </w:r>
      <w:r>
        <w:rPr>
          <w:bCs/>
          <w:lang w:val="fr-FR"/>
        </w:rPr>
        <w:t>P.676</w:t>
      </w:r>
      <w:r>
        <w:rPr>
          <w:lang w:val="fr-FR"/>
        </w:rPr>
        <w:t> – Affaiblissement dû au gaz de l'atmos</w:t>
      </w:r>
      <w:r>
        <w:rPr>
          <w:lang w:val="fr-FR"/>
        </w:rPr>
        <w:softHyphen/>
        <w:t>phère).</w:t>
      </w:r>
    </w:p>
    <w:p w:rsidR="002B489A" w:rsidRDefault="004F19C4">
      <w:r>
        <w:br w:type="page"/>
        <w:t xml:space="preserve">Le </w:t>
      </w:r>
      <w:r>
        <w:rPr>
          <w:bCs/>
        </w:rPr>
        <w:t>numéro 1.153</w:t>
      </w:r>
      <w:r>
        <w:t xml:space="preserve"> du RR et la Recommandation UIT-R </w:t>
      </w:r>
      <w:r>
        <w:rPr>
          <w:bCs/>
        </w:rPr>
        <w:t>SM.1541</w:t>
      </w:r>
      <w:r>
        <w:t xml:space="preserve"> suggèrent des méthodes de détermination des rayonnements des services actifs au sein du domaine des émissions hors bande. En application de la Recommandation UIT-R </w:t>
      </w:r>
      <w:r>
        <w:rPr>
          <w:bCs/>
        </w:rPr>
        <w:t>SM.1541</w:t>
      </w:r>
      <w:r>
        <w:t xml:space="preserve">, la portée du domaine des émissions hors bande est déterminée par l'application de la Recommandation UIT-R </w:t>
      </w:r>
      <w:r>
        <w:rPr>
          <w:bCs/>
        </w:rPr>
        <w:t>SM.1539</w:t>
      </w:r>
      <w:r>
        <w:t xml:space="preserve">. La Recommandation UIT-R </w:t>
      </w:r>
      <w:r>
        <w:rPr>
          <w:bCs/>
        </w:rPr>
        <w:t xml:space="preserve">SM.329 </w:t>
      </w:r>
      <w:r>
        <w:t>sert à calculer les niveaux des rayonnements non désirés provenant des services actifs qui surviennent dans le domaine des rayonnements non essentiels.</w:t>
      </w:r>
    </w:p>
    <w:p w:rsidR="002B489A" w:rsidRDefault="004F19C4">
      <w:pPr>
        <w:pStyle w:val="Heading3"/>
      </w:pPr>
      <w:r>
        <w:t>2.6.1</w:t>
      </w:r>
      <w:r>
        <w:tab/>
        <w:t>Récepteur du SETS</w:t>
      </w:r>
    </w:p>
    <w:p w:rsidR="002B489A" w:rsidRDefault="004F19C4">
      <w:r>
        <w:t>Le SETS est vulnérable aux brouillages des émetteurs de terre, comprenant aussi bien des émetteurs isolés à forte puissance que des fortes densités d'émetteurs à faible puissance. Les émetteurs actifs depuis l'espace pourraient ajouter à l'énergie reçue par le détecteur via des réflexions par la Terre dans le faisceau principal de l'antenne, ou directement par le côté ou l'arrière de l'antenne.</w:t>
      </w:r>
    </w:p>
    <w:p w:rsidR="002B489A" w:rsidRDefault="004F19C4">
      <w:r>
        <w:t>Les données qui sont nécessaires pour évaluer la puissance résultante provenant des systèmes actifs sur un récepteur SETS incluent:</w:t>
      </w:r>
    </w:p>
    <w:p w:rsidR="002B489A" w:rsidRDefault="004F19C4">
      <w:pPr>
        <w:pStyle w:val="enumlev1"/>
      </w:pPr>
      <w:r>
        <w:t>–</w:t>
      </w:r>
      <w:r>
        <w:tab/>
        <w:t>le gain du système SETS;</w:t>
      </w:r>
    </w:p>
    <w:p w:rsidR="002B489A" w:rsidRDefault="004F19C4">
      <w:pPr>
        <w:pStyle w:val="enumlev1"/>
      </w:pPr>
      <w:r>
        <w:t>–</w:t>
      </w:r>
      <w:r>
        <w:tab/>
        <w:t>les caractéristiques de pointage du système SETS;</w:t>
      </w:r>
    </w:p>
    <w:p w:rsidR="002B489A" w:rsidRDefault="004F19C4">
      <w:pPr>
        <w:pStyle w:val="enumlev1"/>
      </w:pPr>
      <w:r>
        <w:t>–</w:t>
      </w:r>
      <w:r>
        <w:tab/>
        <w:t>l'altitude du système SETS; et</w:t>
      </w:r>
    </w:p>
    <w:p w:rsidR="002B489A" w:rsidRDefault="004F19C4">
      <w:pPr>
        <w:pStyle w:val="enumlev1"/>
      </w:pPr>
      <w:r>
        <w:t>–</w:t>
      </w:r>
      <w:r>
        <w:tab/>
        <w:t>l'absorption atmosphérique.</w:t>
      </w:r>
    </w:p>
    <w:p w:rsidR="002B489A" w:rsidRDefault="004F19C4">
      <w:pPr>
        <w:pStyle w:val="Heading4"/>
      </w:pPr>
      <w:r>
        <w:t>2.6.1.1</w:t>
      </w:r>
      <w:r>
        <w:tab/>
        <w:t>Densité géographique des émetteurs</w:t>
      </w:r>
    </w:p>
    <w:p w:rsidR="002B489A" w:rsidRDefault="004F19C4">
      <w:r>
        <w:t>Les systèmes déployés sur la surface de la terre sont essentiellement stationnaires pendant la période de mesure du détecteur. Le risque de brouillage s'accroît lorsque plusieurs émetteurs apparaissent dans le faisceau principal de l'antenne du détecteur. Les informations nécessaires à l'évaluation de la puissance reçue au sein du pixel SETS, en provenance des systèmes actifs déployés, sont les suivantes:</w:t>
      </w:r>
    </w:p>
    <w:p w:rsidR="002B489A" w:rsidRDefault="004F19C4">
      <w:pPr>
        <w:pStyle w:val="enumlev1"/>
      </w:pPr>
      <w:r>
        <w:t>–</w:t>
      </w:r>
      <w:r>
        <w:tab/>
        <w:t>la taille du pixel SETS;</w:t>
      </w:r>
    </w:p>
    <w:p w:rsidR="002B489A" w:rsidRDefault="004F19C4">
      <w:pPr>
        <w:pStyle w:val="enumlev1"/>
      </w:pPr>
      <w:r>
        <w:t>–</w:t>
      </w:r>
      <w:r>
        <w:tab/>
        <w:t>le nombre de terminaux susceptibles d'être déployés dans la taille du pixel et utilisant la même fréquence au même moment;</w:t>
      </w:r>
    </w:p>
    <w:p w:rsidR="002B489A" w:rsidRDefault="004F19C4">
      <w:pPr>
        <w:pStyle w:val="enumlev1"/>
        <w:rPr>
          <w:sz w:val="20"/>
        </w:rPr>
      </w:pPr>
      <w:r>
        <w:t>–</w:t>
      </w:r>
      <w:r>
        <w:tab/>
        <w:t xml:space="preserve">une approximation du gain des systèmes terrestres dans la direction du satellite SETS. La Recommandation UIT-R </w:t>
      </w:r>
      <w:r>
        <w:rPr>
          <w:bCs/>
        </w:rPr>
        <w:t>F.1245</w:t>
      </w:r>
      <w:r>
        <w:t xml:space="preserve"> donne un gabarit d'antenne pour les systèmes de service fixe point à point et la Recommandation UIT-R </w:t>
      </w:r>
      <w:r>
        <w:rPr>
          <w:bCs/>
        </w:rPr>
        <w:t>F.1336</w:t>
      </w:r>
      <w:r>
        <w:t xml:space="preserve"> donne les gabarits de rayonnements de référence pour les systèmes point-multipoint (P</w:t>
      </w:r>
      <w:r>
        <w:noBreakHyphen/>
        <w:t>MP). Dans la mesure où les terminaux du service fixe pointent dans une direction proche de l'horizon, la probabilité d'avoir un système du service fixe pointant directement dans le faisceau principal d'une antenne d'un satellite SETS est très faible. En première approche, le gain moyen des systèmes du service fixe dans la direction du satellite SETS à utiliser dans le calcul de la puissance cumulée reçue au satellite SETS peut être approché en prenant pour chacun des terminaux du service fixe un gain qui est celui calculé pour un angle de 90° par rapport à l'axe principal.</w:t>
      </w:r>
    </w:p>
    <w:p w:rsidR="002B489A" w:rsidRDefault="004F19C4">
      <w:r>
        <w:t>Dans le cas de systèmes du service fixe, les paramètres suivants devraient être pris en considération:</w:t>
      </w:r>
    </w:p>
    <w:p w:rsidR="002B489A" w:rsidRDefault="004F19C4">
      <w:pPr>
        <w:pStyle w:val="enumlev1"/>
      </w:pPr>
      <w:r>
        <w:t>–</w:t>
      </w:r>
      <w:r>
        <w:tab/>
        <w:t>la disposition des canaux (si elle est connue) comme approche de première étape (examiner les canaux «les plus proches» de la bande SETS);</w:t>
      </w:r>
    </w:p>
    <w:p w:rsidR="002B489A" w:rsidRDefault="004F19C4">
      <w:pPr>
        <w:pStyle w:val="enumlev1"/>
      </w:pPr>
      <w:r>
        <w:t>–</w:t>
      </w:r>
      <w:r>
        <w:tab/>
        <w:t xml:space="preserve">selon la Recommandation UIT-R </w:t>
      </w:r>
      <w:r>
        <w:rPr>
          <w:bCs/>
        </w:rPr>
        <w:t>F.1191</w:t>
      </w:r>
      <w:r>
        <w:t xml:space="preserve"> que, «pour les systèmes de service fixe numériques, la largeur de bande nécessaire soit considérée comme identique à la largeur de bande occupée» et que la puissance de service fixe en dehors de la largeur de bande occupée </w:t>
      </w:r>
      <w:r>
        <w:br w:type="page"/>
        <w:t>(inférieure et supérieure) ne devrait pas dépasser 0,5% de la puissance moyenne totale du rayonnement donné (</w:t>
      </w:r>
      <w:r>
        <w:rPr>
          <w:bCs/>
        </w:rPr>
        <w:t>numéro 1.153</w:t>
      </w:r>
      <w:r>
        <w:t xml:space="preserve"> du RR). Les valeurs de puissance moyenne totale sont données dans la Recommandation UIT-R </w:t>
      </w:r>
      <w:r>
        <w:rPr>
          <w:bCs/>
        </w:rPr>
        <w:t>F.758.</w:t>
      </w:r>
    </w:p>
    <w:p w:rsidR="002B489A" w:rsidRDefault="004F19C4">
      <w:pPr>
        <w:pStyle w:val="Heading4"/>
      </w:pPr>
      <w:r>
        <w:t>2.6.1.2</w:t>
      </w:r>
      <w:r>
        <w:tab/>
        <w:t>Emetteur pointant vers des détecteurs</w:t>
      </w:r>
    </w:p>
    <w:p w:rsidR="002B489A" w:rsidRDefault="004F19C4">
      <w:r>
        <w:t>Dans certains cas, des émetteurs individuels pourraient brouiller des mesures alors que le détecteur est dans le lobe principal de la station de Terre. Les informations nécessaires pour l'évaluation de la puissance reçue de la part du système actif sont les suivantes:</w:t>
      </w:r>
    </w:p>
    <w:p w:rsidR="002B489A" w:rsidRDefault="004F19C4">
      <w:pPr>
        <w:pStyle w:val="enumlev1"/>
      </w:pPr>
      <w:r>
        <w:t>–</w:t>
      </w:r>
      <w:r>
        <w:tab/>
        <w:t>le gain de l'émetteur dans la direction du SETS; et</w:t>
      </w:r>
    </w:p>
    <w:p w:rsidR="002B489A" w:rsidRDefault="004F19C4">
      <w:pPr>
        <w:pStyle w:val="enumlev1"/>
      </w:pPr>
      <w:r>
        <w:t>–</w:t>
      </w:r>
      <w:r>
        <w:tab/>
        <w:t>le trajet de la liaison.</w:t>
      </w:r>
    </w:p>
    <w:p w:rsidR="002B489A" w:rsidRDefault="004F19C4">
      <w:pPr>
        <w:pStyle w:val="Heading4"/>
      </w:pPr>
      <w:r>
        <w:t>2.6.1.3</w:t>
      </w:r>
      <w:r>
        <w:tab/>
        <w:t>Liaisons descendantes de satellite</w:t>
      </w:r>
    </w:p>
    <w:p w:rsidR="002B489A" w:rsidRDefault="004F19C4">
      <w:r>
        <w:t>Dans certains cas, un brouillage est possible à partir des signaux réfléchis sur la surface de la Terre, qui peuvent entrer dans le faisceau principal de la station. Les informations nécessaires pour l'évaluation de la puissance reçue de la part du système actif sont:</w:t>
      </w:r>
    </w:p>
    <w:p w:rsidR="002B489A" w:rsidRDefault="004F19C4">
      <w:pPr>
        <w:pStyle w:val="enumlev1"/>
      </w:pPr>
      <w:r>
        <w:t>–</w:t>
      </w:r>
      <w:r>
        <w:tab/>
        <w:t xml:space="preserve">le coefficient de réflexion du terrain ou plan d'eau; </w:t>
      </w:r>
    </w:p>
    <w:p w:rsidR="002B489A" w:rsidRDefault="004F19C4">
      <w:pPr>
        <w:pStyle w:val="enumlev1"/>
      </w:pPr>
      <w:r>
        <w:t>–</w:t>
      </w:r>
      <w:r>
        <w:tab/>
        <w:t>le gain du système spatial dans la direction de la Terre;</w:t>
      </w:r>
    </w:p>
    <w:p w:rsidR="002B489A" w:rsidRDefault="004F19C4">
      <w:pPr>
        <w:pStyle w:val="enumlev1"/>
      </w:pPr>
      <w:r>
        <w:t xml:space="preserve">– </w:t>
      </w:r>
      <w:r>
        <w:tab/>
        <w:t>l'altitude du système spatial ou bien la puissance surfacique au niveau de la Terre.</w:t>
      </w:r>
    </w:p>
    <w:p w:rsidR="002B489A" w:rsidRDefault="004F19C4">
      <w:pPr>
        <w:pStyle w:val="Heading3"/>
      </w:pPr>
      <w:r>
        <w:t>2.6.2</w:t>
      </w:r>
      <w:r>
        <w:tab/>
        <w:t>Récepteur du SRA</w:t>
      </w:r>
    </w:p>
    <w:p w:rsidR="002B489A" w:rsidRDefault="004F19C4">
      <w:pPr>
        <w:pStyle w:val="Heading4"/>
      </w:pPr>
      <w:r>
        <w:t>2.6.2.1</w:t>
      </w:r>
      <w:r>
        <w:tab/>
        <w:t>Rayonnements non désirés provenant du service fixe</w:t>
      </w:r>
    </w:p>
    <w:p w:rsidR="002B489A" w:rsidRDefault="004F19C4">
      <w:r>
        <w:t xml:space="preserve">On peut s'attendre à un risque de brouillage du SRA par des systèmes à bord de plates-formes à haute altitude (HAPS, </w:t>
      </w:r>
      <w:r>
        <w:rPr>
          <w:i/>
        </w:rPr>
        <w:t>high altitude platform stations</w:t>
      </w:r>
      <w:r>
        <w:t>). La Recommandation UIT</w:t>
      </w:r>
      <w:r>
        <w:noBreakHyphen/>
        <w:t>R </w:t>
      </w:r>
      <w:r>
        <w:rPr>
          <w:bCs/>
        </w:rPr>
        <w:t>SM.1542</w:t>
      </w:r>
      <w:r>
        <w:t xml:space="preserve"> n'a pas identifié d'autres questions se rapportant à des sources terrestres de brouillage des bandes de la radioastronomie.</w:t>
      </w:r>
    </w:p>
    <w:p w:rsidR="002B489A" w:rsidRDefault="004F19C4">
      <w:pPr>
        <w:pStyle w:val="Heading4"/>
      </w:pPr>
      <w:r>
        <w:t>2.6.2.2</w:t>
      </w:r>
      <w:r>
        <w:tab/>
        <w:t>Rayonnements non désirés de la part des systèmes spatiaux</w:t>
      </w:r>
    </w:p>
    <w:p w:rsidR="002B489A" w:rsidRDefault="004F19C4">
      <w:r>
        <w:t>La puissance brouilleuse dans la station du SRA provient alors des liaisons descendantes du service par satellite, aussi bien OSG que non OSG. Dans le premier cas le brouillage ne variera généralement pas en fonction de la localisation ou du temps. Dans le second cas, la puissance brouilleuse variera à la fois dans le temps et selon la localisation dans le ciel. En conséquence, les deux cas sont traités séparément.</w:t>
      </w:r>
    </w:p>
    <w:p w:rsidR="002B489A" w:rsidRDefault="004F19C4">
      <w:pPr>
        <w:pStyle w:val="Heading5"/>
      </w:pPr>
      <w:r>
        <w:t>2.6.2.2.1</w:t>
      </w:r>
      <w:r>
        <w:tab/>
        <w:t>Rayonnements non désirés de systèmes à satellites OSG (liaison descendante)</w:t>
      </w:r>
    </w:p>
    <w:p w:rsidR="002B489A" w:rsidRDefault="004F19C4">
      <w:r>
        <w:t>Le niveau des rayonnements non désirés peut être établi comme suit:</w:t>
      </w:r>
    </w:p>
    <w:p w:rsidR="002B489A" w:rsidRDefault="004F19C4">
      <w:pPr>
        <w:pStyle w:val="Equation"/>
      </w:pPr>
      <w:r>
        <w:tab/>
      </w:r>
      <w:r>
        <w:tab/>
      </w:r>
      <w:r>
        <w:rPr>
          <w:position w:val="-30"/>
        </w:rPr>
        <w:object w:dxaOrig="2520" w:dyaOrig="680">
          <v:shape id="_x0000_i1030" type="#_x0000_t75" style="width:126pt;height:34pt" o:ole="">
            <v:imagedata r:id="rId19" o:title=""/>
          </v:shape>
          <o:OLEObject Type="Embed" ProgID="Equation.3" ShapeID="_x0000_i1030" DrawAspect="Content" ObjectID="_1649163276" r:id="rId20"/>
        </w:object>
      </w:r>
      <w:r>
        <w:tab/>
        <w:t>(6)</w:t>
      </w:r>
    </w:p>
    <w:p w:rsidR="002B489A" w:rsidRDefault="004F19C4">
      <w:r>
        <w:t>où:</w:t>
      </w:r>
    </w:p>
    <w:p w:rsidR="002B489A" w:rsidRDefault="004F19C4">
      <w:pPr>
        <w:pStyle w:val="Equationlegend"/>
        <w:rPr>
          <w:lang w:val="fr-FR"/>
        </w:rPr>
      </w:pPr>
      <w:r>
        <w:rPr>
          <w:lang w:val="fr-FR"/>
        </w:rPr>
        <w:tab/>
      </w:r>
      <w:r>
        <w:rPr>
          <w:i/>
          <w:lang w:val="fr-FR"/>
        </w:rPr>
        <w:t>I</w:t>
      </w:r>
      <w:r>
        <w:rPr>
          <w:rFonts w:ascii="Tms Rmn" w:hAnsi="Tms Rmn"/>
          <w:sz w:val="12"/>
          <w:lang w:val="fr-FR"/>
        </w:rPr>
        <w:t> </w:t>
      </w:r>
      <w:r>
        <w:rPr>
          <w:iCs/>
          <w:lang w:val="fr-FR"/>
        </w:rPr>
        <w:t>:</w:t>
      </w:r>
      <w:r>
        <w:rPr>
          <w:lang w:val="fr-FR"/>
        </w:rPr>
        <w:tab/>
        <w:t>puissance brouilleuse à la station du SRA (W/m</w:t>
      </w:r>
      <w:r>
        <w:rPr>
          <w:vertAlign w:val="superscript"/>
          <w:lang w:val="fr-FR"/>
        </w:rPr>
        <w:t>2</w:t>
      </w:r>
      <w:r>
        <w:rPr>
          <w:lang w:val="fr-FR"/>
        </w:rPr>
        <w:t>)</w:t>
      </w:r>
    </w:p>
    <w:p w:rsidR="002B489A" w:rsidRDefault="004F19C4">
      <w:pPr>
        <w:pStyle w:val="Equationlegend"/>
        <w:rPr>
          <w:lang w:val="fr-FR"/>
        </w:rPr>
      </w:pPr>
      <w:r>
        <w:rPr>
          <w:lang w:val="fr-FR"/>
        </w:rPr>
        <w:tab/>
      </w:r>
      <w:r>
        <w:rPr>
          <w:i/>
          <w:lang w:val="fr-FR"/>
        </w:rPr>
        <w:t>f</w:t>
      </w:r>
      <w:r>
        <w:rPr>
          <w:vertAlign w:val="subscript"/>
          <w:lang w:val="fr-FR"/>
        </w:rPr>
        <w:t>1</w:t>
      </w:r>
      <w:r>
        <w:rPr>
          <w:i/>
          <w:lang w:val="fr-FR"/>
        </w:rPr>
        <w:t>, f</w:t>
      </w:r>
      <w:r>
        <w:rPr>
          <w:vertAlign w:val="subscript"/>
          <w:lang w:val="fr-FR"/>
        </w:rPr>
        <w:t>2</w:t>
      </w:r>
      <w:r>
        <w:rPr>
          <w:rFonts w:ascii="Tms Rmn" w:hAnsi="Tms Rmn"/>
          <w:sz w:val="12"/>
          <w:lang w:val="fr-FR"/>
        </w:rPr>
        <w:t> </w:t>
      </w:r>
      <w:r>
        <w:rPr>
          <w:iCs/>
          <w:lang w:val="fr-FR"/>
        </w:rPr>
        <w:t>:</w:t>
      </w:r>
      <w:r>
        <w:rPr>
          <w:lang w:val="fr-FR"/>
        </w:rPr>
        <w:tab/>
        <w:t>bords respectivement supérieur et inférieur de la bande de réception du SRA (Hz)</w:t>
      </w:r>
    </w:p>
    <w:p w:rsidR="002B489A" w:rsidRDefault="004F19C4">
      <w:pPr>
        <w:pStyle w:val="Equationlegend"/>
        <w:rPr>
          <w:lang w:val="fr-FR"/>
        </w:rPr>
      </w:pPr>
      <w:r>
        <w:rPr>
          <w:lang w:val="fr-FR"/>
        </w:rPr>
        <w:tab/>
      </w:r>
      <w:r>
        <w:rPr>
          <w:i/>
          <w:lang w:val="fr-FR"/>
        </w:rPr>
        <w:t>p</w:t>
      </w:r>
      <w:r>
        <w:rPr>
          <w:lang w:val="fr-FR"/>
        </w:rPr>
        <w:t>(</w:t>
      </w:r>
      <w:r>
        <w:rPr>
          <w:rFonts w:ascii="Tms Rmn" w:hAnsi="Tms Rmn"/>
          <w:i/>
          <w:sz w:val="12"/>
          <w:lang w:val="fr-FR"/>
        </w:rPr>
        <w:t> </w:t>
      </w:r>
      <w:r>
        <w:rPr>
          <w:i/>
          <w:lang w:val="fr-FR"/>
        </w:rPr>
        <w:t>f</w:t>
      </w:r>
      <w:r>
        <w:rPr>
          <w:rFonts w:ascii="Tms Rmn" w:hAnsi="Tms Rmn"/>
          <w:sz w:val="12"/>
          <w:lang w:val="fr-FR"/>
        </w:rPr>
        <w:t> </w:t>
      </w:r>
      <w:r>
        <w:rPr>
          <w:lang w:val="fr-FR"/>
        </w:rPr>
        <w:t>)</w:t>
      </w:r>
      <w:r>
        <w:rPr>
          <w:rFonts w:ascii="Tms Rmn" w:hAnsi="Tms Rmn"/>
          <w:sz w:val="12"/>
          <w:lang w:val="fr-FR"/>
        </w:rPr>
        <w:t> </w:t>
      </w:r>
      <w:r>
        <w:rPr>
          <w:iCs/>
          <w:lang w:val="fr-FR"/>
        </w:rPr>
        <w:t>:</w:t>
      </w:r>
      <w:r>
        <w:rPr>
          <w:lang w:val="fr-FR"/>
        </w:rPr>
        <w:tab/>
        <w:t>puissance de rayonnement non désiré à la bordure de l'antenne d'émission (W)</w:t>
      </w:r>
    </w:p>
    <w:p w:rsidR="002B489A" w:rsidRDefault="004F19C4">
      <w:pPr>
        <w:pStyle w:val="Equationlegend"/>
        <w:rPr>
          <w:lang w:val="fr-FR"/>
        </w:rPr>
      </w:pPr>
      <w:r>
        <w:rPr>
          <w:lang w:val="fr-FR"/>
        </w:rPr>
        <w:tab/>
      </w:r>
      <w:r>
        <w:rPr>
          <w:i/>
          <w:lang w:val="fr-FR"/>
        </w:rPr>
        <w:t>g</w:t>
      </w:r>
      <w:r>
        <w:rPr>
          <w:lang w:val="fr-FR"/>
        </w:rPr>
        <w:t>(</w:t>
      </w:r>
      <w:r>
        <w:rPr>
          <w:rFonts w:ascii="Tms Rmn" w:hAnsi="Tms Rmn"/>
          <w:i/>
          <w:sz w:val="12"/>
          <w:lang w:val="fr-FR"/>
        </w:rPr>
        <w:t> </w:t>
      </w:r>
      <w:r>
        <w:rPr>
          <w:i/>
          <w:lang w:val="fr-FR"/>
        </w:rPr>
        <w:t>f</w:t>
      </w:r>
      <w:r>
        <w:rPr>
          <w:rFonts w:ascii="Tms Rmn" w:hAnsi="Tms Rmn"/>
          <w:i/>
          <w:sz w:val="12"/>
          <w:lang w:val="fr-FR"/>
        </w:rPr>
        <w:t> </w:t>
      </w:r>
      <w:r>
        <w:rPr>
          <w:lang w:val="fr-FR"/>
        </w:rPr>
        <w:t>)</w:t>
      </w:r>
      <w:r>
        <w:rPr>
          <w:rFonts w:ascii="Tms Rmn" w:hAnsi="Tms Rmn"/>
          <w:sz w:val="12"/>
          <w:lang w:val="fr-FR"/>
        </w:rPr>
        <w:t> </w:t>
      </w:r>
      <w:r>
        <w:rPr>
          <w:iCs/>
          <w:lang w:val="fr-FR"/>
        </w:rPr>
        <w:t>:</w:t>
      </w:r>
      <w:r>
        <w:rPr>
          <w:lang w:val="fr-FR"/>
        </w:rPr>
        <w:tab/>
        <w:t>gain de l'antenne d'émission dans la direction du site de radioastronomie</w:t>
      </w:r>
    </w:p>
    <w:p w:rsidR="002B489A" w:rsidRDefault="004F19C4">
      <w:pPr>
        <w:pStyle w:val="Equationlegend"/>
        <w:rPr>
          <w:lang w:val="fr-FR"/>
        </w:rPr>
      </w:pPr>
      <w:r>
        <w:rPr>
          <w:lang w:val="fr-FR"/>
        </w:rPr>
        <w:tab/>
      </w:r>
      <w:r>
        <w:rPr>
          <w:i/>
          <w:lang w:val="fr-FR"/>
        </w:rPr>
        <w:t>SL</w:t>
      </w:r>
      <w:r>
        <w:rPr>
          <w:rFonts w:ascii="Tms Rmn" w:hAnsi="Tms Rmn"/>
          <w:sz w:val="12"/>
          <w:lang w:val="fr-FR"/>
        </w:rPr>
        <w:t> </w:t>
      </w:r>
      <w:r>
        <w:rPr>
          <w:iCs/>
          <w:lang w:val="fr-FR"/>
        </w:rPr>
        <w:t>:</w:t>
      </w:r>
      <w:r>
        <w:rPr>
          <w:lang w:val="fr-FR"/>
        </w:rPr>
        <w:tab/>
        <w:t xml:space="preserve">affaiblissement de dispersion (dB) </w:t>
      </w:r>
    </w:p>
    <w:p w:rsidR="002B489A" w:rsidRDefault="004F19C4">
      <w:pPr>
        <w:pStyle w:val="Equationlegend"/>
        <w:rPr>
          <w:lang w:val="fr-FR"/>
        </w:rPr>
      </w:pPr>
      <w:r>
        <w:rPr>
          <w:lang w:val="fr-FR"/>
        </w:rPr>
        <w:tab/>
      </w:r>
      <w:r>
        <w:rPr>
          <w:i/>
          <w:lang w:val="fr-FR"/>
        </w:rPr>
        <w:t>ATM</w:t>
      </w:r>
      <w:r>
        <w:rPr>
          <w:lang w:val="fr-FR"/>
        </w:rPr>
        <w:t>(</w:t>
      </w:r>
      <w:r>
        <w:rPr>
          <w:rFonts w:ascii="Tms Rmn" w:hAnsi="Tms Rmn"/>
          <w:i/>
          <w:sz w:val="12"/>
          <w:lang w:val="fr-FR"/>
        </w:rPr>
        <w:t> </w:t>
      </w:r>
      <w:r>
        <w:rPr>
          <w:i/>
          <w:lang w:val="fr-FR"/>
        </w:rPr>
        <w:t>f</w:t>
      </w:r>
      <w:r>
        <w:rPr>
          <w:rFonts w:ascii="Tms Rmn" w:hAnsi="Tms Rmn"/>
          <w:i/>
          <w:sz w:val="12"/>
          <w:lang w:val="fr-FR"/>
        </w:rPr>
        <w:t> </w:t>
      </w:r>
      <w:r>
        <w:rPr>
          <w:lang w:val="fr-FR"/>
        </w:rPr>
        <w:t>)</w:t>
      </w:r>
      <w:r>
        <w:rPr>
          <w:rFonts w:ascii="Tms Rmn" w:hAnsi="Tms Rmn"/>
          <w:sz w:val="12"/>
          <w:lang w:val="fr-FR"/>
        </w:rPr>
        <w:t> </w:t>
      </w:r>
      <w:r>
        <w:rPr>
          <w:iCs/>
          <w:lang w:val="fr-FR"/>
        </w:rPr>
        <w:t>:</w:t>
      </w:r>
      <w:r>
        <w:rPr>
          <w:lang w:val="fr-FR"/>
        </w:rPr>
        <w:tab/>
        <w:t xml:space="preserve">absorption atmosphérique dans la bande </w:t>
      </w:r>
      <w:r>
        <w:rPr>
          <w:i/>
          <w:lang w:val="fr-FR"/>
        </w:rPr>
        <w:t>f</w:t>
      </w:r>
      <w:r>
        <w:rPr>
          <w:vertAlign w:val="subscript"/>
          <w:lang w:val="fr-FR"/>
        </w:rPr>
        <w:t>1</w:t>
      </w:r>
      <w:r>
        <w:rPr>
          <w:lang w:val="fr-FR"/>
        </w:rPr>
        <w:t xml:space="preserve"> – </w:t>
      </w:r>
      <w:r>
        <w:rPr>
          <w:i/>
          <w:lang w:val="fr-FR"/>
        </w:rPr>
        <w:t>f</w:t>
      </w:r>
      <w:r>
        <w:rPr>
          <w:vertAlign w:val="subscript"/>
          <w:lang w:val="fr-FR"/>
        </w:rPr>
        <w:t>2</w:t>
      </w:r>
      <w:r>
        <w:rPr>
          <w:i/>
          <w:sz w:val="28"/>
          <w:lang w:val="fr-FR"/>
        </w:rPr>
        <w:t xml:space="preserve"> </w:t>
      </w:r>
      <w:r>
        <w:rPr>
          <w:lang w:val="fr-FR"/>
        </w:rPr>
        <w:t xml:space="preserve">en fonction de la fréquence. </w:t>
      </w:r>
    </w:p>
    <w:p w:rsidR="002B489A" w:rsidRDefault="004F19C4">
      <w:r>
        <w:br w:type="page"/>
        <w:t>On notera qu'aussi bien la puissance du signal émis que le gain du sous-système d'antenne varient avec la fréquence et, comme tels, sont représentés comme fonctions de la fréquence. Le brouillage total au site de la station du SRA est l'intégrale de ces fonctions, comme indiqué ci-dessus, sur la fréquence passe-bande du récepteur. Dans les cas où le niveau de rayonnement non désiré et le gain d'antenne sont constants sur toute la largeur de bande du récepteur du service passif, on peut simplifier la fonction comme suit:</w:t>
      </w:r>
    </w:p>
    <w:p w:rsidR="002B489A" w:rsidRDefault="004F19C4">
      <w:pPr>
        <w:pStyle w:val="Equation"/>
      </w:pPr>
      <w:r>
        <w:tab/>
      </w:r>
      <w:r>
        <w:tab/>
      </w:r>
      <w:r>
        <w:rPr>
          <w:position w:val="-30"/>
        </w:rPr>
        <w:object w:dxaOrig="1540" w:dyaOrig="680">
          <v:shape id="_x0000_i1031" type="#_x0000_t75" style="width:77pt;height:34pt" o:ole="" fillcolor="window">
            <v:imagedata r:id="rId21" o:title=""/>
          </v:shape>
          <o:OLEObject Type="Embed" ProgID="Equation.3" ShapeID="_x0000_i1031" DrawAspect="Content" ObjectID="_1649163277" r:id="rId22"/>
        </w:object>
      </w:r>
      <w:r>
        <w:tab/>
        <w:t>(7)</w:t>
      </w:r>
    </w:p>
    <w:p w:rsidR="002B489A" w:rsidRDefault="004F19C4">
      <w:r>
        <w:t>Dans les cas où la bande active est adjacente à la bande passive, on peut supposer que le gain d'antenne d'émission reste constant à la fois dans la bande d'émission et dans la bande passive. Cependant cela peut souvent n'être pas le cas, particulièrement lorsque la bande passive est au</w:t>
      </w:r>
      <w:r>
        <w:noBreakHyphen/>
        <w:t>dessous de la fréquence de coupure du réseau d'alimentation du guide d'onde dans le sous</w:t>
      </w:r>
      <w:r>
        <w:noBreakHyphen/>
        <w:t>système d'antenne.</w:t>
      </w:r>
    </w:p>
    <w:p w:rsidR="002B489A" w:rsidRDefault="004F19C4">
      <w:pPr>
        <w:pStyle w:val="Heading5"/>
      </w:pPr>
      <w:r>
        <w:t>2.6.2.2.2</w:t>
      </w:r>
      <w:r>
        <w:tab/>
        <w:t>Rayonnements non désirés des systèmes à satellites non OSG (liaison descendante)</w:t>
      </w:r>
    </w:p>
    <w:p w:rsidR="002B489A" w:rsidRDefault="004F19C4">
      <w:r>
        <w:t xml:space="preserve">Pour évaluer les brouillages provenant des systèmes SFS non OSG sur les stations du SRA, on doit utiliser la méthode de la Recommandation UIT-R </w:t>
      </w:r>
      <w:r>
        <w:rPr>
          <w:bCs/>
        </w:rPr>
        <w:t>S.1586</w:t>
      </w:r>
      <w:r>
        <w:t>. De même, pour évaluer les brouillages causés par des systèmes SMS et SRNS non OSG à des stations du SRA, on doit utiliser la méthode de la Recommandation UIT</w:t>
      </w:r>
      <w:r>
        <w:noBreakHyphen/>
        <w:t xml:space="preserve">R </w:t>
      </w:r>
      <w:r>
        <w:rPr>
          <w:bCs/>
        </w:rPr>
        <w:t>M.1583</w:t>
      </w:r>
      <w:r>
        <w:t>.</w:t>
      </w:r>
    </w:p>
    <w:p w:rsidR="002B489A" w:rsidRDefault="004F19C4">
      <w:pPr>
        <w:pStyle w:val="Heading2"/>
      </w:pPr>
      <w:r>
        <w:t>2.7</w:t>
      </w:r>
      <w:r>
        <w:tab/>
        <w:t>Boîte (iii): Evaluer la différence</w:t>
      </w:r>
    </w:p>
    <w:p w:rsidR="002B489A" w:rsidRDefault="004F19C4">
      <w:r>
        <w:t>L'objet de cette boîte est de permettre de passer en revue les données d'entrée et la différence avant de procéder à une autre itération selon la méthode. Si on est arrivé à cette boîte, le brouillage reçu est alors supérieur au seuil, ce qui implique qu'on doive procéder à des changements lors de l'itération suivante pour réduire l'écart entre les deux valeurs.</w:t>
      </w:r>
    </w:p>
    <w:p w:rsidR="002B489A" w:rsidRDefault="004F19C4">
      <w:r>
        <w:t>Dans les premières itérations de la boucle, l'accent devrait être mis sur l'amélioration de la précision de l'évaluation du brouillage subi par le service passif. Comme les études de répartition préliminaires comportent des hypothèses grossières sur les deux systèmes, elles doivent être précisées de façon à être capables de fixer de façon appropriée le risque de brouillage. Des descriptions plus précises du système et des méthodes de calcul plus fines peuvent exiger un plus haut degré de complexité de calcul, mais peuvent révéler que, finalement, le risque de brouillage est significativement inférieur à ce qu'indiquaient des hypothèses plus grossières.</w:t>
      </w:r>
    </w:p>
    <w:p w:rsidR="002B489A" w:rsidRDefault="004F19C4">
      <w:r>
        <w:t>Une fois que l'étude est réputée être suffisamment précise et qu'il existe toujours un écart, il sera nécessaire de faire des restrictions pour l'un ou l'autre côté ou les deux, afin d'éclaircir le problème. Ces restrictions peuvent prendre la forme de restrictions de fonctionnement, de changements de caractéristiques des équipements ou d'une modification des critères de répartition.</w:t>
      </w:r>
    </w:p>
    <w:p w:rsidR="002B489A" w:rsidRDefault="004F19C4">
      <w:r>
        <w:t>Une fois que les zones de changement possible ont été identifiées dans cette boîte pour l'itération suivante, la boîte de décision appropriée va effectuer la modification et conduira à une nouvelle estimation du brouillage.</w:t>
      </w:r>
    </w:p>
    <w:p w:rsidR="002B489A" w:rsidRDefault="004F19C4">
      <w:pPr>
        <w:pStyle w:val="Heading2"/>
      </w:pPr>
      <w:r>
        <w:t>2.8</w:t>
      </w:r>
      <w:r>
        <w:tab/>
        <w:t>Boîte (iv): Solution consultative</w:t>
      </w:r>
    </w:p>
    <w:p w:rsidR="002B489A" w:rsidRDefault="004F19C4">
      <w:r>
        <w:t xml:space="preserve">Après plusieurs itérations de la méthode, il peut encore exister un désaccord entre les services actif et passif. Si on ne peut faire aucune autre modification des paramètres, des critères ou méthodes de réduction des brouillages de l'un ou l'autre système, il n'y a alors pas de solution générale permettant à tous les utilisateurs de la bande active de la partager avec tous les utilisateurs du </w:t>
      </w:r>
      <w:r>
        <w:br w:type="page"/>
        <w:t>service passif. La seule solution restante qui puisse alors être explorée est que les utilisateurs entrent en discussion sur des sous-ensembles de la bande active et de la bande passive pour essayer de trouver un accord entre eux. Par exemple, entre deux bandes adjacentes, il peut n'être pas possible de trouver une solution entre les systèmes SFS et SRA. Cependant, une solution peut se trouver entre le SFS non OSG et le SRA.</w:t>
      </w:r>
    </w:p>
    <w:p w:rsidR="002B489A" w:rsidRDefault="004F19C4">
      <w:r>
        <w:t>La méthode de la Fig. 1 peut se révéler utile en provoquant les discussions de ce paragraphe entre des sous-ensembles d'opérateurs partageant la bande.</w:t>
      </w:r>
    </w:p>
    <w:p w:rsidR="002B489A" w:rsidRDefault="004F19C4">
      <w:r>
        <w:t>Cependant, si de plus petits groupes de consultation ne peuvent parvenir à un accord, la méthode trouve alors ses limites sans avoir résolu le problème. Les progrès résultant des itérations de la méthode peuvent se révéler utiles pour réduire le désaccord et en suggérant de nouveaux domaines d'étude. Ils peuvent aussi servir de base à des solutions multiples parmi lesquelles les réglementeurs pourront faire un choix.</w:t>
      </w:r>
    </w:p>
    <w:p w:rsidR="002B489A" w:rsidRDefault="004F19C4">
      <w:pPr>
        <w:pStyle w:val="Heading2"/>
      </w:pPr>
      <w:r>
        <w:t>2.9</w:t>
      </w:r>
      <w:r>
        <w:tab/>
        <w:t xml:space="preserve">Losange (a): Puissance brouilleuse </w:t>
      </w:r>
      <w:r>
        <w:rPr>
          <w:rFonts w:ascii="Symbol" w:hAnsi="Symbol"/>
        </w:rPr>
        <w:sym w:font="Symbol" w:char="F0A3"/>
      </w:r>
      <w:r>
        <w:t xml:space="preserve"> critères de service passif</w:t>
      </w:r>
    </w:p>
    <w:p w:rsidR="002B489A" w:rsidRDefault="004F19C4">
      <w:r>
        <w:t>La puissance brouilleuse évaluée dans la boîte (ii) est comparée aux critères appropriés de protection du service passif tirés de la boîte (2). Si le brouillage est supérieur au niveau gênant, la méthode conduit au losange de décision (b). Cette méthode s'achève si le brouillage est inférieur ou égal à ces critères.</w:t>
      </w:r>
    </w:p>
    <w:p w:rsidR="002B489A" w:rsidRDefault="004F19C4">
      <w:pPr>
        <w:pStyle w:val="Heading2"/>
      </w:pPr>
      <w:r>
        <w:t>2.10</w:t>
      </w:r>
      <w:r>
        <w:tab/>
        <w:t xml:space="preserve">Losange (b): Puissance brouilleuse </w:t>
      </w:r>
      <w:r>
        <w:rPr>
          <w:rFonts w:ascii="Symbol" w:hAnsi="Symbol"/>
        </w:rPr>
        <w:sym w:font="Symbol" w:char="F0A3"/>
      </w:r>
      <w:r>
        <w:t xml:space="preserve"> seuil</w:t>
      </w:r>
    </w:p>
    <w:p w:rsidR="002B489A" w:rsidRDefault="004F19C4">
      <w:r>
        <w:t>Sur des itérations ultérieures, le seuil du losange (b) peut indiquer que la disposition opérationnelle qui donne une protection adéquate du service passif tout en minimisant les restrictions subies par le service actif est possible. Les paramètres utilisés peuvent résulter des procédures des losanges (c), (d) ou (e). La charge résultant de cette disposition devrait être distribuée équitablement entre les deux services. Dans le cas de plusieurs services actifs brouilleurs, la procédure d'itération devrait être suivie pour chaque service individuel, pouvant résulter en différentes dispositions opérationnelles pour chacun. Le principe directeur est que la charge totale sur toutes les parties impliquées ne devrait pas rendre une de ces parties incapable de fonctionner effectivement.</w:t>
      </w:r>
    </w:p>
    <w:p w:rsidR="002B489A" w:rsidRDefault="004F19C4">
      <w:pPr>
        <w:pStyle w:val="Heading2"/>
      </w:pPr>
      <w:r>
        <w:t>2.11</w:t>
      </w:r>
      <w:r>
        <w:tab/>
        <w:t>Losange (c): Peut-on préciser les paramètres d'émission?</w:t>
      </w:r>
    </w:p>
    <w:p w:rsidR="002B489A" w:rsidRDefault="004F19C4">
      <w:r>
        <w:t>Après l'examen fait avec la boîte (iii), il se peut qu'on puisse modifier les paramètres d'émission du service actif. Par exemple, les limites réglementaires utilisées comme niveaux inférieurs, qui sont plus représentatives de la situation courante, peuvent remplacer les hypothèses de cas le plus défavorable dans la prévision des systèmes futurs. Ces hypothèses modifiées peuvent alors être prises en compte dans les itérations suivantes.</w:t>
      </w:r>
    </w:p>
    <w:p w:rsidR="002B489A" w:rsidRDefault="004F19C4">
      <w:pPr>
        <w:pStyle w:val="Heading2"/>
      </w:pPr>
      <w:r>
        <w:t>2.12</w:t>
      </w:r>
      <w:r>
        <w:tab/>
        <w:t>Losange (d): Peut-on préciser les paramètres de réception dans la bande passive?</w:t>
      </w:r>
    </w:p>
    <w:p w:rsidR="002B489A" w:rsidRDefault="004F19C4">
      <w:r>
        <w:t>Après l'examen fait avec la boîte (iii), il se peut qu'on puisse modifier les paramètres de rayonnement du service passif. Par exemple, les diagrammes d'antenne réels peuvent être utilisés au lieu de diagrammes plus conservateurs. Ces hypothèses modifiées peuvent alors être prises en compte dans les itérations suivantes.</w:t>
      </w:r>
    </w:p>
    <w:p w:rsidR="002B489A" w:rsidRDefault="004F19C4">
      <w:pPr>
        <w:pStyle w:val="Heading2"/>
      </w:pPr>
      <w:r>
        <w:br w:type="page"/>
        <w:t>2.13</w:t>
      </w:r>
      <w:r>
        <w:tab/>
        <w:t>Losange (e): L'application de techniques de réduction des brouillages est-elle possible?</w:t>
      </w:r>
    </w:p>
    <w:p w:rsidR="002B489A" w:rsidRDefault="004F19C4">
      <w:r>
        <w:t xml:space="preserve">Lorsqu'on ne peut plus aller plus loin dans la précision des paramètres des services actif et passif et qu'il reste encore un écart entre le brouillage et le seuil de partage, les méthodes de réduction des brouillages peuvent être prises en considération comme moyen de réduire l'écart. La présente section comporte trois méthodes vraisemblables, quoiqu'il en existe d'autres (par exemple, la liste de l'Annexe 3 de la Recommandation UIT-R </w:t>
      </w:r>
      <w:r>
        <w:rPr>
          <w:bCs/>
        </w:rPr>
        <w:t>SM.1542</w:t>
      </w:r>
      <w:r>
        <w:t>).</w:t>
      </w:r>
    </w:p>
    <w:p w:rsidR="002B489A" w:rsidRDefault="004F19C4">
      <w:pPr>
        <w:pStyle w:val="Heading3"/>
      </w:pPr>
      <w:r>
        <w:t>2.13.1</w:t>
      </w:r>
      <w:r>
        <w:tab/>
        <w:t>Système actif</w:t>
      </w:r>
    </w:p>
    <w:p w:rsidR="002B489A" w:rsidRDefault="004F19C4">
      <w:pPr>
        <w:pStyle w:val="Heading4"/>
      </w:pPr>
      <w:r>
        <w:t>2.13.1.1</w:t>
      </w:r>
      <w:r>
        <w:tab/>
        <w:t>Filtrage par le système actif</w:t>
      </w:r>
    </w:p>
    <w:p w:rsidR="002B489A" w:rsidRDefault="004F19C4">
      <w:r>
        <w:t>Une méthode de protection adéquate des services passifs est l'introduction de filtrages additionnels dans la chaîne RF de l'émetteur pour réduire le niveau des rayonnements non désirés. Dans certains cas, ceci peut ne constituer qu'une charge minimale car l'architecture de l'émetteur permet l'insertion d'un filtre ou l'amélioration d'un filtre existant. Cependant, dans certains cas, l'applicabilité des filtres peut être affectée par des considérations de coût, de poids et/ou de réduction de capacité.</w:t>
      </w:r>
    </w:p>
    <w:p w:rsidR="002B489A" w:rsidRDefault="004F19C4">
      <w:pPr>
        <w:pStyle w:val="Heading4"/>
      </w:pPr>
      <w:r>
        <w:t>2.13.1.2</w:t>
      </w:r>
      <w:r>
        <w:tab/>
        <w:t>Utilisation d'une bande de garde</w:t>
      </w:r>
    </w:p>
    <w:p w:rsidR="002B489A" w:rsidRDefault="004F19C4">
      <w:r>
        <w:t>Une méthode de réduction du niveau des rayonnements non désirés provenant de l'émetteur du service actif sur la bande passive est l'introduction d'une bande de garde. La bande de garde permet de réduire la puissance du brouillage reçu par l'opérateur du service passif. Bien que ceci puisse être efficace lorsque les deux systèmes partagent des bandes adjacentes, cela peut n'être que de peu de valeur lorsque la séparation entre les bandes est importante, car la largeur de bande supplémentaire peut ne pas fournir d'amélioration substantielle à l'atténuation par le filtrage. De plus, l'insertion d'une bande de garde réduit la largeur de bande disponible pour l'un des services ou pour les deux.</w:t>
      </w:r>
    </w:p>
    <w:p w:rsidR="002B489A" w:rsidRDefault="004F19C4">
      <w:r>
        <w:t>Les calculs suivants devraient être entrepris pour évaluer l'impact d'une bande de garde. La puissance brouilleuse (W) reçue par le service passif est la suivante:</w:t>
      </w:r>
    </w:p>
    <w:p w:rsidR="002B489A" w:rsidRDefault="004F19C4">
      <w:pPr>
        <w:pStyle w:val="Equation"/>
      </w:pPr>
      <w:r>
        <w:tab/>
      </w:r>
      <w:r>
        <w:tab/>
      </w:r>
      <w:r>
        <w:rPr>
          <w:position w:val="-30"/>
        </w:rPr>
        <w:object w:dxaOrig="4000" w:dyaOrig="720">
          <v:shape id="_x0000_i1032" type="#_x0000_t75" style="width:200pt;height:36pt" o:ole="" fillcolor="window">
            <v:imagedata r:id="rId23" o:title=""/>
          </v:shape>
          <o:OLEObject Type="Embed" ProgID="Equation.3" ShapeID="_x0000_i1032" DrawAspect="Content" ObjectID="_1649163278" r:id="rId24"/>
        </w:object>
      </w:r>
      <w:r>
        <w:tab/>
        <w:t>(8)</w:t>
      </w:r>
    </w:p>
    <w:p w:rsidR="002B489A" w:rsidRDefault="004F19C4">
      <w:r>
        <w:t>où:</w:t>
      </w:r>
    </w:p>
    <w:p w:rsidR="002B489A" w:rsidRDefault="004F19C4">
      <w:pPr>
        <w:pStyle w:val="Equationlegend"/>
        <w:rPr>
          <w:lang w:val="fr-FR"/>
        </w:rPr>
      </w:pPr>
      <w:r>
        <w:rPr>
          <w:lang w:val="fr-FR"/>
        </w:rPr>
        <w:tab/>
      </w:r>
    </w:p>
    <w:p w:rsidR="002B489A" w:rsidRDefault="004F19C4">
      <w:pPr>
        <w:pStyle w:val="Equationlegend"/>
        <w:rPr>
          <w:lang w:val="fr-FR"/>
        </w:rPr>
      </w:pPr>
      <w:r>
        <w:rPr>
          <w:i/>
          <w:lang w:val="fr-FR"/>
        </w:rPr>
        <w:tab/>
        <w:t>I</w:t>
      </w:r>
      <w:r>
        <w:rPr>
          <w:rFonts w:ascii="Tms Rmn" w:hAnsi="Tms Rmn"/>
          <w:sz w:val="12"/>
          <w:lang w:val="fr-FR"/>
        </w:rPr>
        <w:t> </w:t>
      </w:r>
      <w:r>
        <w:rPr>
          <w:iCs/>
          <w:lang w:val="fr-FR"/>
        </w:rPr>
        <w:t>:</w:t>
      </w:r>
      <w:r>
        <w:rPr>
          <w:i/>
          <w:lang w:val="fr-FR"/>
        </w:rPr>
        <w:tab/>
      </w:r>
      <w:r>
        <w:rPr>
          <w:lang w:val="fr-FR"/>
        </w:rPr>
        <w:t>puissance brouilleuse reçue par le récepteur du service passif au sein de sa largeur de bande de réception (W/m</w:t>
      </w:r>
      <w:r>
        <w:rPr>
          <w:vertAlign w:val="superscript"/>
          <w:lang w:val="fr-FR"/>
        </w:rPr>
        <w:t>2</w:t>
      </w:r>
      <w:r>
        <w:rPr>
          <w:lang w:val="fr-FR"/>
        </w:rPr>
        <w:t>)</w:t>
      </w:r>
    </w:p>
    <w:p w:rsidR="002B489A" w:rsidRDefault="004F19C4">
      <w:pPr>
        <w:pStyle w:val="Equationlegend"/>
        <w:rPr>
          <w:lang w:val="fr-FR"/>
        </w:rPr>
      </w:pPr>
      <w:r>
        <w:rPr>
          <w:i/>
          <w:lang w:val="fr-FR"/>
        </w:rPr>
        <w:tab/>
        <w:t>f</w:t>
      </w:r>
      <w:r>
        <w:rPr>
          <w:vertAlign w:val="subscript"/>
          <w:lang w:val="fr-FR"/>
        </w:rPr>
        <w:t>1</w:t>
      </w:r>
      <w:r>
        <w:rPr>
          <w:lang w:val="fr-FR"/>
        </w:rPr>
        <w:t>,</w:t>
      </w:r>
      <w:r>
        <w:rPr>
          <w:i/>
          <w:lang w:val="fr-FR"/>
        </w:rPr>
        <w:t xml:space="preserve"> f</w:t>
      </w:r>
      <w:r>
        <w:rPr>
          <w:vertAlign w:val="subscript"/>
          <w:lang w:val="fr-FR"/>
        </w:rPr>
        <w:t>2</w:t>
      </w:r>
      <w:r>
        <w:rPr>
          <w:rFonts w:ascii="Tms Rmn" w:hAnsi="Tms Rmn"/>
          <w:sz w:val="12"/>
          <w:lang w:val="fr-FR"/>
        </w:rPr>
        <w:t> </w:t>
      </w:r>
      <w:r>
        <w:rPr>
          <w:iCs/>
          <w:lang w:val="fr-FR"/>
        </w:rPr>
        <w:t>:</w:t>
      </w:r>
      <w:r>
        <w:rPr>
          <w:i/>
          <w:lang w:val="fr-FR"/>
        </w:rPr>
        <w:tab/>
      </w:r>
      <w:r>
        <w:rPr>
          <w:lang w:val="fr-FR"/>
        </w:rPr>
        <w:t>bords respectivement inférieur et supérieur de la bande du récepteur du service passif (Hz)</w:t>
      </w:r>
    </w:p>
    <w:p w:rsidR="002B489A" w:rsidRDefault="004F19C4">
      <w:pPr>
        <w:pStyle w:val="Equationlegend"/>
        <w:rPr>
          <w:lang w:val="fr-FR"/>
        </w:rPr>
      </w:pPr>
      <w:r>
        <w:rPr>
          <w:i/>
          <w:lang w:val="fr-FR"/>
        </w:rPr>
        <w:tab/>
        <w:t>p</w:t>
      </w:r>
      <w:r>
        <w:rPr>
          <w:lang w:val="fr-FR"/>
        </w:rPr>
        <w:t>(</w:t>
      </w:r>
      <w:r>
        <w:rPr>
          <w:rFonts w:ascii="Tms Rmn" w:hAnsi="Tms Rmn"/>
          <w:sz w:val="12"/>
          <w:lang w:val="fr-FR"/>
        </w:rPr>
        <w:t> </w:t>
      </w:r>
      <w:r>
        <w:rPr>
          <w:i/>
          <w:lang w:val="fr-FR"/>
        </w:rPr>
        <w:t>f</w:t>
      </w:r>
      <w:r>
        <w:rPr>
          <w:rFonts w:ascii="Tms Rmn" w:hAnsi="Tms Rmn"/>
          <w:i/>
          <w:sz w:val="12"/>
          <w:lang w:val="fr-FR"/>
        </w:rPr>
        <w:t> </w:t>
      </w:r>
      <w:r>
        <w:rPr>
          <w:lang w:val="fr-FR"/>
        </w:rPr>
        <w:t>)</w:t>
      </w:r>
      <w:r>
        <w:rPr>
          <w:rFonts w:ascii="Tms Rmn" w:hAnsi="Tms Rmn"/>
          <w:sz w:val="12"/>
          <w:lang w:val="fr-FR"/>
        </w:rPr>
        <w:t> </w:t>
      </w:r>
      <w:r>
        <w:rPr>
          <w:iCs/>
          <w:lang w:val="fr-FR"/>
        </w:rPr>
        <w:t>:</w:t>
      </w:r>
      <w:r>
        <w:rPr>
          <w:i/>
          <w:lang w:val="fr-FR"/>
        </w:rPr>
        <w:tab/>
      </w:r>
      <w:r>
        <w:rPr>
          <w:lang w:val="fr-FR"/>
        </w:rPr>
        <w:t>densité de puissance du rayonnement non désiré en fonction de la fréquence à la bordure de l'antenne d'émission (W/Hz)</w:t>
      </w:r>
    </w:p>
    <w:p w:rsidR="002B489A" w:rsidRDefault="004F19C4">
      <w:pPr>
        <w:pStyle w:val="Equationlegend"/>
        <w:rPr>
          <w:lang w:val="fr-FR"/>
        </w:rPr>
      </w:pPr>
      <w:r>
        <w:rPr>
          <w:i/>
          <w:lang w:val="fr-FR"/>
        </w:rPr>
        <w:tab/>
        <w:t>g</w:t>
      </w:r>
      <w:r>
        <w:rPr>
          <w:vertAlign w:val="subscript"/>
          <w:lang w:val="fr-FR"/>
        </w:rPr>
        <w:t>1</w:t>
      </w:r>
      <w:r>
        <w:rPr>
          <w:lang w:val="fr-FR"/>
        </w:rPr>
        <w:t>(</w:t>
      </w:r>
      <w:r>
        <w:rPr>
          <w:rFonts w:ascii="Tms Rmn" w:hAnsi="Tms Rmn"/>
          <w:sz w:val="12"/>
          <w:lang w:val="fr-FR"/>
        </w:rPr>
        <w:t> </w:t>
      </w:r>
      <w:r>
        <w:rPr>
          <w:i/>
          <w:lang w:val="fr-FR"/>
        </w:rPr>
        <w:t>f</w:t>
      </w:r>
      <w:r>
        <w:rPr>
          <w:rFonts w:ascii="Tms Rmn" w:hAnsi="Tms Rmn"/>
          <w:i/>
          <w:sz w:val="12"/>
          <w:lang w:val="fr-FR"/>
        </w:rPr>
        <w:t> </w:t>
      </w:r>
      <w:r>
        <w:rPr>
          <w:lang w:val="fr-FR"/>
        </w:rPr>
        <w:t>)</w:t>
      </w:r>
      <w:r>
        <w:rPr>
          <w:rFonts w:ascii="Tms Rmn" w:hAnsi="Tms Rmn"/>
          <w:sz w:val="12"/>
          <w:lang w:val="fr-FR"/>
        </w:rPr>
        <w:t> </w:t>
      </w:r>
      <w:r>
        <w:rPr>
          <w:iCs/>
          <w:lang w:val="fr-FR"/>
        </w:rPr>
        <w:t>:</w:t>
      </w:r>
      <w:r>
        <w:rPr>
          <w:i/>
          <w:lang w:val="fr-FR"/>
        </w:rPr>
        <w:tab/>
      </w:r>
      <w:r>
        <w:rPr>
          <w:lang w:val="fr-FR"/>
        </w:rPr>
        <w:t>gain de l'antenne d'émission en fonction de la fréquence dans la direction de l'antenne du service passif</w:t>
      </w:r>
    </w:p>
    <w:p w:rsidR="002B489A" w:rsidRDefault="004F19C4">
      <w:pPr>
        <w:pStyle w:val="Equationlegend"/>
        <w:rPr>
          <w:lang w:val="fr-FR"/>
        </w:rPr>
      </w:pPr>
      <w:r>
        <w:rPr>
          <w:i/>
          <w:lang w:val="fr-FR"/>
        </w:rPr>
        <w:tab/>
        <w:t>g</w:t>
      </w:r>
      <w:r>
        <w:rPr>
          <w:vertAlign w:val="subscript"/>
          <w:lang w:val="fr-FR"/>
        </w:rPr>
        <w:t>2</w:t>
      </w:r>
      <w:r>
        <w:rPr>
          <w:lang w:val="fr-FR"/>
        </w:rPr>
        <w:t>(</w:t>
      </w:r>
      <w:r>
        <w:rPr>
          <w:rFonts w:ascii="Tms Rmn" w:hAnsi="Tms Rmn"/>
          <w:sz w:val="12"/>
          <w:lang w:val="fr-FR"/>
        </w:rPr>
        <w:t> </w:t>
      </w:r>
      <w:r>
        <w:rPr>
          <w:i/>
          <w:lang w:val="fr-FR"/>
        </w:rPr>
        <w:t>f</w:t>
      </w:r>
      <w:r>
        <w:rPr>
          <w:rFonts w:ascii="Tms Rmn" w:hAnsi="Tms Rmn"/>
          <w:i/>
          <w:sz w:val="12"/>
          <w:lang w:val="fr-FR"/>
        </w:rPr>
        <w:t> </w:t>
      </w:r>
      <w:r>
        <w:rPr>
          <w:lang w:val="fr-FR"/>
        </w:rPr>
        <w:t>)</w:t>
      </w:r>
      <w:r>
        <w:rPr>
          <w:rFonts w:ascii="Tms Rmn" w:hAnsi="Tms Rmn"/>
          <w:sz w:val="12"/>
          <w:lang w:val="fr-FR"/>
        </w:rPr>
        <w:t> </w:t>
      </w:r>
      <w:r>
        <w:rPr>
          <w:iCs/>
          <w:lang w:val="fr-FR"/>
        </w:rPr>
        <w:t>:</w:t>
      </w:r>
      <w:r>
        <w:rPr>
          <w:i/>
          <w:lang w:val="fr-FR"/>
        </w:rPr>
        <w:tab/>
      </w:r>
      <w:r>
        <w:rPr>
          <w:lang w:val="fr-FR"/>
        </w:rPr>
        <w:t>gain de l'antenne du service passif en fonction de la fréquence dans la direction de l'antenne d'émission</w:t>
      </w:r>
    </w:p>
    <w:p w:rsidR="002B489A" w:rsidRDefault="004F19C4">
      <w:pPr>
        <w:pStyle w:val="Equationlegend"/>
        <w:rPr>
          <w:lang w:val="fr-FR"/>
        </w:rPr>
      </w:pPr>
      <w:r>
        <w:rPr>
          <w:i/>
          <w:lang w:val="fr-FR"/>
        </w:rPr>
        <w:tab/>
        <w:t>FSL</w:t>
      </w:r>
      <w:r>
        <w:rPr>
          <w:rFonts w:ascii="Tms Rmn" w:hAnsi="Tms Rmn"/>
          <w:sz w:val="12"/>
          <w:lang w:val="fr-FR"/>
        </w:rPr>
        <w:t> </w:t>
      </w:r>
      <w:r>
        <w:rPr>
          <w:iCs/>
          <w:lang w:val="fr-FR"/>
        </w:rPr>
        <w:t>:</w:t>
      </w:r>
      <w:r>
        <w:rPr>
          <w:iCs/>
          <w:lang w:val="fr-FR"/>
        </w:rPr>
        <w:tab/>
      </w:r>
      <w:r>
        <w:rPr>
          <w:lang w:val="fr-FR"/>
        </w:rPr>
        <w:t>affaiblissement d'espace libre (m</w:t>
      </w:r>
      <w:r>
        <w:rPr>
          <w:vertAlign w:val="superscript"/>
          <w:lang w:val="fr-FR"/>
        </w:rPr>
        <w:t>2</w:t>
      </w:r>
      <w:r>
        <w:rPr>
          <w:lang w:val="fr-FR"/>
        </w:rPr>
        <w:t>)</w:t>
      </w:r>
    </w:p>
    <w:p w:rsidR="002B489A" w:rsidRDefault="004F19C4">
      <w:pPr>
        <w:pStyle w:val="Equationlegend"/>
        <w:rPr>
          <w:lang w:val="fr-FR"/>
        </w:rPr>
      </w:pPr>
      <w:r>
        <w:rPr>
          <w:i/>
          <w:iCs/>
          <w:lang w:val="fr-FR"/>
        </w:rPr>
        <w:tab/>
        <w:t>ATM</w:t>
      </w:r>
      <w:r>
        <w:rPr>
          <w:lang w:val="fr-FR"/>
        </w:rPr>
        <w:t>(</w:t>
      </w:r>
      <w:r>
        <w:rPr>
          <w:rFonts w:ascii="Tms Rmn" w:hAnsi="Tms Rmn"/>
          <w:sz w:val="12"/>
          <w:lang w:val="fr-FR"/>
        </w:rPr>
        <w:t> </w:t>
      </w:r>
      <w:r>
        <w:rPr>
          <w:i/>
          <w:lang w:val="fr-FR"/>
        </w:rPr>
        <w:t>f</w:t>
      </w:r>
      <w:r>
        <w:rPr>
          <w:rFonts w:ascii="Tms Rmn" w:hAnsi="Tms Rmn"/>
          <w:i/>
          <w:sz w:val="12"/>
          <w:lang w:val="fr-FR"/>
        </w:rPr>
        <w:t> </w:t>
      </w:r>
      <w:r>
        <w:rPr>
          <w:lang w:val="fr-FR"/>
        </w:rPr>
        <w:t>)</w:t>
      </w:r>
      <w:r>
        <w:rPr>
          <w:rFonts w:ascii="Tms Rmn" w:hAnsi="Tms Rmn"/>
          <w:sz w:val="12"/>
          <w:lang w:val="fr-FR"/>
        </w:rPr>
        <w:t> </w:t>
      </w:r>
      <w:r>
        <w:rPr>
          <w:iCs/>
          <w:lang w:val="fr-FR"/>
        </w:rPr>
        <w:t>:</w:t>
      </w:r>
      <w:r>
        <w:rPr>
          <w:i/>
          <w:lang w:val="fr-FR"/>
        </w:rPr>
        <w:tab/>
      </w:r>
      <w:r>
        <w:rPr>
          <w:lang w:val="fr-FR"/>
        </w:rPr>
        <w:t>absorption atmosphérique dans la bande en fonction de la fréquence</w:t>
      </w:r>
    </w:p>
    <w:p w:rsidR="002B489A" w:rsidRDefault="004F19C4">
      <w:pPr>
        <w:pStyle w:val="Equationlegend"/>
        <w:rPr>
          <w:lang w:val="fr-FR"/>
        </w:rPr>
      </w:pPr>
      <w:r>
        <w:rPr>
          <w:lang w:val="fr-FR"/>
        </w:rPr>
        <w:tab/>
      </w:r>
      <w:r>
        <w:rPr>
          <w:i/>
          <w:lang w:val="fr-FR"/>
        </w:rPr>
        <w:t>r</w:t>
      </w:r>
      <w:r>
        <w:rPr>
          <w:lang w:val="fr-FR"/>
        </w:rPr>
        <w:t>(</w:t>
      </w:r>
      <w:r>
        <w:rPr>
          <w:rFonts w:ascii="Tms Rmn" w:hAnsi="Tms Rmn"/>
          <w:sz w:val="12"/>
          <w:lang w:val="fr-FR"/>
        </w:rPr>
        <w:t> </w:t>
      </w:r>
      <w:r>
        <w:rPr>
          <w:i/>
          <w:lang w:val="fr-FR"/>
        </w:rPr>
        <w:t>f</w:t>
      </w:r>
      <w:r>
        <w:rPr>
          <w:rFonts w:ascii="Tms Rmn" w:hAnsi="Tms Rmn"/>
          <w:i/>
          <w:sz w:val="12"/>
          <w:lang w:val="fr-FR"/>
        </w:rPr>
        <w:t> </w:t>
      </w:r>
      <w:r>
        <w:rPr>
          <w:lang w:val="fr-FR"/>
        </w:rPr>
        <w:t>)</w:t>
      </w:r>
      <w:r>
        <w:rPr>
          <w:rFonts w:ascii="Tms Rmn" w:hAnsi="Tms Rmn"/>
          <w:sz w:val="12"/>
          <w:lang w:val="fr-FR"/>
        </w:rPr>
        <w:t> </w:t>
      </w:r>
      <w:r>
        <w:rPr>
          <w:iCs/>
          <w:lang w:val="fr-FR"/>
        </w:rPr>
        <w:t>:</w:t>
      </w:r>
      <w:r>
        <w:rPr>
          <w:i/>
          <w:lang w:val="fr-FR"/>
        </w:rPr>
        <w:tab/>
      </w:r>
      <w:r>
        <w:rPr>
          <w:lang w:val="fr-FR"/>
        </w:rPr>
        <w:t>caractéristiques de transfert des filtres de réception du service passif en fonction de la fréquence.</w:t>
      </w:r>
    </w:p>
    <w:p w:rsidR="002B489A" w:rsidRDefault="004F19C4">
      <w:r>
        <w:br w:type="page"/>
        <w:t>La mise en oeuvre d'une bande de garde implique un glissement des courbes aussi bien du récepteur que de l'émetteur. En conséquence du glissement de fréquence, certaines des courbes peuvent changer de forme pour s'accommoder de la largeur de bande disponible.</w:t>
      </w:r>
    </w:p>
    <w:p w:rsidR="002B489A" w:rsidRDefault="004F19C4">
      <w:pPr>
        <w:pStyle w:val="Heading4"/>
      </w:pPr>
      <w:r>
        <w:t>2.13.1.3</w:t>
      </w:r>
      <w:r>
        <w:tab/>
        <w:t>Utilisation de l'isolement géographique</w:t>
      </w:r>
    </w:p>
    <w:p w:rsidR="002B489A" w:rsidRDefault="004F19C4">
      <w:r>
        <w:t>Une autre méthode pour éviter des brouillages gênants est de s'assurer que la station de Terre du service passif est suffisamment éloignée de la vue directe de l'émetteur du service actif. Si les stations de Terre du service passif sont situées dans des zones qui sont éloignées de la zone de service des stations spatiales, le brouillage est alors minimisé. De plus, si les stations de Terre du service passif sont peu nombreuses et que leurs positions sont bien connues, il devrait alors être possible au concepteur des stations spatiales de positionner les faisceaux de façon à éviter les stations de Terre du service passif.</w:t>
      </w:r>
    </w:p>
    <w:p w:rsidR="002B489A" w:rsidRDefault="004F19C4">
      <w:pPr>
        <w:pStyle w:val="Heading3"/>
      </w:pPr>
      <w:r>
        <w:t>2.13.2</w:t>
      </w:r>
      <w:r>
        <w:tab/>
        <w:t>Système passif</w:t>
      </w:r>
    </w:p>
    <w:p w:rsidR="002B489A" w:rsidRDefault="004F19C4">
      <w:r>
        <w:t xml:space="preserve">Voir la Recommandation UIT-R </w:t>
      </w:r>
      <w:r>
        <w:rPr>
          <w:bCs/>
        </w:rPr>
        <w:t>SM.1542</w:t>
      </w:r>
      <w:r>
        <w:t>.</w:t>
      </w:r>
    </w:p>
    <w:p w:rsidR="002B489A" w:rsidRDefault="004F19C4">
      <w:pPr>
        <w:pStyle w:val="Heading2"/>
      </w:pPr>
      <w:r>
        <w:t>2.14</w:t>
      </w:r>
      <w:r>
        <w:tab/>
        <w:t>Ovales finaux (a), (b), (c)</w:t>
      </w:r>
    </w:p>
    <w:p w:rsidR="002B489A" w:rsidRDefault="004F19C4">
      <w:r>
        <w:rPr>
          <w:i/>
          <w:iCs/>
        </w:rPr>
        <w:t>Fin (a)</w:t>
      </w:r>
      <w:r>
        <w:t>: La méthode se terminant à ce point détermine que la compatibilité a été démontrée entre les paramètres initiaux du service passif et les paramètres initiaux ou précisés du service actif. Un résultat possible à ce point est qu'il n'était besoin d'aucune modification et que les paramètres initiaux analysés représentent des systèmes compatibles.</w:t>
      </w:r>
    </w:p>
    <w:p w:rsidR="002B489A" w:rsidRDefault="004F19C4">
      <w:r>
        <w:rPr>
          <w:i/>
          <w:iCs/>
        </w:rPr>
        <w:t>Fin (b)</w:t>
      </w:r>
      <w:r>
        <w:t>: La méthode se terminant à ce point détermine que la compatibilité a été démontrée entre les paramètres initiaux du service passif et les paramètres initiaux ou précisés du service actif, ou en prenant en compte d'autres techniques de réduction des brouillages.</w:t>
      </w:r>
    </w:p>
    <w:p w:rsidR="002B489A" w:rsidRDefault="004F19C4">
      <w:pPr>
        <w:rPr>
          <w:spacing w:val="-2"/>
        </w:rPr>
      </w:pPr>
      <w:r>
        <w:rPr>
          <w:i/>
          <w:iCs/>
          <w:spacing w:val="-2"/>
        </w:rPr>
        <w:t>Fin (c)</w:t>
      </w:r>
      <w:r>
        <w:rPr>
          <w:spacing w:val="-2"/>
        </w:rPr>
        <w:t>: La méthode se terminant à ce point détermine que la compatibilité ne peut pas être démontrée avec les paramètres initiaux ou précisés de chaque service. Il est nécessaire que les administrations qui soutiennent les systèmes spécifiques entrent en négociations au sujet de ces systèmes.</w:t>
      </w:r>
    </w:p>
    <w:p w:rsidR="002B489A" w:rsidRDefault="002B489A"/>
    <w:p w:rsidR="002B489A" w:rsidRDefault="004F19C4">
      <w:pPr>
        <w:pStyle w:val="AppendixNoTitle"/>
      </w:pPr>
      <w:r>
        <w:t>Appendice 1</w:t>
      </w:r>
      <w:r>
        <w:br/>
        <w:t>à l'Annexe 1</w:t>
      </w:r>
    </w:p>
    <w:p w:rsidR="002B489A" w:rsidRDefault="004F19C4">
      <w:pPr>
        <w:pStyle w:val="Normalaftertitle"/>
      </w:pPr>
      <w:r>
        <w:t>Le présent Appendice technique à l'Annexe 1 rassemble des informations sur des aspects techniques. Ils ont été retenus soit parce qu'ils présentent un intérêt pour les calculs qui devront être effectués (par exemple, les coefficients de propagation dans le § 3), soit parce qu'ils feront l'objet d'études ultérieures.</w:t>
      </w:r>
    </w:p>
    <w:p w:rsidR="002B489A" w:rsidRDefault="004F19C4">
      <w:pPr>
        <w:pStyle w:val="Heading1"/>
      </w:pPr>
      <w:r>
        <w:t>1</w:t>
      </w:r>
      <w:r>
        <w:tab/>
        <w:t>Calculs de puissance brouilleuse</w:t>
      </w:r>
    </w:p>
    <w:p w:rsidR="002B489A" w:rsidRDefault="004F19C4">
      <w:r>
        <w:t xml:space="preserve">L'utilisation du </w:t>
      </w:r>
      <w:r>
        <w:rPr>
          <w:bCs/>
        </w:rPr>
        <w:t>numéro 1.153</w:t>
      </w:r>
      <w:r>
        <w:t xml:space="preserve"> du RR et de la Recommandation UIT-R </w:t>
      </w:r>
      <w:r>
        <w:rPr>
          <w:bCs/>
        </w:rPr>
        <w:t>SM.1541</w:t>
      </w:r>
      <w:r>
        <w:t xml:space="preserve"> permet l'évaluation du brouillage causé à des détecteurs passifs dans des bandes passives par des services actifs fonctionnant dans des bandes de service actif adjacentes ou voisines. On supposera que la largeur de bande occupée d'une émission, telle que définie au </w:t>
      </w:r>
      <w:r>
        <w:rPr>
          <w:bCs/>
        </w:rPr>
        <w:t>numéro 1.153 du RR</w:t>
      </w:r>
      <w:r>
        <w:t xml:space="preserve">, ne se chevaucherait pas avec la bande du service passif, et limiterait la puissance de rayonnement non désiré sur la bande passive à une valeur inférieure à 0,5% de la puissance moyenne totale de l'émission. La Recommandation UIT-R </w:t>
      </w:r>
      <w:r>
        <w:rPr>
          <w:bCs/>
        </w:rPr>
        <w:t>SM.1541</w:t>
      </w:r>
      <w:r>
        <w:t xml:space="preserve"> donne une analyse du cas le plus défavorable, dans lequel les émissions hors bande provenant du service actif sont surévaluées.</w:t>
      </w:r>
    </w:p>
    <w:p w:rsidR="002B489A" w:rsidRDefault="004F19C4">
      <w:r>
        <w:br w:type="page"/>
        <w:t xml:space="preserve">L'équation (9) donne une représentation spectrale destinée à servir de guide pour les rayonnements non désirés dans le SFS. La représentation spectrale se réfère à la largeur de bande nécessaire en terme de pourcentage. Si le gabarit est intégré pour déterminer la quantité de puissance au-delà d'une certaine portée à partir de la fréquence centrale, cela donnera une courbe telle qu'indiquée à la Fig. 2. (La Figure suppose un domaine d'intégration glissant de 400% de la largeur de bande nécessaire.) Une intégration du gabarit SFS tiré de la Recommandation UIT-R </w:t>
      </w:r>
      <w:r>
        <w:rPr>
          <w:bCs/>
        </w:rPr>
        <w:t>SM.1541</w:t>
      </w:r>
      <w:r>
        <w:t xml:space="preserve"> indique que 17% de l'énergie dans la bande est émise sur l'un ou l'autre côté de la largeur de bande nécessaire, et le problème est encore exacerbé lorsque son utilisation est couplée avec celle du gabarit du domaine des rayonnements non essentiels de l'</w:t>
      </w:r>
      <w:r>
        <w:rPr>
          <w:bCs/>
        </w:rPr>
        <w:t>Appendice</w:t>
      </w:r>
      <w:r>
        <w:t> </w:t>
      </w:r>
      <w:r>
        <w:rPr>
          <w:bCs/>
        </w:rPr>
        <w:t xml:space="preserve">3 </w:t>
      </w:r>
      <w:r>
        <w:t xml:space="preserve">du RR, qui est plat pour toutes les bandes, conduisant à une valeur de puissance infinie sur l'intégration. Pour aider à déterminer la puissance brouilleuse dans les bandes passives, il était proposé qu'une représentation spectrale, fondée sur un filtre en cosinus surélevé, donne la courbe dans le domaine de fréquence: </w:t>
      </w:r>
    </w:p>
    <w:p w:rsidR="002B489A" w:rsidRDefault="004F19C4">
      <w:pPr>
        <w:pStyle w:val="Equation"/>
        <w:rPr>
          <w:lang w:val="en-US"/>
        </w:rPr>
      </w:pPr>
      <w:r>
        <w:tab/>
      </w:r>
      <w:r>
        <w:tab/>
      </w:r>
      <w:r>
        <w:rPr>
          <w:i/>
          <w:iCs/>
          <w:lang w:val="en-US"/>
        </w:rPr>
        <w:t>A</w:t>
      </w:r>
      <w:r>
        <w:rPr>
          <w:lang w:val="en-US"/>
        </w:rPr>
        <w:t> </w:t>
      </w:r>
      <w:r>
        <w:rPr>
          <w:rFonts w:ascii="Symbol" w:hAnsi="Symbol"/>
          <w:lang w:val="en-US"/>
        </w:rPr>
        <w:t></w:t>
      </w:r>
      <w:r>
        <w:rPr>
          <w:lang w:val="en-US"/>
        </w:rPr>
        <w:t> [sinc(2</w:t>
      </w:r>
      <w:r>
        <w:rPr>
          <w:i/>
          <w:iCs/>
          <w:lang w:val="en-US"/>
        </w:rPr>
        <w:t>f</w:t>
      </w:r>
      <w:r>
        <w:rPr>
          <w:lang w:val="en-US"/>
        </w:rPr>
        <w:t> / </w:t>
      </w:r>
      <w:r>
        <w:rPr>
          <w:i/>
          <w:iCs/>
          <w:lang w:val="en-US"/>
        </w:rPr>
        <w:t>B</w:t>
      </w:r>
      <w:r>
        <w:rPr>
          <w:i/>
          <w:iCs/>
          <w:sz w:val="28"/>
          <w:vertAlign w:val="subscript"/>
          <w:lang w:val="en-US"/>
        </w:rPr>
        <w:t>N</w:t>
      </w:r>
      <w:r>
        <w:rPr>
          <w:lang w:val="en-US"/>
        </w:rPr>
        <w:t>)]</w:t>
      </w:r>
      <w:r>
        <w:rPr>
          <w:vertAlign w:val="superscript"/>
          <w:lang w:val="en-US"/>
        </w:rPr>
        <w:t>2</w:t>
      </w:r>
      <w:r>
        <w:rPr>
          <w:lang w:val="en-US"/>
        </w:rPr>
        <w:t> / [1 – (2</w:t>
      </w:r>
      <w:r>
        <w:rPr>
          <w:i/>
          <w:iCs/>
          <w:lang w:val="en-US"/>
        </w:rPr>
        <w:t>f</w:t>
      </w:r>
      <w:r>
        <w:rPr>
          <w:lang w:val="en-US"/>
        </w:rPr>
        <w:t> / </w:t>
      </w:r>
      <w:r>
        <w:rPr>
          <w:i/>
          <w:iCs/>
          <w:lang w:val="en-US"/>
        </w:rPr>
        <w:t>B</w:t>
      </w:r>
      <w:r>
        <w:rPr>
          <w:i/>
          <w:iCs/>
          <w:sz w:val="28"/>
          <w:vertAlign w:val="subscript"/>
          <w:lang w:val="en-US"/>
        </w:rPr>
        <w:t>N</w:t>
      </w:r>
      <w:r>
        <w:rPr>
          <w:lang w:val="en-US"/>
        </w:rPr>
        <w:t>)</w:t>
      </w:r>
      <w:r>
        <w:rPr>
          <w:vertAlign w:val="superscript"/>
          <w:lang w:val="en-US"/>
        </w:rPr>
        <w:t>2</w:t>
      </w:r>
      <w:r>
        <w:rPr>
          <w:lang w:val="en-US"/>
        </w:rPr>
        <w:t>]</w:t>
      </w:r>
      <w:r>
        <w:rPr>
          <w:vertAlign w:val="superscript"/>
          <w:lang w:val="en-US"/>
        </w:rPr>
        <w:t>2</w:t>
      </w:r>
      <w:r>
        <w:rPr>
          <w:lang w:val="en-US"/>
        </w:rPr>
        <w:tab/>
      </w:r>
      <w:r>
        <w:rPr>
          <w:rFonts w:ascii="Times" w:hAnsi="Times"/>
          <w:lang w:val="en-US"/>
        </w:rPr>
        <w:t>(9)</w:t>
      </w:r>
    </w:p>
    <w:p w:rsidR="002B489A" w:rsidRDefault="004F19C4">
      <w:pPr>
        <w:spacing w:before="0"/>
        <w:rPr>
          <w:lang w:val="en-US"/>
        </w:rPr>
      </w:pPr>
      <w:r>
        <w:rPr>
          <w:lang w:val="en-US"/>
        </w:rPr>
        <w:t>où:</w:t>
      </w:r>
    </w:p>
    <w:p w:rsidR="002B489A" w:rsidRDefault="004F19C4">
      <w:pPr>
        <w:pStyle w:val="Equation"/>
        <w:tabs>
          <w:tab w:val="left" w:pos="1980"/>
          <w:tab w:val="left" w:pos="7200"/>
        </w:tabs>
        <w:spacing w:before="0"/>
        <w:rPr>
          <w:lang w:val="en-US"/>
        </w:rPr>
      </w:pPr>
      <w:r>
        <w:rPr>
          <w:lang w:val="en-US"/>
        </w:rPr>
        <w:tab/>
      </w:r>
      <w:r>
        <w:rPr>
          <w:lang w:val="en-US"/>
        </w:rPr>
        <w:tab/>
        <w:t>sinc(2</w:t>
      </w:r>
      <w:r>
        <w:rPr>
          <w:i/>
          <w:iCs/>
          <w:lang w:val="en-US"/>
        </w:rPr>
        <w:t>f</w:t>
      </w:r>
      <w:r>
        <w:rPr>
          <w:lang w:val="en-US"/>
        </w:rPr>
        <w:t> / </w:t>
      </w:r>
      <w:r>
        <w:rPr>
          <w:i/>
          <w:iCs/>
          <w:lang w:val="en-US"/>
        </w:rPr>
        <w:t>B</w:t>
      </w:r>
      <w:r>
        <w:rPr>
          <w:i/>
          <w:iCs/>
          <w:sz w:val="28"/>
          <w:vertAlign w:val="subscript"/>
          <w:lang w:val="en-US"/>
        </w:rPr>
        <w:t>N</w:t>
      </w:r>
      <w:r>
        <w:rPr>
          <w:lang w:val="en-US"/>
        </w:rPr>
        <w:t>) </w:t>
      </w:r>
      <w:r>
        <w:rPr>
          <w:rFonts w:ascii="Symbol" w:hAnsi="Symbol"/>
          <w:lang w:val="en-US"/>
        </w:rPr>
        <w:t></w:t>
      </w:r>
      <w:r>
        <w:rPr>
          <w:lang w:val="en-US"/>
        </w:rPr>
        <w:t> sinc(2</w:t>
      </w:r>
      <w:r>
        <w:rPr>
          <w:rFonts w:ascii="Symbol" w:hAnsi="Symbol"/>
          <w:lang w:val="en-US"/>
        </w:rPr>
        <w:t></w:t>
      </w:r>
      <w:r>
        <w:rPr>
          <w:rFonts w:ascii="Tms Rmn" w:hAnsi="Tms Rmn"/>
          <w:i/>
          <w:iCs/>
          <w:sz w:val="12"/>
          <w:lang w:val="en-US"/>
        </w:rPr>
        <w:t> </w:t>
      </w:r>
      <w:r>
        <w:rPr>
          <w:i/>
          <w:iCs/>
          <w:lang w:val="en-US"/>
        </w:rPr>
        <w:t>f</w:t>
      </w:r>
      <w:r>
        <w:rPr>
          <w:lang w:val="en-US"/>
        </w:rPr>
        <w:t> / </w:t>
      </w:r>
      <w:r>
        <w:rPr>
          <w:i/>
          <w:iCs/>
          <w:lang w:val="en-US"/>
        </w:rPr>
        <w:t>B</w:t>
      </w:r>
      <w:r>
        <w:rPr>
          <w:i/>
          <w:iCs/>
          <w:sz w:val="28"/>
          <w:vertAlign w:val="subscript"/>
          <w:lang w:val="en-US"/>
        </w:rPr>
        <w:t>N</w:t>
      </w:r>
      <w:r>
        <w:rPr>
          <w:lang w:val="en-US"/>
        </w:rPr>
        <w:t>) / (2</w:t>
      </w:r>
      <w:r>
        <w:rPr>
          <w:rFonts w:ascii="Symbol" w:hAnsi="Symbol"/>
          <w:lang w:val="en-US"/>
        </w:rPr>
        <w:t></w:t>
      </w:r>
      <w:r>
        <w:rPr>
          <w:rFonts w:ascii="Tms Rmn" w:hAnsi="Tms Rmn"/>
          <w:i/>
          <w:iCs/>
          <w:sz w:val="12"/>
          <w:lang w:val="en-US"/>
        </w:rPr>
        <w:t> </w:t>
      </w:r>
      <w:r>
        <w:rPr>
          <w:i/>
          <w:iCs/>
          <w:lang w:val="en-US"/>
        </w:rPr>
        <w:t>f</w:t>
      </w:r>
      <w:r>
        <w:rPr>
          <w:lang w:val="en-US"/>
        </w:rPr>
        <w:t> / </w:t>
      </w:r>
      <w:r>
        <w:rPr>
          <w:i/>
          <w:iCs/>
          <w:lang w:val="en-US"/>
        </w:rPr>
        <w:t>B</w:t>
      </w:r>
      <w:r>
        <w:rPr>
          <w:i/>
          <w:iCs/>
          <w:sz w:val="28"/>
          <w:vertAlign w:val="subscript"/>
          <w:lang w:val="en-US"/>
        </w:rPr>
        <w:t>N</w:t>
      </w:r>
      <w:r>
        <w:rPr>
          <w:lang w:val="en-US"/>
        </w:rPr>
        <w:t>)</w:t>
      </w:r>
      <w:r>
        <w:rPr>
          <w:lang w:val="en-US"/>
        </w:rPr>
        <w:tab/>
        <w:t>pour 2</w:t>
      </w:r>
      <w:r>
        <w:rPr>
          <w:rFonts w:ascii="Symbol" w:hAnsi="Symbol"/>
          <w:lang w:val="en-US"/>
        </w:rPr>
        <w:t></w:t>
      </w:r>
      <w:r>
        <w:rPr>
          <w:rFonts w:ascii="Tms Rmn" w:hAnsi="Tms Rmn"/>
          <w:i/>
          <w:iCs/>
          <w:sz w:val="12"/>
          <w:lang w:val="en-US"/>
        </w:rPr>
        <w:t> </w:t>
      </w:r>
      <w:r>
        <w:rPr>
          <w:i/>
          <w:iCs/>
          <w:lang w:val="en-US"/>
        </w:rPr>
        <w:t>f</w:t>
      </w:r>
      <w:r>
        <w:rPr>
          <w:lang w:val="en-US"/>
        </w:rPr>
        <w:t> / </w:t>
      </w:r>
      <w:r>
        <w:rPr>
          <w:i/>
          <w:iCs/>
          <w:lang w:val="en-US"/>
        </w:rPr>
        <w:t>B</w:t>
      </w:r>
      <w:r>
        <w:rPr>
          <w:i/>
          <w:iCs/>
          <w:sz w:val="28"/>
          <w:vertAlign w:val="subscript"/>
          <w:lang w:val="en-US"/>
        </w:rPr>
        <w:t>N</w:t>
      </w:r>
      <w:r>
        <w:rPr>
          <w:lang w:val="en-US"/>
        </w:rPr>
        <w:t> </w:t>
      </w:r>
      <w:r>
        <w:rPr>
          <w:rFonts w:ascii="Symbol" w:hAnsi="Symbol"/>
          <w:lang w:val="en-US"/>
        </w:rPr>
        <w:t></w:t>
      </w:r>
      <w:r>
        <w:rPr>
          <w:lang w:val="en-US"/>
        </w:rPr>
        <w:t xml:space="preserve"> 0 </w:t>
      </w:r>
    </w:p>
    <w:p w:rsidR="002B489A" w:rsidRDefault="004F19C4">
      <w:pPr>
        <w:spacing w:before="0"/>
      </w:pPr>
      <w:r>
        <w:t>et:</w:t>
      </w:r>
    </w:p>
    <w:p w:rsidR="002B489A" w:rsidRDefault="004F19C4">
      <w:pPr>
        <w:pStyle w:val="Equation"/>
        <w:tabs>
          <w:tab w:val="left" w:pos="1980"/>
          <w:tab w:val="left" w:pos="7200"/>
        </w:tabs>
        <w:spacing w:before="0"/>
      </w:pPr>
      <w:r>
        <w:tab/>
      </w:r>
      <w:r>
        <w:tab/>
        <w:t>sinc(2</w:t>
      </w:r>
      <w:r>
        <w:rPr>
          <w:i/>
          <w:iCs/>
        </w:rPr>
        <w:t>f</w:t>
      </w:r>
      <w:r>
        <w:t> / </w:t>
      </w:r>
      <w:r>
        <w:rPr>
          <w:i/>
          <w:iCs/>
        </w:rPr>
        <w:t>B</w:t>
      </w:r>
      <w:r>
        <w:rPr>
          <w:i/>
          <w:iCs/>
          <w:sz w:val="28"/>
          <w:vertAlign w:val="subscript"/>
        </w:rPr>
        <w:t>N</w:t>
      </w:r>
      <w:r>
        <w:t>) </w:t>
      </w:r>
      <w:r>
        <w:rPr>
          <w:rFonts w:ascii="Symbol" w:hAnsi="Symbol"/>
        </w:rPr>
        <w:t></w:t>
      </w:r>
      <w:r>
        <w:t> 1</w:t>
      </w:r>
      <w:r>
        <w:tab/>
      </w:r>
      <w:r>
        <w:tab/>
        <w:t>pour 2</w:t>
      </w:r>
      <w:r>
        <w:rPr>
          <w:rFonts w:ascii="Symbol" w:hAnsi="Symbol"/>
          <w:lang w:val="en-US"/>
        </w:rPr>
        <w:t></w:t>
      </w:r>
      <w:r>
        <w:rPr>
          <w:rFonts w:ascii="Tms Rmn" w:hAnsi="Tms Rmn"/>
          <w:i/>
          <w:iCs/>
          <w:sz w:val="12"/>
        </w:rPr>
        <w:t> </w:t>
      </w:r>
      <w:r>
        <w:rPr>
          <w:i/>
          <w:iCs/>
        </w:rPr>
        <w:t>f</w:t>
      </w:r>
      <w:r>
        <w:t> / </w:t>
      </w:r>
      <w:r>
        <w:rPr>
          <w:i/>
          <w:iCs/>
        </w:rPr>
        <w:t>B</w:t>
      </w:r>
      <w:r>
        <w:t> </w:t>
      </w:r>
      <w:r>
        <w:rPr>
          <w:rFonts w:ascii="Symbol" w:hAnsi="Symbol"/>
          <w:lang w:val="en-US"/>
        </w:rPr>
        <w:t></w:t>
      </w:r>
      <w:r>
        <w:t> 0</w:t>
      </w:r>
    </w:p>
    <w:p w:rsidR="002B489A" w:rsidRDefault="004F19C4">
      <w:pPr>
        <w:spacing w:before="0"/>
      </w:pPr>
      <w:r>
        <w:t>où:</w:t>
      </w:r>
    </w:p>
    <w:p w:rsidR="002B489A" w:rsidRDefault="004F19C4">
      <w:pPr>
        <w:pStyle w:val="Equationlegend"/>
        <w:rPr>
          <w:lang w:val="fr-FR"/>
        </w:rPr>
      </w:pPr>
      <w:r>
        <w:rPr>
          <w:lang w:val="fr-FR"/>
        </w:rPr>
        <w:tab/>
      </w:r>
      <w:r>
        <w:rPr>
          <w:i/>
          <w:iCs/>
          <w:lang w:val="fr-FR"/>
        </w:rPr>
        <w:t>A</w:t>
      </w:r>
      <w:r>
        <w:rPr>
          <w:rFonts w:ascii="Tms Rmn" w:hAnsi="Tms Rmn"/>
          <w:sz w:val="12"/>
          <w:lang w:val="fr-FR"/>
        </w:rPr>
        <w:t> </w:t>
      </w:r>
      <w:r>
        <w:rPr>
          <w:lang w:val="fr-FR"/>
        </w:rPr>
        <w:t>:</w:t>
      </w:r>
      <w:r>
        <w:rPr>
          <w:lang w:val="fr-FR"/>
        </w:rPr>
        <w:tab/>
        <w:t>affaiblissement</w:t>
      </w:r>
    </w:p>
    <w:p w:rsidR="002B489A" w:rsidRDefault="004F19C4">
      <w:pPr>
        <w:pStyle w:val="Equationlegend"/>
        <w:rPr>
          <w:lang w:val="fr-FR"/>
        </w:rPr>
      </w:pPr>
      <w:r>
        <w:rPr>
          <w:lang w:val="fr-FR"/>
        </w:rPr>
        <w:tab/>
      </w:r>
      <w:r>
        <w:rPr>
          <w:i/>
          <w:iCs/>
          <w:lang w:val="fr-FR"/>
        </w:rPr>
        <w:t>f</w:t>
      </w:r>
      <w:r>
        <w:rPr>
          <w:rFonts w:ascii="Tms Rmn" w:hAnsi="Tms Rmn"/>
          <w:sz w:val="12"/>
          <w:lang w:val="fr-FR"/>
        </w:rPr>
        <w:t> </w:t>
      </w:r>
      <w:r>
        <w:rPr>
          <w:lang w:val="fr-FR"/>
        </w:rPr>
        <w:t>:</w:t>
      </w:r>
      <w:r>
        <w:rPr>
          <w:lang w:val="fr-FR"/>
        </w:rPr>
        <w:tab/>
        <w:t>fréquence, à partir du centre de la largeur de bande nécessaire</w:t>
      </w:r>
    </w:p>
    <w:p w:rsidR="002B489A" w:rsidRDefault="004F19C4">
      <w:pPr>
        <w:pStyle w:val="Equationlegend"/>
        <w:rPr>
          <w:lang w:val="fr-FR"/>
        </w:rPr>
      </w:pPr>
      <w:r>
        <w:rPr>
          <w:lang w:val="fr-FR"/>
        </w:rPr>
        <w:tab/>
      </w:r>
      <w:r>
        <w:rPr>
          <w:i/>
          <w:iCs/>
          <w:lang w:val="fr-FR"/>
        </w:rPr>
        <w:t>B</w:t>
      </w:r>
      <w:r>
        <w:rPr>
          <w:i/>
          <w:iCs/>
          <w:sz w:val="28"/>
          <w:vertAlign w:val="subscript"/>
          <w:lang w:val="fr-FR"/>
        </w:rPr>
        <w:t>N</w:t>
      </w:r>
      <w:r>
        <w:rPr>
          <w:rFonts w:ascii="Tms Rmn" w:hAnsi="Tms Rmn"/>
          <w:sz w:val="12"/>
          <w:lang w:val="fr-FR"/>
        </w:rPr>
        <w:t> </w:t>
      </w:r>
      <w:r>
        <w:rPr>
          <w:lang w:val="fr-FR"/>
        </w:rPr>
        <w:t>:</w:t>
      </w:r>
      <w:r>
        <w:rPr>
          <w:lang w:val="fr-FR"/>
        </w:rPr>
        <w:tab/>
        <w:t>largeur de bande nécessaire.</w:t>
      </w:r>
    </w:p>
    <w:p w:rsidR="002B489A" w:rsidRDefault="0006728D">
      <w:pPr>
        <w:pStyle w:val="FigureNo"/>
        <w:spacing w:before="120" w:after="120"/>
      </w:pPr>
      <w:r>
        <w:rPr>
          <w:noProof/>
          <w:lang w:val="fr-CH" w:eastAsia="fr-CH"/>
        </w:rPr>
        <w:drawing>
          <wp:inline distT="0" distB="0" distL="0" distR="0">
            <wp:extent cx="4010025" cy="3152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10025" cy="3152775"/>
                    </a:xfrm>
                    <a:prstGeom prst="rect">
                      <a:avLst/>
                    </a:prstGeom>
                    <a:noFill/>
                    <a:ln>
                      <a:noFill/>
                    </a:ln>
                  </pic:spPr>
                </pic:pic>
              </a:graphicData>
            </a:graphic>
          </wp:inline>
        </w:drawing>
      </w:r>
    </w:p>
    <w:p w:rsidR="002B489A" w:rsidRDefault="004F19C4">
      <w:r>
        <w:t>Cette représentation spectrale préliminaire des rayonnements non désirés, destinée aux études bande par bande, décrit de façon très générale la distribution de puissance moyenne typique à travers les domaines des émissions hors bande et des rayonnements non essentiels dans une attribution adjacente ou voisine. Le gabarit de cosinus surélevé a été utilisé dans les calculs dans certaines des Annexes; son utilisation dans de tels cas est indiquée clairement dans le texte. L'applicabilité de cette représentation spectrale à des services et stations variés (par exemple, spatiaux ou de Terre aussi bien que la gamme de fréquences de sa validité) devrait encore faire l'objet d'études plus approfondies avant que son utilisation ne soit généralisée.</w:t>
      </w:r>
    </w:p>
    <w:p w:rsidR="002B489A" w:rsidRDefault="004F19C4">
      <w:r>
        <w:br w:type="page"/>
        <w:t>Dans les cas où le scénario n'est pas statique, et où l'analyse statique du cas le plus défavorable montre un risque de brouillage, une détermination de la distribution statistique des évènements de brouillage sera nécessaire. Cela peut être effectué en procédant à une analyse dynamique qui prendra en compte les caractéristiques du scénario qui se modifient en fonction du temps. Les étapes à suivre sont les suivantes:</w:t>
      </w:r>
    </w:p>
    <w:p w:rsidR="002B489A" w:rsidRDefault="004F19C4">
      <w:pPr>
        <w:pStyle w:val="enumlev1"/>
        <w:tabs>
          <w:tab w:val="clear" w:pos="1191"/>
          <w:tab w:val="left" w:pos="900"/>
        </w:tabs>
        <w:ind w:left="0" w:firstLine="0"/>
      </w:pPr>
      <w:r>
        <w:rPr>
          <w:i/>
          <w:iCs/>
        </w:rPr>
        <w:t>Etape 1</w:t>
      </w:r>
      <w:r>
        <w:t>:</w:t>
      </w:r>
      <w:r>
        <w:tab/>
        <w:t>Lorsque la puissance prédite par l'analyse statique dépasse le seuil de brouillage, il y a un risque de brouillage dans le cas le plus défavorable au sens statique. Une simulation dynamique devrait être effectuée dans les cas où le scénario varie avec le temps pour déterminer la distribution statistique du brouillage. Une simulation dynamique pourrait montrer que l'occurrence du brouillage est insignifiante au sens de la Recommandation UIT</w:t>
      </w:r>
      <w:r>
        <w:noBreakHyphen/>
        <w:t>R </w:t>
      </w:r>
      <w:r>
        <w:rPr>
          <w:bCs/>
        </w:rPr>
        <w:t>SA.1029</w:t>
      </w:r>
      <w:r>
        <w:t xml:space="preserve"> ou de la Recommandation UIT-R </w:t>
      </w:r>
      <w:r>
        <w:rPr>
          <w:bCs/>
        </w:rPr>
        <w:t>RA.1513</w:t>
      </w:r>
      <w:r>
        <w:t>. Si tel est le cas, il n'est alors pas besoin d'autre analyse.</w:t>
      </w:r>
    </w:p>
    <w:p w:rsidR="002B489A" w:rsidRDefault="004F19C4">
      <w:pPr>
        <w:pStyle w:val="enumlev1"/>
        <w:tabs>
          <w:tab w:val="left" w:pos="900"/>
        </w:tabs>
        <w:ind w:left="0" w:firstLine="0"/>
      </w:pPr>
      <w:r>
        <w:rPr>
          <w:i/>
          <w:iCs/>
        </w:rPr>
        <w:t>Etape 2</w:t>
      </w:r>
      <w:r>
        <w:t>:</w:t>
      </w:r>
      <w:r>
        <w:tab/>
        <w:t>Si la simulation montre que le brouillage est significatif, le processus devrait être répété en utilisant des techniques de réduction des brouillages telles qu'une fréquence centrale de fonctionnement de satellite différente, plus éloignée de la bande passive, ou un fil</w:t>
      </w:r>
      <w:r>
        <w:softHyphen/>
        <w:t>trage des rayonnements du satellite, et en répétant les calculs jusqu'à ce que la puis</w:t>
      </w:r>
      <w:r>
        <w:softHyphen/>
        <w:t>sance partielle de brouillage au système du service passif soit inférieure à la protection exigée.</w:t>
      </w:r>
      <w:r>
        <w:rPr>
          <w:sz w:val="22"/>
        </w:rPr>
        <w:t xml:space="preserve"> </w:t>
      </w:r>
      <w:r>
        <w:t>Cette</w:t>
      </w:r>
      <w:r>
        <w:rPr>
          <w:sz w:val="22"/>
        </w:rPr>
        <w:t xml:space="preserve"> </w:t>
      </w:r>
      <w:r>
        <w:t>étape</w:t>
      </w:r>
      <w:r>
        <w:rPr>
          <w:sz w:val="22"/>
        </w:rPr>
        <w:t xml:space="preserve"> </w:t>
      </w:r>
      <w:r>
        <w:t>pourrait</w:t>
      </w:r>
      <w:r>
        <w:rPr>
          <w:sz w:val="22"/>
        </w:rPr>
        <w:t xml:space="preserve"> </w:t>
      </w:r>
      <w:r>
        <w:t>aussi</w:t>
      </w:r>
      <w:r>
        <w:rPr>
          <w:sz w:val="22"/>
        </w:rPr>
        <w:t xml:space="preserve"> </w:t>
      </w:r>
      <w:r>
        <w:t>inclure</w:t>
      </w:r>
      <w:r>
        <w:rPr>
          <w:sz w:val="22"/>
        </w:rPr>
        <w:t xml:space="preserve"> </w:t>
      </w:r>
      <w:r>
        <w:t>la</w:t>
      </w:r>
      <w:r>
        <w:rPr>
          <w:sz w:val="22"/>
        </w:rPr>
        <w:t xml:space="preserve"> </w:t>
      </w:r>
      <w:r>
        <w:t>modification</w:t>
      </w:r>
      <w:r>
        <w:rPr>
          <w:sz w:val="22"/>
        </w:rPr>
        <w:t xml:space="preserve"> </w:t>
      </w:r>
      <w:r>
        <w:t>d'autres</w:t>
      </w:r>
      <w:r>
        <w:rPr>
          <w:sz w:val="22"/>
        </w:rPr>
        <w:t xml:space="preserve"> </w:t>
      </w:r>
      <w:r>
        <w:t>paramètres</w:t>
      </w:r>
      <w:r>
        <w:rPr>
          <w:sz w:val="22"/>
        </w:rPr>
        <w:t xml:space="preserve"> </w:t>
      </w:r>
      <w:r>
        <w:t>du</w:t>
      </w:r>
      <w:r>
        <w:rPr>
          <w:sz w:val="22"/>
        </w:rPr>
        <w:t xml:space="preserve"> </w:t>
      </w:r>
      <w:r>
        <w:t>satellite.</w:t>
      </w:r>
    </w:p>
    <w:p w:rsidR="002B489A" w:rsidRDefault="004F19C4">
      <w:pPr>
        <w:pStyle w:val="Heading1"/>
      </w:pPr>
      <w:r>
        <w:t>2</w:t>
      </w:r>
      <w:r>
        <w:tab/>
        <w:t>Affinage possible du calcul de puissance du brouillage dans le cas de rayonnements non désirés venant des systèmes de service fixe qui peuvent tomber dans les bandes SETS</w:t>
      </w:r>
    </w:p>
    <w:p w:rsidR="002B489A" w:rsidRDefault="004F19C4">
      <w:pPr>
        <w:spacing w:after="120"/>
      </w:pPr>
      <w:r>
        <w:rPr>
          <w:caps/>
        </w:rPr>
        <w:t>D</w:t>
      </w:r>
      <w:r>
        <w:t>ans</w:t>
      </w:r>
      <w:r>
        <w:rPr>
          <w:caps/>
        </w:rPr>
        <w:t xml:space="preserve"> </w:t>
      </w:r>
      <w:r>
        <w:t xml:space="preserve">les cas où le niveau des rayonnements non désirés venant des systèmes de service fixe à la bordure du domaine des émissions hors bande (déduit de la Recommandation UIT-R </w:t>
      </w:r>
      <w:r>
        <w:rPr>
          <w:bCs/>
        </w:rPr>
        <w:t>SM.1541</w:t>
      </w:r>
      <w:r>
        <w:t>) est significativement au-dessous de la limite pour le domaine des rayonnements non essentiels donnée dans la Recommandation UIT</w:t>
      </w:r>
      <w:r>
        <w:noBreakHyphen/>
        <w:t>R</w:t>
      </w:r>
      <w:r>
        <w:rPr>
          <w:b/>
        </w:rPr>
        <w:t> </w:t>
      </w:r>
      <w:r>
        <w:rPr>
          <w:bCs/>
        </w:rPr>
        <w:t>SM.329</w:t>
      </w:r>
      <w:r>
        <w:t xml:space="preserve"> ou dans l'</w:t>
      </w:r>
      <w:r>
        <w:rPr>
          <w:bCs/>
        </w:rPr>
        <w:t>Appendice 3 du RR</w:t>
      </w:r>
      <w:r>
        <w:t>, l'évaluation de la puissance brouilleuse tombant dans la bande SETS calculée en utilisant les limites données dans la Recommandation UIT</w:t>
      </w:r>
      <w:r>
        <w:noBreakHyphen/>
        <w:t>R</w:t>
      </w:r>
      <w:r>
        <w:rPr>
          <w:b/>
        </w:rPr>
        <w:t> </w:t>
      </w:r>
      <w:r>
        <w:rPr>
          <w:bCs/>
        </w:rPr>
        <w:t>SM.329</w:t>
      </w:r>
      <w:r>
        <w:t xml:space="preserve"> ou l'</w:t>
      </w:r>
      <w:r>
        <w:rPr>
          <w:bCs/>
        </w:rPr>
        <w:t>Appendice 3 du RR,</w:t>
      </w:r>
      <w:r>
        <w:t xml:space="preserve"> va conduire à surestimer de façon significative la puissance tombant dans une largeur de bande de référence étendue (voir la Fig. 3).</w:t>
      </w:r>
    </w:p>
    <w:p w:rsidR="002B489A" w:rsidRDefault="004F19C4">
      <w:pPr>
        <w:pStyle w:val="FigureNo"/>
        <w:spacing w:before="120" w:after="0"/>
      </w:pPr>
      <w:r>
        <w:object w:dxaOrig="6869" w:dyaOrig="5501">
          <v:shape id="_x0000_i1033" type="#_x0000_t75" style="width:343.5pt;height:275.5pt" o:ole="">
            <v:imagedata r:id="rId26" o:title=""/>
          </v:shape>
          <o:OLEObject Type="Embed" ProgID="Designer.Drawing.7" ShapeID="_x0000_i1033" DrawAspect="Content" ObjectID="_1649163279" r:id="rId27"/>
        </w:object>
      </w:r>
    </w:p>
    <w:p w:rsidR="002B489A" w:rsidRDefault="004F19C4">
      <w:r>
        <w:br w:type="page"/>
        <w:t>Donc, le calcul de la puissance brouilleuse due aux rayonnements non désirés du système du service fixe tombant dans des largeurs de bande de référence étendues peut être affiné en supposant que le niveau de rayonnement non essentiel ne dépasse pas le niveau atteint à la bordure du domaine des émissions hors bande (voir la Fig. 4).</w:t>
      </w:r>
    </w:p>
    <w:p w:rsidR="002B489A" w:rsidRDefault="004F19C4">
      <w:pPr>
        <w:pStyle w:val="FigureNo"/>
      </w:pPr>
      <w:r>
        <w:object w:dxaOrig="7940" w:dyaOrig="6706">
          <v:shape id="_x0000_i1034" type="#_x0000_t75" style="width:396.5pt;height:335.5pt" o:ole="">
            <v:imagedata r:id="rId28" o:title=""/>
          </v:shape>
          <o:OLEObject Type="Embed" ProgID="Designer.Drawing.7" ShapeID="_x0000_i1034" DrawAspect="Content" ObjectID="_1649163280" r:id="rId29"/>
        </w:object>
      </w:r>
    </w:p>
    <w:p w:rsidR="002B489A" w:rsidRDefault="004F19C4">
      <w:pPr>
        <w:pStyle w:val="Heading3"/>
      </w:pPr>
      <w:r>
        <w:t>3</w:t>
      </w:r>
      <w:r>
        <w:tab/>
        <w:t>Affaiblissement minimum</w:t>
      </w:r>
      <w:r>
        <w:rPr>
          <w:rFonts w:hint="eastAsia"/>
        </w:rPr>
        <w:t xml:space="preserve"> </w:t>
      </w:r>
      <w:r>
        <w:t>de propagation Terre vers espace dû aux gaz de l'atmosphère, à utiliser pour les études de compatibilité entre services passifs et services actifs</w:t>
      </w:r>
    </w:p>
    <w:p w:rsidR="002B489A" w:rsidRDefault="004F19C4">
      <w:pPr>
        <w:pStyle w:val="Heading2"/>
      </w:pPr>
      <w:r>
        <w:t>3.1</w:t>
      </w:r>
      <w:r>
        <w:tab/>
        <w:t>Introduction</w:t>
      </w:r>
    </w:p>
    <w:p w:rsidR="002B489A" w:rsidRDefault="004F19C4">
      <w:r>
        <w:t xml:space="preserve">L'affaiblissement de </w:t>
      </w:r>
      <w:r>
        <w:rPr>
          <w:rFonts w:hint="eastAsia"/>
        </w:rPr>
        <w:t xml:space="preserve">propagation </w:t>
      </w:r>
      <w:r>
        <w:t xml:space="preserve">Terre vers espace entre une station de Terre et une station spatiale </w:t>
      </w:r>
      <w:r>
        <w:rPr>
          <w:rFonts w:hint="eastAsia"/>
        </w:rPr>
        <w:t>(</w:t>
      </w:r>
      <w:r>
        <w:t xml:space="preserve">OSG </w:t>
      </w:r>
      <w:r>
        <w:rPr>
          <w:rFonts w:hint="eastAsia"/>
        </w:rPr>
        <w:t>o</w:t>
      </w:r>
      <w:r>
        <w:t>u</w:t>
      </w:r>
      <w:r>
        <w:rPr>
          <w:rFonts w:hint="eastAsia"/>
        </w:rPr>
        <w:t xml:space="preserve"> non </w:t>
      </w:r>
      <w:r>
        <w:t>OSG</w:t>
      </w:r>
      <w:r>
        <w:rPr>
          <w:rFonts w:hint="eastAsia"/>
        </w:rPr>
        <w:t>) r</w:t>
      </w:r>
      <w:r>
        <w:t>é</w:t>
      </w:r>
      <w:r>
        <w:rPr>
          <w:rFonts w:hint="eastAsia"/>
        </w:rPr>
        <w:t>sult</w:t>
      </w:r>
      <w:r>
        <w:t>a</w:t>
      </w:r>
      <w:r>
        <w:rPr>
          <w:rFonts w:hint="eastAsia"/>
        </w:rPr>
        <w:t>n</w:t>
      </w:r>
      <w:r>
        <w:t>t</w:t>
      </w:r>
      <w:r>
        <w:rPr>
          <w:rFonts w:hint="eastAsia"/>
        </w:rPr>
        <w:t xml:space="preserve"> </w:t>
      </w:r>
      <w:r>
        <w:t>de l'</w:t>
      </w:r>
      <w:r>
        <w:rPr>
          <w:rFonts w:hint="eastAsia"/>
        </w:rPr>
        <w:t xml:space="preserve">absorption due </w:t>
      </w:r>
      <w:r>
        <w:t>aux gaz</w:t>
      </w:r>
      <w:r>
        <w:rPr>
          <w:rFonts w:hint="eastAsia"/>
        </w:rPr>
        <w:t xml:space="preserve"> </w:t>
      </w:r>
      <w:r>
        <w:t>de l'</w:t>
      </w:r>
      <w:r>
        <w:rPr>
          <w:rFonts w:hint="eastAsia"/>
        </w:rPr>
        <w:t>atmosph</w:t>
      </w:r>
      <w:r>
        <w:t>è</w:t>
      </w:r>
      <w:r>
        <w:rPr>
          <w:rFonts w:hint="eastAsia"/>
        </w:rPr>
        <w:t>r</w:t>
      </w:r>
      <w:r>
        <w:t>e</w:t>
      </w:r>
      <w:r>
        <w:rPr>
          <w:rFonts w:hint="eastAsia"/>
        </w:rPr>
        <w:t xml:space="preserve">, </w:t>
      </w:r>
      <w:r>
        <w:t>y compris la vapeur d'eau,</w:t>
      </w:r>
      <w:r>
        <w:rPr>
          <w:rFonts w:hint="eastAsia"/>
        </w:rPr>
        <w:t xml:space="preserve"> </w:t>
      </w:r>
      <w:r>
        <w:t>e</w:t>
      </w:r>
      <w:r>
        <w:rPr>
          <w:rFonts w:hint="eastAsia"/>
        </w:rPr>
        <w:t>s</w:t>
      </w:r>
      <w:r>
        <w:t>t u</w:t>
      </w:r>
      <w:r>
        <w:rPr>
          <w:rFonts w:hint="eastAsia"/>
        </w:rPr>
        <w:t xml:space="preserve">n </w:t>
      </w:r>
      <w:r>
        <w:t xml:space="preserve">facteur </w:t>
      </w:r>
      <w:r>
        <w:rPr>
          <w:rFonts w:hint="eastAsia"/>
        </w:rPr>
        <w:t xml:space="preserve">important </w:t>
      </w:r>
      <w:r>
        <w:t>d</w:t>
      </w:r>
      <w:r>
        <w:rPr>
          <w:rFonts w:hint="eastAsia"/>
        </w:rPr>
        <w:t>a</w:t>
      </w:r>
      <w:r>
        <w:t>ns les études de</w:t>
      </w:r>
      <w:r>
        <w:rPr>
          <w:rFonts w:hint="eastAsia"/>
        </w:rPr>
        <w:t xml:space="preserve"> compatibilit</w:t>
      </w:r>
      <w:r>
        <w:t>é entre services passifs et se</w:t>
      </w:r>
      <w:r>
        <w:rPr>
          <w:rFonts w:hint="eastAsia"/>
        </w:rPr>
        <w:t>rvices acti</w:t>
      </w:r>
      <w:r>
        <w:t>f</w:t>
      </w:r>
      <w:r>
        <w:rPr>
          <w:rFonts w:hint="eastAsia"/>
        </w:rPr>
        <w:t xml:space="preserve">s. </w:t>
      </w:r>
      <w:r>
        <w:t>Cet affaiblisseme</w:t>
      </w:r>
      <w:r>
        <w:rPr>
          <w:rFonts w:hint="eastAsia"/>
        </w:rPr>
        <w:t>n</w:t>
      </w:r>
      <w:r>
        <w:t>t</w:t>
      </w:r>
      <w:r>
        <w:rPr>
          <w:rFonts w:hint="eastAsia"/>
        </w:rPr>
        <w:t xml:space="preserve"> </w:t>
      </w:r>
      <w:r>
        <w:t xml:space="preserve">de trajet oblique </w:t>
      </w:r>
      <w:r>
        <w:rPr>
          <w:rFonts w:hint="eastAsia"/>
        </w:rPr>
        <w:t>d</w:t>
      </w:r>
      <w:r>
        <w:t>é</w:t>
      </w:r>
      <w:r>
        <w:rPr>
          <w:rFonts w:hint="eastAsia"/>
        </w:rPr>
        <w:t>pend</w:t>
      </w:r>
      <w:r>
        <w:t xml:space="preserve"> de la</w:t>
      </w:r>
      <w:r>
        <w:rPr>
          <w:rFonts w:hint="eastAsia"/>
        </w:rPr>
        <w:t xml:space="preserve"> distribution </w:t>
      </w:r>
      <w:r>
        <w:t>le long du trajet de paramètres</w:t>
      </w:r>
      <w:r>
        <w:rPr>
          <w:rFonts w:hint="eastAsia"/>
        </w:rPr>
        <w:t xml:space="preserve"> m</w:t>
      </w:r>
      <w:r>
        <w:t>é</w:t>
      </w:r>
      <w:r>
        <w:rPr>
          <w:rFonts w:hint="eastAsia"/>
        </w:rPr>
        <w:t>t</w:t>
      </w:r>
      <w:r>
        <w:t>é</w:t>
      </w:r>
      <w:r>
        <w:rPr>
          <w:rFonts w:hint="eastAsia"/>
        </w:rPr>
        <w:t>orologi</w:t>
      </w:r>
      <w:r>
        <w:t xml:space="preserve">ques comme la </w:t>
      </w:r>
      <w:r>
        <w:rPr>
          <w:rFonts w:hint="eastAsia"/>
        </w:rPr>
        <w:t>temp</w:t>
      </w:r>
      <w:r>
        <w:t>é</w:t>
      </w:r>
      <w:r>
        <w:rPr>
          <w:rFonts w:hint="eastAsia"/>
        </w:rPr>
        <w:t xml:space="preserve">rature, </w:t>
      </w:r>
      <w:r>
        <w:t xml:space="preserve">la </w:t>
      </w:r>
      <w:r>
        <w:rPr>
          <w:rFonts w:hint="eastAsia"/>
        </w:rPr>
        <w:t>press</w:t>
      </w:r>
      <w:r>
        <w:t>ion et l'</w:t>
      </w:r>
      <w:r>
        <w:rPr>
          <w:rFonts w:hint="eastAsia"/>
        </w:rPr>
        <w:t>humidit</w:t>
      </w:r>
      <w:r>
        <w:t>é</w:t>
      </w:r>
      <w:r>
        <w:rPr>
          <w:rFonts w:hint="eastAsia"/>
        </w:rPr>
        <w:t xml:space="preserve">, </w:t>
      </w:r>
      <w:r>
        <w:t>et donc</w:t>
      </w:r>
      <w:r>
        <w:rPr>
          <w:rFonts w:hint="eastAsia"/>
        </w:rPr>
        <w:t xml:space="preserve"> varie</w:t>
      </w:r>
      <w:r>
        <w:t xml:space="preserve"> avec la localisation</w:t>
      </w:r>
      <w:r>
        <w:rPr>
          <w:rFonts w:hint="eastAsia"/>
        </w:rPr>
        <w:t xml:space="preserve"> g</w:t>
      </w:r>
      <w:r>
        <w:t>é</w:t>
      </w:r>
      <w:r>
        <w:rPr>
          <w:rFonts w:hint="eastAsia"/>
        </w:rPr>
        <w:t>ographi</w:t>
      </w:r>
      <w:r>
        <w:t xml:space="preserve">que du </w:t>
      </w:r>
      <w:r>
        <w:rPr>
          <w:rFonts w:hint="eastAsia"/>
        </w:rPr>
        <w:t xml:space="preserve">site, </w:t>
      </w:r>
      <w:r>
        <w:t>le mois de l'anné</w:t>
      </w:r>
      <w:r>
        <w:rPr>
          <w:rFonts w:hint="eastAsia"/>
        </w:rPr>
        <w:t>e</w:t>
      </w:r>
      <w:r>
        <w:t>, l'élévation de la station de Terre par rapport au niveau de la mer, l'angle d'é</w:t>
      </w:r>
      <w:r>
        <w:rPr>
          <w:rFonts w:hint="eastAsia"/>
        </w:rPr>
        <w:t>l</w:t>
      </w:r>
      <w:r>
        <w:t>é</w:t>
      </w:r>
      <w:r>
        <w:rPr>
          <w:rFonts w:hint="eastAsia"/>
        </w:rPr>
        <w:t xml:space="preserve">vation </w:t>
      </w:r>
      <w:r>
        <w:t>du trajet oblique et la fréquence de fonctionnement. La</w:t>
      </w:r>
      <w:r>
        <w:rPr>
          <w:rFonts w:hint="eastAsia"/>
        </w:rPr>
        <w:t xml:space="preserve"> proc</w:t>
      </w:r>
      <w:r>
        <w:t>é</w:t>
      </w:r>
      <w:r>
        <w:rPr>
          <w:rFonts w:hint="eastAsia"/>
        </w:rPr>
        <w:t xml:space="preserve">dure </w:t>
      </w:r>
      <w:r>
        <w:t>de calcul de l'affaiblissement du trajet oblique est la procédure par sommation des contributions des raies d'absorption donnée à l'</w:t>
      </w:r>
      <w:r>
        <w:rPr>
          <w:rFonts w:hint="eastAsia"/>
        </w:rPr>
        <w:t>Annex</w:t>
      </w:r>
      <w:r>
        <w:t>e</w:t>
      </w:r>
      <w:r>
        <w:rPr>
          <w:rFonts w:hint="eastAsia"/>
        </w:rPr>
        <w:t xml:space="preserve"> 1 </w:t>
      </w:r>
      <w:r>
        <w:t>de la</w:t>
      </w:r>
      <w:r>
        <w:rPr>
          <w:rFonts w:hint="eastAsia"/>
        </w:rPr>
        <w:t xml:space="preserve"> Recommandation UIT-R </w:t>
      </w:r>
      <w:r>
        <w:rPr>
          <w:rFonts w:hint="eastAsia"/>
          <w:bCs/>
        </w:rPr>
        <w:t>P.676.</w:t>
      </w:r>
    </w:p>
    <w:p w:rsidR="002B489A" w:rsidRDefault="004F19C4">
      <w:r>
        <w:t>Le calcul détaillé de l'affaiblissement</w:t>
      </w:r>
      <w:r>
        <w:rPr>
          <w:rFonts w:hint="eastAsia"/>
        </w:rPr>
        <w:t xml:space="preserve"> </w:t>
      </w:r>
      <w:r>
        <w:t xml:space="preserve">dû à l'absorption </w:t>
      </w:r>
      <w:r>
        <w:rPr>
          <w:rFonts w:hint="eastAsia"/>
        </w:rPr>
        <w:t>atmosph</w:t>
      </w:r>
      <w:r>
        <w:t>é</w:t>
      </w:r>
      <w:r>
        <w:rPr>
          <w:rFonts w:hint="eastAsia"/>
        </w:rPr>
        <w:t>ri</w:t>
      </w:r>
      <w:r>
        <w:t xml:space="preserve">que peut utiliser les informations locales sur le degré hygrométrique du mois le plus sec et d'autres paramètres </w:t>
      </w:r>
      <w:r>
        <w:rPr>
          <w:rFonts w:hint="eastAsia"/>
        </w:rPr>
        <w:t>m</w:t>
      </w:r>
      <w:r>
        <w:t>é</w:t>
      </w:r>
      <w:r>
        <w:rPr>
          <w:rFonts w:hint="eastAsia"/>
        </w:rPr>
        <w:t>t</w:t>
      </w:r>
      <w:r>
        <w:t>é</w:t>
      </w:r>
      <w:r>
        <w:rPr>
          <w:rFonts w:hint="eastAsia"/>
        </w:rPr>
        <w:t>orologi</w:t>
      </w:r>
      <w:r>
        <w:t xml:space="preserve">ques ainsi que les modèles </w:t>
      </w:r>
      <w:r>
        <w:rPr>
          <w:rFonts w:hint="eastAsia"/>
        </w:rPr>
        <w:t>atmosph</w:t>
      </w:r>
      <w:r>
        <w:t>é</w:t>
      </w:r>
      <w:r>
        <w:rPr>
          <w:rFonts w:hint="eastAsia"/>
        </w:rPr>
        <w:t>ri</w:t>
      </w:r>
      <w:r>
        <w:t>ques de la</w:t>
      </w:r>
      <w:r>
        <w:rPr>
          <w:rFonts w:hint="eastAsia"/>
        </w:rPr>
        <w:t xml:space="preserve"> Recommandation UIT-R </w:t>
      </w:r>
      <w:r>
        <w:rPr>
          <w:rFonts w:hint="eastAsia"/>
          <w:bCs/>
        </w:rPr>
        <w:t>P.835</w:t>
      </w:r>
      <w:r>
        <w:rPr>
          <w:rFonts w:hint="eastAsia"/>
        </w:rPr>
        <w:t xml:space="preserve">. </w:t>
      </w:r>
      <w:r>
        <w:t>Lorsque ce</w:t>
      </w:r>
      <w:r>
        <w:rPr>
          <w:rFonts w:hint="eastAsia"/>
        </w:rPr>
        <w:t>s informations n</w:t>
      </w:r>
      <w:r>
        <w:t>e s</w:t>
      </w:r>
      <w:r>
        <w:rPr>
          <w:rFonts w:hint="eastAsia"/>
        </w:rPr>
        <w:t>o</w:t>
      </w:r>
      <w:r>
        <w:t>n</w:t>
      </w:r>
      <w:r>
        <w:rPr>
          <w:rFonts w:hint="eastAsia"/>
        </w:rPr>
        <w:t xml:space="preserve">t </w:t>
      </w:r>
      <w:r>
        <w:t>p</w:t>
      </w:r>
      <w:r>
        <w:rPr>
          <w:rFonts w:hint="eastAsia"/>
        </w:rPr>
        <w:t>a</w:t>
      </w:r>
      <w:r>
        <w:t>s dispon</w:t>
      </w:r>
      <w:r>
        <w:rPr>
          <w:rFonts w:hint="eastAsia"/>
        </w:rPr>
        <w:t>ible</w:t>
      </w:r>
      <w:r>
        <w:t>s</w:t>
      </w:r>
      <w:r>
        <w:rPr>
          <w:rFonts w:hint="eastAsia"/>
        </w:rPr>
        <w:t xml:space="preserve">, </w:t>
      </w:r>
      <w:r>
        <w:t xml:space="preserve">les résultats suivants donnent une </w:t>
      </w:r>
      <w:r>
        <w:rPr>
          <w:rFonts w:hint="eastAsia"/>
        </w:rPr>
        <w:t>proc</w:t>
      </w:r>
      <w:r>
        <w:t>é</w:t>
      </w:r>
      <w:r>
        <w:rPr>
          <w:rFonts w:hint="eastAsia"/>
        </w:rPr>
        <w:t xml:space="preserve">dure </w:t>
      </w:r>
      <w:r>
        <w:t>simple pour l'</w:t>
      </w:r>
      <w:r>
        <w:rPr>
          <w:rFonts w:hint="eastAsia"/>
        </w:rPr>
        <w:t>estimati</w:t>
      </w:r>
      <w:r>
        <w:t>o</w:t>
      </w:r>
      <w:r>
        <w:rPr>
          <w:rFonts w:hint="eastAsia"/>
        </w:rPr>
        <w:t>n</w:t>
      </w:r>
      <w:r>
        <w:t xml:space="preserve"> de l'</w:t>
      </w:r>
      <w:r>
        <w:rPr>
          <w:rFonts w:hint="eastAsia"/>
        </w:rPr>
        <w:t>a</w:t>
      </w:r>
      <w:r>
        <w:t>ffaiblissement atmosphérique</w:t>
      </w:r>
      <w:r>
        <w:rPr>
          <w:rFonts w:hint="eastAsia"/>
        </w:rPr>
        <w:t>.</w:t>
      </w:r>
    </w:p>
    <w:p w:rsidR="002B489A" w:rsidRDefault="004F19C4">
      <w:r>
        <w:br w:type="page"/>
        <w:t>Les</w:t>
      </w:r>
      <w:r>
        <w:rPr>
          <w:rFonts w:hint="eastAsia"/>
        </w:rPr>
        <w:t xml:space="preserve"> </w:t>
      </w:r>
      <w:r>
        <w:t xml:space="preserve">équations données ci-dessous </w:t>
      </w:r>
      <w:r>
        <w:rPr>
          <w:rFonts w:hint="eastAsia"/>
        </w:rPr>
        <w:t>consid</w:t>
      </w:r>
      <w:r>
        <w:t>è</w:t>
      </w:r>
      <w:r>
        <w:rPr>
          <w:rFonts w:hint="eastAsia"/>
        </w:rPr>
        <w:t>r</w:t>
      </w:r>
      <w:r>
        <w:t>ent</w:t>
      </w:r>
      <w:r>
        <w:rPr>
          <w:rFonts w:hint="eastAsia"/>
        </w:rPr>
        <w:t xml:space="preserve"> ch</w:t>
      </w:r>
      <w:r>
        <w:t xml:space="preserve">acune des bandes de fréquences intéressantes qui sont attribuées aux services passifs et sont présentées pour cinq zones géographiques représentatives du monde </w:t>
      </w:r>
      <w:r>
        <w:rPr>
          <w:rFonts w:hint="eastAsia"/>
        </w:rPr>
        <w:t>(h</w:t>
      </w:r>
      <w:r>
        <w:t>é</w:t>
      </w:r>
      <w:r>
        <w:rPr>
          <w:rFonts w:hint="eastAsia"/>
        </w:rPr>
        <w:t>misph</w:t>
      </w:r>
      <w:r>
        <w:t>è</w:t>
      </w:r>
      <w:r>
        <w:rPr>
          <w:rFonts w:hint="eastAsia"/>
        </w:rPr>
        <w:t>res</w:t>
      </w:r>
      <w:r>
        <w:t xml:space="preserve"> Nord et Sud</w:t>
      </w:r>
      <w:r>
        <w:rPr>
          <w:rFonts w:hint="eastAsia"/>
        </w:rPr>
        <w:t>).</w:t>
      </w:r>
    </w:p>
    <w:p w:rsidR="002B489A" w:rsidRDefault="004F19C4">
      <w:pPr>
        <w:pStyle w:val="Heading2"/>
      </w:pPr>
      <w:r>
        <w:t>3.2</w:t>
      </w:r>
      <w:r>
        <w:tab/>
      </w:r>
      <w:r>
        <w:rPr>
          <w:rFonts w:hint="eastAsia"/>
        </w:rPr>
        <w:t xml:space="preserve">Estimation </w:t>
      </w:r>
      <w:r>
        <w:t>de l'affaiblissement sur le trajet Terre vers e</w:t>
      </w:r>
      <w:r>
        <w:rPr>
          <w:rFonts w:hint="eastAsia"/>
        </w:rPr>
        <w:t>space</w:t>
      </w:r>
    </w:p>
    <w:p w:rsidR="002B489A" w:rsidRDefault="004F19C4">
      <w:r>
        <w:t>P</w:t>
      </w:r>
      <w:r>
        <w:rPr>
          <w:rFonts w:hint="eastAsia"/>
        </w:rPr>
        <w:t>o</w:t>
      </w:r>
      <w:r>
        <w:t>u</w:t>
      </w:r>
      <w:r>
        <w:rPr>
          <w:rFonts w:hint="eastAsia"/>
        </w:rPr>
        <w:t xml:space="preserve">r </w:t>
      </w:r>
      <w:r>
        <w:t xml:space="preserve">les besoins d'une </w:t>
      </w:r>
      <w:r>
        <w:rPr>
          <w:rFonts w:hint="eastAsia"/>
        </w:rPr>
        <w:t>estimation</w:t>
      </w:r>
      <w:r>
        <w:t xml:space="preserve"> simplifiée</w:t>
      </w:r>
      <w:r>
        <w:rPr>
          <w:rFonts w:hint="eastAsia"/>
        </w:rPr>
        <w:t xml:space="preserve">, </w:t>
      </w:r>
      <w:r>
        <w:t>une</w:t>
      </w:r>
      <w:r>
        <w:rPr>
          <w:rFonts w:hint="eastAsia"/>
        </w:rPr>
        <w:t xml:space="preserve"> station </w:t>
      </w:r>
      <w:r>
        <w:t>à la surface de la Terre est</w:t>
      </w:r>
      <w:r>
        <w:rPr>
          <w:rFonts w:hint="eastAsia"/>
        </w:rPr>
        <w:t xml:space="preserve"> identifi</w:t>
      </w:r>
      <w:r>
        <w:t>ée</w:t>
      </w:r>
      <w:r>
        <w:rPr>
          <w:rFonts w:hint="eastAsia"/>
        </w:rPr>
        <w:t xml:space="preserve"> </w:t>
      </w:r>
      <w:r>
        <w:t xml:space="preserve">comme étant dans une des trois zones climatiques en fonction de la </w:t>
      </w:r>
      <w:r>
        <w:rPr>
          <w:rFonts w:hint="eastAsia"/>
        </w:rPr>
        <w:t>latitude (</w:t>
      </w:r>
      <w:r>
        <w:t xml:space="preserve">en valeur </w:t>
      </w:r>
      <w:r>
        <w:rPr>
          <w:rFonts w:hint="eastAsia"/>
        </w:rPr>
        <w:t xml:space="preserve">absolue) </w:t>
      </w:r>
      <w:r>
        <w:t>de la</w:t>
      </w:r>
      <w:r>
        <w:rPr>
          <w:rFonts w:hint="eastAsia"/>
        </w:rPr>
        <w:t xml:space="preserve"> station</w:t>
      </w:r>
      <w:r>
        <w:t>:</w:t>
      </w:r>
    </w:p>
    <w:p w:rsidR="002B489A" w:rsidRDefault="004F19C4">
      <w:pPr>
        <w:pStyle w:val="enumlev1"/>
      </w:pPr>
      <w:r>
        <w:t>–</w:t>
      </w:r>
      <w:r>
        <w:tab/>
        <w:t>faib</w:t>
      </w:r>
      <w:r>
        <w:rPr>
          <w:rFonts w:hint="eastAsia"/>
        </w:rPr>
        <w:t>l</w:t>
      </w:r>
      <w:r>
        <w:t xml:space="preserve">es </w:t>
      </w:r>
      <w:r>
        <w:rPr>
          <w:rFonts w:hint="eastAsia"/>
        </w:rPr>
        <w:t xml:space="preserve">latitudes </w:t>
      </w:r>
      <w:r>
        <w:t>à moins de</w:t>
      </w:r>
      <w:r>
        <w:rPr>
          <w:rFonts w:hint="eastAsia"/>
        </w:rPr>
        <w:t xml:space="preserve"> 22</w:t>
      </w:r>
      <w:r>
        <w:t>,</w:t>
      </w:r>
      <w:r>
        <w:rPr>
          <w:rFonts w:hint="eastAsia"/>
        </w:rPr>
        <w:t>5</w:t>
      </w:r>
      <w:r>
        <w:t>°</w:t>
      </w:r>
      <w:r>
        <w:rPr>
          <w:rFonts w:hint="eastAsia"/>
        </w:rPr>
        <w:t xml:space="preserve"> </w:t>
      </w:r>
      <w:r>
        <w:t>de l'équateu</w:t>
      </w:r>
      <w:r>
        <w:rPr>
          <w:rFonts w:hint="eastAsia"/>
        </w:rPr>
        <w:t>r</w:t>
      </w:r>
      <w:r>
        <w:t>;</w:t>
      </w:r>
    </w:p>
    <w:p w:rsidR="002B489A" w:rsidRDefault="004F19C4">
      <w:pPr>
        <w:pStyle w:val="enumlev1"/>
      </w:pPr>
      <w:r>
        <w:t>–</w:t>
      </w:r>
      <w:r>
        <w:tab/>
      </w:r>
      <w:r>
        <w:rPr>
          <w:rFonts w:hint="eastAsia"/>
        </w:rPr>
        <w:t xml:space="preserve">latitudes </w:t>
      </w:r>
      <w:r>
        <w:t xml:space="preserve">moyennes supérieures à </w:t>
      </w:r>
      <w:r>
        <w:rPr>
          <w:rFonts w:hint="eastAsia"/>
        </w:rPr>
        <w:t>22</w:t>
      </w:r>
      <w:r>
        <w:t>,</w:t>
      </w:r>
      <w:r>
        <w:rPr>
          <w:rFonts w:hint="eastAsia"/>
        </w:rPr>
        <w:t>5</w:t>
      </w:r>
      <w:r>
        <w:t>°</w:t>
      </w:r>
      <w:r>
        <w:rPr>
          <w:rFonts w:hint="eastAsia"/>
        </w:rPr>
        <w:t xml:space="preserve">, </w:t>
      </w:r>
      <w:r>
        <w:t>mais inférieures à</w:t>
      </w:r>
      <w:r>
        <w:rPr>
          <w:rFonts w:hint="eastAsia"/>
        </w:rPr>
        <w:t xml:space="preserve"> 45</w:t>
      </w:r>
      <w:r>
        <w:t>°</w:t>
      </w:r>
      <w:r>
        <w:rPr>
          <w:rFonts w:hint="eastAsia"/>
        </w:rPr>
        <w:t xml:space="preserve"> </w:t>
      </w:r>
      <w:r>
        <w:t>par rapport à l'é</w:t>
      </w:r>
      <w:r>
        <w:rPr>
          <w:rFonts w:hint="eastAsia"/>
        </w:rPr>
        <w:t>quat</w:t>
      </w:r>
      <w:r>
        <w:t>eu</w:t>
      </w:r>
      <w:r>
        <w:rPr>
          <w:rFonts w:hint="eastAsia"/>
        </w:rPr>
        <w:t>r</w:t>
      </w:r>
      <w:r>
        <w:t>;</w:t>
      </w:r>
    </w:p>
    <w:p w:rsidR="002B489A" w:rsidRDefault="004F19C4">
      <w:pPr>
        <w:pStyle w:val="enumlev1"/>
      </w:pPr>
      <w:r>
        <w:t>–</w:t>
      </w:r>
      <w:r>
        <w:tab/>
      </w:r>
      <w:r>
        <w:rPr>
          <w:rFonts w:hint="eastAsia"/>
        </w:rPr>
        <w:t xml:space="preserve">latitudes </w:t>
      </w:r>
      <w:r>
        <w:t>élevées de</w:t>
      </w:r>
      <w:r>
        <w:rPr>
          <w:rFonts w:hint="eastAsia"/>
        </w:rPr>
        <w:t xml:space="preserve"> 45</w:t>
      </w:r>
      <w:r>
        <w:t>°</w:t>
      </w:r>
      <w:r>
        <w:rPr>
          <w:rFonts w:hint="eastAsia"/>
        </w:rPr>
        <w:t xml:space="preserve"> o</w:t>
      </w:r>
      <w:r>
        <w:t>u</w:t>
      </w:r>
      <w:r>
        <w:rPr>
          <w:rFonts w:hint="eastAsia"/>
        </w:rPr>
        <w:t xml:space="preserve"> </w:t>
      </w:r>
      <w:r>
        <w:t>plus par rapport à l'é</w:t>
      </w:r>
      <w:r>
        <w:rPr>
          <w:rFonts w:hint="eastAsia"/>
        </w:rPr>
        <w:t>quat</w:t>
      </w:r>
      <w:r>
        <w:t>eu</w:t>
      </w:r>
      <w:r>
        <w:rPr>
          <w:rFonts w:hint="eastAsia"/>
        </w:rPr>
        <w:t>r.</w:t>
      </w:r>
    </w:p>
    <w:p w:rsidR="002B489A" w:rsidRDefault="004F19C4">
      <w:r>
        <w:t>Le Tableau 2</w:t>
      </w:r>
      <w:r>
        <w:rPr>
          <w:rFonts w:hint="eastAsia"/>
        </w:rPr>
        <w:t xml:space="preserve"> </w:t>
      </w:r>
      <w:r>
        <w:t>indique les paramètres climatiques pour chacune de ces zone</w:t>
      </w:r>
      <w:r>
        <w:rPr>
          <w:rFonts w:hint="eastAsia"/>
        </w:rPr>
        <w:t>s. Note</w:t>
      </w:r>
      <w:r>
        <w:t>r</w:t>
      </w:r>
      <w:r>
        <w:rPr>
          <w:rFonts w:hint="eastAsia"/>
        </w:rPr>
        <w:t xml:space="preserve"> </w:t>
      </w:r>
      <w:r>
        <w:t xml:space="preserve">que la densité de vapeur d'eau au niveau de la mer pour les zones de faible latitude est inférieure à celle prescrite dans la </w:t>
      </w:r>
      <w:r>
        <w:rPr>
          <w:rFonts w:hint="eastAsia"/>
        </w:rPr>
        <w:t xml:space="preserve">Recommandation UIT-R </w:t>
      </w:r>
      <w:r>
        <w:rPr>
          <w:rFonts w:hint="eastAsia"/>
          <w:bCs/>
        </w:rPr>
        <w:t>P.835</w:t>
      </w:r>
      <w:r>
        <w:rPr>
          <w:rFonts w:hint="eastAsia"/>
        </w:rPr>
        <w:t xml:space="preserve"> correspond</w:t>
      </w:r>
      <w:r>
        <w:t>a</w:t>
      </w:r>
      <w:r>
        <w:rPr>
          <w:rFonts w:hint="eastAsia"/>
        </w:rPr>
        <w:t>n</w:t>
      </w:r>
      <w:r>
        <w:t>t à la saison sèche</w:t>
      </w:r>
      <w:r>
        <w:rPr>
          <w:rFonts w:hint="eastAsia"/>
        </w:rPr>
        <w:t xml:space="preserve">. </w:t>
      </w:r>
      <w:r>
        <w:t>Les valeurs d'affaiblissement</w:t>
      </w:r>
      <w:r>
        <w:rPr>
          <w:rFonts w:hint="eastAsia"/>
        </w:rPr>
        <w:t xml:space="preserve"> </w:t>
      </w:r>
      <w:r>
        <w:t>pour ces zones ont été déterminées en fonction de l'angle d'élévation du trajet réel</w:t>
      </w:r>
      <w:r>
        <w:rPr>
          <w:rFonts w:hint="eastAsia"/>
        </w:rPr>
        <w:t xml:space="preserve"> </w:t>
      </w:r>
      <w:r>
        <w:t>d'é</w:t>
      </w:r>
      <w:r>
        <w:rPr>
          <w:rFonts w:hint="eastAsia"/>
        </w:rPr>
        <w:t>mission (o</w:t>
      </w:r>
      <w:r>
        <w:t>u</w:t>
      </w:r>
      <w:r>
        <w:rPr>
          <w:rFonts w:hint="eastAsia"/>
        </w:rPr>
        <w:t xml:space="preserve"> r</w:t>
      </w:r>
      <w:r>
        <w:t>é</w:t>
      </w:r>
      <w:r>
        <w:rPr>
          <w:rFonts w:hint="eastAsia"/>
        </w:rPr>
        <w:t xml:space="preserve">ception) </w:t>
      </w:r>
      <w:r>
        <w:t>à partir de la</w:t>
      </w:r>
      <w:r>
        <w:rPr>
          <w:rFonts w:hint="eastAsia"/>
        </w:rPr>
        <w:t xml:space="preserve"> station </w:t>
      </w:r>
      <w:r>
        <w:t xml:space="preserve">à la </w:t>
      </w:r>
      <w:r>
        <w:rPr>
          <w:rFonts w:hint="eastAsia"/>
        </w:rPr>
        <w:t xml:space="preserve">surface </w:t>
      </w:r>
      <w:r>
        <w:t xml:space="preserve">de la Terre par rapport à la </w:t>
      </w:r>
      <w:r>
        <w:rPr>
          <w:rFonts w:hint="eastAsia"/>
        </w:rPr>
        <w:t xml:space="preserve">position </w:t>
      </w:r>
      <w:r>
        <w:t xml:space="preserve">d'une </w:t>
      </w:r>
      <w:r>
        <w:rPr>
          <w:rFonts w:hint="eastAsia"/>
        </w:rPr>
        <w:t xml:space="preserve">station </w:t>
      </w:r>
      <w:r>
        <w:t xml:space="preserve">spatiale </w:t>
      </w:r>
      <w:r>
        <w:rPr>
          <w:rFonts w:hint="eastAsia"/>
        </w:rPr>
        <w:t>(OSG o</w:t>
      </w:r>
      <w:r>
        <w:t>u</w:t>
      </w:r>
      <w:r>
        <w:rPr>
          <w:rFonts w:hint="eastAsia"/>
        </w:rPr>
        <w:t xml:space="preserve"> non OSG). </w:t>
      </w:r>
      <w:r>
        <w:t>Les formules</w:t>
      </w:r>
      <w:r>
        <w:rPr>
          <w:rFonts w:hint="eastAsia"/>
        </w:rPr>
        <w:t xml:space="preserve"> num</w:t>
      </w:r>
      <w:r>
        <w:t>é</w:t>
      </w:r>
      <w:r>
        <w:rPr>
          <w:rFonts w:hint="eastAsia"/>
        </w:rPr>
        <w:t>ri</w:t>
      </w:r>
      <w:r>
        <w:t>ques de l'</w:t>
      </w:r>
      <w:r>
        <w:rPr>
          <w:rFonts w:hint="eastAsia"/>
        </w:rPr>
        <w:t>affaiblissement</w:t>
      </w:r>
      <w:r>
        <w:t xml:space="preserve"> </w:t>
      </w:r>
      <w:r>
        <w:rPr>
          <w:rFonts w:hint="eastAsia"/>
        </w:rPr>
        <w:t>atmosph</w:t>
      </w:r>
      <w:r>
        <w:t>é</w:t>
      </w:r>
      <w:r>
        <w:rPr>
          <w:rFonts w:hint="eastAsia"/>
        </w:rPr>
        <w:t>ri</w:t>
      </w:r>
      <w:r>
        <w:t>que, qui sont une</w:t>
      </w:r>
      <w:r>
        <w:rPr>
          <w:rFonts w:hint="eastAsia"/>
        </w:rPr>
        <w:t xml:space="preserve"> approximat</w:t>
      </w:r>
      <w:r>
        <w:t xml:space="preserve">ion des valeurs </w:t>
      </w:r>
      <w:r>
        <w:rPr>
          <w:rFonts w:hint="eastAsia"/>
        </w:rPr>
        <w:t>th</w:t>
      </w:r>
      <w:r>
        <w:t>é</w:t>
      </w:r>
      <w:r>
        <w:rPr>
          <w:rFonts w:hint="eastAsia"/>
        </w:rPr>
        <w:t>ori</w:t>
      </w:r>
      <w:r>
        <w:t xml:space="preserve">ques, sont données dans les </w:t>
      </w:r>
      <w:r>
        <w:rPr>
          <w:rFonts w:hint="eastAsia"/>
        </w:rPr>
        <w:t>sections</w:t>
      </w:r>
      <w:r>
        <w:t xml:space="preserve"> suivantes</w:t>
      </w:r>
      <w:r>
        <w:rPr>
          <w:rFonts w:hint="eastAsia"/>
        </w:rPr>
        <w:t>,</w:t>
      </w:r>
      <w:r>
        <w:t> où:</w:t>
      </w:r>
    </w:p>
    <w:p w:rsidR="002B489A" w:rsidRDefault="004F19C4">
      <w:pPr>
        <w:pStyle w:val="Equationlegend"/>
        <w:tabs>
          <w:tab w:val="clear" w:pos="1701"/>
          <w:tab w:val="clear" w:pos="1985"/>
          <w:tab w:val="right" w:pos="540"/>
          <w:tab w:val="left" w:pos="720"/>
          <w:tab w:val="left" w:pos="3780"/>
        </w:tabs>
        <w:ind w:left="3780" w:hanging="3780"/>
        <w:rPr>
          <w:lang w:val="fr-CH"/>
        </w:rPr>
      </w:pPr>
      <w:r>
        <w:rPr>
          <w:i/>
        </w:rPr>
        <w:tab/>
      </w:r>
      <w:r>
        <w:rPr>
          <w:i/>
        </w:rPr>
        <w:tab/>
      </w:r>
      <w:r>
        <w:rPr>
          <w:rFonts w:hint="eastAsia"/>
          <w:i/>
          <w:lang w:val="fr-CH"/>
        </w:rPr>
        <w:t>A</w:t>
      </w:r>
      <w:r>
        <w:rPr>
          <w:rFonts w:hint="eastAsia"/>
          <w:i/>
          <w:vertAlign w:val="subscript"/>
          <w:lang w:val="fr-CH"/>
        </w:rPr>
        <w:t>L</w:t>
      </w:r>
      <w:r>
        <w:rPr>
          <w:lang w:val="fr-CH"/>
        </w:rPr>
        <w:t xml:space="preserve"> </w:t>
      </w:r>
      <w:r>
        <w:rPr>
          <w:rFonts w:hint="eastAsia"/>
          <w:lang w:val="fr-CH"/>
        </w:rPr>
        <w:t>(</w:t>
      </w:r>
      <w:r>
        <w:rPr>
          <w:rFonts w:hint="eastAsia"/>
          <w:i/>
          <w:lang w:val="fr-CH"/>
        </w:rPr>
        <w:t>h</w:t>
      </w:r>
      <w:r>
        <w:rPr>
          <w:rFonts w:hint="eastAsia"/>
          <w:lang w:val="fr-CH"/>
        </w:rPr>
        <w:t>,</w:t>
      </w:r>
      <w:r>
        <w:rPr>
          <w:lang w:val="fr-CH"/>
        </w:rPr>
        <w:t xml:space="preserve"> </w:t>
      </w:r>
      <w:r>
        <w:rPr>
          <w:rFonts w:ascii="Symbol" w:hAnsi="Symbol"/>
          <w:iCs/>
        </w:rPr>
        <w:t></w:t>
      </w:r>
      <w:r>
        <w:rPr>
          <w:rFonts w:hint="eastAsia"/>
          <w:lang w:val="fr-CH"/>
        </w:rPr>
        <w:t xml:space="preserve">), </w:t>
      </w:r>
      <w:r>
        <w:rPr>
          <w:rFonts w:hint="eastAsia"/>
          <w:i/>
          <w:lang w:val="fr-CH"/>
        </w:rPr>
        <w:t>A</w:t>
      </w:r>
      <w:r>
        <w:rPr>
          <w:rFonts w:hint="eastAsia"/>
          <w:i/>
          <w:vertAlign w:val="subscript"/>
          <w:lang w:val="fr-CH"/>
        </w:rPr>
        <w:t>M</w:t>
      </w:r>
      <w:r>
        <w:rPr>
          <w:lang w:val="fr-CH"/>
        </w:rPr>
        <w:t xml:space="preserve"> </w:t>
      </w:r>
      <w:r>
        <w:rPr>
          <w:rFonts w:hint="eastAsia"/>
          <w:lang w:val="fr-CH"/>
        </w:rPr>
        <w:t>(</w:t>
      </w:r>
      <w:r>
        <w:rPr>
          <w:rFonts w:hint="eastAsia"/>
          <w:i/>
          <w:lang w:val="fr-CH"/>
        </w:rPr>
        <w:t>h</w:t>
      </w:r>
      <w:r>
        <w:rPr>
          <w:rFonts w:hint="eastAsia"/>
          <w:lang w:val="fr-CH"/>
        </w:rPr>
        <w:t>,</w:t>
      </w:r>
      <w:r>
        <w:rPr>
          <w:lang w:val="fr-CH"/>
        </w:rPr>
        <w:t xml:space="preserve"> </w:t>
      </w:r>
      <w:r>
        <w:rPr>
          <w:rFonts w:ascii="Symbol" w:hAnsi="Symbol"/>
        </w:rPr>
        <w:t></w:t>
      </w:r>
      <w:r>
        <w:rPr>
          <w:rFonts w:hint="eastAsia"/>
          <w:lang w:val="fr-CH"/>
        </w:rPr>
        <w:t xml:space="preserve">), </w:t>
      </w:r>
      <w:r>
        <w:rPr>
          <w:rFonts w:hint="eastAsia"/>
          <w:i/>
          <w:lang w:val="fr-CH"/>
        </w:rPr>
        <w:t>A</w:t>
      </w:r>
      <w:r>
        <w:rPr>
          <w:rFonts w:hint="eastAsia"/>
          <w:i/>
          <w:vertAlign w:val="subscript"/>
          <w:lang w:val="fr-CH"/>
        </w:rPr>
        <w:t>H</w:t>
      </w:r>
      <w:r>
        <w:rPr>
          <w:lang w:val="fr-CH"/>
        </w:rPr>
        <w:t xml:space="preserve"> </w:t>
      </w:r>
      <w:r>
        <w:rPr>
          <w:rFonts w:hint="eastAsia"/>
          <w:lang w:val="fr-CH"/>
        </w:rPr>
        <w:t>(</w:t>
      </w:r>
      <w:r>
        <w:rPr>
          <w:rFonts w:hint="eastAsia"/>
          <w:i/>
          <w:iCs/>
          <w:lang w:val="fr-CH"/>
        </w:rPr>
        <w:t>h</w:t>
      </w:r>
      <w:r>
        <w:rPr>
          <w:rFonts w:hint="eastAsia"/>
          <w:lang w:val="fr-CH"/>
        </w:rPr>
        <w:t>,</w:t>
      </w:r>
      <w:r>
        <w:rPr>
          <w:lang w:val="fr-CH"/>
        </w:rPr>
        <w:t xml:space="preserve"> </w:t>
      </w:r>
      <w:r>
        <w:rPr>
          <w:rFonts w:ascii="Symbol" w:hAnsi="Symbol"/>
        </w:rPr>
        <w:t></w:t>
      </w:r>
      <w:r>
        <w:rPr>
          <w:rFonts w:hint="eastAsia"/>
          <w:lang w:val="fr-CH"/>
        </w:rPr>
        <w:t>)</w:t>
      </w:r>
      <w:r>
        <w:rPr>
          <w:rFonts w:ascii="Tms Rmn" w:hAnsi="Tms Rmn"/>
          <w:sz w:val="12"/>
          <w:lang w:val="fr-CH"/>
        </w:rPr>
        <w:t> </w:t>
      </w:r>
      <w:r>
        <w:rPr>
          <w:lang w:val="fr-CH"/>
        </w:rPr>
        <w:t>:</w:t>
      </w:r>
      <w:r>
        <w:rPr>
          <w:lang w:val="fr-CH"/>
        </w:rPr>
        <w:tab/>
        <w:t xml:space="preserve">affaiblissement </w:t>
      </w:r>
      <w:r>
        <w:rPr>
          <w:rFonts w:hint="eastAsia"/>
          <w:lang w:val="fr-CH"/>
        </w:rPr>
        <w:t xml:space="preserve">total </w:t>
      </w:r>
      <w:r>
        <w:rPr>
          <w:lang w:val="fr-CH"/>
        </w:rPr>
        <w:t>de l'</w:t>
      </w:r>
      <w:r>
        <w:rPr>
          <w:rFonts w:hint="eastAsia"/>
          <w:lang w:val="fr-CH"/>
        </w:rPr>
        <w:t xml:space="preserve">absorption </w:t>
      </w:r>
      <w:r>
        <w:rPr>
          <w:lang w:val="fr-CH"/>
        </w:rPr>
        <w:t>atmosphérique</w:t>
      </w:r>
      <w:r>
        <w:rPr>
          <w:rFonts w:hint="eastAsia"/>
          <w:lang w:val="fr-CH"/>
        </w:rPr>
        <w:t xml:space="preserve"> (dB) </w:t>
      </w:r>
      <w:r>
        <w:rPr>
          <w:lang w:val="fr-CH"/>
        </w:rPr>
        <w:t>p</w:t>
      </w:r>
      <w:r>
        <w:rPr>
          <w:rFonts w:hint="eastAsia"/>
          <w:lang w:val="fr-CH"/>
        </w:rPr>
        <w:t>o</w:t>
      </w:r>
      <w:r>
        <w:rPr>
          <w:lang w:val="fr-CH"/>
        </w:rPr>
        <w:t>u</w:t>
      </w:r>
      <w:r>
        <w:rPr>
          <w:rFonts w:hint="eastAsia"/>
          <w:lang w:val="fr-CH"/>
        </w:rPr>
        <w:t xml:space="preserve">r </w:t>
      </w:r>
      <w:r>
        <w:rPr>
          <w:lang w:val="fr-CH"/>
        </w:rPr>
        <w:t>respectivement les zones de faib</w:t>
      </w:r>
      <w:r>
        <w:rPr>
          <w:rFonts w:hint="eastAsia"/>
          <w:lang w:val="fr-CH"/>
        </w:rPr>
        <w:t>l</w:t>
      </w:r>
      <w:r>
        <w:rPr>
          <w:lang w:val="fr-CH"/>
        </w:rPr>
        <w:t xml:space="preserve">e </w:t>
      </w:r>
      <w:r>
        <w:rPr>
          <w:rFonts w:hint="eastAsia"/>
          <w:lang w:val="fr-CH"/>
        </w:rPr>
        <w:t xml:space="preserve">latitude, latitude </w:t>
      </w:r>
      <w:r>
        <w:rPr>
          <w:lang w:val="fr-CH"/>
        </w:rPr>
        <w:t xml:space="preserve">moyenne et </w:t>
      </w:r>
      <w:r>
        <w:rPr>
          <w:rFonts w:hint="eastAsia"/>
          <w:lang w:val="fr-CH"/>
        </w:rPr>
        <w:t xml:space="preserve">latitude </w:t>
      </w:r>
      <w:r>
        <w:rPr>
          <w:lang w:val="fr-CH"/>
        </w:rPr>
        <w:t xml:space="preserve">élevée; </w:t>
      </w:r>
    </w:p>
    <w:p w:rsidR="002B489A" w:rsidRDefault="004F19C4">
      <w:pPr>
        <w:pStyle w:val="Equationlegend"/>
        <w:tabs>
          <w:tab w:val="clear" w:pos="1701"/>
          <w:tab w:val="clear" w:pos="1985"/>
          <w:tab w:val="left" w:pos="2340"/>
          <w:tab w:val="left" w:pos="2948"/>
          <w:tab w:val="left" w:pos="3060"/>
          <w:tab w:val="left" w:pos="3780"/>
        </w:tabs>
        <w:ind w:left="3780" w:hanging="3780"/>
        <w:rPr>
          <w:lang w:val="fr-CH"/>
        </w:rPr>
      </w:pPr>
      <w:r>
        <w:rPr>
          <w:i/>
          <w:lang w:val="fr-CH"/>
        </w:rPr>
        <w:tab/>
      </w:r>
      <w:r>
        <w:rPr>
          <w:i/>
          <w:lang w:val="fr-CH"/>
        </w:rPr>
        <w:tab/>
      </w:r>
      <w:r>
        <w:rPr>
          <w:rFonts w:hint="eastAsia"/>
          <w:i/>
          <w:lang w:val="fr-CH"/>
        </w:rPr>
        <w:t>h</w:t>
      </w:r>
      <w:r>
        <w:rPr>
          <w:rFonts w:hint="eastAsia"/>
          <w:lang w:val="fr-CH"/>
        </w:rPr>
        <w:t xml:space="preserve"> </w:t>
      </w:r>
      <w:r>
        <w:rPr>
          <w:lang w:val="fr-CH"/>
        </w:rPr>
        <w:t>et</w:t>
      </w:r>
      <w:r>
        <w:rPr>
          <w:rFonts w:hint="eastAsia"/>
          <w:lang w:val="fr-CH"/>
        </w:rPr>
        <w:t xml:space="preserve"> </w:t>
      </w:r>
      <w:r>
        <w:rPr>
          <w:rFonts w:ascii="Symbol" w:hAnsi="Symbol"/>
        </w:rPr>
        <w:t></w:t>
      </w:r>
      <w:r>
        <w:rPr>
          <w:rFonts w:ascii="Tms Rmn" w:hAnsi="Tms Rmn"/>
          <w:sz w:val="12"/>
          <w:lang w:val="fr-CH"/>
        </w:rPr>
        <w:t> </w:t>
      </w:r>
      <w:r>
        <w:rPr>
          <w:lang w:val="fr-CH"/>
        </w:rPr>
        <w:t>:</w:t>
      </w:r>
      <w:r>
        <w:rPr>
          <w:lang w:val="fr-CH"/>
        </w:rPr>
        <w:tab/>
      </w:r>
      <w:r>
        <w:rPr>
          <w:rFonts w:hint="eastAsia"/>
          <w:lang w:val="fr-CH"/>
        </w:rPr>
        <w:t>respective</w:t>
      </w:r>
      <w:r>
        <w:rPr>
          <w:lang w:val="fr-CH"/>
        </w:rPr>
        <w:t xml:space="preserve">ment, </w:t>
      </w:r>
      <w:r>
        <w:rPr>
          <w:rFonts w:hint="eastAsia"/>
          <w:lang w:val="fr-CH"/>
        </w:rPr>
        <w:t>altitude a</w:t>
      </w:r>
      <w:r>
        <w:rPr>
          <w:lang w:val="fr-CH"/>
        </w:rPr>
        <w:t>u-dessus du niveau de la mer d</w:t>
      </w:r>
      <w:r>
        <w:rPr>
          <w:rFonts w:hint="eastAsia"/>
          <w:lang w:val="fr-CH"/>
        </w:rPr>
        <w:t xml:space="preserve">e </w:t>
      </w:r>
      <w:r>
        <w:rPr>
          <w:lang w:val="fr-CH"/>
        </w:rPr>
        <w:t xml:space="preserve">la </w:t>
      </w:r>
      <w:r>
        <w:rPr>
          <w:rFonts w:hint="eastAsia"/>
          <w:lang w:val="fr-CH"/>
        </w:rPr>
        <w:t xml:space="preserve">station </w:t>
      </w:r>
      <w:r>
        <w:rPr>
          <w:lang w:val="fr-CH"/>
        </w:rPr>
        <w:t>à la</w:t>
      </w:r>
      <w:r>
        <w:rPr>
          <w:rFonts w:hint="eastAsia"/>
          <w:lang w:val="fr-CH"/>
        </w:rPr>
        <w:t xml:space="preserve"> surface </w:t>
      </w:r>
      <w:r>
        <w:rPr>
          <w:lang w:val="fr-CH"/>
        </w:rPr>
        <w:t>de la Terre</w:t>
      </w:r>
      <w:r>
        <w:rPr>
          <w:rFonts w:hint="eastAsia"/>
          <w:lang w:val="fr-CH"/>
        </w:rPr>
        <w:t xml:space="preserve"> (km) </w:t>
      </w:r>
      <w:r>
        <w:rPr>
          <w:lang w:val="fr-CH"/>
        </w:rPr>
        <w:t>et angle d'é</w:t>
      </w:r>
      <w:r>
        <w:rPr>
          <w:rFonts w:hint="eastAsia"/>
          <w:lang w:val="fr-CH"/>
        </w:rPr>
        <w:t>l</w:t>
      </w:r>
      <w:r>
        <w:rPr>
          <w:lang w:val="fr-CH"/>
        </w:rPr>
        <w:t>é</w:t>
      </w:r>
      <w:r>
        <w:rPr>
          <w:rFonts w:hint="eastAsia"/>
          <w:lang w:val="fr-CH"/>
        </w:rPr>
        <w:t>vation (degr</w:t>
      </w:r>
      <w:r>
        <w:rPr>
          <w:lang w:val="fr-CH"/>
        </w:rPr>
        <w:t>é</w:t>
      </w:r>
      <w:r>
        <w:rPr>
          <w:rFonts w:hint="eastAsia"/>
          <w:lang w:val="fr-CH"/>
        </w:rPr>
        <w:t xml:space="preserve">s). </w:t>
      </w:r>
    </w:p>
    <w:p w:rsidR="002B489A" w:rsidRDefault="004F19C4">
      <w:pPr>
        <w:pStyle w:val="TableNo"/>
      </w:pPr>
      <w:r>
        <w:rPr>
          <w:rFonts w:hint="eastAsia"/>
        </w:rPr>
        <w:t xml:space="preserve">TABLEAU  </w:t>
      </w:r>
      <w:r>
        <w:t>2</w:t>
      </w:r>
    </w:p>
    <w:p w:rsidR="002B489A" w:rsidRDefault="004F19C4">
      <w:pPr>
        <w:pStyle w:val="Tabletitle"/>
      </w:pPr>
      <w:r>
        <w:rPr>
          <w:rFonts w:hint="eastAsia"/>
        </w:rPr>
        <w:t>Param</w:t>
      </w:r>
      <w:r>
        <w:t>è</w:t>
      </w:r>
      <w:r>
        <w:rPr>
          <w:rFonts w:hint="eastAsia"/>
        </w:rPr>
        <w:t>t</w:t>
      </w:r>
      <w:r>
        <w:t>re</w:t>
      </w:r>
      <w:r>
        <w:rPr>
          <w:rFonts w:hint="eastAsia"/>
        </w:rPr>
        <w:t>s a</w:t>
      </w:r>
      <w:r>
        <w:t>u niveau d</w:t>
      </w:r>
      <w:r>
        <w:rPr>
          <w:rFonts w:hint="eastAsia"/>
        </w:rPr>
        <w:t>e</w:t>
      </w:r>
      <w:r>
        <w:t xml:space="preserve"> </w:t>
      </w:r>
      <w:r>
        <w:rPr>
          <w:rFonts w:hint="eastAsia"/>
        </w:rPr>
        <w:t>l</w:t>
      </w:r>
      <w:r>
        <w:t>a mer</w:t>
      </w:r>
      <w:r>
        <w:rPr>
          <w:rFonts w:hint="eastAsia"/>
        </w:rPr>
        <w:t xml:space="preserve"> </w:t>
      </w:r>
      <w:r>
        <w:t>p</w:t>
      </w:r>
      <w:r>
        <w:rPr>
          <w:rFonts w:hint="eastAsia"/>
        </w:rPr>
        <w:t>o</w:t>
      </w:r>
      <w:r>
        <w:t>u</w:t>
      </w:r>
      <w:r>
        <w:rPr>
          <w:rFonts w:hint="eastAsia"/>
        </w:rPr>
        <w:t xml:space="preserve">r </w:t>
      </w:r>
      <w:r>
        <w:t>l</w:t>
      </w:r>
      <w:r>
        <w:rPr>
          <w:rFonts w:hint="eastAsia"/>
        </w:rPr>
        <w:t>e</w:t>
      </w:r>
      <w:r>
        <w:t>s zones</w:t>
      </w:r>
      <w:r>
        <w:rPr>
          <w:rFonts w:hint="eastAsia"/>
        </w:rPr>
        <w:t xml:space="preserve"> climat</w:t>
      </w:r>
      <w:r>
        <w:t>iqu</w:t>
      </w:r>
      <w:r>
        <w:rPr>
          <w:rFonts w:hint="eastAsia"/>
        </w:rPr>
        <w: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75"/>
        <w:gridCol w:w="2175"/>
        <w:gridCol w:w="2176"/>
        <w:gridCol w:w="2384"/>
      </w:tblGrid>
      <w:tr w:rsidR="002B489A">
        <w:tc>
          <w:tcPr>
            <w:tcW w:w="2175" w:type="dxa"/>
            <w:vAlign w:val="center"/>
          </w:tcPr>
          <w:p w:rsidR="002B489A" w:rsidRDefault="004F19C4">
            <w:pPr>
              <w:pStyle w:val="Tablehead"/>
              <w:framePr w:hSpace="181" w:wrap="notBeside" w:vAnchor="text" w:hAnchor="text" w:xAlign="center" w:y="1"/>
            </w:pPr>
            <w:r>
              <w:t>Zone c</w:t>
            </w:r>
            <w:r>
              <w:rPr>
                <w:rFonts w:hint="eastAsia"/>
              </w:rPr>
              <w:t>limat</w:t>
            </w:r>
            <w:r>
              <w:t>iqu</w:t>
            </w:r>
            <w:r>
              <w:rPr>
                <w:rFonts w:hint="eastAsia"/>
              </w:rPr>
              <w:t>e</w:t>
            </w:r>
          </w:p>
        </w:tc>
        <w:tc>
          <w:tcPr>
            <w:tcW w:w="2175" w:type="dxa"/>
            <w:vAlign w:val="center"/>
          </w:tcPr>
          <w:p w:rsidR="002B489A" w:rsidRDefault="004F19C4">
            <w:pPr>
              <w:pStyle w:val="Tablehead"/>
              <w:framePr w:hSpace="181" w:wrap="notBeside" w:vAnchor="text" w:hAnchor="text" w:xAlign="center" w:y="1"/>
            </w:pPr>
            <w:r>
              <w:rPr>
                <w:rFonts w:hint="eastAsia"/>
              </w:rPr>
              <w:t>Temp</w:t>
            </w:r>
            <w:r>
              <w:t>é</w:t>
            </w:r>
            <w:r>
              <w:rPr>
                <w:rFonts w:hint="eastAsia"/>
              </w:rPr>
              <w:t xml:space="preserve">rature </w:t>
            </w:r>
            <w:r>
              <w:br/>
            </w:r>
            <w:r>
              <w:rPr>
                <w:rFonts w:hint="eastAsia"/>
              </w:rPr>
              <w:t>(K)</w:t>
            </w:r>
          </w:p>
        </w:tc>
        <w:tc>
          <w:tcPr>
            <w:tcW w:w="2176" w:type="dxa"/>
            <w:vAlign w:val="center"/>
          </w:tcPr>
          <w:p w:rsidR="002B489A" w:rsidRDefault="004F19C4">
            <w:pPr>
              <w:pStyle w:val="Tablehead"/>
              <w:framePr w:hSpace="181" w:wrap="notBeside" w:vAnchor="text" w:hAnchor="text" w:xAlign="center" w:y="1"/>
            </w:pPr>
            <w:r>
              <w:t>Pression a</w:t>
            </w:r>
            <w:r>
              <w:rPr>
                <w:rFonts w:hint="eastAsia"/>
              </w:rPr>
              <w:t>tmosph</w:t>
            </w:r>
            <w:r>
              <w:t>é</w:t>
            </w:r>
            <w:r>
              <w:rPr>
                <w:rFonts w:hint="eastAsia"/>
              </w:rPr>
              <w:t>ri</w:t>
            </w:r>
            <w:r>
              <w:t>que</w:t>
            </w:r>
            <w:r>
              <w:rPr>
                <w:rFonts w:hint="eastAsia"/>
              </w:rPr>
              <w:t xml:space="preserve"> </w:t>
            </w:r>
            <w:r>
              <w:br/>
            </w:r>
            <w:r>
              <w:rPr>
                <w:rFonts w:hint="eastAsia"/>
              </w:rPr>
              <w:t>(hPa)</w:t>
            </w:r>
          </w:p>
        </w:tc>
        <w:tc>
          <w:tcPr>
            <w:tcW w:w="2384" w:type="dxa"/>
            <w:vAlign w:val="center"/>
          </w:tcPr>
          <w:p w:rsidR="002B489A" w:rsidRDefault="004F19C4">
            <w:pPr>
              <w:pStyle w:val="Tablehead"/>
              <w:framePr w:hSpace="181" w:wrap="notBeside" w:vAnchor="text" w:hAnchor="text" w:xAlign="center" w:y="1"/>
            </w:pPr>
            <w:r>
              <w:t>D</w:t>
            </w:r>
            <w:r>
              <w:rPr>
                <w:rFonts w:hint="eastAsia"/>
              </w:rPr>
              <w:t>ensit</w:t>
            </w:r>
            <w:r>
              <w:t xml:space="preserve">é </w:t>
            </w:r>
            <w:r>
              <w:br/>
              <w:t>hygrométrique</w:t>
            </w:r>
            <w:r>
              <w:rPr>
                <w:rFonts w:hint="eastAsia"/>
              </w:rPr>
              <w:t xml:space="preserve"> </w:t>
            </w:r>
            <w:r>
              <w:br/>
            </w:r>
            <w:r>
              <w:rPr>
                <w:rFonts w:hint="eastAsia"/>
              </w:rPr>
              <w:t>(g/m</w:t>
            </w:r>
            <w:r>
              <w:rPr>
                <w:rFonts w:hint="eastAsia"/>
                <w:vertAlign w:val="superscript"/>
              </w:rPr>
              <w:t>3</w:t>
            </w:r>
            <w:r>
              <w:rPr>
                <w:rFonts w:hint="eastAsia"/>
              </w:rPr>
              <w:t>)</w:t>
            </w:r>
          </w:p>
        </w:tc>
      </w:tr>
      <w:tr w:rsidR="002B489A">
        <w:tc>
          <w:tcPr>
            <w:tcW w:w="2175" w:type="dxa"/>
          </w:tcPr>
          <w:p w:rsidR="002B489A" w:rsidRDefault="004F19C4">
            <w:pPr>
              <w:pStyle w:val="Tabletext"/>
              <w:framePr w:hSpace="181" w:wrap="notBeside" w:vAnchor="text" w:hAnchor="text" w:xAlign="center" w:y="1"/>
            </w:pPr>
            <w:r>
              <w:t xml:space="preserve">Faible </w:t>
            </w:r>
            <w:r>
              <w:rPr>
                <w:rFonts w:hint="eastAsia"/>
              </w:rPr>
              <w:t>latitude</w:t>
            </w:r>
          </w:p>
        </w:tc>
        <w:tc>
          <w:tcPr>
            <w:tcW w:w="2175"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rFonts w:hint="eastAsia"/>
              </w:rPr>
              <w:t>300</w:t>
            </w:r>
            <w:r>
              <w:t>,</w:t>
            </w:r>
            <w:r>
              <w:rPr>
                <w:rFonts w:hint="eastAsia"/>
              </w:rPr>
              <w:t>4</w:t>
            </w:r>
          </w:p>
        </w:tc>
        <w:tc>
          <w:tcPr>
            <w:tcW w:w="2176"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rFonts w:hint="eastAsia"/>
              </w:rPr>
              <w:t>1</w:t>
            </w:r>
            <w:r>
              <w:rPr>
                <w:rFonts w:ascii="Tms Rmn" w:hAnsi="Tms Rmn"/>
                <w:sz w:val="12"/>
              </w:rPr>
              <w:t> </w:t>
            </w:r>
            <w:r>
              <w:rPr>
                <w:rFonts w:hint="eastAsia"/>
              </w:rPr>
              <w:t>012</w:t>
            </w:r>
            <w:r>
              <w:t>,</w:t>
            </w:r>
            <w:r>
              <w:rPr>
                <w:rFonts w:hint="eastAsia"/>
              </w:rPr>
              <w:t>0</w:t>
            </w:r>
          </w:p>
        </w:tc>
        <w:tc>
          <w:tcPr>
            <w:tcW w:w="2384"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32"/>
              </w:tabs>
              <w:jc w:val="left"/>
            </w:pPr>
            <w:r>
              <w:rPr>
                <w:rFonts w:hint="eastAsia"/>
              </w:rPr>
              <w:t>10</w:t>
            </w:r>
            <w:r>
              <w:t>,</w:t>
            </w:r>
            <w:r>
              <w:rPr>
                <w:rFonts w:hint="eastAsia"/>
              </w:rPr>
              <w:t>0</w:t>
            </w:r>
          </w:p>
        </w:tc>
      </w:tr>
      <w:tr w:rsidR="002B489A">
        <w:tc>
          <w:tcPr>
            <w:tcW w:w="2175" w:type="dxa"/>
          </w:tcPr>
          <w:p w:rsidR="002B489A" w:rsidRDefault="004F19C4">
            <w:pPr>
              <w:pStyle w:val="Tabletext"/>
              <w:framePr w:hSpace="181" w:wrap="notBeside" w:vAnchor="text" w:hAnchor="text" w:xAlign="center" w:y="1"/>
            </w:pPr>
            <w:r>
              <w:t>L</w:t>
            </w:r>
            <w:r>
              <w:rPr>
                <w:rFonts w:hint="eastAsia"/>
              </w:rPr>
              <w:t>atitude</w:t>
            </w:r>
            <w:r>
              <w:t xml:space="preserve"> moyenne</w:t>
            </w:r>
          </w:p>
        </w:tc>
        <w:tc>
          <w:tcPr>
            <w:tcW w:w="2175"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rFonts w:hint="eastAsia"/>
              </w:rPr>
              <w:t>272</w:t>
            </w:r>
            <w:r>
              <w:t>,</w:t>
            </w:r>
            <w:r>
              <w:rPr>
                <w:rFonts w:hint="eastAsia"/>
              </w:rPr>
              <w:t>7</w:t>
            </w:r>
          </w:p>
        </w:tc>
        <w:tc>
          <w:tcPr>
            <w:tcW w:w="2176"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rFonts w:hint="eastAsia"/>
              </w:rPr>
              <w:t>1</w:t>
            </w:r>
            <w:r>
              <w:rPr>
                <w:rFonts w:ascii="Tms Rmn" w:hAnsi="Tms Rmn"/>
                <w:sz w:val="12"/>
              </w:rPr>
              <w:t> </w:t>
            </w:r>
            <w:r>
              <w:rPr>
                <w:rFonts w:hint="eastAsia"/>
              </w:rPr>
              <w:t>018</w:t>
            </w:r>
            <w:r>
              <w:t>,</w:t>
            </w:r>
            <w:r>
              <w:rPr>
                <w:rFonts w:hint="eastAsia"/>
              </w:rPr>
              <w:t>9</w:t>
            </w:r>
          </w:p>
        </w:tc>
        <w:tc>
          <w:tcPr>
            <w:tcW w:w="2384"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32"/>
              </w:tabs>
              <w:jc w:val="left"/>
            </w:pPr>
            <w:r>
              <w:rPr>
                <w:rFonts w:hint="eastAsia"/>
              </w:rPr>
              <w:t>3</w:t>
            </w:r>
            <w:r>
              <w:t>,</w:t>
            </w:r>
            <w:r>
              <w:rPr>
                <w:rFonts w:hint="eastAsia"/>
              </w:rPr>
              <w:t>5</w:t>
            </w:r>
          </w:p>
        </w:tc>
      </w:tr>
      <w:tr w:rsidR="002B489A">
        <w:tc>
          <w:tcPr>
            <w:tcW w:w="2175" w:type="dxa"/>
          </w:tcPr>
          <w:p w:rsidR="002B489A" w:rsidRDefault="004F19C4">
            <w:pPr>
              <w:pStyle w:val="Tabletext"/>
              <w:framePr w:hSpace="181" w:wrap="notBeside" w:vAnchor="text" w:hAnchor="text" w:xAlign="center" w:y="1"/>
            </w:pPr>
            <w:r>
              <w:t>L</w:t>
            </w:r>
            <w:r>
              <w:rPr>
                <w:rFonts w:hint="eastAsia"/>
              </w:rPr>
              <w:t>atitude</w:t>
            </w:r>
            <w:r>
              <w:t xml:space="preserve"> élevée</w:t>
            </w:r>
          </w:p>
        </w:tc>
        <w:tc>
          <w:tcPr>
            <w:tcW w:w="2175"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rFonts w:hint="eastAsia"/>
              </w:rPr>
              <w:t>257</w:t>
            </w:r>
            <w:r>
              <w:t>,</w:t>
            </w:r>
            <w:r>
              <w:rPr>
                <w:rFonts w:hint="eastAsia"/>
              </w:rPr>
              <w:t>4</w:t>
            </w:r>
          </w:p>
        </w:tc>
        <w:tc>
          <w:tcPr>
            <w:tcW w:w="2176"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rFonts w:hint="eastAsia"/>
              </w:rPr>
              <w:t>1</w:t>
            </w:r>
            <w:r>
              <w:rPr>
                <w:rFonts w:ascii="Tms Rmn" w:hAnsi="Tms Rmn"/>
                <w:sz w:val="12"/>
              </w:rPr>
              <w:t> </w:t>
            </w:r>
            <w:r>
              <w:rPr>
                <w:rFonts w:hint="eastAsia"/>
              </w:rPr>
              <w:t>010</w:t>
            </w:r>
            <w:r>
              <w:t>,</w:t>
            </w:r>
            <w:r>
              <w:rPr>
                <w:rFonts w:hint="eastAsia"/>
              </w:rPr>
              <w:t>8</w:t>
            </w:r>
          </w:p>
        </w:tc>
        <w:tc>
          <w:tcPr>
            <w:tcW w:w="2384"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32"/>
              </w:tabs>
              <w:jc w:val="left"/>
            </w:pPr>
            <w:r>
              <w:rPr>
                <w:rFonts w:hint="eastAsia"/>
              </w:rPr>
              <w:t>1</w:t>
            </w:r>
            <w:r>
              <w:t>,</w:t>
            </w:r>
            <w:r>
              <w:rPr>
                <w:rFonts w:hint="eastAsia"/>
              </w:rPr>
              <w:t>23</w:t>
            </w:r>
          </w:p>
        </w:tc>
      </w:tr>
    </w:tbl>
    <w:p w:rsidR="002B489A" w:rsidRDefault="002B489A">
      <w:pPr>
        <w:pStyle w:val="Tablefin"/>
        <w:spacing w:before="0"/>
      </w:pPr>
    </w:p>
    <w:p w:rsidR="002B489A" w:rsidRDefault="004F19C4">
      <w:r>
        <w:t>La méthode par sommation des contributions des raies d'absorption</w:t>
      </w:r>
      <w:r>
        <w:rPr>
          <w:rFonts w:hint="eastAsia"/>
        </w:rPr>
        <w:t xml:space="preserve"> </w:t>
      </w:r>
      <w:r>
        <w:t>de l'</w:t>
      </w:r>
      <w:r>
        <w:rPr>
          <w:rFonts w:hint="eastAsia"/>
        </w:rPr>
        <w:t>Annex</w:t>
      </w:r>
      <w:r>
        <w:t>e</w:t>
      </w:r>
      <w:r>
        <w:rPr>
          <w:rFonts w:hint="eastAsia"/>
        </w:rPr>
        <w:t xml:space="preserve"> 1 </w:t>
      </w:r>
      <w:r>
        <w:t>de la</w:t>
      </w:r>
      <w:r>
        <w:rPr>
          <w:rFonts w:hint="eastAsia"/>
        </w:rPr>
        <w:t xml:space="preserve"> Recommandation UIT-R </w:t>
      </w:r>
      <w:r>
        <w:rPr>
          <w:rFonts w:hint="eastAsia"/>
          <w:bCs/>
        </w:rPr>
        <w:t xml:space="preserve">P.676 </w:t>
      </w:r>
      <w:r>
        <w:rPr>
          <w:rFonts w:hint="eastAsia"/>
        </w:rPr>
        <w:t>a</w:t>
      </w:r>
      <w:r>
        <w:t xml:space="preserve"> été utili</w:t>
      </w:r>
      <w:r>
        <w:rPr>
          <w:rFonts w:hint="eastAsia"/>
        </w:rPr>
        <w:t>s</w:t>
      </w:r>
      <w:r>
        <w:t>ée pour l'</w:t>
      </w:r>
      <w:r>
        <w:rPr>
          <w:rFonts w:hint="eastAsia"/>
        </w:rPr>
        <w:t>int</w:t>
      </w:r>
      <w:r>
        <w:t>é</w:t>
      </w:r>
      <w:r>
        <w:rPr>
          <w:rFonts w:hint="eastAsia"/>
        </w:rPr>
        <w:t xml:space="preserve">gration. </w:t>
      </w:r>
      <w:r>
        <w:t>Les profils de hauteur de</w:t>
      </w:r>
      <w:r>
        <w:rPr>
          <w:rFonts w:hint="eastAsia"/>
        </w:rPr>
        <w:t xml:space="preserve"> temp</w:t>
      </w:r>
      <w:r>
        <w:t>é</w:t>
      </w:r>
      <w:r>
        <w:rPr>
          <w:rFonts w:hint="eastAsia"/>
        </w:rPr>
        <w:t>rature, press</w:t>
      </w:r>
      <w:r>
        <w:t>ion et densité hygrométrique</w:t>
      </w:r>
      <w:r>
        <w:rPr>
          <w:rFonts w:hint="eastAsia"/>
        </w:rPr>
        <w:t xml:space="preserve"> </w:t>
      </w:r>
      <w:r>
        <w:t>tels que dé</w:t>
      </w:r>
      <w:r>
        <w:rPr>
          <w:rFonts w:hint="eastAsia"/>
        </w:rPr>
        <w:t>fin</w:t>
      </w:r>
      <w:r>
        <w:t>is da</w:t>
      </w:r>
      <w:r>
        <w:rPr>
          <w:rFonts w:hint="eastAsia"/>
        </w:rPr>
        <w:t>n</w:t>
      </w:r>
      <w:r>
        <w:t>s la</w:t>
      </w:r>
      <w:r>
        <w:rPr>
          <w:rFonts w:hint="eastAsia"/>
        </w:rPr>
        <w:t xml:space="preserve"> Recommandation UIT</w:t>
      </w:r>
      <w:r>
        <w:noBreakHyphen/>
      </w:r>
      <w:r>
        <w:rPr>
          <w:rFonts w:hint="eastAsia"/>
        </w:rPr>
        <w:t>R </w:t>
      </w:r>
      <w:r>
        <w:rPr>
          <w:rFonts w:hint="eastAsia"/>
          <w:bCs/>
        </w:rPr>
        <w:t>P.835</w:t>
      </w:r>
      <w:r>
        <w:rPr>
          <w:rFonts w:hint="eastAsia"/>
        </w:rPr>
        <w:t xml:space="preserve"> </w:t>
      </w:r>
      <w:r>
        <w:t>ont été utilisés pour le calcul de l'affaibli</w:t>
      </w:r>
      <w:r>
        <w:rPr>
          <w:rFonts w:hint="eastAsia"/>
        </w:rPr>
        <w:t>s</w:t>
      </w:r>
      <w:r>
        <w:t>sement</w:t>
      </w:r>
      <w:r>
        <w:rPr>
          <w:rFonts w:hint="eastAsia"/>
        </w:rPr>
        <w:t xml:space="preserve">. </w:t>
      </w:r>
      <w:r>
        <w:t>Dans la mesure où la largeur de bande de chaque bande de fréquences attribuée aux services passifs est rela</w:t>
      </w:r>
      <w:r>
        <w:rPr>
          <w:rFonts w:hint="eastAsia"/>
        </w:rPr>
        <w:t>t</w:t>
      </w:r>
      <w:r>
        <w:t>ivement étr</w:t>
      </w:r>
      <w:r>
        <w:rPr>
          <w:rFonts w:hint="eastAsia"/>
        </w:rPr>
        <w:t>o</w:t>
      </w:r>
      <w:r>
        <w:t>ite, le centre de la bande été utilisé comme fréquence représentative, en supposant que l'affaiblissement est presque constant sur chaque bande. L'</w:t>
      </w:r>
      <w:r>
        <w:rPr>
          <w:rFonts w:hint="eastAsia"/>
        </w:rPr>
        <w:t xml:space="preserve">approximation </w:t>
      </w:r>
      <w:r>
        <w:t>a été effectuée p</w:t>
      </w:r>
      <w:r>
        <w:rPr>
          <w:rFonts w:hint="eastAsia"/>
        </w:rPr>
        <w:t>o</w:t>
      </w:r>
      <w:r>
        <w:t>u</w:t>
      </w:r>
      <w:r>
        <w:rPr>
          <w:rFonts w:hint="eastAsia"/>
        </w:rPr>
        <w:t>r</w:t>
      </w:r>
      <w:r>
        <w:t xml:space="preserve"> 0 </w:t>
      </w:r>
      <w:r>
        <w:rPr>
          <w:rFonts w:ascii="Symbol" w:hAnsi="Symbol"/>
        </w:rPr>
        <w:t></w:t>
      </w:r>
      <w:r>
        <w:t> </w:t>
      </w:r>
      <w:r>
        <w:rPr>
          <w:i/>
          <w:iCs/>
        </w:rPr>
        <w:t>h</w:t>
      </w:r>
      <w:r>
        <w:t> </w:t>
      </w:r>
      <w:r>
        <w:rPr>
          <w:rFonts w:ascii="Symbol" w:hAnsi="Symbol"/>
        </w:rPr>
        <w:t></w:t>
      </w:r>
      <w:r>
        <w:t xml:space="preserve"> 3 km et </w:t>
      </w:r>
      <w:r>
        <w:rPr>
          <w:rFonts w:hint="eastAsia"/>
        </w:rPr>
        <w:t>0</w:t>
      </w:r>
      <w:r>
        <w:t>° </w:t>
      </w:r>
      <w:r>
        <w:rPr>
          <w:rFonts w:ascii="Symbol" w:hAnsi="Symbol"/>
          <w:bCs/>
        </w:rPr>
        <w:t></w:t>
      </w:r>
      <w:r>
        <w:rPr>
          <w:bCs/>
        </w:rPr>
        <w:t> </w:t>
      </w:r>
      <w:r>
        <w:rPr>
          <w:rFonts w:ascii="Symbol" w:hAnsi="Symbol"/>
        </w:rPr>
        <w:t></w:t>
      </w:r>
      <w:r>
        <w:rPr>
          <w:bCs/>
        </w:rPr>
        <w:t> </w:t>
      </w:r>
      <w:r>
        <w:rPr>
          <w:rFonts w:ascii="Symbol" w:hAnsi="Symbol"/>
          <w:bCs/>
        </w:rPr>
        <w:t></w:t>
      </w:r>
      <w:r>
        <w:rPr>
          <w:bCs/>
        </w:rPr>
        <w:t> 90°</w:t>
      </w:r>
      <w:r>
        <w:rPr>
          <w:rFonts w:hint="eastAsia"/>
        </w:rPr>
        <w:t>.</w:t>
      </w:r>
      <w:r>
        <w:t xml:space="preserve"> Certaines des formules énumérées apparaissent dans les Recommandations UIT</w:t>
      </w:r>
      <w:r>
        <w:noBreakHyphen/>
        <w:t>R </w:t>
      </w:r>
      <w:r>
        <w:rPr>
          <w:bCs/>
        </w:rPr>
        <w:t>SF.1395</w:t>
      </w:r>
      <w:r>
        <w:t xml:space="preserve"> et UIT</w:t>
      </w:r>
      <w:r>
        <w:noBreakHyphen/>
        <w:t xml:space="preserve">R </w:t>
      </w:r>
      <w:r>
        <w:rPr>
          <w:bCs/>
        </w:rPr>
        <w:t>F.1404</w:t>
      </w:r>
      <w:r>
        <w:t>, mais sont incluses ici dans un souci d'exhaustivité.</w:t>
      </w:r>
    </w:p>
    <w:p w:rsidR="002B489A" w:rsidRDefault="004F19C4">
      <w:r>
        <w:t>Si le trajet du brouillage se trouve entre deux stations spatiales, l'affaiblissement de l'</w:t>
      </w:r>
      <w:r>
        <w:rPr>
          <w:rFonts w:hint="eastAsia"/>
        </w:rPr>
        <w:t>absorption at</w:t>
      </w:r>
      <w:r>
        <w:t xml:space="preserve">mosphérique devrait être estimé à </w:t>
      </w:r>
      <w:r>
        <w:rPr>
          <w:rFonts w:hint="eastAsia"/>
        </w:rPr>
        <w:t>0 dB.</w:t>
      </w:r>
    </w:p>
    <w:p w:rsidR="002B489A" w:rsidRDefault="004F19C4">
      <w:pPr>
        <w:pStyle w:val="Headingb"/>
      </w:pPr>
      <w:r>
        <w:br w:type="page"/>
        <w:t xml:space="preserve">Bande de fréquences </w:t>
      </w:r>
      <w:r>
        <w:rPr>
          <w:rFonts w:hint="eastAsia"/>
        </w:rPr>
        <w:t>1</w:t>
      </w:r>
      <w:r>
        <w:rPr>
          <w:rFonts w:ascii="Tms Rmn" w:hAnsi="Tms Rmn" w:hint="eastAsia"/>
          <w:sz w:val="12"/>
        </w:rPr>
        <w:t> </w:t>
      </w:r>
      <w:r>
        <w:rPr>
          <w:rFonts w:hint="eastAsia"/>
        </w:rPr>
        <w:t>400-1</w:t>
      </w:r>
      <w:r>
        <w:rPr>
          <w:rFonts w:ascii="Tms Rmn" w:hAnsi="Tms Rmn" w:hint="eastAsia"/>
          <w:sz w:val="12"/>
        </w:rPr>
        <w:t> </w:t>
      </w:r>
      <w:r>
        <w:rPr>
          <w:rFonts w:hint="eastAsia"/>
        </w:rPr>
        <w:t>427 MHz</w:t>
      </w:r>
    </w:p>
    <w:p w:rsidR="002B489A" w:rsidRDefault="004F19C4">
      <w:pPr>
        <w:pStyle w:val="Equation"/>
        <w:tabs>
          <w:tab w:val="clear" w:pos="794"/>
          <w:tab w:val="left" w:pos="540"/>
        </w:tabs>
        <w:jc w:val="left"/>
        <w:rPr>
          <w:lang w:val="es-ES"/>
        </w:rPr>
      </w:pPr>
      <w:r>
        <w:rPr>
          <w:i/>
        </w:rPr>
        <w:tab/>
      </w:r>
      <w:r>
        <w:rPr>
          <w:rFonts w:hint="eastAsia"/>
          <w:i/>
          <w:lang w:val="es-ES"/>
        </w:rPr>
        <w:t>A</w:t>
      </w:r>
      <w:r>
        <w:rPr>
          <w:rFonts w:hint="eastAsia"/>
          <w:i/>
          <w:vertAlign w:val="subscript"/>
          <w:lang w:val="es-ES"/>
        </w:rPr>
        <w:t>L</w:t>
      </w:r>
      <w:r>
        <w:rPr>
          <w:i/>
          <w:vertAlign w:val="subscript"/>
          <w:lang w:val="es-ES"/>
        </w:rPr>
        <w:t> </w:t>
      </w:r>
      <w:r>
        <w:rPr>
          <w:rFonts w:hint="eastAsia"/>
          <w:lang w:val="es-ES"/>
        </w:rPr>
        <w:t>(</w:t>
      </w:r>
      <w:r>
        <w:rPr>
          <w:rFonts w:hint="eastAsia"/>
          <w:i/>
          <w:lang w:val="es-ES"/>
        </w:rPr>
        <w:t>h</w:t>
      </w:r>
      <w:r>
        <w:rPr>
          <w:rFonts w:hint="eastAsia"/>
          <w:lang w:val="es-ES"/>
        </w:rPr>
        <w:t xml:space="preserve">, </w:t>
      </w:r>
      <w:r>
        <w:rPr>
          <w:rFonts w:ascii="Symbol" w:hAnsi="Symbol"/>
        </w:rPr>
        <w:sym w:font="Symbol" w:char="F071"/>
      </w:r>
      <w:r>
        <w:rPr>
          <w:rFonts w:hint="eastAsia"/>
          <w:lang w:val="es-ES"/>
        </w:rPr>
        <w:t>)</w:t>
      </w:r>
      <w:r>
        <w:rPr>
          <w:lang w:val="es-ES"/>
        </w:rPr>
        <w:t> </w:t>
      </w:r>
      <w:r>
        <w:rPr>
          <w:rFonts w:ascii="Symbol" w:hAnsi="Symbol"/>
          <w:lang w:val="es-ES"/>
        </w:rPr>
        <w:t></w:t>
      </w:r>
      <w:r>
        <w:rPr>
          <w:lang w:val="es-ES"/>
        </w:rPr>
        <w:t> </w:t>
      </w:r>
      <w:r>
        <w:rPr>
          <w:rFonts w:hint="eastAsia"/>
          <w:lang w:val="es-ES"/>
        </w:rPr>
        <w:t>1</w:t>
      </w:r>
      <w:r>
        <w:rPr>
          <w:lang w:val="es-ES"/>
        </w:rPr>
        <w:t>,</w:t>
      </w:r>
      <w:r>
        <w:rPr>
          <w:rFonts w:hint="eastAsia"/>
          <w:lang w:val="es-ES"/>
        </w:rPr>
        <w:t>59</w:t>
      </w:r>
      <w:r>
        <w:rPr>
          <w:lang w:val="es-ES"/>
        </w:rPr>
        <w:t> </w:t>
      </w:r>
      <w:r>
        <w:rPr>
          <w:rFonts w:hint="eastAsia"/>
          <w:lang w:val="es-ES"/>
        </w:rPr>
        <w:t>/</w:t>
      </w:r>
      <w:r>
        <w:rPr>
          <w:lang w:val="es-ES"/>
        </w:rPr>
        <w:t> </w:t>
      </w:r>
      <w:r>
        <w:rPr>
          <w:rFonts w:hint="eastAsia"/>
          <w:lang w:val="es-ES"/>
        </w:rPr>
        <w:t>[1</w:t>
      </w:r>
      <w:r>
        <w:rPr>
          <w:lang w:val="es-ES"/>
        </w:rPr>
        <w:t> </w:t>
      </w:r>
      <w:r>
        <w:rPr>
          <w:rFonts w:ascii="Symbol" w:hAnsi="Symbol"/>
          <w:lang w:val="es-ES"/>
        </w:rPr>
        <w:t></w:t>
      </w:r>
      <w:r>
        <w:rPr>
          <w:lang w:val="es-ES"/>
        </w:rPr>
        <w:t> </w:t>
      </w:r>
      <w:r>
        <w:rPr>
          <w:rFonts w:hint="eastAsia"/>
          <w:lang w:val="es-ES"/>
        </w:rPr>
        <w:t>0</w:t>
      </w:r>
      <w:r>
        <w:rPr>
          <w:lang w:val="es-ES"/>
        </w:rPr>
        <w:t>,</w:t>
      </w:r>
      <w:r>
        <w:rPr>
          <w:rFonts w:hint="eastAsia"/>
          <w:lang w:val="es-ES"/>
        </w:rPr>
        <w:t>6294</w:t>
      </w:r>
      <w:r>
        <w:rPr>
          <w:lang w:val="es-ES"/>
        </w:rPr>
        <w:t> </w:t>
      </w:r>
      <w:r>
        <w:rPr>
          <w:rFonts w:ascii="Symbol" w:hAnsi="Symbol"/>
        </w:rPr>
        <w:sym w:font="Symbol" w:char="F071"/>
      </w:r>
      <w:r>
        <w:rPr>
          <w:lang w:val="es-ES"/>
        </w:rPr>
        <w:t> </w:t>
      </w:r>
      <w:r>
        <w:rPr>
          <w:rFonts w:ascii="Symbol" w:hAnsi="Symbol"/>
        </w:rPr>
        <w:t></w:t>
      </w:r>
      <w:r>
        <w:rPr>
          <w:lang w:val="es-ES"/>
        </w:rPr>
        <w:t> </w:t>
      </w:r>
      <w:r>
        <w:rPr>
          <w:rFonts w:hint="eastAsia"/>
          <w:i/>
          <w:lang w:val="es-ES"/>
        </w:rPr>
        <w:t>h</w:t>
      </w:r>
      <w:r>
        <w:rPr>
          <w:lang w:val="es-ES"/>
        </w:rPr>
        <w:t> </w:t>
      </w:r>
      <w:r>
        <w:rPr>
          <w:rFonts w:hint="eastAsia"/>
          <w:lang w:val="es-ES"/>
        </w:rPr>
        <w:t>(0</w:t>
      </w:r>
      <w:r>
        <w:rPr>
          <w:lang w:val="es-ES"/>
        </w:rPr>
        <w:t>,</w:t>
      </w:r>
      <w:r>
        <w:rPr>
          <w:rFonts w:hint="eastAsia"/>
          <w:lang w:val="es-ES"/>
        </w:rPr>
        <w:t>2258</w:t>
      </w:r>
      <w:r>
        <w:rPr>
          <w:lang w:val="es-ES"/>
        </w:rPr>
        <w:t> </w:t>
      </w:r>
      <w:r>
        <w:rPr>
          <w:rFonts w:ascii="Symbol" w:hAnsi="Symbol"/>
          <w:lang w:val="es-ES"/>
        </w:rPr>
        <w:t></w:t>
      </w:r>
      <w:r>
        <w:rPr>
          <w:lang w:val="es-ES"/>
        </w:rPr>
        <w:t> </w:t>
      </w:r>
      <w:r>
        <w:rPr>
          <w:rFonts w:hint="eastAsia"/>
          <w:lang w:val="es-ES"/>
        </w:rPr>
        <w:t>0</w:t>
      </w:r>
      <w:r>
        <w:rPr>
          <w:lang w:val="es-ES"/>
        </w:rPr>
        <w:t>,</w:t>
      </w:r>
      <w:r>
        <w:rPr>
          <w:rFonts w:hint="eastAsia"/>
          <w:lang w:val="es-ES"/>
        </w:rPr>
        <w:t>1220</w:t>
      </w:r>
      <w:r>
        <w:rPr>
          <w:lang w:val="es-ES"/>
        </w:rPr>
        <w:t> </w:t>
      </w:r>
      <w:r>
        <w:sym w:font="Symbol" w:char="F071"/>
      </w:r>
      <w:r>
        <w:rPr>
          <w:rFonts w:hint="eastAsia"/>
          <w:lang w:val="es-ES"/>
        </w:rPr>
        <w:t>)]</w:t>
      </w:r>
      <w:r>
        <w:rPr>
          <w:rFonts w:hint="eastAsia"/>
          <w:lang w:val="es-ES"/>
        </w:rPr>
        <w:tab/>
        <w:t>(1a)</w:t>
      </w:r>
    </w:p>
    <w:p w:rsidR="002B489A" w:rsidRDefault="004F19C4">
      <w:pPr>
        <w:pStyle w:val="Equation"/>
        <w:tabs>
          <w:tab w:val="clear" w:pos="794"/>
          <w:tab w:val="clear" w:pos="4820"/>
          <w:tab w:val="left" w:pos="540"/>
          <w:tab w:val="left" w:pos="1652"/>
        </w:tabs>
        <w:jc w:val="left"/>
        <w:rPr>
          <w:lang w:val="en-US"/>
        </w:rPr>
      </w:pPr>
      <w:r>
        <w:rPr>
          <w:i/>
          <w:lang w:val="es-ES"/>
        </w:rPr>
        <w:tab/>
      </w:r>
      <w:r>
        <w:rPr>
          <w:rFonts w:hint="eastAsia"/>
          <w:i/>
          <w:lang w:val="en-US"/>
        </w:rPr>
        <w:t>A</w:t>
      </w:r>
      <w:r>
        <w:rPr>
          <w:rFonts w:hint="eastAsia"/>
          <w:i/>
          <w:vertAlign w:val="subscript"/>
          <w:lang w:val="en-US"/>
        </w:rPr>
        <w:t>M</w:t>
      </w:r>
      <w:r>
        <w:rPr>
          <w:i/>
          <w:vertAlign w:val="subscript"/>
          <w:lang w:val="en-US"/>
        </w:rPr>
        <w:t> </w:t>
      </w:r>
      <w:r>
        <w:rPr>
          <w:rFonts w:hint="eastAsia"/>
          <w:lang w:val="en-US"/>
        </w:rPr>
        <w:t>(</w:t>
      </w:r>
      <w:r>
        <w:rPr>
          <w:rFonts w:hint="eastAsia"/>
          <w:i/>
          <w:lang w:val="en-US"/>
        </w:rPr>
        <w:t>h</w:t>
      </w:r>
      <w:r>
        <w:rPr>
          <w:rFonts w:hint="eastAsia"/>
          <w:lang w:val="en-US"/>
        </w:rPr>
        <w:t xml:space="preserve">, </w:t>
      </w:r>
      <w:r>
        <w:rPr>
          <w:rFonts w:ascii="Symbol" w:hAnsi="Symbol"/>
        </w:rPr>
        <w:sym w:font="Symbol" w:char="F071"/>
      </w:r>
      <w:r>
        <w:rPr>
          <w:rFonts w:hint="eastAsia"/>
          <w:lang w:val="en-US"/>
        </w:rPr>
        <w:t>)</w:t>
      </w:r>
      <w:r>
        <w:rPr>
          <w:lang w:val="en-US"/>
        </w:rPr>
        <w:t> </w:t>
      </w:r>
      <w:r>
        <w:rPr>
          <w:rFonts w:ascii="Symbol" w:hAnsi="Symbol"/>
          <w:lang w:val="es-ES"/>
        </w:rPr>
        <w:t></w:t>
      </w:r>
      <w:r>
        <w:rPr>
          <w:lang w:val="en-US"/>
        </w:rPr>
        <w:tab/>
      </w:r>
      <w:r>
        <w:rPr>
          <w:rFonts w:hint="eastAsia"/>
          <w:lang w:val="en-US"/>
        </w:rPr>
        <w:t>1</w:t>
      </w:r>
      <w:r>
        <w:rPr>
          <w:lang w:val="en-US"/>
        </w:rPr>
        <w:t>,</w:t>
      </w:r>
      <w:r>
        <w:rPr>
          <w:rFonts w:hint="eastAsia"/>
          <w:lang w:val="en-US"/>
        </w:rPr>
        <w:t>89</w:t>
      </w:r>
      <w:r>
        <w:rPr>
          <w:lang w:val="en-US"/>
        </w:rPr>
        <w:t> </w:t>
      </w:r>
      <w:r>
        <w:rPr>
          <w:rFonts w:hint="eastAsia"/>
          <w:lang w:val="en-US"/>
        </w:rPr>
        <w:t>/</w:t>
      </w:r>
      <w:r>
        <w:rPr>
          <w:lang w:val="en-US"/>
        </w:rPr>
        <w:t> </w:t>
      </w:r>
      <w:r>
        <w:rPr>
          <w:rFonts w:hint="eastAsia"/>
          <w:lang w:val="en-US"/>
        </w:rPr>
        <w:t>[1</w:t>
      </w:r>
      <w:r>
        <w:rPr>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6813</w:t>
      </w:r>
      <w:r>
        <w:rPr>
          <w:i/>
          <w:lang w:val="en-US"/>
        </w:rPr>
        <w:t> </w:t>
      </w:r>
      <w:r>
        <w:rPr>
          <w:rFonts w:ascii="Symbol" w:hAnsi="Symbol"/>
        </w:rPr>
        <w:sym w:font="Symbol" w:char="F071"/>
      </w:r>
      <w:r>
        <w:rPr>
          <w:rFonts w:hint="eastAsia"/>
          <w:lang w:val="en-US"/>
        </w:rPr>
        <w:t> </w:t>
      </w:r>
      <w:r>
        <w:rPr>
          <w:rFonts w:ascii="Symbol" w:hAnsi="Symbol"/>
          <w:lang w:val="en-US"/>
        </w:rPr>
        <w:t></w:t>
      </w:r>
      <w:r>
        <w:rPr>
          <w:lang w:val="en-US"/>
        </w:rPr>
        <w:t> </w:t>
      </w:r>
      <w:r>
        <w:rPr>
          <w:rFonts w:hint="eastAsia"/>
          <w:i/>
          <w:lang w:val="en-US"/>
        </w:rPr>
        <w:t>h</w:t>
      </w:r>
      <w:r>
        <w:rPr>
          <w:i/>
          <w:lang w:val="en-US"/>
        </w:rPr>
        <w:t> </w:t>
      </w:r>
      <w:r>
        <w:rPr>
          <w:rFonts w:hint="eastAsia"/>
          <w:lang w:val="en-US"/>
        </w:rPr>
        <w:t>(0</w:t>
      </w:r>
      <w:r>
        <w:rPr>
          <w:lang w:val="en-US"/>
        </w:rPr>
        <w:t>,</w:t>
      </w:r>
      <w:r>
        <w:rPr>
          <w:rFonts w:hint="eastAsia"/>
          <w:lang w:val="en-US"/>
        </w:rPr>
        <w:t>2828</w:t>
      </w:r>
      <w:r>
        <w:rPr>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1580</w:t>
      </w:r>
      <w:r>
        <w:rPr>
          <w:i/>
          <w:lang w:val="en-US"/>
        </w:rPr>
        <w:t> </w:t>
      </w:r>
      <w:r>
        <w:rPr>
          <w:rFonts w:ascii="Symbol" w:hAnsi="Symbol"/>
        </w:rPr>
        <w:sym w:font="Symbol" w:char="F071"/>
      </w:r>
      <w:r>
        <w:rPr>
          <w:rFonts w:hint="eastAsia"/>
          <w:lang w:val="en-US"/>
        </w:rPr>
        <w:t>)]</w:t>
      </w:r>
      <w:r>
        <w:rPr>
          <w:rFonts w:hint="eastAsia"/>
          <w:lang w:val="en-US"/>
        </w:rPr>
        <w:tab/>
        <w:t>(1b)</w:t>
      </w:r>
    </w:p>
    <w:p w:rsidR="002B489A" w:rsidRDefault="004F19C4">
      <w:pPr>
        <w:pStyle w:val="Equation"/>
        <w:tabs>
          <w:tab w:val="clear" w:pos="794"/>
          <w:tab w:val="clear" w:pos="4820"/>
          <w:tab w:val="left" w:pos="540"/>
          <w:tab w:val="left" w:pos="1652"/>
        </w:tabs>
        <w:jc w:val="left"/>
        <w:rPr>
          <w:lang w:val="en-US"/>
        </w:rPr>
      </w:pPr>
      <w:r>
        <w:rPr>
          <w:i/>
          <w:lang w:val="en-US"/>
        </w:rPr>
        <w:tab/>
      </w:r>
      <w:r>
        <w:rPr>
          <w:rFonts w:hint="eastAsia"/>
          <w:i/>
          <w:lang w:val="en-US"/>
        </w:rPr>
        <w:t>A</w:t>
      </w:r>
      <w:r>
        <w:rPr>
          <w:rFonts w:hint="eastAsia"/>
          <w:i/>
          <w:vertAlign w:val="subscript"/>
          <w:lang w:val="en-US"/>
        </w:rPr>
        <w:t>H</w:t>
      </w:r>
      <w:r>
        <w:rPr>
          <w:i/>
          <w:vertAlign w:val="subscript"/>
          <w:lang w:val="en-US"/>
        </w:rPr>
        <w:t> </w:t>
      </w:r>
      <w:r>
        <w:rPr>
          <w:rFonts w:hint="eastAsia"/>
          <w:lang w:val="en-US"/>
        </w:rPr>
        <w:t>(</w:t>
      </w:r>
      <w:r>
        <w:rPr>
          <w:rFonts w:hint="eastAsia"/>
          <w:i/>
          <w:lang w:val="en-US"/>
        </w:rPr>
        <w:t>h</w:t>
      </w:r>
      <w:r>
        <w:rPr>
          <w:rFonts w:hint="eastAsia"/>
          <w:lang w:val="en-US"/>
        </w:rPr>
        <w:t xml:space="preserve">, </w:t>
      </w:r>
      <w:r>
        <w:rPr>
          <w:rFonts w:ascii="Symbol" w:hAnsi="Symbol"/>
        </w:rPr>
        <w:sym w:font="Symbol" w:char="F071"/>
      </w:r>
      <w:r>
        <w:rPr>
          <w:rFonts w:hint="eastAsia"/>
          <w:lang w:val="en-US"/>
        </w:rPr>
        <w:t>)</w:t>
      </w:r>
      <w:r>
        <w:rPr>
          <w:lang w:val="en-US"/>
        </w:rPr>
        <w:t> </w:t>
      </w:r>
      <w:r>
        <w:rPr>
          <w:rFonts w:ascii="Symbol" w:hAnsi="Symbol"/>
          <w:lang w:val="es-ES"/>
        </w:rPr>
        <w:t></w:t>
      </w:r>
      <w:r>
        <w:rPr>
          <w:lang w:val="en-US"/>
        </w:rPr>
        <w:tab/>
      </w:r>
      <w:r>
        <w:rPr>
          <w:rFonts w:hint="eastAsia"/>
          <w:lang w:val="en-US"/>
        </w:rPr>
        <w:t>2</w:t>
      </w:r>
      <w:r>
        <w:rPr>
          <w:lang w:val="en-US"/>
        </w:rPr>
        <w:t>,</w:t>
      </w:r>
      <w:r>
        <w:rPr>
          <w:rFonts w:hint="eastAsia"/>
          <w:lang w:val="en-US"/>
        </w:rPr>
        <w:t>09</w:t>
      </w:r>
      <w:r>
        <w:rPr>
          <w:lang w:val="en-US"/>
        </w:rPr>
        <w:t> </w:t>
      </w:r>
      <w:r>
        <w:rPr>
          <w:rFonts w:hint="eastAsia"/>
          <w:lang w:val="en-US"/>
        </w:rPr>
        <w:t>/</w:t>
      </w:r>
      <w:r>
        <w:rPr>
          <w:lang w:val="en-US"/>
        </w:rPr>
        <w:t> </w:t>
      </w:r>
      <w:r>
        <w:rPr>
          <w:rFonts w:hint="eastAsia"/>
          <w:lang w:val="en-US"/>
        </w:rPr>
        <w:t>[1</w:t>
      </w:r>
      <w:r>
        <w:rPr>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7106</w:t>
      </w:r>
      <w:r>
        <w:rPr>
          <w:i/>
          <w:lang w:val="en-US"/>
        </w:rPr>
        <w:t> </w:t>
      </w:r>
      <w:r>
        <w:rPr>
          <w:rFonts w:ascii="Symbol" w:hAnsi="Symbol"/>
        </w:rPr>
        <w:sym w:font="Symbol" w:char="F071"/>
      </w:r>
      <w:r>
        <w:rPr>
          <w:rFonts w:hint="eastAsia"/>
          <w:lang w:val="en-US"/>
        </w:rPr>
        <w:t> </w:t>
      </w:r>
      <w:r>
        <w:rPr>
          <w:rFonts w:ascii="Symbol" w:hAnsi="Symbol"/>
          <w:lang w:val="en-US"/>
        </w:rPr>
        <w:t></w:t>
      </w:r>
      <w:r>
        <w:rPr>
          <w:lang w:val="en-US"/>
        </w:rPr>
        <w:t> </w:t>
      </w:r>
      <w:r>
        <w:rPr>
          <w:rFonts w:hint="eastAsia"/>
          <w:i/>
          <w:lang w:val="en-US"/>
        </w:rPr>
        <w:t>h</w:t>
      </w:r>
      <w:r>
        <w:rPr>
          <w:i/>
          <w:lang w:val="en-US"/>
        </w:rPr>
        <w:t> </w:t>
      </w:r>
      <w:r>
        <w:rPr>
          <w:rFonts w:hint="eastAsia"/>
          <w:lang w:val="en-US"/>
        </w:rPr>
        <w:t>(0</w:t>
      </w:r>
      <w:r>
        <w:rPr>
          <w:lang w:val="en-US"/>
        </w:rPr>
        <w:t>,</w:t>
      </w:r>
      <w:r>
        <w:rPr>
          <w:rFonts w:hint="eastAsia"/>
          <w:lang w:val="en-US"/>
        </w:rPr>
        <w:t>3057</w:t>
      </w:r>
      <w:r>
        <w:rPr>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1718</w:t>
      </w:r>
      <w:r>
        <w:rPr>
          <w:i/>
          <w:lang w:val="en-US"/>
        </w:rPr>
        <w:t> </w:t>
      </w:r>
      <w:r>
        <w:rPr>
          <w:rFonts w:ascii="Symbol" w:hAnsi="Symbol"/>
        </w:rPr>
        <w:sym w:font="Symbol" w:char="F071"/>
      </w:r>
      <w:r>
        <w:rPr>
          <w:rFonts w:hint="eastAsia"/>
          <w:lang w:val="en-US"/>
        </w:rPr>
        <w:t>)]</w:t>
      </w:r>
      <w:r>
        <w:rPr>
          <w:rFonts w:hint="eastAsia"/>
          <w:lang w:val="en-US"/>
        </w:rPr>
        <w:tab/>
        <w:t>(1c)</w:t>
      </w:r>
    </w:p>
    <w:p w:rsidR="002B489A" w:rsidRDefault="004F19C4">
      <w:pPr>
        <w:pStyle w:val="Headingb"/>
      </w:pPr>
      <w:r>
        <w:t xml:space="preserve">Bande de fréquences </w:t>
      </w:r>
      <w:r>
        <w:rPr>
          <w:rFonts w:hint="eastAsia"/>
        </w:rPr>
        <w:t>1</w:t>
      </w:r>
      <w:r>
        <w:rPr>
          <w:rFonts w:ascii="Tms Rmn" w:hAnsi="Tms Rmn" w:hint="eastAsia"/>
          <w:sz w:val="12"/>
        </w:rPr>
        <w:t> </w:t>
      </w:r>
      <w:r>
        <w:rPr>
          <w:rFonts w:hint="eastAsia"/>
        </w:rPr>
        <w:t>610</w:t>
      </w:r>
      <w:r>
        <w:t>,</w:t>
      </w:r>
      <w:r>
        <w:rPr>
          <w:rFonts w:hint="eastAsia"/>
        </w:rPr>
        <w:t>6-1</w:t>
      </w:r>
      <w:r>
        <w:rPr>
          <w:rFonts w:ascii="Tms Rmn" w:hAnsi="Tms Rmn" w:hint="eastAsia"/>
          <w:sz w:val="12"/>
        </w:rPr>
        <w:t> </w:t>
      </w:r>
      <w:r>
        <w:rPr>
          <w:rFonts w:hint="eastAsia"/>
        </w:rPr>
        <w:t>613</w:t>
      </w:r>
      <w:r>
        <w:t>,</w:t>
      </w:r>
      <w:r>
        <w:rPr>
          <w:rFonts w:hint="eastAsia"/>
        </w:rPr>
        <w:t>8 MHz</w:t>
      </w:r>
    </w:p>
    <w:p w:rsidR="002B489A" w:rsidRDefault="004F19C4">
      <w:pPr>
        <w:pStyle w:val="Equation"/>
        <w:tabs>
          <w:tab w:val="clear" w:pos="794"/>
          <w:tab w:val="clear" w:pos="4820"/>
          <w:tab w:val="left" w:pos="540"/>
          <w:tab w:val="left" w:pos="1652"/>
        </w:tabs>
        <w:jc w:val="left"/>
        <w:rPr>
          <w:lang w:val="es-ES"/>
        </w:rPr>
      </w:pPr>
      <w:r>
        <w:rPr>
          <w:i/>
        </w:rPr>
        <w:tab/>
      </w:r>
      <w:r>
        <w:rPr>
          <w:rFonts w:hint="eastAsia"/>
          <w:i/>
          <w:lang w:val="es-ES"/>
        </w:rPr>
        <w:t>A</w:t>
      </w:r>
      <w:r>
        <w:rPr>
          <w:rFonts w:hint="eastAsia"/>
          <w:i/>
          <w:vertAlign w:val="subscript"/>
          <w:lang w:val="es-ES"/>
        </w:rPr>
        <w:t>L</w:t>
      </w:r>
      <w:r>
        <w:rPr>
          <w:i/>
          <w:vertAlign w:val="subscript"/>
          <w:lang w:val="es-ES"/>
        </w:rPr>
        <w:t> </w:t>
      </w:r>
      <w:r>
        <w:rPr>
          <w:rFonts w:hint="eastAsia"/>
          <w:lang w:val="es-ES"/>
        </w:rPr>
        <w:t>(</w:t>
      </w:r>
      <w:r>
        <w:rPr>
          <w:rFonts w:hint="eastAsia"/>
          <w:i/>
          <w:lang w:val="es-ES"/>
        </w:rPr>
        <w:t>h</w:t>
      </w:r>
      <w:r>
        <w:rPr>
          <w:rFonts w:hint="eastAsia"/>
          <w:lang w:val="es-ES"/>
        </w:rPr>
        <w:t xml:space="preserve">, </w:t>
      </w:r>
      <w:r>
        <w:rPr>
          <w:rFonts w:ascii="Symbol" w:hAnsi="Symbol"/>
        </w:rPr>
        <w:sym w:font="Symbol" w:char="F071"/>
      </w:r>
      <w:r>
        <w:rPr>
          <w:rFonts w:hint="eastAsia"/>
          <w:lang w:val="es-ES"/>
        </w:rPr>
        <w:t>)</w:t>
      </w:r>
      <w:r>
        <w:rPr>
          <w:lang w:val="es-ES"/>
        </w:rPr>
        <w:t> </w:t>
      </w:r>
      <w:r>
        <w:rPr>
          <w:rFonts w:ascii="Symbol" w:hAnsi="Symbol"/>
          <w:lang w:val="es-ES"/>
        </w:rPr>
        <w:t></w:t>
      </w:r>
      <w:r>
        <w:rPr>
          <w:lang w:val="es-ES"/>
        </w:rPr>
        <w:tab/>
      </w:r>
      <w:r>
        <w:rPr>
          <w:rFonts w:hint="eastAsia"/>
          <w:lang w:val="es-ES"/>
        </w:rPr>
        <w:t>1</w:t>
      </w:r>
      <w:r>
        <w:rPr>
          <w:lang w:val="es-ES"/>
        </w:rPr>
        <w:t>,</w:t>
      </w:r>
      <w:r>
        <w:rPr>
          <w:rFonts w:hint="eastAsia"/>
          <w:lang w:val="es-ES"/>
        </w:rPr>
        <w:t>63</w:t>
      </w:r>
      <w:r>
        <w:rPr>
          <w:lang w:val="es-ES"/>
        </w:rPr>
        <w:t> </w:t>
      </w:r>
      <w:r>
        <w:rPr>
          <w:rFonts w:hint="eastAsia"/>
          <w:lang w:val="es-ES"/>
        </w:rPr>
        <w:t>/</w:t>
      </w:r>
      <w:r>
        <w:rPr>
          <w:lang w:val="es-ES"/>
        </w:rPr>
        <w:t> </w:t>
      </w:r>
      <w:r>
        <w:rPr>
          <w:rFonts w:hint="eastAsia"/>
          <w:lang w:val="es-ES"/>
        </w:rPr>
        <w:t>[1</w:t>
      </w:r>
      <w:r>
        <w:rPr>
          <w:lang w:val="es-ES"/>
        </w:rPr>
        <w:t> </w:t>
      </w:r>
      <w:r>
        <w:rPr>
          <w:rFonts w:ascii="Symbol" w:hAnsi="Symbol"/>
          <w:lang w:val="es-ES"/>
        </w:rPr>
        <w:t></w:t>
      </w:r>
      <w:r>
        <w:rPr>
          <w:lang w:val="es-ES"/>
        </w:rPr>
        <w:t> </w:t>
      </w:r>
      <w:r>
        <w:rPr>
          <w:rFonts w:hint="eastAsia"/>
          <w:lang w:val="es-ES"/>
        </w:rPr>
        <w:t>0</w:t>
      </w:r>
      <w:r>
        <w:rPr>
          <w:lang w:val="es-ES"/>
        </w:rPr>
        <w:t>,</w:t>
      </w:r>
      <w:r>
        <w:rPr>
          <w:rFonts w:hint="eastAsia"/>
          <w:lang w:val="es-ES"/>
        </w:rPr>
        <w:t>6348</w:t>
      </w:r>
      <w:r>
        <w:rPr>
          <w:i/>
          <w:lang w:val="es-ES"/>
        </w:rPr>
        <w:t> </w:t>
      </w:r>
      <w:r>
        <w:rPr>
          <w:rFonts w:ascii="Symbol" w:hAnsi="Symbol"/>
        </w:rPr>
        <w:sym w:font="Symbol" w:char="F071"/>
      </w:r>
      <w:r>
        <w:rPr>
          <w:rFonts w:hint="eastAsia"/>
          <w:lang w:val="es-ES"/>
        </w:rPr>
        <w:t> </w:t>
      </w:r>
      <w:r>
        <w:rPr>
          <w:rFonts w:ascii="Symbol" w:hAnsi="Symbol"/>
          <w:lang w:val="en-US"/>
        </w:rPr>
        <w:t></w:t>
      </w:r>
      <w:r>
        <w:rPr>
          <w:lang w:val="es-ES"/>
        </w:rPr>
        <w:t> </w:t>
      </w:r>
      <w:r>
        <w:rPr>
          <w:rFonts w:hint="eastAsia"/>
          <w:i/>
          <w:lang w:val="es-ES"/>
        </w:rPr>
        <w:t>h</w:t>
      </w:r>
      <w:r>
        <w:rPr>
          <w:lang w:val="es-ES"/>
        </w:rPr>
        <w:t> </w:t>
      </w:r>
      <w:r>
        <w:rPr>
          <w:rFonts w:hint="eastAsia"/>
          <w:lang w:val="es-ES"/>
        </w:rPr>
        <w:t>(0</w:t>
      </w:r>
      <w:r>
        <w:rPr>
          <w:lang w:val="es-ES"/>
        </w:rPr>
        <w:t>,</w:t>
      </w:r>
      <w:r>
        <w:rPr>
          <w:rFonts w:hint="eastAsia"/>
          <w:lang w:val="es-ES"/>
        </w:rPr>
        <w:t>2323</w:t>
      </w:r>
      <w:r>
        <w:rPr>
          <w:lang w:val="es-ES"/>
        </w:rPr>
        <w:t> </w:t>
      </w:r>
      <w:r>
        <w:rPr>
          <w:rFonts w:ascii="Symbol" w:hAnsi="Symbol"/>
          <w:lang w:val="es-ES"/>
        </w:rPr>
        <w:t></w:t>
      </w:r>
      <w:r>
        <w:rPr>
          <w:lang w:val="es-ES"/>
        </w:rPr>
        <w:t> </w:t>
      </w:r>
      <w:r>
        <w:rPr>
          <w:rFonts w:hint="eastAsia"/>
          <w:lang w:val="es-ES"/>
        </w:rPr>
        <w:t>0</w:t>
      </w:r>
      <w:r>
        <w:rPr>
          <w:lang w:val="es-ES"/>
        </w:rPr>
        <w:t>,</w:t>
      </w:r>
      <w:r>
        <w:rPr>
          <w:rFonts w:hint="eastAsia"/>
          <w:lang w:val="es-ES"/>
        </w:rPr>
        <w:t>1250</w:t>
      </w:r>
      <w:r>
        <w:rPr>
          <w:i/>
          <w:lang w:val="es-ES"/>
        </w:rPr>
        <w:t> </w:t>
      </w:r>
      <w:r>
        <w:rPr>
          <w:rFonts w:ascii="Symbol" w:hAnsi="Symbol"/>
        </w:rPr>
        <w:sym w:font="Symbol" w:char="F071"/>
      </w:r>
      <w:r>
        <w:rPr>
          <w:rFonts w:hint="eastAsia"/>
          <w:lang w:val="es-ES"/>
        </w:rPr>
        <w:t>)]</w:t>
      </w:r>
      <w:r>
        <w:rPr>
          <w:rFonts w:hint="eastAsia"/>
          <w:lang w:val="es-ES"/>
        </w:rPr>
        <w:tab/>
        <w:t>(2a)</w:t>
      </w:r>
    </w:p>
    <w:p w:rsidR="002B489A" w:rsidRDefault="004F19C4">
      <w:pPr>
        <w:pStyle w:val="Equation"/>
        <w:tabs>
          <w:tab w:val="clear" w:pos="794"/>
          <w:tab w:val="clear" w:pos="4820"/>
          <w:tab w:val="left" w:pos="540"/>
          <w:tab w:val="left" w:pos="1652"/>
        </w:tabs>
        <w:jc w:val="left"/>
        <w:rPr>
          <w:lang w:val="en-US"/>
        </w:rPr>
      </w:pPr>
      <w:r>
        <w:rPr>
          <w:i/>
          <w:lang w:val="es-ES"/>
        </w:rPr>
        <w:tab/>
      </w:r>
      <w:r>
        <w:rPr>
          <w:rFonts w:hint="eastAsia"/>
          <w:i/>
          <w:lang w:val="en-US"/>
        </w:rPr>
        <w:t>A</w:t>
      </w:r>
      <w:r>
        <w:rPr>
          <w:rFonts w:hint="eastAsia"/>
          <w:i/>
          <w:vertAlign w:val="subscript"/>
          <w:lang w:val="en-US"/>
        </w:rPr>
        <w:t>M</w:t>
      </w:r>
      <w:r>
        <w:rPr>
          <w:i/>
          <w:vertAlign w:val="subscript"/>
          <w:lang w:val="en-US"/>
        </w:rPr>
        <w:t> </w:t>
      </w:r>
      <w:r>
        <w:rPr>
          <w:rFonts w:hint="eastAsia"/>
          <w:lang w:val="en-US"/>
        </w:rPr>
        <w:t>(</w:t>
      </w:r>
      <w:r>
        <w:rPr>
          <w:rFonts w:hint="eastAsia"/>
          <w:i/>
          <w:lang w:val="en-US"/>
        </w:rPr>
        <w:t>h</w:t>
      </w:r>
      <w:r>
        <w:rPr>
          <w:rFonts w:hint="eastAsia"/>
          <w:lang w:val="en-US"/>
        </w:rPr>
        <w:t xml:space="preserve">, </w:t>
      </w:r>
      <w:r>
        <w:rPr>
          <w:rFonts w:ascii="Symbol" w:hAnsi="Symbol"/>
        </w:rPr>
        <w:sym w:font="Symbol" w:char="F071"/>
      </w:r>
      <w:r>
        <w:rPr>
          <w:rFonts w:hint="eastAsia"/>
          <w:lang w:val="en-US"/>
        </w:rPr>
        <w:t>)</w:t>
      </w:r>
      <w:r>
        <w:rPr>
          <w:lang w:val="en-US"/>
        </w:rPr>
        <w:t> </w:t>
      </w:r>
      <w:r>
        <w:rPr>
          <w:rFonts w:ascii="Symbol" w:hAnsi="Symbol"/>
          <w:lang w:val="es-ES"/>
        </w:rPr>
        <w:t></w:t>
      </w:r>
      <w:r>
        <w:rPr>
          <w:lang w:val="en-US"/>
        </w:rPr>
        <w:tab/>
      </w:r>
      <w:r>
        <w:rPr>
          <w:rFonts w:hint="eastAsia"/>
          <w:lang w:val="en-US"/>
        </w:rPr>
        <w:t>1</w:t>
      </w:r>
      <w:r>
        <w:rPr>
          <w:lang w:val="en-US"/>
        </w:rPr>
        <w:t>,</w:t>
      </w:r>
      <w:r>
        <w:rPr>
          <w:rFonts w:hint="eastAsia"/>
          <w:lang w:val="en-US"/>
        </w:rPr>
        <w:t>95</w:t>
      </w:r>
      <w:r>
        <w:rPr>
          <w:lang w:val="en-US"/>
        </w:rPr>
        <w:t> </w:t>
      </w:r>
      <w:r>
        <w:rPr>
          <w:rFonts w:hint="eastAsia"/>
          <w:lang w:val="en-US"/>
        </w:rPr>
        <w:t>/</w:t>
      </w:r>
      <w:r>
        <w:rPr>
          <w:lang w:val="en-US"/>
        </w:rPr>
        <w:t> </w:t>
      </w:r>
      <w:r>
        <w:rPr>
          <w:rFonts w:hint="eastAsia"/>
          <w:lang w:val="en-US"/>
        </w:rPr>
        <w:t>[1</w:t>
      </w:r>
      <w:r>
        <w:rPr>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6870</w:t>
      </w:r>
      <w:r>
        <w:rPr>
          <w:i/>
          <w:lang w:val="en-US"/>
        </w:rPr>
        <w:t> </w:t>
      </w:r>
      <w:r>
        <w:rPr>
          <w:rFonts w:ascii="Symbol" w:hAnsi="Symbol"/>
        </w:rPr>
        <w:sym w:font="Symbol" w:char="F071"/>
      </w:r>
      <w:r>
        <w:rPr>
          <w:rFonts w:hint="eastAsia"/>
          <w:lang w:val="en-US"/>
        </w:rPr>
        <w:t> </w:t>
      </w:r>
      <w:r>
        <w:rPr>
          <w:rFonts w:ascii="Symbol" w:hAnsi="Symbol"/>
          <w:lang w:val="en-US"/>
        </w:rPr>
        <w:t></w:t>
      </w:r>
      <w:r>
        <w:rPr>
          <w:lang w:val="en-US"/>
        </w:rPr>
        <w:t> </w:t>
      </w:r>
      <w:r>
        <w:rPr>
          <w:rFonts w:hint="eastAsia"/>
          <w:i/>
          <w:lang w:val="en-US"/>
        </w:rPr>
        <w:t>h</w:t>
      </w:r>
      <w:r>
        <w:rPr>
          <w:lang w:val="en-US"/>
        </w:rPr>
        <w:t> </w:t>
      </w:r>
      <w:r>
        <w:rPr>
          <w:rFonts w:hint="eastAsia"/>
          <w:lang w:val="en-US"/>
        </w:rPr>
        <w:t>(0</w:t>
      </w:r>
      <w:r>
        <w:rPr>
          <w:lang w:val="en-US"/>
        </w:rPr>
        <w:t>,</w:t>
      </w:r>
      <w:r>
        <w:rPr>
          <w:rFonts w:hint="eastAsia"/>
          <w:lang w:val="en-US"/>
        </w:rPr>
        <w:t>2908</w:t>
      </w:r>
      <w:r>
        <w:rPr>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1621</w:t>
      </w:r>
      <w:r>
        <w:rPr>
          <w:i/>
          <w:lang w:val="en-US"/>
        </w:rPr>
        <w:t> </w:t>
      </w:r>
      <w:r>
        <w:rPr>
          <w:rFonts w:ascii="Symbol" w:hAnsi="Symbol"/>
        </w:rPr>
        <w:sym w:font="Symbol" w:char="F071"/>
      </w:r>
      <w:r>
        <w:rPr>
          <w:rFonts w:hint="eastAsia"/>
          <w:lang w:val="en-US"/>
        </w:rPr>
        <w:t>)]</w:t>
      </w:r>
      <w:r>
        <w:rPr>
          <w:rFonts w:hint="eastAsia"/>
          <w:lang w:val="en-US"/>
        </w:rPr>
        <w:tab/>
        <w:t>(2b)</w:t>
      </w:r>
    </w:p>
    <w:p w:rsidR="002B489A" w:rsidRDefault="004F19C4">
      <w:pPr>
        <w:pStyle w:val="Equation"/>
        <w:tabs>
          <w:tab w:val="clear" w:pos="794"/>
          <w:tab w:val="clear" w:pos="4820"/>
          <w:tab w:val="left" w:pos="540"/>
          <w:tab w:val="left" w:pos="1652"/>
        </w:tabs>
        <w:jc w:val="left"/>
        <w:rPr>
          <w:lang w:val="en-US"/>
        </w:rPr>
      </w:pPr>
      <w:r>
        <w:rPr>
          <w:i/>
          <w:lang w:val="en-US"/>
        </w:rPr>
        <w:tab/>
      </w:r>
      <w:r>
        <w:rPr>
          <w:rFonts w:hint="eastAsia"/>
          <w:i/>
          <w:lang w:val="en-US"/>
        </w:rPr>
        <w:t>A</w:t>
      </w:r>
      <w:r>
        <w:rPr>
          <w:rFonts w:hint="eastAsia"/>
          <w:i/>
          <w:vertAlign w:val="subscript"/>
          <w:lang w:val="en-US"/>
        </w:rPr>
        <w:t>H</w:t>
      </w:r>
      <w:r>
        <w:rPr>
          <w:i/>
          <w:vertAlign w:val="subscript"/>
          <w:lang w:val="en-US"/>
        </w:rPr>
        <w:t> </w:t>
      </w:r>
      <w:r>
        <w:rPr>
          <w:rFonts w:hint="eastAsia"/>
          <w:lang w:val="en-US"/>
        </w:rPr>
        <w:t>(</w:t>
      </w:r>
      <w:r>
        <w:rPr>
          <w:rFonts w:hint="eastAsia"/>
          <w:i/>
          <w:lang w:val="en-US"/>
        </w:rPr>
        <w:t>h</w:t>
      </w:r>
      <w:r>
        <w:rPr>
          <w:rFonts w:hint="eastAsia"/>
          <w:lang w:val="en-US"/>
        </w:rPr>
        <w:t xml:space="preserve">, </w:t>
      </w:r>
      <w:r>
        <w:rPr>
          <w:rFonts w:ascii="Symbol" w:hAnsi="Symbol"/>
        </w:rPr>
        <w:sym w:font="Symbol" w:char="F071"/>
      </w:r>
      <w:r>
        <w:rPr>
          <w:rFonts w:hint="eastAsia"/>
          <w:lang w:val="en-US"/>
        </w:rPr>
        <w:t>)</w:t>
      </w:r>
      <w:r>
        <w:rPr>
          <w:lang w:val="en-US"/>
        </w:rPr>
        <w:t> </w:t>
      </w:r>
      <w:r>
        <w:rPr>
          <w:rFonts w:ascii="Symbol" w:hAnsi="Symbol"/>
          <w:lang w:val="es-ES"/>
        </w:rPr>
        <w:t></w:t>
      </w:r>
      <w:r>
        <w:rPr>
          <w:lang w:val="en-US"/>
        </w:rPr>
        <w:tab/>
      </w:r>
      <w:r>
        <w:rPr>
          <w:rFonts w:hint="eastAsia"/>
          <w:lang w:val="en-US"/>
        </w:rPr>
        <w:t>2</w:t>
      </w:r>
      <w:r>
        <w:rPr>
          <w:lang w:val="en-US"/>
        </w:rPr>
        <w:t>,</w:t>
      </w:r>
      <w:r>
        <w:rPr>
          <w:rFonts w:hint="eastAsia"/>
          <w:lang w:val="en-US"/>
        </w:rPr>
        <w:t>16</w:t>
      </w:r>
      <w:r>
        <w:rPr>
          <w:lang w:val="en-US"/>
        </w:rPr>
        <w:t> </w:t>
      </w:r>
      <w:r>
        <w:rPr>
          <w:rFonts w:hint="eastAsia"/>
          <w:lang w:val="en-US"/>
        </w:rPr>
        <w:t>/</w:t>
      </w:r>
      <w:r>
        <w:rPr>
          <w:lang w:val="en-US"/>
        </w:rPr>
        <w:t> </w:t>
      </w:r>
      <w:r>
        <w:rPr>
          <w:rFonts w:hint="eastAsia"/>
          <w:lang w:val="en-US"/>
        </w:rPr>
        <w:t>[1</w:t>
      </w:r>
      <w:r>
        <w:rPr>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7172</w:t>
      </w:r>
      <w:r>
        <w:rPr>
          <w:i/>
          <w:lang w:val="en-US"/>
        </w:rPr>
        <w:t> </w:t>
      </w:r>
      <w:r>
        <w:rPr>
          <w:rFonts w:ascii="Symbol" w:hAnsi="Symbol"/>
        </w:rPr>
        <w:sym w:font="Symbol" w:char="F071"/>
      </w:r>
      <w:r>
        <w:rPr>
          <w:rFonts w:hint="eastAsia"/>
          <w:lang w:val="en-US"/>
        </w:rPr>
        <w:t> </w:t>
      </w:r>
      <w:r>
        <w:rPr>
          <w:rFonts w:ascii="Symbol" w:hAnsi="Symbol"/>
          <w:lang w:val="en-US"/>
        </w:rPr>
        <w:t></w:t>
      </w:r>
      <w:r>
        <w:rPr>
          <w:lang w:val="en-US"/>
        </w:rPr>
        <w:t> </w:t>
      </w:r>
      <w:r>
        <w:rPr>
          <w:rFonts w:hint="eastAsia"/>
          <w:i/>
          <w:lang w:val="en-US"/>
        </w:rPr>
        <w:t>h</w:t>
      </w:r>
      <w:r>
        <w:rPr>
          <w:lang w:val="en-US"/>
        </w:rPr>
        <w:t> </w:t>
      </w:r>
      <w:r>
        <w:rPr>
          <w:rFonts w:hint="eastAsia"/>
          <w:lang w:val="en-US"/>
        </w:rPr>
        <w:t>(0</w:t>
      </w:r>
      <w:r>
        <w:rPr>
          <w:lang w:val="en-US"/>
        </w:rPr>
        <w:t>,</w:t>
      </w:r>
      <w:r>
        <w:rPr>
          <w:rFonts w:hint="eastAsia"/>
          <w:lang w:val="en-US"/>
        </w:rPr>
        <w:t>3148</w:t>
      </w:r>
      <w:r>
        <w:rPr>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1767</w:t>
      </w:r>
      <w:r>
        <w:rPr>
          <w:i/>
          <w:lang w:val="en-US"/>
        </w:rPr>
        <w:t> </w:t>
      </w:r>
      <w:r>
        <w:rPr>
          <w:rFonts w:ascii="Symbol" w:hAnsi="Symbol"/>
        </w:rPr>
        <w:sym w:font="Symbol" w:char="F071"/>
      </w:r>
      <w:r>
        <w:rPr>
          <w:rFonts w:hint="eastAsia"/>
          <w:lang w:val="en-US"/>
        </w:rPr>
        <w:t>)]</w:t>
      </w:r>
      <w:r>
        <w:rPr>
          <w:rFonts w:hint="eastAsia"/>
          <w:lang w:val="en-US"/>
        </w:rPr>
        <w:tab/>
        <w:t>(2c)</w:t>
      </w:r>
    </w:p>
    <w:p w:rsidR="002B489A" w:rsidRDefault="004F19C4">
      <w:pPr>
        <w:pStyle w:val="Headingb"/>
      </w:pPr>
      <w:r>
        <w:t xml:space="preserve">Bande de fréquences </w:t>
      </w:r>
      <w:r>
        <w:rPr>
          <w:rFonts w:hint="eastAsia"/>
        </w:rPr>
        <w:t>2</w:t>
      </w:r>
      <w:r>
        <w:rPr>
          <w:rFonts w:ascii="Tms Rmn" w:hAnsi="Tms Rmn" w:hint="eastAsia"/>
          <w:sz w:val="12"/>
        </w:rPr>
        <w:t> </w:t>
      </w:r>
      <w:r>
        <w:rPr>
          <w:rFonts w:hint="eastAsia"/>
        </w:rPr>
        <w:t>690-2</w:t>
      </w:r>
      <w:r>
        <w:rPr>
          <w:rFonts w:ascii="Tms Rmn" w:hAnsi="Tms Rmn" w:hint="eastAsia"/>
          <w:sz w:val="12"/>
        </w:rPr>
        <w:t> </w:t>
      </w:r>
      <w:r>
        <w:rPr>
          <w:rFonts w:hint="eastAsia"/>
        </w:rPr>
        <w:t>700 MHz</w:t>
      </w:r>
    </w:p>
    <w:p w:rsidR="002B489A" w:rsidRDefault="004F19C4">
      <w:pPr>
        <w:pStyle w:val="Equation"/>
        <w:tabs>
          <w:tab w:val="clear" w:pos="794"/>
          <w:tab w:val="clear" w:pos="4820"/>
          <w:tab w:val="left" w:pos="540"/>
          <w:tab w:val="left" w:pos="1652"/>
        </w:tabs>
        <w:jc w:val="left"/>
        <w:rPr>
          <w:lang w:val="en-US"/>
        </w:rPr>
      </w:pPr>
      <w:r>
        <w:rPr>
          <w:i/>
        </w:rPr>
        <w:tab/>
      </w:r>
      <w:r>
        <w:rPr>
          <w:rFonts w:hint="eastAsia"/>
          <w:i/>
          <w:lang w:val="es-ES"/>
        </w:rPr>
        <w:t>A</w:t>
      </w:r>
      <w:r>
        <w:rPr>
          <w:rFonts w:hint="eastAsia"/>
          <w:i/>
          <w:vertAlign w:val="subscript"/>
          <w:lang w:val="es-ES"/>
        </w:rPr>
        <w:t>L</w:t>
      </w:r>
      <w:r>
        <w:rPr>
          <w:i/>
          <w:vertAlign w:val="subscript"/>
          <w:lang w:val="es-ES"/>
        </w:rPr>
        <w:t> </w:t>
      </w:r>
      <w:r>
        <w:rPr>
          <w:rFonts w:hint="eastAsia"/>
          <w:lang w:val="es-ES"/>
        </w:rPr>
        <w:t>(</w:t>
      </w:r>
      <w:r>
        <w:rPr>
          <w:rFonts w:hint="eastAsia"/>
          <w:i/>
          <w:lang w:val="es-ES"/>
        </w:rPr>
        <w:t>h</w:t>
      </w:r>
      <w:r>
        <w:rPr>
          <w:rFonts w:hint="eastAsia"/>
          <w:lang w:val="es-ES"/>
        </w:rPr>
        <w:t xml:space="preserve">, </w:t>
      </w:r>
      <w:r>
        <w:rPr>
          <w:rFonts w:ascii="Symbol" w:hAnsi="Symbol"/>
        </w:rPr>
        <w:sym w:font="Symbol" w:char="F071"/>
      </w:r>
      <w:r>
        <w:rPr>
          <w:rFonts w:hint="eastAsia"/>
          <w:lang w:val="es-ES"/>
        </w:rPr>
        <w:t>)</w:t>
      </w:r>
      <w:r>
        <w:rPr>
          <w:lang w:val="es-ES"/>
        </w:rPr>
        <w:t> </w:t>
      </w:r>
      <w:r>
        <w:rPr>
          <w:rFonts w:ascii="Symbol" w:hAnsi="Symbol"/>
          <w:lang w:val="es-ES"/>
        </w:rPr>
        <w:t></w:t>
      </w:r>
      <w:r>
        <w:rPr>
          <w:lang w:val="es-ES"/>
        </w:rPr>
        <w:tab/>
      </w:r>
      <w:r>
        <w:rPr>
          <w:rFonts w:hint="eastAsia"/>
          <w:lang w:val="es-ES"/>
        </w:rPr>
        <w:t>1</w:t>
      </w:r>
      <w:r>
        <w:rPr>
          <w:lang w:val="es-ES"/>
        </w:rPr>
        <w:t>,</w:t>
      </w:r>
      <w:r>
        <w:rPr>
          <w:rFonts w:hint="eastAsia"/>
          <w:lang w:val="es-ES"/>
        </w:rPr>
        <w:t>78</w:t>
      </w:r>
      <w:r>
        <w:rPr>
          <w:lang w:val="es-ES"/>
        </w:rPr>
        <w:t> </w:t>
      </w:r>
      <w:r>
        <w:rPr>
          <w:rFonts w:hint="eastAsia"/>
          <w:lang w:val="es-ES"/>
        </w:rPr>
        <w:t>/</w:t>
      </w:r>
      <w:r>
        <w:rPr>
          <w:lang w:val="es-ES"/>
        </w:rPr>
        <w:t> </w:t>
      </w:r>
      <w:r>
        <w:rPr>
          <w:rFonts w:hint="eastAsia"/>
          <w:lang w:val="es-ES"/>
        </w:rPr>
        <w:t>[1</w:t>
      </w:r>
      <w:r>
        <w:rPr>
          <w:lang w:val="es-ES"/>
        </w:rPr>
        <w:t> </w:t>
      </w:r>
      <w:r>
        <w:rPr>
          <w:rFonts w:ascii="Symbol" w:hAnsi="Symbol"/>
          <w:lang w:val="es-ES"/>
        </w:rPr>
        <w:t></w:t>
      </w:r>
      <w:r>
        <w:rPr>
          <w:lang w:val="es-ES"/>
        </w:rPr>
        <w:t> </w:t>
      </w:r>
      <w:r>
        <w:rPr>
          <w:rFonts w:hint="eastAsia"/>
          <w:lang w:val="es-ES"/>
        </w:rPr>
        <w:t>0</w:t>
      </w:r>
      <w:r>
        <w:rPr>
          <w:lang w:val="es-ES"/>
        </w:rPr>
        <w:t>,</w:t>
      </w:r>
      <w:r>
        <w:rPr>
          <w:rFonts w:hint="eastAsia"/>
          <w:lang w:val="es-ES"/>
        </w:rPr>
        <w:t>6527</w:t>
      </w:r>
      <w:r>
        <w:rPr>
          <w:i/>
          <w:lang w:val="es-ES"/>
        </w:rPr>
        <w:t> </w:t>
      </w:r>
      <w:r>
        <w:rPr>
          <w:rFonts w:ascii="Symbol" w:hAnsi="Symbol"/>
        </w:rPr>
        <w:sym w:font="Symbol" w:char="F071"/>
      </w:r>
      <w:r>
        <w:rPr>
          <w:rFonts w:hint="eastAsia"/>
          <w:lang w:val="es-ES"/>
        </w:rPr>
        <w:t> </w:t>
      </w:r>
      <w:r>
        <w:rPr>
          <w:rFonts w:ascii="Symbol" w:hAnsi="Symbol"/>
          <w:lang w:val="en-US"/>
        </w:rPr>
        <w:t></w:t>
      </w:r>
      <w:r>
        <w:rPr>
          <w:lang w:val="es-ES"/>
        </w:rPr>
        <w:t> </w:t>
      </w:r>
      <w:r>
        <w:rPr>
          <w:rFonts w:hint="eastAsia"/>
          <w:i/>
          <w:lang w:val="es-ES"/>
        </w:rPr>
        <w:t>h</w:t>
      </w:r>
      <w:r>
        <w:rPr>
          <w:lang w:val="es-ES"/>
        </w:rPr>
        <w:t> </w:t>
      </w:r>
      <w:r>
        <w:rPr>
          <w:rFonts w:hint="eastAsia"/>
          <w:lang w:val="es-ES"/>
        </w:rPr>
        <w:t>(0</w:t>
      </w:r>
      <w:r>
        <w:rPr>
          <w:lang w:val="es-ES"/>
        </w:rPr>
        <w:t>,</w:t>
      </w:r>
      <w:r>
        <w:rPr>
          <w:rFonts w:hint="eastAsia"/>
          <w:lang w:val="es-ES"/>
        </w:rPr>
        <w:t>2552</w:t>
      </w:r>
      <w:r>
        <w:rPr>
          <w:lang w:val="es-ES"/>
        </w:rPr>
        <w:t> </w:t>
      </w:r>
      <w:r>
        <w:rPr>
          <w:rFonts w:ascii="Symbol" w:hAnsi="Symbol"/>
          <w:lang w:val="es-ES"/>
        </w:rPr>
        <w:t></w:t>
      </w:r>
      <w:r>
        <w:rPr>
          <w:lang w:val="es-ES"/>
        </w:rPr>
        <w:t> </w:t>
      </w:r>
      <w:r>
        <w:rPr>
          <w:rFonts w:hint="eastAsia"/>
          <w:lang w:val="es-ES"/>
        </w:rPr>
        <w:t>0</w:t>
      </w:r>
      <w:r>
        <w:rPr>
          <w:lang w:val="es-ES"/>
        </w:rPr>
        <w:t>,</w:t>
      </w:r>
      <w:r>
        <w:rPr>
          <w:rFonts w:hint="eastAsia"/>
          <w:lang w:val="es-ES"/>
        </w:rPr>
        <w:t>1355</w:t>
      </w:r>
      <w:r>
        <w:rPr>
          <w:i/>
          <w:lang w:val="es-ES"/>
        </w:rPr>
        <w:t> </w:t>
      </w:r>
      <w:r>
        <w:rPr>
          <w:rFonts w:ascii="Symbol" w:hAnsi="Symbol"/>
        </w:rPr>
        <w:sym w:font="Symbol" w:char="F071"/>
      </w:r>
      <w:r>
        <w:rPr>
          <w:rFonts w:hint="eastAsia"/>
          <w:lang w:val="es-ES"/>
        </w:rPr>
        <w:t>)]</w:t>
      </w:r>
      <w:r>
        <w:rPr>
          <w:rFonts w:hint="eastAsia"/>
          <w:lang w:val="es-ES"/>
        </w:rPr>
        <w:tab/>
        <w:t>(3a)</w:t>
      </w:r>
    </w:p>
    <w:p w:rsidR="002B489A" w:rsidRDefault="004F19C4">
      <w:pPr>
        <w:pStyle w:val="Equation"/>
        <w:tabs>
          <w:tab w:val="clear" w:pos="794"/>
          <w:tab w:val="clear" w:pos="4820"/>
          <w:tab w:val="left" w:pos="540"/>
          <w:tab w:val="left" w:pos="1652"/>
        </w:tabs>
        <w:jc w:val="left"/>
        <w:rPr>
          <w:lang w:val="en-US"/>
        </w:rPr>
      </w:pPr>
      <w:r>
        <w:rPr>
          <w:i/>
          <w:lang w:val="es-ES"/>
        </w:rPr>
        <w:tab/>
      </w:r>
      <w:r>
        <w:rPr>
          <w:rFonts w:hint="eastAsia"/>
          <w:i/>
          <w:lang w:val="en-US"/>
        </w:rPr>
        <w:t>A</w:t>
      </w:r>
      <w:r>
        <w:rPr>
          <w:rFonts w:hint="eastAsia"/>
          <w:i/>
          <w:vertAlign w:val="subscript"/>
          <w:lang w:val="en-US"/>
        </w:rPr>
        <w:t>M</w:t>
      </w:r>
      <w:r>
        <w:rPr>
          <w:i/>
          <w:vertAlign w:val="subscript"/>
          <w:lang w:val="en-US"/>
        </w:rPr>
        <w:t> </w:t>
      </w:r>
      <w:r>
        <w:rPr>
          <w:rFonts w:hint="eastAsia"/>
          <w:lang w:val="en-US"/>
        </w:rPr>
        <w:t>(</w:t>
      </w:r>
      <w:r>
        <w:rPr>
          <w:rFonts w:hint="eastAsia"/>
          <w:i/>
          <w:lang w:val="en-US"/>
        </w:rPr>
        <w:t>h</w:t>
      </w:r>
      <w:r>
        <w:rPr>
          <w:rFonts w:hint="eastAsia"/>
          <w:lang w:val="en-US"/>
        </w:rPr>
        <w:t xml:space="preserve">, </w:t>
      </w:r>
      <w:r>
        <w:rPr>
          <w:rFonts w:ascii="Symbol" w:hAnsi="Symbol"/>
        </w:rPr>
        <w:sym w:font="Symbol" w:char="F071"/>
      </w:r>
      <w:r>
        <w:rPr>
          <w:rFonts w:hint="eastAsia"/>
          <w:lang w:val="en-US"/>
        </w:rPr>
        <w:t>)</w:t>
      </w:r>
      <w:r>
        <w:rPr>
          <w:lang w:val="en-US"/>
        </w:rPr>
        <w:t> </w:t>
      </w:r>
      <w:r>
        <w:rPr>
          <w:rFonts w:ascii="Symbol" w:hAnsi="Symbol"/>
          <w:lang w:val="es-ES"/>
        </w:rPr>
        <w:t></w:t>
      </w:r>
      <w:r>
        <w:rPr>
          <w:lang w:val="en-US"/>
        </w:rPr>
        <w:tab/>
      </w:r>
      <w:r>
        <w:rPr>
          <w:rFonts w:hint="eastAsia"/>
          <w:lang w:val="en-US"/>
        </w:rPr>
        <w:t>2</w:t>
      </w:r>
      <w:r>
        <w:rPr>
          <w:lang w:val="en-US"/>
        </w:rPr>
        <w:t>,</w:t>
      </w:r>
      <w:r>
        <w:rPr>
          <w:rFonts w:hint="eastAsia"/>
          <w:lang w:val="en-US"/>
        </w:rPr>
        <w:t>11</w:t>
      </w:r>
      <w:r>
        <w:rPr>
          <w:lang w:val="en-US"/>
        </w:rPr>
        <w:t> </w:t>
      </w:r>
      <w:r>
        <w:rPr>
          <w:rFonts w:hint="eastAsia"/>
          <w:lang w:val="en-US"/>
        </w:rPr>
        <w:t>/</w:t>
      </w:r>
      <w:r>
        <w:rPr>
          <w:lang w:val="en-US"/>
        </w:rPr>
        <w:t> </w:t>
      </w:r>
      <w:r>
        <w:rPr>
          <w:rFonts w:hint="eastAsia"/>
          <w:lang w:val="en-US"/>
        </w:rPr>
        <w:t>[1</w:t>
      </w:r>
      <w:r>
        <w:rPr>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7022</w:t>
      </w:r>
      <w:r>
        <w:rPr>
          <w:i/>
          <w:lang w:val="en-US"/>
        </w:rPr>
        <w:t> </w:t>
      </w:r>
      <w:r>
        <w:rPr>
          <w:rFonts w:ascii="Symbol" w:hAnsi="Symbol"/>
        </w:rPr>
        <w:sym w:font="Symbol" w:char="F071"/>
      </w:r>
      <w:r>
        <w:rPr>
          <w:rFonts w:hint="eastAsia"/>
          <w:lang w:val="en-US"/>
        </w:rPr>
        <w:t> </w:t>
      </w:r>
      <w:r>
        <w:rPr>
          <w:rFonts w:ascii="Symbol" w:hAnsi="Symbol"/>
          <w:lang w:val="en-US"/>
        </w:rPr>
        <w:t></w:t>
      </w:r>
      <w:r>
        <w:rPr>
          <w:lang w:val="en-US"/>
        </w:rPr>
        <w:t> </w:t>
      </w:r>
      <w:r>
        <w:rPr>
          <w:rFonts w:hint="eastAsia"/>
          <w:i/>
          <w:lang w:val="en-US"/>
        </w:rPr>
        <w:t>h</w:t>
      </w:r>
      <w:r>
        <w:rPr>
          <w:lang w:val="en-US"/>
        </w:rPr>
        <w:t> </w:t>
      </w:r>
      <w:r>
        <w:rPr>
          <w:rFonts w:hint="eastAsia"/>
          <w:lang w:val="en-US"/>
        </w:rPr>
        <w:t>(0</w:t>
      </w:r>
      <w:r>
        <w:rPr>
          <w:lang w:val="en-US"/>
        </w:rPr>
        <w:t>,</w:t>
      </w:r>
      <w:r>
        <w:rPr>
          <w:rFonts w:hint="eastAsia"/>
          <w:lang w:val="en-US"/>
        </w:rPr>
        <w:t>3123 </w:t>
      </w:r>
      <w:r>
        <w:rPr>
          <w:rFonts w:ascii="Symbol" w:hAnsi="Symbol"/>
          <w:lang w:val="en-US"/>
        </w:rPr>
        <w:t></w:t>
      </w:r>
      <w:r>
        <w:rPr>
          <w:lang w:val="en-US"/>
        </w:rPr>
        <w:t> </w:t>
      </w:r>
      <w:r>
        <w:rPr>
          <w:rFonts w:hint="eastAsia"/>
          <w:lang w:val="en-US"/>
        </w:rPr>
        <w:t>0</w:t>
      </w:r>
      <w:r>
        <w:rPr>
          <w:lang w:val="en-US"/>
        </w:rPr>
        <w:t>,</w:t>
      </w:r>
      <w:r>
        <w:rPr>
          <w:rFonts w:hint="eastAsia"/>
          <w:lang w:val="en-US"/>
        </w:rPr>
        <w:t>1730</w:t>
      </w:r>
      <w:r>
        <w:rPr>
          <w:i/>
          <w:lang w:val="en-US"/>
        </w:rPr>
        <w:t> </w:t>
      </w:r>
      <w:r>
        <w:rPr>
          <w:rFonts w:ascii="Symbol" w:hAnsi="Symbol"/>
        </w:rPr>
        <w:sym w:font="Symbol" w:char="F071"/>
      </w:r>
      <w:r>
        <w:rPr>
          <w:rFonts w:hint="eastAsia"/>
          <w:lang w:val="en-US"/>
        </w:rPr>
        <w:t>)]</w:t>
      </w:r>
      <w:r>
        <w:rPr>
          <w:lang w:val="en-US"/>
        </w:rPr>
        <w:tab/>
      </w:r>
      <w:r>
        <w:rPr>
          <w:rFonts w:hint="eastAsia"/>
          <w:lang w:val="en-US"/>
        </w:rPr>
        <w:t>(3b)</w:t>
      </w:r>
    </w:p>
    <w:p w:rsidR="002B489A" w:rsidRDefault="004F19C4">
      <w:pPr>
        <w:pStyle w:val="Equation"/>
        <w:tabs>
          <w:tab w:val="clear" w:pos="794"/>
          <w:tab w:val="clear" w:pos="4820"/>
          <w:tab w:val="left" w:pos="540"/>
          <w:tab w:val="left" w:pos="1652"/>
        </w:tabs>
        <w:jc w:val="left"/>
        <w:rPr>
          <w:lang w:val="en-US"/>
        </w:rPr>
      </w:pPr>
      <w:r>
        <w:rPr>
          <w:i/>
          <w:lang w:val="en-US"/>
        </w:rPr>
        <w:tab/>
      </w:r>
      <w:r>
        <w:rPr>
          <w:rFonts w:hint="eastAsia"/>
          <w:i/>
          <w:lang w:val="en-US"/>
        </w:rPr>
        <w:t>A</w:t>
      </w:r>
      <w:r>
        <w:rPr>
          <w:rFonts w:hint="eastAsia"/>
          <w:i/>
          <w:vertAlign w:val="subscript"/>
          <w:lang w:val="en-US"/>
        </w:rPr>
        <w:t>H</w:t>
      </w:r>
      <w:r>
        <w:rPr>
          <w:i/>
          <w:vertAlign w:val="subscript"/>
          <w:lang w:val="en-US"/>
        </w:rPr>
        <w:t> </w:t>
      </w:r>
      <w:r>
        <w:rPr>
          <w:rFonts w:hint="eastAsia"/>
          <w:lang w:val="en-US"/>
        </w:rPr>
        <w:t>(</w:t>
      </w:r>
      <w:r>
        <w:rPr>
          <w:rFonts w:hint="eastAsia"/>
          <w:i/>
          <w:lang w:val="en-US"/>
        </w:rPr>
        <w:t>h</w:t>
      </w:r>
      <w:r>
        <w:rPr>
          <w:rFonts w:hint="eastAsia"/>
          <w:lang w:val="en-US"/>
        </w:rPr>
        <w:t xml:space="preserve">, </w:t>
      </w:r>
      <w:r>
        <w:rPr>
          <w:rFonts w:ascii="Symbol" w:hAnsi="Symbol"/>
        </w:rPr>
        <w:sym w:font="Symbol" w:char="F071"/>
      </w:r>
      <w:r>
        <w:rPr>
          <w:rFonts w:hint="eastAsia"/>
          <w:lang w:val="en-US"/>
        </w:rPr>
        <w:t>)</w:t>
      </w:r>
      <w:r>
        <w:rPr>
          <w:lang w:val="en-US"/>
        </w:rPr>
        <w:t> </w:t>
      </w:r>
      <w:r>
        <w:rPr>
          <w:rFonts w:ascii="Symbol" w:hAnsi="Symbol"/>
          <w:lang w:val="es-ES"/>
        </w:rPr>
        <w:t></w:t>
      </w:r>
      <w:r>
        <w:rPr>
          <w:lang w:val="en-US"/>
        </w:rPr>
        <w:tab/>
      </w:r>
      <w:r>
        <w:rPr>
          <w:rFonts w:hint="eastAsia"/>
          <w:lang w:val="en-US"/>
        </w:rPr>
        <w:t>2</w:t>
      </w:r>
      <w:r>
        <w:rPr>
          <w:lang w:val="en-US"/>
        </w:rPr>
        <w:t>,</w:t>
      </w:r>
      <w:r>
        <w:rPr>
          <w:rFonts w:hint="eastAsia"/>
          <w:lang w:val="en-US"/>
        </w:rPr>
        <w:t>33</w:t>
      </w:r>
      <w:r>
        <w:rPr>
          <w:lang w:val="en-US"/>
        </w:rPr>
        <w:t> </w:t>
      </w:r>
      <w:r>
        <w:rPr>
          <w:rFonts w:hint="eastAsia"/>
          <w:lang w:val="en-US"/>
        </w:rPr>
        <w:t>/</w:t>
      </w:r>
      <w:r>
        <w:rPr>
          <w:lang w:val="en-US"/>
        </w:rPr>
        <w:t> </w:t>
      </w:r>
      <w:r>
        <w:rPr>
          <w:rFonts w:hint="eastAsia"/>
          <w:lang w:val="en-US"/>
        </w:rPr>
        <w:t>[1</w:t>
      </w:r>
      <w:r>
        <w:rPr>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7331</w:t>
      </w:r>
      <w:r>
        <w:rPr>
          <w:i/>
          <w:lang w:val="en-US"/>
        </w:rPr>
        <w:t> </w:t>
      </w:r>
      <w:r>
        <w:rPr>
          <w:rFonts w:ascii="Symbol" w:hAnsi="Symbol"/>
        </w:rPr>
        <w:sym w:font="Symbol" w:char="F071"/>
      </w:r>
      <w:r>
        <w:rPr>
          <w:rFonts w:hint="eastAsia"/>
          <w:lang w:val="en-US"/>
        </w:rPr>
        <w:t> </w:t>
      </w:r>
      <w:r>
        <w:rPr>
          <w:rFonts w:ascii="Symbol" w:hAnsi="Symbol"/>
          <w:lang w:val="en-US"/>
        </w:rPr>
        <w:t></w:t>
      </w:r>
      <w:r>
        <w:rPr>
          <w:lang w:val="en-US"/>
        </w:rPr>
        <w:t> </w:t>
      </w:r>
      <w:r>
        <w:rPr>
          <w:rFonts w:hint="eastAsia"/>
          <w:i/>
          <w:lang w:val="en-US"/>
        </w:rPr>
        <w:t>h</w:t>
      </w:r>
      <w:r>
        <w:rPr>
          <w:lang w:val="en-US"/>
        </w:rPr>
        <w:t> </w:t>
      </w:r>
      <w:r>
        <w:rPr>
          <w:rFonts w:hint="eastAsia"/>
          <w:lang w:val="en-US"/>
        </w:rPr>
        <w:t>(0</w:t>
      </w:r>
      <w:r>
        <w:rPr>
          <w:lang w:val="en-US"/>
        </w:rPr>
        <w:t>,</w:t>
      </w:r>
      <w:r>
        <w:rPr>
          <w:rFonts w:hint="eastAsia"/>
          <w:lang w:val="en-US"/>
        </w:rPr>
        <w:t>3371 </w:t>
      </w:r>
      <w:r>
        <w:rPr>
          <w:rFonts w:ascii="Symbol" w:hAnsi="Symbol"/>
          <w:lang w:val="en-US"/>
        </w:rPr>
        <w:t></w:t>
      </w:r>
      <w:r>
        <w:rPr>
          <w:lang w:val="en-US"/>
        </w:rPr>
        <w:t> </w:t>
      </w:r>
      <w:r>
        <w:rPr>
          <w:rFonts w:hint="eastAsia"/>
          <w:lang w:val="en-US"/>
        </w:rPr>
        <w:t>0</w:t>
      </w:r>
      <w:r>
        <w:rPr>
          <w:lang w:val="en-US"/>
        </w:rPr>
        <w:t>,</w:t>
      </w:r>
      <w:r>
        <w:rPr>
          <w:rFonts w:hint="eastAsia"/>
          <w:lang w:val="en-US"/>
        </w:rPr>
        <w:t>1881</w:t>
      </w:r>
      <w:r>
        <w:rPr>
          <w:i/>
          <w:lang w:val="en-US"/>
        </w:rPr>
        <w:t> </w:t>
      </w:r>
      <w:r>
        <w:rPr>
          <w:rFonts w:ascii="Symbol" w:hAnsi="Symbol"/>
        </w:rPr>
        <w:sym w:font="Symbol" w:char="F071"/>
      </w:r>
      <w:r>
        <w:rPr>
          <w:rFonts w:hint="eastAsia"/>
          <w:lang w:val="en-US"/>
        </w:rPr>
        <w:t>)]</w:t>
      </w:r>
      <w:r>
        <w:rPr>
          <w:rFonts w:hint="eastAsia"/>
          <w:lang w:val="en-US"/>
        </w:rPr>
        <w:tab/>
        <w:t>(3c)</w:t>
      </w:r>
    </w:p>
    <w:p w:rsidR="002B489A" w:rsidRDefault="004F19C4">
      <w:pPr>
        <w:pStyle w:val="Headingb"/>
      </w:pPr>
      <w:r>
        <w:t>Bande de fréquences de</w:t>
      </w:r>
      <w:r>
        <w:rPr>
          <w:rFonts w:hint="eastAsia"/>
        </w:rPr>
        <w:t xml:space="preserve"> 10</w:t>
      </w:r>
      <w:r>
        <w:t>,</w:t>
      </w:r>
      <w:r>
        <w:rPr>
          <w:rFonts w:hint="eastAsia"/>
        </w:rPr>
        <w:t>6-10</w:t>
      </w:r>
      <w:r>
        <w:t>,</w:t>
      </w:r>
      <w:r>
        <w:rPr>
          <w:rFonts w:hint="eastAsia"/>
        </w:rPr>
        <w:t>7 GHz</w:t>
      </w:r>
    </w:p>
    <w:p w:rsidR="002B489A" w:rsidRDefault="004F19C4">
      <w:pPr>
        <w:pStyle w:val="Equation"/>
        <w:tabs>
          <w:tab w:val="clear" w:pos="794"/>
          <w:tab w:val="clear" w:pos="4820"/>
          <w:tab w:val="left" w:pos="540"/>
          <w:tab w:val="left" w:pos="1652"/>
        </w:tabs>
        <w:jc w:val="left"/>
        <w:rPr>
          <w:lang w:val="en-US"/>
        </w:rPr>
      </w:pPr>
      <w:r>
        <w:rPr>
          <w:i/>
        </w:rPr>
        <w:tab/>
      </w:r>
      <w:r>
        <w:rPr>
          <w:rFonts w:hint="eastAsia"/>
          <w:i/>
          <w:lang w:val="es-ES"/>
        </w:rPr>
        <w:t>A</w:t>
      </w:r>
      <w:r>
        <w:rPr>
          <w:rFonts w:hint="eastAsia"/>
          <w:i/>
          <w:vertAlign w:val="subscript"/>
          <w:lang w:val="es-ES"/>
        </w:rPr>
        <w:t>L</w:t>
      </w:r>
      <w:r>
        <w:rPr>
          <w:i/>
          <w:vertAlign w:val="subscript"/>
          <w:lang w:val="es-ES"/>
        </w:rPr>
        <w:t> </w:t>
      </w:r>
      <w:r>
        <w:rPr>
          <w:rFonts w:hint="eastAsia"/>
          <w:lang w:val="es-ES"/>
        </w:rPr>
        <w:t>(</w:t>
      </w:r>
      <w:r>
        <w:rPr>
          <w:rFonts w:hint="eastAsia"/>
          <w:i/>
          <w:lang w:val="es-ES"/>
        </w:rPr>
        <w:t>h</w:t>
      </w:r>
      <w:r>
        <w:rPr>
          <w:rFonts w:hint="eastAsia"/>
          <w:lang w:val="es-ES"/>
        </w:rPr>
        <w:t xml:space="preserve">, </w:t>
      </w:r>
      <w:r>
        <w:rPr>
          <w:rFonts w:ascii="Symbol" w:hAnsi="Symbol"/>
        </w:rPr>
        <w:sym w:font="Symbol" w:char="F071"/>
      </w:r>
      <w:r>
        <w:rPr>
          <w:rFonts w:hint="eastAsia"/>
          <w:lang w:val="es-ES"/>
        </w:rPr>
        <w:t>)</w:t>
      </w:r>
      <w:r>
        <w:rPr>
          <w:lang w:val="es-ES"/>
        </w:rPr>
        <w:t> </w:t>
      </w:r>
      <w:r>
        <w:rPr>
          <w:rFonts w:ascii="Symbol" w:hAnsi="Symbol"/>
          <w:lang w:val="es-ES"/>
        </w:rPr>
        <w:t></w:t>
      </w:r>
      <w:r>
        <w:rPr>
          <w:lang w:val="es-ES"/>
        </w:rPr>
        <w:tab/>
      </w:r>
      <w:r>
        <w:rPr>
          <w:rFonts w:hint="eastAsia"/>
          <w:lang w:val="es-ES"/>
        </w:rPr>
        <w:t>3</w:t>
      </w:r>
      <w:r>
        <w:rPr>
          <w:lang w:val="es-ES"/>
        </w:rPr>
        <w:t>,</w:t>
      </w:r>
      <w:r>
        <w:rPr>
          <w:rFonts w:hint="eastAsia"/>
          <w:lang w:val="es-ES"/>
        </w:rPr>
        <w:t>38</w:t>
      </w:r>
      <w:r>
        <w:rPr>
          <w:lang w:val="es-ES"/>
        </w:rPr>
        <w:t> </w:t>
      </w:r>
      <w:r>
        <w:rPr>
          <w:rFonts w:hint="eastAsia"/>
          <w:lang w:val="es-ES"/>
        </w:rPr>
        <w:t>/</w:t>
      </w:r>
      <w:r>
        <w:rPr>
          <w:lang w:val="es-ES"/>
        </w:rPr>
        <w:t> </w:t>
      </w:r>
      <w:r>
        <w:rPr>
          <w:rFonts w:hint="eastAsia"/>
          <w:lang w:val="es-ES"/>
        </w:rPr>
        <w:t>[1 </w:t>
      </w:r>
      <w:r>
        <w:rPr>
          <w:rFonts w:ascii="Symbol" w:hAnsi="Symbol"/>
          <w:lang w:val="en-US"/>
        </w:rPr>
        <w:t></w:t>
      </w:r>
      <w:r>
        <w:rPr>
          <w:lang w:val="es-ES"/>
        </w:rPr>
        <w:t> </w:t>
      </w:r>
      <w:r>
        <w:rPr>
          <w:rFonts w:hint="eastAsia"/>
          <w:lang w:val="es-ES"/>
        </w:rPr>
        <w:t>0</w:t>
      </w:r>
      <w:r>
        <w:rPr>
          <w:lang w:val="es-ES"/>
        </w:rPr>
        <w:t>,</w:t>
      </w:r>
      <w:r>
        <w:rPr>
          <w:rFonts w:hint="eastAsia"/>
          <w:lang w:val="es-ES"/>
        </w:rPr>
        <w:t>8346</w:t>
      </w:r>
      <w:r>
        <w:rPr>
          <w:i/>
          <w:lang w:val="es-ES"/>
        </w:rPr>
        <w:t> </w:t>
      </w:r>
      <w:r>
        <w:rPr>
          <w:rFonts w:ascii="Symbol" w:hAnsi="Symbol"/>
        </w:rPr>
        <w:sym w:font="Symbol" w:char="F071"/>
      </w:r>
      <w:r>
        <w:rPr>
          <w:rFonts w:hint="eastAsia"/>
          <w:lang w:val="es-ES"/>
        </w:rPr>
        <w:t> </w:t>
      </w:r>
      <w:r>
        <w:rPr>
          <w:rFonts w:ascii="Symbol" w:hAnsi="Symbol"/>
          <w:lang w:val="en-US"/>
        </w:rPr>
        <w:t></w:t>
      </w:r>
      <w:r>
        <w:rPr>
          <w:lang w:val="es-ES"/>
        </w:rPr>
        <w:t> </w:t>
      </w:r>
      <w:r>
        <w:rPr>
          <w:rFonts w:hint="eastAsia"/>
          <w:i/>
          <w:lang w:val="es-ES"/>
        </w:rPr>
        <w:t>h</w:t>
      </w:r>
      <w:r>
        <w:rPr>
          <w:lang w:val="es-ES"/>
        </w:rPr>
        <w:t> </w:t>
      </w:r>
      <w:r>
        <w:rPr>
          <w:rFonts w:hint="eastAsia"/>
          <w:lang w:val="es-ES"/>
        </w:rPr>
        <w:t>(0</w:t>
      </w:r>
      <w:r>
        <w:rPr>
          <w:lang w:val="es-ES"/>
        </w:rPr>
        <w:t>,</w:t>
      </w:r>
      <w:r>
        <w:rPr>
          <w:rFonts w:hint="eastAsia"/>
          <w:lang w:val="es-ES"/>
        </w:rPr>
        <w:t>2690 </w:t>
      </w:r>
      <w:r>
        <w:rPr>
          <w:rFonts w:ascii="Symbol" w:hAnsi="Symbol"/>
          <w:lang w:val="en-US"/>
        </w:rPr>
        <w:t></w:t>
      </w:r>
      <w:r>
        <w:rPr>
          <w:lang w:val="es-ES"/>
        </w:rPr>
        <w:t> </w:t>
      </w:r>
      <w:r>
        <w:rPr>
          <w:rFonts w:hint="eastAsia"/>
          <w:lang w:val="es-ES"/>
        </w:rPr>
        <w:t>0</w:t>
      </w:r>
      <w:r>
        <w:rPr>
          <w:lang w:val="es-ES"/>
        </w:rPr>
        <w:t>,</w:t>
      </w:r>
      <w:r>
        <w:rPr>
          <w:rFonts w:hint="eastAsia"/>
          <w:lang w:val="es-ES"/>
        </w:rPr>
        <w:t>2738</w:t>
      </w:r>
      <w:r>
        <w:rPr>
          <w:i/>
          <w:lang w:val="es-ES"/>
        </w:rPr>
        <w:t> </w:t>
      </w:r>
      <w:r>
        <w:rPr>
          <w:rFonts w:ascii="Symbol" w:hAnsi="Symbol"/>
        </w:rPr>
        <w:sym w:font="Symbol" w:char="F071"/>
      </w:r>
      <w:r>
        <w:rPr>
          <w:rFonts w:hint="eastAsia"/>
          <w:lang w:val="es-ES"/>
        </w:rPr>
        <w:t>) </w:t>
      </w:r>
      <w:r>
        <w:rPr>
          <w:rFonts w:ascii="Symbol" w:hAnsi="Symbol"/>
          <w:lang w:val="en-US"/>
        </w:rPr>
        <w:t></w:t>
      </w:r>
      <w:r>
        <w:rPr>
          <w:lang w:val="es-ES"/>
        </w:rPr>
        <w:t> </w:t>
      </w:r>
      <w:r>
        <w:rPr>
          <w:rFonts w:hint="eastAsia"/>
          <w:lang w:val="es-ES"/>
        </w:rPr>
        <w:t>0</w:t>
      </w:r>
      <w:r>
        <w:rPr>
          <w:lang w:val="es-ES"/>
        </w:rPr>
        <w:t>,</w:t>
      </w:r>
      <w:r>
        <w:rPr>
          <w:rFonts w:hint="eastAsia"/>
          <w:lang w:val="es-ES"/>
        </w:rPr>
        <w:t>09948</w:t>
      </w:r>
      <w:r>
        <w:rPr>
          <w:lang w:val="es-ES"/>
        </w:rPr>
        <w:t> </w:t>
      </w:r>
      <w:r>
        <w:rPr>
          <w:rFonts w:hint="eastAsia"/>
          <w:i/>
          <w:iCs/>
          <w:lang w:val="es-ES"/>
        </w:rPr>
        <w:t>h</w:t>
      </w:r>
      <w:r>
        <w:rPr>
          <w:rFonts w:hint="eastAsia"/>
          <w:vertAlign w:val="superscript"/>
          <w:lang w:val="es-ES"/>
        </w:rPr>
        <w:t>2</w:t>
      </w:r>
      <w:r>
        <w:rPr>
          <w:rFonts w:hint="eastAsia"/>
          <w:lang w:val="es-ES"/>
        </w:rPr>
        <w:t>]</w:t>
      </w:r>
      <w:r>
        <w:rPr>
          <w:rFonts w:hint="eastAsia"/>
          <w:lang w:val="es-ES"/>
        </w:rPr>
        <w:tab/>
        <w:t>(4a)</w:t>
      </w:r>
    </w:p>
    <w:p w:rsidR="002B489A" w:rsidRDefault="004F19C4">
      <w:pPr>
        <w:pStyle w:val="Equation"/>
        <w:tabs>
          <w:tab w:val="clear" w:pos="794"/>
          <w:tab w:val="clear" w:pos="4820"/>
          <w:tab w:val="left" w:pos="540"/>
          <w:tab w:val="left" w:pos="1652"/>
        </w:tabs>
        <w:jc w:val="left"/>
        <w:rPr>
          <w:lang w:val="en-US"/>
        </w:rPr>
      </w:pPr>
      <w:r>
        <w:rPr>
          <w:i/>
          <w:lang w:val="es-ES"/>
        </w:rPr>
        <w:tab/>
      </w:r>
      <w:r>
        <w:rPr>
          <w:rFonts w:hint="eastAsia"/>
          <w:i/>
          <w:lang w:val="en-US"/>
        </w:rPr>
        <w:t>A</w:t>
      </w:r>
      <w:r>
        <w:rPr>
          <w:rFonts w:hint="eastAsia"/>
          <w:i/>
          <w:vertAlign w:val="subscript"/>
          <w:lang w:val="en-US"/>
        </w:rPr>
        <w:t>M</w:t>
      </w:r>
      <w:r>
        <w:rPr>
          <w:i/>
          <w:vertAlign w:val="subscript"/>
          <w:lang w:val="en-US"/>
        </w:rPr>
        <w:t> </w:t>
      </w:r>
      <w:r>
        <w:rPr>
          <w:rFonts w:hint="eastAsia"/>
          <w:lang w:val="en-US"/>
        </w:rPr>
        <w:t>(</w:t>
      </w:r>
      <w:r>
        <w:rPr>
          <w:rFonts w:hint="eastAsia"/>
          <w:i/>
          <w:lang w:val="en-US"/>
        </w:rPr>
        <w:t>h</w:t>
      </w:r>
      <w:r>
        <w:rPr>
          <w:rFonts w:hint="eastAsia"/>
          <w:lang w:val="en-US"/>
        </w:rPr>
        <w:t xml:space="preserve">, </w:t>
      </w:r>
      <w:r>
        <w:rPr>
          <w:rFonts w:ascii="Symbol" w:hAnsi="Symbol"/>
        </w:rPr>
        <w:sym w:font="Symbol" w:char="F071"/>
      </w:r>
      <w:r>
        <w:rPr>
          <w:rFonts w:hint="eastAsia"/>
          <w:lang w:val="en-US"/>
        </w:rPr>
        <w:t>)</w:t>
      </w:r>
      <w:r>
        <w:rPr>
          <w:lang w:val="en-US"/>
        </w:rPr>
        <w:t> </w:t>
      </w:r>
      <w:r>
        <w:rPr>
          <w:rFonts w:ascii="Symbol" w:hAnsi="Symbol"/>
          <w:lang w:val="es-ES"/>
        </w:rPr>
        <w:t></w:t>
      </w:r>
      <w:r>
        <w:rPr>
          <w:rFonts w:ascii="Symbol" w:hAnsi="Symbol"/>
          <w:lang w:val="en-US"/>
        </w:rPr>
        <w:tab/>
      </w:r>
      <w:r>
        <w:rPr>
          <w:rFonts w:hint="eastAsia"/>
          <w:lang w:val="en-US"/>
        </w:rPr>
        <w:t>3</w:t>
      </w:r>
      <w:r>
        <w:rPr>
          <w:lang w:val="en-US"/>
        </w:rPr>
        <w:t>,</w:t>
      </w:r>
      <w:r>
        <w:rPr>
          <w:rFonts w:hint="eastAsia"/>
          <w:lang w:val="en-US"/>
        </w:rPr>
        <w:t>00</w:t>
      </w:r>
      <w:r>
        <w:rPr>
          <w:lang w:val="en-US"/>
        </w:rPr>
        <w:t> </w:t>
      </w:r>
      <w:r>
        <w:rPr>
          <w:rFonts w:hint="eastAsia"/>
          <w:lang w:val="en-US"/>
        </w:rPr>
        <w:t>/</w:t>
      </w:r>
      <w:r>
        <w:rPr>
          <w:lang w:val="en-US"/>
        </w:rPr>
        <w:t> </w:t>
      </w:r>
      <w:r>
        <w:rPr>
          <w:rFonts w:hint="eastAsia"/>
          <w:lang w:val="en-US"/>
        </w:rPr>
        <w:t>[1 </w:t>
      </w:r>
      <w:r>
        <w:rPr>
          <w:rFonts w:ascii="Symbol" w:hAnsi="Symbol"/>
          <w:lang w:val="en-US"/>
        </w:rPr>
        <w:t></w:t>
      </w:r>
      <w:r>
        <w:rPr>
          <w:lang w:val="en-US"/>
        </w:rPr>
        <w:t> </w:t>
      </w:r>
      <w:r>
        <w:rPr>
          <w:rFonts w:hint="eastAsia"/>
          <w:lang w:val="en-US"/>
        </w:rPr>
        <w:t>0</w:t>
      </w:r>
      <w:r>
        <w:rPr>
          <w:lang w:val="en-US"/>
        </w:rPr>
        <w:t>,</w:t>
      </w:r>
      <w:r>
        <w:rPr>
          <w:rFonts w:hint="eastAsia"/>
          <w:lang w:val="en-US"/>
        </w:rPr>
        <w:t>7507</w:t>
      </w:r>
      <w:r>
        <w:rPr>
          <w:i/>
          <w:lang w:val="en-US"/>
        </w:rPr>
        <w:t> </w:t>
      </w:r>
      <w:r>
        <w:rPr>
          <w:rFonts w:ascii="Symbol" w:hAnsi="Symbol"/>
        </w:rPr>
        <w:sym w:font="Symbol" w:char="F071"/>
      </w:r>
      <w:r>
        <w:rPr>
          <w:rFonts w:hint="eastAsia"/>
          <w:lang w:val="en-US"/>
        </w:rPr>
        <w:t> </w:t>
      </w:r>
      <w:r>
        <w:rPr>
          <w:rFonts w:ascii="Symbol" w:hAnsi="Symbol"/>
          <w:lang w:val="en-US"/>
        </w:rPr>
        <w:t></w:t>
      </w:r>
      <w:r>
        <w:rPr>
          <w:lang w:val="en-US"/>
        </w:rPr>
        <w:t> </w:t>
      </w:r>
      <w:r>
        <w:rPr>
          <w:rFonts w:hint="eastAsia"/>
          <w:i/>
          <w:lang w:val="en-US"/>
        </w:rPr>
        <w:t>h</w:t>
      </w:r>
      <w:r>
        <w:rPr>
          <w:lang w:val="en-US"/>
        </w:rPr>
        <w:t> </w:t>
      </w:r>
      <w:r>
        <w:rPr>
          <w:rFonts w:hint="eastAsia"/>
          <w:lang w:val="en-US"/>
        </w:rPr>
        <w:t>(0</w:t>
      </w:r>
      <w:r>
        <w:rPr>
          <w:lang w:val="en-US"/>
        </w:rPr>
        <w:t>,</w:t>
      </w:r>
      <w:r>
        <w:rPr>
          <w:rFonts w:hint="eastAsia"/>
          <w:lang w:val="en-US"/>
        </w:rPr>
        <w:t>3983 </w:t>
      </w:r>
      <w:r>
        <w:rPr>
          <w:rFonts w:ascii="Symbol" w:hAnsi="Symbol"/>
          <w:lang w:val="en-US"/>
        </w:rPr>
        <w:t></w:t>
      </w:r>
      <w:r>
        <w:rPr>
          <w:lang w:val="en-US"/>
        </w:rPr>
        <w:t> </w:t>
      </w:r>
      <w:r>
        <w:rPr>
          <w:rFonts w:hint="eastAsia"/>
          <w:lang w:val="en-US"/>
        </w:rPr>
        <w:t>0</w:t>
      </w:r>
      <w:r>
        <w:rPr>
          <w:lang w:val="en-US"/>
        </w:rPr>
        <w:t>,</w:t>
      </w:r>
      <w:r>
        <w:rPr>
          <w:rFonts w:hint="eastAsia"/>
          <w:lang w:val="en-US"/>
        </w:rPr>
        <w:t>2147</w:t>
      </w:r>
      <w:r>
        <w:rPr>
          <w:i/>
          <w:lang w:val="en-US"/>
        </w:rPr>
        <w:t> </w:t>
      </w:r>
      <w:r>
        <w:rPr>
          <w:rFonts w:ascii="Symbol" w:hAnsi="Symbol"/>
        </w:rPr>
        <w:sym w:font="Symbol" w:char="F071"/>
      </w:r>
      <w:r>
        <w:rPr>
          <w:rFonts w:hint="eastAsia"/>
          <w:lang w:val="en-US"/>
        </w:rPr>
        <w:t>)]</w:t>
      </w:r>
      <w:r>
        <w:rPr>
          <w:rFonts w:hint="eastAsia"/>
          <w:lang w:val="en-US"/>
        </w:rPr>
        <w:tab/>
        <w:t>(4b)</w:t>
      </w:r>
    </w:p>
    <w:p w:rsidR="002B489A" w:rsidRDefault="004F19C4">
      <w:pPr>
        <w:pStyle w:val="Equation"/>
        <w:tabs>
          <w:tab w:val="clear" w:pos="794"/>
          <w:tab w:val="clear" w:pos="4820"/>
          <w:tab w:val="left" w:pos="540"/>
          <w:tab w:val="left" w:pos="1652"/>
        </w:tabs>
        <w:jc w:val="left"/>
        <w:rPr>
          <w:lang w:val="en-US"/>
        </w:rPr>
      </w:pPr>
      <w:r>
        <w:rPr>
          <w:i/>
          <w:lang w:val="en-US"/>
        </w:rPr>
        <w:tab/>
      </w:r>
      <w:r>
        <w:rPr>
          <w:rFonts w:hint="eastAsia"/>
          <w:i/>
          <w:lang w:val="en-US"/>
        </w:rPr>
        <w:t>A</w:t>
      </w:r>
      <w:r>
        <w:rPr>
          <w:rFonts w:hint="eastAsia"/>
          <w:i/>
          <w:vertAlign w:val="subscript"/>
          <w:lang w:val="en-US"/>
        </w:rPr>
        <w:t>H</w:t>
      </w:r>
      <w:r>
        <w:rPr>
          <w:i/>
          <w:vertAlign w:val="subscript"/>
          <w:lang w:val="en-US"/>
        </w:rPr>
        <w:t> </w:t>
      </w:r>
      <w:r>
        <w:rPr>
          <w:rFonts w:hint="eastAsia"/>
          <w:lang w:val="en-US"/>
        </w:rPr>
        <w:t>(</w:t>
      </w:r>
      <w:r>
        <w:rPr>
          <w:rFonts w:hint="eastAsia"/>
          <w:i/>
          <w:lang w:val="en-US"/>
        </w:rPr>
        <w:t>h</w:t>
      </w:r>
      <w:r>
        <w:rPr>
          <w:rFonts w:hint="eastAsia"/>
          <w:lang w:val="en-US"/>
        </w:rPr>
        <w:t xml:space="preserve">, </w:t>
      </w:r>
      <w:r>
        <w:rPr>
          <w:rFonts w:ascii="Symbol" w:hAnsi="Symbol"/>
        </w:rPr>
        <w:sym w:font="Symbol" w:char="F071"/>
      </w:r>
      <w:r>
        <w:rPr>
          <w:rFonts w:hint="eastAsia"/>
          <w:lang w:val="en-US"/>
        </w:rPr>
        <w:t>)</w:t>
      </w:r>
      <w:r>
        <w:rPr>
          <w:lang w:val="en-US"/>
        </w:rPr>
        <w:t> </w:t>
      </w:r>
      <w:r>
        <w:rPr>
          <w:rFonts w:ascii="Symbol" w:hAnsi="Symbol"/>
          <w:lang w:val="es-ES"/>
        </w:rPr>
        <w:t></w:t>
      </w:r>
      <w:r>
        <w:rPr>
          <w:lang w:val="en-US"/>
        </w:rPr>
        <w:tab/>
      </w:r>
      <w:r>
        <w:rPr>
          <w:rFonts w:hint="eastAsia"/>
          <w:lang w:val="en-US"/>
        </w:rPr>
        <w:t>2</w:t>
      </w:r>
      <w:r>
        <w:rPr>
          <w:lang w:val="en-US"/>
        </w:rPr>
        <w:t>,</w:t>
      </w:r>
      <w:r>
        <w:rPr>
          <w:rFonts w:hint="eastAsia"/>
          <w:lang w:val="en-US"/>
        </w:rPr>
        <w:t>97</w:t>
      </w:r>
      <w:r>
        <w:rPr>
          <w:lang w:val="en-US"/>
        </w:rPr>
        <w:t> </w:t>
      </w:r>
      <w:r>
        <w:rPr>
          <w:rFonts w:hint="eastAsia"/>
          <w:lang w:val="en-US"/>
        </w:rPr>
        <w:t>/</w:t>
      </w:r>
      <w:r>
        <w:rPr>
          <w:lang w:val="en-US"/>
        </w:rPr>
        <w:t> </w:t>
      </w:r>
      <w:r>
        <w:rPr>
          <w:rFonts w:hint="eastAsia"/>
          <w:lang w:val="en-US"/>
        </w:rPr>
        <w:t>[1 </w:t>
      </w:r>
      <w:r>
        <w:rPr>
          <w:rFonts w:ascii="Symbol" w:hAnsi="Symbol"/>
          <w:lang w:val="en-US"/>
        </w:rPr>
        <w:t></w:t>
      </w:r>
      <w:r>
        <w:rPr>
          <w:lang w:val="en-US"/>
        </w:rPr>
        <w:t> </w:t>
      </w:r>
      <w:r>
        <w:rPr>
          <w:rFonts w:hint="eastAsia"/>
          <w:lang w:val="en-US"/>
        </w:rPr>
        <w:t>0</w:t>
      </w:r>
      <w:r>
        <w:rPr>
          <w:lang w:val="en-US"/>
        </w:rPr>
        <w:t>,</w:t>
      </w:r>
      <w:r>
        <w:rPr>
          <w:rFonts w:hint="eastAsia"/>
          <w:lang w:val="en-US"/>
        </w:rPr>
        <w:t>7476</w:t>
      </w:r>
      <w:r>
        <w:rPr>
          <w:i/>
          <w:lang w:val="en-US"/>
        </w:rPr>
        <w:t> </w:t>
      </w:r>
      <w:r>
        <w:rPr>
          <w:rFonts w:ascii="Symbol" w:hAnsi="Symbol"/>
        </w:rPr>
        <w:sym w:font="Symbol" w:char="F071"/>
      </w:r>
      <w:r>
        <w:rPr>
          <w:rFonts w:hint="eastAsia"/>
          <w:lang w:val="en-US"/>
        </w:rPr>
        <w:t> </w:t>
      </w:r>
      <w:r>
        <w:rPr>
          <w:rFonts w:ascii="Symbol" w:hAnsi="Symbol"/>
          <w:lang w:val="en-US"/>
        </w:rPr>
        <w:t></w:t>
      </w:r>
      <w:r>
        <w:rPr>
          <w:lang w:val="en-US"/>
        </w:rPr>
        <w:t> </w:t>
      </w:r>
      <w:r>
        <w:rPr>
          <w:rFonts w:hint="eastAsia"/>
          <w:i/>
          <w:lang w:val="en-US"/>
        </w:rPr>
        <w:t>h</w:t>
      </w:r>
      <w:r>
        <w:rPr>
          <w:lang w:val="en-US"/>
        </w:rPr>
        <w:t> </w:t>
      </w:r>
      <w:r>
        <w:rPr>
          <w:rFonts w:hint="eastAsia"/>
          <w:lang w:val="en-US"/>
        </w:rPr>
        <w:t>(0</w:t>
      </w:r>
      <w:r>
        <w:rPr>
          <w:lang w:val="en-US"/>
        </w:rPr>
        <w:t>,</w:t>
      </w:r>
      <w:r>
        <w:rPr>
          <w:rFonts w:hint="eastAsia"/>
          <w:lang w:val="en-US"/>
        </w:rPr>
        <w:t>3734 </w:t>
      </w:r>
      <w:r>
        <w:rPr>
          <w:rFonts w:ascii="Symbol" w:hAnsi="Symbol"/>
          <w:lang w:val="en-US"/>
        </w:rPr>
        <w:t></w:t>
      </w:r>
      <w:r>
        <w:rPr>
          <w:lang w:val="en-US"/>
        </w:rPr>
        <w:t> </w:t>
      </w:r>
      <w:r>
        <w:rPr>
          <w:rFonts w:hint="eastAsia"/>
          <w:lang w:val="en-US"/>
        </w:rPr>
        <w:t>0</w:t>
      </w:r>
      <w:r>
        <w:rPr>
          <w:lang w:val="en-US"/>
        </w:rPr>
        <w:t>,</w:t>
      </w:r>
      <w:r>
        <w:rPr>
          <w:rFonts w:hint="eastAsia"/>
          <w:lang w:val="en-US"/>
        </w:rPr>
        <w:t>2072</w:t>
      </w:r>
      <w:r>
        <w:rPr>
          <w:i/>
          <w:lang w:val="en-US"/>
        </w:rPr>
        <w:t> </w:t>
      </w:r>
      <w:r>
        <w:rPr>
          <w:rFonts w:ascii="Symbol" w:hAnsi="Symbol"/>
        </w:rPr>
        <w:sym w:font="Symbol" w:char="F071"/>
      </w:r>
      <w:r>
        <w:rPr>
          <w:rFonts w:hint="eastAsia"/>
          <w:lang w:val="en-US"/>
        </w:rPr>
        <w:t>)]</w:t>
      </w:r>
      <w:r>
        <w:rPr>
          <w:rFonts w:hint="eastAsia"/>
          <w:lang w:val="en-US"/>
        </w:rPr>
        <w:tab/>
        <w:t>(4c)</w:t>
      </w:r>
    </w:p>
    <w:p w:rsidR="002B489A" w:rsidRDefault="004F19C4">
      <w:pPr>
        <w:pStyle w:val="Headingb"/>
      </w:pPr>
      <w:r>
        <w:t xml:space="preserve">Bande de fréquences </w:t>
      </w:r>
      <w:r>
        <w:rPr>
          <w:rFonts w:hint="eastAsia"/>
        </w:rPr>
        <w:t>21</w:t>
      </w:r>
      <w:r>
        <w:t>,</w:t>
      </w:r>
      <w:r>
        <w:rPr>
          <w:rFonts w:hint="eastAsia"/>
        </w:rPr>
        <w:t>2-21</w:t>
      </w:r>
      <w:r>
        <w:t>,</w:t>
      </w:r>
      <w:r>
        <w:rPr>
          <w:rFonts w:hint="eastAsia"/>
        </w:rPr>
        <w:t>4 GHz</w:t>
      </w:r>
    </w:p>
    <w:p w:rsidR="002B489A" w:rsidRDefault="004F19C4">
      <w:pPr>
        <w:pStyle w:val="Equation"/>
        <w:tabs>
          <w:tab w:val="clear" w:pos="794"/>
          <w:tab w:val="clear" w:pos="4820"/>
          <w:tab w:val="left" w:pos="540"/>
          <w:tab w:val="left" w:pos="1652"/>
        </w:tabs>
        <w:jc w:val="left"/>
      </w:pPr>
      <w:r>
        <w:rPr>
          <w:i/>
        </w:rPr>
        <w:tab/>
      </w:r>
      <w:r>
        <w:rPr>
          <w:rFonts w:hint="eastAsia"/>
          <w:i/>
        </w:rPr>
        <w:t>A</w:t>
      </w:r>
      <w:r>
        <w:rPr>
          <w:rFonts w:hint="eastAsia"/>
          <w:i/>
          <w:vertAlign w:val="subscript"/>
        </w:rPr>
        <w:t>L</w:t>
      </w:r>
      <w:r>
        <w:rPr>
          <w:i/>
          <w:vertAlign w:val="subscript"/>
        </w:rPr>
        <w:t> </w:t>
      </w:r>
      <w:r>
        <w:rPr>
          <w:rFonts w:hint="eastAsia"/>
        </w:rPr>
        <w:t>(</w:t>
      </w:r>
      <w:r>
        <w:rPr>
          <w:rFonts w:hint="eastAsia"/>
          <w:i/>
        </w:rPr>
        <w:t>h</w:t>
      </w:r>
      <w:r>
        <w:rPr>
          <w:rFonts w:hint="eastAsia"/>
        </w:rPr>
        <w:t xml:space="preserve">, </w:t>
      </w:r>
      <w:r>
        <w:rPr>
          <w:rFonts w:ascii="Symbol" w:hAnsi="Symbol"/>
        </w:rPr>
        <w:sym w:font="Symbol" w:char="F071"/>
      </w:r>
      <w:r>
        <w:rPr>
          <w:rFonts w:hint="eastAsia"/>
        </w:rPr>
        <w:t>)</w:t>
      </w:r>
      <w:r>
        <w:t> </w:t>
      </w:r>
      <w:r>
        <w:rPr>
          <w:rFonts w:ascii="Symbol" w:hAnsi="Symbol"/>
          <w:lang w:val="es-ES"/>
        </w:rPr>
        <w:t></w:t>
      </w:r>
      <w:r>
        <w:tab/>
      </w:r>
      <w:r>
        <w:rPr>
          <w:rFonts w:hint="eastAsia"/>
        </w:rPr>
        <w:t>39</w:t>
      </w:r>
      <w:r>
        <w:t>,</w:t>
      </w:r>
      <w:r>
        <w:rPr>
          <w:rFonts w:hint="eastAsia"/>
        </w:rPr>
        <w:t>24</w:t>
      </w:r>
      <w:r>
        <w:t> </w:t>
      </w:r>
      <w:r>
        <w:rPr>
          <w:rFonts w:hint="eastAsia"/>
        </w:rPr>
        <w:t>/</w:t>
      </w:r>
      <w:r>
        <w:t> </w:t>
      </w:r>
      <w:r>
        <w:rPr>
          <w:rFonts w:hint="eastAsia"/>
        </w:rPr>
        <w:t>[1 </w:t>
      </w:r>
      <w:r>
        <w:rPr>
          <w:rFonts w:ascii="Symbol" w:hAnsi="Symbol"/>
          <w:lang w:val="en-US"/>
        </w:rPr>
        <w:t></w:t>
      </w:r>
      <w:r>
        <w:t> </w:t>
      </w:r>
      <w:r>
        <w:rPr>
          <w:rFonts w:hint="eastAsia"/>
        </w:rPr>
        <w:t>0</w:t>
      </w:r>
      <w:r>
        <w:t>,</w:t>
      </w:r>
      <w:r>
        <w:rPr>
          <w:rFonts w:hint="eastAsia"/>
        </w:rPr>
        <w:t>8450</w:t>
      </w:r>
      <w:r>
        <w:t> </w:t>
      </w:r>
      <w:r>
        <w:sym w:font="Symbol" w:char="F071"/>
      </w:r>
      <w:r>
        <w:rPr>
          <w:rFonts w:hint="eastAsia"/>
        </w:rPr>
        <w:t> </w:t>
      </w:r>
      <w:r>
        <w:rPr>
          <w:rFonts w:ascii="Symbol" w:hAnsi="Symbol"/>
          <w:lang w:val="en-US"/>
        </w:rPr>
        <w:t></w:t>
      </w:r>
      <w:r>
        <w:t> </w:t>
      </w:r>
      <w:r>
        <w:rPr>
          <w:rFonts w:hint="eastAsia"/>
        </w:rPr>
        <w:t>0</w:t>
      </w:r>
      <w:r>
        <w:t>,</w:t>
      </w:r>
      <w:r>
        <w:rPr>
          <w:rFonts w:hint="eastAsia"/>
        </w:rPr>
        <w:t>06450</w:t>
      </w:r>
      <w:r>
        <w:t> </w:t>
      </w:r>
      <w:r>
        <w:sym w:font="Symbol" w:char="F071"/>
      </w:r>
      <w:r>
        <w:rPr>
          <w:rFonts w:hint="eastAsia"/>
          <w:vertAlign w:val="superscript"/>
        </w:rPr>
        <w:t>2</w:t>
      </w:r>
      <w:r>
        <w:t> – </w:t>
      </w:r>
      <w:r>
        <w:rPr>
          <w:rFonts w:hint="eastAsia"/>
        </w:rPr>
        <w:t>0</w:t>
      </w:r>
      <w:r>
        <w:t>,</w:t>
      </w:r>
      <w:r>
        <w:rPr>
          <w:rFonts w:hint="eastAsia"/>
        </w:rPr>
        <w:t>002107</w:t>
      </w:r>
      <w:r>
        <w:t> </w:t>
      </w:r>
      <w:r>
        <w:sym w:font="Symbol" w:char="F071"/>
      </w:r>
      <w:r>
        <w:rPr>
          <w:rFonts w:hint="eastAsia"/>
          <w:vertAlign w:val="superscript"/>
        </w:rPr>
        <w:t>3</w:t>
      </w:r>
      <w:r>
        <w:rPr>
          <w:rFonts w:hint="eastAsia"/>
        </w:rPr>
        <w:t> </w:t>
      </w:r>
      <w:r>
        <w:rPr>
          <w:rFonts w:ascii="Symbol" w:hAnsi="Symbol"/>
          <w:lang w:val="en-US"/>
        </w:rPr>
        <w:t></w:t>
      </w:r>
      <w:r>
        <w:t> </w:t>
      </w:r>
      <w:r>
        <w:rPr>
          <w:rFonts w:hint="eastAsia"/>
        </w:rPr>
        <w:t>0</w:t>
      </w:r>
      <w:r>
        <w:t>,</w:t>
      </w:r>
      <w:r>
        <w:rPr>
          <w:rFonts w:hint="eastAsia"/>
        </w:rPr>
        <w:t>1657</w:t>
      </w:r>
      <w:r>
        <w:t> </w:t>
      </w:r>
      <w:r>
        <w:rPr>
          <w:rFonts w:ascii="Symbol" w:hAnsi="Symbol"/>
        </w:rPr>
        <w:t></w:t>
      </w:r>
      <w:r>
        <w:t> </w:t>
      </w:r>
      <w:r>
        <w:rPr>
          <w:rFonts w:hint="eastAsia"/>
        </w:rPr>
        <w:t>10</w:t>
      </w:r>
      <w:r>
        <w:rPr>
          <w:vertAlign w:val="superscript"/>
        </w:rPr>
        <w:t>–4</w:t>
      </w:r>
      <w:r>
        <w:t> </w:t>
      </w:r>
      <w:r>
        <w:sym w:font="Symbol" w:char="F071"/>
      </w:r>
      <w:r>
        <w:rPr>
          <w:vertAlign w:val="superscript"/>
        </w:rPr>
        <w:t>4 </w:t>
      </w:r>
      <w:r>
        <w:rPr>
          <w:rFonts w:ascii="Symbol" w:hAnsi="Symbol"/>
          <w:lang w:val="es-ES"/>
        </w:rPr>
        <w:t></w:t>
      </w:r>
      <w:r>
        <w:br/>
      </w:r>
      <w:r>
        <w:tab/>
      </w:r>
      <w:r>
        <w:tab/>
      </w:r>
      <w:r>
        <w:rPr>
          <w:rFonts w:hint="eastAsia"/>
          <w:i/>
        </w:rPr>
        <w:t>h</w:t>
      </w:r>
      <w:r>
        <w:t> </w:t>
      </w:r>
      <w:r>
        <w:rPr>
          <w:rFonts w:hint="eastAsia"/>
        </w:rPr>
        <w:t>(0</w:t>
      </w:r>
      <w:r>
        <w:t>,</w:t>
      </w:r>
      <w:r>
        <w:rPr>
          <w:rFonts w:hint="eastAsia"/>
        </w:rPr>
        <w:t>2902</w:t>
      </w:r>
      <w:r>
        <w:rPr>
          <w:i/>
        </w:rPr>
        <w:t> </w:t>
      </w:r>
      <w:r>
        <w:rPr>
          <w:rFonts w:ascii="Symbol" w:hAnsi="Symbol"/>
          <w:lang w:val="es-ES"/>
        </w:rPr>
        <w:t></w:t>
      </w:r>
      <w:r>
        <w:t> </w:t>
      </w:r>
      <w:r>
        <w:rPr>
          <w:rFonts w:hint="eastAsia"/>
        </w:rPr>
        <w:t>0</w:t>
      </w:r>
      <w:r>
        <w:t>,</w:t>
      </w:r>
      <w:r>
        <w:rPr>
          <w:rFonts w:hint="eastAsia"/>
        </w:rPr>
        <w:t>3773</w:t>
      </w:r>
      <w:r>
        <w:t> </w:t>
      </w:r>
      <w:r>
        <w:sym w:font="Symbol" w:char="F071"/>
      </w:r>
      <w:r>
        <w:rPr>
          <w:rFonts w:hint="eastAsia"/>
        </w:rPr>
        <w:t>)</w:t>
      </w:r>
      <w:r>
        <w:t> </w:t>
      </w:r>
      <w:r>
        <w:rPr>
          <w:rFonts w:ascii="Symbol" w:hAnsi="Symbol"/>
          <w:lang w:val="es-ES"/>
        </w:rPr>
        <w:t></w:t>
      </w:r>
      <w:r>
        <w:t> </w:t>
      </w:r>
      <w:r>
        <w:rPr>
          <w:rFonts w:hint="eastAsia"/>
          <w:i/>
        </w:rPr>
        <w:t>h</w:t>
      </w:r>
      <w:r>
        <w:rPr>
          <w:rFonts w:hint="eastAsia"/>
          <w:vertAlign w:val="superscript"/>
        </w:rPr>
        <w:t>2</w:t>
      </w:r>
      <w:r>
        <w:t> </w:t>
      </w:r>
      <w:r>
        <w:rPr>
          <w:rFonts w:hint="eastAsia"/>
        </w:rPr>
        <w:t>(0</w:t>
      </w:r>
      <w:r>
        <w:t>,</w:t>
      </w:r>
      <w:r>
        <w:rPr>
          <w:rFonts w:hint="eastAsia"/>
        </w:rPr>
        <w:t>09362</w:t>
      </w:r>
      <w:r>
        <w:t> </w:t>
      </w:r>
      <w:r>
        <w:rPr>
          <w:rFonts w:ascii="Symbol" w:hAnsi="Symbol"/>
          <w:lang w:val="es-ES"/>
        </w:rPr>
        <w:t></w:t>
      </w:r>
      <w:r>
        <w:t> </w:t>
      </w:r>
      <w:r>
        <w:rPr>
          <w:rFonts w:hint="eastAsia"/>
        </w:rPr>
        <w:t>0</w:t>
      </w:r>
      <w:r>
        <w:t>,</w:t>
      </w:r>
      <w:r>
        <w:rPr>
          <w:rFonts w:hint="eastAsia"/>
        </w:rPr>
        <w:t>1667</w:t>
      </w:r>
      <w:r>
        <w:t> </w:t>
      </w:r>
      <w:r>
        <w:sym w:font="Symbol" w:char="F071"/>
      </w:r>
      <w:r>
        <w:rPr>
          <w:rFonts w:hint="eastAsia"/>
        </w:rPr>
        <w:t>) </w:t>
      </w:r>
      <w:r>
        <w:rPr>
          <w:rFonts w:ascii="Symbol" w:hAnsi="Symbol"/>
          <w:lang w:val="en-US"/>
        </w:rPr>
        <w:t></w:t>
      </w:r>
      <w:r>
        <w:t> </w:t>
      </w:r>
      <w:r>
        <w:rPr>
          <w:rFonts w:hint="eastAsia"/>
        </w:rPr>
        <w:t>0</w:t>
      </w:r>
      <w:r>
        <w:t>,</w:t>
      </w:r>
      <w:r>
        <w:rPr>
          <w:rFonts w:hint="eastAsia"/>
        </w:rPr>
        <w:t>03977</w:t>
      </w:r>
      <w:r>
        <w:t> </w:t>
      </w:r>
      <w:r>
        <w:rPr>
          <w:rFonts w:hint="eastAsia"/>
          <w:i/>
        </w:rPr>
        <w:t>h</w:t>
      </w:r>
      <w:r>
        <w:rPr>
          <w:rFonts w:hint="eastAsia"/>
          <w:vertAlign w:val="superscript"/>
        </w:rPr>
        <w:t>3</w:t>
      </w:r>
      <w:r>
        <w:rPr>
          <w:rFonts w:hint="eastAsia"/>
        </w:rPr>
        <w:t>]</w:t>
      </w:r>
      <w:r>
        <w:tab/>
      </w:r>
      <w:r>
        <w:rPr>
          <w:rFonts w:hint="eastAsia"/>
        </w:rPr>
        <w:t>(5a)</w:t>
      </w:r>
    </w:p>
    <w:p w:rsidR="002B489A" w:rsidRDefault="004F19C4">
      <w:pPr>
        <w:pStyle w:val="Equation"/>
        <w:tabs>
          <w:tab w:val="clear" w:pos="794"/>
          <w:tab w:val="clear" w:pos="4820"/>
          <w:tab w:val="left" w:pos="540"/>
          <w:tab w:val="left" w:pos="1652"/>
        </w:tabs>
        <w:jc w:val="left"/>
        <w:rPr>
          <w:lang w:val="en-US"/>
        </w:rPr>
      </w:pPr>
      <w:r>
        <w:rPr>
          <w:i/>
        </w:rPr>
        <w:tab/>
      </w:r>
      <w:r>
        <w:rPr>
          <w:rFonts w:hint="eastAsia"/>
          <w:i/>
          <w:lang w:val="en-US"/>
        </w:rPr>
        <w:t>A</w:t>
      </w:r>
      <w:r>
        <w:rPr>
          <w:rFonts w:hint="eastAsia"/>
          <w:i/>
          <w:vertAlign w:val="subscript"/>
          <w:lang w:val="en-US"/>
        </w:rPr>
        <w:t>M</w:t>
      </w:r>
      <w:r>
        <w:rPr>
          <w:i/>
          <w:vertAlign w:val="subscript"/>
          <w:lang w:val="en-US"/>
        </w:rPr>
        <w:t> </w:t>
      </w:r>
      <w:r>
        <w:rPr>
          <w:rFonts w:hint="eastAsia"/>
          <w:lang w:val="en-US"/>
        </w:rPr>
        <w:t>(</w:t>
      </w:r>
      <w:r>
        <w:rPr>
          <w:rFonts w:hint="eastAsia"/>
          <w:i/>
          <w:lang w:val="en-US"/>
        </w:rPr>
        <w:t>h</w:t>
      </w:r>
      <w:r>
        <w:rPr>
          <w:rFonts w:hint="eastAsia"/>
          <w:lang w:val="en-US"/>
        </w:rPr>
        <w:t xml:space="preserve">, </w:t>
      </w:r>
      <w:r>
        <w:rPr>
          <w:rFonts w:ascii="Symbol" w:hAnsi="Symbol"/>
        </w:rPr>
        <w:sym w:font="Symbol" w:char="F071"/>
      </w:r>
      <w:r>
        <w:rPr>
          <w:rFonts w:hint="eastAsia"/>
          <w:lang w:val="en-US"/>
        </w:rPr>
        <w:t>)</w:t>
      </w:r>
      <w:r>
        <w:rPr>
          <w:lang w:val="en-US"/>
        </w:rPr>
        <w:t> </w:t>
      </w:r>
      <w:r>
        <w:rPr>
          <w:rFonts w:ascii="Symbol" w:hAnsi="Symbol"/>
          <w:lang w:val="es-ES"/>
        </w:rPr>
        <w:t></w:t>
      </w:r>
      <w:r>
        <w:rPr>
          <w:rFonts w:ascii="Symbol" w:hAnsi="Symbol"/>
          <w:lang w:val="en-US"/>
        </w:rPr>
        <w:tab/>
      </w:r>
      <w:r>
        <w:rPr>
          <w:rFonts w:hint="eastAsia"/>
          <w:lang w:val="en-US"/>
        </w:rPr>
        <w:t>17</w:t>
      </w:r>
      <w:r>
        <w:rPr>
          <w:lang w:val="en-US"/>
        </w:rPr>
        <w:t>,</w:t>
      </w:r>
      <w:r>
        <w:rPr>
          <w:rFonts w:hint="eastAsia"/>
          <w:lang w:val="en-US"/>
        </w:rPr>
        <w:t>15</w:t>
      </w:r>
      <w:r>
        <w:rPr>
          <w:lang w:val="en-US"/>
        </w:rPr>
        <w:t> </w:t>
      </w:r>
      <w:r>
        <w:rPr>
          <w:rFonts w:hint="eastAsia"/>
          <w:lang w:val="en-US"/>
        </w:rPr>
        <w:t>/</w:t>
      </w:r>
      <w:r>
        <w:rPr>
          <w:lang w:val="en-US"/>
        </w:rPr>
        <w:t> </w:t>
      </w:r>
      <w:r>
        <w:rPr>
          <w:rFonts w:hint="eastAsia"/>
          <w:lang w:val="en-US"/>
        </w:rPr>
        <w:t>[1 </w:t>
      </w:r>
      <w:r>
        <w:rPr>
          <w:rFonts w:ascii="Symbol" w:hAnsi="Symbol"/>
          <w:lang w:val="en-US"/>
        </w:rPr>
        <w:t></w:t>
      </w:r>
      <w:r>
        <w:rPr>
          <w:lang w:val="en-US"/>
        </w:rPr>
        <w:t> </w:t>
      </w:r>
      <w:r>
        <w:rPr>
          <w:rFonts w:hint="eastAsia"/>
          <w:lang w:val="en-US"/>
        </w:rPr>
        <w:t>0</w:t>
      </w:r>
      <w:r>
        <w:rPr>
          <w:lang w:val="en-US"/>
        </w:rPr>
        <w:t>,</w:t>
      </w:r>
      <w:r>
        <w:rPr>
          <w:rFonts w:hint="eastAsia"/>
          <w:lang w:val="en-US"/>
        </w:rPr>
        <w:t>8101</w:t>
      </w:r>
      <w:r>
        <w:rPr>
          <w:lang w:val="en-US"/>
        </w:rPr>
        <w:t> </w:t>
      </w:r>
      <w:r>
        <w:sym w:font="Symbol" w:char="F071"/>
      </w:r>
      <w:r>
        <w:rPr>
          <w:rFonts w:hint="eastAsia"/>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02691</w:t>
      </w:r>
      <w:r>
        <w:rPr>
          <w:iCs/>
        </w:rPr>
        <w:sym w:font="Symbol" w:char="F071"/>
      </w:r>
      <w:r>
        <w:rPr>
          <w:rFonts w:hint="eastAsia"/>
          <w:vertAlign w:val="superscript"/>
          <w:lang w:val="en-US"/>
        </w:rPr>
        <w:t>2</w:t>
      </w:r>
      <w:r>
        <w:rPr>
          <w:rFonts w:hint="eastAsia"/>
          <w:lang w:val="en-US"/>
        </w:rPr>
        <w:t> </w:t>
      </w:r>
      <w:r>
        <w:rPr>
          <w:rFonts w:ascii="Symbol" w:hAnsi="Symbol"/>
          <w:lang w:val="en-US"/>
        </w:rPr>
        <w:t></w:t>
      </w:r>
      <w:r>
        <w:rPr>
          <w:lang w:val="en-US"/>
        </w:rPr>
        <w:t> </w:t>
      </w:r>
      <w:r>
        <w:rPr>
          <w:rFonts w:hint="eastAsia"/>
          <w:i/>
          <w:lang w:val="en-US"/>
        </w:rPr>
        <w:t>h</w:t>
      </w:r>
      <w:r>
        <w:rPr>
          <w:lang w:val="en-US"/>
        </w:rPr>
        <w:t> </w:t>
      </w:r>
      <w:r>
        <w:rPr>
          <w:rFonts w:hint="eastAsia"/>
          <w:lang w:val="en-US"/>
        </w:rPr>
        <w:t>(0</w:t>
      </w:r>
      <w:r>
        <w:rPr>
          <w:lang w:val="en-US"/>
        </w:rPr>
        <w:t>,</w:t>
      </w:r>
      <w:r>
        <w:rPr>
          <w:rFonts w:hint="eastAsia"/>
          <w:lang w:val="en-US"/>
        </w:rPr>
        <w:t>2374 </w:t>
      </w:r>
      <w:r>
        <w:rPr>
          <w:rFonts w:ascii="Symbol" w:hAnsi="Symbol"/>
          <w:lang w:val="en-US"/>
        </w:rPr>
        <w:t></w:t>
      </w:r>
      <w:r>
        <w:rPr>
          <w:lang w:val="en-US"/>
        </w:rPr>
        <w:t> </w:t>
      </w:r>
      <w:r>
        <w:rPr>
          <w:rFonts w:hint="eastAsia"/>
          <w:lang w:val="en-US"/>
        </w:rPr>
        <w:t>0</w:t>
      </w:r>
      <w:r>
        <w:rPr>
          <w:lang w:val="en-US"/>
        </w:rPr>
        <w:t>,</w:t>
      </w:r>
      <w:r>
        <w:rPr>
          <w:rFonts w:hint="eastAsia"/>
          <w:lang w:val="en-US"/>
        </w:rPr>
        <w:t>2727</w:t>
      </w:r>
      <w:r>
        <w:rPr>
          <w:lang w:val="en-US"/>
        </w:rPr>
        <w:t> </w:t>
      </w:r>
      <w:r>
        <w:sym w:font="Symbol" w:char="F071"/>
      </w:r>
      <w:r>
        <w:rPr>
          <w:rFonts w:hint="eastAsia"/>
          <w:lang w:val="en-US"/>
        </w:rPr>
        <w:t>)</w:t>
      </w:r>
      <w:r>
        <w:rPr>
          <w:lang w:val="en-US"/>
        </w:rPr>
        <w:t> </w:t>
      </w:r>
      <w:r>
        <w:rPr>
          <w:rFonts w:ascii="Symbol" w:hAnsi="Symbol"/>
          <w:lang w:val="en-US"/>
        </w:rPr>
        <w:t></w:t>
      </w:r>
      <w:r>
        <w:rPr>
          <w:lang w:val="en-US"/>
        </w:rPr>
        <w:br/>
      </w:r>
      <w:r>
        <w:rPr>
          <w:lang w:val="en-US"/>
        </w:rPr>
        <w:tab/>
      </w:r>
      <w:r>
        <w:rPr>
          <w:lang w:val="en-US"/>
        </w:rPr>
        <w:tab/>
      </w:r>
      <w:r>
        <w:rPr>
          <w:rFonts w:hint="eastAsia"/>
          <w:i/>
          <w:lang w:val="en-US"/>
        </w:rPr>
        <w:t>h</w:t>
      </w:r>
      <w:r>
        <w:rPr>
          <w:rFonts w:hint="eastAsia"/>
          <w:vertAlign w:val="superscript"/>
          <w:lang w:val="en-US"/>
        </w:rPr>
        <w:t>2</w:t>
      </w:r>
      <w:r>
        <w:rPr>
          <w:lang w:val="en-US"/>
        </w:rPr>
        <w:t> </w:t>
      </w:r>
      <w:r>
        <w:rPr>
          <w:rFonts w:hint="eastAsia"/>
          <w:lang w:val="en-US"/>
        </w:rPr>
        <w:t>(0</w:t>
      </w:r>
      <w:r>
        <w:rPr>
          <w:lang w:val="en-US"/>
        </w:rPr>
        <w:t>,</w:t>
      </w:r>
      <w:r>
        <w:rPr>
          <w:rFonts w:hint="eastAsia"/>
          <w:lang w:val="en-US"/>
        </w:rPr>
        <w:t>1157 </w:t>
      </w:r>
      <w:r>
        <w:rPr>
          <w:rFonts w:ascii="Symbol" w:hAnsi="Symbol"/>
          <w:lang w:val="en-US"/>
        </w:rPr>
        <w:t></w:t>
      </w:r>
      <w:r>
        <w:rPr>
          <w:lang w:val="en-US"/>
        </w:rPr>
        <w:t> </w:t>
      </w:r>
      <w:r>
        <w:rPr>
          <w:rFonts w:hint="eastAsia"/>
          <w:lang w:val="en-US"/>
        </w:rPr>
        <w:t>0</w:t>
      </w:r>
      <w:r>
        <w:rPr>
          <w:lang w:val="en-US"/>
        </w:rPr>
        <w:t>,</w:t>
      </w:r>
      <w:r>
        <w:rPr>
          <w:rFonts w:hint="eastAsia"/>
          <w:lang w:val="en-US"/>
        </w:rPr>
        <w:t>08487</w:t>
      </w:r>
      <w:r>
        <w:rPr>
          <w:lang w:val="en-US"/>
        </w:rPr>
        <w:t> </w:t>
      </w:r>
      <w:r>
        <w:sym w:font="Symbol" w:char="F071"/>
      </w:r>
      <w:r>
        <w:rPr>
          <w:rFonts w:hint="eastAsia"/>
          <w:lang w:val="en-US"/>
        </w:rPr>
        <w:t>)]</w:t>
      </w:r>
      <w:r>
        <w:rPr>
          <w:rFonts w:hint="eastAsia"/>
          <w:lang w:val="en-US"/>
        </w:rPr>
        <w:tab/>
        <w:t>(5b)</w:t>
      </w:r>
    </w:p>
    <w:p w:rsidR="002B489A" w:rsidRDefault="004F19C4">
      <w:pPr>
        <w:pStyle w:val="Equation"/>
        <w:tabs>
          <w:tab w:val="clear" w:pos="794"/>
          <w:tab w:val="clear" w:pos="4820"/>
          <w:tab w:val="left" w:pos="540"/>
          <w:tab w:val="left" w:pos="1652"/>
        </w:tabs>
        <w:jc w:val="left"/>
        <w:rPr>
          <w:lang w:val="en-US"/>
        </w:rPr>
      </w:pPr>
      <w:r>
        <w:rPr>
          <w:i/>
          <w:lang w:val="en-US"/>
        </w:rPr>
        <w:tab/>
      </w:r>
      <w:r>
        <w:rPr>
          <w:rFonts w:hint="eastAsia"/>
          <w:i/>
          <w:lang w:val="en-US"/>
        </w:rPr>
        <w:t>A</w:t>
      </w:r>
      <w:r>
        <w:rPr>
          <w:rFonts w:hint="eastAsia"/>
          <w:i/>
          <w:vertAlign w:val="subscript"/>
          <w:lang w:val="en-US"/>
        </w:rPr>
        <w:t>H</w:t>
      </w:r>
      <w:r>
        <w:rPr>
          <w:i/>
          <w:vertAlign w:val="subscript"/>
          <w:lang w:val="en-US"/>
        </w:rPr>
        <w:t> </w:t>
      </w:r>
      <w:r>
        <w:rPr>
          <w:rFonts w:hint="eastAsia"/>
          <w:lang w:val="en-US"/>
        </w:rPr>
        <w:t>(</w:t>
      </w:r>
      <w:r>
        <w:rPr>
          <w:rFonts w:hint="eastAsia"/>
          <w:i/>
          <w:lang w:val="en-US"/>
        </w:rPr>
        <w:t>h</w:t>
      </w:r>
      <w:r>
        <w:rPr>
          <w:rFonts w:hint="eastAsia"/>
          <w:lang w:val="en-US"/>
        </w:rPr>
        <w:t xml:space="preserve">, </w:t>
      </w:r>
      <w:r>
        <w:rPr>
          <w:rFonts w:ascii="Symbol" w:hAnsi="Symbol"/>
        </w:rPr>
        <w:sym w:font="Symbol" w:char="F071"/>
      </w:r>
      <w:r>
        <w:rPr>
          <w:rFonts w:hint="eastAsia"/>
          <w:lang w:val="en-US"/>
        </w:rPr>
        <w:t>)</w:t>
      </w:r>
      <w:r>
        <w:rPr>
          <w:lang w:val="en-US"/>
        </w:rPr>
        <w:t> </w:t>
      </w:r>
      <w:r>
        <w:rPr>
          <w:rFonts w:ascii="Symbol" w:hAnsi="Symbol"/>
          <w:lang w:val="es-ES"/>
        </w:rPr>
        <w:t></w:t>
      </w:r>
      <w:r>
        <w:rPr>
          <w:lang w:val="en-US"/>
        </w:rPr>
        <w:tab/>
      </w:r>
      <w:r>
        <w:rPr>
          <w:rFonts w:hint="eastAsia"/>
          <w:lang w:val="en-US"/>
        </w:rPr>
        <w:t>9</w:t>
      </w:r>
      <w:r>
        <w:rPr>
          <w:lang w:val="en-US"/>
        </w:rPr>
        <w:t>,</w:t>
      </w:r>
      <w:r>
        <w:rPr>
          <w:rFonts w:hint="eastAsia"/>
          <w:lang w:val="en-US"/>
        </w:rPr>
        <w:t>87</w:t>
      </w:r>
      <w:r>
        <w:rPr>
          <w:lang w:val="en-US"/>
        </w:rPr>
        <w:t> </w:t>
      </w:r>
      <w:r>
        <w:rPr>
          <w:rFonts w:hint="eastAsia"/>
          <w:lang w:val="en-US"/>
        </w:rPr>
        <w:t>/</w:t>
      </w:r>
      <w:r>
        <w:rPr>
          <w:lang w:val="en-US"/>
        </w:rPr>
        <w:t> </w:t>
      </w:r>
      <w:r>
        <w:rPr>
          <w:rFonts w:hint="eastAsia"/>
          <w:lang w:val="en-US"/>
        </w:rPr>
        <w:t>[1 </w:t>
      </w:r>
      <w:r>
        <w:rPr>
          <w:rFonts w:ascii="Symbol" w:hAnsi="Symbol"/>
          <w:lang w:val="en-US"/>
        </w:rPr>
        <w:t></w:t>
      </w:r>
      <w:r>
        <w:rPr>
          <w:lang w:val="en-US"/>
        </w:rPr>
        <w:t> </w:t>
      </w:r>
      <w:r>
        <w:rPr>
          <w:rFonts w:hint="eastAsia"/>
          <w:lang w:val="en-US"/>
        </w:rPr>
        <w:t>0</w:t>
      </w:r>
      <w:r>
        <w:rPr>
          <w:lang w:val="en-US"/>
        </w:rPr>
        <w:t>,</w:t>
      </w:r>
      <w:r>
        <w:rPr>
          <w:rFonts w:hint="eastAsia"/>
          <w:lang w:val="en-US"/>
        </w:rPr>
        <w:t>6239</w:t>
      </w:r>
      <w:r>
        <w:rPr>
          <w:lang w:val="en-US"/>
        </w:rPr>
        <w:t> </w:t>
      </w:r>
      <w:r>
        <w:sym w:font="Symbol" w:char="F071"/>
      </w:r>
      <w:r>
        <w:rPr>
          <w:rFonts w:hint="eastAsia"/>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04358</w:t>
      </w:r>
      <w:r>
        <w:rPr>
          <w:lang w:val="en-US"/>
        </w:rPr>
        <w:t> </w:t>
      </w:r>
      <w:r>
        <w:sym w:font="Symbol" w:char="F071"/>
      </w:r>
      <w:r>
        <w:rPr>
          <w:rFonts w:hint="eastAsia"/>
          <w:vertAlign w:val="superscript"/>
          <w:lang w:val="en-US"/>
        </w:rPr>
        <w:t>2</w:t>
      </w:r>
      <w:r>
        <w:rPr>
          <w:rFonts w:hint="eastAsia"/>
          <w:lang w:val="en-US"/>
        </w:rPr>
        <w:t> </w:t>
      </w:r>
      <w:r>
        <w:rPr>
          <w:rFonts w:ascii="Symbol" w:hAnsi="Symbol"/>
          <w:lang w:val="en-US"/>
        </w:rPr>
        <w:t></w:t>
      </w:r>
      <w:r>
        <w:rPr>
          <w:lang w:val="en-US"/>
        </w:rPr>
        <w:t> </w:t>
      </w:r>
      <w:r>
        <w:rPr>
          <w:rFonts w:hint="eastAsia"/>
          <w:i/>
          <w:lang w:val="en-US"/>
        </w:rPr>
        <w:t>h</w:t>
      </w:r>
      <w:r>
        <w:rPr>
          <w:lang w:val="en-US"/>
        </w:rPr>
        <w:t> </w:t>
      </w:r>
      <w:r>
        <w:rPr>
          <w:rFonts w:hint="eastAsia"/>
          <w:lang w:val="en-US"/>
        </w:rPr>
        <w:t>(0</w:t>
      </w:r>
      <w:r>
        <w:rPr>
          <w:lang w:val="en-US"/>
        </w:rPr>
        <w:t>,</w:t>
      </w:r>
      <w:r>
        <w:rPr>
          <w:rFonts w:hint="eastAsia"/>
          <w:lang w:val="en-US"/>
        </w:rPr>
        <w:t>07017 </w:t>
      </w:r>
      <w:r>
        <w:rPr>
          <w:rFonts w:ascii="Symbol" w:hAnsi="Symbol"/>
          <w:lang w:val="en-US"/>
        </w:rPr>
        <w:t></w:t>
      </w:r>
      <w:r>
        <w:rPr>
          <w:lang w:val="en-US"/>
        </w:rPr>
        <w:t> </w:t>
      </w:r>
      <w:r>
        <w:rPr>
          <w:rFonts w:hint="eastAsia"/>
          <w:lang w:val="en-US"/>
        </w:rPr>
        <w:t>0</w:t>
      </w:r>
      <w:r>
        <w:rPr>
          <w:lang w:val="en-US"/>
        </w:rPr>
        <w:t>,</w:t>
      </w:r>
      <w:r>
        <w:rPr>
          <w:rFonts w:hint="eastAsia"/>
          <w:lang w:val="en-US"/>
        </w:rPr>
        <w:t>3633</w:t>
      </w:r>
      <w:r>
        <w:rPr>
          <w:lang w:val="en-US"/>
        </w:rPr>
        <w:t> </w:t>
      </w:r>
      <w:r>
        <w:sym w:font="Symbol" w:char="F071"/>
      </w:r>
      <w:r>
        <w:rPr>
          <w:rFonts w:hint="eastAsia"/>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1166</w:t>
      </w:r>
      <w:r>
        <w:rPr>
          <w:lang w:val="en-US"/>
        </w:rPr>
        <w:t> </w:t>
      </w:r>
      <w:r>
        <w:rPr>
          <w:rFonts w:hint="eastAsia"/>
          <w:i/>
          <w:iCs/>
          <w:lang w:val="en-US"/>
        </w:rPr>
        <w:t>h</w:t>
      </w:r>
      <w:r>
        <w:rPr>
          <w:rFonts w:hint="eastAsia"/>
          <w:vertAlign w:val="superscript"/>
          <w:lang w:val="en-US"/>
        </w:rPr>
        <w:t>2</w:t>
      </w:r>
      <w:r>
        <w:rPr>
          <w:rFonts w:hint="eastAsia"/>
          <w:lang w:val="en-US"/>
        </w:rPr>
        <w:t>]</w:t>
      </w:r>
      <w:r>
        <w:rPr>
          <w:rFonts w:hint="eastAsia"/>
          <w:b/>
          <w:lang w:val="en-US"/>
        </w:rPr>
        <w:tab/>
      </w:r>
      <w:r>
        <w:rPr>
          <w:rFonts w:hint="eastAsia"/>
          <w:lang w:val="en-US"/>
        </w:rPr>
        <w:t>(5c)</w:t>
      </w:r>
    </w:p>
    <w:p w:rsidR="002B489A" w:rsidRDefault="004F19C4">
      <w:pPr>
        <w:pStyle w:val="Headingb"/>
      </w:pPr>
      <w:r>
        <w:t xml:space="preserve">Bande de fréquences </w:t>
      </w:r>
      <w:r>
        <w:rPr>
          <w:rFonts w:hint="eastAsia"/>
        </w:rPr>
        <w:t>22</w:t>
      </w:r>
      <w:r>
        <w:t>,</w:t>
      </w:r>
      <w:r>
        <w:rPr>
          <w:rFonts w:hint="eastAsia"/>
        </w:rPr>
        <w:t>21-22</w:t>
      </w:r>
      <w:r>
        <w:t>,</w:t>
      </w:r>
      <w:r>
        <w:rPr>
          <w:rFonts w:hint="eastAsia"/>
        </w:rPr>
        <w:t>5 GHz</w:t>
      </w:r>
    </w:p>
    <w:p w:rsidR="002B489A" w:rsidRDefault="004F19C4">
      <w:pPr>
        <w:pStyle w:val="Equation"/>
        <w:tabs>
          <w:tab w:val="clear" w:pos="794"/>
          <w:tab w:val="clear" w:pos="4820"/>
          <w:tab w:val="left" w:pos="540"/>
          <w:tab w:val="left" w:pos="1652"/>
        </w:tabs>
        <w:jc w:val="left"/>
        <w:rPr>
          <w:lang w:val="en-US"/>
        </w:rPr>
      </w:pPr>
      <w:r>
        <w:rPr>
          <w:i/>
          <w:lang w:val="en-US"/>
        </w:rPr>
        <w:tab/>
      </w:r>
      <w:r>
        <w:rPr>
          <w:rFonts w:hint="eastAsia"/>
          <w:i/>
          <w:lang w:val="en-US"/>
        </w:rPr>
        <w:t>A</w:t>
      </w:r>
      <w:r>
        <w:rPr>
          <w:rFonts w:hint="eastAsia"/>
          <w:i/>
          <w:vertAlign w:val="subscript"/>
          <w:lang w:val="en-US"/>
        </w:rPr>
        <w:t>L</w:t>
      </w:r>
      <w:r>
        <w:rPr>
          <w:i/>
          <w:vertAlign w:val="subscript"/>
          <w:lang w:val="en-US"/>
        </w:rPr>
        <w:t> </w:t>
      </w:r>
      <w:r>
        <w:rPr>
          <w:rFonts w:hint="eastAsia"/>
          <w:lang w:val="en-US"/>
        </w:rPr>
        <w:t>(</w:t>
      </w:r>
      <w:r>
        <w:rPr>
          <w:rFonts w:hint="eastAsia"/>
          <w:i/>
          <w:lang w:val="en-US"/>
        </w:rPr>
        <w:t>h</w:t>
      </w:r>
      <w:r>
        <w:rPr>
          <w:rFonts w:hint="eastAsia"/>
          <w:lang w:val="en-US"/>
        </w:rPr>
        <w:t xml:space="preserve">, </w:t>
      </w:r>
      <w:r>
        <w:rPr>
          <w:rFonts w:ascii="Symbol" w:hAnsi="Symbol"/>
        </w:rPr>
        <w:sym w:font="Symbol" w:char="F071"/>
      </w:r>
      <w:r>
        <w:rPr>
          <w:rFonts w:hint="eastAsia"/>
          <w:lang w:val="en-US"/>
        </w:rPr>
        <w:t>)</w:t>
      </w:r>
      <w:r>
        <w:rPr>
          <w:lang w:val="en-US"/>
        </w:rPr>
        <w:t> </w:t>
      </w:r>
      <w:r>
        <w:rPr>
          <w:rFonts w:ascii="Symbol" w:hAnsi="Symbol"/>
          <w:lang w:val="es-ES"/>
        </w:rPr>
        <w:t></w:t>
      </w:r>
      <w:r>
        <w:rPr>
          <w:lang w:val="en-US"/>
        </w:rPr>
        <w:tab/>
      </w:r>
      <w:r>
        <w:rPr>
          <w:rFonts w:hint="eastAsia"/>
          <w:lang w:val="en-US"/>
        </w:rPr>
        <w:t>47</w:t>
      </w:r>
      <w:r>
        <w:rPr>
          <w:lang w:val="en-US"/>
        </w:rPr>
        <w:t>,</w:t>
      </w:r>
      <w:r>
        <w:rPr>
          <w:rFonts w:hint="eastAsia"/>
          <w:lang w:val="en-US"/>
        </w:rPr>
        <w:t>63</w:t>
      </w:r>
      <w:r>
        <w:rPr>
          <w:lang w:val="en-US"/>
        </w:rPr>
        <w:t> </w:t>
      </w:r>
      <w:r>
        <w:rPr>
          <w:rFonts w:hint="eastAsia"/>
          <w:lang w:val="en-US"/>
        </w:rPr>
        <w:t>/</w:t>
      </w:r>
      <w:r>
        <w:rPr>
          <w:lang w:val="en-US"/>
        </w:rPr>
        <w:t> </w:t>
      </w:r>
      <w:r>
        <w:rPr>
          <w:rFonts w:hint="eastAsia"/>
          <w:lang w:val="en-US"/>
        </w:rPr>
        <w:t>[1</w:t>
      </w:r>
      <w:r>
        <w:rPr>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7826</w:t>
      </w:r>
      <w:r>
        <w:rPr>
          <w:lang w:val="en-US"/>
        </w:rPr>
        <w:t> </w:t>
      </w:r>
      <w:r>
        <w:sym w:font="Symbol" w:char="F071"/>
      </w:r>
      <w:r>
        <w:rPr>
          <w:i/>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1060</w:t>
      </w:r>
      <w:r>
        <w:rPr>
          <w:lang w:val="en-US"/>
        </w:rPr>
        <w:t> </w:t>
      </w:r>
      <w:r>
        <w:sym w:font="Symbol" w:char="F071"/>
      </w:r>
      <w:r>
        <w:rPr>
          <w:rFonts w:hint="eastAsia"/>
          <w:vertAlign w:val="superscript"/>
          <w:lang w:val="en-US"/>
        </w:rPr>
        <w:t>2</w:t>
      </w:r>
      <w:r>
        <w:rPr>
          <w:lang w:val="en-US"/>
        </w:rPr>
        <w:t> – </w:t>
      </w:r>
      <w:r>
        <w:rPr>
          <w:rFonts w:hint="eastAsia"/>
          <w:lang w:val="en-US"/>
        </w:rPr>
        <w:t>0</w:t>
      </w:r>
      <w:r>
        <w:rPr>
          <w:lang w:val="en-US"/>
        </w:rPr>
        <w:t>,</w:t>
      </w:r>
      <w:r>
        <w:rPr>
          <w:rFonts w:hint="eastAsia"/>
          <w:lang w:val="en-US"/>
        </w:rPr>
        <w:t>009088</w:t>
      </w:r>
      <w:r>
        <w:rPr>
          <w:lang w:val="en-US"/>
        </w:rPr>
        <w:t> </w:t>
      </w:r>
      <w:r>
        <w:sym w:font="Symbol" w:char="F071"/>
      </w:r>
      <w:r>
        <w:rPr>
          <w:rFonts w:hint="eastAsia"/>
          <w:vertAlign w:val="superscript"/>
          <w:lang w:val="en-US"/>
        </w:rPr>
        <w:t>3</w:t>
      </w:r>
      <w:r>
        <w:rPr>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0002975</w:t>
      </w:r>
      <w:r>
        <w:rPr>
          <w:lang w:val="en-US"/>
        </w:rPr>
        <w:t> </w:t>
      </w:r>
      <w:r>
        <w:sym w:font="Symbol" w:char="F071"/>
      </w:r>
      <w:r>
        <w:rPr>
          <w:rFonts w:hint="eastAsia"/>
          <w:vertAlign w:val="superscript"/>
          <w:lang w:val="en-US"/>
        </w:rPr>
        <w:t>4</w:t>
      </w:r>
      <w:r>
        <w:rPr>
          <w:lang w:val="en-US"/>
        </w:rPr>
        <w:t> – </w:t>
      </w:r>
      <w:r>
        <w:rPr>
          <w:rFonts w:hint="eastAsia"/>
          <w:lang w:val="en-US"/>
        </w:rPr>
        <w:t>0</w:t>
      </w:r>
      <w:r>
        <w:rPr>
          <w:lang w:val="en-US"/>
        </w:rPr>
        <w:t>,</w:t>
      </w:r>
      <w:r>
        <w:rPr>
          <w:rFonts w:hint="eastAsia"/>
          <w:lang w:val="en-US"/>
        </w:rPr>
        <w:t>3991</w:t>
      </w:r>
      <w:r>
        <w:rPr>
          <w:lang w:val="en-US"/>
        </w:rPr>
        <w:t> </w:t>
      </w:r>
      <w:r>
        <w:rPr>
          <w:rFonts w:ascii="Symbol" w:hAnsi="Symbol"/>
        </w:rPr>
        <w:t></w:t>
      </w:r>
      <w:r>
        <w:rPr>
          <w:lang w:val="en-US"/>
        </w:rPr>
        <w:t> </w:t>
      </w:r>
      <w:r>
        <w:rPr>
          <w:lang w:val="en-US"/>
        </w:rPr>
        <w:br/>
      </w:r>
      <w:r>
        <w:rPr>
          <w:lang w:val="en-US"/>
        </w:rPr>
        <w:tab/>
      </w:r>
      <w:r>
        <w:rPr>
          <w:lang w:val="en-US"/>
        </w:rPr>
        <w:tab/>
      </w:r>
      <w:r>
        <w:rPr>
          <w:rFonts w:hint="eastAsia"/>
          <w:lang w:val="en-US"/>
        </w:rPr>
        <w:t>10</w:t>
      </w:r>
      <w:r>
        <w:rPr>
          <w:vertAlign w:val="superscript"/>
          <w:lang w:val="en-US"/>
        </w:rPr>
        <w:t>–</w:t>
      </w:r>
      <w:r>
        <w:rPr>
          <w:rFonts w:hint="eastAsia"/>
          <w:vertAlign w:val="superscript"/>
          <w:lang w:val="en-US"/>
        </w:rPr>
        <w:t>5</w:t>
      </w:r>
      <w:r>
        <w:rPr>
          <w:lang w:val="en-US"/>
        </w:rPr>
        <w:t> </w:t>
      </w:r>
      <w:r>
        <w:sym w:font="Symbol" w:char="F071"/>
      </w:r>
      <w:r>
        <w:rPr>
          <w:rFonts w:hint="eastAsia"/>
          <w:vertAlign w:val="superscript"/>
          <w:lang w:val="en-US"/>
        </w:rPr>
        <w:t>5</w:t>
      </w:r>
      <w:r>
        <w:rPr>
          <w:lang w:val="en-US"/>
        </w:rPr>
        <w:t> </w:t>
      </w:r>
      <w:r>
        <w:rPr>
          <w:rFonts w:ascii="Symbol" w:hAnsi="Symbol"/>
          <w:lang w:val="es-ES"/>
        </w:rPr>
        <w:t></w:t>
      </w:r>
      <w:r>
        <w:rPr>
          <w:rFonts w:hint="eastAsia"/>
          <w:lang w:val="en-US"/>
        </w:rPr>
        <w:t> 0</w:t>
      </w:r>
      <w:r>
        <w:rPr>
          <w:lang w:val="en-US"/>
        </w:rPr>
        <w:t>,</w:t>
      </w:r>
      <w:r>
        <w:rPr>
          <w:rFonts w:hint="eastAsia"/>
          <w:lang w:val="en-US"/>
        </w:rPr>
        <w:t>1853</w:t>
      </w:r>
      <w:r>
        <w:rPr>
          <w:lang w:val="en-US"/>
        </w:rPr>
        <w:t> </w:t>
      </w:r>
      <w:r>
        <w:rPr>
          <w:rFonts w:ascii="Symbol" w:hAnsi="Symbol"/>
        </w:rPr>
        <w:t></w:t>
      </w:r>
      <w:r>
        <w:rPr>
          <w:lang w:val="en-US"/>
        </w:rPr>
        <w:t> </w:t>
      </w:r>
      <w:r>
        <w:rPr>
          <w:rFonts w:hint="eastAsia"/>
          <w:lang w:val="en-US"/>
        </w:rPr>
        <w:t>10</w:t>
      </w:r>
      <w:r>
        <w:rPr>
          <w:vertAlign w:val="superscript"/>
          <w:lang w:val="en-US"/>
        </w:rPr>
        <w:t>–</w:t>
      </w:r>
      <w:r>
        <w:rPr>
          <w:rFonts w:hint="eastAsia"/>
          <w:vertAlign w:val="superscript"/>
          <w:lang w:val="en-US"/>
        </w:rPr>
        <w:t>7</w:t>
      </w:r>
      <w:r>
        <w:rPr>
          <w:lang w:val="en-US"/>
        </w:rPr>
        <w:t> </w:t>
      </w:r>
      <w:r>
        <w:sym w:font="Symbol" w:char="F071"/>
      </w:r>
      <w:r>
        <w:rPr>
          <w:rFonts w:hint="eastAsia"/>
          <w:vertAlign w:val="superscript"/>
          <w:lang w:val="en-US"/>
        </w:rPr>
        <w:t>6</w:t>
      </w:r>
      <w:r>
        <w:rPr>
          <w:lang w:val="en-US"/>
        </w:rPr>
        <w:t> </w:t>
      </w:r>
      <w:r>
        <w:rPr>
          <w:rFonts w:ascii="Symbol" w:hAnsi="Symbol"/>
          <w:lang w:val="es-ES"/>
        </w:rPr>
        <w:t></w:t>
      </w:r>
      <w:r>
        <w:rPr>
          <w:lang w:val="en-US"/>
        </w:rPr>
        <w:t> </w:t>
      </w:r>
      <w:r>
        <w:rPr>
          <w:rFonts w:hint="eastAsia"/>
          <w:i/>
          <w:lang w:val="en-US"/>
        </w:rPr>
        <w:t>h</w:t>
      </w:r>
      <w:r>
        <w:rPr>
          <w:lang w:val="en-US"/>
        </w:rPr>
        <w:t> </w:t>
      </w:r>
      <w:r>
        <w:rPr>
          <w:rFonts w:hint="eastAsia"/>
          <w:lang w:val="en-US"/>
        </w:rPr>
        <w:t>(0</w:t>
      </w:r>
      <w:r>
        <w:rPr>
          <w:lang w:val="en-US"/>
        </w:rPr>
        <w:t>,</w:t>
      </w:r>
      <w:r>
        <w:rPr>
          <w:rFonts w:hint="eastAsia"/>
          <w:lang w:val="en-US"/>
        </w:rPr>
        <w:t>2959</w:t>
      </w:r>
      <w:r>
        <w:rPr>
          <w:i/>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3016</w:t>
      </w:r>
      <w:r>
        <w:rPr>
          <w:lang w:val="en-US"/>
        </w:rPr>
        <w:t> </w:t>
      </w:r>
      <w:r>
        <w:sym w:font="Symbol" w:char="F071"/>
      </w:r>
      <w:r>
        <w:rPr>
          <w:rFonts w:hint="eastAsia"/>
          <w:lang w:val="en-US"/>
        </w:rPr>
        <w:t>)</w:t>
      </w:r>
      <w:r>
        <w:rPr>
          <w:lang w:val="en-US"/>
        </w:rPr>
        <w:t> </w:t>
      </w:r>
      <w:r>
        <w:rPr>
          <w:rFonts w:ascii="Symbol" w:hAnsi="Symbol"/>
          <w:lang w:val="es-ES"/>
        </w:rPr>
        <w:t></w:t>
      </w:r>
      <w:r>
        <w:rPr>
          <w:lang w:val="en-US"/>
        </w:rPr>
        <w:t> </w:t>
      </w:r>
      <w:r>
        <w:rPr>
          <w:rFonts w:hint="eastAsia"/>
          <w:i/>
          <w:lang w:val="en-US"/>
        </w:rPr>
        <w:t>h</w:t>
      </w:r>
      <w:r>
        <w:rPr>
          <w:rFonts w:hint="eastAsia"/>
          <w:vertAlign w:val="superscript"/>
          <w:lang w:val="en-US"/>
        </w:rPr>
        <w:t>2</w:t>
      </w:r>
      <w:r>
        <w:rPr>
          <w:lang w:val="en-US"/>
        </w:rPr>
        <w:t> </w:t>
      </w:r>
      <w:r>
        <w:rPr>
          <w:rFonts w:hint="eastAsia"/>
          <w:lang w:val="en-US"/>
        </w:rPr>
        <w:t>(0</w:t>
      </w:r>
      <w:r>
        <w:rPr>
          <w:lang w:val="en-US"/>
        </w:rPr>
        <w:t>,</w:t>
      </w:r>
      <w:r>
        <w:rPr>
          <w:rFonts w:hint="eastAsia"/>
          <w:lang w:val="en-US"/>
        </w:rPr>
        <w:t>06740</w:t>
      </w:r>
      <w:r>
        <w:rPr>
          <w:lang w:val="en-US"/>
        </w:rPr>
        <w:t> </w:t>
      </w:r>
      <w:r>
        <w:rPr>
          <w:rFonts w:ascii="Symbol" w:hAnsi="Symbol"/>
          <w:lang w:val="es-ES"/>
        </w:rPr>
        <w:t></w:t>
      </w:r>
      <w:r>
        <w:rPr>
          <w:lang w:val="en-US"/>
        </w:rPr>
        <w:t> </w:t>
      </w:r>
      <w:r>
        <w:rPr>
          <w:rFonts w:hint="eastAsia"/>
          <w:lang w:val="en-US"/>
        </w:rPr>
        <w:t>0</w:t>
      </w:r>
      <w:r>
        <w:rPr>
          <w:lang w:val="en-US"/>
        </w:rPr>
        <w:t>,</w:t>
      </w:r>
      <w:r>
        <w:rPr>
          <w:rFonts w:hint="eastAsia"/>
          <w:lang w:val="en-US"/>
        </w:rPr>
        <w:t>1773</w:t>
      </w:r>
      <w:r>
        <w:rPr>
          <w:lang w:val="en-US"/>
        </w:rPr>
        <w:t> </w:t>
      </w:r>
      <w:r>
        <w:sym w:font="Symbol" w:char="F071"/>
      </w:r>
      <w:r>
        <w:rPr>
          <w:rFonts w:hint="eastAsia"/>
          <w:lang w:val="en-US"/>
        </w:rPr>
        <w:t>)</w:t>
      </w:r>
      <w:r>
        <w:rPr>
          <w:lang w:val="en-US"/>
        </w:rPr>
        <w:t> </w:t>
      </w:r>
      <w:r>
        <w:rPr>
          <w:rFonts w:ascii="Symbol" w:hAnsi="Symbol"/>
          <w:lang w:val="es-ES"/>
        </w:rPr>
        <w:t></w:t>
      </w:r>
      <w:r>
        <w:rPr>
          <w:lang w:val="en-US"/>
        </w:rPr>
        <w:br/>
      </w:r>
      <w:r>
        <w:rPr>
          <w:lang w:val="en-US"/>
        </w:rPr>
        <w:tab/>
      </w:r>
      <w:r>
        <w:rPr>
          <w:lang w:val="en-US"/>
        </w:rPr>
        <w:tab/>
      </w:r>
      <w:r>
        <w:rPr>
          <w:rFonts w:hint="eastAsia"/>
          <w:lang w:val="en-US"/>
        </w:rPr>
        <w:t>0</w:t>
      </w:r>
      <w:r>
        <w:rPr>
          <w:lang w:val="en-US"/>
        </w:rPr>
        <w:t>,</w:t>
      </w:r>
      <w:r>
        <w:rPr>
          <w:rFonts w:hint="eastAsia"/>
          <w:lang w:val="en-US"/>
        </w:rPr>
        <w:t>03795</w:t>
      </w:r>
      <w:r>
        <w:rPr>
          <w:lang w:val="en-US"/>
        </w:rPr>
        <w:t> </w:t>
      </w:r>
      <w:r>
        <w:rPr>
          <w:rFonts w:hint="eastAsia"/>
          <w:i/>
          <w:lang w:val="en-US"/>
        </w:rPr>
        <w:t>h</w:t>
      </w:r>
      <w:r>
        <w:rPr>
          <w:rFonts w:hint="eastAsia"/>
          <w:vertAlign w:val="superscript"/>
          <w:lang w:val="en-US"/>
        </w:rPr>
        <w:t>3</w:t>
      </w:r>
      <w:r>
        <w:rPr>
          <w:rFonts w:hint="eastAsia"/>
          <w:lang w:val="en-US"/>
        </w:rPr>
        <w:t>]</w:t>
      </w:r>
      <w:r>
        <w:rPr>
          <w:rFonts w:hint="eastAsia"/>
          <w:lang w:val="en-US"/>
        </w:rPr>
        <w:tab/>
        <w:t>(6a)</w:t>
      </w:r>
    </w:p>
    <w:p w:rsidR="002B489A" w:rsidRDefault="004F19C4">
      <w:pPr>
        <w:pStyle w:val="Equation"/>
        <w:tabs>
          <w:tab w:val="clear" w:pos="794"/>
          <w:tab w:val="clear" w:pos="4820"/>
          <w:tab w:val="left" w:pos="540"/>
          <w:tab w:val="left" w:pos="1652"/>
        </w:tabs>
        <w:jc w:val="left"/>
        <w:rPr>
          <w:lang w:val="en-US"/>
        </w:rPr>
      </w:pPr>
      <w:r>
        <w:rPr>
          <w:i/>
          <w:lang w:val="en-US"/>
        </w:rPr>
        <w:tab/>
      </w:r>
      <w:r>
        <w:rPr>
          <w:rFonts w:hint="eastAsia"/>
          <w:i/>
          <w:lang w:val="en-US"/>
        </w:rPr>
        <w:t>A</w:t>
      </w:r>
      <w:r>
        <w:rPr>
          <w:rFonts w:hint="eastAsia"/>
          <w:i/>
          <w:vertAlign w:val="subscript"/>
          <w:lang w:val="en-US"/>
        </w:rPr>
        <w:t>M</w:t>
      </w:r>
      <w:r>
        <w:rPr>
          <w:i/>
          <w:vertAlign w:val="subscript"/>
          <w:lang w:val="en-US"/>
        </w:rPr>
        <w:t> </w:t>
      </w:r>
      <w:r>
        <w:rPr>
          <w:rFonts w:hint="eastAsia"/>
          <w:lang w:val="en-US"/>
        </w:rPr>
        <w:t>(</w:t>
      </w:r>
      <w:r>
        <w:rPr>
          <w:rFonts w:hint="eastAsia"/>
          <w:i/>
          <w:lang w:val="en-US"/>
        </w:rPr>
        <w:t>h</w:t>
      </w:r>
      <w:r>
        <w:rPr>
          <w:rFonts w:hint="eastAsia"/>
          <w:lang w:val="en-US"/>
        </w:rPr>
        <w:t xml:space="preserve">, </w:t>
      </w:r>
      <w:r>
        <w:rPr>
          <w:rFonts w:ascii="Symbol" w:hAnsi="Symbol"/>
        </w:rPr>
        <w:sym w:font="Symbol" w:char="F071"/>
      </w:r>
      <w:r>
        <w:rPr>
          <w:rFonts w:hint="eastAsia"/>
          <w:lang w:val="en-US"/>
        </w:rPr>
        <w:t>)</w:t>
      </w:r>
      <w:r>
        <w:rPr>
          <w:lang w:val="en-US"/>
        </w:rPr>
        <w:t> </w:t>
      </w:r>
      <w:r>
        <w:rPr>
          <w:rFonts w:ascii="Symbol" w:hAnsi="Symbol"/>
          <w:lang w:val="es-ES"/>
        </w:rPr>
        <w:t></w:t>
      </w:r>
      <w:r>
        <w:rPr>
          <w:rFonts w:ascii="Symbol" w:hAnsi="Symbol"/>
          <w:lang w:val="en-US"/>
        </w:rPr>
        <w:tab/>
      </w:r>
      <w:r>
        <w:rPr>
          <w:rFonts w:hint="eastAsia"/>
          <w:lang w:val="en-US"/>
        </w:rPr>
        <w:t>20</w:t>
      </w:r>
      <w:r>
        <w:rPr>
          <w:lang w:val="en-US"/>
        </w:rPr>
        <w:t>,</w:t>
      </w:r>
      <w:r>
        <w:rPr>
          <w:rFonts w:hint="eastAsia"/>
          <w:lang w:val="en-US"/>
        </w:rPr>
        <w:t>26</w:t>
      </w:r>
      <w:r>
        <w:rPr>
          <w:lang w:val="en-US"/>
        </w:rPr>
        <w:t> </w:t>
      </w:r>
      <w:r>
        <w:rPr>
          <w:rFonts w:hint="eastAsia"/>
          <w:lang w:val="en-US"/>
        </w:rPr>
        <w:t>/</w:t>
      </w:r>
      <w:r>
        <w:rPr>
          <w:lang w:val="en-US"/>
        </w:rPr>
        <w:t> </w:t>
      </w:r>
      <w:r>
        <w:rPr>
          <w:rFonts w:hint="eastAsia"/>
          <w:lang w:val="en-US"/>
        </w:rPr>
        <w:t>[1</w:t>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7215</w:t>
      </w:r>
      <w:r>
        <w:rPr>
          <w:lang w:val="en-US"/>
        </w:rPr>
        <w:t> </w:t>
      </w:r>
      <w:r>
        <w:sym w:font="Symbol" w:char="F071"/>
      </w:r>
      <w:r>
        <w:rPr>
          <w:i/>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05983</w:t>
      </w:r>
      <w:r>
        <w:rPr>
          <w:lang w:val="en-US"/>
        </w:rPr>
        <w:t> </w:t>
      </w:r>
      <w:r>
        <w:sym w:font="Symbol" w:char="F071"/>
      </w:r>
      <w:r>
        <w:rPr>
          <w:rFonts w:hint="eastAsia"/>
          <w:vertAlign w:val="superscript"/>
          <w:lang w:val="en-US"/>
        </w:rPr>
        <w:t>2</w:t>
      </w:r>
      <w:r>
        <w:rPr>
          <w:lang w:val="en-US"/>
        </w:rPr>
        <w:t> – </w:t>
      </w:r>
      <w:r>
        <w:rPr>
          <w:rFonts w:hint="eastAsia"/>
          <w:lang w:val="en-US"/>
        </w:rPr>
        <w:t>0</w:t>
      </w:r>
      <w:r>
        <w:rPr>
          <w:lang w:val="en-US"/>
        </w:rPr>
        <w:t>,</w:t>
      </w:r>
      <w:r>
        <w:rPr>
          <w:rFonts w:hint="eastAsia"/>
          <w:lang w:val="en-US"/>
        </w:rPr>
        <w:t>001961</w:t>
      </w:r>
      <w:r>
        <w:rPr>
          <w:lang w:val="en-US"/>
        </w:rPr>
        <w:t> </w:t>
      </w:r>
      <w:r>
        <w:sym w:font="Symbol" w:char="F071"/>
      </w:r>
      <w:r>
        <w:rPr>
          <w:rFonts w:hint="eastAsia"/>
          <w:vertAlign w:val="superscript"/>
          <w:lang w:val="en-US"/>
        </w:rPr>
        <w:t>3</w:t>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1555</w:t>
      </w:r>
      <w:r>
        <w:rPr>
          <w:lang w:val="en-US"/>
        </w:rPr>
        <w:t> </w:t>
      </w:r>
      <w:r>
        <w:rPr>
          <w:rFonts w:ascii="Symbol" w:hAnsi="Symbol"/>
        </w:rPr>
        <w:t></w:t>
      </w:r>
      <w:r>
        <w:rPr>
          <w:lang w:val="en-US"/>
        </w:rPr>
        <w:t> </w:t>
      </w:r>
      <w:r>
        <w:rPr>
          <w:rFonts w:hint="eastAsia"/>
          <w:lang w:val="en-US"/>
        </w:rPr>
        <w:t>10</w:t>
      </w:r>
      <w:r>
        <w:rPr>
          <w:vertAlign w:val="superscript"/>
          <w:lang w:val="en-US"/>
        </w:rPr>
        <w:t>–</w:t>
      </w:r>
      <w:r>
        <w:rPr>
          <w:rFonts w:hint="eastAsia"/>
          <w:vertAlign w:val="superscript"/>
          <w:lang w:val="en-US"/>
        </w:rPr>
        <w:t>4</w:t>
      </w:r>
      <w:r>
        <w:rPr>
          <w:lang w:val="en-US"/>
        </w:rPr>
        <w:t> </w:t>
      </w:r>
      <w:r>
        <w:sym w:font="Symbol" w:char="F071"/>
      </w:r>
      <w:r>
        <w:rPr>
          <w:rFonts w:hint="eastAsia"/>
          <w:vertAlign w:val="superscript"/>
          <w:lang w:val="en-US"/>
        </w:rPr>
        <w:t>4</w:t>
      </w:r>
      <w:r>
        <w:rPr>
          <w:lang w:val="en-US"/>
        </w:rPr>
        <w:t> </w:t>
      </w:r>
      <w:r>
        <w:rPr>
          <w:lang w:val="en-US"/>
        </w:rPr>
        <w:br/>
      </w:r>
      <w:r>
        <w:rPr>
          <w:lang w:val="en-US"/>
        </w:rPr>
        <w:tab/>
      </w:r>
      <w:r>
        <w:rPr>
          <w:lang w:val="en-US"/>
        </w:rPr>
        <w:tab/>
      </w:r>
      <w:r>
        <w:rPr>
          <w:rFonts w:hint="eastAsia"/>
          <w:i/>
          <w:lang w:val="en-US"/>
        </w:rPr>
        <w:t>h</w:t>
      </w:r>
      <w:r>
        <w:rPr>
          <w:lang w:val="en-US"/>
        </w:rPr>
        <w:t> </w:t>
      </w:r>
      <w:r>
        <w:rPr>
          <w:rFonts w:hint="eastAsia"/>
          <w:lang w:val="en-US"/>
        </w:rPr>
        <w:t>(0</w:t>
      </w:r>
      <w:r>
        <w:rPr>
          <w:lang w:val="en-US"/>
        </w:rPr>
        <w:t>,</w:t>
      </w:r>
      <w:r>
        <w:rPr>
          <w:rFonts w:hint="eastAsia"/>
          <w:lang w:val="en-US"/>
        </w:rPr>
        <w:t>2047</w:t>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2338</w:t>
      </w:r>
      <w:r>
        <w:rPr>
          <w:lang w:val="en-US"/>
        </w:rPr>
        <w:t> </w:t>
      </w:r>
      <w:r>
        <w:sym w:font="Symbol" w:char="F071"/>
      </w:r>
      <w:r>
        <w:rPr>
          <w:rFonts w:hint="eastAsia"/>
          <w:lang w:val="en-US"/>
        </w:rPr>
        <w:t>)</w:t>
      </w:r>
      <w:r>
        <w:rPr>
          <w:lang w:val="en-US"/>
        </w:rPr>
        <w:t> </w:t>
      </w:r>
      <w:r>
        <w:rPr>
          <w:rFonts w:ascii="Symbol" w:hAnsi="Symbol"/>
          <w:lang w:val="en-US"/>
        </w:rPr>
        <w:t></w:t>
      </w:r>
      <w:r>
        <w:rPr>
          <w:lang w:val="en-US"/>
        </w:rPr>
        <w:t> </w:t>
      </w:r>
      <w:r>
        <w:rPr>
          <w:rFonts w:hint="eastAsia"/>
          <w:i/>
          <w:lang w:val="en-US"/>
        </w:rPr>
        <w:t>h</w:t>
      </w:r>
      <w:r>
        <w:rPr>
          <w:rFonts w:hint="eastAsia"/>
          <w:vertAlign w:val="superscript"/>
          <w:lang w:val="en-US"/>
        </w:rPr>
        <w:t>2</w:t>
      </w:r>
      <w:r>
        <w:rPr>
          <w:lang w:val="en-US"/>
        </w:rPr>
        <w:t> </w:t>
      </w:r>
      <w:r>
        <w:rPr>
          <w:rFonts w:hint="eastAsia"/>
          <w:lang w:val="en-US"/>
        </w:rPr>
        <w:t>(0</w:t>
      </w:r>
      <w:r>
        <w:rPr>
          <w:lang w:val="en-US"/>
        </w:rPr>
        <w:t>,</w:t>
      </w:r>
      <w:r>
        <w:rPr>
          <w:rFonts w:hint="eastAsia"/>
          <w:lang w:val="en-US"/>
        </w:rPr>
        <w:t>1088</w:t>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08897</w:t>
      </w:r>
      <w:r>
        <w:rPr>
          <w:lang w:val="en-US"/>
        </w:rPr>
        <w:t> </w:t>
      </w:r>
      <w:r>
        <w:sym w:font="Symbol" w:char="F071"/>
      </w:r>
      <w:r>
        <w:rPr>
          <w:rFonts w:hint="eastAsia"/>
          <w:lang w:val="en-US"/>
        </w:rPr>
        <w:t>)]</w:t>
      </w:r>
      <w:r>
        <w:rPr>
          <w:rFonts w:hint="eastAsia"/>
          <w:lang w:val="en-US"/>
        </w:rPr>
        <w:tab/>
        <w:t>(6b)</w:t>
      </w:r>
    </w:p>
    <w:p w:rsidR="002B489A" w:rsidRDefault="004F19C4">
      <w:pPr>
        <w:pStyle w:val="Equation"/>
        <w:tabs>
          <w:tab w:val="clear" w:pos="794"/>
          <w:tab w:val="clear" w:pos="4820"/>
          <w:tab w:val="left" w:pos="540"/>
          <w:tab w:val="left" w:pos="1652"/>
        </w:tabs>
        <w:jc w:val="left"/>
        <w:rPr>
          <w:lang w:val="en-US"/>
        </w:rPr>
      </w:pPr>
      <w:r>
        <w:rPr>
          <w:i/>
          <w:lang w:val="en-US"/>
        </w:rPr>
        <w:tab/>
      </w:r>
      <w:r>
        <w:rPr>
          <w:rFonts w:hint="eastAsia"/>
          <w:i/>
          <w:lang w:val="en-US"/>
        </w:rPr>
        <w:t>A</w:t>
      </w:r>
      <w:r>
        <w:rPr>
          <w:rFonts w:hint="eastAsia"/>
          <w:i/>
          <w:vertAlign w:val="subscript"/>
          <w:lang w:val="en-US"/>
        </w:rPr>
        <w:t>H</w:t>
      </w:r>
      <w:r>
        <w:rPr>
          <w:i/>
          <w:vertAlign w:val="subscript"/>
          <w:lang w:val="en-US"/>
        </w:rPr>
        <w:t> </w:t>
      </w:r>
      <w:r>
        <w:rPr>
          <w:rFonts w:hint="eastAsia"/>
          <w:lang w:val="en-US"/>
        </w:rPr>
        <w:t>(</w:t>
      </w:r>
      <w:r>
        <w:rPr>
          <w:rFonts w:hint="eastAsia"/>
          <w:i/>
          <w:lang w:val="en-US"/>
        </w:rPr>
        <w:t>h</w:t>
      </w:r>
      <w:r>
        <w:rPr>
          <w:rFonts w:hint="eastAsia"/>
          <w:lang w:val="en-US"/>
        </w:rPr>
        <w:t xml:space="preserve">, </w:t>
      </w:r>
      <w:r>
        <w:rPr>
          <w:rFonts w:ascii="Symbol" w:hAnsi="Symbol"/>
        </w:rPr>
        <w:sym w:font="Symbol" w:char="F071"/>
      </w:r>
      <w:r>
        <w:rPr>
          <w:rFonts w:hint="eastAsia"/>
          <w:lang w:val="en-US"/>
        </w:rPr>
        <w:t>)</w:t>
      </w:r>
      <w:r>
        <w:rPr>
          <w:lang w:val="en-US"/>
        </w:rPr>
        <w:t> </w:t>
      </w:r>
      <w:r>
        <w:rPr>
          <w:rFonts w:ascii="Symbol" w:hAnsi="Symbol"/>
          <w:lang w:val="es-ES"/>
        </w:rPr>
        <w:t></w:t>
      </w:r>
      <w:r>
        <w:rPr>
          <w:lang w:val="en-US"/>
        </w:rPr>
        <w:tab/>
      </w:r>
      <w:r>
        <w:rPr>
          <w:rFonts w:hint="eastAsia"/>
          <w:lang w:val="en-US"/>
        </w:rPr>
        <w:t>11</w:t>
      </w:r>
      <w:r>
        <w:rPr>
          <w:lang w:val="en-US"/>
        </w:rPr>
        <w:t>,</w:t>
      </w:r>
      <w:r>
        <w:rPr>
          <w:rFonts w:hint="eastAsia"/>
          <w:lang w:val="en-US"/>
        </w:rPr>
        <w:t>48</w:t>
      </w:r>
      <w:r>
        <w:rPr>
          <w:lang w:val="en-US"/>
        </w:rPr>
        <w:t> </w:t>
      </w:r>
      <w:r>
        <w:rPr>
          <w:rFonts w:hint="eastAsia"/>
          <w:lang w:val="en-US"/>
        </w:rPr>
        <w:t>/</w:t>
      </w:r>
      <w:r>
        <w:rPr>
          <w:lang w:val="en-US"/>
        </w:rPr>
        <w:t> </w:t>
      </w:r>
      <w:r>
        <w:rPr>
          <w:rFonts w:hint="eastAsia"/>
          <w:lang w:val="en-US"/>
        </w:rPr>
        <w:t>[1</w:t>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6065</w:t>
      </w:r>
      <w:r>
        <w:rPr>
          <w:lang w:val="en-US"/>
        </w:rPr>
        <w:t> </w:t>
      </w:r>
      <w:r>
        <w:sym w:font="Symbol" w:char="F071"/>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04355</w:t>
      </w:r>
      <w:r>
        <w:rPr>
          <w:lang w:val="en-US"/>
        </w:rPr>
        <w:t> </w:t>
      </w:r>
      <w:r>
        <w:sym w:font="Symbol" w:char="F071"/>
      </w:r>
      <w:r>
        <w:rPr>
          <w:rFonts w:hint="eastAsia"/>
          <w:vertAlign w:val="superscript"/>
          <w:lang w:val="en-US"/>
        </w:rPr>
        <w:t>2</w:t>
      </w:r>
      <w:r>
        <w:rPr>
          <w:lang w:val="en-US"/>
        </w:rPr>
        <w:t> </w:t>
      </w:r>
      <w:r>
        <w:rPr>
          <w:rFonts w:ascii="Symbol" w:hAnsi="Symbol"/>
          <w:lang w:val="en-US"/>
        </w:rPr>
        <w:t></w:t>
      </w:r>
      <w:r>
        <w:rPr>
          <w:lang w:val="en-US"/>
        </w:rPr>
        <w:t> </w:t>
      </w:r>
      <w:r>
        <w:rPr>
          <w:rFonts w:hint="eastAsia"/>
          <w:i/>
          <w:lang w:val="en-US"/>
        </w:rPr>
        <w:t>h</w:t>
      </w:r>
      <w:r>
        <w:rPr>
          <w:lang w:val="en-US"/>
        </w:rPr>
        <w:t> </w:t>
      </w:r>
      <w:r>
        <w:rPr>
          <w:rFonts w:hint="eastAsia"/>
          <w:lang w:val="en-US"/>
        </w:rPr>
        <w:t>(0</w:t>
      </w:r>
      <w:r>
        <w:rPr>
          <w:lang w:val="en-US"/>
        </w:rPr>
        <w:t>,</w:t>
      </w:r>
      <w:r>
        <w:rPr>
          <w:rFonts w:hint="eastAsia"/>
          <w:lang w:val="en-US"/>
        </w:rPr>
        <w:t>05653</w:t>
      </w:r>
      <w:r>
        <w:rPr>
          <w:i/>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3470</w:t>
      </w:r>
      <w:r>
        <w:rPr>
          <w:lang w:val="en-US"/>
        </w:rPr>
        <w:t> </w:t>
      </w:r>
      <w:r>
        <w:sym w:font="Symbol" w:char="F071"/>
      </w:r>
      <w:r>
        <w:rPr>
          <w:rFonts w:hint="eastAsia"/>
          <w:lang w:val="en-US"/>
        </w:rPr>
        <w:t>)</w:t>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1096</w:t>
      </w:r>
      <w:r>
        <w:rPr>
          <w:lang w:val="en-US"/>
        </w:rPr>
        <w:t> </w:t>
      </w:r>
      <w:r>
        <w:rPr>
          <w:rFonts w:hint="eastAsia"/>
          <w:i/>
          <w:lang w:val="en-US"/>
        </w:rPr>
        <w:t>h</w:t>
      </w:r>
      <w:r>
        <w:rPr>
          <w:rFonts w:hint="eastAsia"/>
          <w:vertAlign w:val="superscript"/>
          <w:lang w:val="en-US"/>
        </w:rPr>
        <w:t>2</w:t>
      </w:r>
      <w:r>
        <w:rPr>
          <w:rFonts w:hint="eastAsia"/>
          <w:lang w:val="en-US"/>
        </w:rPr>
        <w:t>]</w:t>
      </w:r>
      <w:r>
        <w:rPr>
          <w:rFonts w:hint="eastAsia"/>
          <w:b/>
          <w:lang w:val="en-US"/>
        </w:rPr>
        <w:tab/>
      </w:r>
      <w:r>
        <w:rPr>
          <w:rFonts w:hint="eastAsia"/>
          <w:lang w:val="en-US"/>
        </w:rPr>
        <w:t>(6c)</w:t>
      </w:r>
    </w:p>
    <w:p w:rsidR="002B489A" w:rsidRDefault="004F19C4">
      <w:pPr>
        <w:pStyle w:val="Headingb"/>
      </w:pPr>
      <w:r>
        <w:t xml:space="preserve">Bande de fréquences </w:t>
      </w:r>
      <w:r>
        <w:rPr>
          <w:rFonts w:hint="eastAsia"/>
        </w:rPr>
        <w:t>23</w:t>
      </w:r>
      <w:r>
        <w:t>,</w:t>
      </w:r>
      <w:r>
        <w:rPr>
          <w:rFonts w:hint="eastAsia"/>
        </w:rPr>
        <w:t>6-24</w:t>
      </w:r>
      <w:r>
        <w:t>,</w:t>
      </w:r>
      <w:r>
        <w:rPr>
          <w:rFonts w:hint="eastAsia"/>
        </w:rPr>
        <w:t>0 GHz</w:t>
      </w:r>
    </w:p>
    <w:p w:rsidR="002B489A" w:rsidRDefault="004F19C4">
      <w:pPr>
        <w:pStyle w:val="Equation"/>
        <w:tabs>
          <w:tab w:val="clear" w:pos="794"/>
          <w:tab w:val="clear" w:pos="4820"/>
          <w:tab w:val="left" w:pos="540"/>
          <w:tab w:val="left" w:pos="1624"/>
          <w:tab w:val="left" w:pos="1652"/>
        </w:tabs>
        <w:jc w:val="left"/>
      </w:pPr>
      <w:r>
        <w:rPr>
          <w:i/>
        </w:rPr>
        <w:tab/>
      </w:r>
      <w:r>
        <w:rPr>
          <w:rFonts w:hint="eastAsia"/>
          <w:i/>
        </w:rPr>
        <w:t>A</w:t>
      </w:r>
      <w:r>
        <w:rPr>
          <w:rFonts w:hint="eastAsia"/>
          <w:i/>
          <w:vertAlign w:val="subscript"/>
        </w:rPr>
        <w:t>L</w:t>
      </w:r>
      <w:r>
        <w:rPr>
          <w:i/>
          <w:vertAlign w:val="subscript"/>
        </w:rPr>
        <w:t> </w:t>
      </w:r>
      <w:r>
        <w:rPr>
          <w:rFonts w:hint="eastAsia"/>
        </w:rPr>
        <w:t>(</w:t>
      </w:r>
      <w:r>
        <w:rPr>
          <w:rFonts w:hint="eastAsia"/>
          <w:i/>
        </w:rPr>
        <w:t>h</w:t>
      </w:r>
      <w:r>
        <w:rPr>
          <w:rFonts w:hint="eastAsia"/>
        </w:rPr>
        <w:t xml:space="preserve">, </w:t>
      </w:r>
      <w:r>
        <w:rPr>
          <w:rFonts w:ascii="Symbol" w:hAnsi="Symbol"/>
        </w:rPr>
        <w:sym w:font="Symbol" w:char="F071"/>
      </w:r>
      <w:r>
        <w:rPr>
          <w:rFonts w:hint="eastAsia"/>
        </w:rPr>
        <w:t>)</w:t>
      </w:r>
      <w:r>
        <w:t> </w:t>
      </w:r>
      <w:r>
        <w:rPr>
          <w:rFonts w:ascii="Symbol" w:hAnsi="Symbol"/>
          <w:lang w:val="es-ES"/>
        </w:rPr>
        <w:t></w:t>
      </w:r>
      <w:r>
        <w:tab/>
      </w:r>
      <w:r>
        <w:tab/>
      </w:r>
      <w:r>
        <w:rPr>
          <w:rFonts w:hint="eastAsia"/>
        </w:rPr>
        <w:t>41</w:t>
      </w:r>
      <w:r>
        <w:t>,</w:t>
      </w:r>
      <w:r>
        <w:rPr>
          <w:rFonts w:hint="eastAsia"/>
        </w:rPr>
        <w:t>78</w:t>
      </w:r>
      <w:r>
        <w:t> </w:t>
      </w:r>
      <w:r>
        <w:rPr>
          <w:rFonts w:hint="eastAsia"/>
        </w:rPr>
        <w:t>/</w:t>
      </w:r>
      <w:r>
        <w:t> </w:t>
      </w:r>
      <w:r>
        <w:rPr>
          <w:rFonts w:hint="eastAsia"/>
        </w:rPr>
        <w:t>[1</w:t>
      </w:r>
      <w:r>
        <w:t> </w:t>
      </w:r>
      <w:r>
        <w:rPr>
          <w:rFonts w:ascii="Symbol" w:hAnsi="Symbol"/>
          <w:lang w:val="es-ES"/>
        </w:rPr>
        <w:t></w:t>
      </w:r>
      <w:r>
        <w:t> </w:t>
      </w:r>
      <w:r>
        <w:rPr>
          <w:rFonts w:hint="eastAsia"/>
        </w:rPr>
        <w:t>0</w:t>
      </w:r>
      <w:r>
        <w:t>,</w:t>
      </w:r>
      <w:r>
        <w:rPr>
          <w:rFonts w:hint="eastAsia"/>
        </w:rPr>
        <w:t>8705</w:t>
      </w:r>
      <w:r>
        <w:t> </w:t>
      </w:r>
      <w:r>
        <w:sym w:font="Symbol" w:char="F071"/>
      </w:r>
      <w:r>
        <w:t> </w:t>
      </w:r>
      <w:r>
        <w:rPr>
          <w:rFonts w:ascii="Symbol" w:hAnsi="Symbol"/>
          <w:lang w:val="es-ES"/>
        </w:rPr>
        <w:t></w:t>
      </w:r>
      <w:r>
        <w:t> </w:t>
      </w:r>
      <w:r>
        <w:rPr>
          <w:rFonts w:hint="eastAsia"/>
        </w:rPr>
        <w:t>0</w:t>
      </w:r>
      <w:r>
        <w:t>,</w:t>
      </w:r>
      <w:r>
        <w:rPr>
          <w:rFonts w:hint="eastAsia"/>
        </w:rPr>
        <w:t>06699</w:t>
      </w:r>
      <w:r>
        <w:t> </w:t>
      </w:r>
      <w:r>
        <w:sym w:font="Symbol" w:char="F071"/>
      </w:r>
      <w:r>
        <w:rPr>
          <w:rFonts w:hint="eastAsia"/>
          <w:vertAlign w:val="superscript"/>
        </w:rPr>
        <w:t>2</w:t>
      </w:r>
      <w:r>
        <w:t> – </w:t>
      </w:r>
      <w:r>
        <w:rPr>
          <w:rFonts w:hint="eastAsia"/>
        </w:rPr>
        <w:t>0</w:t>
      </w:r>
      <w:r>
        <w:t>,</w:t>
      </w:r>
      <w:r>
        <w:rPr>
          <w:rFonts w:hint="eastAsia"/>
        </w:rPr>
        <w:t>002203</w:t>
      </w:r>
      <w:r>
        <w:t> </w:t>
      </w:r>
      <w:r>
        <w:sym w:font="Symbol" w:char="F071"/>
      </w:r>
      <w:r>
        <w:rPr>
          <w:rFonts w:hint="eastAsia"/>
          <w:vertAlign w:val="superscript"/>
        </w:rPr>
        <w:t>3</w:t>
      </w:r>
      <w:r>
        <w:rPr>
          <w:i/>
        </w:rPr>
        <w:t> </w:t>
      </w:r>
      <w:r>
        <w:rPr>
          <w:rFonts w:ascii="Symbol" w:hAnsi="Symbol"/>
          <w:lang w:val="es-ES"/>
        </w:rPr>
        <w:t></w:t>
      </w:r>
      <w:r>
        <w:t> </w:t>
      </w:r>
      <w:r>
        <w:rPr>
          <w:rFonts w:hint="eastAsia"/>
        </w:rPr>
        <w:t>0</w:t>
      </w:r>
      <w:r>
        <w:t>,</w:t>
      </w:r>
      <w:r>
        <w:rPr>
          <w:rFonts w:hint="eastAsia"/>
        </w:rPr>
        <w:t>1743</w:t>
      </w:r>
      <w:r>
        <w:t> </w:t>
      </w:r>
      <w:r>
        <w:rPr>
          <w:rFonts w:ascii="Symbol" w:hAnsi="Symbol"/>
        </w:rPr>
        <w:t></w:t>
      </w:r>
      <w:r>
        <w:t> </w:t>
      </w:r>
      <w:r>
        <w:rPr>
          <w:rFonts w:hint="eastAsia"/>
        </w:rPr>
        <w:t>10</w:t>
      </w:r>
      <w:r>
        <w:rPr>
          <w:vertAlign w:val="superscript"/>
        </w:rPr>
        <w:t>–</w:t>
      </w:r>
      <w:r>
        <w:rPr>
          <w:rFonts w:hint="eastAsia"/>
          <w:vertAlign w:val="superscript"/>
        </w:rPr>
        <w:t>4</w:t>
      </w:r>
      <w:r>
        <w:t> </w:t>
      </w:r>
      <w:r>
        <w:sym w:font="Symbol" w:char="F071"/>
      </w:r>
      <w:r>
        <w:rPr>
          <w:rFonts w:hint="eastAsia"/>
          <w:vertAlign w:val="superscript"/>
        </w:rPr>
        <w:t>4</w:t>
      </w:r>
      <w:r>
        <w:t> </w:t>
      </w:r>
      <w:r>
        <w:rPr>
          <w:rFonts w:ascii="Symbol" w:hAnsi="Symbol"/>
          <w:lang w:val="es-ES"/>
        </w:rPr>
        <w:t></w:t>
      </w:r>
      <w:r>
        <w:br/>
      </w:r>
      <w:r>
        <w:tab/>
      </w:r>
      <w:r>
        <w:tab/>
      </w:r>
      <w:r>
        <w:rPr>
          <w:rFonts w:hint="eastAsia"/>
          <w:i/>
        </w:rPr>
        <w:t>h</w:t>
      </w:r>
      <w:r>
        <w:t> </w:t>
      </w:r>
      <w:r>
        <w:rPr>
          <w:rFonts w:hint="eastAsia"/>
        </w:rPr>
        <w:t>(0</w:t>
      </w:r>
      <w:r>
        <w:t>,</w:t>
      </w:r>
      <w:r>
        <w:rPr>
          <w:rFonts w:hint="eastAsia"/>
        </w:rPr>
        <w:t>3132</w:t>
      </w:r>
      <w:r>
        <w:t> </w:t>
      </w:r>
      <w:r>
        <w:rPr>
          <w:rFonts w:ascii="Symbol" w:hAnsi="Symbol"/>
          <w:lang w:val="es-ES"/>
        </w:rPr>
        <w:t></w:t>
      </w:r>
      <w:r>
        <w:t> </w:t>
      </w:r>
      <w:r>
        <w:rPr>
          <w:rFonts w:hint="eastAsia"/>
        </w:rPr>
        <w:t>0</w:t>
      </w:r>
      <w:r>
        <w:t>,</w:t>
      </w:r>
      <w:r>
        <w:rPr>
          <w:rFonts w:hint="eastAsia"/>
        </w:rPr>
        <w:t>4079</w:t>
      </w:r>
      <w:r>
        <w:t> </w:t>
      </w:r>
      <w:r>
        <w:sym w:font="Symbol" w:char="F071"/>
      </w:r>
      <w:r>
        <w:rPr>
          <w:rFonts w:hint="eastAsia"/>
        </w:rPr>
        <w:t>)</w:t>
      </w:r>
      <w:r>
        <w:t> </w:t>
      </w:r>
      <w:r>
        <w:rPr>
          <w:rFonts w:ascii="Symbol" w:hAnsi="Symbol"/>
          <w:lang w:val="es-ES"/>
        </w:rPr>
        <w:t></w:t>
      </w:r>
      <w:r>
        <w:t> </w:t>
      </w:r>
      <w:r>
        <w:rPr>
          <w:rFonts w:hint="eastAsia"/>
          <w:i/>
        </w:rPr>
        <w:t>h</w:t>
      </w:r>
      <w:r>
        <w:rPr>
          <w:rFonts w:hint="eastAsia"/>
          <w:vertAlign w:val="superscript"/>
        </w:rPr>
        <w:t>2</w:t>
      </w:r>
      <w:r>
        <w:rPr>
          <w:rFonts w:hint="eastAsia"/>
        </w:rPr>
        <w:t>(0</w:t>
      </w:r>
      <w:r>
        <w:t>,</w:t>
      </w:r>
      <w:r>
        <w:rPr>
          <w:rFonts w:hint="eastAsia"/>
        </w:rPr>
        <w:t>09824</w:t>
      </w:r>
      <w:r>
        <w:t> </w:t>
      </w:r>
      <w:r>
        <w:rPr>
          <w:rFonts w:ascii="Symbol" w:hAnsi="Symbol"/>
          <w:lang w:val="es-ES"/>
        </w:rPr>
        <w:t></w:t>
      </w:r>
      <w:r>
        <w:t> </w:t>
      </w:r>
      <w:r>
        <w:rPr>
          <w:rFonts w:hint="eastAsia"/>
        </w:rPr>
        <w:t>0</w:t>
      </w:r>
      <w:r>
        <w:t>,</w:t>
      </w:r>
      <w:r>
        <w:rPr>
          <w:rFonts w:hint="eastAsia"/>
        </w:rPr>
        <w:t>1906</w:t>
      </w:r>
      <w:r>
        <w:t> </w:t>
      </w:r>
      <w:r>
        <w:sym w:font="Symbol" w:char="F071"/>
      </w:r>
      <w:r>
        <w:rPr>
          <w:rFonts w:hint="eastAsia"/>
        </w:rPr>
        <w:t>)</w:t>
      </w:r>
      <w:r>
        <w:t> </w:t>
      </w:r>
      <w:r>
        <w:rPr>
          <w:rFonts w:ascii="Symbol" w:hAnsi="Symbol"/>
          <w:lang w:val="es-ES"/>
        </w:rPr>
        <w:t></w:t>
      </w:r>
      <w:r>
        <w:t> </w:t>
      </w:r>
      <w:r>
        <w:rPr>
          <w:rFonts w:hint="eastAsia"/>
        </w:rPr>
        <w:t>0</w:t>
      </w:r>
      <w:r>
        <w:t>,</w:t>
      </w:r>
      <w:r>
        <w:rPr>
          <w:rFonts w:hint="eastAsia"/>
        </w:rPr>
        <w:t>04830</w:t>
      </w:r>
      <w:r>
        <w:t> </w:t>
      </w:r>
      <w:r>
        <w:rPr>
          <w:rFonts w:hint="eastAsia"/>
          <w:i/>
        </w:rPr>
        <w:t>h</w:t>
      </w:r>
      <w:r>
        <w:rPr>
          <w:rFonts w:hint="eastAsia"/>
          <w:vertAlign w:val="superscript"/>
        </w:rPr>
        <w:t>3</w:t>
      </w:r>
      <w:r>
        <w:rPr>
          <w:rFonts w:hint="eastAsia"/>
        </w:rPr>
        <w:t xml:space="preserve">] </w:t>
      </w:r>
      <w:r>
        <w:tab/>
      </w:r>
      <w:r>
        <w:rPr>
          <w:rFonts w:hint="eastAsia"/>
        </w:rPr>
        <w:t>(7a)</w:t>
      </w:r>
    </w:p>
    <w:p w:rsidR="002B489A" w:rsidRDefault="004F19C4">
      <w:pPr>
        <w:pStyle w:val="Equation"/>
        <w:tabs>
          <w:tab w:val="clear" w:pos="794"/>
          <w:tab w:val="clear" w:pos="4820"/>
          <w:tab w:val="left" w:pos="540"/>
          <w:tab w:val="left" w:pos="1652"/>
        </w:tabs>
        <w:jc w:val="left"/>
        <w:rPr>
          <w:lang w:val="en-US"/>
        </w:rPr>
      </w:pPr>
      <w:r>
        <w:rPr>
          <w:i/>
        </w:rPr>
        <w:tab/>
      </w:r>
      <w:r>
        <w:rPr>
          <w:rFonts w:hint="eastAsia"/>
          <w:i/>
          <w:lang w:val="en-US"/>
        </w:rPr>
        <w:t>A</w:t>
      </w:r>
      <w:r>
        <w:rPr>
          <w:rFonts w:hint="eastAsia"/>
          <w:i/>
          <w:vertAlign w:val="subscript"/>
          <w:lang w:val="en-US"/>
        </w:rPr>
        <w:t>M</w:t>
      </w:r>
      <w:r>
        <w:rPr>
          <w:i/>
          <w:vertAlign w:val="subscript"/>
          <w:lang w:val="en-US"/>
        </w:rPr>
        <w:t> </w:t>
      </w:r>
      <w:r>
        <w:rPr>
          <w:rFonts w:hint="eastAsia"/>
          <w:lang w:val="en-US"/>
        </w:rPr>
        <w:t>(</w:t>
      </w:r>
      <w:r>
        <w:rPr>
          <w:rFonts w:hint="eastAsia"/>
          <w:i/>
          <w:lang w:val="en-US"/>
        </w:rPr>
        <w:t>h</w:t>
      </w:r>
      <w:r>
        <w:rPr>
          <w:rFonts w:hint="eastAsia"/>
          <w:lang w:val="en-US"/>
        </w:rPr>
        <w:t xml:space="preserve">, </w:t>
      </w:r>
      <w:r>
        <w:rPr>
          <w:rFonts w:ascii="Symbol" w:hAnsi="Symbol"/>
        </w:rPr>
        <w:sym w:font="Symbol" w:char="F071"/>
      </w:r>
      <w:r>
        <w:rPr>
          <w:rFonts w:hint="eastAsia"/>
          <w:lang w:val="en-US"/>
        </w:rPr>
        <w:t>)</w:t>
      </w:r>
      <w:r>
        <w:rPr>
          <w:lang w:val="en-US"/>
        </w:rPr>
        <w:t> </w:t>
      </w:r>
      <w:r>
        <w:rPr>
          <w:rFonts w:ascii="Symbol" w:hAnsi="Symbol"/>
          <w:lang w:val="es-ES"/>
        </w:rPr>
        <w:t></w:t>
      </w:r>
      <w:r>
        <w:rPr>
          <w:lang w:val="en-US"/>
        </w:rPr>
        <w:tab/>
      </w:r>
      <w:r>
        <w:rPr>
          <w:rFonts w:hint="eastAsia"/>
          <w:lang w:val="en-US"/>
        </w:rPr>
        <w:t>18</w:t>
      </w:r>
      <w:r>
        <w:rPr>
          <w:lang w:val="en-US"/>
        </w:rPr>
        <w:t>,</w:t>
      </w:r>
      <w:r>
        <w:rPr>
          <w:rFonts w:hint="eastAsia"/>
          <w:lang w:val="en-US"/>
        </w:rPr>
        <w:t>42</w:t>
      </w:r>
      <w:r>
        <w:rPr>
          <w:lang w:val="en-US"/>
        </w:rPr>
        <w:t> </w:t>
      </w:r>
      <w:r>
        <w:rPr>
          <w:rFonts w:hint="eastAsia"/>
          <w:lang w:val="en-US"/>
        </w:rPr>
        <w:t>/</w:t>
      </w:r>
      <w:r>
        <w:rPr>
          <w:lang w:val="en-US"/>
        </w:rPr>
        <w:t> </w:t>
      </w:r>
      <w:r>
        <w:rPr>
          <w:rFonts w:hint="eastAsia"/>
          <w:lang w:val="en-US"/>
        </w:rPr>
        <w:t>[1</w:t>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8311</w:t>
      </w:r>
      <w:r>
        <w:rPr>
          <w:lang w:val="en-US"/>
        </w:rPr>
        <w:t> </w:t>
      </w:r>
      <w:r>
        <w:sym w:font="Symbol" w:char="F071"/>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02870</w:t>
      </w:r>
      <w:r>
        <w:rPr>
          <w:lang w:val="en-US"/>
        </w:rPr>
        <w:t> </w:t>
      </w:r>
      <w:r>
        <w:sym w:font="Symbol" w:char="F071"/>
      </w:r>
      <w:r>
        <w:rPr>
          <w:rFonts w:hint="eastAsia"/>
          <w:vertAlign w:val="superscript"/>
          <w:lang w:val="en-US"/>
        </w:rPr>
        <w:t>2</w:t>
      </w:r>
      <w:r>
        <w:rPr>
          <w:lang w:val="en-US"/>
        </w:rPr>
        <w:t> </w:t>
      </w:r>
      <w:r>
        <w:rPr>
          <w:rFonts w:ascii="Symbol" w:hAnsi="Symbol"/>
          <w:lang w:val="en-US"/>
        </w:rPr>
        <w:t></w:t>
      </w:r>
      <w:r>
        <w:rPr>
          <w:lang w:val="en-US"/>
        </w:rPr>
        <w:t> </w:t>
      </w:r>
      <w:r>
        <w:rPr>
          <w:rFonts w:hint="eastAsia"/>
          <w:i/>
          <w:lang w:val="en-US"/>
        </w:rPr>
        <w:t>h</w:t>
      </w:r>
      <w:r>
        <w:rPr>
          <w:lang w:val="en-US"/>
        </w:rPr>
        <w:t> </w:t>
      </w:r>
      <w:r>
        <w:rPr>
          <w:rFonts w:hint="eastAsia"/>
          <w:lang w:val="en-US"/>
        </w:rPr>
        <w:t>(0</w:t>
      </w:r>
      <w:r>
        <w:rPr>
          <w:lang w:val="en-US"/>
        </w:rPr>
        <w:t>,</w:t>
      </w:r>
      <w:r>
        <w:rPr>
          <w:rFonts w:hint="eastAsia"/>
          <w:lang w:val="en-US"/>
        </w:rPr>
        <w:t>2517</w:t>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2995</w:t>
      </w:r>
      <w:r>
        <w:rPr>
          <w:lang w:val="en-US"/>
        </w:rPr>
        <w:t> </w:t>
      </w:r>
      <w:r>
        <w:sym w:font="Symbol" w:char="F071"/>
      </w:r>
      <w:r>
        <w:rPr>
          <w:rFonts w:hint="eastAsia"/>
          <w:lang w:val="en-US"/>
        </w:rPr>
        <w:t>)</w:t>
      </w:r>
      <w:r>
        <w:rPr>
          <w:lang w:val="en-US"/>
        </w:rPr>
        <w:t> </w:t>
      </w:r>
      <w:r>
        <w:rPr>
          <w:rFonts w:ascii="Symbol" w:hAnsi="Symbol"/>
          <w:lang w:val="en-US"/>
        </w:rPr>
        <w:t></w:t>
      </w:r>
      <w:r>
        <w:rPr>
          <w:lang w:val="en-US"/>
        </w:rPr>
        <w:br/>
      </w:r>
      <w:r>
        <w:rPr>
          <w:lang w:val="en-US"/>
        </w:rPr>
        <w:tab/>
      </w:r>
      <w:r>
        <w:rPr>
          <w:lang w:val="en-US"/>
        </w:rPr>
        <w:tab/>
      </w:r>
      <w:r>
        <w:rPr>
          <w:rFonts w:hint="eastAsia"/>
          <w:i/>
          <w:iCs/>
          <w:lang w:val="en-US"/>
        </w:rPr>
        <w:t>h</w:t>
      </w:r>
      <w:r>
        <w:rPr>
          <w:rFonts w:hint="eastAsia"/>
          <w:vertAlign w:val="superscript"/>
          <w:lang w:val="en-US"/>
        </w:rPr>
        <w:t>2</w:t>
      </w:r>
      <w:r>
        <w:rPr>
          <w:lang w:val="en-US"/>
        </w:rPr>
        <w:t> </w:t>
      </w:r>
      <w:r>
        <w:rPr>
          <w:rFonts w:hint="eastAsia"/>
          <w:lang w:val="en-US"/>
        </w:rPr>
        <w:t>(0</w:t>
      </w:r>
      <w:r>
        <w:rPr>
          <w:lang w:val="en-US"/>
        </w:rPr>
        <w:t>,</w:t>
      </w:r>
      <w:r>
        <w:rPr>
          <w:rFonts w:hint="eastAsia"/>
          <w:lang w:val="en-US"/>
        </w:rPr>
        <w:t>1330</w:t>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09409</w:t>
      </w:r>
      <w:r>
        <w:rPr>
          <w:lang w:val="en-US"/>
        </w:rPr>
        <w:t> </w:t>
      </w:r>
      <w:r>
        <w:sym w:font="Symbol" w:char="F071"/>
      </w:r>
      <w:r>
        <w:rPr>
          <w:rFonts w:hint="eastAsia"/>
          <w:lang w:val="en-US"/>
        </w:rPr>
        <w:t>)]</w:t>
      </w:r>
      <w:r>
        <w:rPr>
          <w:rFonts w:hint="eastAsia"/>
          <w:lang w:val="en-US"/>
        </w:rPr>
        <w:tab/>
        <w:t>(7b)</w:t>
      </w:r>
    </w:p>
    <w:p w:rsidR="002B489A" w:rsidRDefault="004F19C4">
      <w:pPr>
        <w:pStyle w:val="Equation"/>
        <w:tabs>
          <w:tab w:val="clear" w:pos="794"/>
          <w:tab w:val="clear" w:pos="4820"/>
          <w:tab w:val="left" w:pos="540"/>
          <w:tab w:val="left" w:pos="1652"/>
        </w:tabs>
        <w:jc w:val="left"/>
        <w:rPr>
          <w:lang w:val="en-US"/>
        </w:rPr>
      </w:pPr>
      <w:r>
        <w:rPr>
          <w:i/>
          <w:lang w:val="en-US"/>
        </w:rPr>
        <w:tab/>
      </w:r>
      <w:r>
        <w:rPr>
          <w:rFonts w:hint="eastAsia"/>
          <w:i/>
          <w:lang w:val="en-US"/>
        </w:rPr>
        <w:t>A</w:t>
      </w:r>
      <w:r>
        <w:rPr>
          <w:rFonts w:hint="eastAsia"/>
          <w:i/>
          <w:vertAlign w:val="subscript"/>
          <w:lang w:val="en-US"/>
        </w:rPr>
        <w:t>H</w:t>
      </w:r>
      <w:r>
        <w:rPr>
          <w:i/>
          <w:vertAlign w:val="subscript"/>
          <w:lang w:val="en-US"/>
        </w:rPr>
        <w:t> </w:t>
      </w:r>
      <w:r>
        <w:rPr>
          <w:rFonts w:hint="eastAsia"/>
          <w:lang w:val="en-US"/>
        </w:rPr>
        <w:t>(</w:t>
      </w:r>
      <w:r>
        <w:rPr>
          <w:rFonts w:hint="eastAsia"/>
          <w:i/>
          <w:lang w:val="en-US"/>
        </w:rPr>
        <w:t>h</w:t>
      </w:r>
      <w:r>
        <w:rPr>
          <w:rFonts w:hint="eastAsia"/>
          <w:lang w:val="en-US"/>
        </w:rPr>
        <w:t xml:space="preserve">, </w:t>
      </w:r>
      <w:r>
        <w:rPr>
          <w:rFonts w:ascii="Symbol" w:hAnsi="Symbol"/>
        </w:rPr>
        <w:sym w:font="Symbol" w:char="F071"/>
      </w:r>
      <w:r>
        <w:rPr>
          <w:rFonts w:hint="eastAsia"/>
          <w:lang w:val="en-US"/>
        </w:rPr>
        <w:t>)</w:t>
      </w:r>
      <w:r>
        <w:rPr>
          <w:lang w:val="en-US"/>
        </w:rPr>
        <w:t> </w:t>
      </w:r>
      <w:r>
        <w:rPr>
          <w:rFonts w:ascii="Symbol" w:hAnsi="Symbol"/>
          <w:lang w:val="es-ES"/>
        </w:rPr>
        <w:t></w:t>
      </w:r>
      <w:r>
        <w:rPr>
          <w:lang w:val="en-US"/>
        </w:rPr>
        <w:t> </w:t>
      </w:r>
      <w:r>
        <w:rPr>
          <w:lang w:val="en-US"/>
        </w:rPr>
        <w:tab/>
      </w:r>
      <w:r>
        <w:rPr>
          <w:rFonts w:hint="eastAsia"/>
          <w:lang w:val="en-US"/>
        </w:rPr>
        <w:t>10</w:t>
      </w:r>
      <w:r>
        <w:rPr>
          <w:lang w:val="en-US"/>
        </w:rPr>
        <w:t>,</w:t>
      </w:r>
      <w:r>
        <w:rPr>
          <w:rFonts w:hint="eastAsia"/>
          <w:lang w:val="en-US"/>
        </w:rPr>
        <w:t>73</w:t>
      </w:r>
      <w:r>
        <w:rPr>
          <w:lang w:val="en-US"/>
        </w:rPr>
        <w:t> </w:t>
      </w:r>
      <w:r>
        <w:rPr>
          <w:rFonts w:hint="eastAsia"/>
          <w:lang w:val="en-US"/>
        </w:rPr>
        <w:t>/</w:t>
      </w:r>
      <w:r>
        <w:rPr>
          <w:lang w:val="en-US"/>
        </w:rPr>
        <w:t> </w:t>
      </w:r>
      <w:r>
        <w:rPr>
          <w:rFonts w:hint="eastAsia"/>
          <w:lang w:val="en-US"/>
        </w:rPr>
        <w:t>[1</w:t>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6427</w:t>
      </w:r>
      <w:r>
        <w:rPr>
          <w:lang w:val="en-US"/>
        </w:rPr>
        <w:t> </w:t>
      </w:r>
      <w:r>
        <w:sym w:font="Symbol" w:char="F071"/>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04402</w:t>
      </w:r>
      <w:r>
        <w:rPr>
          <w:lang w:val="en-US"/>
        </w:rPr>
        <w:t> </w:t>
      </w:r>
      <w:r>
        <w:sym w:font="Symbol" w:char="F071"/>
      </w:r>
      <w:r>
        <w:rPr>
          <w:rFonts w:hint="eastAsia"/>
          <w:vertAlign w:val="superscript"/>
          <w:lang w:val="en-US"/>
        </w:rPr>
        <w:t>2</w:t>
      </w:r>
      <w:r>
        <w:rPr>
          <w:lang w:val="en-US"/>
        </w:rPr>
        <w:t> </w:t>
      </w:r>
      <w:r>
        <w:rPr>
          <w:rFonts w:ascii="Symbol" w:hAnsi="Symbol"/>
          <w:lang w:val="en-US"/>
        </w:rPr>
        <w:t></w:t>
      </w:r>
      <w:r>
        <w:rPr>
          <w:lang w:val="en-US"/>
        </w:rPr>
        <w:t> </w:t>
      </w:r>
      <w:r>
        <w:rPr>
          <w:rFonts w:hint="eastAsia"/>
          <w:i/>
          <w:lang w:val="en-US"/>
        </w:rPr>
        <w:t>h</w:t>
      </w:r>
      <w:r>
        <w:rPr>
          <w:lang w:val="en-US"/>
        </w:rPr>
        <w:t> </w:t>
      </w:r>
      <w:r>
        <w:rPr>
          <w:rFonts w:hint="eastAsia"/>
          <w:lang w:val="en-US"/>
        </w:rPr>
        <w:t>(0</w:t>
      </w:r>
      <w:r>
        <w:rPr>
          <w:lang w:val="en-US"/>
        </w:rPr>
        <w:t>,</w:t>
      </w:r>
      <w:r>
        <w:rPr>
          <w:rFonts w:hint="eastAsia"/>
          <w:lang w:val="en-US"/>
        </w:rPr>
        <w:t>08210</w:t>
      </w:r>
      <w:r>
        <w:rPr>
          <w:i/>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3840</w:t>
      </w:r>
      <w:r>
        <w:rPr>
          <w:lang w:val="en-US"/>
        </w:rPr>
        <w:t> </w:t>
      </w:r>
      <w:r>
        <w:sym w:font="Symbol" w:char="F071"/>
      </w:r>
      <w:r>
        <w:rPr>
          <w:rFonts w:hint="eastAsia"/>
          <w:lang w:val="en-US"/>
        </w:rPr>
        <w:t>)</w:t>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1273</w:t>
      </w:r>
      <w:r>
        <w:rPr>
          <w:lang w:val="en-US"/>
        </w:rPr>
        <w:t> </w:t>
      </w:r>
      <w:r>
        <w:rPr>
          <w:rFonts w:hint="eastAsia"/>
          <w:i/>
          <w:iCs/>
          <w:lang w:val="en-US"/>
        </w:rPr>
        <w:t>h</w:t>
      </w:r>
      <w:r>
        <w:rPr>
          <w:rFonts w:hint="eastAsia"/>
          <w:vertAlign w:val="superscript"/>
          <w:lang w:val="en-US"/>
        </w:rPr>
        <w:t>2</w:t>
      </w:r>
      <w:r>
        <w:rPr>
          <w:rFonts w:hint="eastAsia"/>
          <w:lang w:val="en-US"/>
        </w:rPr>
        <w:t>]</w:t>
      </w:r>
      <w:r>
        <w:rPr>
          <w:rFonts w:hint="eastAsia"/>
          <w:b/>
          <w:lang w:val="en-US"/>
        </w:rPr>
        <w:tab/>
      </w:r>
      <w:r>
        <w:rPr>
          <w:rFonts w:hint="eastAsia"/>
          <w:lang w:val="en-US"/>
        </w:rPr>
        <w:t>(7c)</w:t>
      </w:r>
    </w:p>
    <w:p w:rsidR="002B489A" w:rsidRDefault="004F19C4">
      <w:pPr>
        <w:pStyle w:val="Headingb"/>
      </w:pPr>
      <w:r>
        <w:br w:type="page"/>
        <w:t xml:space="preserve">Bande de fréquences </w:t>
      </w:r>
      <w:r>
        <w:rPr>
          <w:rFonts w:hint="eastAsia"/>
        </w:rPr>
        <w:t>31</w:t>
      </w:r>
      <w:r>
        <w:t>,</w:t>
      </w:r>
      <w:r>
        <w:rPr>
          <w:rFonts w:hint="eastAsia"/>
        </w:rPr>
        <w:t>3-31</w:t>
      </w:r>
      <w:r>
        <w:t>,</w:t>
      </w:r>
      <w:r>
        <w:rPr>
          <w:rFonts w:hint="eastAsia"/>
        </w:rPr>
        <w:t>5 GHz</w:t>
      </w:r>
    </w:p>
    <w:p w:rsidR="002B489A" w:rsidRDefault="004F19C4">
      <w:pPr>
        <w:pStyle w:val="Equation"/>
        <w:tabs>
          <w:tab w:val="clear" w:pos="794"/>
          <w:tab w:val="clear" w:pos="4820"/>
          <w:tab w:val="left" w:pos="540"/>
          <w:tab w:val="left" w:pos="1652"/>
        </w:tabs>
        <w:jc w:val="left"/>
        <w:rPr>
          <w:lang w:val="es-ES"/>
        </w:rPr>
      </w:pPr>
      <w:r>
        <w:rPr>
          <w:i/>
        </w:rPr>
        <w:tab/>
      </w:r>
      <w:r>
        <w:rPr>
          <w:rFonts w:hint="eastAsia"/>
          <w:i/>
          <w:lang w:val="es-ES"/>
        </w:rPr>
        <w:t>A</w:t>
      </w:r>
      <w:r>
        <w:rPr>
          <w:rFonts w:hint="eastAsia"/>
          <w:i/>
          <w:vertAlign w:val="subscript"/>
          <w:lang w:val="es-ES"/>
        </w:rPr>
        <w:t>L</w:t>
      </w:r>
      <w:r>
        <w:rPr>
          <w:i/>
          <w:vertAlign w:val="subscript"/>
          <w:lang w:val="es-ES"/>
        </w:rPr>
        <w:t> </w:t>
      </w:r>
      <w:r>
        <w:rPr>
          <w:rFonts w:hint="eastAsia"/>
          <w:lang w:val="es-ES"/>
        </w:rPr>
        <w:t>(</w:t>
      </w:r>
      <w:r>
        <w:rPr>
          <w:rFonts w:hint="eastAsia"/>
          <w:i/>
          <w:lang w:val="es-ES"/>
        </w:rPr>
        <w:t>h</w:t>
      </w:r>
      <w:r>
        <w:rPr>
          <w:rFonts w:hint="eastAsia"/>
          <w:lang w:val="es-ES"/>
        </w:rPr>
        <w:t xml:space="preserve">, </w:t>
      </w:r>
      <w:r>
        <w:rPr>
          <w:rFonts w:ascii="Symbol" w:hAnsi="Symbol"/>
        </w:rPr>
        <w:sym w:font="Symbol" w:char="F071"/>
      </w:r>
      <w:r>
        <w:rPr>
          <w:rFonts w:hint="eastAsia"/>
          <w:lang w:val="es-ES"/>
        </w:rPr>
        <w:t>)</w:t>
      </w:r>
      <w:r>
        <w:rPr>
          <w:lang w:val="es-ES"/>
        </w:rPr>
        <w:t> </w:t>
      </w:r>
      <w:r>
        <w:rPr>
          <w:rFonts w:ascii="Symbol" w:hAnsi="Symbol"/>
          <w:lang w:val="es-ES"/>
        </w:rPr>
        <w:t></w:t>
      </w:r>
      <w:r>
        <w:rPr>
          <w:rFonts w:ascii="Symbol" w:hAnsi="Symbol"/>
          <w:lang w:val="es-ES"/>
        </w:rPr>
        <w:tab/>
      </w:r>
      <w:r>
        <w:rPr>
          <w:rFonts w:hint="eastAsia"/>
          <w:lang w:val="es-ES"/>
        </w:rPr>
        <w:t>19</w:t>
      </w:r>
      <w:r>
        <w:rPr>
          <w:lang w:val="es-ES"/>
        </w:rPr>
        <w:t>,</w:t>
      </w:r>
      <w:r>
        <w:rPr>
          <w:rFonts w:hint="eastAsia"/>
          <w:lang w:val="es-ES"/>
        </w:rPr>
        <w:t>52</w:t>
      </w:r>
      <w:r>
        <w:rPr>
          <w:lang w:val="es-ES"/>
        </w:rPr>
        <w:t> </w:t>
      </w:r>
      <w:r>
        <w:rPr>
          <w:rFonts w:hint="eastAsia"/>
          <w:lang w:val="es-ES"/>
        </w:rPr>
        <w:t>/</w:t>
      </w:r>
      <w:r>
        <w:rPr>
          <w:lang w:val="es-ES"/>
        </w:rPr>
        <w:t> </w:t>
      </w:r>
      <w:r>
        <w:rPr>
          <w:rFonts w:hint="eastAsia"/>
          <w:lang w:val="es-ES"/>
        </w:rPr>
        <w:t>[1</w:t>
      </w:r>
      <w:r>
        <w:rPr>
          <w:lang w:val="es-ES"/>
        </w:rPr>
        <w:t> </w:t>
      </w:r>
      <w:r>
        <w:rPr>
          <w:rFonts w:ascii="Symbol" w:hAnsi="Symbol"/>
          <w:lang w:val="es-ES"/>
        </w:rPr>
        <w:t></w:t>
      </w:r>
      <w:r>
        <w:rPr>
          <w:lang w:val="es-ES"/>
        </w:rPr>
        <w:t> </w:t>
      </w:r>
      <w:r>
        <w:rPr>
          <w:rFonts w:hint="eastAsia"/>
          <w:lang w:val="es-ES"/>
        </w:rPr>
        <w:t>0</w:t>
      </w:r>
      <w:r>
        <w:rPr>
          <w:lang w:val="es-ES"/>
        </w:rPr>
        <w:t>,</w:t>
      </w:r>
      <w:r>
        <w:rPr>
          <w:rFonts w:hint="eastAsia"/>
          <w:lang w:val="es-ES"/>
        </w:rPr>
        <w:t>9294</w:t>
      </w:r>
      <w:r>
        <w:rPr>
          <w:lang w:val="es-ES"/>
        </w:rPr>
        <w:t> </w:t>
      </w:r>
      <w:r>
        <w:sym w:font="Symbol" w:char="F071"/>
      </w:r>
      <w:r>
        <w:rPr>
          <w:rFonts w:hint="eastAsia"/>
          <w:lang w:val="es-ES"/>
        </w:rPr>
        <w:t> </w:t>
      </w:r>
      <w:r>
        <w:rPr>
          <w:rFonts w:ascii="Symbol" w:hAnsi="Symbol"/>
          <w:lang w:val="es-ES"/>
        </w:rPr>
        <w:t></w:t>
      </w:r>
      <w:r>
        <w:rPr>
          <w:lang w:val="es-ES"/>
        </w:rPr>
        <w:t> </w:t>
      </w:r>
      <w:r>
        <w:rPr>
          <w:rFonts w:hint="eastAsia"/>
          <w:lang w:val="es-ES"/>
        </w:rPr>
        <w:t>0</w:t>
      </w:r>
      <w:r>
        <w:rPr>
          <w:lang w:val="es-ES"/>
        </w:rPr>
        <w:t>,</w:t>
      </w:r>
      <w:r>
        <w:rPr>
          <w:rFonts w:hint="eastAsia"/>
          <w:lang w:val="es-ES"/>
        </w:rPr>
        <w:t>02495</w:t>
      </w:r>
      <w:r>
        <w:rPr>
          <w:lang w:val="es-ES"/>
        </w:rPr>
        <w:t> </w:t>
      </w:r>
      <w:r>
        <w:sym w:font="Symbol" w:char="F071"/>
      </w:r>
      <w:r>
        <w:rPr>
          <w:rFonts w:hint="eastAsia"/>
          <w:vertAlign w:val="superscript"/>
          <w:lang w:val="es-ES"/>
        </w:rPr>
        <w:t>2</w:t>
      </w:r>
      <w:r>
        <w:rPr>
          <w:lang w:val="es-ES"/>
        </w:rPr>
        <w:t> </w:t>
      </w:r>
      <w:r>
        <w:rPr>
          <w:rFonts w:ascii="Symbol" w:hAnsi="Symbol"/>
          <w:lang w:val="es-ES"/>
        </w:rPr>
        <w:t></w:t>
      </w:r>
      <w:r>
        <w:rPr>
          <w:lang w:val="es-ES"/>
        </w:rPr>
        <w:t> </w:t>
      </w:r>
      <w:r>
        <w:rPr>
          <w:rFonts w:hint="eastAsia"/>
          <w:i/>
          <w:lang w:val="es-ES"/>
        </w:rPr>
        <w:t>h</w:t>
      </w:r>
      <w:r>
        <w:rPr>
          <w:lang w:val="es-ES"/>
        </w:rPr>
        <w:t> </w:t>
      </w:r>
      <w:r>
        <w:rPr>
          <w:rFonts w:hint="eastAsia"/>
          <w:lang w:val="es-ES"/>
        </w:rPr>
        <w:t>(0</w:t>
      </w:r>
      <w:r>
        <w:rPr>
          <w:lang w:val="es-ES"/>
        </w:rPr>
        <w:t>,</w:t>
      </w:r>
      <w:r>
        <w:rPr>
          <w:rFonts w:hint="eastAsia"/>
          <w:lang w:val="es-ES"/>
        </w:rPr>
        <w:t>3409</w:t>
      </w:r>
      <w:r>
        <w:rPr>
          <w:lang w:val="es-ES"/>
        </w:rPr>
        <w:t> </w:t>
      </w:r>
      <w:r>
        <w:rPr>
          <w:rFonts w:ascii="Symbol" w:hAnsi="Symbol"/>
          <w:lang w:val="es-ES"/>
        </w:rPr>
        <w:t></w:t>
      </w:r>
      <w:r>
        <w:rPr>
          <w:lang w:val="es-ES"/>
        </w:rPr>
        <w:t> </w:t>
      </w:r>
      <w:r>
        <w:rPr>
          <w:rFonts w:hint="eastAsia"/>
          <w:lang w:val="es-ES"/>
        </w:rPr>
        <w:t>0</w:t>
      </w:r>
      <w:r>
        <w:rPr>
          <w:lang w:val="es-ES"/>
        </w:rPr>
        <w:t>,</w:t>
      </w:r>
      <w:r>
        <w:rPr>
          <w:rFonts w:hint="eastAsia"/>
          <w:lang w:val="es-ES"/>
        </w:rPr>
        <w:t>4368</w:t>
      </w:r>
      <w:r>
        <w:rPr>
          <w:lang w:val="es-ES"/>
        </w:rPr>
        <w:t> </w:t>
      </w:r>
      <w:r>
        <w:sym w:font="Symbol" w:char="F071"/>
      </w:r>
      <w:r>
        <w:rPr>
          <w:rFonts w:hint="eastAsia"/>
          <w:lang w:val="es-ES"/>
        </w:rPr>
        <w:t>)</w:t>
      </w:r>
      <w:r>
        <w:rPr>
          <w:lang w:val="es-ES"/>
        </w:rPr>
        <w:t> </w:t>
      </w:r>
      <w:r>
        <w:rPr>
          <w:rFonts w:ascii="Symbol" w:hAnsi="Symbol"/>
          <w:lang w:val="es-ES"/>
        </w:rPr>
        <w:t></w:t>
      </w:r>
      <w:r>
        <w:rPr>
          <w:lang w:val="es-ES"/>
        </w:rPr>
        <w:br/>
      </w:r>
      <w:r>
        <w:rPr>
          <w:lang w:val="es-ES"/>
        </w:rPr>
        <w:tab/>
      </w:r>
      <w:r>
        <w:rPr>
          <w:lang w:val="es-ES"/>
        </w:rPr>
        <w:tab/>
      </w:r>
      <w:r>
        <w:rPr>
          <w:rFonts w:hint="eastAsia"/>
          <w:i/>
          <w:lang w:val="es-ES"/>
        </w:rPr>
        <w:t>h</w:t>
      </w:r>
      <w:r>
        <w:rPr>
          <w:rFonts w:hint="eastAsia"/>
          <w:vertAlign w:val="superscript"/>
          <w:lang w:val="es-ES"/>
        </w:rPr>
        <w:t>2</w:t>
      </w:r>
      <w:r>
        <w:rPr>
          <w:lang w:val="es-ES"/>
        </w:rPr>
        <w:t> </w:t>
      </w:r>
      <w:r>
        <w:rPr>
          <w:rFonts w:hint="eastAsia"/>
          <w:lang w:val="es-ES"/>
        </w:rPr>
        <w:t>(0</w:t>
      </w:r>
      <w:r>
        <w:rPr>
          <w:lang w:val="es-ES"/>
        </w:rPr>
        <w:t>,</w:t>
      </w:r>
      <w:r>
        <w:rPr>
          <w:rFonts w:hint="eastAsia"/>
          <w:lang w:val="es-ES"/>
        </w:rPr>
        <w:t>1938</w:t>
      </w:r>
      <w:r>
        <w:rPr>
          <w:lang w:val="es-ES"/>
        </w:rPr>
        <w:t> </w:t>
      </w:r>
      <w:r>
        <w:rPr>
          <w:rFonts w:ascii="Symbol" w:hAnsi="Symbol"/>
          <w:lang w:val="es-ES"/>
        </w:rPr>
        <w:t></w:t>
      </w:r>
      <w:r>
        <w:rPr>
          <w:lang w:val="es-ES"/>
        </w:rPr>
        <w:t> </w:t>
      </w:r>
      <w:r>
        <w:rPr>
          <w:rFonts w:hint="eastAsia"/>
          <w:lang w:val="es-ES"/>
        </w:rPr>
        <w:t>0</w:t>
      </w:r>
      <w:r>
        <w:rPr>
          <w:lang w:val="es-ES"/>
        </w:rPr>
        <w:t>,</w:t>
      </w:r>
      <w:r>
        <w:rPr>
          <w:rFonts w:hint="eastAsia"/>
          <w:lang w:val="es-ES"/>
        </w:rPr>
        <w:t>07732</w:t>
      </w:r>
      <w:r>
        <w:rPr>
          <w:lang w:val="es-ES"/>
        </w:rPr>
        <w:t> </w:t>
      </w:r>
      <w:r>
        <w:sym w:font="Symbol" w:char="F071"/>
      </w:r>
      <w:r>
        <w:rPr>
          <w:rFonts w:hint="eastAsia"/>
          <w:lang w:val="es-ES"/>
        </w:rPr>
        <w:t>)]</w:t>
      </w:r>
      <w:r>
        <w:rPr>
          <w:rFonts w:hint="eastAsia"/>
          <w:lang w:val="es-ES"/>
        </w:rPr>
        <w:tab/>
        <w:t>(8a)</w:t>
      </w:r>
    </w:p>
    <w:p w:rsidR="002B489A" w:rsidRDefault="004F19C4">
      <w:pPr>
        <w:pStyle w:val="Equation"/>
        <w:tabs>
          <w:tab w:val="clear" w:pos="794"/>
          <w:tab w:val="clear" w:pos="4820"/>
          <w:tab w:val="left" w:pos="540"/>
          <w:tab w:val="left" w:pos="1652"/>
        </w:tabs>
        <w:jc w:val="left"/>
        <w:rPr>
          <w:lang w:val="en-US"/>
        </w:rPr>
      </w:pPr>
      <w:r>
        <w:rPr>
          <w:i/>
          <w:lang w:val="es-ES"/>
        </w:rPr>
        <w:tab/>
      </w:r>
      <w:r>
        <w:rPr>
          <w:rFonts w:hint="eastAsia"/>
          <w:i/>
          <w:lang w:val="en-US"/>
        </w:rPr>
        <w:t>A</w:t>
      </w:r>
      <w:r>
        <w:rPr>
          <w:rFonts w:hint="eastAsia"/>
          <w:i/>
          <w:vertAlign w:val="subscript"/>
          <w:lang w:val="en-US"/>
        </w:rPr>
        <w:t>M</w:t>
      </w:r>
      <w:r>
        <w:rPr>
          <w:i/>
          <w:vertAlign w:val="subscript"/>
          <w:lang w:val="en-US"/>
        </w:rPr>
        <w:t> </w:t>
      </w:r>
      <w:r>
        <w:rPr>
          <w:rFonts w:hint="eastAsia"/>
          <w:lang w:val="en-US"/>
        </w:rPr>
        <w:t>(</w:t>
      </w:r>
      <w:r>
        <w:rPr>
          <w:rFonts w:hint="eastAsia"/>
          <w:i/>
          <w:lang w:val="en-US"/>
        </w:rPr>
        <w:t>h</w:t>
      </w:r>
      <w:r>
        <w:rPr>
          <w:rFonts w:hint="eastAsia"/>
          <w:lang w:val="en-US"/>
        </w:rPr>
        <w:t xml:space="preserve">, </w:t>
      </w:r>
      <w:r>
        <w:rPr>
          <w:rFonts w:ascii="Symbol" w:hAnsi="Symbol"/>
        </w:rPr>
        <w:sym w:font="Symbol" w:char="F071"/>
      </w:r>
      <w:r>
        <w:rPr>
          <w:rFonts w:hint="eastAsia"/>
          <w:lang w:val="en-US"/>
        </w:rPr>
        <w:t>)</w:t>
      </w:r>
      <w:r>
        <w:rPr>
          <w:lang w:val="en-US"/>
        </w:rPr>
        <w:t> </w:t>
      </w:r>
      <w:r>
        <w:rPr>
          <w:rFonts w:ascii="Symbol" w:hAnsi="Symbol"/>
          <w:lang w:val="es-ES"/>
        </w:rPr>
        <w:t></w:t>
      </w:r>
      <w:r>
        <w:rPr>
          <w:lang w:val="en-US"/>
        </w:rPr>
        <w:tab/>
      </w:r>
      <w:r>
        <w:rPr>
          <w:rFonts w:hint="eastAsia"/>
          <w:lang w:val="en-US"/>
        </w:rPr>
        <w:t>11</w:t>
      </w:r>
      <w:r>
        <w:rPr>
          <w:lang w:val="en-US"/>
        </w:rPr>
        <w:t>,</w:t>
      </w:r>
      <w:r>
        <w:rPr>
          <w:rFonts w:hint="eastAsia"/>
          <w:lang w:val="en-US"/>
        </w:rPr>
        <w:t>89</w:t>
      </w:r>
      <w:r>
        <w:rPr>
          <w:lang w:val="en-US"/>
        </w:rPr>
        <w:t> </w:t>
      </w:r>
      <w:r>
        <w:rPr>
          <w:rFonts w:hint="eastAsia"/>
          <w:lang w:val="en-US"/>
        </w:rPr>
        <w:t>/</w:t>
      </w:r>
      <w:r>
        <w:rPr>
          <w:lang w:val="en-US"/>
        </w:rPr>
        <w:t> </w:t>
      </w:r>
      <w:r>
        <w:rPr>
          <w:rFonts w:hint="eastAsia"/>
          <w:lang w:val="en-US"/>
        </w:rPr>
        <w:t>[1</w:t>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8124</w:t>
      </w:r>
      <w:r>
        <w:rPr>
          <w:lang w:val="en-US"/>
        </w:rPr>
        <w:t> </w:t>
      </w:r>
      <w:r>
        <w:sym w:font="Symbol" w:char="F071"/>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01982</w:t>
      </w:r>
      <w:r>
        <w:rPr>
          <w:lang w:val="en-US"/>
        </w:rPr>
        <w:t> </w:t>
      </w:r>
      <w:r>
        <w:sym w:font="Symbol" w:char="F071"/>
      </w:r>
      <w:r>
        <w:rPr>
          <w:rFonts w:hint="eastAsia"/>
          <w:vertAlign w:val="superscript"/>
          <w:lang w:val="en-US"/>
        </w:rPr>
        <w:t>2</w:t>
      </w:r>
      <w:r>
        <w:rPr>
          <w:lang w:val="en-US"/>
        </w:rPr>
        <w:t> </w:t>
      </w:r>
      <w:r>
        <w:rPr>
          <w:rFonts w:ascii="Symbol" w:hAnsi="Symbol"/>
          <w:lang w:val="en-US"/>
        </w:rPr>
        <w:t></w:t>
      </w:r>
      <w:r>
        <w:rPr>
          <w:lang w:val="en-US"/>
        </w:rPr>
        <w:t> </w:t>
      </w:r>
      <w:r>
        <w:rPr>
          <w:rFonts w:hint="eastAsia"/>
          <w:i/>
          <w:lang w:val="en-US"/>
        </w:rPr>
        <w:t>h</w:t>
      </w:r>
      <w:r>
        <w:rPr>
          <w:lang w:val="en-US"/>
        </w:rPr>
        <w:t> </w:t>
      </w:r>
      <w:r>
        <w:rPr>
          <w:rFonts w:hint="eastAsia"/>
          <w:lang w:val="en-US"/>
        </w:rPr>
        <w:t>(0</w:t>
      </w:r>
      <w:r>
        <w:rPr>
          <w:lang w:val="en-US"/>
        </w:rPr>
        <w:t>,</w:t>
      </w:r>
      <w:r>
        <w:rPr>
          <w:rFonts w:hint="eastAsia"/>
          <w:lang w:val="en-US"/>
        </w:rPr>
        <w:t>2738</w:t>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3876</w:t>
      </w:r>
      <w:r>
        <w:rPr>
          <w:lang w:val="en-US"/>
        </w:rPr>
        <w:t> </w:t>
      </w:r>
      <w:r>
        <w:sym w:font="Symbol" w:char="F071"/>
      </w:r>
      <w:r>
        <w:rPr>
          <w:rFonts w:hint="eastAsia"/>
          <w:lang w:val="en-US"/>
        </w:rPr>
        <w:t>)</w:t>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1181</w:t>
      </w:r>
      <w:r>
        <w:rPr>
          <w:lang w:val="en-US"/>
        </w:rPr>
        <w:t> </w:t>
      </w:r>
      <w:r>
        <w:rPr>
          <w:rFonts w:hint="eastAsia"/>
          <w:i/>
          <w:lang w:val="en-US"/>
        </w:rPr>
        <w:t>h</w:t>
      </w:r>
      <w:r>
        <w:rPr>
          <w:rFonts w:hint="eastAsia"/>
          <w:vertAlign w:val="superscript"/>
          <w:lang w:val="en-US"/>
        </w:rPr>
        <w:t>2</w:t>
      </w:r>
      <w:r>
        <w:rPr>
          <w:rFonts w:hint="eastAsia"/>
          <w:lang w:val="en-US"/>
        </w:rPr>
        <w:t>]</w:t>
      </w:r>
      <w:r>
        <w:rPr>
          <w:rFonts w:hint="eastAsia"/>
          <w:lang w:val="en-US"/>
        </w:rPr>
        <w:tab/>
        <w:t>(8b)</w:t>
      </w:r>
    </w:p>
    <w:p w:rsidR="002B489A" w:rsidRDefault="004F19C4">
      <w:pPr>
        <w:pStyle w:val="Equation"/>
        <w:tabs>
          <w:tab w:val="clear" w:pos="794"/>
          <w:tab w:val="clear" w:pos="4820"/>
          <w:tab w:val="left" w:pos="540"/>
          <w:tab w:val="left" w:pos="1652"/>
        </w:tabs>
        <w:jc w:val="left"/>
        <w:rPr>
          <w:lang w:val="en-US"/>
        </w:rPr>
      </w:pPr>
      <w:r>
        <w:rPr>
          <w:i/>
          <w:lang w:val="en-US"/>
        </w:rPr>
        <w:tab/>
      </w:r>
      <w:r>
        <w:rPr>
          <w:rFonts w:hint="eastAsia"/>
          <w:i/>
          <w:lang w:val="en-US"/>
        </w:rPr>
        <w:t>A</w:t>
      </w:r>
      <w:r>
        <w:rPr>
          <w:rFonts w:hint="eastAsia"/>
          <w:i/>
          <w:vertAlign w:val="subscript"/>
          <w:lang w:val="en-US"/>
        </w:rPr>
        <w:t>H</w:t>
      </w:r>
      <w:r>
        <w:rPr>
          <w:i/>
          <w:vertAlign w:val="subscript"/>
          <w:lang w:val="en-US"/>
        </w:rPr>
        <w:t> </w:t>
      </w:r>
      <w:r>
        <w:rPr>
          <w:rFonts w:hint="eastAsia"/>
          <w:lang w:val="en-US"/>
        </w:rPr>
        <w:t>(</w:t>
      </w:r>
      <w:r>
        <w:rPr>
          <w:rFonts w:hint="eastAsia"/>
          <w:i/>
          <w:lang w:val="en-US"/>
        </w:rPr>
        <w:t>h</w:t>
      </w:r>
      <w:r>
        <w:rPr>
          <w:rFonts w:hint="eastAsia"/>
          <w:lang w:val="en-US"/>
        </w:rPr>
        <w:t xml:space="preserve">, </w:t>
      </w:r>
      <w:r>
        <w:rPr>
          <w:rFonts w:ascii="Symbol" w:hAnsi="Symbol"/>
        </w:rPr>
        <w:sym w:font="Symbol" w:char="F071"/>
      </w:r>
      <w:r>
        <w:rPr>
          <w:rFonts w:hint="eastAsia"/>
          <w:lang w:val="en-US"/>
        </w:rPr>
        <w:t>)</w:t>
      </w:r>
      <w:r>
        <w:rPr>
          <w:lang w:val="en-US"/>
        </w:rPr>
        <w:t> </w:t>
      </w:r>
      <w:r>
        <w:rPr>
          <w:rFonts w:ascii="Symbol" w:hAnsi="Symbol"/>
          <w:lang w:val="es-ES"/>
        </w:rPr>
        <w:t></w:t>
      </w:r>
      <w:r>
        <w:rPr>
          <w:lang w:val="en-US"/>
        </w:rPr>
        <w:tab/>
      </w:r>
      <w:r>
        <w:rPr>
          <w:rFonts w:hint="eastAsia"/>
          <w:lang w:val="en-US"/>
        </w:rPr>
        <w:t>9</w:t>
      </w:r>
      <w:r>
        <w:rPr>
          <w:lang w:val="en-US"/>
        </w:rPr>
        <w:t>,</w:t>
      </w:r>
      <w:r>
        <w:rPr>
          <w:rFonts w:hint="eastAsia"/>
          <w:lang w:val="en-US"/>
        </w:rPr>
        <w:t>70</w:t>
      </w:r>
      <w:r>
        <w:rPr>
          <w:lang w:val="en-US"/>
        </w:rPr>
        <w:t> </w:t>
      </w:r>
      <w:r>
        <w:rPr>
          <w:rFonts w:hint="eastAsia"/>
          <w:lang w:val="en-US"/>
        </w:rPr>
        <w:t>/</w:t>
      </w:r>
      <w:r>
        <w:rPr>
          <w:lang w:val="en-US"/>
        </w:rPr>
        <w:t> </w:t>
      </w:r>
      <w:r>
        <w:rPr>
          <w:rFonts w:hint="eastAsia"/>
          <w:lang w:val="en-US"/>
        </w:rPr>
        <w:t>[1</w:t>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8149</w:t>
      </w:r>
      <w:r>
        <w:rPr>
          <w:lang w:val="en-US"/>
        </w:rPr>
        <w:t> </w:t>
      </w:r>
      <w:r>
        <w:sym w:font="Symbol" w:char="F071"/>
      </w:r>
      <w:r>
        <w:rPr>
          <w:lang w:val="en-US"/>
        </w:rPr>
        <w:t> </w:t>
      </w:r>
      <w:r>
        <w:rPr>
          <w:rFonts w:ascii="Symbol" w:hAnsi="Symbol"/>
          <w:lang w:val="en-US"/>
        </w:rPr>
        <w:t></w:t>
      </w:r>
      <w:r>
        <w:rPr>
          <w:lang w:val="en-US"/>
        </w:rPr>
        <w:t> </w:t>
      </w:r>
      <w:r>
        <w:rPr>
          <w:rFonts w:hint="eastAsia"/>
          <w:i/>
          <w:lang w:val="en-US"/>
        </w:rPr>
        <w:t>h</w:t>
      </w:r>
      <w:r>
        <w:rPr>
          <w:lang w:val="en-US"/>
        </w:rPr>
        <w:t> </w:t>
      </w:r>
      <w:r>
        <w:rPr>
          <w:rFonts w:hint="eastAsia"/>
          <w:lang w:val="en-US"/>
        </w:rPr>
        <w:t>(0</w:t>
      </w:r>
      <w:r>
        <w:rPr>
          <w:lang w:val="en-US"/>
        </w:rPr>
        <w:t>,</w:t>
      </w:r>
      <w:r>
        <w:rPr>
          <w:rFonts w:hint="eastAsia"/>
          <w:lang w:val="en-US"/>
        </w:rPr>
        <w:t>2388</w:t>
      </w:r>
      <w:r>
        <w:rPr>
          <w:rFonts w:hint="eastAsia"/>
          <w:i/>
          <w:lang w:val="en-US"/>
        </w:rPr>
        <w:t xml:space="preserve"> </w:t>
      </w:r>
      <w:r>
        <w:rPr>
          <w:rFonts w:ascii="Symbol" w:hAnsi="Symbol"/>
          <w:lang w:val="en-US"/>
        </w:rPr>
        <w:t></w:t>
      </w:r>
      <w:r>
        <w:rPr>
          <w:rFonts w:hint="eastAsia"/>
          <w:lang w:val="en-US"/>
        </w:rPr>
        <w:t xml:space="preserve"> 0</w:t>
      </w:r>
      <w:r>
        <w:rPr>
          <w:lang w:val="en-US"/>
        </w:rPr>
        <w:t>,</w:t>
      </w:r>
      <w:r>
        <w:rPr>
          <w:rFonts w:hint="eastAsia"/>
          <w:lang w:val="en-US"/>
        </w:rPr>
        <w:t>2699</w:t>
      </w:r>
      <w:r>
        <w:rPr>
          <w:lang w:val="en-US"/>
        </w:rPr>
        <w:t> </w:t>
      </w:r>
      <w:r>
        <w:sym w:font="Symbol" w:char="F071"/>
      </w:r>
      <w:r>
        <w:rPr>
          <w:rFonts w:hint="eastAsia"/>
          <w:lang w:val="en-US"/>
        </w:rPr>
        <w:t>)</w:t>
      </w:r>
      <w:r>
        <w:rPr>
          <w:lang w:val="en-US"/>
        </w:rPr>
        <w:t> </w:t>
      </w:r>
      <w:r>
        <w:rPr>
          <w:rFonts w:ascii="Symbol" w:hAnsi="Symbol"/>
          <w:lang w:val="en-US"/>
        </w:rPr>
        <w:t></w:t>
      </w:r>
      <w:r>
        <w:rPr>
          <w:lang w:val="en-US"/>
        </w:rPr>
        <w:t> </w:t>
      </w:r>
      <w:r>
        <w:rPr>
          <w:rFonts w:hint="eastAsia"/>
          <w:lang w:val="en-US"/>
        </w:rPr>
        <w:t>0</w:t>
      </w:r>
      <w:r>
        <w:rPr>
          <w:lang w:val="en-US"/>
        </w:rPr>
        <w:t>,</w:t>
      </w:r>
      <w:r>
        <w:rPr>
          <w:rFonts w:hint="eastAsia"/>
          <w:lang w:val="en-US"/>
        </w:rPr>
        <w:t>08830</w:t>
      </w:r>
      <w:r>
        <w:rPr>
          <w:lang w:val="en-US"/>
        </w:rPr>
        <w:t> </w:t>
      </w:r>
      <w:r>
        <w:rPr>
          <w:rFonts w:hint="eastAsia"/>
          <w:i/>
          <w:lang w:val="en-US"/>
        </w:rPr>
        <w:t>h</w:t>
      </w:r>
      <w:r>
        <w:rPr>
          <w:rFonts w:hint="eastAsia"/>
          <w:vertAlign w:val="superscript"/>
          <w:lang w:val="en-US"/>
        </w:rPr>
        <w:t>2</w:t>
      </w:r>
      <w:r>
        <w:rPr>
          <w:rFonts w:hint="eastAsia"/>
          <w:lang w:val="en-US"/>
        </w:rPr>
        <w:t>]</w:t>
      </w:r>
      <w:r>
        <w:rPr>
          <w:rFonts w:hint="eastAsia"/>
          <w:lang w:val="en-US"/>
        </w:rPr>
        <w:tab/>
        <w:t>(8c)</w:t>
      </w:r>
    </w:p>
    <w:p w:rsidR="002B489A" w:rsidRDefault="004F19C4">
      <w:pPr>
        <w:pStyle w:val="Headingb"/>
      </w:pPr>
      <w:r>
        <w:t xml:space="preserve">Bande de fréquences </w:t>
      </w:r>
      <w:r>
        <w:rPr>
          <w:rFonts w:hint="eastAsia"/>
        </w:rPr>
        <w:t>42</w:t>
      </w:r>
      <w:r>
        <w:t>,</w:t>
      </w:r>
      <w:r>
        <w:rPr>
          <w:rFonts w:hint="eastAsia"/>
        </w:rPr>
        <w:t>5-43</w:t>
      </w:r>
      <w:r>
        <w:t>,</w:t>
      </w:r>
      <w:r>
        <w:rPr>
          <w:rFonts w:hint="eastAsia"/>
        </w:rPr>
        <w:t>5 GHz</w:t>
      </w:r>
    </w:p>
    <w:p w:rsidR="002B489A" w:rsidRDefault="004F19C4">
      <w:pPr>
        <w:pStyle w:val="Equation"/>
        <w:tabs>
          <w:tab w:val="clear" w:pos="794"/>
          <w:tab w:val="clear" w:pos="4820"/>
          <w:tab w:val="left" w:pos="540"/>
          <w:tab w:val="left" w:pos="1652"/>
        </w:tabs>
        <w:jc w:val="left"/>
        <w:rPr>
          <w:lang w:val="es-ES"/>
        </w:rPr>
      </w:pPr>
      <w:r>
        <w:rPr>
          <w:i/>
        </w:rPr>
        <w:tab/>
      </w:r>
      <w:r>
        <w:rPr>
          <w:rFonts w:hint="eastAsia"/>
          <w:i/>
          <w:lang w:val="es-ES"/>
        </w:rPr>
        <w:t>A</w:t>
      </w:r>
      <w:r>
        <w:rPr>
          <w:rFonts w:hint="eastAsia"/>
          <w:i/>
          <w:vertAlign w:val="subscript"/>
          <w:lang w:val="es-ES"/>
        </w:rPr>
        <w:t>L</w:t>
      </w:r>
      <w:r>
        <w:rPr>
          <w:i/>
          <w:vertAlign w:val="subscript"/>
          <w:lang w:val="es-ES"/>
        </w:rPr>
        <w:t> </w:t>
      </w:r>
      <w:r>
        <w:rPr>
          <w:rFonts w:hint="eastAsia"/>
          <w:lang w:val="es-ES"/>
        </w:rPr>
        <w:t>(</w:t>
      </w:r>
      <w:r>
        <w:rPr>
          <w:rFonts w:hint="eastAsia"/>
          <w:i/>
          <w:lang w:val="es-ES"/>
        </w:rPr>
        <w:t>h</w:t>
      </w:r>
      <w:r>
        <w:rPr>
          <w:rFonts w:hint="eastAsia"/>
          <w:lang w:val="es-ES"/>
        </w:rPr>
        <w:t xml:space="preserve">, </w:t>
      </w:r>
      <w:r>
        <w:rPr>
          <w:rFonts w:ascii="Symbol" w:hAnsi="Symbol"/>
        </w:rPr>
        <w:sym w:font="Symbol" w:char="F071"/>
      </w:r>
      <w:r>
        <w:rPr>
          <w:rFonts w:hint="eastAsia"/>
          <w:lang w:val="es-ES"/>
        </w:rPr>
        <w:t>)</w:t>
      </w:r>
      <w:r>
        <w:rPr>
          <w:lang w:val="es-ES"/>
        </w:rPr>
        <w:t> </w:t>
      </w:r>
      <w:r>
        <w:rPr>
          <w:rFonts w:ascii="Symbol" w:hAnsi="Symbol"/>
          <w:lang w:val="es-ES"/>
        </w:rPr>
        <w:t></w:t>
      </w:r>
      <w:r>
        <w:rPr>
          <w:lang w:val="es-ES"/>
        </w:rPr>
        <w:tab/>
      </w:r>
      <w:r>
        <w:rPr>
          <w:rFonts w:hint="eastAsia"/>
          <w:lang w:val="es-ES"/>
        </w:rPr>
        <w:t>33</w:t>
      </w:r>
      <w:r>
        <w:rPr>
          <w:lang w:val="es-ES"/>
        </w:rPr>
        <w:t>,</w:t>
      </w:r>
      <w:r>
        <w:rPr>
          <w:rFonts w:hint="eastAsia"/>
          <w:lang w:val="es-ES"/>
        </w:rPr>
        <w:t>54</w:t>
      </w:r>
      <w:r>
        <w:rPr>
          <w:lang w:val="es-ES"/>
        </w:rPr>
        <w:t> </w:t>
      </w:r>
      <w:r>
        <w:rPr>
          <w:rFonts w:hint="eastAsia"/>
          <w:lang w:val="es-ES"/>
        </w:rPr>
        <w:t>/</w:t>
      </w:r>
      <w:r>
        <w:rPr>
          <w:lang w:val="es-ES"/>
        </w:rPr>
        <w:t> </w:t>
      </w:r>
      <w:r>
        <w:rPr>
          <w:rFonts w:hint="eastAsia"/>
          <w:lang w:val="es-ES"/>
        </w:rPr>
        <w:t>[1</w:t>
      </w:r>
      <w:r>
        <w:rPr>
          <w:lang w:val="es-ES"/>
        </w:rPr>
        <w:t> </w:t>
      </w:r>
      <w:r>
        <w:rPr>
          <w:rFonts w:ascii="Symbol" w:hAnsi="Symbol"/>
          <w:lang w:val="en-US"/>
        </w:rPr>
        <w:t></w:t>
      </w:r>
      <w:r>
        <w:rPr>
          <w:lang w:val="es-ES"/>
        </w:rPr>
        <w:t> </w:t>
      </w:r>
      <w:r>
        <w:rPr>
          <w:rFonts w:hint="eastAsia"/>
          <w:lang w:val="es-ES"/>
        </w:rPr>
        <w:t>0</w:t>
      </w:r>
      <w:r>
        <w:rPr>
          <w:lang w:val="es-ES"/>
        </w:rPr>
        <w:t>,</w:t>
      </w:r>
      <w:r>
        <w:rPr>
          <w:rFonts w:hint="eastAsia"/>
          <w:lang w:val="es-ES"/>
        </w:rPr>
        <w:t>7690</w:t>
      </w:r>
      <w:r>
        <w:rPr>
          <w:lang w:val="es-ES"/>
        </w:rPr>
        <w:t> </w:t>
      </w:r>
      <w:r>
        <w:sym w:font="Symbol" w:char="F071"/>
      </w:r>
      <w:r>
        <w:rPr>
          <w:lang w:val="es-ES"/>
        </w:rPr>
        <w:t> </w:t>
      </w:r>
      <w:r>
        <w:rPr>
          <w:rFonts w:ascii="Symbol" w:hAnsi="Symbol"/>
          <w:lang w:val="es-ES"/>
        </w:rPr>
        <w:t></w:t>
      </w:r>
      <w:r>
        <w:rPr>
          <w:lang w:val="es-ES"/>
        </w:rPr>
        <w:t> </w:t>
      </w:r>
      <w:r>
        <w:rPr>
          <w:rFonts w:hint="eastAsia"/>
          <w:lang w:val="es-ES"/>
        </w:rPr>
        <w:t>0</w:t>
      </w:r>
      <w:r>
        <w:rPr>
          <w:lang w:val="es-ES"/>
        </w:rPr>
        <w:t>,</w:t>
      </w:r>
      <w:r>
        <w:rPr>
          <w:rFonts w:hint="eastAsia"/>
          <w:lang w:val="es-ES"/>
        </w:rPr>
        <w:t>04472</w:t>
      </w:r>
      <w:r>
        <w:rPr>
          <w:lang w:val="es-ES"/>
        </w:rPr>
        <w:t> </w:t>
      </w:r>
      <w:r>
        <w:sym w:font="Symbol" w:char="F071"/>
      </w:r>
      <w:r>
        <w:rPr>
          <w:rFonts w:hint="eastAsia"/>
          <w:vertAlign w:val="superscript"/>
          <w:lang w:val="es-ES"/>
        </w:rPr>
        <w:t>2</w:t>
      </w:r>
      <w:r>
        <w:rPr>
          <w:lang w:val="es-ES"/>
        </w:rPr>
        <w:t> – </w:t>
      </w:r>
      <w:r>
        <w:rPr>
          <w:rFonts w:hint="eastAsia"/>
          <w:lang w:val="es-ES"/>
        </w:rPr>
        <w:t>0</w:t>
      </w:r>
      <w:r>
        <w:rPr>
          <w:lang w:val="es-ES"/>
        </w:rPr>
        <w:t>,</w:t>
      </w:r>
      <w:r>
        <w:rPr>
          <w:rFonts w:hint="eastAsia"/>
          <w:lang w:val="es-ES"/>
        </w:rPr>
        <w:t>001416</w:t>
      </w:r>
      <w:r>
        <w:rPr>
          <w:lang w:val="es-ES"/>
        </w:rPr>
        <w:t> </w:t>
      </w:r>
      <w:r>
        <w:sym w:font="Symbol" w:char="F071"/>
      </w:r>
      <w:r>
        <w:rPr>
          <w:rFonts w:hint="eastAsia"/>
          <w:vertAlign w:val="superscript"/>
          <w:lang w:val="es-ES"/>
        </w:rPr>
        <w:t>3</w:t>
      </w:r>
      <w:r>
        <w:rPr>
          <w:rFonts w:ascii="Symbol" w:hAnsi="Symbol"/>
          <w:lang w:val="es-ES"/>
        </w:rPr>
        <w:t></w:t>
      </w:r>
      <w:r>
        <w:rPr>
          <w:rFonts w:hint="eastAsia"/>
          <w:lang w:val="es-ES"/>
        </w:rPr>
        <w:t xml:space="preserve"> 0</w:t>
      </w:r>
      <w:r>
        <w:rPr>
          <w:lang w:val="es-ES"/>
        </w:rPr>
        <w:t>,</w:t>
      </w:r>
      <w:r>
        <w:rPr>
          <w:rFonts w:hint="eastAsia"/>
          <w:lang w:val="es-ES"/>
        </w:rPr>
        <w:t>1072</w:t>
      </w:r>
      <w:r>
        <w:rPr>
          <w:lang w:val="es-ES"/>
        </w:rPr>
        <w:t> </w:t>
      </w:r>
      <w:r>
        <w:rPr>
          <w:rFonts w:ascii="Symbol" w:hAnsi="Symbol"/>
          <w:lang w:val="es-ES"/>
        </w:rPr>
        <w:t></w:t>
      </w:r>
      <w:r>
        <w:rPr>
          <w:lang w:val="es-ES"/>
        </w:rPr>
        <w:t> </w:t>
      </w:r>
      <w:r>
        <w:rPr>
          <w:rFonts w:hint="eastAsia"/>
          <w:lang w:val="es-ES"/>
        </w:rPr>
        <w:t>10</w:t>
      </w:r>
      <w:r>
        <w:rPr>
          <w:vertAlign w:val="superscript"/>
          <w:lang w:val="es-ES"/>
        </w:rPr>
        <w:t>–</w:t>
      </w:r>
      <w:r>
        <w:rPr>
          <w:rFonts w:hint="eastAsia"/>
          <w:vertAlign w:val="superscript"/>
          <w:lang w:val="es-ES"/>
        </w:rPr>
        <w:t>4</w:t>
      </w:r>
      <w:r>
        <w:rPr>
          <w:lang w:val="es-ES"/>
        </w:rPr>
        <w:t> </w:t>
      </w:r>
      <w:r>
        <w:sym w:font="Symbol" w:char="F071"/>
      </w:r>
      <w:r>
        <w:rPr>
          <w:rFonts w:hint="eastAsia"/>
          <w:vertAlign w:val="superscript"/>
          <w:lang w:val="es-ES"/>
        </w:rPr>
        <w:t>4</w:t>
      </w:r>
      <w:r>
        <w:rPr>
          <w:lang w:val="es-ES"/>
        </w:rPr>
        <w:t> </w:t>
      </w:r>
      <w:r>
        <w:rPr>
          <w:rFonts w:ascii="Symbol" w:hAnsi="Symbol"/>
          <w:lang w:val="es-ES"/>
        </w:rPr>
        <w:t></w:t>
      </w:r>
      <w:r>
        <w:rPr>
          <w:lang w:val="es-ES"/>
        </w:rPr>
        <w:br/>
      </w:r>
      <w:r>
        <w:rPr>
          <w:lang w:val="es-ES"/>
        </w:rPr>
        <w:tab/>
      </w:r>
      <w:r>
        <w:rPr>
          <w:lang w:val="es-ES"/>
        </w:rPr>
        <w:tab/>
      </w:r>
      <w:r>
        <w:rPr>
          <w:rFonts w:hint="eastAsia"/>
          <w:i/>
          <w:lang w:val="es-ES"/>
        </w:rPr>
        <w:t>h</w:t>
      </w:r>
      <w:r>
        <w:rPr>
          <w:lang w:val="es-ES"/>
        </w:rPr>
        <w:t> </w:t>
      </w:r>
      <w:r>
        <w:rPr>
          <w:rFonts w:hint="eastAsia"/>
          <w:lang w:val="es-ES"/>
        </w:rPr>
        <w:t>(0</w:t>
      </w:r>
      <w:r>
        <w:rPr>
          <w:lang w:val="es-ES"/>
        </w:rPr>
        <w:t>,</w:t>
      </w:r>
      <w:r>
        <w:rPr>
          <w:rFonts w:hint="eastAsia"/>
          <w:lang w:val="es-ES"/>
        </w:rPr>
        <w:t>2675</w:t>
      </w:r>
      <w:r>
        <w:rPr>
          <w:lang w:val="es-ES"/>
        </w:rPr>
        <w:t> </w:t>
      </w:r>
      <w:r>
        <w:rPr>
          <w:rFonts w:ascii="Symbol" w:hAnsi="Symbol"/>
          <w:lang w:val="es-ES"/>
        </w:rPr>
        <w:t></w:t>
      </w:r>
      <w:r>
        <w:rPr>
          <w:rFonts w:hint="eastAsia"/>
          <w:lang w:val="es-ES"/>
        </w:rPr>
        <w:t xml:space="preserve"> 0</w:t>
      </w:r>
      <w:r>
        <w:rPr>
          <w:lang w:val="es-ES"/>
        </w:rPr>
        <w:t>,</w:t>
      </w:r>
      <w:r>
        <w:rPr>
          <w:rFonts w:hint="eastAsia"/>
          <w:lang w:val="es-ES"/>
        </w:rPr>
        <w:t>3897</w:t>
      </w:r>
      <w:r>
        <w:rPr>
          <w:lang w:val="es-ES"/>
        </w:rPr>
        <w:t> </w:t>
      </w:r>
      <w:r>
        <w:sym w:font="Symbol" w:char="F071"/>
      </w:r>
      <w:r>
        <w:rPr>
          <w:rFonts w:hint="eastAsia"/>
          <w:lang w:val="es-ES"/>
        </w:rPr>
        <w:t>)</w:t>
      </w:r>
      <w:r>
        <w:rPr>
          <w:lang w:val="es-ES"/>
        </w:rPr>
        <w:t> </w:t>
      </w:r>
      <w:r>
        <w:rPr>
          <w:rFonts w:ascii="Symbol" w:hAnsi="Symbol"/>
          <w:lang w:val="es-ES"/>
        </w:rPr>
        <w:t></w:t>
      </w:r>
      <w:r>
        <w:rPr>
          <w:lang w:val="es-ES"/>
        </w:rPr>
        <w:t> </w:t>
      </w:r>
      <w:r>
        <w:rPr>
          <w:rFonts w:hint="eastAsia"/>
          <w:lang w:val="es-ES"/>
        </w:rPr>
        <w:t>0</w:t>
      </w:r>
      <w:r>
        <w:rPr>
          <w:lang w:val="es-ES"/>
        </w:rPr>
        <w:t>,</w:t>
      </w:r>
      <w:r>
        <w:rPr>
          <w:rFonts w:hint="eastAsia"/>
          <w:lang w:val="es-ES"/>
        </w:rPr>
        <w:t>1253</w:t>
      </w:r>
      <w:r>
        <w:rPr>
          <w:lang w:val="es-ES"/>
        </w:rPr>
        <w:t> </w:t>
      </w:r>
      <w:r>
        <w:rPr>
          <w:rFonts w:hint="eastAsia"/>
          <w:i/>
          <w:lang w:val="es-ES"/>
        </w:rPr>
        <w:t>h</w:t>
      </w:r>
      <w:r>
        <w:rPr>
          <w:rFonts w:hint="eastAsia"/>
          <w:vertAlign w:val="superscript"/>
          <w:lang w:val="es-ES"/>
        </w:rPr>
        <w:t>2</w:t>
      </w:r>
      <w:r>
        <w:rPr>
          <w:rFonts w:hint="eastAsia"/>
          <w:lang w:val="es-ES"/>
        </w:rPr>
        <w:t>]</w:t>
      </w:r>
      <w:r>
        <w:rPr>
          <w:rFonts w:hint="eastAsia"/>
          <w:lang w:val="es-ES"/>
        </w:rPr>
        <w:tab/>
        <w:t>(9a)</w:t>
      </w:r>
    </w:p>
    <w:p w:rsidR="002B489A" w:rsidRDefault="004F19C4">
      <w:pPr>
        <w:pStyle w:val="Equation"/>
        <w:tabs>
          <w:tab w:val="clear" w:pos="794"/>
          <w:tab w:val="clear" w:pos="4820"/>
          <w:tab w:val="left" w:pos="540"/>
          <w:tab w:val="left" w:pos="1652"/>
        </w:tabs>
        <w:jc w:val="left"/>
        <w:rPr>
          <w:lang w:val="es-ES"/>
        </w:rPr>
      </w:pPr>
      <w:r>
        <w:rPr>
          <w:i/>
          <w:lang w:val="es-ES"/>
        </w:rPr>
        <w:tab/>
      </w:r>
      <w:r>
        <w:rPr>
          <w:rFonts w:hint="eastAsia"/>
          <w:i/>
          <w:lang w:val="es-ES"/>
        </w:rPr>
        <w:t>A</w:t>
      </w:r>
      <w:r>
        <w:rPr>
          <w:rFonts w:hint="eastAsia"/>
          <w:i/>
          <w:vertAlign w:val="subscript"/>
          <w:lang w:val="es-ES"/>
        </w:rPr>
        <w:t>M</w:t>
      </w:r>
      <w:r>
        <w:rPr>
          <w:i/>
          <w:vertAlign w:val="subscript"/>
          <w:lang w:val="es-ES"/>
        </w:rPr>
        <w:t> </w:t>
      </w:r>
      <w:r>
        <w:rPr>
          <w:rFonts w:hint="eastAsia"/>
          <w:lang w:val="es-ES"/>
        </w:rPr>
        <w:t>(</w:t>
      </w:r>
      <w:r>
        <w:rPr>
          <w:rFonts w:hint="eastAsia"/>
          <w:i/>
          <w:lang w:val="es-ES"/>
        </w:rPr>
        <w:t>h</w:t>
      </w:r>
      <w:r>
        <w:rPr>
          <w:rFonts w:hint="eastAsia"/>
          <w:lang w:val="es-ES"/>
        </w:rPr>
        <w:t xml:space="preserve">, </w:t>
      </w:r>
      <w:r>
        <w:rPr>
          <w:rFonts w:ascii="Symbol" w:hAnsi="Symbol"/>
        </w:rPr>
        <w:sym w:font="Symbol" w:char="F071"/>
      </w:r>
      <w:r>
        <w:rPr>
          <w:rFonts w:hint="eastAsia"/>
          <w:lang w:val="es-ES"/>
        </w:rPr>
        <w:t>)</w:t>
      </w:r>
      <w:r>
        <w:rPr>
          <w:lang w:val="es-ES"/>
        </w:rPr>
        <w:t> </w:t>
      </w:r>
      <w:r>
        <w:rPr>
          <w:rFonts w:ascii="Symbol" w:hAnsi="Symbol"/>
          <w:lang w:val="es-ES"/>
        </w:rPr>
        <w:t></w:t>
      </w:r>
      <w:r>
        <w:rPr>
          <w:lang w:val="es-ES"/>
        </w:rPr>
        <w:t> </w:t>
      </w:r>
      <w:r>
        <w:rPr>
          <w:rFonts w:hint="eastAsia"/>
          <w:lang w:val="es-ES"/>
        </w:rPr>
        <w:t>26</w:t>
      </w:r>
      <w:r>
        <w:rPr>
          <w:lang w:val="es-ES"/>
        </w:rPr>
        <w:t>,</w:t>
      </w:r>
      <w:r>
        <w:rPr>
          <w:rFonts w:hint="eastAsia"/>
          <w:lang w:val="es-ES"/>
        </w:rPr>
        <w:t>58</w:t>
      </w:r>
      <w:r>
        <w:rPr>
          <w:lang w:val="es-ES"/>
        </w:rPr>
        <w:t> </w:t>
      </w:r>
      <w:r>
        <w:rPr>
          <w:rFonts w:hint="eastAsia"/>
          <w:lang w:val="es-ES"/>
        </w:rPr>
        <w:t>/</w:t>
      </w:r>
      <w:r>
        <w:rPr>
          <w:lang w:val="es-ES"/>
        </w:rPr>
        <w:t> </w:t>
      </w:r>
      <w:r>
        <w:rPr>
          <w:rFonts w:hint="eastAsia"/>
          <w:lang w:val="es-ES"/>
        </w:rPr>
        <w:t>[1</w:t>
      </w:r>
      <w:r>
        <w:rPr>
          <w:lang w:val="es-ES"/>
        </w:rPr>
        <w:t> </w:t>
      </w:r>
      <w:r>
        <w:rPr>
          <w:rFonts w:ascii="Symbol" w:hAnsi="Symbol"/>
          <w:lang w:val="en-US"/>
        </w:rPr>
        <w:t></w:t>
      </w:r>
      <w:r>
        <w:rPr>
          <w:lang w:val="es-ES"/>
        </w:rPr>
        <w:t> </w:t>
      </w:r>
      <w:r>
        <w:rPr>
          <w:rFonts w:hint="eastAsia"/>
          <w:lang w:val="es-ES"/>
        </w:rPr>
        <w:t>0</w:t>
      </w:r>
      <w:r>
        <w:rPr>
          <w:lang w:val="es-ES"/>
        </w:rPr>
        <w:t>,</w:t>
      </w:r>
      <w:r>
        <w:rPr>
          <w:rFonts w:hint="eastAsia"/>
          <w:lang w:val="es-ES"/>
        </w:rPr>
        <w:t>6859</w:t>
      </w:r>
      <w:r>
        <w:rPr>
          <w:lang w:val="es-ES"/>
        </w:rPr>
        <w:t> </w:t>
      </w:r>
      <w:r>
        <w:sym w:font="Symbol" w:char="F071"/>
      </w:r>
      <w:r>
        <w:rPr>
          <w:lang w:val="es-ES"/>
        </w:rPr>
        <w:t> </w:t>
      </w:r>
      <w:r>
        <w:rPr>
          <w:rFonts w:ascii="Symbol" w:hAnsi="Symbol"/>
          <w:lang w:val="en-US"/>
        </w:rPr>
        <w:t></w:t>
      </w:r>
      <w:r>
        <w:rPr>
          <w:lang w:val="es-ES"/>
        </w:rPr>
        <w:t> </w:t>
      </w:r>
      <w:r>
        <w:rPr>
          <w:rFonts w:hint="eastAsia"/>
          <w:lang w:val="es-ES"/>
        </w:rPr>
        <w:t>0</w:t>
      </w:r>
      <w:r>
        <w:rPr>
          <w:lang w:val="es-ES"/>
        </w:rPr>
        <w:t>,</w:t>
      </w:r>
      <w:r>
        <w:rPr>
          <w:rFonts w:hint="eastAsia"/>
          <w:lang w:val="es-ES"/>
        </w:rPr>
        <w:t>04579</w:t>
      </w:r>
      <w:r>
        <w:rPr>
          <w:lang w:val="es-ES"/>
        </w:rPr>
        <w:t> </w:t>
      </w:r>
      <w:r>
        <w:sym w:font="Symbol" w:char="F071"/>
      </w:r>
      <w:r>
        <w:rPr>
          <w:rFonts w:hint="eastAsia"/>
          <w:vertAlign w:val="superscript"/>
          <w:lang w:val="es-ES"/>
        </w:rPr>
        <w:t>2</w:t>
      </w:r>
      <w:r>
        <w:rPr>
          <w:lang w:val="es-ES"/>
        </w:rPr>
        <w:t> – </w:t>
      </w:r>
      <w:r>
        <w:rPr>
          <w:rFonts w:hint="eastAsia"/>
          <w:lang w:val="es-ES"/>
        </w:rPr>
        <w:t>0</w:t>
      </w:r>
      <w:r>
        <w:rPr>
          <w:lang w:val="es-ES"/>
        </w:rPr>
        <w:t>,</w:t>
      </w:r>
      <w:r>
        <w:rPr>
          <w:rFonts w:hint="eastAsia"/>
          <w:lang w:val="es-ES"/>
        </w:rPr>
        <w:t>001451</w:t>
      </w:r>
      <w:r>
        <w:rPr>
          <w:lang w:val="es-ES"/>
        </w:rPr>
        <w:t> </w:t>
      </w:r>
      <w:r>
        <w:sym w:font="Symbol" w:char="F071"/>
      </w:r>
      <w:r>
        <w:rPr>
          <w:rFonts w:hint="eastAsia"/>
          <w:vertAlign w:val="superscript"/>
          <w:lang w:val="es-ES"/>
        </w:rPr>
        <w:t>3</w:t>
      </w:r>
      <w:r>
        <w:rPr>
          <w:lang w:val="es-ES"/>
        </w:rPr>
        <w:t> </w:t>
      </w:r>
      <w:r>
        <w:rPr>
          <w:rFonts w:ascii="Symbol" w:hAnsi="Symbol"/>
          <w:lang w:val="en-US"/>
        </w:rPr>
        <w:t></w:t>
      </w:r>
      <w:r>
        <w:rPr>
          <w:lang w:val="es-ES"/>
        </w:rPr>
        <w:t> </w:t>
      </w:r>
      <w:r>
        <w:rPr>
          <w:rFonts w:hint="eastAsia"/>
          <w:lang w:val="es-ES"/>
        </w:rPr>
        <w:t>0</w:t>
      </w:r>
      <w:r>
        <w:rPr>
          <w:lang w:val="es-ES"/>
        </w:rPr>
        <w:t>,</w:t>
      </w:r>
      <w:r>
        <w:rPr>
          <w:rFonts w:hint="eastAsia"/>
          <w:lang w:val="es-ES"/>
        </w:rPr>
        <w:t>1108</w:t>
      </w:r>
      <w:r>
        <w:rPr>
          <w:lang w:val="es-ES"/>
        </w:rPr>
        <w:t> </w:t>
      </w:r>
      <w:r>
        <w:rPr>
          <w:rFonts w:ascii="Symbol" w:hAnsi="Symbol"/>
          <w:lang w:val="es-ES"/>
        </w:rPr>
        <w:t></w:t>
      </w:r>
      <w:r>
        <w:rPr>
          <w:lang w:val="es-ES"/>
        </w:rPr>
        <w:t> </w:t>
      </w:r>
      <w:r>
        <w:rPr>
          <w:rFonts w:hint="eastAsia"/>
          <w:lang w:val="es-ES"/>
        </w:rPr>
        <w:t>10</w:t>
      </w:r>
      <w:r>
        <w:rPr>
          <w:vertAlign w:val="superscript"/>
          <w:lang w:val="es-ES"/>
        </w:rPr>
        <w:t>–</w:t>
      </w:r>
      <w:r>
        <w:rPr>
          <w:rFonts w:hint="eastAsia"/>
          <w:vertAlign w:val="superscript"/>
          <w:lang w:val="es-ES"/>
        </w:rPr>
        <w:t>4</w:t>
      </w:r>
      <w:r>
        <w:rPr>
          <w:lang w:val="es-ES"/>
        </w:rPr>
        <w:t> </w:t>
      </w:r>
      <w:r>
        <w:sym w:font="Symbol" w:char="F071"/>
      </w:r>
      <w:r>
        <w:rPr>
          <w:rFonts w:hint="eastAsia"/>
          <w:vertAlign w:val="superscript"/>
          <w:lang w:val="es-ES"/>
        </w:rPr>
        <w:t>4</w:t>
      </w:r>
      <w:r>
        <w:rPr>
          <w:lang w:val="es-ES"/>
        </w:rPr>
        <w:t> </w:t>
      </w:r>
      <w:r>
        <w:rPr>
          <w:rFonts w:ascii="Symbol" w:hAnsi="Symbol"/>
          <w:lang w:val="en-US"/>
        </w:rPr>
        <w:t></w:t>
      </w:r>
      <w:r>
        <w:rPr>
          <w:lang w:val="es-ES"/>
        </w:rPr>
        <w:br/>
      </w:r>
      <w:r>
        <w:rPr>
          <w:vertAlign w:val="superscript"/>
          <w:lang w:val="es-ES"/>
        </w:rPr>
        <w:tab/>
      </w:r>
      <w:r>
        <w:rPr>
          <w:vertAlign w:val="superscript"/>
          <w:lang w:val="es-ES"/>
        </w:rPr>
        <w:tab/>
      </w:r>
      <w:r>
        <w:rPr>
          <w:rFonts w:hint="eastAsia"/>
          <w:i/>
          <w:lang w:val="es-ES"/>
        </w:rPr>
        <w:t>h</w:t>
      </w:r>
      <w:r>
        <w:rPr>
          <w:lang w:val="es-ES"/>
        </w:rPr>
        <w:t> </w:t>
      </w:r>
      <w:r>
        <w:rPr>
          <w:rFonts w:hint="eastAsia"/>
          <w:lang w:val="es-ES"/>
        </w:rPr>
        <w:t>(0</w:t>
      </w:r>
      <w:r>
        <w:rPr>
          <w:lang w:val="es-ES"/>
        </w:rPr>
        <w:t>,</w:t>
      </w:r>
      <w:r>
        <w:rPr>
          <w:rFonts w:hint="eastAsia"/>
          <w:lang w:val="es-ES"/>
        </w:rPr>
        <w:t>2418</w:t>
      </w:r>
      <w:r>
        <w:rPr>
          <w:lang w:val="es-ES"/>
        </w:rPr>
        <w:t> </w:t>
      </w:r>
      <w:r>
        <w:rPr>
          <w:rFonts w:ascii="Symbol" w:hAnsi="Symbol"/>
          <w:lang w:val="en-US"/>
        </w:rPr>
        <w:t></w:t>
      </w:r>
      <w:r>
        <w:rPr>
          <w:lang w:val="es-ES"/>
        </w:rPr>
        <w:t> </w:t>
      </w:r>
      <w:r>
        <w:rPr>
          <w:rFonts w:hint="eastAsia"/>
          <w:lang w:val="es-ES"/>
        </w:rPr>
        <w:t>0</w:t>
      </w:r>
      <w:r>
        <w:rPr>
          <w:lang w:val="es-ES"/>
        </w:rPr>
        <w:t>,</w:t>
      </w:r>
      <w:r>
        <w:rPr>
          <w:rFonts w:hint="eastAsia"/>
          <w:lang w:val="es-ES"/>
        </w:rPr>
        <w:t>3068</w:t>
      </w:r>
      <w:r>
        <w:rPr>
          <w:lang w:val="es-ES"/>
        </w:rPr>
        <w:t> </w:t>
      </w:r>
      <w:r>
        <w:sym w:font="Symbol" w:char="F071"/>
      </w:r>
      <w:r>
        <w:rPr>
          <w:rFonts w:hint="eastAsia"/>
          <w:lang w:val="es-ES"/>
        </w:rPr>
        <w:t>)</w:t>
      </w:r>
      <w:r>
        <w:rPr>
          <w:lang w:val="es-ES"/>
        </w:rPr>
        <w:t> </w:t>
      </w:r>
      <w:r>
        <w:rPr>
          <w:rFonts w:ascii="Symbol" w:hAnsi="Symbol"/>
          <w:lang w:val="en-US"/>
        </w:rPr>
        <w:t></w:t>
      </w:r>
      <w:r>
        <w:rPr>
          <w:lang w:val="es-ES"/>
        </w:rPr>
        <w:t> </w:t>
      </w:r>
      <w:r>
        <w:rPr>
          <w:rFonts w:hint="eastAsia"/>
          <w:lang w:val="es-ES"/>
        </w:rPr>
        <w:t>0</w:t>
      </w:r>
      <w:r>
        <w:rPr>
          <w:lang w:val="es-ES"/>
        </w:rPr>
        <w:t>,</w:t>
      </w:r>
      <w:r>
        <w:rPr>
          <w:rFonts w:hint="eastAsia"/>
          <w:lang w:val="es-ES"/>
        </w:rPr>
        <w:t>07381</w:t>
      </w:r>
      <w:r>
        <w:rPr>
          <w:lang w:val="es-ES"/>
        </w:rPr>
        <w:t> </w:t>
      </w:r>
      <w:r>
        <w:rPr>
          <w:rFonts w:hint="eastAsia"/>
          <w:i/>
          <w:lang w:val="es-ES"/>
        </w:rPr>
        <w:t>h</w:t>
      </w:r>
      <w:r>
        <w:rPr>
          <w:rFonts w:hint="eastAsia"/>
          <w:vertAlign w:val="superscript"/>
          <w:lang w:val="es-ES"/>
        </w:rPr>
        <w:t>2</w:t>
      </w:r>
      <w:r>
        <w:rPr>
          <w:rFonts w:hint="eastAsia"/>
          <w:lang w:val="es-ES"/>
        </w:rPr>
        <w:t>]</w:t>
      </w:r>
      <w:r>
        <w:rPr>
          <w:rFonts w:hint="eastAsia"/>
          <w:lang w:val="es-ES"/>
        </w:rPr>
        <w:tab/>
        <w:t>(9b)</w:t>
      </w:r>
    </w:p>
    <w:p w:rsidR="002B489A" w:rsidRDefault="004F19C4">
      <w:pPr>
        <w:pStyle w:val="Equation"/>
        <w:tabs>
          <w:tab w:val="clear" w:pos="794"/>
          <w:tab w:val="clear" w:pos="4820"/>
          <w:tab w:val="left" w:pos="540"/>
          <w:tab w:val="left" w:pos="1652"/>
        </w:tabs>
        <w:jc w:val="left"/>
        <w:rPr>
          <w:lang w:val="es-ES"/>
        </w:rPr>
      </w:pPr>
      <w:r>
        <w:rPr>
          <w:i/>
          <w:lang w:val="es-ES"/>
        </w:rPr>
        <w:tab/>
      </w:r>
      <w:r>
        <w:rPr>
          <w:rFonts w:hint="eastAsia"/>
          <w:i/>
          <w:lang w:val="es-ES"/>
        </w:rPr>
        <w:t>A</w:t>
      </w:r>
      <w:r>
        <w:rPr>
          <w:rFonts w:hint="eastAsia"/>
          <w:i/>
          <w:vertAlign w:val="subscript"/>
          <w:lang w:val="es-ES"/>
        </w:rPr>
        <w:t>H</w:t>
      </w:r>
      <w:r>
        <w:rPr>
          <w:i/>
          <w:vertAlign w:val="subscript"/>
          <w:lang w:val="es-ES"/>
        </w:rPr>
        <w:t> </w:t>
      </w:r>
      <w:r>
        <w:rPr>
          <w:rFonts w:hint="eastAsia"/>
          <w:lang w:val="es-ES"/>
        </w:rPr>
        <w:t>(</w:t>
      </w:r>
      <w:r>
        <w:rPr>
          <w:rFonts w:hint="eastAsia"/>
          <w:i/>
          <w:lang w:val="es-ES"/>
        </w:rPr>
        <w:t>h</w:t>
      </w:r>
      <w:r>
        <w:rPr>
          <w:rFonts w:hint="eastAsia"/>
          <w:lang w:val="es-ES"/>
        </w:rPr>
        <w:t xml:space="preserve">, </w:t>
      </w:r>
      <w:r>
        <w:rPr>
          <w:rFonts w:ascii="Symbol" w:hAnsi="Symbol"/>
        </w:rPr>
        <w:sym w:font="Symbol" w:char="F071"/>
      </w:r>
      <w:r>
        <w:rPr>
          <w:rFonts w:hint="eastAsia"/>
          <w:lang w:val="es-ES"/>
        </w:rPr>
        <w:t>)</w:t>
      </w:r>
      <w:r>
        <w:rPr>
          <w:lang w:val="es-ES"/>
        </w:rPr>
        <w:t> </w:t>
      </w:r>
      <w:r>
        <w:rPr>
          <w:rFonts w:ascii="Symbol" w:hAnsi="Symbol"/>
          <w:lang w:val="es-ES"/>
        </w:rPr>
        <w:t></w:t>
      </w:r>
      <w:r>
        <w:rPr>
          <w:lang w:val="es-ES"/>
        </w:rPr>
        <w:tab/>
      </w:r>
      <w:r>
        <w:rPr>
          <w:rFonts w:hint="eastAsia"/>
          <w:lang w:val="es-ES"/>
        </w:rPr>
        <w:t>25</w:t>
      </w:r>
      <w:r>
        <w:rPr>
          <w:lang w:val="es-ES"/>
        </w:rPr>
        <w:t>,</w:t>
      </w:r>
      <w:r>
        <w:rPr>
          <w:rFonts w:hint="eastAsia"/>
          <w:lang w:val="es-ES"/>
        </w:rPr>
        <w:t>01</w:t>
      </w:r>
      <w:r>
        <w:rPr>
          <w:lang w:val="es-ES"/>
        </w:rPr>
        <w:t> </w:t>
      </w:r>
      <w:r>
        <w:rPr>
          <w:rFonts w:hint="eastAsia"/>
          <w:lang w:val="es-ES"/>
        </w:rPr>
        <w:t>/</w:t>
      </w:r>
      <w:r>
        <w:rPr>
          <w:lang w:val="es-ES"/>
        </w:rPr>
        <w:t> </w:t>
      </w:r>
      <w:r>
        <w:rPr>
          <w:rFonts w:hint="eastAsia"/>
          <w:lang w:val="es-ES"/>
        </w:rPr>
        <w:t>[1</w:t>
      </w:r>
      <w:r>
        <w:rPr>
          <w:lang w:val="es-ES"/>
        </w:rPr>
        <w:t> </w:t>
      </w:r>
      <w:r>
        <w:rPr>
          <w:rFonts w:ascii="Symbol" w:hAnsi="Symbol"/>
          <w:lang w:val="en-US"/>
        </w:rPr>
        <w:t></w:t>
      </w:r>
      <w:r>
        <w:rPr>
          <w:lang w:val="es-ES"/>
        </w:rPr>
        <w:t> </w:t>
      </w:r>
      <w:r>
        <w:rPr>
          <w:rFonts w:hint="eastAsia"/>
          <w:lang w:val="es-ES"/>
        </w:rPr>
        <w:t>0</w:t>
      </w:r>
      <w:r>
        <w:rPr>
          <w:lang w:val="es-ES"/>
        </w:rPr>
        <w:t>,</w:t>
      </w:r>
      <w:r>
        <w:rPr>
          <w:rFonts w:hint="eastAsia"/>
          <w:lang w:val="es-ES"/>
        </w:rPr>
        <w:t>6552</w:t>
      </w:r>
      <w:r>
        <w:rPr>
          <w:lang w:val="es-ES"/>
        </w:rPr>
        <w:t> </w:t>
      </w:r>
      <w:r>
        <w:sym w:font="Symbol" w:char="F071"/>
      </w:r>
      <w:r>
        <w:rPr>
          <w:lang w:val="es-ES"/>
        </w:rPr>
        <w:t> </w:t>
      </w:r>
      <w:r>
        <w:rPr>
          <w:rFonts w:ascii="Symbol" w:hAnsi="Symbol"/>
          <w:lang w:val="en-US"/>
        </w:rPr>
        <w:t></w:t>
      </w:r>
      <w:r>
        <w:rPr>
          <w:lang w:val="es-ES"/>
        </w:rPr>
        <w:t> </w:t>
      </w:r>
      <w:r>
        <w:rPr>
          <w:rFonts w:hint="eastAsia"/>
          <w:lang w:val="es-ES"/>
        </w:rPr>
        <w:t>0</w:t>
      </w:r>
      <w:r>
        <w:rPr>
          <w:lang w:val="es-ES"/>
        </w:rPr>
        <w:t>,</w:t>
      </w:r>
      <w:r>
        <w:rPr>
          <w:rFonts w:hint="eastAsia"/>
          <w:lang w:val="es-ES"/>
        </w:rPr>
        <w:t>04585</w:t>
      </w:r>
      <w:r>
        <w:rPr>
          <w:lang w:val="es-ES"/>
        </w:rPr>
        <w:t> </w:t>
      </w:r>
      <w:r>
        <w:sym w:font="Symbol" w:char="F071"/>
      </w:r>
      <w:r>
        <w:rPr>
          <w:rFonts w:hint="eastAsia"/>
          <w:vertAlign w:val="superscript"/>
          <w:lang w:val="es-ES"/>
        </w:rPr>
        <w:t>2</w:t>
      </w:r>
      <w:r>
        <w:rPr>
          <w:lang w:val="es-ES"/>
        </w:rPr>
        <w:t> – </w:t>
      </w:r>
      <w:r>
        <w:rPr>
          <w:rFonts w:hint="eastAsia"/>
          <w:lang w:val="es-ES"/>
        </w:rPr>
        <w:t>0</w:t>
      </w:r>
      <w:r>
        <w:rPr>
          <w:lang w:val="es-ES"/>
        </w:rPr>
        <w:t>,</w:t>
      </w:r>
      <w:r>
        <w:rPr>
          <w:rFonts w:hint="eastAsia"/>
          <w:lang w:val="es-ES"/>
        </w:rPr>
        <w:t>001450</w:t>
      </w:r>
      <w:r>
        <w:rPr>
          <w:lang w:val="es-ES"/>
        </w:rPr>
        <w:t> </w:t>
      </w:r>
      <w:r>
        <w:sym w:font="Symbol" w:char="F071"/>
      </w:r>
      <w:r>
        <w:rPr>
          <w:rFonts w:hint="eastAsia"/>
          <w:vertAlign w:val="superscript"/>
          <w:lang w:val="es-ES"/>
        </w:rPr>
        <w:t>3</w:t>
      </w:r>
      <w:r>
        <w:rPr>
          <w:rFonts w:hint="eastAsia"/>
          <w:i/>
          <w:lang w:val="es-ES"/>
        </w:rPr>
        <w:t xml:space="preserve"> </w:t>
      </w:r>
      <w:r>
        <w:rPr>
          <w:rFonts w:ascii="Symbol" w:hAnsi="Symbol"/>
          <w:lang w:val="en-US"/>
        </w:rPr>
        <w:t></w:t>
      </w:r>
      <w:r>
        <w:rPr>
          <w:rFonts w:hint="eastAsia"/>
          <w:lang w:val="es-ES"/>
        </w:rPr>
        <w:t xml:space="preserve"> 0</w:t>
      </w:r>
      <w:r>
        <w:rPr>
          <w:lang w:val="es-ES"/>
        </w:rPr>
        <w:t>,</w:t>
      </w:r>
      <w:r>
        <w:rPr>
          <w:rFonts w:hint="eastAsia"/>
          <w:lang w:val="es-ES"/>
        </w:rPr>
        <w:t>1109</w:t>
      </w:r>
      <w:r>
        <w:rPr>
          <w:lang w:val="es-ES"/>
        </w:rPr>
        <w:t> </w:t>
      </w:r>
      <w:r>
        <w:rPr>
          <w:rFonts w:ascii="Symbol" w:hAnsi="Symbol"/>
          <w:lang w:val="es-ES"/>
        </w:rPr>
        <w:t></w:t>
      </w:r>
      <w:r>
        <w:rPr>
          <w:lang w:val="es-ES"/>
        </w:rPr>
        <w:t> </w:t>
      </w:r>
      <w:r>
        <w:rPr>
          <w:rFonts w:hint="eastAsia"/>
          <w:lang w:val="es-ES"/>
        </w:rPr>
        <w:t>10</w:t>
      </w:r>
      <w:r>
        <w:rPr>
          <w:vertAlign w:val="superscript"/>
          <w:lang w:val="es-ES"/>
        </w:rPr>
        <w:t>–</w:t>
      </w:r>
      <w:r>
        <w:rPr>
          <w:rFonts w:hint="eastAsia"/>
          <w:vertAlign w:val="superscript"/>
          <w:lang w:val="es-ES"/>
        </w:rPr>
        <w:t>4</w:t>
      </w:r>
      <w:r>
        <w:rPr>
          <w:lang w:val="es-ES"/>
        </w:rPr>
        <w:t> </w:t>
      </w:r>
      <w:r>
        <w:sym w:font="Symbol" w:char="F071"/>
      </w:r>
      <w:r>
        <w:rPr>
          <w:rFonts w:hint="eastAsia"/>
          <w:vertAlign w:val="superscript"/>
          <w:lang w:val="es-ES"/>
        </w:rPr>
        <w:t>4</w:t>
      </w:r>
      <w:r>
        <w:rPr>
          <w:lang w:val="es-ES"/>
        </w:rPr>
        <w:t> </w:t>
      </w:r>
      <w:r>
        <w:rPr>
          <w:rFonts w:ascii="Symbol" w:hAnsi="Symbol"/>
          <w:lang w:val="en-US"/>
        </w:rPr>
        <w:t></w:t>
      </w:r>
      <w:r>
        <w:rPr>
          <w:lang w:val="es-ES"/>
        </w:rPr>
        <w:br/>
      </w:r>
      <w:r>
        <w:rPr>
          <w:lang w:val="es-ES"/>
        </w:rPr>
        <w:tab/>
      </w:r>
      <w:r>
        <w:rPr>
          <w:lang w:val="es-ES"/>
        </w:rPr>
        <w:tab/>
      </w:r>
      <w:r>
        <w:rPr>
          <w:rFonts w:hint="eastAsia"/>
          <w:i/>
          <w:lang w:val="es-ES"/>
        </w:rPr>
        <w:t>h</w:t>
      </w:r>
      <w:r>
        <w:rPr>
          <w:lang w:val="es-ES"/>
        </w:rPr>
        <w:t> </w:t>
      </w:r>
      <w:r>
        <w:rPr>
          <w:rFonts w:hint="eastAsia"/>
          <w:lang w:val="es-ES"/>
        </w:rPr>
        <w:t>(0</w:t>
      </w:r>
      <w:r>
        <w:rPr>
          <w:lang w:val="es-ES"/>
        </w:rPr>
        <w:t>,</w:t>
      </w:r>
      <w:r>
        <w:rPr>
          <w:rFonts w:hint="eastAsia"/>
          <w:lang w:val="es-ES"/>
        </w:rPr>
        <w:t>2219</w:t>
      </w:r>
      <w:r>
        <w:rPr>
          <w:lang w:val="es-ES"/>
        </w:rPr>
        <w:t> </w:t>
      </w:r>
      <w:r>
        <w:rPr>
          <w:rFonts w:ascii="Symbol" w:hAnsi="Symbol"/>
          <w:lang w:val="en-US"/>
        </w:rPr>
        <w:t></w:t>
      </w:r>
      <w:r>
        <w:rPr>
          <w:lang w:val="es-ES"/>
        </w:rPr>
        <w:t> </w:t>
      </w:r>
      <w:r>
        <w:rPr>
          <w:rFonts w:hint="eastAsia"/>
          <w:lang w:val="es-ES"/>
        </w:rPr>
        <w:t>0</w:t>
      </w:r>
      <w:r>
        <w:rPr>
          <w:lang w:val="es-ES"/>
        </w:rPr>
        <w:t>,</w:t>
      </w:r>
      <w:r>
        <w:rPr>
          <w:rFonts w:hint="eastAsia"/>
          <w:lang w:val="es-ES"/>
        </w:rPr>
        <w:t>2734</w:t>
      </w:r>
      <w:r>
        <w:rPr>
          <w:lang w:val="es-ES"/>
        </w:rPr>
        <w:t> </w:t>
      </w:r>
      <w:r>
        <w:sym w:font="Symbol" w:char="F071"/>
      </w:r>
      <w:r>
        <w:rPr>
          <w:rFonts w:hint="eastAsia"/>
          <w:lang w:val="es-ES"/>
        </w:rPr>
        <w:t>)</w:t>
      </w:r>
      <w:r>
        <w:rPr>
          <w:lang w:val="es-ES"/>
        </w:rPr>
        <w:t> </w:t>
      </w:r>
      <w:r>
        <w:rPr>
          <w:rFonts w:ascii="Symbol" w:hAnsi="Symbol"/>
          <w:lang w:val="en-US"/>
        </w:rPr>
        <w:t></w:t>
      </w:r>
      <w:r>
        <w:rPr>
          <w:lang w:val="es-ES"/>
        </w:rPr>
        <w:t> </w:t>
      </w:r>
      <w:r>
        <w:rPr>
          <w:rFonts w:hint="eastAsia"/>
          <w:lang w:val="es-ES"/>
        </w:rPr>
        <w:t>0</w:t>
      </w:r>
      <w:r>
        <w:rPr>
          <w:lang w:val="es-ES"/>
        </w:rPr>
        <w:t>,</w:t>
      </w:r>
      <w:r>
        <w:rPr>
          <w:rFonts w:hint="eastAsia"/>
          <w:lang w:val="es-ES"/>
        </w:rPr>
        <w:t>06186</w:t>
      </w:r>
      <w:r>
        <w:rPr>
          <w:lang w:val="es-ES"/>
        </w:rPr>
        <w:t> </w:t>
      </w:r>
      <w:r>
        <w:rPr>
          <w:rFonts w:hint="eastAsia"/>
          <w:i/>
          <w:lang w:val="es-ES"/>
        </w:rPr>
        <w:t>h</w:t>
      </w:r>
      <w:r>
        <w:rPr>
          <w:rFonts w:hint="eastAsia"/>
          <w:vertAlign w:val="superscript"/>
          <w:lang w:val="es-ES"/>
        </w:rPr>
        <w:t>2</w:t>
      </w:r>
      <w:r>
        <w:rPr>
          <w:rFonts w:hint="eastAsia"/>
          <w:lang w:val="es-ES"/>
        </w:rPr>
        <w:t>]</w:t>
      </w:r>
      <w:r>
        <w:rPr>
          <w:rFonts w:hint="eastAsia"/>
          <w:lang w:val="es-ES"/>
        </w:rPr>
        <w:tab/>
        <w:t>(9c)</w:t>
      </w:r>
    </w:p>
    <w:p w:rsidR="002B489A" w:rsidRDefault="004F19C4">
      <w:pPr>
        <w:pStyle w:val="Headingb"/>
      </w:pPr>
      <w:r>
        <w:t xml:space="preserve">Bande de fréquences </w:t>
      </w:r>
      <w:r>
        <w:rPr>
          <w:rFonts w:hint="eastAsia"/>
        </w:rPr>
        <w:t>50</w:t>
      </w:r>
      <w:r>
        <w:t>,</w:t>
      </w:r>
      <w:r>
        <w:rPr>
          <w:rFonts w:hint="eastAsia"/>
        </w:rPr>
        <w:t>2-50</w:t>
      </w:r>
      <w:r>
        <w:t>,</w:t>
      </w:r>
      <w:r>
        <w:rPr>
          <w:rFonts w:hint="eastAsia"/>
        </w:rPr>
        <w:t>4 GHz</w:t>
      </w:r>
    </w:p>
    <w:p w:rsidR="002B489A" w:rsidRDefault="004F19C4">
      <w:pPr>
        <w:pStyle w:val="Equation"/>
        <w:tabs>
          <w:tab w:val="clear" w:pos="794"/>
          <w:tab w:val="clear" w:pos="4820"/>
          <w:tab w:val="left" w:pos="540"/>
          <w:tab w:val="left" w:pos="1652"/>
        </w:tabs>
        <w:jc w:val="left"/>
      </w:pPr>
      <w:r>
        <w:rPr>
          <w:i/>
        </w:rPr>
        <w:tab/>
      </w:r>
      <w:r>
        <w:rPr>
          <w:rFonts w:hint="eastAsia"/>
          <w:i/>
        </w:rPr>
        <w:t>A</w:t>
      </w:r>
      <w:r>
        <w:rPr>
          <w:rFonts w:hint="eastAsia"/>
          <w:i/>
          <w:vertAlign w:val="subscript"/>
        </w:rPr>
        <w:t>L</w:t>
      </w:r>
      <w:r>
        <w:rPr>
          <w:i/>
          <w:vertAlign w:val="subscript"/>
        </w:rPr>
        <w:t> </w:t>
      </w:r>
      <w:r>
        <w:rPr>
          <w:rFonts w:hint="eastAsia"/>
        </w:rPr>
        <w:t>(</w:t>
      </w:r>
      <w:r>
        <w:rPr>
          <w:rFonts w:hint="eastAsia"/>
          <w:i/>
        </w:rPr>
        <w:t>h</w:t>
      </w:r>
      <w:r>
        <w:rPr>
          <w:rFonts w:hint="eastAsia"/>
        </w:rPr>
        <w:t xml:space="preserve">, </w:t>
      </w:r>
      <w:r>
        <w:rPr>
          <w:rFonts w:ascii="Symbol" w:hAnsi="Symbol"/>
        </w:rPr>
        <w:sym w:font="Symbol" w:char="F071"/>
      </w:r>
      <w:r>
        <w:rPr>
          <w:rFonts w:hint="eastAsia"/>
        </w:rPr>
        <w:t>)</w:t>
      </w:r>
      <w:r>
        <w:t> </w:t>
      </w:r>
      <w:r>
        <w:rPr>
          <w:rFonts w:ascii="Symbol" w:hAnsi="Symbol"/>
          <w:lang w:val="es-ES"/>
        </w:rPr>
        <w:t></w:t>
      </w:r>
      <w:r>
        <w:tab/>
      </w:r>
      <w:r>
        <w:rPr>
          <w:rFonts w:hint="eastAsia"/>
        </w:rPr>
        <w:t>91</w:t>
      </w:r>
      <w:r>
        <w:t>,</w:t>
      </w:r>
      <w:r>
        <w:rPr>
          <w:rFonts w:hint="eastAsia"/>
        </w:rPr>
        <w:t>86</w:t>
      </w:r>
      <w:r>
        <w:t> </w:t>
      </w:r>
      <w:r>
        <w:rPr>
          <w:rFonts w:hint="eastAsia"/>
        </w:rPr>
        <w:t>/</w:t>
      </w:r>
      <w:r>
        <w:t> </w:t>
      </w:r>
      <w:r>
        <w:rPr>
          <w:rFonts w:hint="eastAsia"/>
        </w:rPr>
        <w:t>[1</w:t>
      </w:r>
      <w:r>
        <w:t> </w:t>
      </w:r>
      <w:r>
        <w:rPr>
          <w:rFonts w:ascii="Symbol" w:hAnsi="Symbol"/>
          <w:lang w:val="es-ES"/>
        </w:rPr>
        <w:t></w:t>
      </w:r>
      <w:r>
        <w:t> </w:t>
      </w:r>
      <w:r>
        <w:rPr>
          <w:rFonts w:hint="eastAsia"/>
        </w:rPr>
        <w:t>0</w:t>
      </w:r>
      <w:r>
        <w:t>,</w:t>
      </w:r>
      <w:r>
        <w:rPr>
          <w:rFonts w:hint="eastAsia"/>
        </w:rPr>
        <w:t>65929</w:t>
      </w:r>
      <w:r>
        <w:t> </w:t>
      </w:r>
      <w:r>
        <w:sym w:font="Symbol" w:char="F071"/>
      </w:r>
      <w:r>
        <w:t> </w:t>
      </w:r>
      <w:r>
        <w:rPr>
          <w:rFonts w:ascii="Symbol" w:hAnsi="Symbol"/>
          <w:lang w:val="es-ES"/>
        </w:rPr>
        <w:t></w:t>
      </w:r>
      <w:r>
        <w:t> </w:t>
      </w:r>
      <w:r>
        <w:rPr>
          <w:rFonts w:hint="eastAsia"/>
        </w:rPr>
        <w:t>0</w:t>
      </w:r>
      <w:r>
        <w:t>,</w:t>
      </w:r>
      <w:r>
        <w:rPr>
          <w:rFonts w:hint="eastAsia"/>
        </w:rPr>
        <w:t>055368</w:t>
      </w:r>
      <w:r>
        <w:t> </w:t>
      </w:r>
      <w:r>
        <w:sym w:font="Symbol" w:char="F071"/>
      </w:r>
      <w:r>
        <w:rPr>
          <w:rFonts w:hint="eastAsia"/>
          <w:vertAlign w:val="superscript"/>
        </w:rPr>
        <w:t>2</w:t>
      </w:r>
      <w:r>
        <w:rPr>
          <w:i/>
        </w:rPr>
        <w:t> </w:t>
      </w:r>
      <w:r>
        <w:t>– </w:t>
      </w:r>
      <w:r>
        <w:rPr>
          <w:rFonts w:hint="eastAsia"/>
        </w:rPr>
        <w:t>0</w:t>
      </w:r>
      <w:r>
        <w:t>,</w:t>
      </w:r>
      <w:r>
        <w:rPr>
          <w:rFonts w:hint="eastAsia"/>
        </w:rPr>
        <w:t>0039239</w:t>
      </w:r>
      <w:r>
        <w:t> </w:t>
      </w:r>
      <w:r>
        <w:sym w:font="Symbol" w:char="F071"/>
      </w:r>
      <w:r>
        <w:rPr>
          <w:rFonts w:hint="eastAsia"/>
          <w:vertAlign w:val="superscript"/>
        </w:rPr>
        <w:t>3</w:t>
      </w:r>
      <w:r>
        <w:rPr>
          <w:i/>
        </w:rPr>
        <w:t> </w:t>
      </w:r>
      <w:r>
        <w:rPr>
          <w:rFonts w:ascii="Symbol" w:hAnsi="Symbol"/>
          <w:lang w:val="es-ES"/>
        </w:rPr>
        <w:t></w:t>
      </w:r>
      <w:r>
        <w:t> </w:t>
      </w:r>
      <w:r>
        <w:rPr>
          <w:rFonts w:hint="eastAsia"/>
        </w:rPr>
        <w:t>0</w:t>
      </w:r>
      <w:r>
        <w:t>,</w:t>
      </w:r>
      <w:r>
        <w:rPr>
          <w:rFonts w:hint="eastAsia"/>
        </w:rPr>
        <w:t>00011109</w:t>
      </w:r>
      <w:r>
        <w:t> </w:t>
      </w:r>
      <w:r>
        <w:sym w:font="Symbol" w:char="F071"/>
      </w:r>
      <w:r>
        <w:rPr>
          <w:rFonts w:hint="eastAsia"/>
          <w:vertAlign w:val="superscript"/>
        </w:rPr>
        <w:t>4</w:t>
      </w:r>
      <w:r>
        <w:rPr>
          <w:vertAlign w:val="superscript"/>
        </w:rPr>
        <w:t xml:space="preserve"> </w:t>
      </w:r>
      <w:r>
        <w:t>–</w:t>
      </w:r>
      <w:r>
        <w:br/>
      </w:r>
      <w:r>
        <w:tab/>
      </w:r>
      <w:r>
        <w:tab/>
        <w:t> </w:t>
      </w:r>
      <w:r>
        <w:rPr>
          <w:rFonts w:hint="eastAsia"/>
        </w:rPr>
        <w:t>0</w:t>
      </w:r>
      <w:r>
        <w:t>,</w:t>
      </w:r>
      <w:r>
        <w:rPr>
          <w:rFonts w:hint="eastAsia"/>
        </w:rPr>
        <w:t>13407</w:t>
      </w:r>
      <w:r>
        <w:t> </w:t>
      </w:r>
      <w:r>
        <w:rPr>
          <w:rFonts w:ascii="Symbol" w:hAnsi="Symbol"/>
        </w:rPr>
        <w:t></w:t>
      </w:r>
      <w:r>
        <w:t> </w:t>
      </w:r>
      <w:r>
        <w:rPr>
          <w:rFonts w:hint="eastAsia"/>
        </w:rPr>
        <w:t>10</w:t>
      </w:r>
      <w:r>
        <w:rPr>
          <w:vertAlign w:val="superscript"/>
        </w:rPr>
        <w:t>–</w:t>
      </w:r>
      <w:r>
        <w:rPr>
          <w:rFonts w:hint="eastAsia"/>
          <w:vertAlign w:val="superscript"/>
        </w:rPr>
        <w:t>5</w:t>
      </w:r>
      <w:r>
        <w:t> </w:t>
      </w:r>
      <w:r>
        <w:sym w:font="Symbol" w:char="F071"/>
      </w:r>
      <w:r>
        <w:rPr>
          <w:rFonts w:hint="eastAsia"/>
          <w:vertAlign w:val="superscript"/>
        </w:rPr>
        <w:t>5</w:t>
      </w:r>
      <w:r>
        <w:t> </w:t>
      </w:r>
      <w:r>
        <w:rPr>
          <w:rFonts w:ascii="Symbol" w:hAnsi="Symbol"/>
          <w:lang w:val="es-ES"/>
        </w:rPr>
        <w:t></w:t>
      </w:r>
      <w:r>
        <w:t> </w:t>
      </w:r>
      <w:r>
        <w:rPr>
          <w:rFonts w:hint="eastAsia"/>
        </w:rPr>
        <w:t>0</w:t>
      </w:r>
      <w:r>
        <w:t>,</w:t>
      </w:r>
      <w:r>
        <w:rPr>
          <w:rFonts w:hint="eastAsia"/>
        </w:rPr>
        <w:t>57041</w:t>
      </w:r>
      <w:r>
        <w:t> </w:t>
      </w:r>
      <w:r>
        <w:rPr>
          <w:rFonts w:ascii="Symbol" w:hAnsi="Symbol"/>
        </w:rPr>
        <w:t></w:t>
      </w:r>
      <w:r>
        <w:t> </w:t>
      </w:r>
      <w:r>
        <w:rPr>
          <w:rFonts w:hint="eastAsia"/>
        </w:rPr>
        <w:t>10</w:t>
      </w:r>
      <w:r>
        <w:rPr>
          <w:vertAlign w:val="superscript"/>
        </w:rPr>
        <w:t>–</w:t>
      </w:r>
      <w:r>
        <w:rPr>
          <w:rFonts w:hint="eastAsia"/>
          <w:vertAlign w:val="superscript"/>
        </w:rPr>
        <w:t>8</w:t>
      </w:r>
      <w:r>
        <w:t> </w:t>
      </w:r>
      <w:r>
        <w:sym w:font="Symbol" w:char="F071"/>
      </w:r>
      <w:r>
        <w:rPr>
          <w:rFonts w:hint="eastAsia"/>
          <w:vertAlign w:val="superscript"/>
        </w:rPr>
        <w:t>6</w:t>
      </w:r>
      <w:r>
        <w:t> </w:t>
      </w:r>
      <w:r>
        <w:rPr>
          <w:rFonts w:ascii="Symbol" w:hAnsi="Symbol"/>
          <w:lang w:val="es-ES"/>
        </w:rPr>
        <w:t></w:t>
      </w:r>
      <w:r>
        <w:t> </w:t>
      </w:r>
      <w:r>
        <w:rPr>
          <w:rFonts w:hint="eastAsia"/>
          <w:i/>
        </w:rPr>
        <w:t>h</w:t>
      </w:r>
      <w:r>
        <w:t> </w:t>
      </w:r>
      <w:r>
        <w:rPr>
          <w:rFonts w:hint="eastAsia"/>
        </w:rPr>
        <w:t>(0</w:t>
      </w:r>
      <w:r>
        <w:t>,</w:t>
      </w:r>
      <w:r>
        <w:rPr>
          <w:rFonts w:hint="eastAsia"/>
        </w:rPr>
        <w:t>24505</w:t>
      </w:r>
      <w:r>
        <w:t> </w:t>
      </w:r>
      <w:r>
        <w:rPr>
          <w:rFonts w:ascii="Symbol" w:hAnsi="Symbol"/>
          <w:lang w:val="es-ES"/>
        </w:rPr>
        <w:t></w:t>
      </w:r>
      <w:r>
        <w:t> </w:t>
      </w:r>
      <w:r>
        <w:rPr>
          <w:rFonts w:hint="eastAsia"/>
        </w:rPr>
        <w:t>0</w:t>
      </w:r>
      <w:r>
        <w:t>,</w:t>
      </w:r>
      <w:r>
        <w:rPr>
          <w:rFonts w:hint="eastAsia"/>
        </w:rPr>
        <w:t>18790</w:t>
      </w:r>
      <w:r>
        <w:t> </w:t>
      </w:r>
      <w:r>
        <w:sym w:font="Symbol" w:char="F071"/>
      </w:r>
      <w:r>
        <w:t xml:space="preserve"> </w:t>
      </w:r>
      <w:r>
        <w:rPr>
          <w:rFonts w:ascii="Symbol" w:hAnsi="Symbol"/>
        </w:rPr>
        <w:t></w:t>
      </w:r>
      <w:r>
        <w:br/>
      </w:r>
      <w:r>
        <w:tab/>
      </w:r>
      <w:r>
        <w:tab/>
        <w:t> </w:t>
      </w:r>
      <w:r>
        <w:rPr>
          <w:rFonts w:hint="eastAsia"/>
        </w:rPr>
        <w:t>0</w:t>
      </w:r>
      <w:r>
        <w:t>,</w:t>
      </w:r>
      <w:r>
        <w:rPr>
          <w:rFonts w:hint="eastAsia"/>
        </w:rPr>
        <w:t>0016855</w:t>
      </w:r>
      <w:r>
        <w:t xml:space="preserve"> </w:t>
      </w:r>
      <w:r>
        <w:sym w:font="Symbol" w:char="F071"/>
      </w:r>
      <w:r>
        <w:rPr>
          <w:rFonts w:hint="eastAsia"/>
          <w:vertAlign w:val="superscript"/>
        </w:rPr>
        <w:t>2</w:t>
      </w:r>
      <w:r>
        <w:rPr>
          <w:rFonts w:hint="eastAsia"/>
        </w:rPr>
        <w:t>)</w:t>
      </w:r>
      <w:r>
        <w:t> </w:t>
      </w:r>
      <w:r>
        <w:rPr>
          <w:rFonts w:ascii="Symbol" w:hAnsi="Symbol"/>
          <w:lang w:val="es-ES"/>
        </w:rPr>
        <w:t></w:t>
      </w:r>
      <w:r>
        <w:rPr>
          <w:rFonts w:hint="eastAsia"/>
        </w:rPr>
        <w:t> </w:t>
      </w:r>
      <w:r>
        <w:rPr>
          <w:rFonts w:hint="eastAsia"/>
          <w:i/>
        </w:rPr>
        <w:t>h</w:t>
      </w:r>
      <w:r>
        <w:rPr>
          <w:rFonts w:hint="eastAsia"/>
          <w:vertAlign w:val="superscript"/>
        </w:rPr>
        <w:t>2</w:t>
      </w:r>
      <w:r>
        <w:t> </w:t>
      </w:r>
      <w:r>
        <w:rPr>
          <w:rFonts w:hint="eastAsia"/>
        </w:rPr>
        <w:t>(0</w:t>
      </w:r>
      <w:r>
        <w:t>,</w:t>
      </w:r>
      <w:r>
        <w:rPr>
          <w:rFonts w:hint="eastAsia"/>
        </w:rPr>
        <w:t>055349</w:t>
      </w:r>
      <w:r>
        <w:t> </w:t>
      </w:r>
      <w:r>
        <w:rPr>
          <w:rFonts w:ascii="Symbol" w:hAnsi="Symbol"/>
          <w:lang w:val="es-ES"/>
        </w:rPr>
        <w:t></w:t>
      </w:r>
      <w:r>
        <w:t> </w:t>
      </w:r>
      <w:r>
        <w:rPr>
          <w:rFonts w:hint="eastAsia"/>
        </w:rPr>
        <w:t>0</w:t>
      </w:r>
      <w:r>
        <w:t>,</w:t>
      </w:r>
      <w:r>
        <w:rPr>
          <w:rFonts w:hint="eastAsia"/>
        </w:rPr>
        <w:t>026631</w:t>
      </w:r>
      <w:r>
        <w:t> </w:t>
      </w:r>
      <w:r>
        <w:sym w:font="Symbol" w:char="F071"/>
      </w:r>
      <w:r>
        <w:rPr>
          <w:rFonts w:hint="eastAsia"/>
        </w:rPr>
        <w:t>)]</w:t>
      </w:r>
      <w:r>
        <w:rPr>
          <w:rFonts w:hint="eastAsia"/>
        </w:rPr>
        <w:tab/>
        <w:t>(10a)</w:t>
      </w:r>
    </w:p>
    <w:p w:rsidR="002B489A" w:rsidRDefault="004F19C4">
      <w:pPr>
        <w:pStyle w:val="Equation"/>
        <w:tabs>
          <w:tab w:val="clear" w:pos="794"/>
          <w:tab w:val="clear" w:pos="4820"/>
          <w:tab w:val="left" w:pos="540"/>
          <w:tab w:val="left" w:pos="1652"/>
        </w:tabs>
        <w:jc w:val="left"/>
      </w:pPr>
      <w:r>
        <w:rPr>
          <w:i/>
        </w:rPr>
        <w:tab/>
      </w:r>
      <w:r>
        <w:rPr>
          <w:rFonts w:hint="eastAsia"/>
          <w:i/>
        </w:rPr>
        <w:t>A</w:t>
      </w:r>
      <w:r>
        <w:rPr>
          <w:rFonts w:hint="eastAsia"/>
          <w:i/>
          <w:vertAlign w:val="subscript"/>
        </w:rPr>
        <w:t>M</w:t>
      </w:r>
      <w:r>
        <w:rPr>
          <w:i/>
          <w:vertAlign w:val="subscript"/>
        </w:rPr>
        <w:t> </w:t>
      </w:r>
      <w:r>
        <w:rPr>
          <w:rFonts w:hint="eastAsia"/>
        </w:rPr>
        <w:t>(</w:t>
      </w:r>
      <w:r>
        <w:rPr>
          <w:rFonts w:hint="eastAsia"/>
          <w:i/>
        </w:rPr>
        <w:t>h</w:t>
      </w:r>
      <w:r>
        <w:rPr>
          <w:rFonts w:hint="eastAsia"/>
        </w:rPr>
        <w:t xml:space="preserve">, </w:t>
      </w:r>
      <w:r>
        <w:rPr>
          <w:rFonts w:ascii="Symbol" w:hAnsi="Symbol"/>
        </w:rPr>
        <w:sym w:font="Symbol" w:char="F071"/>
      </w:r>
      <w:r>
        <w:rPr>
          <w:rFonts w:hint="eastAsia"/>
        </w:rPr>
        <w:t>)</w:t>
      </w:r>
      <w:r>
        <w:t> </w:t>
      </w:r>
      <w:r>
        <w:rPr>
          <w:rFonts w:ascii="Symbol" w:hAnsi="Symbol"/>
          <w:lang w:val="es-ES"/>
        </w:rPr>
        <w:t></w:t>
      </w:r>
      <w:r>
        <w:tab/>
      </w:r>
      <w:r>
        <w:rPr>
          <w:rFonts w:hint="eastAsia"/>
        </w:rPr>
        <w:t>90</w:t>
      </w:r>
      <w:r>
        <w:t>,</w:t>
      </w:r>
      <w:r>
        <w:rPr>
          <w:rFonts w:hint="eastAsia"/>
        </w:rPr>
        <w:t>25</w:t>
      </w:r>
      <w:r>
        <w:t> </w:t>
      </w:r>
      <w:r>
        <w:rPr>
          <w:rFonts w:hint="eastAsia"/>
        </w:rPr>
        <w:t>/</w:t>
      </w:r>
      <w:r>
        <w:t> </w:t>
      </w:r>
      <w:r>
        <w:rPr>
          <w:rFonts w:hint="eastAsia"/>
        </w:rPr>
        <w:t>[1</w:t>
      </w:r>
      <w:r>
        <w:t> </w:t>
      </w:r>
      <w:r>
        <w:rPr>
          <w:rFonts w:ascii="Symbol" w:hAnsi="Symbol"/>
          <w:lang w:val="en-US"/>
        </w:rPr>
        <w:t></w:t>
      </w:r>
      <w:r>
        <w:t> </w:t>
      </w:r>
      <w:r>
        <w:rPr>
          <w:rFonts w:hint="eastAsia"/>
        </w:rPr>
        <w:t>0</w:t>
      </w:r>
      <w:r>
        <w:t>,</w:t>
      </w:r>
      <w:r>
        <w:rPr>
          <w:rFonts w:hint="eastAsia"/>
        </w:rPr>
        <w:t>64981</w:t>
      </w:r>
      <w:r>
        <w:t> </w:t>
      </w:r>
      <w:r>
        <w:sym w:font="Symbol" w:char="F071"/>
      </w:r>
      <w:r>
        <w:t> </w:t>
      </w:r>
      <w:r>
        <w:rPr>
          <w:rFonts w:ascii="Symbol" w:hAnsi="Symbol"/>
          <w:lang w:val="en-US"/>
        </w:rPr>
        <w:t></w:t>
      </w:r>
      <w:r>
        <w:t> </w:t>
      </w:r>
      <w:r>
        <w:rPr>
          <w:rFonts w:hint="eastAsia"/>
        </w:rPr>
        <w:t>0</w:t>
      </w:r>
      <w:r>
        <w:t>,</w:t>
      </w:r>
      <w:r>
        <w:rPr>
          <w:rFonts w:hint="eastAsia"/>
        </w:rPr>
        <w:t>059840</w:t>
      </w:r>
      <w:r>
        <w:t> </w:t>
      </w:r>
      <w:r>
        <w:sym w:font="Symbol" w:char="F071"/>
      </w:r>
      <w:r>
        <w:rPr>
          <w:rFonts w:hint="eastAsia"/>
          <w:vertAlign w:val="superscript"/>
        </w:rPr>
        <w:t>2</w:t>
      </w:r>
      <w:r>
        <w:t> – </w:t>
      </w:r>
      <w:r>
        <w:rPr>
          <w:rFonts w:hint="eastAsia"/>
        </w:rPr>
        <w:t>0</w:t>
      </w:r>
      <w:r>
        <w:t>,</w:t>
      </w:r>
      <w:r>
        <w:rPr>
          <w:rFonts w:hint="eastAsia"/>
        </w:rPr>
        <w:t>0043911</w:t>
      </w:r>
      <w:r>
        <w:t> </w:t>
      </w:r>
      <w:r>
        <w:sym w:font="Symbol" w:char="F071"/>
      </w:r>
      <w:r>
        <w:rPr>
          <w:rFonts w:hint="eastAsia"/>
          <w:vertAlign w:val="superscript"/>
        </w:rPr>
        <w:t>3</w:t>
      </w:r>
      <w:r>
        <w:t> </w:t>
      </w:r>
      <w:r>
        <w:rPr>
          <w:rFonts w:ascii="Symbol" w:hAnsi="Symbol"/>
          <w:lang w:val="en-US"/>
        </w:rPr>
        <w:t></w:t>
      </w:r>
      <w:r>
        <w:t> </w:t>
      </w:r>
      <w:r>
        <w:rPr>
          <w:rFonts w:hint="eastAsia"/>
        </w:rPr>
        <w:t>0</w:t>
      </w:r>
      <w:r>
        <w:t>,</w:t>
      </w:r>
      <w:r>
        <w:rPr>
          <w:rFonts w:hint="eastAsia"/>
        </w:rPr>
        <w:t>00012737</w:t>
      </w:r>
      <w:r>
        <w:t> </w:t>
      </w:r>
      <w:r>
        <w:sym w:font="Symbol" w:char="F071"/>
      </w:r>
      <w:r>
        <w:rPr>
          <w:rFonts w:hint="eastAsia"/>
          <w:vertAlign w:val="superscript"/>
        </w:rPr>
        <w:t>4</w:t>
      </w:r>
      <w:r>
        <w:t> –</w:t>
      </w:r>
      <w:r>
        <w:br/>
      </w:r>
      <w:r>
        <w:tab/>
      </w:r>
      <w:r>
        <w:tab/>
      </w:r>
      <w:r>
        <w:rPr>
          <w:rFonts w:hint="eastAsia"/>
        </w:rPr>
        <w:t>0</w:t>
      </w:r>
      <w:r>
        <w:t>,</w:t>
      </w:r>
      <w:r>
        <w:rPr>
          <w:rFonts w:hint="eastAsia"/>
        </w:rPr>
        <w:t>15609</w:t>
      </w:r>
      <w:r>
        <w:t> </w:t>
      </w:r>
      <w:r>
        <w:rPr>
          <w:rFonts w:ascii="Symbol" w:hAnsi="Symbol"/>
        </w:rPr>
        <w:t></w:t>
      </w:r>
      <w:r>
        <w:t> </w:t>
      </w:r>
      <w:r>
        <w:rPr>
          <w:rFonts w:hint="eastAsia"/>
        </w:rPr>
        <w:t>10</w:t>
      </w:r>
      <w:r>
        <w:rPr>
          <w:vertAlign w:val="superscript"/>
        </w:rPr>
        <w:t>–</w:t>
      </w:r>
      <w:r>
        <w:rPr>
          <w:rFonts w:hint="eastAsia"/>
          <w:vertAlign w:val="superscript"/>
        </w:rPr>
        <w:t>5</w:t>
      </w:r>
      <w:r>
        <w:t> </w:t>
      </w:r>
      <w:r>
        <w:sym w:font="Symbol" w:char="F071"/>
      </w:r>
      <w:r>
        <w:rPr>
          <w:rFonts w:hint="eastAsia"/>
          <w:vertAlign w:val="superscript"/>
        </w:rPr>
        <w:t>5</w:t>
      </w:r>
      <w:r>
        <w:t> </w:t>
      </w:r>
      <w:r>
        <w:rPr>
          <w:rFonts w:ascii="Symbol" w:hAnsi="Symbol"/>
          <w:lang w:val="en-US"/>
        </w:rPr>
        <w:t></w:t>
      </w:r>
      <w:r>
        <w:t> </w:t>
      </w:r>
      <w:r>
        <w:rPr>
          <w:rFonts w:hint="eastAsia"/>
        </w:rPr>
        <w:t>0</w:t>
      </w:r>
      <w:r>
        <w:t>,</w:t>
      </w:r>
      <w:r>
        <w:rPr>
          <w:rFonts w:hint="eastAsia"/>
        </w:rPr>
        <w:t>67150</w:t>
      </w:r>
      <w:r>
        <w:rPr>
          <w:rFonts w:ascii="Symbol" w:hAnsi="Symbol"/>
        </w:rPr>
        <w:t></w:t>
      </w:r>
      <w:r>
        <w:t> </w:t>
      </w:r>
      <w:r>
        <w:rPr>
          <w:rFonts w:hint="eastAsia"/>
        </w:rPr>
        <w:t>10</w:t>
      </w:r>
      <w:r>
        <w:rPr>
          <w:vertAlign w:val="superscript"/>
        </w:rPr>
        <w:t>–</w:t>
      </w:r>
      <w:r>
        <w:rPr>
          <w:rFonts w:hint="eastAsia"/>
          <w:vertAlign w:val="superscript"/>
        </w:rPr>
        <w:t>8</w:t>
      </w:r>
      <w:r>
        <w:t> </w:t>
      </w:r>
      <w:r>
        <w:sym w:font="Symbol" w:char="F071"/>
      </w:r>
      <w:r>
        <w:rPr>
          <w:rFonts w:hint="eastAsia"/>
          <w:vertAlign w:val="superscript"/>
        </w:rPr>
        <w:t>6</w:t>
      </w:r>
      <w:r>
        <w:t> </w:t>
      </w:r>
      <w:r>
        <w:rPr>
          <w:rFonts w:ascii="Symbol" w:hAnsi="Symbol"/>
          <w:lang w:val="en-US"/>
        </w:rPr>
        <w:t></w:t>
      </w:r>
      <w:r>
        <w:t> </w:t>
      </w:r>
      <w:r>
        <w:rPr>
          <w:rFonts w:hint="eastAsia"/>
          <w:i/>
        </w:rPr>
        <w:t>h</w:t>
      </w:r>
      <w:r>
        <w:t> </w:t>
      </w:r>
      <w:r>
        <w:rPr>
          <w:rFonts w:hint="eastAsia"/>
        </w:rPr>
        <w:t>(0</w:t>
      </w:r>
      <w:r>
        <w:t>,</w:t>
      </w:r>
      <w:r>
        <w:rPr>
          <w:rFonts w:hint="eastAsia"/>
        </w:rPr>
        <w:t>23568</w:t>
      </w:r>
      <w:r>
        <w:t> </w:t>
      </w:r>
      <w:r>
        <w:rPr>
          <w:rFonts w:ascii="Symbol" w:hAnsi="Symbol"/>
          <w:lang w:val="en-US"/>
        </w:rPr>
        <w:t></w:t>
      </w:r>
      <w:r>
        <w:t> </w:t>
      </w:r>
      <w:r>
        <w:rPr>
          <w:rFonts w:hint="eastAsia"/>
        </w:rPr>
        <w:t>0</w:t>
      </w:r>
      <w:r>
        <w:t>,</w:t>
      </w:r>
      <w:r>
        <w:rPr>
          <w:rFonts w:hint="eastAsia"/>
        </w:rPr>
        <w:t>17708</w:t>
      </w:r>
      <w:r>
        <w:t> </w:t>
      </w:r>
      <w:r>
        <w:sym w:font="Symbol" w:char="F071"/>
      </w:r>
      <w:r>
        <w:t> </w:t>
      </w:r>
      <w:r>
        <w:rPr>
          <w:rFonts w:ascii="Symbol" w:hAnsi="Symbol"/>
          <w:lang w:val="en-US"/>
        </w:rPr>
        <w:t></w:t>
      </w:r>
      <w:r>
        <w:br/>
      </w:r>
      <w:r>
        <w:tab/>
      </w:r>
      <w:r>
        <w:tab/>
      </w:r>
      <w:r>
        <w:rPr>
          <w:rFonts w:hint="eastAsia"/>
        </w:rPr>
        <w:t>0</w:t>
      </w:r>
      <w:r>
        <w:t>,</w:t>
      </w:r>
      <w:r>
        <w:rPr>
          <w:rFonts w:hint="eastAsia"/>
        </w:rPr>
        <w:t>0022801</w:t>
      </w:r>
      <w:r>
        <w:t> </w:t>
      </w:r>
      <w:r>
        <w:sym w:font="Symbol" w:char="F071"/>
      </w:r>
      <w:r>
        <w:rPr>
          <w:rFonts w:hint="eastAsia"/>
          <w:vertAlign w:val="superscript"/>
        </w:rPr>
        <w:t>2</w:t>
      </w:r>
      <w:r>
        <w:rPr>
          <w:rFonts w:hint="eastAsia"/>
        </w:rPr>
        <w:t>)</w:t>
      </w:r>
      <w:r>
        <w:t> </w:t>
      </w:r>
      <w:r>
        <w:rPr>
          <w:rFonts w:ascii="Symbol" w:hAnsi="Symbol"/>
          <w:lang w:val="en-US"/>
        </w:rPr>
        <w:t></w:t>
      </w:r>
      <w:r>
        <w:t> </w:t>
      </w:r>
      <w:r>
        <w:rPr>
          <w:rFonts w:hint="eastAsia"/>
          <w:i/>
        </w:rPr>
        <w:t>h</w:t>
      </w:r>
      <w:r>
        <w:rPr>
          <w:rFonts w:hint="eastAsia"/>
          <w:vertAlign w:val="superscript"/>
        </w:rPr>
        <w:t>2</w:t>
      </w:r>
      <w:r>
        <w:t> </w:t>
      </w:r>
      <w:r>
        <w:rPr>
          <w:rFonts w:hint="eastAsia"/>
        </w:rPr>
        <w:t>(0</w:t>
      </w:r>
      <w:r>
        <w:t>,</w:t>
      </w:r>
      <w:r>
        <w:rPr>
          <w:rFonts w:hint="eastAsia"/>
        </w:rPr>
        <w:t>052633</w:t>
      </w:r>
      <w:r>
        <w:t> </w:t>
      </w:r>
      <w:r>
        <w:rPr>
          <w:rFonts w:ascii="Symbol" w:hAnsi="Symbol"/>
          <w:lang w:val="en-US"/>
        </w:rPr>
        <w:t></w:t>
      </w:r>
      <w:r>
        <w:t> </w:t>
      </w:r>
      <w:r>
        <w:rPr>
          <w:rFonts w:hint="eastAsia"/>
        </w:rPr>
        <w:t>0</w:t>
      </w:r>
      <w:r>
        <w:t>,</w:t>
      </w:r>
      <w:r>
        <w:rPr>
          <w:rFonts w:hint="eastAsia"/>
        </w:rPr>
        <w:t>033709</w:t>
      </w:r>
      <w:r>
        <w:t> </w:t>
      </w:r>
      <w:r>
        <w:sym w:font="Symbol" w:char="F071"/>
      </w:r>
      <w:r>
        <w:rPr>
          <w:rFonts w:hint="eastAsia"/>
        </w:rPr>
        <w:t>)]</w:t>
      </w:r>
      <w:r>
        <w:rPr>
          <w:rFonts w:hint="eastAsia"/>
        </w:rPr>
        <w:tab/>
        <w:t>(10b)</w:t>
      </w:r>
    </w:p>
    <w:p w:rsidR="002B489A" w:rsidRDefault="004F19C4">
      <w:pPr>
        <w:pStyle w:val="Equation"/>
        <w:tabs>
          <w:tab w:val="clear" w:pos="794"/>
          <w:tab w:val="clear" w:pos="4820"/>
          <w:tab w:val="left" w:pos="540"/>
          <w:tab w:val="left" w:pos="1652"/>
        </w:tabs>
        <w:jc w:val="left"/>
      </w:pPr>
      <w:r>
        <w:rPr>
          <w:i/>
        </w:rPr>
        <w:tab/>
      </w:r>
      <w:r>
        <w:rPr>
          <w:rFonts w:hint="eastAsia"/>
          <w:i/>
        </w:rPr>
        <w:t>A</w:t>
      </w:r>
      <w:r>
        <w:rPr>
          <w:rFonts w:hint="eastAsia"/>
          <w:i/>
          <w:vertAlign w:val="subscript"/>
        </w:rPr>
        <w:t>H</w:t>
      </w:r>
      <w:r>
        <w:rPr>
          <w:i/>
          <w:vertAlign w:val="subscript"/>
        </w:rPr>
        <w:t> </w:t>
      </w:r>
      <w:r>
        <w:rPr>
          <w:rFonts w:hint="eastAsia"/>
        </w:rPr>
        <w:t>(</w:t>
      </w:r>
      <w:r>
        <w:rPr>
          <w:rFonts w:hint="eastAsia"/>
          <w:i/>
        </w:rPr>
        <w:t>h</w:t>
      </w:r>
      <w:r>
        <w:rPr>
          <w:rFonts w:hint="eastAsia"/>
        </w:rPr>
        <w:t xml:space="preserve">, </w:t>
      </w:r>
      <w:r>
        <w:rPr>
          <w:rFonts w:ascii="Symbol" w:hAnsi="Symbol"/>
        </w:rPr>
        <w:sym w:font="Symbol" w:char="F071"/>
      </w:r>
      <w:r>
        <w:rPr>
          <w:rFonts w:hint="eastAsia"/>
        </w:rPr>
        <w:t>)</w:t>
      </w:r>
      <w:r>
        <w:t> </w:t>
      </w:r>
      <w:r>
        <w:rPr>
          <w:rFonts w:ascii="Symbol" w:hAnsi="Symbol"/>
          <w:lang w:val="es-ES"/>
        </w:rPr>
        <w:t></w:t>
      </w:r>
      <w:r>
        <w:tab/>
      </w:r>
      <w:r>
        <w:rPr>
          <w:rFonts w:hint="eastAsia"/>
        </w:rPr>
        <w:t>93</w:t>
      </w:r>
      <w:r>
        <w:t>,</w:t>
      </w:r>
      <w:r>
        <w:rPr>
          <w:rFonts w:hint="eastAsia"/>
        </w:rPr>
        <w:t>17</w:t>
      </w:r>
      <w:r>
        <w:t> </w:t>
      </w:r>
      <w:r>
        <w:rPr>
          <w:rFonts w:hint="eastAsia"/>
        </w:rPr>
        <w:t>/</w:t>
      </w:r>
      <w:r>
        <w:t> </w:t>
      </w:r>
      <w:r>
        <w:rPr>
          <w:rFonts w:hint="eastAsia"/>
        </w:rPr>
        <w:t>[1</w:t>
      </w:r>
      <w:r>
        <w:t> </w:t>
      </w:r>
      <w:r>
        <w:rPr>
          <w:rFonts w:ascii="Symbol" w:hAnsi="Symbol"/>
          <w:lang w:val="en-US"/>
        </w:rPr>
        <w:t></w:t>
      </w:r>
      <w:r>
        <w:t> </w:t>
      </w:r>
      <w:r>
        <w:rPr>
          <w:rFonts w:hint="eastAsia"/>
        </w:rPr>
        <w:t>0</w:t>
      </w:r>
      <w:r>
        <w:t>,</w:t>
      </w:r>
      <w:r>
        <w:rPr>
          <w:rFonts w:hint="eastAsia"/>
        </w:rPr>
        <w:t>65343</w:t>
      </w:r>
      <w:r>
        <w:t> </w:t>
      </w:r>
      <w:r>
        <w:sym w:font="Symbol" w:char="F071"/>
      </w:r>
      <w:r>
        <w:t> </w:t>
      </w:r>
      <w:r>
        <w:rPr>
          <w:rFonts w:ascii="Symbol" w:hAnsi="Symbol"/>
          <w:lang w:val="en-US"/>
        </w:rPr>
        <w:t></w:t>
      </w:r>
      <w:r>
        <w:t> </w:t>
      </w:r>
      <w:r>
        <w:rPr>
          <w:rFonts w:hint="eastAsia"/>
        </w:rPr>
        <w:t>0</w:t>
      </w:r>
      <w:r>
        <w:t>,</w:t>
      </w:r>
      <w:r>
        <w:rPr>
          <w:rFonts w:hint="eastAsia"/>
        </w:rPr>
        <w:t>061286</w:t>
      </w:r>
      <w:r>
        <w:t> </w:t>
      </w:r>
      <w:r>
        <w:sym w:font="Symbol" w:char="F071"/>
      </w:r>
      <w:r>
        <w:rPr>
          <w:rFonts w:hint="eastAsia"/>
          <w:vertAlign w:val="superscript"/>
        </w:rPr>
        <w:t>2</w:t>
      </w:r>
      <w:r>
        <w:t> – </w:t>
      </w:r>
      <w:r>
        <w:rPr>
          <w:rFonts w:hint="eastAsia"/>
        </w:rPr>
        <w:t>0</w:t>
      </w:r>
      <w:r>
        <w:t>,</w:t>
      </w:r>
      <w:r>
        <w:rPr>
          <w:rFonts w:hint="eastAsia"/>
        </w:rPr>
        <w:t>0045343</w:t>
      </w:r>
      <w:r>
        <w:t> </w:t>
      </w:r>
      <w:r>
        <w:sym w:font="Symbol" w:char="F071"/>
      </w:r>
      <w:r>
        <w:rPr>
          <w:rFonts w:hint="eastAsia"/>
          <w:vertAlign w:val="superscript"/>
        </w:rPr>
        <w:t>3</w:t>
      </w:r>
      <w:r>
        <w:t> </w:t>
      </w:r>
      <w:r>
        <w:rPr>
          <w:rFonts w:ascii="Symbol" w:hAnsi="Symbol"/>
          <w:lang w:val="en-US"/>
        </w:rPr>
        <w:t></w:t>
      </w:r>
      <w:r>
        <w:t> </w:t>
      </w:r>
      <w:r>
        <w:rPr>
          <w:rFonts w:hint="eastAsia"/>
        </w:rPr>
        <w:t>0</w:t>
      </w:r>
      <w:r>
        <w:t>,</w:t>
      </w:r>
      <w:r>
        <w:rPr>
          <w:rFonts w:hint="eastAsia"/>
        </w:rPr>
        <w:t>00013177</w:t>
      </w:r>
      <w:r>
        <w:t> </w:t>
      </w:r>
      <w:r>
        <w:sym w:font="Symbol" w:char="F071"/>
      </w:r>
      <w:r>
        <w:rPr>
          <w:rFonts w:hint="eastAsia"/>
          <w:vertAlign w:val="superscript"/>
        </w:rPr>
        <w:t>4</w:t>
      </w:r>
      <w:r>
        <w:t> –</w:t>
      </w:r>
      <w:r>
        <w:br/>
      </w:r>
      <w:r>
        <w:tab/>
      </w:r>
      <w:r>
        <w:tab/>
      </w:r>
      <w:r>
        <w:rPr>
          <w:rFonts w:hint="eastAsia"/>
        </w:rPr>
        <w:t>0</w:t>
      </w:r>
      <w:r>
        <w:t>,</w:t>
      </w:r>
      <w:r>
        <w:rPr>
          <w:rFonts w:hint="eastAsia"/>
        </w:rPr>
        <w:t>16120</w:t>
      </w:r>
      <w:r>
        <w:t> </w:t>
      </w:r>
      <w:r>
        <w:rPr>
          <w:rFonts w:ascii="Symbol" w:hAnsi="Symbol"/>
        </w:rPr>
        <w:t></w:t>
      </w:r>
      <w:r>
        <w:t> </w:t>
      </w:r>
      <w:r>
        <w:rPr>
          <w:rFonts w:hint="eastAsia"/>
        </w:rPr>
        <w:t>10</w:t>
      </w:r>
      <w:r>
        <w:rPr>
          <w:vertAlign w:val="superscript"/>
        </w:rPr>
        <w:t>–</w:t>
      </w:r>
      <w:r>
        <w:rPr>
          <w:rFonts w:hint="eastAsia"/>
          <w:vertAlign w:val="superscript"/>
        </w:rPr>
        <w:t>5</w:t>
      </w:r>
      <w:r>
        <w:t> </w:t>
      </w:r>
      <w:r>
        <w:sym w:font="Symbol" w:char="F071"/>
      </w:r>
      <w:r>
        <w:rPr>
          <w:rFonts w:hint="eastAsia"/>
          <w:vertAlign w:val="superscript"/>
        </w:rPr>
        <w:t>5</w:t>
      </w:r>
      <w:r>
        <w:t> </w:t>
      </w:r>
      <w:r>
        <w:rPr>
          <w:rFonts w:ascii="Symbol" w:hAnsi="Symbol"/>
          <w:lang w:val="en-US"/>
        </w:rPr>
        <w:t></w:t>
      </w:r>
      <w:r>
        <w:t> </w:t>
      </w:r>
      <w:r>
        <w:rPr>
          <w:rFonts w:hint="eastAsia"/>
        </w:rPr>
        <w:t>0</w:t>
      </w:r>
      <w:r>
        <w:t>,</w:t>
      </w:r>
      <w:r>
        <w:rPr>
          <w:rFonts w:hint="eastAsia"/>
        </w:rPr>
        <w:t>69120</w:t>
      </w:r>
      <w:r>
        <w:t> </w:t>
      </w:r>
      <w:r>
        <w:rPr>
          <w:rFonts w:ascii="Symbol" w:hAnsi="Symbol"/>
        </w:rPr>
        <w:t></w:t>
      </w:r>
      <w:r>
        <w:t> </w:t>
      </w:r>
      <w:r>
        <w:rPr>
          <w:rFonts w:hint="eastAsia"/>
        </w:rPr>
        <w:t>10</w:t>
      </w:r>
      <w:r>
        <w:rPr>
          <w:vertAlign w:val="superscript"/>
        </w:rPr>
        <w:t>–</w:t>
      </w:r>
      <w:r>
        <w:rPr>
          <w:rFonts w:hint="eastAsia"/>
          <w:vertAlign w:val="superscript"/>
        </w:rPr>
        <w:t>8</w:t>
      </w:r>
      <w:r>
        <w:t> </w:t>
      </w:r>
      <w:r>
        <w:sym w:font="Symbol" w:char="F071"/>
      </w:r>
      <w:r>
        <w:rPr>
          <w:rFonts w:hint="eastAsia"/>
          <w:vertAlign w:val="superscript"/>
        </w:rPr>
        <w:t>6</w:t>
      </w:r>
      <w:r>
        <w:t> </w:t>
      </w:r>
      <w:r>
        <w:rPr>
          <w:rFonts w:ascii="Symbol" w:hAnsi="Symbol"/>
          <w:lang w:val="en-US"/>
        </w:rPr>
        <w:t></w:t>
      </w:r>
      <w:r>
        <w:t> </w:t>
      </w:r>
      <w:r>
        <w:rPr>
          <w:rFonts w:hint="eastAsia"/>
          <w:i/>
        </w:rPr>
        <w:t>h</w:t>
      </w:r>
      <w:r>
        <w:t> </w:t>
      </w:r>
      <w:r>
        <w:rPr>
          <w:rFonts w:hint="eastAsia"/>
        </w:rPr>
        <w:t>(0</w:t>
      </w:r>
      <w:r>
        <w:t>,</w:t>
      </w:r>
      <w:r>
        <w:rPr>
          <w:rFonts w:hint="eastAsia"/>
        </w:rPr>
        <w:t>24860</w:t>
      </w:r>
      <w:r>
        <w:t> </w:t>
      </w:r>
      <w:r>
        <w:rPr>
          <w:rFonts w:ascii="Symbol" w:hAnsi="Symbol"/>
          <w:lang w:val="en-US"/>
        </w:rPr>
        <w:t></w:t>
      </w:r>
      <w:r>
        <w:t> </w:t>
      </w:r>
      <w:r>
        <w:rPr>
          <w:rFonts w:hint="eastAsia"/>
        </w:rPr>
        <w:t>0</w:t>
      </w:r>
      <w:r>
        <w:t>,</w:t>
      </w:r>
      <w:r>
        <w:rPr>
          <w:rFonts w:hint="eastAsia"/>
        </w:rPr>
        <w:t>16341</w:t>
      </w:r>
      <w:r>
        <w:t> </w:t>
      </w:r>
      <w:r>
        <w:sym w:font="Symbol" w:char="F071"/>
      </w:r>
      <w:r>
        <w:t> </w:t>
      </w:r>
      <w:r>
        <w:rPr>
          <w:rFonts w:ascii="Symbol" w:hAnsi="Symbol"/>
          <w:lang w:val="en-US"/>
        </w:rPr>
        <w:t></w:t>
      </w:r>
      <w:r>
        <w:br/>
      </w:r>
      <w:r>
        <w:tab/>
      </w:r>
      <w:r>
        <w:tab/>
      </w:r>
      <w:r>
        <w:rPr>
          <w:rFonts w:hint="eastAsia"/>
        </w:rPr>
        <w:t>0</w:t>
      </w:r>
      <w:r>
        <w:t>,</w:t>
      </w:r>
      <w:r>
        <w:rPr>
          <w:rFonts w:hint="eastAsia"/>
        </w:rPr>
        <w:t>0027123</w:t>
      </w:r>
      <w:r>
        <w:t> </w:t>
      </w:r>
      <w:r>
        <w:sym w:font="Symbol" w:char="F071"/>
      </w:r>
      <w:r>
        <w:rPr>
          <w:rFonts w:hint="eastAsia"/>
          <w:vertAlign w:val="superscript"/>
        </w:rPr>
        <w:t>2</w:t>
      </w:r>
      <w:r>
        <w:rPr>
          <w:rFonts w:hint="eastAsia"/>
        </w:rPr>
        <w:t>)</w:t>
      </w:r>
      <w:r>
        <w:t> </w:t>
      </w:r>
      <w:r>
        <w:rPr>
          <w:rFonts w:ascii="Symbol" w:hAnsi="Symbol"/>
          <w:lang w:val="en-US"/>
        </w:rPr>
        <w:t></w:t>
      </w:r>
      <w:r>
        <w:t> </w:t>
      </w:r>
      <w:r>
        <w:rPr>
          <w:rFonts w:hint="eastAsia"/>
          <w:i/>
        </w:rPr>
        <w:t>h</w:t>
      </w:r>
      <w:r>
        <w:rPr>
          <w:rFonts w:hint="eastAsia"/>
          <w:vertAlign w:val="superscript"/>
        </w:rPr>
        <w:t>2</w:t>
      </w:r>
      <w:r>
        <w:t> </w:t>
      </w:r>
      <w:r>
        <w:rPr>
          <w:rFonts w:hint="eastAsia"/>
        </w:rPr>
        <w:t>(0</w:t>
      </w:r>
      <w:r>
        <w:t>,</w:t>
      </w:r>
      <w:r>
        <w:rPr>
          <w:rFonts w:hint="eastAsia"/>
        </w:rPr>
        <w:t>047282</w:t>
      </w:r>
      <w:r>
        <w:t> </w:t>
      </w:r>
      <w:r>
        <w:rPr>
          <w:rFonts w:ascii="Symbol" w:hAnsi="Symbol"/>
          <w:lang w:val="en-US"/>
        </w:rPr>
        <w:t></w:t>
      </w:r>
      <w:r>
        <w:t> </w:t>
      </w:r>
      <w:r>
        <w:rPr>
          <w:rFonts w:hint="eastAsia"/>
        </w:rPr>
        <w:t>0</w:t>
      </w:r>
      <w:r>
        <w:t>,</w:t>
      </w:r>
      <w:r>
        <w:rPr>
          <w:rFonts w:hint="eastAsia"/>
        </w:rPr>
        <w:t>035113</w:t>
      </w:r>
      <w:r>
        <w:t> </w:t>
      </w:r>
      <w:r>
        <w:sym w:font="Symbol" w:char="F071"/>
      </w:r>
      <w:r>
        <w:rPr>
          <w:rFonts w:hint="eastAsia"/>
        </w:rPr>
        <w:t>)]</w:t>
      </w:r>
      <w:r>
        <w:rPr>
          <w:rFonts w:hint="eastAsia"/>
        </w:rPr>
        <w:tab/>
        <w:t>(10c)</w:t>
      </w:r>
    </w:p>
    <w:p w:rsidR="002B489A" w:rsidRDefault="004F19C4">
      <w:pPr>
        <w:pStyle w:val="Headingb"/>
      </w:pPr>
      <w:r>
        <w:t xml:space="preserve">Bande de fréquences </w:t>
      </w:r>
      <w:r>
        <w:rPr>
          <w:rFonts w:hint="eastAsia"/>
        </w:rPr>
        <w:t>52</w:t>
      </w:r>
      <w:r>
        <w:t>,</w:t>
      </w:r>
      <w:r>
        <w:rPr>
          <w:rFonts w:hint="eastAsia"/>
        </w:rPr>
        <w:t>6-52</w:t>
      </w:r>
      <w:r>
        <w:t>,</w:t>
      </w:r>
      <w:r>
        <w:rPr>
          <w:rFonts w:hint="eastAsia"/>
        </w:rPr>
        <w:t>8 GHz</w:t>
      </w:r>
    </w:p>
    <w:p w:rsidR="002B489A" w:rsidRDefault="004F19C4">
      <w:pPr>
        <w:pStyle w:val="Equation"/>
        <w:tabs>
          <w:tab w:val="clear" w:pos="794"/>
          <w:tab w:val="clear" w:pos="4820"/>
          <w:tab w:val="left" w:pos="540"/>
          <w:tab w:val="left" w:pos="1652"/>
        </w:tabs>
        <w:jc w:val="left"/>
      </w:pPr>
      <w:r>
        <w:rPr>
          <w:i/>
        </w:rPr>
        <w:tab/>
      </w:r>
      <w:r>
        <w:rPr>
          <w:rFonts w:hint="eastAsia"/>
          <w:i/>
        </w:rPr>
        <w:t>A</w:t>
      </w:r>
      <w:r>
        <w:rPr>
          <w:rFonts w:hint="eastAsia"/>
          <w:i/>
          <w:vertAlign w:val="subscript"/>
        </w:rPr>
        <w:t>L</w:t>
      </w:r>
      <w:r>
        <w:rPr>
          <w:i/>
          <w:vertAlign w:val="subscript"/>
        </w:rPr>
        <w:t> </w:t>
      </w:r>
      <w:r>
        <w:rPr>
          <w:rFonts w:hint="eastAsia"/>
        </w:rPr>
        <w:t>(</w:t>
      </w:r>
      <w:r>
        <w:rPr>
          <w:rFonts w:hint="eastAsia"/>
          <w:i/>
        </w:rPr>
        <w:t>h</w:t>
      </w:r>
      <w:r>
        <w:rPr>
          <w:rFonts w:hint="eastAsia"/>
        </w:rPr>
        <w:t xml:space="preserve">, </w:t>
      </w:r>
      <w:r>
        <w:rPr>
          <w:rFonts w:ascii="Symbol" w:hAnsi="Symbol"/>
        </w:rPr>
        <w:sym w:font="Symbol" w:char="F071"/>
      </w:r>
      <w:r>
        <w:rPr>
          <w:rFonts w:hint="eastAsia"/>
        </w:rPr>
        <w:t>)</w:t>
      </w:r>
      <w:r>
        <w:t> </w:t>
      </w:r>
      <w:r>
        <w:rPr>
          <w:rFonts w:ascii="Symbol" w:hAnsi="Symbol"/>
          <w:lang w:val="es-ES"/>
        </w:rPr>
        <w:t></w:t>
      </w:r>
      <w:r>
        <w:tab/>
      </w:r>
      <w:r>
        <w:rPr>
          <w:rFonts w:hint="eastAsia"/>
        </w:rPr>
        <w:t>243</w:t>
      </w:r>
      <w:r>
        <w:t>,</w:t>
      </w:r>
      <w:r>
        <w:rPr>
          <w:rFonts w:hint="eastAsia"/>
        </w:rPr>
        <w:t>6</w:t>
      </w:r>
      <w:r>
        <w:t> </w:t>
      </w:r>
      <w:r>
        <w:rPr>
          <w:rFonts w:hint="eastAsia"/>
        </w:rPr>
        <w:t>/</w:t>
      </w:r>
      <w:r>
        <w:t> </w:t>
      </w:r>
      <w:r>
        <w:rPr>
          <w:rFonts w:hint="eastAsia"/>
        </w:rPr>
        <w:t>[1</w:t>
      </w:r>
      <w:r>
        <w:t> </w:t>
      </w:r>
      <w:r>
        <w:rPr>
          <w:rFonts w:ascii="Symbol" w:hAnsi="Symbol"/>
          <w:lang w:val="es-ES"/>
        </w:rPr>
        <w:t></w:t>
      </w:r>
      <w:r>
        <w:t> </w:t>
      </w:r>
      <w:r>
        <w:rPr>
          <w:rFonts w:hint="eastAsia"/>
        </w:rPr>
        <w:t>0</w:t>
      </w:r>
      <w:r>
        <w:t>,</w:t>
      </w:r>
      <w:r>
        <w:rPr>
          <w:rFonts w:hint="eastAsia"/>
        </w:rPr>
        <w:t>61184</w:t>
      </w:r>
      <w:r>
        <w:t xml:space="preserve"> </w:t>
      </w:r>
      <w:r>
        <w:sym w:font="Symbol" w:char="F071"/>
      </w:r>
      <w:r>
        <w:rPr>
          <w:i/>
        </w:rPr>
        <w:t> </w:t>
      </w:r>
      <w:r>
        <w:rPr>
          <w:rFonts w:ascii="Symbol" w:hAnsi="Symbol"/>
          <w:lang w:val="es-ES"/>
        </w:rPr>
        <w:t></w:t>
      </w:r>
      <w:r>
        <w:t> </w:t>
      </w:r>
      <w:r>
        <w:rPr>
          <w:rFonts w:hint="eastAsia"/>
        </w:rPr>
        <w:t>0</w:t>
      </w:r>
      <w:r>
        <w:t>,</w:t>
      </w:r>
      <w:r>
        <w:rPr>
          <w:rFonts w:hint="eastAsia"/>
        </w:rPr>
        <w:t>035912</w:t>
      </w:r>
      <w:r>
        <w:t> </w:t>
      </w:r>
      <w:r>
        <w:sym w:font="Symbol" w:char="F071"/>
      </w:r>
      <w:r>
        <w:rPr>
          <w:rFonts w:hint="eastAsia"/>
          <w:vertAlign w:val="superscript"/>
        </w:rPr>
        <w:t>2</w:t>
      </w:r>
      <w:r>
        <w:t> – </w:t>
      </w:r>
      <w:r>
        <w:rPr>
          <w:rFonts w:hint="eastAsia"/>
        </w:rPr>
        <w:t>0</w:t>
      </w:r>
      <w:r>
        <w:t>,</w:t>
      </w:r>
      <w:r>
        <w:rPr>
          <w:rFonts w:hint="eastAsia"/>
        </w:rPr>
        <w:t>0018265</w:t>
      </w:r>
      <w:r>
        <w:t> </w:t>
      </w:r>
      <w:r>
        <w:sym w:font="Symbol" w:char="F071"/>
      </w:r>
      <w:r>
        <w:rPr>
          <w:rFonts w:hint="eastAsia"/>
          <w:vertAlign w:val="superscript"/>
        </w:rPr>
        <w:t>3</w:t>
      </w:r>
      <w:r>
        <w:t> </w:t>
      </w:r>
      <w:r>
        <w:rPr>
          <w:rFonts w:ascii="Symbol" w:hAnsi="Symbol"/>
          <w:lang w:val="es-ES"/>
        </w:rPr>
        <w:t></w:t>
      </w:r>
      <w:r>
        <w:t> </w:t>
      </w:r>
      <w:r>
        <w:rPr>
          <w:rFonts w:hint="eastAsia"/>
        </w:rPr>
        <w:t>0</w:t>
      </w:r>
      <w:r>
        <w:t>,</w:t>
      </w:r>
      <w:r>
        <w:rPr>
          <w:rFonts w:hint="eastAsia"/>
        </w:rPr>
        <w:t>40052</w:t>
      </w:r>
      <w:r>
        <w:t> </w:t>
      </w:r>
      <w:r>
        <w:rPr>
          <w:rFonts w:ascii="Symbol" w:hAnsi="Symbol"/>
        </w:rPr>
        <w:t></w:t>
      </w:r>
      <w:r>
        <w:t> </w:t>
      </w:r>
      <w:r>
        <w:rPr>
          <w:rFonts w:hint="eastAsia"/>
        </w:rPr>
        <w:t>10</w:t>
      </w:r>
      <w:r>
        <w:rPr>
          <w:vertAlign w:val="superscript"/>
        </w:rPr>
        <w:t>–</w:t>
      </w:r>
      <w:r>
        <w:rPr>
          <w:rFonts w:hint="eastAsia"/>
          <w:vertAlign w:val="superscript"/>
        </w:rPr>
        <w:t>4</w:t>
      </w:r>
      <w:r>
        <w:t> </w:t>
      </w:r>
      <w:r>
        <w:sym w:font="Symbol" w:char="F071"/>
      </w:r>
      <w:r>
        <w:rPr>
          <w:rFonts w:hint="eastAsia"/>
          <w:vertAlign w:val="superscript"/>
        </w:rPr>
        <w:t>4</w:t>
      </w:r>
      <w:r>
        <w:t> –</w:t>
      </w:r>
      <w:r>
        <w:br/>
      </w:r>
      <w:r>
        <w:tab/>
      </w:r>
      <w:r>
        <w:tab/>
      </w:r>
      <w:r>
        <w:rPr>
          <w:rFonts w:hint="eastAsia"/>
        </w:rPr>
        <w:t>0</w:t>
      </w:r>
      <w:r>
        <w:t>,</w:t>
      </w:r>
      <w:r>
        <w:rPr>
          <w:rFonts w:hint="eastAsia"/>
        </w:rPr>
        <w:t>41231</w:t>
      </w:r>
      <w:r>
        <w:t> </w:t>
      </w:r>
      <w:r>
        <w:rPr>
          <w:rFonts w:ascii="Symbol" w:hAnsi="Symbol"/>
        </w:rPr>
        <w:t></w:t>
      </w:r>
      <w:r>
        <w:t> </w:t>
      </w:r>
      <w:r>
        <w:rPr>
          <w:rFonts w:hint="eastAsia"/>
        </w:rPr>
        <w:t>10</w:t>
      </w:r>
      <w:r>
        <w:rPr>
          <w:vertAlign w:val="superscript"/>
        </w:rPr>
        <w:t>–</w:t>
      </w:r>
      <w:r>
        <w:rPr>
          <w:rFonts w:hint="eastAsia"/>
          <w:vertAlign w:val="superscript"/>
        </w:rPr>
        <w:t>6</w:t>
      </w:r>
      <w:r>
        <w:t> </w:t>
      </w:r>
      <w:r>
        <w:sym w:font="Symbol" w:char="F071"/>
      </w:r>
      <w:r>
        <w:rPr>
          <w:rFonts w:hint="eastAsia"/>
          <w:vertAlign w:val="superscript"/>
        </w:rPr>
        <w:t>5</w:t>
      </w:r>
      <w:r>
        <w:t> </w:t>
      </w:r>
      <w:r>
        <w:rPr>
          <w:rFonts w:ascii="Symbol" w:hAnsi="Symbol"/>
          <w:lang w:val="es-ES"/>
        </w:rPr>
        <w:t></w:t>
      </w:r>
      <w:r>
        <w:t> </w:t>
      </w:r>
      <w:r>
        <w:rPr>
          <w:rFonts w:hint="eastAsia"/>
        </w:rPr>
        <w:t>0</w:t>
      </w:r>
      <w:r>
        <w:t>,</w:t>
      </w:r>
      <w:r>
        <w:rPr>
          <w:rFonts w:hint="eastAsia"/>
        </w:rPr>
        <w:t>15890</w:t>
      </w:r>
      <w:r>
        <w:t> </w:t>
      </w:r>
      <w:r>
        <w:rPr>
          <w:rFonts w:ascii="Symbol" w:hAnsi="Symbol"/>
        </w:rPr>
        <w:t></w:t>
      </w:r>
      <w:r>
        <w:t> </w:t>
      </w:r>
      <w:r>
        <w:rPr>
          <w:rFonts w:hint="eastAsia"/>
        </w:rPr>
        <w:t>10</w:t>
      </w:r>
      <w:r>
        <w:rPr>
          <w:vertAlign w:val="superscript"/>
        </w:rPr>
        <w:t>–</w:t>
      </w:r>
      <w:r>
        <w:rPr>
          <w:rFonts w:hint="eastAsia"/>
          <w:vertAlign w:val="superscript"/>
        </w:rPr>
        <w:t>8</w:t>
      </w:r>
      <w:r>
        <w:t> </w:t>
      </w:r>
      <w:r>
        <w:sym w:font="Symbol" w:char="F071"/>
      </w:r>
      <w:r>
        <w:rPr>
          <w:rFonts w:hint="eastAsia"/>
          <w:vertAlign w:val="superscript"/>
        </w:rPr>
        <w:t>6</w:t>
      </w:r>
      <w:r>
        <w:t> </w:t>
      </w:r>
      <w:r>
        <w:rPr>
          <w:rFonts w:ascii="Symbol" w:hAnsi="Symbol"/>
          <w:lang w:val="es-ES"/>
        </w:rPr>
        <w:t></w:t>
      </w:r>
      <w:r>
        <w:t> </w:t>
      </w:r>
      <w:r>
        <w:rPr>
          <w:rFonts w:hint="eastAsia"/>
          <w:i/>
        </w:rPr>
        <w:t>h</w:t>
      </w:r>
      <w:r>
        <w:t> </w:t>
      </w:r>
      <w:r>
        <w:rPr>
          <w:rFonts w:hint="eastAsia"/>
        </w:rPr>
        <w:t>(0</w:t>
      </w:r>
      <w:r>
        <w:t>,</w:t>
      </w:r>
      <w:r>
        <w:rPr>
          <w:rFonts w:hint="eastAsia"/>
        </w:rPr>
        <w:t>16591</w:t>
      </w:r>
      <w:r>
        <w:t> </w:t>
      </w:r>
      <w:r>
        <w:rPr>
          <w:rFonts w:ascii="Symbol" w:hAnsi="Symbol"/>
          <w:lang w:val="es-ES"/>
        </w:rPr>
        <w:t></w:t>
      </w:r>
      <w:r>
        <w:t> </w:t>
      </w:r>
      <w:r>
        <w:rPr>
          <w:rFonts w:hint="eastAsia"/>
        </w:rPr>
        <w:t>0</w:t>
      </w:r>
      <w:r>
        <w:t>,</w:t>
      </w:r>
      <w:r>
        <w:rPr>
          <w:rFonts w:hint="eastAsia"/>
        </w:rPr>
        <w:t>16486</w:t>
      </w:r>
      <w:r>
        <w:t> </w:t>
      </w:r>
      <w:r>
        <w:sym w:font="Symbol" w:char="F071"/>
      </w:r>
      <w:r>
        <w:t> </w:t>
      </w:r>
      <w:r>
        <w:rPr>
          <w:rFonts w:ascii="Symbol" w:hAnsi="Symbol"/>
          <w:lang w:val="es-ES"/>
        </w:rPr>
        <w:t></w:t>
      </w:r>
      <w:r>
        <w:br/>
      </w:r>
      <w:r>
        <w:tab/>
      </w:r>
      <w:r>
        <w:tab/>
      </w:r>
      <w:r>
        <w:rPr>
          <w:rFonts w:hint="eastAsia"/>
        </w:rPr>
        <w:t>0</w:t>
      </w:r>
      <w:r>
        <w:t>,</w:t>
      </w:r>
      <w:r>
        <w:rPr>
          <w:rFonts w:hint="eastAsia"/>
        </w:rPr>
        <w:t>0016442</w:t>
      </w:r>
      <w:r>
        <w:t> </w:t>
      </w:r>
      <w:r>
        <w:sym w:font="Symbol" w:char="F071"/>
      </w:r>
      <w:r>
        <w:rPr>
          <w:rFonts w:hint="eastAsia"/>
          <w:vertAlign w:val="superscript"/>
        </w:rPr>
        <w:t>2</w:t>
      </w:r>
      <w:r>
        <w:t> – </w:t>
      </w:r>
      <w:r>
        <w:rPr>
          <w:rFonts w:hint="eastAsia"/>
        </w:rPr>
        <w:t>0</w:t>
      </w:r>
      <w:r>
        <w:t>,</w:t>
      </w:r>
      <w:r>
        <w:rPr>
          <w:rFonts w:hint="eastAsia"/>
        </w:rPr>
        <w:t>26154</w:t>
      </w:r>
      <w:r>
        <w:t> </w:t>
      </w:r>
      <w:r>
        <w:rPr>
          <w:rFonts w:ascii="Symbol" w:hAnsi="Symbol"/>
        </w:rPr>
        <w:t></w:t>
      </w:r>
      <w:r>
        <w:t> </w:t>
      </w:r>
      <w:r>
        <w:rPr>
          <w:rFonts w:hint="eastAsia"/>
        </w:rPr>
        <w:t>10</w:t>
      </w:r>
      <w:r>
        <w:rPr>
          <w:vertAlign w:val="superscript"/>
        </w:rPr>
        <w:t>–</w:t>
      </w:r>
      <w:r>
        <w:rPr>
          <w:rFonts w:hint="eastAsia"/>
          <w:vertAlign w:val="superscript"/>
        </w:rPr>
        <w:t>4</w:t>
      </w:r>
      <w:r>
        <w:t> </w:t>
      </w:r>
      <w:r>
        <w:sym w:font="Symbol" w:char="F071"/>
      </w:r>
      <w:r>
        <w:rPr>
          <w:rFonts w:hint="eastAsia"/>
          <w:vertAlign w:val="superscript"/>
        </w:rPr>
        <w:t>3</w:t>
      </w:r>
      <w:r>
        <w:rPr>
          <w:rFonts w:hint="eastAsia"/>
        </w:rPr>
        <w:t>)</w:t>
      </w:r>
      <w:r>
        <w:t> </w:t>
      </w:r>
      <w:r>
        <w:rPr>
          <w:rFonts w:ascii="Symbol" w:hAnsi="Symbol"/>
          <w:lang w:val="es-ES"/>
        </w:rPr>
        <w:t></w:t>
      </w:r>
      <w:r>
        <w:t> </w:t>
      </w:r>
      <w:r>
        <w:rPr>
          <w:rFonts w:hint="eastAsia"/>
          <w:i/>
        </w:rPr>
        <w:t>h</w:t>
      </w:r>
      <w:r>
        <w:rPr>
          <w:rFonts w:hint="eastAsia"/>
          <w:vertAlign w:val="superscript"/>
        </w:rPr>
        <w:t>2</w:t>
      </w:r>
      <w:r>
        <w:t> </w:t>
      </w:r>
      <w:r>
        <w:rPr>
          <w:rFonts w:hint="eastAsia"/>
        </w:rPr>
        <w:t>(0</w:t>
      </w:r>
      <w:r>
        <w:t>,</w:t>
      </w:r>
      <w:r>
        <w:rPr>
          <w:rFonts w:hint="eastAsia"/>
        </w:rPr>
        <w:t>045789</w:t>
      </w:r>
      <w:r>
        <w:t> </w:t>
      </w:r>
      <w:r>
        <w:rPr>
          <w:rFonts w:ascii="Symbol" w:hAnsi="Symbol"/>
          <w:lang w:val="es-ES"/>
        </w:rPr>
        <w:t></w:t>
      </w:r>
      <w:r>
        <w:t> </w:t>
      </w:r>
      <w:r>
        <w:rPr>
          <w:rFonts w:hint="eastAsia"/>
        </w:rPr>
        <w:t>0</w:t>
      </w:r>
      <w:r>
        <w:t>,</w:t>
      </w:r>
      <w:r>
        <w:rPr>
          <w:rFonts w:hint="eastAsia"/>
        </w:rPr>
        <w:t>022061</w:t>
      </w:r>
      <w:r>
        <w:t> </w:t>
      </w:r>
      <w:r>
        <w:sym w:font="Symbol" w:char="F071"/>
      </w:r>
      <w:r>
        <w:rPr>
          <w:rFonts w:hint="eastAsia"/>
        </w:rPr>
        <w:t>)]</w:t>
      </w:r>
      <w:r>
        <w:tab/>
      </w:r>
      <w:r>
        <w:rPr>
          <w:rFonts w:hint="eastAsia"/>
        </w:rPr>
        <w:t>(11a)</w:t>
      </w:r>
    </w:p>
    <w:p w:rsidR="002B489A" w:rsidRDefault="004F19C4">
      <w:pPr>
        <w:pStyle w:val="Equation"/>
        <w:tabs>
          <w:tab w:val="clear" w:pos="794"/>
          <w:tab w:val="clear" w:pos="4820"/>
          <w:tab w:val="left" w:pos="540"/>
          <w:tab w:val="left" w:pos="1652"/>
        </w:tabs>
        <w:jc w:val="left"/>
      </w:pPr>
      <w:r>
        <w:rPr>
          <w:i/>
        </w:rPr>
        <w:tab/>
      </w:r>
      <w:r>
        <w:rPr>
          <w:rFonts w:hint="eastAsia"/>
          <w:i/>
        </w:rPr>
        <w:t>A</w:t>
      </w:r>
      <w:r>
        <w:rPr>
          <w:rFonts w:hint="eastAsia"/>
          <w:i/>
          <w:vertAlign w:val="subscript"/>
        </w:rPr>
        <w:t>M</w:t>
      </w:r>
      <w:r>
        <w:rPr>
          <w:i/>
          <w:vertAlign w:val="subscript"/>
        </w:rPr>
        <w:t> </w:t>
      </w:r>
      <w:r>
        <w:rPr>
          <w:rFonts w:hint="eastAsia"/>
        </w:rPr>
        <w:t>(</w:t>
      </w:r>
      <w:r>
        <w:rPr>
          <w:rFonts w:hint="eastAsia"/>
          <w:i/>
        </w:rPr>
        <w:t>h</w:t>
      </w:r>
      <w:r>
        <w:rPr>
          <w:rFonts w:hint="eastAsia"/>
        </w:rPr>
        <w:t xml:space="preserve">, </w:t>
      </w:r>
      <w:r>
        <w:rPr>
          <w:rFonts w:ascii="Symbol" w:hAnsi="Symbol"/>
        </w:rPr>
        <w:sym w:font="Symbol" w:char="F071"/>
      </w:r>
      <w:r>
        <w:rPr>
          <w:rFonts w:hint="eastAsia"/>
        </w:rPr>
        <w:t>)</w:t>
      </w:r>
      <w:r>
        <w:t> </w:t>
      </w:r>
      <w:r>
        <w:rPr>
          <w:rFonts w:ascii="Symbol" w:hAnsi="Symbol"/>
          <w:lang w:val="es-ES"/>
        </w:rPr>
        <w:t></w:t>
      </w:r>
      <w:r>
        <w:tab/>
      </w:r>
      <w:r>
        <w:rPr>
          <w:rFonts w:hint="eastAsia"/>
        </w:rPr>
        <w:t>243</w:t>
      </w:r>
      <w:r>
        <w:t>,</w:t>
      </w:r>
      <w:r>
        <w:rPr>
          <w:rFonts w:hint="eastAsia"/>
        </w:rPr>
        <w:t>8</w:t>
      </w:r>
      <w:r>
        <w:t> </w:t>
      </w:r>
      <w:r>
        <w:rPr>
          <w:rFonts w:hint="eastAsia"/>
        </w:rPr>
        <w:t>/</w:t>
      </w:r>
      <w:r>
        <w:t> </w:t>
      </w:r>
      <w:r>
        <w:rPr>
          <w:rFonts w:hint="eastAsia"/>
        </w:rPr>
        <w:t>[1</w:t>
      </w:r>
      <w:r>
        <w:t> </w:t>
      </w:r>
      <w:r>
        <w:rPr>
          <w:rFonts w:ascii="Symbol" w:hAnsi="Symbol"/>
          <w:lang w:val="en-US"/>
        </w:rPr>
        <w:t></w:t>
      </w:r>
      <w:r>
        <w:t> </w:t>
      </w:r>
      <w:r>
        <w:rPr>
          <w:rFonts w:hint="eastAsia"/>
        </w:rPr>
        <w:t>0</w:t>
      </w:r>
      <w:r>
        <w:t>,</w:t>
      </w:r>
      <w:r>
        <w:rPr>
          <w:rFonts w:hint="eastAsia"/>
        </w:rPr>
        <w:t>63597</w:t>
      </w:r>
      <w:r>
        <w:t> </w:t>
      </w:r>
      <w:r>
        <w:sym w:font="Symbol" w:char="F071"/>
      </w:r>
      <w:r>
        <w:t> </w:t>
      </w:r>
      <w:r>
        <w:rPr>
          <w:rFonts w:ascii="Symbol" w:hAnsi="Symbol"/>
          <w:lang w:val="en-US"/>
        </w:rPr>
        <w:t></w:t>
      </w:r>
      <w:r>
        <w:t> </w:t>
      </w:r>
      <w:r>
        <w:rPr>
          <w:rFonts w:hint="eastAsia"/>
        </w:rPr>
        <w:t>0</w:t>
      </w:r>
      <w:r>
        <w:t>,</w:t>
      </w:r>
      <w:r>
        <w:rPr>
          <w:rFonts w:hint="eastAsia"/>
        </w:rPr>
        <w:t>037426</w:t>
      </w:r>
      <w:r>
        <w:t> </w:t>
      </w:r>
      <w:r>
        <w:sym w:font="Symbol" w:char="F071"/>
      </w:r>
      <w:r>
        <w:rPr>
          <w:rFonts w:hint="eastAsia"/>
          <w:vertAlign w:val="superscript"/>
        </w:rPr>
        <w:t>2</w:t>
      </w:r>
      <w:r>
        <w:t> – </w:t>
      </w:r>
      <w:r>
        <w:rPr>
          <w:rFonts w:hint="eastAsia"/>
        </w:rPr>
        <w:t>0</w:t>
      </w:r>
      <w:r>
        <w:t>,</w:t>
      </w:r>
      <w:r>
        <w:rPr>
          <w:rFonts w:hint="eastAsia"/>
        </w:rPr>
        <w:t>0019080</w:t>
      </w:r>
      <w:r>
        <w:t> </w:t>
      </w:r>
      <w:r>
        <w:sym w:font="Symbol" w:char="F071"/>
      </w:r>
      <w:r>
        <w:rPr>
          <w:rFonts w:hint="eastAsia"/>
          <w:vertAlign w:val="superscript"/>
        </w:rPr>
        <w:t>3</w:t>
      </w:r>
      <w:r>
        <w:t> </w:t>
      </w:r>
      <w:r>
        <w:rPr>
          <w:rFonts w:ascii="Symbol" w:hAnsi="Symbol"/>
          <w:lang w:val="en-US"/>
        </w:rPr>
        <w:t></w:t>
      </w:r>
      <w:r>
        <w:t> </w:t>
      </w:r>
      <w:r>
        <w:rPr>
          <w:rFonts w:hint="eastAsia"/>
        </w:rPr>
        <w:t>0</w:t>
      </w:r>
      <w:r>
        <w:t>,</w:t>
      </w:r>
      <w:r>
        <w:rPr>
          <w:rFonts w:hint="eastAsia"/>
        </w:rPr>
        <w:t>41762</w:t>
      </w:r>
      <w:r>
        <w:t> </w:t>
      </w:r>
      <w:r>
        <w:rPr>
          <w:rFonts w:ascii="Symbol" w:hAnsi="Symbol"/>
        </w:rPr>
        <w:t></w:t>
      </w:r>
      <w:r>
        <w:t> </w:t>
      </w:r>
      <w:r>
        <w:rPr>
          <w:rFonts w:hint="eastAsia"/>
        </w:rPr>
        <w:t>10</w:t>
      </w:r>
      <w:r>
        <w:rPr>
          <w:vertAlign w:val="superscript"/>
        </w:rPr>
        <w:t>–</w:t>
      </w:r>
      <w:r>
        <w:rPr>
          <w:rFonts w:hint="eastAsia"/>
          <w:vertAlign w:val="superscript"/>
        </w:rPr>
        <w:t>4</w:t>
      </w:r>
      <w:r>
        <w:t> </w:t>
      </w:r>
      <w:r>
        <w:sym w:font="Symbol" w:char="F071"/>
      </w:r>
      <w:r>
        <w:rPr>
          <w:rFonts w:hint="eastAsia"/>
          <w:vertAlign w:val="superscript"/>
        </w:rPr>
        <w:t>4</w:t>
      </w:r>
      <w:r>
        <w:t> –</w:t>
      </w:r>
      <w:r>
        <w:br/>
      </w:r>
      <w:r>
        <w:tab/>
      </w:r>
      <w:r>
        <w:tab/>
      </w:r>
      <w:r>
        <w:rPr>
          <w:rFonts w:hint="eastAsia"/>
        </w:rPr>
        <w:t>0</w:t>
      </w:r>
      <w:r>
        <w:t>,</w:t>
      </w:r>
      <w:r>
        <w:rPr>
          <w:rFonts w:hint="eastAsia"/>
        </w:rPr>
        <w:t>42823</w:t>
      </w:r>
      <w:r>
        <w:t> </w:t>
      </w:r>
      <w:r>
        <w:rPr>
          <w:rFonts w:ascii="Symbol" w:hAnsi="Symbol"/>
        </w:rPr>
        <w:t></w:t>
      </w:r>
      <w:r>
        <w:t> </w:t>
      </w:r>
      <w:r>
        <w:rPr>
          <w:rFonts w:hint="eastAsia"/>
        </w:rPr>
        <w:t>10</w:t>
      </w:r>
      <w:r>
        <w:rPr>
          <w:vertAlign w:val="superscript"/>
        </w:rPr>
        <w:t>–</w:t>
      </w:r>
      <w:r>
        <w:rPr>
          <w:rFonts w:hint="eastAsia"/>
          <w:vertAlign w:val="superscript"/>
        </w:rPr>
        <w:t>6</w:t>
      </w:r>
      <w:r>
        <w:t> </w:t>
      </w:r>
      <w:r>
        <w:sym w:font="Symbol" w:char="F071"/>
      </w:r>
      <w:r>
        <w:rPr>
          <w:rFonts w:hint="eastAsia"/>
          <w:vertAlign w:val="superscript"/>
        </w:rPr>
        <w:t>5</w:t>
      </w:r>
      <w:r>
        <w:t> </w:t>
      </w:r>
      <w:r>
        <w:rPr>
          <w:rFonts w:ascii="Symbol" w:hAnsi="Symbol"/>
          <w:lang w:val="en-US"/>
        </w:rPr>
        <w:t></w:t>
      </w:r>
      <w:r>
        <w:t> </w:t>
      </w:r>
      <w:r>
        <w:rPr>
          <w:rFonts w:hint="eastAsia"/>
        </w:rPr>
        <w:t>0</w:t>
      </w:r>
      <w:r>
        <w:t>,</w:t>
      </w:r>
      <w:r>
        <w:rPr>
          <w:rFonts w:hint="eastAsia"/>
        </w:rPr>
        <w:t>16431</w:t>
      </w:r>
      <w:r>
        <w:t> </w:t>
      </w:r>
      <w:r>
        <w:rPr>
          <w:rFonts w:ascii="Symbol" w:hAnsi="Symbol"/>
        </w:rPr>
        <w:t></w:t>
      </w:r>
      <w:r>
        <w:t> </w:t>
      </w:r>
      <w:r>
        <w:rPr>
          <w:rFonts w:hint="eastAsia"/>
        </w:rPr>
        <w:t>10</w:t>
      </w:r>
      <w:r>
        <w:rPr>
          <w:vertAlign w:val="superscript"/>
        </w:rPr>
        <w:t>–</w:t>
      </w:r>
      <w:r>
        <w:rPr>
          <w:rFonts w:hint="eastAsia"/>
          <w:vertAlign w:val="superscript"/>
        </w:rPr>
        <w:t>8</w:t>
      </w:r>
      <w:r>
        <w:t> </w:t>
      </w:r>
      <w:r>
        <w:sym w:font="Symbol" w:char="F071"/>
      </w:r>
      <w:r>
        <w:rPr>
          <w:rFonts w:hint="eastAsia"/>
          <w:vertAlign w:val="superscript"/>
        </w:rPr>
        <w:t>6</w:t>
      </w:r>
      <w:r>
        <w:t> </w:t>
      </w:r>
      <w:r>
        <w:rPr>
          <w:rFonts w:ascii="Symbol" w:hAnsi="Symbol"/>
          <w:lang w:val="en-US"/>
        </w:rPr>
        <w:t></w:t>
      </w:r>
      <w:r>
        <w:t> </w:t>
      </w:r>
      <w:r>
        <w:rPr>
          <w:rFonts w:hint="eastAsia"/>
          <w:i/>
        </w:rPr>
        <w:t>h</w:t>
      </w:r>
      <w:r>
        <w:t> </w:t>
      </w:r>
      <w:r>
        <w:rPr>
          <w:rFonts w:hint="eastAsia"/>
        </w:rPr>
        <w:t>(0</w:t>
      </w:r>
      <w:r>
        <w:t>,</w:t>
      </w:r>
      <w:r>
        <w:rPr>
          <w:rFonts w:hint="eastAsia"/>
        </w:rPr>
        <w:t>17376</w:t>
      </w:r>
      <w:r>
        <w:t> </w:t>
      </w:r>
      <w:r>
        <w:rPr>
          <w:rFonts w:ascii="Symbol" w:hAnsi="Symbol"/>
          <w:lang w:val="en-US"/>
        </w:rPr>
        <w:t></w:t>
      </w:r>
      <w:r>
        <w:t> </w:t>
      </w:r>
      <w:r>
        <w:rPr>
          <w:rFonts w:hint="eastAsia"/>
        </w:rPr>
        <w:t>0</w:t>
      </w:r>
      <w:r>
        <w:t>,</w:t>
      </w:r>
      <w:r>
        <w:rPr>
          <w:rFonts w:hint="eastAsia"/>
        </w:rPr>
        <w:t>18234</w:t>
      </w:r>
      <w:r>
        <w:t> </w:t>
      </w:r>
      <w:r>
        <w:sym w:font="Symbol" w:char="F071"/>
      </w:r>
      <w:r>
        <w:t> </w:t>
      </w:r>
      <w:r>
        <w:rPr>
          <w:rFonts w:ascii="Symbol" w:hAnsi="Symbol"/>
          <w:lang w:val="es-ES"/>
        </w:rPr>
        <w:t></w:t>
      </w:r>
      <w:r>
        <w:br/>
      </w:r>
      <w:r>
        <w:tab/>
      </w:r>
      <w:r>
        <w:tab/>
      </w:r>
      <w:r>
        <w:rPr>
          <w:rFonts w:hint="eastAsia"/>
        </w:rPr>
        <w:t>0</w:t>
      </w:r>
      <w:r>
        <w:t>,</w:t>
      </w:r>
      <w:r>
        <w:rPr>
          <w:rFonts w:hint="eastAsia"/>
        </w:rPr>
        <w:t>0018276</w:t>
      </w:r>
      <w:r>
        <w:t> </w:t>
      </w:r>
      <w:r>
        <w:sym w:font="Symbol" w:char="F071"/>
      </w:r>
      <w:r>
        <w:rPr>
          <w:rFonts w:hint="eastAsia"/>
          <w:vertAlign w:val="superscript"/>
        </w:rPr>
        <w:t>2</w:t>
      </w:r>
      <w:r>
        <w:t> – </w:t>
      </w:r>
      <w:r>
        <w:rPr>
          <w:rFonts w:hint="eastAsia"/>
        </w:rPr>
        <w:t>0</w:t>
      </w:r>
      <w:r>
        <w:t>,</w:t>
      </w:r>
      <w:r>
        <w:rPr>
          <w:rFonts w:hint="eastAsia"/>
        </w:rPr>
        <w:t>29487</w:t>
      </w:r>
      <w:r>
        <w:t> </w:t>
      </w:r>
      <w:r>
        <w:rPr>
          <w:rFonts w:ascii="Symbol" w:hAnsi="Symbol"/>
        </w:rPr>
        <w:t></w:t>
      </w:r>
      <w:r>
        <w:t> </w:t>
      </w:r>
      <w:r>
        <w:rPr>
          <w:rFonts w:hint="eastAsia"/>
        </w:rPr>
        <w:t>10</w:t>
      </w:r>
      <w:r>
        <w:rPr>
          <w:vertAlign w:val="superscript"/>
        </w:rPr>
        <w:t>–</w:t>
      </w:r>
      <w:r>
        <w:rPr>
          <w:rFonts w:hint="eastAsia"/>
          <w:vertAlign w:val="superscript"/>
        </w:rPr>
        <w:t>4</w:t>
      </w:r>
      <w:r>
        <w:t> </w:t>
      </w:r>
      <w:r>
        <w:sym w:font="Symbol" w:char="F071"/>
      </w:r>
      <w:r>
        <w:rPr>
          <w:rFonts w:hint="eastAsia"/>
          <w:vertAlign w:val="superscript"/>
        </w:rPr>
        <w:t>3</w:t>
      </w:r>
      <w:r>
        <w:rPr>
          <w:rFonts w:hint="eastAsia"/>
        </w:rPr>
        <w:t>)</w:t>
      </w:r>
      <w:r>
        <w:t> </w:t>
      </w:r>
      <w:r>
        <w:rPr>
          <w:rFonts w:ascii="Symbol" w:hAnsi="Symbol"/>
          <w:lang w:val="en-US"/>
        </w:rPr>
        <w:t></w:t>
      </w:r>
      <w:r>
        <w:t> </w:t>
      </w:r>
      <w:r>
        <w:rPr>
          <w:rFonts w:hint="eastAsia"/>
          <w:i/>
        </w:rPr>
        <w:t>h</w:t>
      </w:r>
      <w:r>
        <w:rPr>
          <w:rFonts w:hint="eastAsia"/>
          <w:vertAlign w:val="superscript"/>
        </w:rPr>
        <w:t>2</w:t>
      </w:r>
      <w:r>
        <w:t> </w:t>
      </w:r>
      <w:r>
        <w:rPr>
          <w:rFonts w:hint="eastAsia"/>
        </w:rPr>
        <w:t>(0</w:t>
      </w:r>
      <w:r>
        <w:t>,</w:t>
      </w:r>
      <w:r>
        <w:rPr>
          <w:rFonts w:hint="eastAsia"/>
        </w:rPr>
        <w:t>053692</w:t>
      </w:r>
      <w:r>
        <w:t> </w:t>
      </w:r>
      <w:r>
        <w:rPr>
          <w:rFonts w:ascii="Symbol" w:hAnsi="Symbol"/>
          <w:lang w:val="en-US"/>
        </w:rPr>
        <w:t></w:t>
      </w:r>
      <w:r>
        <w:t> </w:t>
      </w:r>
      <w:r>
        <w:rPr>
          <w:rFonts w:hint="eastAsia"/>
        </w:rPr>
        <w:t>0</w:t>
      </w:r>
      <w:r>
        <w:t>,</w:t>
      </w:r>
      <w:r>
        <w:rPr>
          <w:rFonts w:hint="eastAsia"/>
        </w:rPr>
        <w:t>028670</w:t>
      </w:r>
      <w:r>
        <w:t> </w:t>
      </w:r>
      <w:r>
        <w:sym w:font="Symbol" w:char="F071"/>
      </w:r>
      <w:r>
        <w:rPr>
          <w:rFonts w:hint="eastAsia"/>
        </w:rPr>
        <w:t>)]</w:t>
      </w:r>
      <w:r>
        <w:tab/>
      </w:r>
      <w:r>
        <w:rPr>
          <w:rFonts w:hint="eastAsia"/>
        </w:rPr>
        <w:t>(11b)</w:t>
      </w:r>
    </w:p>
    <w:p w:rsidR="002B489A" w:rsidRDefault="004F19C4">
      <w:pPr>
        <w:pStyle w:val="Equation"/>
        <w:tabs>
          <w:tab w:val="clear" w:pos="794"/>
          <w:tab w:val="clear" w:pos="4820"/>
          <w:tab w:val="left" w:pos="540"/>
          <w:tab w:val="left" w:pos="1652"/>
        </w:tabs>
        <w:jc w:val="left"/>
      </w:pPr>
      <w:r>
        <w:rPr>
          <w:i/>
        </w:rPr>
        <w:tab/>
      </w:r>
      <w:r>
        <w:rPr>
          <w:rFonts w:hint="eastAsia"/>
          <w:i/>
        </w:rPr>
        <w:t>A</w:t>
      </w:r>
      <w:r>
        <w:rPr>
          <w:rFonts w:hint="eastAsia"/>
          <w:i/>
          <w:vertAlign w:val="subscript"/>
        </w:rPr>
        <w:t>H</w:t>
      </w:r>
      <w:r>
        <w:rPr>
          <w:i/>
          <w:vertAlign w:val="subscript"/>
        </w:rPr>
        <w:t> </w:t>
      </w:r>
      <w:r>
        <w:rPr>
          <w:rFonts w:hint="eastAsia"/>
        </w:rPr>
        <w:t>(</w:t>
      </w:r>
      <w:r>
        <w:rPr>
          <w:rFonts w:hint="eastAsia"/>
          <w:i/>
        </w:rPr>
        <w:t>h</w:t>
      </w:r>
      <w:r>
        <w:rPr>
          <w:rFonts w:hint="eastAsia"/>
        </w:rPr>
        <w:t xml:space="preserve">, </w:t>
      </w:r>
      <w:r>
        <w:rPr>
          <w:rFonts w:ascii="Symbol" w:hAnsi="Symbol"/>
        </w:rPr>
        <w:sym w:font="Symbol" w:char="F071"/>
      </w:r>
      <w:r>
        <w:rPr>
          <w:rFonts w:hint="eastAsia"/>
        </w:rPr>
        <w:t>)</w:t>
      </w:r>
      <w:r>
        <w:t> </w:t>
      </w:r>
      <w:r>
        <w:rPr>
          <w:rFonts w:ascii="Symbol" w:hAnsi="Symbol"/>
          <w:lang w:val="es-ES"/>
        </w:rPr>
        <w:t></w:t>
      </w:r>
      <w:r>
        <w:tab/>
      </w:r>
      <w:r>
        <w:rPr>
          <w:rFonts w:hint="eastAsia"/>
        </w:rPr>
        <w:t>249</w:t>
      </w:r>
      <w:r>
        <w:t>,</w:t>
      </w:r>
      <w:r>
        <w:rPr>
          <w:rFonts w:hint="eastAsia"/>
        </w:rPr>
        <w:t>9</w:t>
      </w:r>
      <w:r>
        <w:t> </w:t>
      </w:r>
      <w:r>
        <w:rPr>
          <w:rFonts w:hint="eastAsia"/>
        </w:rPr>
        <w:t>/</w:t>
      </w:r>
      <w:r>
        <w:t> </w:t>
      </w:r>
      <w:r>
        <w:rPr>
          <w:rFonts w:hint="eastAsia"/>
        </w:rPr>
        <w:t>[1</w:t>
      </w:r>
      <w:r>
        <w:t> </w:t>
      </w:r>
      <w:r>
        <w:rPr>
          <w:rFonts w:ascii="Symbol" w:hAnsi="Symbol"/>
          <w:lang w:val="en-US"/>
        </w:rPr>
        <w:t></w:t>
      </w:r>
      <w:r>
        <w:t> </w:t>
      </w:r>
      <w:r>
        <w:rPr>
          <w:rFonts w:hint="eastAsia"/>
        </w:rPr>
        <w:t>0</w:t>
      </w:r>
      <w:r>
        <w:t>,</w:t>
      </w:r>
      <w:r>
        <w:rPr>
          <w:rFonts w:hint="eastAsia"/>
        </w:rPr>
        <w:t>64303</w:t>
      </w:r>
      <w:r>
        <w:t> </w:t>
      </w:r>
      <w:r>
        <w:sym w:font="Symbol" w:char="F071"/>
      </w:r>
      <w:r>
        <w:t> </w:t>
      </w:r>
      <w:r>
        <w:rPr>
          <w:rFonts w:ascii="Symbol" w:hAnsi="Symbol"/>
          <w:lang w:val="en-US"/>
        </w:rPr>
        <w:t></w:t>
      </w:r>
      <w:r>
        <w:t> </w:t>
      </w:r>
      <w:r>
        <w:rPr>
          <w:rFonts w:hint="eastAsia"/>
        </w:rPr>
        <w:t>0</w:t>
      </w:r>
      <w:r>
        <w:t>,</w:t>
      </w:r>
      <w:r>
        <w:rPr>
          <w:rFonts w:hint="eastAsia"/>
        </w:rPr>
        <w:t>038850</w:t>
      </w:r>
      <w:r>
        <w:t> </w:t>
      </w:r>
      <w:r>
        <w:sym w:font="Symbol" w:char="F071"/>
      </w:r>
      <w:r>
        <w:rPr>
          <w:rFonts w:hint="eastAsia"/>
          <w:vertAlign w:val="superscript"/>
        </w:rPr>
        <w:t>2</w:t>
      </w:r>
      <w:r>
        <w:t> – </w:t>
      </w:r>
      <w:r>
        <w:rPr>
          <w:rFonts w:hint="eastAsia"/>
        </w:rPr>
        <w:t>0</w:t>
      </w:r>
      <w:r>
        <w:t>,</w:t>
      </w:r>
      <w:r>
        <w:rPr>
          <w:rFonts w:hint="eastAsia"/>
        </w:rPr>
        <w:t>0019901</w:t>
      </w:r>
      <w:r>
        <w:t> </w:t>
      </w:r>
      <w:r>
        <w:sym w:font="Symbol" w:char="F071"/>
      </w:r>
      <w:r>
        <w:rPr>
          <w:rFonts w:hint="eastAsia"/>
          <w:vertAlign w:val="superscript"/>
        </w:rPr>
        <w:t>3</w:t>
      </w:r>
      <w:r>
        <w:t> </w:t>
      </w:r>
      <w:r>
        <w:rPr>
          <w:rFonts w:ascii="Symbol" w:hAnsi="Symbol"/>
          <w:lang w:val="en-US"/>
        </w:rPr>
        <w:t></w:t>
      </w:r>
      <w:r>
        <w:t> </w:t>
      </w:r>
      <w:r>
        <w:rPr>
          <w:rFonts w:hint="eastAsia"/>
        </w:rPr>
        <w:t>0</w:t>
      </w:r>
      <w:r>
        <w:t>,</w:t>
      </w:r>
      <w:r>
        <w:rPr>
          <w:rFonts w:hint="eastAsia"/>
        </w:rPr>
        <w:t>43669</w:t>
      </w:r>
      <w:r>
        <w:t> </w:t>
      </w:r>
      <w:r>
        <w:rPr>
          <w:rFonts w:ascii="Symbol" w:hAnsi="Symbol"/>
        </w:rPr>
        <w:t></w:t>
      </w:r>
      <w:r>
        <w:t> </w:t>
      </w:r>
      <w:r>
        <w:rPr>
          <w:rFonts w:hint="eastAsia"/>
        </w:rPr>
        <w:t>10</w:t>
      </w:r>
      <w:r>
        <w:rPr>
          <w:vertAlign w:val="superscript"/>
        </w:rPr>
        <w:t>–</w:t>
      </w:r>
      <w:r>
        <w:rPr>
          <w:rFonts w:hint="eastAsia"/>
          <w:vertAlign w:val="superscript"/>
        </w:rPr>
        <w:t>4</w:t>
      </w:r>
      <w:r>
        <w:t> </w:t>
      </w:r>
      <w:r>
        <w:sym w:font="Symbol" w:char="F071"/>
      </w:r>
      <w:r>
        <w:rPr>
          <w:rFonts w:hint="eastAsia"/>
          <w:vertAlign w:val="superscript"/>
        </w:rPr>
        <w:t>4</w:t>
      </w:r>
      <w:r>
        <w:t> –</w:t>
      </w:r>
      <w:r>
        <w:br/>
      </w:r>
      <w:r>
        <w:tab/>
      </w:r>
      <w:r>
        <w:tab/>
      </w:r>
      <w:r>
        <w:rPr>
          <w:rFonts w:hint="eastAsia"/>
        </w:rPr>
        <w:t>0</w:t>
      </w:r>
      <w:r>
        <w:t>,</w:t>
      </w:r>
      <w:r>
        <w:rPr>
          <w:rFonts w:hint="eastAsia"/>
        </w:rPr>
        <w:t>44802</w:t>
      </w:r>
      <w:r>
        <w:t> </w:t>
      </w:r>
      <w:r>
        <w:rPr>
          <w:rFonts w:ascii="Symbol" w:hAnsi="Symbol"/>
        </w:rPr>
        <w:t></w:t>
      </w:r>
      <w:r>
        <w:t> </w:t>
      </w:r>
      <w:r>
        <w:rPr>
          <w:rFonts w:hint="eastAsia"/>
        </w:rPr>
        <w:t>10</w:t>
      </w:r>
      <w:r>
        <w:rPr>
          <w:vertAlign w:val="superscript"/>
        </w:rPr>
        <w:t>–</w:t>
      </w:r>
      <w:r>
        <w:rPr>
          <w:rFonts w:hint="eastAsia"/>
          <w:vertAlign w:val="superscript"/>
        </w:rPr>
        <w:t>6</w:t>
      </w:r>
      <w:r>
        <w:t> </w:t>
      </w:r>
      <w:r>
        <w:sym w:font="Symbol" w:char="F071"/>
      </w:r>
      <w:r>
        <w:rPr>
          <w:rFonts w:hint="eastAsia"/>
          <w:vertAlign w:val="superscript"/>
        </w:rPr>
        <w:t>5</w:t>
      </w:r>
      <w:r>
        <w:t> </w:t>
      </w:r>
      <w:r>
        <w:rPr>
          <w:rFonts w:ascii="Symbol" w:hAnsi="Symbol"/>
          <w:lang w:val="en-US"/>
        </w:rPr>
        <w:t></w:t>
      </w:r>
      <w:r>
        <w:t> </w:t>
      </w:r>
      <w:r>
        <w:rPr>
          <w:rFonts w:hint="eastAsia"/>
        </w:rPr>
        <w:t>0</w:t>
      </w:r>
      <w:r>
        <w:t>,</w:t>
      </w:r>
      <w:r>
        <w:rPr>
          <w:rFonts w:hint="eastAsia"/>
        </w:rPr>
        <w:t>17189</w:t>
      </w:r>
      <w:r>
        <w:t> </w:t>
      </w:r>
      <w:r>
        <w:rPr>
          <w:rFonts w:ascii="Symbol" w:hAnsi="Symbol"/>
        </w:rPr>
        <w:t></w:t>
      </w:r>
      <w:r>
        <w:t> </w:t>
      </w:r>
      <w:r>
        <w:rPr>
          <w:rFonts w:hint="eastAsia"/>
        </w:rPr>
        <w:t>10</w:t>
      </w:r>
      <w:r>
        <w:rPr>
          <w:vertAlign w:val="superscript"/>
        </w:rPr>
        <w:t>–</w:t>
      </w:r>
      <w:r>
        <w:rPr>
          <w:rFonts w:hint="eastAsia"/>
          <w:vertAlign w:val="superscript"/>
        </w:rPr>
        <w:t>8</w:t>
      </w:r>
      <w:r>
        <w:t> </w:t>
      </w:r>
      <w:r>
        <w:sym w:font="Symbol" w:char="F071"/>
      </w:r>
      <w:r>
        <w:rPr>
          <w:rFonts w:hint="eastAsia"/>
          <w:vertAlign w:val="superscript"/>
        </w:rPr>
        <w:t>6</w:t>
      </w:r>
      <w:r>
        <w:t> </w:t>
      </w:r>
      <w:r>
        <w:rPr>
          <w:rFonts w:ascii="Symbol" w:hAnsi="Symbol"/>
          <w:lang w:val="en-US"/>
        </w:rPr>
        <w:t></w:t>
      </w:r>
      <w:r>
        <w:t> </w:t>
      </w:r>
      <w:r>
        <w:rPr>
          <w:rFonts w:hint="eastAsia"/>
          <w:i/>
        </w:rPr>
        <w:t>h</w:t>
      </w:r>
      <w:r>
        <w:t> </w:t>
      </w:r>
      <w:r>
        <w:rPr>
          <w:rFonts w:hint="eastAsia"/>
        </w:rPr>
        <w:t>(0</w:t>
      </w:r>
      <w:r>
        <w:t>,</w:t>
      </w:r>
      <w:r>
        <w:rPr>
          <w:rFonts w:hint="eastAsia"/>
        </w:rPr>
        <w:t>18620</w:t>
      </w:r>
      <w:r>
        <w:t> </w:t>
      </w:r>
      <w:r>
        <w:rPr>
          <w:rFonts w:ascii="Symbol" w:hAnsi="Symbol"/>
          <w:lang w:val="en-US"/>
        </w:rPr>
        <w:t></w:t>
      </w:r>
      <w:r>
        <w:t> </w:t>
      </w:r>
      <w:r>
        <w:rPr>
          <w:rFonts w:hint="eastAsia"/>
        </w:rPr>
        <w:t>0</w:t>
      </w:r>
      <w:r>
        <w:t>,</w:t>
      </w:r>
      <w:r>
        <w:rPr>
          <w:rFonts w:hint="eastAsia"/>
        </w:rPr>
        <w:t>18810</w:t>
      </w:r>
      <w:r>
        <w:t> </w:t>
      </w:r>
      <w:r>
        <w:sym w:font="Symbol" w:char="F071"/>
      </w:r>
      <w:r>
        <w:t> </w:t>
      </w:r>
      <w:r>
        <w:rPr>
          <w:rFonts w:ascii="Symbol" w:hAnsi="Symbol"/>
          <w:lang w:val="en-US"/>
        </w:rPr>
        <w:t></w:t>
      </w:r>
      <w:r>
        <w:br/>
      </w:r>
      <w:r>
        <w:tab/>
      </w:r>
      <w:r>
        <w:tab/>
      </w:r>
      <w:r>
        <w:rPr>
          <w:rFonts w:hint="eastAsia"/>
        </w:rPr>
        <w:t>0</w:t>
      </w:r>
      <w:r>
        <w:t>,</w:t>
      </w:r>
      <w:r>
        <w:rPr>
          <w:rFonts w:hint="eastAsia"/>
        </w:rPr>
        <w:t>0019179</w:t>
      </w:r>
      <w:r>
        <w:t> </w:t>
      </w:r>
      <w:r>
        <w:sym w:font="Symbol" w:char="F071"/>
      </w:r>
      <w:r>
        <w:rPr>
          <w:rFonts w:hint="eastAsia"/>
          <w:vertAlign w:val="superscript"/>
        </w:rPr>
        <w:t>2</w:t>
      </w:r>
      <w:r>
        <w:t> – </w:t>
      </w:r>
      <w:r>
        <w:rPr>
          <w:rFonts w:hint="eastAsia"/>
        </w:rPr>
        <w:t>0</w:t>
      </w:r>
      <w:r>
        <w:t>,</w:t>
      </w:r>
      <w:r>
        <w:rPr>
          <w:rFonts w:hint="eastAsia"/>
        </w:rPr>
        <w:t>31541</w:t>
      </w:r>
      <w:r>
        <w:t> </w:t>
      </w:r>
      <w:r>
        <w:rPr>
          <w:rFonts w:ascii="Symbol" w:hAnsi="Symbol"/>
        </w:rPr>
        <w:t></w:t>
      </w:r>
      <w:r>
        <w:t> </w:t>
      </w:r>
      <w:r>
        <w:rPr>
          <w:rFonts w:hint="eastAsia"/>
        </w:rPr>
        <w:t>10</w:t>
      </w:r>
      <w:r>
        <w:rPr>
          <w:vertAlign w:val="superscript"/>
        </w:rPr>
        <w:t>–</w:t>
      </w:r>
      <w:r>
        <w:rPr>
          <w:rFonts w:hint="eastAsia"/>
          <w:vertAlign w:val="superscript"/>
        </w:rPr>
        <w:t>4</w:t>
      </w:r>
      <w:r>
        <w:t> </w:t>
      </w:r>
      <w:r>
        <w:sym w:font="Symbol" w:char="F071"/>
      </w:r>
      <w:r>
        <w:rPr>
          <w:rFonts w:hint="eastAsia"/>
          <w:vertAlign w:val="superscript"/>
        </w:rPr>
        <w:t>3</w:t>
      </w:r>
      <w:r>
        <w:rPr>
          <w:rFonts w:hint="eastAsia"/>
        </w:rPr>
        <w:t>)</w:t>
      </w:r>
      <w:r>
        <w:t> </w:t>
      </w:r>
      <w:r>
        <w:rPr>
          <w:rFonts w:ascii="Symbol" w:hAnsi="Symbol"/>
          <w:lang w:val="en-US"/>
        </w:rPr>
        <w:t></w:t>
      </w:r>
      <w:r>
        <w:t> </w:t>
      </w:r>
      <w:r>
        <w:rPr>
          <w:rFonts w:hint="eastAsia"/>
          <w:i/>
        </w:rPr>
        <w:t>h</w:t>
      </w:r>
      <w:r>
        <w:rPr>
          <w:rFonts w:hint="eastAsia"/>
          <w:vertAlign w:val="superscript"/>
        </w:rPr>
        <w:t>2</w:t>
      </w:r>
      <w:r>
        <w:t> </w:t>
      </w:r>
      <w:r>
        <w:rPr>
          <w:rFonts w:hint="eastAsia"/>
        </w:rPr>
        <w:t>(0</w:t>
      </w:r>
      <w:r>
        <w:t>,</w:t>
      </w:r>
      <w:r>
        <w:rPr>
          <w:rFonts w:hint="eastAsia"/>
        </w:rPr>
        <w:t>052809</w:t>
      </w:r>
      <w:r>
        <w:t> </w:t>
      </w:r>
      <w:r>
        <w:rPr>
          <w:rFonts w:ascii="Symbol" w:hAnsi="Symbol"/>
          <w:lang w:val="en-US"/>
        </w:rPr>
        <w:t></w:t>
      </w:r>
      <w:r>
        <w:t> </w:t>
      </w:r>
      <w:r>
        <w:rPr>
          <w:rFonts w:hint="eastAsia"/>
        </w:rPr>
        <w:t>0</w:t>
      </w:r>
      <w:r>
        <w:t>,</w:t>
      </w:r>
      <w:r>
        <w:rPr>
          <w:rFonts w:hint="eastAsia"/>
        </w:rPr>
        <w:t>030444</w:t>
      </w:r>
      <w:r>
        <w:t> </w:t>
      </w:r>
      <w:r>
        <w:sym w:font="Symbol" w:char="F071"/>
      </w:r>
      <w:r>
        <w:rPr>
          <w:rFonts w:hint="eastAsia"/>
        </w:rPr>
        <w:t>)]</w:t>
      </w:r>
      <w:r>
        <w:tab/>
      </w:r>
      <w:r>
        <w:rPr>
          <w:rFonts w:hint="eastAsia"/>
        </w:rPr>
        <w:t>(11c)</w:t>
      </w:r>
    </w:p>
    <w:p w:rsidR="002B489A" w:rsidRDefault="002B489A">
      <w:pPr>
        <w:rPr>
          <w:lang w:eastAsia="ja-JP"/>
        </w:rPr>
      </w:pPr>
    </w:p>
    <w:p w:rsidR="002B489A" w:rsidRDefault="004F19C4">
      <w:pPr>
        <w:pStyle w:val="Note"/>
        <w:rPr>
          <w:lang w:eastAsia="ja-JP"/>
        </w:rPr>
      </w:pPr>
      <w:r>
        <w:rPr>
          <w:rFonts w:ascii="Times" w:hAnsi="Times" w:hint="eastAsia"/>
          <w:bCs/>
          <w:caps/>
          <w:lang w:eastAsia="ja-JP"/>
        </w:rPr>
        <w:t>Note</w:t>
      </w:r>
      <w:r>
        <w:rPr>
          <w:rFonts w:ascii="Times" w:hAnsi="Times"/>
          <w:bCs/>
          <w:caps/>
          <w:lang w:eastAsia="ja-JP"/>
        </w:rPr>
        <w:t> 1 –</w:t>
      </w:r>
      <w:r>
        <w:rPr>
          <w:rFonts w:ascii="Times" w:hAnsi="Times"/>
          <w:lang w:eastAsia="ja-JP"/>
        </w:rPr>
        <w:t xml:space="preserve"> Si l'affaiblissement de </w:t>
      </w:r>
      <w:r>
        <w:rPr>
          <w:rFonts w:hint="eastAsia"/>
          <w:lang w:eastAsia="ja-JP"/>
        </w:rPr>
        <w:t xml:space="preserve">propagation </w:t>
      </w:r>
      <w:r>
        <w:rPr>
          <w:lang w:eastAsia="ja-JP"/>
        </w:rPr>
        <w:t>est réellement calculé et inclus dans chaque analyse de</w:t>
      </w:r>
      <w:r>
        <w:rPr>
          <w:rFonts w:hint="eastAsia"/>
          <w:lang w:eastAsia="ja-JP"/>
        </w:rPr>
        <w:t xml:space="preserve"> compatibilit</w:t>
      </w:r>
      <w:r>
        <w:rPr>
          <w:lang w:eastAsia="ja-JP"/>
        </w:rPr>
        <w:t>é où l'affaiblissement de p</w:t>
      </w:r>
      <w:r>
        <w:rPr>
          <w:rFonts w:hint="eastAsia"/>
          <w:lang w:eastAsia="ja-JP"/>
        </w:rPr>
        <w:t xml:space="preserve">ropagation </w:t>
      </w:r>
      <w:r>
        <w:rPr>
          <w:lang w:eastAsia="ja-JP"/>
        </w:rPr>
        <w:t>n'a pas été pris en</w:t>
      </w:r>
      <w:r>
        <w:rPr>
          <w:rFonts w:hint="eastAsia"/>
          <w:lang w:eastAsia="ja-JP"/>
        </w:rPr>
        <w:t xml:space="preserve"> consid</w:t>
      </w:r>
      <w:r>
        <w:rPr>
          <w:lang w:eastAsia="ja-JP"/>
        </w:rPr>
        <w:t>ération</w:t>
      </w:r>
      <w:r>
        <w:rPr>
          <w:rFonts w:hint="eastAsia"/>
          <w:lang w:eastAsia="ja-JP"/>
        </w:rPr>
        <w:t>, i</w:t>
      </w:r>
      <w:r>
        <w:rPr>
          <w:lang w:eastAsia="ja-JP"/>
        </w:rPr>
        <w:t>l</w:t>
      </w:r>
      <w:r>
        <w:rPr>
          <w:rFonts w:hint="eastAsia"/>
          <w:lang w:eastAsia="ja-JP"/>
        </w:rPr>
        <w:t xml:space="preserve"> </w:t>
      </w:r>
      <w:r>
        <w:rPr>
          <w:lang w:eastAsia="ja-JP"/>
        </w:rPr>
        <w:t>e</w:t>
      </w:r>
      <w:r>
        <w:rPr>
          <w:rFonts w:hint="eastAsia"/>
          <w:lang w:eastAsia="ja-JP"/>
        </w:rPr>
        <w:t>s</w:t>
      </w:r>
      <w:r>
        <w:rPr>
          <w:lang w:eastAsia="ja-JP"/>
        </w:rPr>
        <w:t>t</w:t>
      </w:r>
      <w:r>
        <w:rPr>
          <w:rFonts w:hint="eastAsia"/>
          <w:lang w:eastAsia="ja-JP"/>
        </w:rPr>
        <w:t xml:space="preserve"> possible </w:t>
      </w:r>
      <w:r>
        <w:rPr>
          <w:lang w:eastAsia="ja-JP"/>
        </w:rPr>
        <w:t>que les</w:t>
      </w:r>
      <w:r>
        <w:rPr>
          <w:rFonts w:hint="eastAsia"/>
          <w:lang w:eastAsia="ja-JP"/>
        </w:rPr>
        <w:t xml:space="preserve"> r</w:t>
      </w:r>
      <w:r>
        <w:rPr>
          <w:lang w:eastAsia="ja-JP"/>
        </w:rPr>
        <w:t>é</w:t>
      </w:r>
      <w:r>
        <w:rPr>
          <w:rFonts w:hint="eastAsia"/>
          <w:lang w:eastAsia="ja-JP"/>
        </w:rPr>
        <w:t>sult</w:t>
      </w:r>
      <w:r>
        <w:rPr>
          <w:lang w:eastAsia="ja-JP"/>
        </w:rPr>
        <w:t>at</w:t>
      </w:r>
      <w:r>
        <w:rPr>
          <w:rFonts w:hint="eastAsia"/>
          <w:lang w:eastAsia="ja-JP"/>
        </w:rPr>
        <w:t xml:space="preserve">s </w:t>
      </w:r>
      <w:r>
        <w:rPr>
          <w:lang w:eastAsia="ja-JP"/>
        </w:rPr>
        <w:t>de l'analyse d</w:t>
      </w:r>
      <w:r>
        <w:rPr>
          <w:rFonts w:hint="eastAsia"/>
          <w:lang w:eastAsia="ja-JP"/>
        </w:rPr>
        <w:t>e compatibilit</w:t>
      </w:r>
      <w:r>
        <w:rPr>
          <w:lang w:eastAsia="ja-JP"/>
        </w:rPr>
        <w:t>é changent légèrement</w:t>
      </w:r>
      <w:r>
        <w:rPr>
          <w:rFonts w:hint="eastAsia"/>
          <w:lang w:eastAsia="ja-JP"/>
        </w:rPr>
        <w:t xml:space="preserve">. </w:t>
      </w:r>
      <w:r>
        <w:rPr>
          <w:lang w:eastAsia="ja-JP"/>
        </w:rPr>
        <w:t>Les</w:t>
      </w:r>
      <w:r>
        <w:rPr>
          <w:rFonts w:hint="eastAsia"/>
          <w:lang w:eastAsia="ja-JP"/>
        </w:rPr>
        <w:t xml:space="preserve"> </w:t>
      </w:r>
      <w:r>
        <w:rPr>
          <w:lang w:eastAsia="ja-JP"/>
        </w:rPr>
        <w:t>c</w:t>
      </w:r>
      <w:r>
        <w:rPr>
          <w:rFonts w:hint="eastAsia"/>
          <w:lang w:eastAsia="ja-JP"/>
        </w:rPr>
        <w:t>alcul</w:t>
      </w:r>
      <w:r>
        <w:rPr>
          <w:lang w:eastAsia="ja-JP"/>
        </w:rPr>
        <w:t xml:space="preserve">s d'affaiblissement de la </w:t>
      </w:r>
      <w:r>
        <w:rPr>
          <w:rFonts w:hint="eastAsia"/>
          <w:lang w:eastAsia="ja-JP"/>
        </w:rPr>
        <w:t xml:space="preserve">propagation </w:t>
      </w:r>
      <w:r>
        <w:rPr>
          <w:lang w:eastAsia="ja-JP"/>
        </w:rPr>
        <w:t>Terre vers espace ne sont, bien sûr</w:t>
      </w:r>
      <w:r>
        <w:rPr>
          <w:rFonts w:hint="eastAsia"/>
          <w:lang w:eastAsia="ja-JP"/>
        </w:rPr>
        <w:t xml:space="preserve">, </w:t>
      </w:r>
      <w:r>
        <w:rPr>
          <w:lang w:eastAsia="ja-JP"/>
        </w:rPr>
        <w:t xml:space="preserve">pas </w:t>
      </w:r>
      <w:r>
        <w:rPr>
          <w:rFonts w:hint="eastAsia"/>
          <w:lang w:eastAsia="ja-JP"/>
        </w:rPr>
        <w:t>n</w:t>
      </w:r>
      <w:r>
        <w:rPr>
          <w:lang w:eastAsia="ja-JP"/>
        </w:rPr>
        <w:t>é</w:t>
      </w:r>
      <w:r>
        <w:rPr>
          <w:rFonts w:hint="eastAsia"/>
          <w:lang w:eastAsia="ja-JP"/>
        </w:rPr>
        <w:t>cessa</w:t>
      </w:r>
      <w:r>
        <w:rPr>
          <w:lang w:eastAsia="ja-JP"/>
        </w:rPr>
        <w:t>i</w:t>
      </w:r>
      <w:r>
        <w:rPr>
          <w:rFonts w:hint="eastAsia"/>
          <w:lang w:eastAsia="ja-JP"/>
        </w:rPr>
        <w:t>r</w:t>
      </w:r>
      <w:r>
        <w:rPr>
          <w:lang w:eastAsia="ja-JP"/>
        </w:rPr>
        <w:t>es entre deux stations terriennes et entre deux stations spatiales, mais le sont entre stations terriennes e</w:t>
      </w:r>
      <w:r>
        <w:rPr>
          <w:rFonts w:hint="eastAsia"/>
          <w:lang w:eastAsia="ja-JP"/>
        </w:rPr>
        <w:t>t</w:t>
      </w:r>
      <w:r>
        <w:rPr>
          <w:lang w:eastAsia="ja-JP"/>
        </w:rPr>
        <w:t xml:space="preserve"> spatiales</w:t>
      </w:r>
      <w:r>
        <w:rPr>
          <w:rFonts w:hint="eastAsia"/>
          <w:lang w:eastAsia="ja-JP"/>
        </w:rPr>
        <w:t xml:space="preserve">. </w:t>
      </w:r>
      <w:r>
        <w:rPr>
          <w:lang w:eastAsia="ja-JP"/>
        </w:rPr>
        <w:t>Dans ce dernier cas</w:t>
      </w:r>
      <w:r>
        <w:rPr>
          <w:rFonts w:hint="eastAsia"/>
          <w:lang w:eastAsia="ja-JP"/>
        </w:rPr>
        <w:t xml:space="preserve">, </w:t>
      </w:r>
      <w:r>
        <w:rPr>
          <w:lang w:eastAsia="ja-JP"/>
        </w:rPr>
        <w:t>l'</w:t>
      </w:r>
      <w:r>
        <w:rPr>
          <w:rFonts w:hint="eastAsia"/>
          <w:lang w:eastAsia="ja-JP"/>
        </w:rPr>
        <w:t xml:space="preserve">effet </w:t>
      </w:r>
      <w:r>
        <w:rPr>
          <w:lang w:eastAsia="ja-JP"/>
        </w:rPr>
        <w:t>de l'</w:t>
      </w:r>
      <w:r>
        <w:rPr>
          <w:rFonts w:hint="eastAsia"/>
          <w:lang w:eastAsia="ja-JP"/>
        </w:rPr>
        <w:t>affaiblissement</w:t>
      </w:r>
      <w:r>
        <w:rPr>
          <w:lang w:eastAsia="ja-JP"/>
        </w:rPr>
        <w:t xml:space="preserve"> e</w:t>
      </w:r>
      <w:r>
        <w:rPr>
          <w:rFonts w:hint="eastAsia"/>
          <w:lang w:eastAsia="ja-JP"/>
        </w:rPr>
        <w:t>s</w:t>
      </w:r>
      <w:r>
        <w:rPr>
          <w:lang w:eastAsia="ja-JP"/>
        </w:rPr>
        <w:t xml:space="preserve">t assez faible pour des </w:t>
      </w:r>
      <w:r>
        <w:rPr>
          <w:rFonts w:hint="eastAsia"/>
          <w:lang w:eastAsia="ja-JP"/>
        </w:rPr>
        <w:t>angles</w:t>
      </w:r>
      <w:r>
        <w:rPr>
          <w:lang w:eastAsia="ja-JP"/>
        </w:rPr>
        <w:t xml:space="preserve"> d'élévation importants</w:t>
      </w:r>
      <w:r>
        <w:rPr>
          <w:rFonts w:hint="eastAsia"/>
          <w:lang w:eastAsia="ja-JP"/>
        </w:rPr>
        <w:t xml:space="preserve">, </w:t>
      </w:r>
      <w:r>
        <w:rPr>
          <w:lang w:eastAsia="ja-JP"/>
        </w:rPr>
        <w:t>mais l'</w:t>
      </w:r>
      <w:r>
        <w:rPr>
          <w:rFonts w:hint="eastAsia"/>
          <w:lang w:eastAsia="ja-JP"/>
        </w:rPr>
        <w:t xml:space="preserve">effet </w:t>
      </w:r>
      <w:r>
        <w:rPr>
          <w:lang w:eastAsia="ja-JP"/>
        </w:rPr>
        <w:t>e</w:t>
      </w:r>
      <w:r>
        <w:rPr>
          <w:rFonts w:hint="eastAsia"/>
          <w:lang w:eastAsia="ja-JP"/>
        </w:rPr>
        <w:t>s</w:t>
      </w:r>
      <w:r>
        <w:rPr>
          <w:lang w:eastAsia="ja-JP"/>
        </w:rPr>
        <w:t>t</w:t>
      </w:r>
      <w:r>
        <w:rPr>
          <w:rFonts w:hint="eastAsia"/>
          <w:lang w:eastAsia="ja-JP"/>
        </w:rPr>
        <w:t xml:space="preserve"> relative</w:t>
      </w:r>
      <w:r>
        <w:rPr>
          <w:lang w:eastAsia="ja-JP"/>
        </w:rPr>
        <w:t>ment important pour des angles d'élévation faibles. Des études complémentaires seront nécessaires dans l'avenir pour le cas des faibles angles d'élévation</w:t>
      </w:r>
      <w:r>
        <w:rPr>
          <w:rFonts w:hint="eastAsia"/>
          <w:lang w:eastAsia="ja-JP"/>
        </w:rPr>
        <w:t>.</w:t>
      </w:r>
    </w:p>
    <w:p w:rsidR="002B489A" w:rsidRDefault="004F19C4">
      <w:pPr>
        <w:pStyle w:val="Heading1"/>
      </w:pPr>
      <w:r>
        <w:rPr>
          <w:lang w:eastAsia="ja-JP"/>
        </w:rPr>
        <w:br w:type="page"/>
        <w:t>4</w:t>
      </w:r>
      <w:r>
        <w:rPr>
          <w:lang w:eastAsia="ja-JP"/>
        </w:rPr>
        <w:tab/>
        <w:t>Note sur le coefficient de réflexion</w:t>
      </w:r>
    </w:p>
    <w:p w:rsidR="002B489A" w:rsidRDefault="004F19C4">
      <w:r>
        <w:t xml:space="preserve">Une forme de puissance brouilleuse dans les bandes passives du SETS provient des rayonnements non désirés de la liaison descendante du SFS qui sont réfléchis vers le haut à partir de la surface de la Terre vers un détecteur proche du SETS. Pour les fréquences dans les 10 à 20 GHz, cette énergie réfléchie a une composante de variation dans le temps significative. Les réflexions par ce mode contribuent au cas le plus défavorable de brouillage qu'on puisse attendre. D'autres modes de réflexion existent aussi. Ils surviendront plus fréquemment mais à un niveau moindre. La Recommandation UIT-R </w:t>
      </w:r>
      <w:r>
        <w:rPr>
          <w:bCs/>
        </w:rPr>
        <w:t>SA.1449</w:t>
      </w:r>
      <w:r>
        <w:t xml:space="preserve"> décrit un modèle pour le coefficient de réflexion qui peut être utilisé comme base du développement d'un modèle de coefficient de réflexion applicable à ces études. Des travaux ultérieurs sont prévus au sein de l'UIT-R pour développer un modèle de dispersion bistatique des hyperfréquences pour l'évaluation des brouillages en utilisant cette approche.</w:t>
      </w:r>
    </w:p>
    <w:p w:rsidR="002B489A" w:rsidRDefault="002B489A"/>
    <w:p w:rsidR="002B489A" w:rsidRDefault="002B489A"/>
    <w:p w:rsidR="002B489A" w:rsidRDefault="004F19C4">
      <w:pPr>
        <w:pStyle w:val="AnnexNoTitle"/>
      </w:pPr>
      <w:r>
        <w:t>Annexe 2</w:t>
      </w:r>
      <w:r>
        <w:br/>
      </w:r>
      <w:r>
        <w:br/>
        <w:t xml:space="preserve">Analyse de compatibilité entre systèmes du SRA fonctionnant dans </w:t>
      </w:r>
      <w:r>
        <w:br/>
        <w:t>la bande 1</w:t>
      </w:r>
      <w:r>
        <w:rPr>
          <w:rFonts w:ascii="Tms Rmn" w:hAnsi="Tms Rmn"/>
          <w:sz w:val="12"/>
        </w:rPr>
        <w:t> </w:t>
      </w:r>
      <w:r>
        <w:t>400-1</w:t>
      </w:r>
      <w:r>
        <w:rPr>
          <w:rFonts w:ascii="Tms Rmn" w:hAnsi="Tms Rmn"/>
          <w:sz w:val="12"/>
        </w:rPr>
        <w:t> </w:t>
      </w:r>
      <w:r>
        <w:t xml:space="preserve">427 MHz et systèmes du SRS (espace vers Terre) </w:t>
      </w:r>
      <w:r>
        <w:br/>
        <w:t>fonctionnant dans la bande 1</w:t>
      </w:r>
      <w:r>
        <w:rPr>
          <w:rFonts w:ascii="Tms Rmn" w:hAnsi="Tms Rmn"/>
          <w:sz w:val="12"/>
        </w:rPr>
        <w:t> </w:t>
      </w:r>
      <w:r>
        <w:t>452-1</w:t>
      </w:r>
      <w:r>
        <w:rPr>
          <w:rFonts w:ascii="Tms Rmn" w:hAnsi="Tms Rmn"/>
          <w:sz w:val="12"/>
        </w:rPr>
        <w:t> </w:t>
      </w:r>
      <w:r>
        <w:t xml:space="preserve">492 MHz </w:t>
      </w:r>
    </w:p>
    <w:p w:rsidR="002B489A" w:rsidRDefault="004F19C4">
      <w:pPr>
        <w:pStyle w:val="Heading1"/>
      </w:pPr>
      <w:r>
        <w:t>1</w:t>
      </w:r>
      <w:r>
        <w:tab/>
        <w:t>SRA</w:t>
      </w:r>
    </w:p>
    <w:p w:rsidR="002B489A" w:rsidRDefault="004F19C4">
      <w:pPr>
        <w:pStyle w:val="Heading2"/>
      </w:pPr>
      <w:r>
        <w:t>1.1</w:t>
      </w:r>
      <w:r>
        <w:tab/>
        <w:t>Bande attribuée</w:t>
      </w:r>
    </w:p>
    <w:p w:rsidR="002B489A" w:rsidRDefault="004F19C4">
      <w:r>
        <w:t>La bande 1</w:t>
      </w:r>
      <w:r>
        <w:rPr>
          <w:rFonts w:ascii="Tms Rmn" w:hAnsi="Tms Rmn"/>
          <w:sz w:val="12"/>
        </w:rPr>
        <w:t> </w:t>
      </w:r>
      <w:r>
        <w:t>400-1</w:t>
      </w:r>
      <w:r>
        <w:rPr>
          <w:rFonts w:ascii="Tms Rmn" w:hAnsi="Tms Rmn"/>
          <w:sz w:val="12"/>
        </w:rPr>
        <w:t> </w:t>
      </w:r>
      <w:r>
        <w:t>427 MHz est attribuée uniquement à des services passifs, à titre primaire, à savoir, le SRA, le SETS (passive) et le service de recherche spatiale (passive).</w:t>
      </w:r>
    </w:p>
    <w:p w:rsidR="002B489A" w:rsidRDefault="004F19C4">
      <w:r>
        <w:t xml:space="preserve">Le </w:t>
      </w:r>
      <w:r>
        <w:rPr>
          <w:bCs/>
        </w:rPr>
        <w:t>numéro 5.340</w:t>
      </w:r>
      <w:r>
        <w:t xml:space="preserve"> du RR interdit toutes les émissions dans cette bande.</w:t>
      </w:r>
    </w:p>
    <w:p w:rsidR="002B489A" w:rsidRDefault="004F19C4">
      <w:pPr>
        <w:pStyle w:val="Heading2"/>
      </w:pPr>
      <w:r>
        <w:t>1.2</w:t>
      </w:r>
      <w:r>
        <w:tab/>
        <w:t>Type d'observations</w:t>
      </w:r>
    </w:p>
    <w:p w:rsidR="002B489A" w:rsidRDefault="004F19C4">
      <w:r>
        <w:t>La bande 1</w:t>
      </w:r>
      <w:r>
        <w:rPr>
          <w:rFonts w:ascii="Tms Rmn" w:hAnsi="Tms Rmn"/>
          <w:sz w:val="12"/>
        </w:rPr>
        <w:t> </w:t>
      </w:r>
      <w:r>
        <w:t>400-1</w:t>
      </w:r>
      <w:r>
        <w:rPr>
          <w:rFonts w:ascii="Tms Rmn" w:hAnsi="Tms Rmn"/>
          <w:sz w:val="12"/>
        </w:rPr>
        <w:t> </w:t>
      </w:r>
      <w:r>
        <w:t>427 MHz est utilisée plus intensément que toute autre dans toutes les Régions de l'UIT-R. La principale utilisation radioastronomique de cette bande est de faire des observations de raies spectrales d'atomes d'hydrogène neutre dans le cosmos (désigné aussi par HI), qui a une fréquence de repos de 1</w:t>
      </w:r>
      <w:r>
        <w:rPr>
          <w:rFonts w:ascii="Tms Rmn" w:hAnsi="Tms Rmn"/>
          <w:sz w:val="12"/>
        </w:rPr>
        <w:t> </w:t>
      </w:r>
      <w:r>
        <w:t>420,406 MHz. Cet élément est de loin le principal constituant de notre galaxie et des autres galaxies, et il intervient dans d'énormes nuages de structure complexe. Cette raie est observée à la fois en émission et en absorption, et elle est élargie et déplacée en fréquence par des effets Doppler dus à des mouvements locaux et en masse dans les structures de nuages. Par conséquent, les observations de HI peuvent être utilisées pour cartographier la distribution de la matière et de ses mouvements dans notre galaxie et dans les autres. De cette façon, nous pouvons cartographier la structure de notre galaxie, et la façon dont bouge la matière.</w:t>
      </w:r>
    </w:p>
    <w:p w:rsidR="002B489A" w:rsidRDefault="004F19C4">
      <w:r>
        <w:t>L'attribution 1</w:t>
      </w:r>
      <w:r>
        <w:rPr>
          <w:rFonts w:ascii="Tms Rmn" w:hAnsi="Tms Rmn"/>
          <w:sz w:val="12"/>
        </w:rPr>
        <w:t> </w:t>
      </w:r>
      <w:r>
        <w:t>400-1</w:t>
      </w:r>
      <w:r>
        <w:rPr>
          <w:rFonts w:ascii="Tms Rmn" w:hAnsi="Tms Rmn"/>
          <w:sz w:val="12"/>
        </w:rPr>
        <w:t> </w:t>
      </w:r>
      <w:r>
        <w:t>427 MHz est suffisamment large pour englober les émissions d'effets Doppler provenant des nuages dans notre galaxie et dans les galaxies voisines. Les mesures de la polarisation de l'émission ou de l'absorption de HI donnent d'importantes informations sur les champs magnétiques galactiques et permettent donc d'accroître notre compréhension de la structure des galaxies.</w:t>
      </w:r>
    </w:p>
    <w:p w:rsidR="002B489A" w:rsidRDefault="004F19C4">
      <w:r>
        <w:br w:type="page"/>
        <w:t>La bande 1</w:t>
      </w:r>
      <w:r>
        <w:rPr>
          <w:rFonts w:ascii="Tms Rmn" w:hAnsi="Tms Rmn"/>
          <w:sz w:val="12"/>
        </w:rPr>
        <w:t> </w:t>
      </w:r>
      <w:r>
        <w:t>400-1</w:t>
      </w:r>
      <w:r>
        <w:rPr>
          <w:rFonts w:ascii="Tms Rmn" w:hAnsi="Tms Rmn"/>
          <w:sz w:val="12"/>
        </w:rPr>
        <w:t> </w:t>
      </w:r>
      <w:r>
        <w:t>427 MHz est aussi utilisée pour des observations du continuum des émissions large bande produites par les plasmas chauds formés lorsque les étoiles chauffent les nuages qui les entourent, et par l'interaction d'électrons à haute énergie dans le champ magnétique galactique (rayonnement synchrotron).</w:t>
      </w:r>
    </w:p>
    <w:p w:rsidR="002B489A" w:rsidRDefault="004F19C4">
      <w:pPr>
        <w:pStyle w:val="Heading2"/>
      </w:pPr>
      <w:r>
        <w:t>1.3</w:t>
      </w:r>
      <w:r>
        <w:tab/>
        <w:t>Critères de protection requis</w:t>
      </w:r>
    </w:p>
    <w:p w:rsidR="002B489A" w:rsidRDefault="004F19C4">
      <w:r>
        <w:t>Les niveaux de seuil de brouillage nuisible pour les observations radioastronomiques sont donnés dans la Recommandation UIT-R</w:t>
      </w:r>
      <w:r>
        <w:rPr>
          <w:b/>
        </w:rPr>
        <w:t xml:space="preserve"> </w:t>
      </w:r>
      <w:r>
        <w:rPr>
          <w:bCs/>
        </w:rPr>
        <w:t>RA.769</w:t>
      </w:r>
      <w:r>
        <w:t>, qui donne la liste des niveaux de rayonnements non désirés qui augmenteront de 10% l'erreur de mesure. La bande est utilisée à la fois pour les observations de raies spectrales et pour celles du continuum. Dans la bande 1</w:t>
      </w:r>
      <w:r>
        <w:rPr>
          <w:rFonts w:ascii="Tms Rmn" w:hAnsi="Tms Rmn"/>
          <w:sz w:val="12"/>
        </w:rPr>
        <w:t> </w:t>
      </w:r>
      <w:r>
        <w:t>400-1</w:t>
      </w:r>
      <w:r>
        <w:rPr>
          <w:rFonts w:ascii="Tms Rmn" w:hAnsi="Tms Rmn"/>
          <w:sz w:val="12"/>
        </w:rPr>
        <w:t> </w:t>
      </w:r>
      <w:r>
        <w:t>427 MHz, pour des observations de raies spectrales avec une seule antenne parabolique faites en utilisant une largeur de bande de canal (un des canaux du spectroscope) de 20 kHz, la limite de la puissance surfacique du seuil est –196 dB(W/m</w:t>
      </w:r>
      <w:r>
        <w:rPr>
          <w:rFonts w:ascii="Times" w:hAnsi="Times"/>
          <w:spacing w:val="-2"/>
          <w:vertAlign w:val="superscript"/>
        </w:rPr>
        <w:t>2</w:t>
      </w:r>
      <w:r>
        <w:rPr>
          <w:rFonts w:ascii="Times" w:hAnsi="Times"/>
          <w:spacing w:val="-2"/>
        </w:rPr>
        <w:t>)</w:t>
      </w:r>
      <w:r>
        <w:t>. Pour faire des observations du continuum avec une seule antenne parabolique, on utilise la totalité de la largeur de bande de 27 MHz, auquel cas la limite de la puissance surfacique du seuil pour les brouillages gênants est –180 dB(W/m</w:t>
      </w:r>
      <w:r>
        <w:rPr>
          <w:vertAlign w:val="superscript"/>
        </w:rPr>
        <w:t>2</w:t>
      </w:r>
      <w:r>
        <w:t>).</w:t>
      </w:r>
    </w:p>
    <w:p w:rsidR="002B489A" w:rsidRDefault="004F19C4">
      <w:r>
        <w:t xml:space="preserve">Les observations par interférométrie à très grande ligne de base (VLBI, </w:t>
      </w:r>
      <w:r>
        <w:rPr>
          <w:i/>
          <w:iCs/>
        </w:rPr>
        <w:t>very long baseline interferometry</w:t>
      </w:r>
      <w:r>
        <w:t>), pour lesquelles les signaux provenant d'antennes largement écartées les unes des autres sont enregistrés et corrélés après les observations, sont beaucoup moins vulnérables au brouillage. Ceci est reflété dans le niveau de la puissance surfacique du seuil pour les observations VLBI dans cette bande, –166 dB(W/m</w:t>
      </w:r>
      <w:r>
        <w:rPr>
          <w:rFonts w:ascii="Times" w:hAnsi="Times"/>
          <w:spacing w:val="-2"/>
          <w:vertAlign w:val="superscript"/>
        </w:rPr>
        <w:t>2</w:t>
      </w:r>
      <w:r>
        <w:rPr>
          <w:rFonts w:ascii="Times" w:hAnsi="Times"/>
          <w:spacing w:val="-2"/>
        </w:rPr>
        <w:t>), pour une largeur de bande de 20 kHz.</w:t>
      </w:r>
    </w:p>
    <w:p w:rsidR="002B489A" w:rsidRDefault="004F19C4">
      <w:pPr>
        <w:pStyle w:val="enumlev1"/>
        <w:ind w:left="0" w:firstLine="0"/>
      </w:pPr>
      <w:r>
        <w:t xml:space="preserve">Les seuils des niveaux de brouillage nuisible pour le SRA, tels que définis et calculés dans la Recommandation UIT-R </w:t>
      </w:r>
      <w:r>
        <w:rPr>
          <w:bCs/>
        </w:rPr>
        <w:t>RA.769</w:t>
      </w:r>
      <w:r>
        <w:rPr>
          <w:b/>
        </w:rPr>
        <w:t>,</w:t>
      </w:r>
      <w:r>
        <w:t xml:space="preserve"> sont des critères de protection au-dessus desquels les données de radioastronomie sont dégradées et peuvent même finalement être détruites. En principe, dans des circonstances idéales, si ces niveaux sont très légèrement dépassés, l'observatoire de radioastronomie peut compenser en accroissant le temps d'observation. Ce faisant, la capacité de canal du télescope est réduite, avec une réduction correspondante du débit des données scientifiques. Si le niveau de brouillage, avec les hypothèses de la Recommandation UIT-R </w:t>
      </w:r>
      <w:r>
        <w:rPr>
          <w:bCs/>
        </w:rPr>
        <w:t>RA.769</w:t>
      </w:r>
      <w:r>
        <w:t xml:space="preserve"> (par exemple, les performances d'antenne, etc.), passe à 10 dB ou plus au-dessus de la définition de la Recommandation UIT-R </w:t>
      </w:r>
      <w:r>
        <w:rPr>
          <w:bCs/>
        </w:rPr>
        <w:t>RA.769</w:t>
      </w:r>
      <w:r>
        <w:t>, l'augmentation du temps d'observation ne permettra alors plus de garantir que des données scientifiques valables sont fournies aux scientifiques. La station de radioastronomie sera incapable de fonctionner dans la bande de fréquences affectée, et sa capacité à fournir le service aura été perdue si des techniques de réduction des brouillages ne peuvent être appliquées.</w:t>
      </w:r>
    </w:p>
    <w:p w:rsidR="002B489A" w:rsidRDefault="004F19C4">
      <w:pPr>
        <w:pStyle w:val="Heading2"/>
      </w:pPr>
      <w:r>
        <w:t>1.4</w:t>
      </w:r>
      <w:r>
        <w:tab/>
        <w:t>Caractéristiques de fonctionnement</w:t>
      </w:r>
    </w:p>
    <w:p w:rsidR="002B489A" w:rsidRDefault="004F19C4">
      <w:r>
        <w:t>La bande 1</w:t>
      </w:r>
      <w:r>
        <w:rPr>
          <w:rFonts w:ascii="Tms Rmn" w:hAnsi="Tms Rmn"/>
          <w:sz w:val="12"/>
        </w:rPr>
        <w:t> </w:t>
      </w:r>
      <w:r>
        <w:t>400-1</w:t>
      </w:r>
      <w:r>
        <w:rPr>
          <w:rFonts w:ascii="Tms Rmn" w:hAnsi="Tms Rmn"/>
          <w:sz w:val="12"/>
        </w:rPr>
        <w:t> </w:t>
      </w:r>
      <w:r>
        <w:t xml:space="preserve">427 MHz est celle qui est la plus intensément utilisée de toutes les bandes de radioastronomie. Elle est utilisée dans le monde entier, dans toutes les Régions de l'UIT, et certains radiotélescopes, comme le Radiotélescope de synthèse de l'Observatoire de radioastrophysique du Dominion (DRAO, </w:t>
      </w:r>
      <w:r>
        <w:rPr>
          <w:i/>
          <w:iCs/>
        </w:rPr>
        <w:t>Dominion Radio Astrophysical observatory</w:t>
      </w:r>
      <w:r>
        <w:t>) de Penticton (Canada), observent en permanence dans cette bande. Des radiotélescopes à une seule antenne sont utilisés pour mesurer la densité spectrale de puissance surfacique intégrée de sources de petit diamètre angulaire et pour cartographier les structures de grande taille angulaire qui ne peuvent être cartographiées à l'aide des télescopes de synthèse.</w:t>
      </w:r>
    </w:p>
    <w:p w:rsidR="002B489A" w:rsidRDefault="004F19C4">
      <w:r>
        <w:t xml:space="preserve">La plus forte résolution angulaire offerte par les télescopes de synthèse permet de cartographier la structure la plus fine des nuages d'hydrogène et des sources d'émissions continues, comme les restes de supernova. Ces cartes sont alors combinées avec les cartes à plus faible résolution obtenues en utilisant des radiotélescopes à antenne unique pour faire des images en trois dimensions de haute </w:t>
      </w:r>
      <w:r>
        <w:br w:type="page"/>
        <w:t>qualité de notre galaxie ou des autres. Les radiotélescopes de synthèse, qui utilisent des dispositifs multiantennes, peuvent nécessiter de une à douze durées d'exposition de 12 h pour faire une cartographie complète d'une zone stellaire. Pour faciliter la cartographie de structures de sources relativement grandes, certains radiotélescopes de synthèse, comme l'instrument DRAO, utilisent des dispositifs de relativement petites antennes. Les instruments de cette sorte ne disposent pas de l'option de suppression de lobe latéral optimum et sont donc plus vulnérables aux brouillages.</w:t>
      </w:r>
    </w:p>
    <w:p w:rsidR="002B489A" w:rsidRDefault="004F19C4">
      <w:r>
        <w:t>Les observations de raies spectrales sont faites en utilisant des spectromètres multicanaux qui peuvent intégrer simultanément la puissance de nombreux (typiquement de 256 à 4</w:t>
      </w:r>
      <w:r>
        <w:rPr>
          <w:rFonts w:ascii="Tms Rmn" w:hAnsi="Tms Rmn"/>
          <w:sz w:val="12"/>
        </w:rPr>
        <w:t> </w:t>
      </w:r>
      <w:r>
        <w:t>096) canaux de fréquences distribués sur la bande. Le nombre de canaux et leurs largeurs de bande individuelles sont choisis pour échantillonner de façon adéquate le spectre du rayonnement net du ou des nuages d'hydrogène sur le faisceau de l'antenne.</w:t>
      </w:r>
    </w:p>
    <w:p w:rsidR="002B489A" w:rsidRDefault="004F19C4">
      <w:r>
        <w:t>En général, les observations sont faites de façon différentielle. Dans le cas d'émissions du continuum, la zone du ciel contenant la source peut être cartographiée et le rayonnement de fond peut être soustrait, ou on peut faire des mesures de la puissance venant de la direction de la source (à la source) et à une ou plusieurs des positions voisines dans le ciel (hors source). En soustrayant les valeurs hors source des valeurs à la source, les rayonnements ayant leur origine à la source sont séparés des autres contributions à la sortie du récepteur.</w:t>
      </w:r>
    </w:p>
    <w:p w:rsidR="002B489A" w:rsidRDefault="004F19C4">
      <w:r>
        <w:t>Dans le cas d'observations de raies spectrales, les spectres sont enregistrés sur les gammes de fréquences y compris les rayonnements de raies présentant un intérêt (les spectres de raies), et donc à une fréquence qui est la reproduction des rayonnements des raies, ou à la même fréquence mais à une position voisine dans le ciel (le spectre de référence). En soustrayant le spectre de référence du spectre de raie, les contributions de bruit brouilleuses et les autres produits polluant peuvent être retirés des données.</w:t>
      </w:r>
    </w:p>
    <w:p w:rsidR="002B489A" w:rsidRDefault="004F19C4">
      <w:r>
        <w:t>Dans la mesure où la galaxie est remplie de nuages d'hydrogène neutre, les radiotélescopes ne détectent pas que les rayonnements ou l'absorption par les nuages dans le faisceau principal de l'antenne, mais aussi une contribution très significative par les lobes latéraux de l'antenne. Ce «rayonnement parasite» crée une distorsion du spectre et réduit les détails de la carte. Retirer cela des données implique des mesures à grande échelle sur la totalité du faisceau de l'antenne (dans la mesure du possible), et l'estimation de la correction du rayonnement parasite. Les brouillages et les grandes zones «bloquées» du ciel vont donc affecter la capacité à cartographier de grands angles de parties du ciel à partir des sources de brouillage.</w:t>
      </w:r>
    </w:p>
    <w:p w:rsidR="002B489A" w:rsidRDefault="004F19C4">
      <w:r>
        <w:t>On peut cartographier les zones d'émissions radioélectriques en enregistrant ces émissions à partir d'une grille de points couvrant la région concernée. On peut faire aussi bien des observations du continuum que des observations de raies spectrales. Dans le cas de radiotélescopes à antenne unique, chaque observation de point de grille est une indication de la puissance totale (en cas d'observation du continuum) ou du spectre d'émission (en cas d'observation de raies spectrales) venant de cette position du ciel; l'espacement entre les points de la grille ne devrait pas être supérieur à l'ouverture à mi-puissance du faisceau de l'antenne. Lorsque des observations sont effectuées à l'aide d'un radiotélescope de synthèse, si la zone à cartographier dépasse le champ de cartographie instantanée, les points du quadrillage ne devraient pas être séparés de plus de la moitié de l'ouverture de faisceau de l'une des antennes du radiotélescope.</w:t>
      </w:r>
    </w:p>
    <w:p w:rsidR="002B489A" w:rsidRDefault="004F19C4">
      <w:r>
        <w:t>Les observations VLBI se font par conversion des signaux en bande de base; on les numérise sans démodulation, et on les enregistre sur une bande magnétique ou un autre support avec des signaux de synchronisation temporelle précis. Les données sont alors transmises à un centre de traitement des données VLBI où les signaux sont synchronisés et corrélés. Par conséquent, le plein effet des brouillages peut n'être pas découvert avant la fin de la période d'observation et le traitement des données.</w:t>
      </w:r>
    </w:p>
    <w:p w:rsidR="002B489A" w:rsidRDefault="004F19C4">
      <w:pPr>
        <w:pStyle w:val="Heading1"/>
      </w:pPr>
      <w:r>
        <w:br w:type="page"/>
        <w:t>2</w:t>
      </w:r>
      <w:r>
        <w:tab/>
        <w:t>SRS</w:t>
      </w:r>
    </w:p>
    <w:p w:rsidR="002B489A" w:rsidRDefault="004F19C4">
      <w:pPr>
        <w:pStyle w:val="Heading2"/>
      </w:pPr>
      <w:r>
        <w:t>2.1</w:t>
      </w:r>
      <w:r>
        <w:tab/>
        <w:t>Bande d'émission attribuée</w:t>
      </w:r>
    </w:p>
    <w:p w:rsidR="002B489A" w:rsidRDefault="004F19C4">
      <w:r>
        <w:t>La bande 1</w:t>
      </w:r>
      <w:r>
        <w:rPr>
          <w:rFonts w:ascii="Tms Rmn" w:hAnsi="Tms Rmn"/>
          <w:sz w:val="12"/>
        </w:rPr>
        <w:t> </w:t>
      </w:r>
      <w:r>
        <w:t>452-1</w:t>
      </w:r>
      <w:r>
        <w:rPr>
          <w:rFonts w:ascii="Tms Rmn" w:hAnsi="Tms Rmn"/>
          <w:sz w:val="12"/>
        </w:rPr>
        <w:t> </w:t>
      </w:r>
      <w:r>
        <w:t>492 MHz est attribuée au SRS.</w:t>
      </w:r>
    </w:p>
    <w:p w:rsidR="002B489A" w:rsidRDefault="004F19C4">
      <w:pPr>
        <w:pStyle w:val="Heading2"/>
      </w:pPr>
      <w:r>
        <w:t>2.2</w:t>
      </w:r>
      <w:r>
        <w:tab/>
        <w:t>Application</w:t>
      </w:r>
    </w:p>
    <w:p w:rsidR="002B489A" w:rsidRDefault="004F19C4">
      <w:r>
        <w:t>Diffusion d'émission audio uniquement.</w:t>
      </w:r>
    </w:p>
    <w:p w:rsidR="002B489A" w:rsidRDefault="004F19C4">
      <w:pPr>
        <w:pStyle w:val="Heading2"/>
      </w:pPr>
      <w:r>
        <w:t>2.3</w:t>
      </w:r>
      <w:r>
        <w:tab/>
        <w:t>Niveaux fondés sur des dispositions réglementaires</w:t>
      </w:r>
    </w:p>
    <w:p w:rsidR="002B489A" w:rsidRDefault="004F19C4">
      <w:r>
        <w:t>Non évalués.</w:t>
      </w:r>
    </w:p>
    <w:p w:rsidR="002B489A" w:rsidRDefault="004F19C4">
      <w:pPr>
        <w:pStyle w:val="Heading2"/>
      </w:pPr>
      <w:r>
        <w:t>2.4</w:t>
      </w:r>
      <w:r>
        <w:tab/>
        <w:t>Caractéristiques de fonctionnement</w:t>
      </w:r>
    </w:p>
    <w:p w:rsidR="002B489A" w:rsidRDefault="004F19C4">
      <w:r>
        <w:t>Les caractéristiques suivantes ont été notifiées comme étant les valeurs maximales attendues et la largeur de bande nécessaire typique sur la base des caractéristiques des systèmes sonores du SRS déjà mis en oeuvre ou les plus susceptibles de l'être. De plus, la présente Recommandation propose des valeurs types pour les gains d'antenne.</w:t>
      </w:r>
    </w:p>
    <w:p w:rsidR="002B489A" w:rsidRDefault="004F19C4">
      <w:pPr>
        <w:pStyle w:val="TableNo"/>
      </w:pPr>
      <w:r>
        <w:t>TABLEAU  3</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60"/>
        <w:gridCol w:w="1658"/>
        <w:gridCol w:w="1660"/>
        <w:gridCol w:w="1748"/>
        <w:gridCol w:w="2913"/>
      </w:tblGrid>
      <w:tr w:rsidR="002B489A">
        <w:tc>
          <w:tcPr>
            <w:tcW w:w="1660" w:type="dxa"/>
            <w:vAlign w:val="center"/>
          </w:tcPr>
          <w:p w:rsidR="002B489A" w:rsidRDefault="004F19C4">
            <w:pPr>
              <w:pStyle w:val="Tablehead"/>
              <w:framePr w:hSpace="181" w:wrap="notBeside" w:vAnchor="text" w:hAnchor="text" w:xAlign="center" w:y="1"/>
            </w:pPr>
            <w:r>
              <w:t>Bande de fréquences</w:t>
            </w:r>
            <w:r>
              <w:br/>
              <w:t>(MHz)</w:t>
            </w:r>
          </w:p>
        </w:tc>
        <w:tc>
          <w:tcPr>
            <w:tcW w:w="1658" w:type="dxa"/>
            <w:vAlign w:val="center"/>
          </w:tcPr>
          <w:p w:rsidR="002B489A" w:rsidRDefault="004F19C4">
            <w:pPr>
              <w:pStyle w:val="Tablehead"/>
              <w:framePr w:hSpace="181" w:wrap="notBeside" w:vAnchor="text" w:hAnchor="text" w:xAlign="center" w:y="1"/>
            </w:pPr>
            <w:r>
              <w:t xml:space="preserve">Système </w:t>
            </w:r>
            <w:r>
              <w:br/>
              <w:t>notifié</w:t>
            </w:r>
          </w:p>
        </w:tc>
        <w:tc>
          <w:tcPr>
            <w:tcW w:w="1660" w:type="dxa"/>
            <w:vAlign w:val="center"/>
          </w:tcPr>
          <w:p w:rsidR="002B489A" w:rsidRDefault="004F19C4">
            <w:pPr>
              <w:pStyle w:val="Tablehead"/>
              <w:framePr w:hSpace="181" w:wrap="notBeside" w:vAnchor="text" w:hAnchor="text" w:xAlign="center" w:y="1"/>
            </w:pPr>
            <w:r>
              <w:t>Largeur de bande</w:t>
            </w:r>
            <w:r>
              <w:br/>
              <w:t>nécessaire</w:t>
            </w:r>
            <w:r>
              <w:br/>
              <w:t>(MHz)</w:t>
            </w:r>
          </w:p>
        </w:tc>
        <w:tc>
          <w:tcPr>
            <w:tcW w:w="1748" w:type="dxa"/>
            <w:vAlign w:val="center"/>
          </w:tcPr>
          <w:p w:rsidR="002B489A" w:rsidRDefault="004F19C4">
            <w:pPr>
              <w:pStyle w:val="Tablehead"/>
              <w:framePr w:hSpace="181" w:wrap="notBeside" w:vAnchor="text" w:hAnchor="text" w:xAlign="center" w:y="1"/>
            </w:pPr>
            <w:r>
              <w:t xml:space="preserve">Gain d'antenne satellite </w:t>
            </w:r>
            <w:r>
              <w:br/>
              <w:t>(dBi)</w:t>
            </w:r>
          </w:p>
        </w:tc>
        <w:tc>
          <w:tcPr>
            <w:tcW w:w="2913" w:type="dxa"/>
            <w:vAlign w:val="center"/>
          </w:tcPr>
          <w:p w:rsidR="002B489A" w:rsidRDefault="004F19C4">
            <w:pPr>
              <w:pStyle w:val="Tablehead"/>
              <w:framePr w:hSpace="181" w:wrap="notBeside" w:vAnchor="text" w:hAnchor="text" w:xAlign="center" w:y="1"/>
            </w:pPr>
            <w:r>
              <w:t xml:space="preserve">Puissance surfacique maximale attendue </w:t>
            </w:r>
            <w:r>
              <w:br/>
              <w:t xml:space="preserve">dans la bande </w:t>
            </w:r>
            <w:r>
              <w:br/>
              <w:t>(dB(W/(m</w:t>
            </w:r>
            <w:r>
              <w:rPr>
                <w:vertAlign w:val="superscript"/>
              </w:rPr>
              <w:t>2</w:t>
            </w:r>
            <w:r>
              <w:t xml:space="preserve"> · 4 kHz)))</w:t>
            </w:r>
          </w:p>
        </w:tc>
      </w:tr>
      <w:tr w:rsidR="002B489A">
        <w:trPr>
          <w:cantSplit/>
          <w:trHeight w:val="203"/>
        </w:trPr>
        <w:tc>
          <w:tcPr>
            <w:tcW w:w="1660" w:type="dxa"/>
            <w:vMerge w:val="restart"/>
            <w:vAlign w:val="center"/>
          </w:tcPr>
          <w:p w:rsidR="002B489A" w:rsidRDefault="004F19C4">
            <w:pPr>
              <w:pStyle w:val="Tabletext"/>
              <w:framePr w:hSpace="181" w:wrap="notBeside" w:vAnchor="text" w:hAnchor="text" w:xAlign="center" w:y="1"/>
              <w:jc w:val="center"/>
            </w:pPr>
            <w:r>
              <w:t>1</w:t>
            </w:r>
            <w:r>
              <w:rPr>
                <w:rFonts w:ascii="Tms Rmn" w:hAnsi="Tms Rmn"/>
                <w:sz w:val="12"/>
              </w:rPr>
              <w:t> </w:t>
            </w:r>
            <w:r>
              <w:t>452-1</w:t>
            </w:r>
            <w:r>
              <w:rPr>
                <w:rFonts w:ascii="Tms Rmn" w:hAnsi="Tms Rmn"/>
                <w:sz w:val="12"/>
              </w:rPr>
              <w:t> </w:t>
            </w:r>
            <w:r>
              <w:t>492</w:t>
            </w:r>
          </w:p>
        </w:tc>
        <w:tc>
          <w:tcPr>
            <w:tcW w:w="1658" w:type="dxa"/>
            <w:vAlign w:val="center"/>
          </w:tcPr>
          <w:p w:rsidR="002B489A" w:rsidRDefault="004F19C4">
            <w:pPr>
              <w:pStyle w:val="Tabletext"/>
              <w:framePr w:hSpace="181" w:wrap="notBeside" w:vAnchor="text" w:hAnchor="text" w:xAlign="center" w:y="1"/>
              <w:jc w:val="center"/>
            </w:pPr>
            <w:r>
              <w:t>Système numérique A</w:t>
            </w:r>
          </w:p>
        </w:tc>
        <w:tc>
          <w:tcPr>
            <w:tcW w:w="1660" w:type="dxa"/>
            <w:vAlign w:val="center"/>
          </w:tcPr>
          <w:p w:rsidR="002B489A" w:rsidRDefault="004F19C4">
            <w:pPr>
              <w:pStyle w:val="Tabletext"/>
              <w:framePr w:hSpace="181" w:wrap="notBeside" w:vAnchor="text" w:hAnchor="text" w:xAlign="center" w:y="1"/>
              <w:jc w:val="center"/>
            </w:pPr>
            <w:r>
              <w:t>1,536</w:t>
            </w:r>
          </w:p>
        </w:tc>
        <w:tc>
          <w:tcPr>
            <w:tcW w:w="1748" w:type="dxa"/>
            <w:vAlign w:val="center"/>
          </w:tcPr>
          <w:p w:rsidR="002B489A" w:rsidRDefault="004F19C4">
            <w:pPr>
              <w:pStyle w:val="Tabletext"/>
              <w:framePr w:hSpace="181" w:wrap="notBeside" w:vAnchor="text" w:hAnchor="text" w:xAlign="center" w:y="1"/>
              <w:jc w:val="center"/>
            </w:pPr>
            <w:r>
              <w:t>30</w:t>
            </w:r>
          </w:p>
        </w:tc>
        <w:tc>
          <w:tcPr>
            <w:tcW w:w="2913" w:type="dxa"/>
            <w:vAlign w:val="center"/>
          </w:tcPr>
          <w:p w:rsidR="002B489A" w:rsidRDefault="004F19C4">
            <w:pPr>
              <w:pStyle w:val="Tabletext"/>
              <w:framePr w:hSpace="181" w:wrap="notBeside" w:vAnchor="text" w:hAnchor="text" w:xAlign="center" w:y="1"/>
              <w:jc w:val="center"/>
            </w:pPr>
            <w:r>
              <w:sym w:font="Symbol" w:char="F02D"/>
            </w:r>
            <w:r>
              <w:t>128</w:t>
            </w:r>
          </w:p>
        </w:tc>
      </w:tr>
      <w:tr w:rsidR="002B489A">
        <w:trPr>
          <w:cantSplit/>
          <w:trHeight w:val="202"/>
        </w:trPr>
        <w:tc>
          <w:tcPr>
            <w:tcW w:w="1660" w:type="dxa"/>
            <w:vMerge/>
            <w:tcBorders>
              <w:bottom w:val="single" w:sz="4" w:space="0" w:color="auto"/>
            </w:tcBorders>
            <w:vAlign w:val="center"/>
          </w:tcPr>
          <w:p w:rsidR="002B489A" w:rsidRDefault="002B489A">
            <w:pPr>
              <w:pStyle w:val="Tabletext"/>
              <w:framePr w:hSpace="181" w:wrap="notBeside" w:vAnchor="text" w:hAnchor="text" w:xAlign="center" w:y="1"/>
              <w:jc w:val="center"/>
            </w:pPr>
          </w:p>
        </w:tc>
        <w:tc>
          <w:tcPr>
            <w:tcW w:w="1658" w:type="dxa"/>
            <w:tcBorders>
              <w:bottom w:val="single" w:sz="4" w:space="0" w:color="auto"/>
            </w:tcBorders>
            <w:vAlign w:val="center"/>
          </w:tcPr>
          <w:p w:rsidR="002B489A" w:rsidRDefault="004F19C4">
            <w:pPr>
              <w:pStyle w:val="Tabletext"/>
              <w:framePr w:hSpace="181" w:wrap="notBeside" w:vAnchor="text" w:hAnchor="text" w:xAlign="center" w:y="1"/>
              <w:jc w:val="center"/>
            </w:pPr>
            <w:r>
              <w:t>Système numérique DS</w:t>
            </w:r>
          </w:p>
        </w:tc>
        <w:tc>
          <w:tcPr>
            <w:tcW w:w="1660" w:type="dxa"/>
            <w:tcBorders>
              <w:bottom w:val="single" w:sz="4" w:space="0" w:color="auto"/>
            </w:tcBorders>
            <w:vAlign w:val="center"/>
          </w:tcPr>
          <w:p w:rsidR="002B489A" w:rsidRDefault="004F19C4">
            <w:pPr>
              <w:pStyle w:val="Tabletext"/>
              <w:framePr w:hSpace="181" w:wrap="notBeside" w:vAnchor="text" w:hAnchor="text" w:xAlign="center" w:y="1"/>
              <w:jc w:val="center"/>
            </w:pPr>
            <w:r>
              <w:t>1,84</w:t>
            </w:r>
          </w:p>
        </w:tc>
        <w:tc>
          <w:tcPr>
            <w:tcW w:w="1748" w:type="dxa"/>
            <w:tcBorders>
              <w:bottom w:val="single" w:sz="4" w:space="0" w:color="auto"/>
            </w:tcBorders>
            <w:vAlign w:val="center"/>
          </w:tcPr>
          <w:p w:rsidR="002B489A" w:rsidRDefault="004F19C4">
            <w:pPr>
              <w:pStyle w:val="Tabletext"/>
              <w:framePr w:hSpace="181" w:wrap="notBeside" w:vAnchor="text" w:hAnchor="text" w:xAlign="center" w:y="1"/>
              <w:jc w:val="center"/>
            </w:pPr>
            <w:r>
              <w:t>30</w:t>
            </w:r>
          </w:p>
        </w:tc>
        <w:tc>
          <w:tcPr>
            <w:tcW w:w="2913" w:type="dxa"/>
            <w:tcBorders>
              <w:bottom w:val="single" w:sz="4" w:space="0" w:color="auto"/>
            </w:tcBorders>
            <w:vAlign w:val="center"/>
          </w:tcPr>
          <w:p w:rsidR="002B489A" w:rsidRDefault="004F19C4">
            <w:pPr>
              <w:pStyle w:val="Tabletext"/>
              <w:framePr w:hSpace="181" w:wrap="notBeside" w:vAnchor="text" w:hAnchor="text" w:xAlign="center" w:y="1"/>
              <w:jc w:val="center"/>
            </w:pPr>
            <w:r>
              <w:sym w:font="Symbol" w:char="F02D"/>
            </w:r>
            <w:r>
              <w:t>138</w:t>
            </w:r>
          </w:p>
        </w:tc>
      </w:tr>
    </w:tbl>
    <w:p w:rsidR="002B489A" w:rsidRDefault="002B489A">
      <w:pPr>
        <w:pStyle w:val="Tablefin"/>
        <w:spacing w:before="0"/>
      </w:pPr>
    </w:p>
    <w:p w:rsidR="002B489A" w:rsidRDefault="004F19C4">
      <w:pPr>
        <w:pStyle w:val="Note"/>
      </w:pPr>
      <w:r>
        <w:t>NOTE 1 – Les résultats de cette Annexe sont limités aux systèmes OSG.</w:t>
      </w:r>
    </w:p>
    <w:p w:rsidR="002B489A" w:rsidRDefault="004F19C4">
      <w:pPr>
        <w:pStyle w:val="Heading1"/>
      </w:pPr>
      <w:r>
        <w:t>3</w:t>
      </w:r>
      <w:r>
        <w:tab/>
        <w:t>Seuil de compatibilité</w:t>
      </w:r>
    </w:p>
    <w:p w:rsidR="002B489A" w:rsidRDefault="004F19C4">
      <w:r>
        <w:t>Voir le § 1.3.</w:t>
      </w:r>
    </w:p>
    <w:p w:rsidR="002B489A" w:rsidRDefault="004F19C4">
      <w:pPr>
        <w:pStyle w:val="Heading1"/>
      </w:pPr>
      <w:r>
        <w:t>4</w:t>
      </w:r>
      <w:r>
        <w:tab/>
        <w:t>Evaluation du brouillage</w:t>
      </w:r>
    </w:p>
    <w:p w:rsidR="002B489A" w:rsidRDefault="004F19C4">
      <w:pPr>
        <w:pStyle w:val="Heading2"/>
      </w:pPr>
      <w:r>
        <w:rPr>
          <w:snapToGrid w:val="0"/>
        </w:rPr>
        <w:t>4.1</w:t>
      </w:r>
      <w:r>
        <w:rPr>
          <w:snapToGrid w:val="0"/>
        </w:rPr>
        <w:tab/>
        <w:t>Méthode utilisée pour évaluer le niveau de brouillage</w:t>
      </w:r>
    </w:p>
    <w:p w:rsidR="002B489A" w:rsidRDefault="004F19C4">
      <w:r>
        <w:t xml:space="preserve">En ce qui concerne les systèmes non OSG, les critères de protection pour la radioastronomie et les méthodes pertinentes sont décrits dans les Recommandations UIT-R </w:t>
      </w:r>
      <w:r>
        <w:rPr>
          <w:bCs/>
        </w:rPr>
        <w:t xml:space="preserve">RA.769 </w:t>
      </w:r>
      <w:r>
        <w:t xml:space="preserve">et UIT-R </w:t>
      </w:r>
      <w:r>
        <w:rPr>
          <w:bCs/>
        </w:rPr>
        <w:t>RA.1513</w:t>
      </w:r>
      <w:r>
        <w:t xml:space="preserve">, ainsi que dans la Recommandation UIT-R </w:t>
      </w:r>
      <w:r>
        <w:rPr>
          <w:bCs/>
        </w:rPr>
        <w:t>S.1586</w:t>
      </w:r>
      <w:r>
        <w:t xml:space="preserve"> pour les systèmes SFS.</w:t>
      </w:r>
    </w:p>
    <w:p w:rsidR="002B489A" w:rsidRDefault="004F19C4">
      <w:r>
        <w:t>Le gabarit d'émission hors bande utilisé pour le calcul est décrit au § 4.3.1.</w:t>
      </w:r>
    </w:p>
    <w:p w:rsidR="002B489A" w:rsidRDefault="004F19C4">
      <w:pPr>
        <w:pStyle w:val="Heading2"/>
      </w:pPr>
      <w:r>
        <w:t>4.2</w:t>
      </w:r>
      <w:r>
        <w:tab/>
        <w:t>Calcul du niveau de brouillage</w:t>
      </w:r>
    </w:p>
    <w:p w:rsidR="002B489A" w:rsidRDefault="004F19C4">
      <w:r>
        <w:t>Voir le § 4.3.</w:t>
      </w:r>
    </w:p>
    <w:p w:rsidR="002B489A" w:rsidRDefault="004F19C4">
      <w:pPr>
        <w:pStyle w:val="Heading2"/>
        <w:tabs>
          <w:tab w:val="clear" w:pos="794"/>
        </w:tabs>
      </w:pPr>
      <w:r>
        <w:br w:type="page"/>
        <w:t>4.3</w:t>
      </w:r>
      <w:r>
        <w:tab/>
        <w:t>Valeurs obtenues</w:t>
      </w:r>
    </w:p>
    <w:p w:rsidR="002B489A" w:rsidRDefault="004F19C4">
      <w:r>
        <w:t>On notera que les paragraphes suivants ne couvrent que le cas des systèmes OSG.</w:t>
      </w:r>
    </w:p>
    <w:p w:rsidR="002B489A" w:rsidRDefault="004F19C4">
      <w:pPr>
        <w:pStyle w:val="Heading3"/>
      </w:pPr>
      <w:r>
        <w:t>4.3.1</w:t>
      </w:r>
      <w:r>
        <w:tab/>
        <w:t>Observations de raies spectrales</w:t>
      </w:r>
    </w:p>
    <w:p w:rsidR="002B489A" w:rsidRDefault="004F19C4">
      <w:r>
        <w:t>Sur la base de la largeur de bande nécessaire donnée au Tableau 3, et de la séparation des bandes attribuées au SRS et aux services passifs, il apparaît que, pour l'attribution au SRS, la limite des rayonnements non essentiels s'applique: 43 </w:t>
      </w:r>
      <w:r>
        <w:rPr>
          <w:rFonts w:ascii="Symbol" w:hAnsi="Symbol"/>
        </w:rPr>
        <w:t></w:t>
      </w:r>
      <w:r>
        <w:t xml:space="preserve"> 10 log </w:t>
      </w:r>
      <w:r>
        <w:rPr>
          <w:i/>
          <w:iCs/>
        </w:rPr>
        <w:t>P</w:t>
      </w:r>
      <w:r>
        <w:t xml:space="preserve"> ou 60 dBc, selon la valeur qui est la moins contraignante, où </w:t>
      </w:r>
      <w:r>
        <w:rPr>
          <w:i/>
          <w:iCs/>
        </w:rPr>
        <w:t>P</w:t>
      </w:r>
      <w:r>
        <w:t xml:space="preserve"> est la puissance moyenne (W) fournie à la ligne d'antenne d'émission. Ceci est détaillé dans le Tableau 4. </w:t>
      </w:r>
    </w:p>
    <w:p w:rsidR="002B489A" w:rsidRDefault="004F19C4">
      <w:pPr>
        <w:pStyle w:val="TableNo"/>
      </w:pPr>
      <w:r>
        <w:t>TABLEAU  4</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1"/>
        <w:gridCol w:w="1451"/>
        <w:gridCol w:w="1400"/>
        <w:gridCol w:w="1387"/>
        <w:gridCol w:w="1346"/>
        <w:gridCol w:w="1306"/>
        <w:gridCol w:w="1728"/>
      </w:tblGrid>
      <w:tr w:rsidR="002B489A">
        <w:tc>
          <w:tcPr>
            <w:tcW w:w="0" w:type="auto"/>
            <w:vAlign w:val="center"/>
          </w:tcPr>
          <w:p w:rsidR="002B489A" w:rsidRDefault="004F19C4">
            <w:pPr>
              <w:pStyle w:val="Tablehead"/>
              <w:framePr w:hSpace="181" w:wrap="notBeside" w:vAnchor="text" w:hAnchor="text" w:xAlign="center" w:y="1"/>
              <w:rPr>
                <w:sz w:val="18"/>
              </w:rPr>
            </w:pPr>
            <w:r>
              <w:rPr>
                <w:sz w:val="18"/>
              </w:rPr>
              <w:t xml:space="preserve">Attribution </w:t>
            </w:r>
            <w:r>
              <w:rPr>
                <w:sz w:val="18"/>
              </w:rPr>
              <w:br/>
              <w:t>au SRS</w:t>
            </w:r>
            <w:r>
              <w:rPr>
                <w:sz w:val="18"/>
              </w:rPr>
              <w:br/>
              <w:t>(MHz)</w:t>
            </w:r>
          </w:p>
        </w:tc>
        <w:tc>
          <w:tcPr>
            <w:tcW w:w="0" w:type="auto"/>
            <w:vAlign w:val="center"/>
          </w:tcPr>
          <w:p w:rsidR="002B489A" w:rsidRDefault="004F19C4">
            <w:pPr>
              <w:pStyle w:val="Tablehead"/>
              <w:framePr w:hSpace="181" w:wrap="notBeside" w:vAnchor="text" w:hAnchor="text" w:xAlign="center" w:y="1"/>
              <w:rPr>
                <w:sz w:val="18"/>
              </w:rPr>
            </w:pPr>
            <w:r>
              <w:rPr>
                <w:sz w:val="18"/>
              </w:rPr>
              <w:t xml:space="preserve">Attribution la </w:t>
            </w:r>
            <w:r>
              <w:rPr>
                <w:sz w:val="18"/>
              </w:rPr>
              <w:br/>
              <w:t xml:space="preserve">plus proche au service passif </w:t>
            </w:r>
            <w:r>
              <w:rPr>
                <w:sz w:val="18"/>
              </w:rPr>
              <w:br/>
              <w:t>(MHz)</w:t>
            </w:r>
          </w:p>
        </w:tc>
        <w:tc>
          <w:tcPr>
            <w:tcW w:w="0" w:type="auto"/>
            <w:vAlign w:val="center"/>
          </w:tcPr>
          <w:p w:rsidR="002B489A" w:rsidRDefault="004F19C4">
            <w:pPr>
              <w:pStyle w:val="Tablehead"/>
              <w:framePr w:hSpace="181" w:wrap="notBeside" w:vAnchor="text" w:hAnchor="text" w:xAlign="center" w:y="1"/>
              <w:rPr>
                <w:sz w:val="18"/>
              </w:rPr>
            </w:pPr>
            <w:r>
              <w:rPr>
                <w:sz w:val="18"/>
              </w:rPr>
              <w:t xml:space="preserve">Système </w:t>
            </w:r>
            <w:r>
              <w:rPr>
                <w:sz w:val="18"/>
              </w:rPr>
              <w:br/>
              <w:t>notifié</w:t>
            </w:r>
          </w:p>
        </w:tc>
        <w:tc>
          <w:tcPr>
            <w:tcW w:w="0" w:type="auto"/>
            <w:vAlign w:val="center"/>
          </w:tcPr>
          <w:p w:rsidR="002B489A" w:rsidRDefault="004F19C4">
            <w:pPr>
              <w:pStyle w:val="Tablehead"/>
              <w:framePr w:hSpace="181" w:wrap="notBeside" w:vAnchor="text" w:hAnchor="text" w:xAlign="center" w:y="1"/>
              <w:rPr>
                <w:sz w:val="18"/>
              </w:rPr>
            </w:pPr>
            <w:r>
              <w:rPr>
                <w:sz w:val="18"/>
              </w:rPr>
              <w:t>Largeur de bande nécessaire</w:t>
            </w:r>
            <w:r>
              <w:rPr>
                <w:sz w:val="18"/>
              </w:rPr>
              <w:br/>
              <w:t>(MHz)</w:t>
            </w:r>
          </w:p>
        </w:tc>
        <w:tc>
          <w:tcPr>
            <w:tcW w:w="0" w:type="auto"/>
            <w:vAlign w:val="center"/>
          </w:tcPr>
          <w:p w:rsidR="002B489A" w:rsidRDefault="004F19C4">
            <w:pPr>
              <w:pStyle w:val="Tablehead"/>
              <w:framePr w:hSpace="181" w:wrap="notBeside" w:vAnchor="text" w:hAnchor="text" w:xAlign="center" w:y="1"/>
              <w:rPr>
                <w:sz w:val="18"/>
              </w:rPr>
            </w:pPr>
            <w:r>
              <w:rPr>
                <w:sz w:val="18"/>
              </w:rPr>
              <w:t>Début du domaine hors bande</w:t>
            </w:r>
            <w:r>
              <w:rPr>
                <w:sz w:val="18"/>
              </w:rPr>
              <w:br/>
              <w:t>(MHz)</w:t>
            </w:r>
          </w:p>
        </w:tc>
        <w:tc>
          <w:tcPr>
            <w:tcW w:w="0" w:type="auto"/>
            <w:vAlign w:val="center"/>
          </w:tcPr>
          <w:p w:rsidR="002B489A" w:rsidRDefault="004F19C4">
            <w:pPr>
              <w:pStyle w:val="Tablehead"/>
              <w:framePr w:hSpace="181" w:wrap="notBeside" w:vAnchor="text" w:hAnchor="text" w:xAlign="center" w:y="1"/>
              <w:rPr>
                <w:sz w:val="18"/>
              </w:rPr>
            </w:pPr>
            <w:r>
              <w:rPr>
                <w:sz w:val="18"/>
              </w:rPr>
              <w:t>Fin du domaine hors bande</w:t>
            </w:r>
            <w:r>
              <w:rPr>
                <w:sz w:val="18"/>
              </w:rPr>
              <w:br/>
              <w:t>(MHz)</w:t>
            </w:r>
          </w:p>
        </w:tc>
        <w:tc>
          <w:tcPr>
            <w:tcW w:w="1728" w:type="dxa"/>
            <w:vAlign w:val="center"/>
          </w:tcPr>
          <w:p w:rsidR="002B489A" w:rsidRDefault="004F19C4">
            <w:pPr>
              <w:pStyle w:val="Tablehead"/>
              <w:framePr w:hSpace="181" w:wrap="notBeside" w:vAnchor="text" w:hAnchor="text" w:xAlign="center" w:y="1"/>
              <w:rPr>
                <w:sz w:val="18"/>
              </w:rPr>
            </w:pPr>
            <w:r>
              <w:rPr>
                <w:sz w:val="18"/>
              </w:rPr>
              <w:t>Affaiblissement nécessaire dans l'attribution passive aux services passifs</w:t>
            </w:r>
          </w:p>
        </w:tc>
      </w:tr>
      <w:tr w:rsidR="002B489A">
        <w:trPr>
          <w:cantSplit/>
          <w:trHeight w:val="203"/>
        </w:trPr>
        <w:tc>
          <w:tcPr>
            <w:tcW w:w="0" w:type="auto"/>
            <w:vMerge w:val="restart"/>
          </w:tcPr>
          <w:p w:rsidR="002B489A" w:rsidRDefault="004F19C4">
            <w:pPr>
              <w:pStyle w:val="Tabletext"/>
              <w:framePr w:hSpace="181" w:wrap="notBeside" w:vAnchor="text" w:hAnchor="text" w:xAlign="center" w:y="1"/>
              <w:jc w:val="center"/>
              <w:rPr>
                <w:sz w:val="18"/>
              </w:rPr>
            </w:pPr>
            <w:r>
              <w:rPr>
                <w:sz w:val="18"/>
              </w:rPr>
              <w:t>1</w:t>
            </w:r>
            <w:r>
              <w:rPr>
                <w:rFonts w:ascii="Tms Rmn" w:hAnsi="Tms Rmn"/>
                <w:sz w:val="12"/>
              </w:rPr>
              <w:t> </w:t>
            </w:r>
            <w:r>
              <w:rPr>
                <w:sz w:val="18"/>
              </w:rPr>
              <w:t>452</w:t>
            </w:r>
            <w:r>
              <w:rPr>
                <w:sz w:val="18"/>
              </w:rPr>
              <w:noBreakHyphen/>
              <w:t>1</w:t>
            </w:r>
            <w:r>
              <w:rPr>
                <w:rFonts w:ascii="Tms Rmn" w:hAnsi="Tms Rmn"/>
                <w:sz w:val="12"/>
              </w:rPr>
              <w:t> </w:t>
            </w:r>
            <w:r>
              <w:rPr>
                <w:sz w:val="18"/>
              </w:rPr>
              <w:t>492</w:t>
            </w:r>
          </w:p>
        </w:tc>
        <w:tc>
          <w:tcPr>
            <w:tcW w:w="0" w:type="auto"/>
            <w:vMerge w:val="restart"/>
          </w:tcPr>
          <w:p w:rsidR="002B489A" w:rsidRDefault="004F19C4">
            <w:pPr>
              <w:pStyle w:val="Tabletext"/>
              <w:framePr w:hSpace="181" w:wrap="notBeside" w:vAnchor="text" w:hAnchor="text" w:xAlign="center" w:y="1"/>
              <w:jc w:val="center"/>
              <w:rPr>
                <w:sz w:val="18"/>
              </w:rPr>
            </w:pPr>
            <w:r>
              <w:rPr>
                <w:sz w:val="18"/>
              </w:rPr>
              <w:t>1</w:t>
            </w:r>
            <w:r>
              <w:rPr>
                <w:rFonts w:ascii="Tms Rmn" w:hAnsi="Tms Rmn"/>
                <w:sz w:val="12"/>
              </w:rPr>
              <w:t> </w:t>
            </w:r>
            <w:r>
              <w:rPr>
                <w:sz w:val="18"/>
              </w:rPr>
              <w:t>400-1</w:t>
            </w:r>
            <w:r>
              <w:rPr>
                <w:rFonts w:ascii="Tms Rmn" w:hAnsi="Tms Rmn"/>
                <w:sz w:val="12"/>
              </w:rPr>
              <w:t> </w:t>
            </w:r>
            <w:r>
              <w:rPr>
                <w:sz w:val="18"/>
              </w:rPr>
              <w:t>427</w:t>
            </w:r>
          </w:p>
        </w:tc>
        <w:tc>
          <w:tcPr>
            <w:tcW w:w="0" w:type="auto"/>
          </w:tcPr>
          <w:p w:rsidR="002B489A" w:rsidRDefault="004F19C4">
            <w:pPr>
              <w:pStyle w:val="Tabletext"/>
              <w:framePr w:hSpace="181" w:wrap="notBeside" w:vAnchor="text" w:hAnchor="text" w:xAlign="center" w:y="1"/>
              <w:jc w:val="center"/>
              <w:rPr>
                <w:sz w:val="18"/>
              </w:rPr>
            </w:pPr>
            <w:r>
              <w:rPr>
                <w:sz w:val="18"/>
              </w:rPr>
              <w:t>Système numérique A</w:t>
            </w:r>
          </w:p>
        </w:tc>
        <w:tc>
          <w:tcPr>
            <w:tcW w:w="0" w:type="auto"/>
          </w:tcPr>
          <w:p w:rsidR="002B489A" w:rsidRDefault="004F19C4">
            <w:pPr>
              <w:pStyle w:val="Tabletext"/>
              <w:framePr w:hSpace="181" w:wrap="notBeside" w:vAnchor="text" w:hAnchor="text" w:xAlign="center" w:y="1"/>
              <w:jc w:val="center"/>
              <w:rPr>
                <w:sz w:val="18"/>
              </w:rPr>
            </w:pPr>
            <w:r>
              <w:rPr>
                <w:sz w:val="18"/>
              </w:rPr>
              <w:t>1,536</w:t>
            </w:r>
          </w:p>
        </w:tc>
        <w:tc>
          <w:tcPr>
            <w:tcW w:w="0" w:type="auto"/>
          </w:tcPr>
          <w:p w:rsidR="002B489A" w:rsidRDefault="004F19C4">
            <w:pPr>
              <w:pStyle w:val="Tabletext"/>
              <w:framePr w:hSpace="181" w:wrap="notBeside" w:vAnchor="text" w:hAnchor="text" w:xAlign="center" w:y="1"/>
              <w:jc w:val="center"/>
              <w:rPr>
                <w:sz w:val="18"/>
              </w:rPr>
            </w:pPr>
            <w:r>
              <w:rPr>
                <w:sz w:val="18"/>
              </w:rPr>
              <w:t>1</w:t>
            </w:r>
            <w:r>
              <w:rPr>
                <w:rFonts w:ascii="Tms Rmn" w:hAnsi="Tms Rmn"/>
                <w:sz w:val="12"/>
              </w:rPr>
              <w:t> </w:t>
            </w:r>
            <w:r>
              <w:rPr>
                <w:sz w:val="18"/>
              </w:rPr>
              <w:t>452</w:t>
            </w:r>
          </w:p>
        </w:tc>
        <w:tc>
          <w:tcPr>
            <w:tcW w:w="0" w:type="auto"/>
          </w:tcPr>
          <w:p w:rsidR="002B489A" w:rsidRDefault="004F19C4">
            <w:pPr>
              <w:pStyle w:val="Tabletext"/>
              <w:framePr w:hSpace="181" w:wrap="notBeside" w:vAnchor="text" w:hAnchor="text" w:xAlign="center" w:y="1"/>
              <w:jc w:val="center"/>
              <w:rPr>
                <w:sz w:val="18"/>
              </w:rPr>
            </w:pPr>
            <w:r>
              <w:rPr>
                <w:sz w:val="18"/>
              </w:rPr>
              <w:t>1</w:t>
            </w:r>
            <w:r>
              <w:rPr>
                <w:rFonts w:ascii="Tms Rmn" w:hAnsi="Tms Rmn"/>
                <w:sz w:val="12"/>
              </w:rPr>
              <w:t> </w:t>
            </w:r>
            <w:r>
              <w:rPr>
                <w:sz w:val="18"/>
              </w:rPr>
              <w:t>448,928</w:t>
            </w:r>
          </w:p>
        </w:tc>
        <w:tc>
          <w:tcPr>
            <w:tcW w:w="1728" w:type="dxa"/>
          </w:tcPr>
          <w:p w:rsidR="002B489A" w:rsidRDefault="004F19C4">
            <w:pPr>
              <w:pStyle w:val="Tabletext"/>
              <w:framePr w:hSpace="181" w:wrap="notBeside" w:vAnchor="text" w:hAnchor="text" w:xAlign="center" w:y="1"/>
              <w:jc w:val="center"/>
              <w:rPr>
                <w:sz w:val="18"/>
              </w:rPr>
            </w:pPr>
            <w:r>
              <w:rPr>
                <w:sz w:val="18"/>
              </w:rPr>
              <w:t>43 </w:t>
            </w:r>
            <w:r>
              <w:rPr>
                <w:rFonts w:ascii="Symbol" w:hAnsi="Symbol"/>
                <w:sz w:val="18"/>
              </w:rPr>
              <w:t></w:t>
            </w:r>
            <w:r>
              <w:rPr>
                <w:sz w:val="18"/>
              </w:rPr>
              <w:t xml:space="preserve"> 10 log </w:t>
            </w:r>
            <w:r>
              <w:rPr>
                <w:i/>
                <w:iCs/>
                <w:sz w:val="18"/>
              </w:rPr>
              <w:t>P</w:t>
            </w:r>
            <w:r>
              <w:rPr>
                <w:sz w:val="18"/>
              </w:rPr>
              <w:t xml:space="preserve"> </w:t>
            </w:r>
            <w:r>
              <w:rPr>
                <w:sz w:val="18"/>
              </w:rPr>
              <w:br/>
              <w:t>ou 60 dBc</w:t>
            </w:r>
          </w:p>
        </w:tc>
      </w:tr>
      <w:tr w:rsidR="002B489A">
        <w:trPr>
          <w:cantSplit/>
          <w:trHeight w:val="202"/>
        </w:trPr>
        <w:tc>
          <w:tcPr>
            <w:tcW w:w="0" w:type="auto"/>
            <w:vMerge/>
          </w:tcPr>
          <w:p w:rsidR="002B489A" w:rsidRDefault="002B489A">
            <w:pPr>
              <w:pStyle w:val="Tabletext"/>
              <w:framePr w:hSpace="181" w:wrap="notBeside" w:vAnchor="text" w:hAnchor="text" w:xAlign="center" w:y="1"/>
              <w:jc w:val="center"/>
              <w:rPr>
                <w:sz w:val="18"/>
              </w:rPr>
            </w:pPr>
          </w:p>
        </w:tc>
        <w:tc>
          <w:tcPr>
            <w:tcW w:w="0" w:type="auto"/>
            <w:vMerge/>
          </w:tcPr>
          <w:p w:rsidR="002B489A" w:rsidRDefault="002B489A">
            <w:pPr>
              <w:pStyle w:val="Tabletext"/>
              <w:framePr w:hSpace="181" w:wrap="notBeside" w:vAnchor="text" w:hAnchor="text" w:xAlign="center" w:y="1"/>
              <w:jc w:val="center"/>
              <w:rPr>
                <w:sz w:val="18"/>
              </w:rPr>
            </w:pPr>
          </w:p>
        </w:tc>
        <w:tc>
          <w:tcPr>
            <w:tcW w:w="0" w:type="auto"/>
          </w:tcPr>
          <w:p w:rsidR="002B489A" w:rsidRDefault="004F19C4">
            <w:pPr>
              <w:pStyle w:val="Tabletext"/>
              <w:framePr w:hSpace="181" w:wrap="notBeside" w:vAnchor="text" w:hAnchor="text" w:xAlign="center" w:y="1"/>
              <w:jc w:val="center"/>
              <w:rPr>
                <w:sz w:val="18"/>
              </w:rPr>
            </w:pPr>
            <w:r>
              <w:rPr>
                <w:sz w:val="18"/>
              </w:rPr>
              <w:t>Système numérique DS</w:t>
            </w:r>
          </w:p>
        </w:tc>
        <w:tc>
          <w:tcPr>
            <w:tcW w:w="0" w:type="auto"/>
          </w:tcPr>
          <w:p w:rsidR="002B489A" w:rsidRDefault="004F19C4">
            <w:pPr>
              <w:pStyle w:val="Tabletext"/>
              <w:framePr w:hSpace="181" w:wrap="notBeside" w:vAnchor="text" w:hAnchor="text" w:xAlign="center" w:y="1"/>
              <w:jc w:val="center"/>
              <w:rPr>
                <w:sz w:val="18"/>
              </w:rPr>
            </w:pPr>
            <w:r>
              <w:rPr>
                <w:sz w:val="18"/>
              </w:rPr>
              <w:t>1,84</w:t>
            </w:r>
          </w:p>
        </w:tc>
        <w:tc>
          <w:tcPr>
            <w:tcW w:w="0" w:type="auto"/>
          </w:tcPr>
          <w:p w:rsidR="002B489A" w:rsidRDefault="004F19C4">
            <w:pPr>
              <w:pStyle w:val="Tabletext"/>
              <w:framePr w:hSpace="181" w:wrap="notBeside" w:vAnchor="text" w:hAnchor="text" w:xAlign="center" w:y="1"/>
              <w:jc w:val="center"/>
              <w:rPr>
                <w:sz w:val="18"/>
              </w:rPr>
            </w:pPr>
            <w:r>
              <w:rPr>
                <w:sz w:val="18"/>
              </w:rPr>
              <w:t>1</w:t>
            </w:r>
            <w:r>
              <w:rPr>
                <w:rFonts w:ascii="Tms Rmn" w:hAnsi="Tms Rmn"/>
                <w:sz w:val="12"/>
              </w:rPr>
              <w:t> </w:t>
            </w:r>
            <w:r>
              <w:rPr>
                <w:sz w:val="18"/>
              </w:rPr>
              <w:t>452</w:t>
            </w:r>
          </w:p>
        </w:tc>
        <w:tc>
          <w:tcPr>
            <w:tcW w:w="0" w:type="auto"/>
          </w:tcPr>
          <w:p w:rsidR="002B489A" w:rsidRDefault="004F19C4">
            <w:pPr>
              <w:pStyle w:val="Tabletext"/>
              <w:framePr w:hSpace="181" w:wrap="notBeside" w:vAnchor="text" w:hAnchor="text" w:xAlign="center" w:y="1"/>
              <w:jc w:val="center"/>
              <w:rPr>
                <w:sz w:val="18"/>
              </w:rPr>
            </w:pPr>
            <w:r>
              <w:rPr>
                <w:sz w:val="18"/>
              </w:rPr>
              <w:t>1</w:t>
            </w:r>
            <w:r>
              <w:rPr>
                <w:rFonts w:ascii="Tms Rmn" w:hAnsi="Tms Rmn"/>
                <w:sz w:val="12"/>
              </w:rPr>
              <w:t> </w:t>
            </w:r>
            <w:r>
              <w:rPr>
                <w:sz w:val="18"/>
              </w:rPr>
              <w:t>448,32</w:t>
            </w:r>
          </w:p>
        </w:tc>
        <w:tc>
          <w:tcPr>
            <w:tcW w:w="1728" w:type="dxa"/>
          </w:tcPr>
          <w:p w:rsidR="002B489A" w:rsidRDefault="004F19C4">
            <w:pPr>
              <w:pStyle w:val="Tabletext"/>
              <w:framePr w:hSpace="181" w:wrap="notBeside" w:vAnchor="text" w:hAnchor="text" w:xAlign="center" w:y="1"/>
              <w:jc w:val="center"/>
              <w:rPr>
                <w:sz w:val="18"/>
              </w:rPr>
            </w:pPr>
            <w:r>
              <w:rPr>
                <w:sz w:val="18"/>
              </w:rPr>
              <w:t>43 </w:t>
            </w:r>
            <w:r>
              <w:rPr>
                <w:rFonts w:ascii="Symbol" w:hAnsi="Symbol"/>
                <w:sz w:val="18"/>
              </w:rPr>
              <w:t></w:t>
            </w:r>
            <w:r>
              <w:rPr>
                <w:sz w:val="18"/>
              </w:rPr>
              <w:t xml:space="preserve"> 10 log </w:t>
            </w:r>
            <w:r>
              <w:rPr>
                <w:i/>
                <w:iCs/>
                <w:sz w:val="18"/>
              </w:rPr>
              <w:t>P</w:t>
            </w:r>
            <w:r>
              <w:rPr>
                <w:sz w:val="18"/>
              </w:rPr>
              <w:t xml:space="preserve"> </w:t>
            </w:r>
            <w:r>
              <w:rPr>
                <w:sz w:val="18"/>
              </w:rPr>
              <w:br/>
              <w:t>ou 60 dBc</w:t>
            </w:r>
          </w:p>
        </w:tc>
      </w:tr>
    </w:tbl>
    <w:p w:rsidR="002B489A" w:rsidRDefault="002B489A">
      <w:pPr>
        <w:pStyle w:val="Tablefin"/>
        <w:rPr>
          <w:lang w:val="fr-FR"/>
        </w:rPr>
      </w:pPr>
    </w:p>
    <w:p w:rsidR="002B489A" w:rsidRDefault="004F19C4">
      <w:r>
        <w:t>Le niveau escompté de rayonnements non désirés est déduit des paramètres du Tableau 5.</w:t>
      </w:r>
    </w:p>
    <w:p w:rsidR="002B489A" w:rsidRDefault="004F19C4">
      <w:pPr>
        <w:pStyle w:val="TableNo"/>
      </w:pPr>
      <w:r>
        <w:t>TABLEAU  5</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5"/>
        <w:gridCol w:w="981"/>
        <w:gridCol w:w="1789"/>
        <w:gridCol w:w="921"/>
        <w:gridCol w:w="1334"/>
        <w:gridCol w:w="1370"/>
        <w:gridCol w:w="1789"/>
      </w:tblGrid>
      <w:tr w:rsidR="002B489A">
        <w:trPr>
          <w:cantSplit/>
        </w:trPr>
        <w:tc>
          <w:tcPr>
            <w:tcW w:w="1455" w:type="dxa"/>
            <w:vMerge w:val="restart"/>
            <w:vAlign w:val="center"/>
          </w:tcPr>
          <w:p w:rsidR="002B489A" w:rsidRDefault="004F19C4">
            <w:pPr>
              <w:pStyle w:val="Tablehead"/>
              <w:framePr w:hSpace="181" w:wrap="notBeside" w:vAnchor="text" w:hAnchor="text" w:xAlign="center" w:y="1"/>
              <w:rPr>
                <w:sz w:val="18"/>
              </w:rPr>
            </w:pPr>
            <w:r>
              <w:rPr>
                <w:sz w:val="18"/>
              </w:rPr>
              <w:t xml:space="preserve">Attribution </w:t>
            </w:r>
            <w:r>
              <w:rPr>
                <w:sz w:val="18"/>
              </w:rPr>
              <w:br/>
              <w:t>au SRS</w:t>
            </w:r>
            <w:r>
              <w:rPr>
                <w:sz w:val="18"/>
              </w:rPr>
              <w:br/>
              <w:t>(MHz)</w:t>
            </w:r>
          </w:p>
        </w:tc>
        <w:tc>
          <w:tcPr>
            <w:tcW w:w="981" w:type="dxa"/>
            <w:vAlign w:val="center"/>
          </w:tcPr>
          <w:p w:rsidR="002B489A" w:rsidRDefault="004F19C4">
            <w:pPr>
              <w:pStyle w:val="Tablehead"/>
              <w:framePr w:hSpace="181" w:wrap="notBeside" w:vAnchor="text" w:hAnchor="text" w:xAlign="center" w:y="1"/>
              <w:rPr>
                <w:sz w:val="18"/>
              </w:rPr>
            </w:pPr>
            <w:r>
              <w:rPr>
                <w:sz w:val="18"/>
              </w:rPr>
              <w:t>Largeur de bande nécessaire</w:t>
            </w:r>
            <w:r>
              <w:rPr>
                <w:sz w:val="18"/>
              </w:rPr>
              <w:br/>
              <w:t>(MHz)</w:t>
            </w:r>
          </w:p>
        </w:tc>
        <w:tc>
          <w:tcPr>
            <w:tcW w:w="1789" w:type="dxa"/>
            <w:vAlign w:val="center"/>
          </w:tcPr>
          <w:p w:rsidR="002B489A" w:rsidRDefault="004F19C4">
            <w:pPr>
              <w:pStyle w:val="Tablehead"/>
              <w:framePr w:hSpace="181" w:wrap="notBeside" w:vAnchor="text" w:hAnchor="text" w:xAlign="center" w:y="1"/>
              <w:rPr>
                <w:sz w:val="18"/>
              </w:rPr>
            </w:pPr>
            <w:r>
              <w:rPr>
                <w:sz w:val="18"/>
              </w:rPr>
              <w:t>Puissance surfacique</w:t>
            </w:r>
            <w:r>
              <w:rPr>
                <w:sz w:val="18"/>
              </w:rPr>
              <w:br/>
              <w:t>maximum dans la</w:t>
            </w:r>
            <w:r>
              <w:rPr>
                <w:sz w:val="18"/>
              </w:rPr>
              <w:br/>
              <w:t>bande escomptée</w:t>
            </w:r>
            <w:r>
              <w:rPr>
                <w:sz w:val="18"/>
              </w:rPr>
              <w:br/>
              <w:t>(dB(W/(m</w:t>
            </w:r>
            <w:r>
              <w:rPr>
                <w:sz w:val="18"/>
                <w:vertAlign w:val="superscript"/>
              </w:rPr>
              <w:t>2</w:t>
            </w:r>
            <w:r>
              <w:rPr>
                <w:sz w:val="18"/>
              </w:rPr>
              <w:t> · 4 kHz)))</w:t>
            </w:r>
          </w:p>
        </w:tc>
        <w:tc>
          <w:tcPr>
            <w:tcW w:w="921" w:type="dxa"/>
            <w:vAlign w:val="center"/>
          </w:tcPr>
          <w:p w:rsidR="002B489A" w:rsidRDefault="004F19C4">
            <w:pPr>
              <w:pStyle w:val="Tablehead"/>
              <w:framePr w:hSpace="181" w:wrap="notBeside" w:vAnchor="text" w:hAnchor="text" w:xAlign="center" w:y="1"/>
              <w:rPr>
                <w:sz w:val="18"/>
              </w:rPr>
            </w:pPr>
            <w:r>
              <w:rPr>
                <w:sz w:val="18"/>
              </w:rPr>
              <w:t>Gain d'antenne satellite (dBi)</w:t>
            </w:r>
          </w:p>
        </w:tc>
        <w:tc>
          <w:tcPr>
            <w:tcW w:w="1334" w:type="dxa"/>
            <w:vAlign w:val="center"/>
          </w:tcPr>
          <w:p w:rsidR="002B489A" w:rsidRDefault="004F19C4">
            <w:pPr>
              <w:pStyle w:val="Tablehead"/>
              <w:framePr w:hSpace="181" w:wrap="notBeside" w:vAnchor="text" w:hAnchor="text" w:xAlign="center" w:y="1"/>
              <w:rPr>
                <w:sz w:val="18"/>
              </w:rPr>
            </w:pPr>
            <w:r>
              <w:rPr>
                <w:sz w:val="18"/>
              </w:rPr>
              <w:t>Puissance de sortie moyenne totale de l'émetteur (dBW)</w:t>
            </w:r>
          </w:p>
        </w:tc>
        <w:tc>
          <w:tcPr>
            <w:tcW w:w="1370" w:type="dxa"/>
            <w:vAlign w:val="center"/>
          </w:tcPr>
          <w:p w:rsidR="002B489A" w:rsidRDefault="004F19C4">
            <w:pPr>
              <w:pStyle w:val="Tablehead"/>
              <w:framePr w:hSpace="181" w:wrap="notBeside" w:vAnchor="text" w:hAnchor="text" w:xAlign="center" w:y="1"/>
              <w:rPr>
                <w:sz w:val="18"/>
              </w:rPr>
            </w:pPr>
            <w:r>
              <w:rPr>
                <w:sz w:val="18"/>
              </w:rPr>
              <w:t>Affaiblissement requis dans l'attribution aux services passifs</w:t>
            </w:r>
            <w:r>
              <w:rPr>
                <w:sz w:val="18"/>
              </w:rPr>
              <w:br/>
              <w:t>(dBc)</w:t>
            </w:r>
          </w:p>
        </w:tc>
        <w:tc>
          <w:tcPr>
            <w:tcW w:w="1789" w:type="dxa"/>
            <w:vAlign w:val="center"/>
          </w:tcPr>
          <w:p w:rsidR="002B489A" w:rsidRDefault="004F19C4">
            <w:pPr>
              <w:pStyle w:val="Tablehead"/>
              <w:framePr w:hSpace="181" w:wrap="notBeside" w:vAnchor="text" w:hAnchor="text" w:xAlign="center" w:y="1"/>
              <w:rPr>
                <w:sz w:val="18"/>
              </w:rPr>
            </w:pPr>
            <w:r>
              <w:rPr>
                <w:sz w:val="18"/>
              </w:rPr>
              <w:t>Niveaux escomptés de rayonnements maximum non désirés (dB(W/(m</w:t>
            </w:r>
            <w:r>
              <w:rPr>
                <w:sz w:val="18"/>
                <w:vertAlign w:val="superscript"/>
              </w:rPr>
              <w:t>2</w:t>
            </w:r>
            <w:r>
              <w:rPr>
                <w:sz w:val="18"/>
              </w:rPr>
              <w:t> · 4 kHz)))</w:t>
            </w:r>
          </w:p>
        </w:tc>
      </w:tr>
      <w:tr w:rsidR="002B489A">
        <w:trPr>
          <w:cantSplit/>
          <w:trHeight w:val="203"/>
        </w:trPr>
        <w:tc>
          <w:tcPr>
            <w:tcW w:w="1455" w:type="dxa"/>
            <w:vMerge/>
          </w:tcPr>
          <w:p w:rsidR="002B489A" w:rsidRDefault="002B489A">
            <w:pPr>
              <w:pStyle w:val="Tabletext"/>
              <w:framePr w:hSpace="181" w:wrap="notBeside" w:vAnchor="text" w:hAnchor="text" w:xAlign="center" w:y="1"/>
              <w:jc w:val="center"/>
              <w:rPr>
                <w:sz w:val="18"/>
              </w:rPr>
            </w:pPr>
          </w:p>
        </w:tc>
        <w:tc>
          <w:tcPr>
            <w:tcW w:w="981" w:type="dxa"/>
          </w:tcPr>
          <w:p w:rsidR="002B489A" w:rsidRDefault="004F19C4">
            <w:pPr>
              <w:pStyle w:val="Tabletext"/>
              <w:framePr w:hSpace="181" w:wrap="notBeside" w:vAnchor="text" w:hAnchor="text" w:xAlign="center" w:y="1"/>
              <w:jc w:val="center"/>
              <w:rPr>
                <w:sz w:val="18"/>
              </w:rPr>
            </w:pPr>
            <w:r>
              <w:rPr>
                <w:sz w:val="18"/>
              </w:rPr>
              <w:t>(1)</w:t>
            </w:r>
          </w:p>
        </w:tc>
        <w:tc>
          <w:tcPr>
            <w:tcW w:w="1789" w:type="dxa"/>
          </w:tcPr>
          <w:p w:rsidR="002B489A" w:rsidRDefault="004F19C4">
            <w:pPr>
              <w:pStyle w:val="Tabletext"/>
              <w:framePr w:hSpace="181" w:wrap="notBeside" w:vAnchor="text" w:hAnchor="text" w:xAlign="center" w:y="1"/>
              <w:jc w:val="center"/>
              <w:rPr>
                <w:sz w:val="18"/>
              </w:rPr>
            </w:pPr>
            <w:r>
              <w:rPr>
                <w:sz w:val="18"/>
              </w:rPr>
              <w:t>(2)</w:t>
            </w:r>
          </w:p>
        </w:tc>
        <w:tc>
          <w:tcPr>
            <w:tcW w:w="921" w:type="dxa"/>
          </w:tcPr>
          <w:p w:rsidR="002B489A" w:rsidRDefault="004F19C4">
            <w:pPr>
              <w:pStyle w:val="Tabletext"/>
              <w:framePr w:hSpace="181" w:wrap="notBeside" w:vAnchor="text" w:hAnchor="text" w:xAlign="center" w:y="1"/>
              <w:jc w:val="center"/>
              <w:rPr>
                <w:sz w:val="18"/>
              </w:rPr>
            </w:pPr>
            <w:r>
              <w:rPr>
                <w:sz w:val="18"/>
              </w:rPr>
              <w:t>(3)</w:t>
            </w:r>
          </w:p>
        </w:tc>
        <w:tc>
          <w:tcPr>
            <w:tcW w:w="1334" w:type="dxa"/>
          </w:tcPr>
          <w:p w:rsidR="002B489A" w:rsidRDefault="004F19C4">
            <w:pPr>
              <w:pStyle w:val="Tabletext"/>
              <w:framePr w:hSpace="181" w:wrap="notBeside" w:vAnchor="text" w:hAnchor="text" w:xAlign="center" w:y="1"/>
              <w:jc w:val="center"/>
              <w:rPr>
                <w:sz w:val="18"/>
              </w:rPr>
            </w:pPr>
            <w:r>
              <w:rPr>
                <w:sz w:val="18"/>
              </w:rPr>
              <w:t>(4)</w:t>
            </w:r>
          </w:p>
        </w:tc>
        <w:tc>
          <w:tcPr>
            <w:tcW w:w="1370" w:type="dxa"/>
          </w:tcPr>
          <w:p w:rsidR="002B489A" w:rsidRDefault="004F19C4">
            <w:pPr>
              <w:pStyle w:val="Tabletext"/>
              <w:framePr w:hSpace="181" w:wrap="notBeside" w:vAnchor="text" w:hAnchor="text" w:xAlign="center" w:y="1"/>
              <w:jc w:val="center"/>
              <w:rPr>
                <w:sz w:val="18"/>
              </w:rPr>
            </w:pPr>
            <w:r>
              <w:rPr>
                <w:sz w:val="18"/>
              </w:rPr>
              <w:t>(5)</w:t>
            </w:r>
          </w:p>
        </w:tc>
        <w:tc>
          <w:tcPr>
            <w:tcW w:w="1789" w:type="dxa"/>
          </w:tcPr>
          <w:p w:rsidR="002B489A" w:rsidRDefault="004F19C4">
            <w:pPr>
              <w:pStyle w:val="Tabletext"/>
              <w:framePr w:hSpace="181" w:wrap="notBeside" w:vAnchor="text" w:hAnchor="text" w:xAlign="center" w:y="1"/>
              <w:jc w:val="center"/>
              <w:rPr>
                <w:sz w:val="18"/>
              </w:rPr>
            </w:pPr>
            <w:r>
              <w:rPr>
                <w:sz w:val="18"/>
              </w:rPr>
              <w:t>(6)</w:t>
            </w:r>
          </w:p>
        </w:tc>
      </w:tr>
      <w:tr w:rsidR="002B489A">
        <w:trPr>
          <w:cantSplit/>
          <w:trHeight w:val="203"/>
        </w:trPr>
        <w:tc>
          <w:tcPr>
            <w:tcW w:w="1455" w:type="dxa"/>
            <w:vMerge w:val="restart"/>
          </w:tcPr>
          <w:p w:rsidR="002B489A" w:rsidRDefault="004F19C4">
            <w:pPr>
              <w:pStyle w:val="Tabletext"/>
              <w:framePr w:hSpace="181" w:wrap="notBeside" w:vAnchor="text" w:hAnchor="text" w:xAlign="center" w:y="1"/>
              <w:jc w:val="center"/>
              <w:rPr>
                <w:sz w:val="18"/>
              </w:rPr>
            </w:pPr>
            <w:r>
              <w:rPr>
                <w:sz w:val="18"/>
              </w:rPr>
              <w:t>1</w:t>
            </w:r>
            <w:r>
              <w:rPr>
                <w:rFonts w:ascii="Tms Rmn" w:hAnsi="Tms Rmn"/>
                <w:sz w:val="12"/>
              </w:rPr>
              <w:t> </w:t>
            </w:r>
            <w:r>
              <w:rPr>
                <w:sz w:val="18"/>
              </w:rPr>
              <w:t>452</w:t>
            </w:r>
            <w:r>
              <w:rPr>
                <w:sz w:val="18"/>
              </w:rPr>
              <w:noBreakHyphen/>
              <w:t>1</w:t>
            </w:r>
            <w:r>
              <w:rPr>
                <w:rFonts w:ascii="Tms Rmn" w:hAnsi="Tms Rmn"/>
                <w:sz w:val="12"/>
              </w:rPr>
              <w:t> </w:t>
            </w:r>
            <w:r>
              <w:rPr>
                <w:sz w:val="18"/>
              </w:rPr>
              <w:t>492</w:t>
            </w:r>
          </w:p>
        </w:tc>
        <w:tc>
          <w:tcPr>
            <w:tcW w:w="981" w:type="dxa"/>
          </w:tcPr>
          <w:p w:rsidR="002B489A" w:rsidRDefault="004F19C4">
            <w:pPr>
              <w:pStyle w:val="Tabletext"/>
              <w:framePr w:hSpace="181" w:wrap="notBeside" w:vAnchor="text" w:hAnchor="text" w:xAlign="center" w:y="1"/>
              <w:jc w:val="center"/>
              <w:rPr>
                <w:sz w:val="18"/>
              </w:rPr>
            </w:pPr>
            <w:r>
              <w:rPr>
                <w:sz w:val="18"/>
              </w:rPr>
              <w:t>1,536</w:t>
            </w:r>
          </w:p>
        </w:tc>
        <w:tc>
          <w:tcPr>
            <w:tcW w:w="1789" w:type="dxa"/>
          </w:tcPr>
          <w:p w:rsidR="002B489A" w:rsidRDefault="004F19C4">
            <w:pPr>
              <w:pStyle w:val="Tabletext"/>
              <w:framePr w:hSpace="181" w:wrap="notBeside" w:vAnchor="text" w:hAnchor="text" w:xAlign="center" w:y="1"/>
              <w:jc w:val="center"/>
              <w:rPr>
                <w:sz w:val="18"/>
              </w:rPr>
            </w:pPr>
            <w:r>
              <w:rPr>
                <w:sz w:val="18"/>
              </w:rPr>
              <w:sym w:font="Symbol" w:char="F02D"/>
            </w:r>
            <w:r>
              <w:rPr>
                <w:sz w:val="18"/>
              </w:rPr>
              <w:t>128</w:t>
            </w:r>
          </w:p>
        </w:tc>
        <w:tc>
          <w:tcPr>
            <w:tcW w:w="921" w:type="dxa"/>
          </w:tcPr>
          <w:p w:rsidR="002B489A" w:rsidRDefault="004F19C4">
            <w:pPr>
              <w:pStyle w:val="Tabletext"/>
              <w:framePr w:hSpace="181" w:wrap="notBeside" w:vAnchor="text" w:hAnchor="text" w:xAlign="center" w:y="1"/>
              <w:jc w:val="center"/>
              <w:rPr>
                <w:sz w:val="18"/>
              </w:rPr>
            </w:pPr>
            <w:r>
              <w:rPr>
                <w:sz w:val="18"/>
              </w:rPr>
              <w:t>30</w:t>
            </w:r>
          </w:p>
        </w:tc>
        <w:tc>
          <w:tcPr>
            <w:tcW w:w="1334" w:type="dxa"/>
          </w:tcPr>
          <w:p w:rsidR="002B489A" w:rsidRDefault="004F19C4">
            <w:pPr>
              <w:pStyle w:val="Tabletext"/>
              <w:framePr w:hSpace="181" w:wrap="notBeside" w:vAnchor="text" w:hAnchor="text" w:xAlign="center" w:y="1"/>
              <w:jc w:val="center"/>
              <w:rPr>
                <w:sz w:val="18"/>
              </w:rPr>
            </w:pPr>
            <w:r>
              <w:rPr>
                <w:sz w:val="18"/>
              </w:rPr>
              <w:t>29,8</w:t>
            </w:r>
          </w:p>
        </w:tc>
        <w:tc>
          <w:tcPr>
            <w:tcW w:w="1370" w:type="dxa"/>
          </w:tcPr>
          <w:p w:rsidR="002B489A" w:rsidRDefault="004F19C4">
            <w:pPr>
              <w:pStyle w:val="Tabletext"/>
              <w:framePr w:hSpace="181" w:wrap="notBeside" w:vAnchor="text" w:hAnchor="text" w:xAlign="center" w:y="1"/>
              <w:jc w:val="center"/>
              <w:rPr>
                <w:sz w:val="18"/>
              </w:rPr>
            </w:pPr>
            <w:r>
              <w:rPr>
                <w:sz w:val="18"/>
              </w:rPr>
              <w:t>60</w:t>
            </w:r>
          </w:p>
        </w:tc>
        <w:tc>
          <w:tcPr>
            <w:tcW w:w="1789" w:type="dxa"/>
          </w:tcPr>
          <w:p w:rsidR="002B489A" w:rsidRDefault="004F19C4">
            <w:pPr>
              <w:pStyle w:val="Tabletext"/>
              <w:framePr w:hSpace="181" w:wrap="notBeside" w:vAnchor="text" w:hAnchor="text" w:xAlign="center" w:y="1"/>
              <w:jc w:val="center"/>
              <w:rPr>
                <w:sz w:val="18"/>
              </w:rPr>
            </w:pPr>
            <w:r>
              <w:rPr>
                <w:sz w:val="18"/>
              </w:rPr>
              <w:t>–162,4</w:t>
            </w:r>
          </w:p>
        </w:tc>
      </w:tr>
      <w:tr w:rsidR="002B489A">
        <w:trPr>
          <w:cantSplit/>
          <w:trHeight w:val="202"/>
        </w:trPr>
        <w:tc>
          <w:tcPr>
            <w:tcW w:w="1455" w:type="dxa"/>
            <w:vMerge/>
          </w:tcPr>
          <w:p w:rsidR="002B489A" w:rsidRDefault="002B489A">
            <w:pPr>
              <w:pStyle w:val="Tabletext"/>
              <w:framePr w:hSpace="181" w:wrap="notBeside" w:vAnchor="text" w:hAnchor="text" w:xAlign="center" w:y="1"/>
              <w:jc w:val="center"/>
              <w:rPr>
                <w:sz w:val="18"/>
              </w:rPr>
            </w:pPr>
          </w:p>
        </w:tc>
        <w:tc>
          <w:tcPr>
            <w:tcW w:w="981" w:type="dxa"/>
          </w:tcPr>
          <w:p w:rsidR="002B489A" w:rsidRDefault="004F19C4">
            <w:pPr>
              <w:pStyle w:val="Tabletext"/>
              <w:framePr w:hSpace="181" w:wrap="notBeside" w:vAnchor="text" w:hAnchor="text" w:xAlign="center" w:y="1"/>
              <w:jc w:val="center"/>
              <w:rPr>
                <w:sz w:val="18"/>
              </w:rPr>
            </w:pPr>
            <w:r>
              <w:rPr>
                <w:sz w:val="18"/>
              </w:rPr>
              <w:t>1,84</w:t>
            </w:r>
          </w:p>
        </w:tc>
        <w:tc>
          <w:tcPr>
            <w:tcW w:w="1789" w:type="dxa"/>
          </w:tcPr>
          <w:p w:rsidR="002B489A" w:rsidRDefault="004F19C4">
            <w:pPr>
              <w:pStyle w:val="Tabletext"/>
              <w:framePr w:hSpace="181" w:wrap="notBeside" w:vAnchor="text" w:hAnchor="text" w:xAlign="center" w:y="1"/>
              <w:jc w:val="center"/>
              <w:rPr>
                <w:sz w:val="18"/>
              </w:rPr>
            </w:pPr>
            <w:r>
              <w:rPr>
                <w:sz w:val="18"/>
              </w:rPr>
              <w:sym w:font="Symbol" w:char="F02D"/>
            </w:r>
            <w:r>
              <w:rPr>
                <w:sz w:val="18"/>
              </w:rPr>
              <w:t>138</w:t>
            </w:r>
          </w:p>
        </w:tc>
        <w:tc>
          <w:tcPr>
            <w:tcW w:w="921" w:type="dxa"/>
          </w:tcPr>
          <w:p w:rsidR="002B489A" w:rsidRDefault="004F19C4">
            <w:pPr>
              <w:pStyle w:val="Tabletext"/>
              <w:framePr w:hSpace="181" w:wrap="notBeside" w:vAnchor="text" w:hAnchor="text" w:xAlign="center" w:y="1"/>
              <w:jc w:val="center"/>
              <w:rPr>
                <w:sz w:val="18"/>
              </w:rPr>
            </w:pPr>
            <w:r>
              <w:rPr>
                <w:sz w:val="18"/>
              </w:rPr>
              <w:t>30</w:t>
            </w:r>
          </w:p>
        </w:tc>
        <w:tc>
          <w:tcPr>
            <w:tcW w:w="1334" w:type="dxa"/>
          </w:tcPr>
          <w:p w:rsidR="002B489A" w:rsidRDefault="004F19C4">
            <w:pPr>
              <w:pStyle w:val="Tabletext"/>
              <w:framePr w:hSpace="181" w:wrap="notBeside" w:vAnchor="text" w:hAnchor="text" w:xAlign="center" w:y="1"/>
              <w:jc w:val="center"/>
              <w:rPr>
                <w:sz w:val="18"/>
              </w:rPr>
            </w:pPr>
            <w:r>
              <w:rPr>
                <w:sz w:val="18"/>
              </w:rPr>
              <w:t>20,6</w:t>
            </w:r>
          </w:p>
        </w:tc>
        <w:tc>
          <w:tcPr>
            <w:tcW w:w="1370" w:type="dxa"/>
          </w:tcPr>
          <w:p w:rsidR="002B489A" w:rsidRDefault="004F19C4">
            <w:pPr>
              <w:pStyle w:val="Tabletext"/>
              <w:framePr w:hSpace="181" w:wrap="notBeside" w:vAnchor="text" w:hAnchor="text" w:xAlign="center" w:y="1"/>
              <w:jc w:val="center"/>
              <w:rPr>
                <w:sz w:val="18"/>
              </w:rPr>
            </w:pPr>
            <w:r>
              <w:rPr>
                <w:sz w:val="18"/>
              </w:rPr>
              <w:t>60</w:t>
            </w:r>
          </w:p>
        </w:tc>
        <w:tc>
          <w:tcPr>
            <w:tcW w:w="1789" w:type="dxa"/>
          </w:tcPr>
          <w:p w:rsidR="002B489A" w:rsidRDefault="004F19C4">
            <w:pPr>
              <w:pStyle w:val="Tabletext"/>
              <w:framePr w:hSpace="181" w:wrap="notBeside" w:vAnchor="text" w:hAnchor="text" w:xAlign="center" w:y="1"/>
              <w:jc w:val="center"/>
              <w:rPr>
                <w:sz w:val="18"/>
              </w:rPr>
            </w:pPr>
            <w:r>
              <w:rPr>
                <w:sz w:val="18"/>
              </w:rPr>
              <w:t>–171,4</w:t>
            </w:r>
          </w:p>
        </w:tc>
      </w:tr>
    </w:tbl>
    <w:p w:rsidR="002B489A" w:rsidRDefault="002B489A">
      <w:pPr>
        <w:pStyle w:val="Tablefin"/>
      </w:pPr>
    </w:p>
    <w:p w:rsidR="002B489A" w:rsidRDefault="004F19C4">
      <w:r>
        <w:t>où:</w:t>
      </w:r>
    </w:p>
    <w:p w:rsidR="002B489A" w:rsidRDefault="004F19C4">
      <w:pPr>
        <w:pStyle w:val="Equation"/>
        <w:tabs>
          <w:tab w:val="left" w:pos="1176"/>
        </w:tabs>
      </w:pPr>
      <w:r>
        <w:tab/>
      </w:r>
      <w:r>
        <w:tab/>
        <w:t>(4) </w:t>
      </w:r>
      <w:r>
        <w:rPr>
          <w:rFonts w:ascii="Symbol" w:hAnsi="Symbol"/>
        </w:rPr>
        <w:t></w:t>
      </w:r>
      <w:r>
        <w:t> (2) </w:t>
      </w:r>
      <w:r>
        <w:rPr>
          <w:rFonts w:ascii="Symbol" w:hAnsi="Symbol"/>
        </w:rPr>
        <w:t></w:t>
      </w:r>
      <w:r>
        <w:t> 162 (affaibl.en espace libre) – (3)</w:t>
      </w:r>
      <w:r>
        <w:rPr>
          <w:i/>
          <w:iCs/>
          <w:vertAlign w:val="subscript"/>
        </w:rPr>
        <w:t>dans la bande</w:t>
      </w:r>
      <w:r>
        <w:t> – 36 </w:t>
      </w:r>
      <w:r>
        <w:rPr>
          <w:rFonts w:ascii="Symbol" w:hAnsi="Symbol"/>
        </w:rPr>
        <w:t></w:t>
      </w:r>
      <w:r>
        <w:t> 10 log((1))</w:t>
      </w:r>
    </w:p>
    <w:p w:rsidR="002B489A" w:rsidRDefault="004F19C4">
      <w:r>
        <w:t>Le niveau de (4) détermine l'affaiblissement requis dans le cas de la limite de rayonnements non essentiels.</w:t>
      </w:r>
    </w:p>
    <w:p w:rsidR="002B489A" w:rsidRDefault="004F19C4">
      <w:pPr>
        <w:pStyle w:val="Equation"/>
        <w:tabs>
          <w:tab w:val="left" w:pos="1176"/>
        </w:tabs>
      </w:pPr>
      <w:r>
        <w:tab/>
      </w:r>
      <w:r>
        <w:tab/>
        <w:t>(6) </w:t>
      </w:r>
      <w:r>
        <w:rPr>
          <w:rFonts w:ascii="Symbol" w:hAnsi="Symbol"/>
        </w:rPr>
        <w:t></w:t>
      </w:r>
      <w:r>
        <w:t> (4) – (5) </w:t>
      </w:r>
      <w:r>
        <w:rPr>
          <w:rFonts w:ascii="Symbol" w:hAnsi="Symbol"/>
        </w:rPr>
        <w:t></w:t>
      </w:r>
      <w:r>
        <w:t> (3)</w:t>
      </w:r>
      <w:r>
        <w:rPr>
          <w:i/>
          <w:iCs/>
          <w:vertAlign w:val="subscript"/>
        </w:rPr>
        <w:t>hors bande</w:t>
      </w:r>
      <w:r>
        <w:t> – 162</w:t>
      </w:r>
    </w:p>
    <w:p w:rsidR="002B489A" w:rsidRDefault="004F19C4">
      <w:r>
        <w:t>On a supposé que les gains de l'antenne satellite aux fréquences de l'attribution aux services passifs sont les mêmes qu'aux fréquences de fonctionnement de l'attribution aux services par satellite (c'est</w:t>
      </w:r>
      <w:r>
        <w:noBreakHyphen/>
        <w:t>à</w:t>
      </w:r>
      <w:r>
        <w:noBreakHyphen/>
        <w:t>dire (3)</w:t>
      </w:r>
      <w:r>
        <w:rPr>
          <w:i/>
          <w:iCs/>
          <w:vertAlign w:val="subscript"/>
        </w:rPr>
        <w:t>dans la bande</w:t>
      </w:r>
      <w:r>
        <w:t> </w:t>
      </w:r>
      <w:r>
        <w:rPr>
          <w:rFonts w:ascii="Symbol" w:hAnsi="Symbol"/>
        </w:rPr>
        <w:t></w:t>
      </w:r>
      <w:r>
        <w:t> (3)</w:t>
      </w:r>
      <w:r>
        <w:rPr>
          <w:i/>
          <w:iCs/>
          <w:vertAlign w:val="subscript"/>
        </w:rPr>
        <w:t>hors bande</w:t>
      </w:r>
      <w:r>
        <w:t xml:space="preserve"> avec la notation utilisée ci-dessous). On devrait garder à l'esprit que cela correspond au cas le plus défavorable.</w:t>
      </w:r>
    </w:p>
    <w:p w:rsidR="002B489A" w:rsidRDefault="004F19C4">
      <w:r>
        <w:br w:type="page"/>
        <w:t xml:space="preserve">La bande attribuée aux services passifs est utilisée à la fois pour les observations de raies spectrales et les observations du continuum. Les observations de raies spectrales sont faites en utilisant une largeur de bande de canal (un des canaux du spectromètre) de (typiquement) 20 kHz, la puissance surfacique de seuil est alors de –196 </w:t>
      </w:r>
      <w:r>
        <w:rPr>
          <w:snapToGrid w:val="0"/>
        </w:rPr>
        <w:t>dB(W/m</w:t>
      </w:r>
      <w:r>
        <w:rPr>
          <w:rFonts w:ascii="Times" w:hAnsi="Times"/>
          <w:spacing w:val="-2"/>
          <w:vertAlign w:val="superscript"/>
        </w:rPr>
        <w:t>2</w:t>
      </w:r>
      <w:r>
        <w:rPr>
          <w:rFonts w:ascii="Times" w:hAnsi="Times"/>
          <w:spacing w:val="-2"/>
        </w:rPr>
        <w:t>)</w:t>
      </w:r>
      <w:r>
        <w:t>. Il faut comparer ce critère de protection avec les valeurs suivantes:</w:t>
      </w:r>
    </w:p>
    <w:p w:rsidR="002B489A" w:rsidRDefault="004F19C4">
      <w:pPr>
        <w:pStyle w:val="Equation"/>
        <w:tabs>
          <w:tab w:val="clear" w:pos="794"/>
        </w:tabs>
      </w:pPr>
      <w:r>
        <w:tab/>
      </w:r>
      <w:r>
        <w:sym w:font="Symbol" w:char="F02D"/>
      </w:r>
      <w:r>
        <w:t>162,4 </w:t>
      </w:r>
      <w:r>
        <w:rPr>
          <w:rFonts w:ascii="Symbol" w:hAnsi="Symbol"/>
        </w:rPr>
        <w:t></w:t>
      </w:r>
      <w:r>
        <w:t> 10 log ((20/4)) </w:t>
      </w:r>
      <w:r>
        <w:rPr>
          <w:rFonts w:ascii="Symbol" w:hAnsi="Symbol"/>
        </w:rPr>
        <w:t></w:t>
      </w:r>
      <w:r>
        <w:t> </w:t>
      </w:r>
      <w:r>
        <w:sym w:font="Symbol" w:char="F02D"/>
      </w:r>
      <w:r>
        <w:t>155,4 dB(W/(m</w:t>
      </w:r>
      <w:r>
        <w:rPr>
          <w:vertAlign w:val="superscript"/>
        </w:rPr>
        <w:t>2</w:t>
      </w:r>
      <w:r>
        <w:t> · 20 kHz))</w:t>
      </w:r>
    </w:p>
    <w:p w:rsidR="002B489A" w:rsidRDefault="004F19C4">
      <w:r>
        <w:t>et avec:</w:t>
      </w:r>
    </w:p>
    <w:p w:rsidR="002B489A" w:rsidRDefault="004F19C4">
      <w:pPr>
        <w:pStyle w:val="Equation"/>
        <w:tabs>
          <w:tab w:val="clear" w:pos="794"/>
        </w:tabs>
      </w:pPr>
      <w:r>
        <w:rPr>
          <w:b/>
          <w:bCs/>
        </w:rPr>
        <w:tab/>
      </w:r>
      <w:r>
        <w:sym w:font="Symbol" w:char="F02D"/>
      </w:r>
      <w:r>
        <w:t>171,4 </w:t>
      </w:r>
      <w:r>
        <w:rPr>
          <w:rFonts w:ascii="Symbol" w:hAnsi="Symbol"/>
        </w:rPr>
        <w:t></w:t>
      </w:r>
      <w:r>
        <w:t> 10 log ((20/4)) </w:t>
      </w:r>
      <w:r>
        <w:rPr>
          <w:rFonts w:ascii="Symbol" w:hAnsi="Symbol"/>
        </w:rPr>
        <w:t></w:t>
      </w:r>
      <w:r>
        <w:t> </w:t>
      </w:r>
      <w:r>
        <w:sym w:font="Symbol" w:char="F02D"/>
      </w:r>
      <w:r>
        <w:t>164,4 dB(W/(m</w:t>
      </w:r>
      <w:r>
        <w:rPr>
          <w:vertAlign w:val="superscript"/>
        </w:rPr>
        <w:t>2</w:t>
      </w:r>
      <w:r>
        <w:t> · 20 kHz))</w:t>
      </w:r>
    </w:p>
    <w:p w:rsidR="002B489A" w:rsidRDefault="004F19C4">
      <w:r>
        <w:t>Cela signifie qu'à la fin du domaine des émissions hors bande, la discordance entre les critères de protection et la limite du rayonnement non essentiel est de l'ordre de 40 dB. Dans la mesure où la fin du domaine des émissions hors bande survient à 1</w:t>
      </w:r>
      <w:r>
        <w:rPr>
          <w:rFonts w:ascii="Tms Rmn" w:hAnsi="Tms Rmn"/>
          <w:sz w:val="12"/>
        </w:rPr>
        <w:t> </w:t>
      </w:r>
      <w:r>
        <w:t>448,928 MHz et où la bande attribuée au SRA commence à 1</w:t>
      </w:r>
      <w:r>
        <w:rPr>
          <w:rFonts w:ascii="Tms Rmn" w:hAnsi="Tms Rmn"/>
          <w:sz w:val="12"/>
        </w:rPr>
        <w:t> </w:t>
      </w:r>
      <w:r>
        <w:t>427 MHz (plus de 10 fois la largeur de bande nécessaire), il est vraisemblable qu'au début de ladite bande, la discordance entre le niveau des rayonnements non essentiels et le critère de protection sera sensiblement inférieure.</w:t>
      </w:r>
    </w:p>
    <w:p w:rsidR="002B489A" w:rsidRDefault="004F19C4">
      <w:pPr>
        <w:spacing w:before="80"/>
      </w:pPr>
      <w:r>
        <w:t>En particulier, si nous prenons pour hypothèse que la diminution du signal, au sein du domaine des rayonnements non essentiels, va suivre le nouveau gabarit hors bande tel que développé pour le système SRS (Recommandation UIT-R SM.1541), l'affaiblissement sera alors donné par:</w:t>
      </w:r>
    </w:p>
    <w:p w:rsidR="002B489A" w:rsidRDefault="004F19C4">
      <w:pPr>
        <w:pStyle w:val="Equation"/>
        <w:spacing w:before="240" w:after="120"/>
      </w:pPr>
      <w:r>
        <w:tab/>
      </w:r>
      <w:r>
        <w:tab/>
      </w:r>
      <w:r>
        <w:rPr>
          <w:position w:val="-28"/>
          <w:sz w:val="20"/>
        </w:rPr>
        <w:object w:dxaOrig="1540" w:dyaOrig="680">
          <v:shape id="_x0000_i1035" type="#_x0000_t75" style="width:77pt;height:34pt" o:ole="" fillcolor="window">
            <v:imagedata r:id="rId30" o:title=""/>
          </v:shape>
          <o:OLEObject Type="Embed" ProgID="Equation.3" ShapeID="_x0000_i1035" DrawAspect="Content" ObjectID="_1649163281" r:id="rId31"/>
        </w:object>
      </w:r>
      <w:r>
        <w:t>         dBsd</w:t>
      </w:r>
    </w:p>
    <w:p w:rsidR="002B489A" w:rsidRDefault="0006728D">
      <w:pPr>
        <w:pStyle w:val="FigureNo"/>
      </w:pPr>
      <w:r>
        <w:rPr>
          <w:noProof/>
          <w:lang w:val="fr-CH" w:eastAsia="fr-CH"/>
        </w:rPr>
        <w:drawing>
          <wp:inline distT="0" distB="0" distL="0" distR="0">
            <wp:extent cx="4457700" cy="3219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57700" cy="3219450"/>
                    </a:xfrm>
                    <a:prstGeom prst="rect">
                      <a:avLst/>
                    </a:prstGeom>
                    <a:noFill/>
                    <a:ln>
                      <a:noFill/>
                    </a:ln>
                  </pic:spPr>
                </pic:pic>
              </a:graphicData>
            </a:graphic>
          </wp:inline>
        </w:drawing>
      </w:r>
    </w:p>
    <w:p w:rsidR="002B489A" w:rsidRDefault="004F19C4">
      <w:r>
        <w:t>Dans un tel cas, la discordance à la bordure de l'attribution au SRA est d'environ 25 dB (environ 20 dB dans le cas du système numérique DS). Ce brouillage subsistant devrait être évité par des techniques de réduction des brouillages supplémentaires (isolement géographique et filtrage).</w:t>
      </w:r>
    </w:p>
    <w:p w:rsidR="002B489A" w:rsidRDefault="004F19C4">
      <w:pPr>
        <w:pStyle w:val="Heading3"/>
      </w:pPr>
      <w:r>
        <w:br w:type="page"/>
        <w:t>4.3.2</w:t>
      </w:r>
      <w:r>
        <w:tab/>
        <w:t>Observations VLBI</w:t>
      </w:r>
    </w:p>
    <w:p w:rsidR="002B489A" w:rsidRDefault="004F19C4">
      <w:pPr>
        <w:rPr>
          <w:rFonts w:ascii="Times" w:hAnsi="Times"/>
          <w:spacing w:val="-2"/>
        </w:rPr>
      </w:pPr>
      <w:r>
        <w:t>Les observations VLBI, dans lesquelles des signaux provenant d'antennes largement séparées sont enregistrés et corrélés après les observations, sont beaucoup moins vulnérables au brouillage. Ceci est reflété dans le niveau de seuil de puissance surfacique pour les observations VLBI dans cette bande, –166 dB(W/m</w:t>
      </w:r>
      <w:r>
        <w:rPr>
          <w:vertAlign w:val="superscript"/>
        </w:rPr>
        <w:t>2</w:t>
      </w:r>
      <w:r>
        <w:rPr>
          <w:rFonts w:ascii="Times" w:hAnsi="Times"/>
          <w:spacing w:val="-2"/>
        </w:rPr>
        <w:t>), pour une largeur de bande de 20 kHz.</w:t>
      </w:r>
    </w:p>
    <w:p w:rsidR="002B489A" w:rsidRDefault="004F19C4">
      <w:pPr>
        <w:rPr>
          <w:rFonts w:ascii="Times" w:hAnsi="Times"/>
          <w:spacing w:val="-2"/>
        </w:rPr>
      </w:pPr>
      <w:r>
        <w:rPr>
          <w:rFonts w:ascii="Times" w:hAnsi="Times"/>
          <w:spacing w:val="-2"/>
        </w:rPr>
        <w:t>Selon le calcul effectué dans le § 4.3.1, il est vraisemblable que les critères de protection VLBI seront satisfaits.</w:t>
      </w:r>
    </w:p>
    <w:p w:rsidR="002B489A" w:rsidRDefault="004F19C4">
      <w:pPr>
        <w:pStyle w:val="Heading3"/>
      </w:pPr>
      <w:r>
        <w:t>4.3.3</w:t>
      </w:r>
      <w:r>
        <w:tab/>
        <w:t>Observations du continuum</w:t>
      </w:r>
    </w:p>
    <w:p w:rsidR="002B489A" w:rsidRDefault="004F19C4">
      <w:r>
        <w:t>Pour faire des observations du continuum à une seule antenne, la totalité de la largeur de bande de 27 MHz est utilisée, auquel cas la limite du seuil de puissance surfacique pour le brouillage nuisible est de –180 dB(W/m</w:t>
      </w:r>
      <w:r>
        <w:rPr>
          <w:vertAlign w:val="superscript"/>
        </w:rPr>
        <w:t>2</w:t>
      </w:r>
      <w:r>
        <w:t>).</w:t>
      </w:r>
    </w:p>
    <w:p w:rsidR="002B489A" w:rsidRDefault="004F19C4">
      <w:r>
        <w:t>En prenant en compte les deux systèmes donnés au Tableau 3, le niveau maximum de puissance surfacique dans la bande est:</w:t>
      </w:r>
    </w:p>
    <w:p w:rsidR="002B489A" w:rsidRDefault="004F19C4">
      <w:pPr>
        <w:pStyle w:val="Equationlegend"/>
        <w:ind w:left="0" w:firstLine="0"/>
        <w:jc w:val="center"/>
        <w:rPr>
          <w:lang w:val="fr-FR"/>
        </w:rPr>
      </w:pPr>
      <w:r>
        <w:rPr>
          <w:lang w:val="fr-FR"/>
        </w:rPr>
        <w:tab/>
      </w:r>
      <w:r>
        <w:sym w:font="Symbol" w:char="F02D"/>
      </w:r>
      <w:r>
        <w:rPr>
          <w:lang w:val="fr-FR"/>
        </w:rPr>
        <w:t>128 </w:t>
      </w:r>
      <w:r>
        <w:rPr>
          <w:rFonts w:ascii="Symbol" w:hAnsi="Symbol"/>
        </w:rPr>
        <w:t></w:t>
      </w:r>
      <w:r>
        <w:rPr>
          <w:lang w:val="fr-FR"/>
        </w:rPr>
        <w:t> 10 log</w:t>
      </w:r>
      <w:r>
        <w:rPr>
          <w:vertAlign w:val="subscript"/>
          <w:lang w:val="fr-FR"/>
        </w:rPr>
        <w:t>10</w:t>
      </w:r>
      <w:r>
        <w:rPr>
          <w:lang w:val="fr-FR"/>
        </w:rPr>
        <w:t> (1,536 MHz/4 kHz) </w:t>
      </w:r>
      <w:r>
        <w:rPr>
          <w:rFonts w:ascii="Symbol" w:hAnsi="Symbol"/>
          <w:lang w:val="fr-FR"/>
        </w:rPr>
        <w:t></w:t>
      </w:r>
      <w:r>
        <w:rPr>
          <w:lang w:val="fr-FR"/>
        </w:rPr>
        <w:t> </w:t>
      </w:r>
      <w:r>
        <w:sym w:font="Symbol" w:char="F02D"/>
      </w:r>
      <w:r>
        <w:rPr>
          <w:lang w:val="fr-FR"/>
        </w:rPr>
        <w:t>102 dB(W/(m</w:t>
      </w:r>
      <w:r>
        <w:rPr>
          <w:vertAlign w:val="superscript"/>
          <w:lang w:val="fr-FR"/>
        </w:rPr>
        <w:t>2</w:t>
      </w:r>
      <w:r>
        <w:rPr>
          <w:lang w:val="fr-FR"/>
        </w:rPr>
        <w:t> · 1,536 MHz/4 kHz))</w:t>
      </w:r>
    </w:p>
    <w:p w:rsidR="002B489A" w:rsidRDefault="004F19C4">
      <w:r>
        <w:t>Si ce système suit la même décroissance du signal que celle proposée par le GT 4A dans le Document 1-7/149, alors la réjection entre la puissance dans la bande et la puissance intégrée au</w:t>
      </w:r>
      <w:r>
        <w:noBreakHyphen/>
        <w:t>dessus de 27 MHz sera supérieure à 80 dB. Ceci signifie qu'il satisfera aux critères de protection d'observation du continuum. Cela confirme aussi qu'il satisfera aux critères de protection de l'interférométrie VLBI.</w:t>
      </w:r>
    </w:p>
    <w:p w:rsidR="002B489A" w:rsidRDefault="004F19C4">
      <w:pPr>
        <w:pStyle w:val="Heading1"/>
        <w:ind w:left="0" w:firstLine="0"/>
      </w:pPr>
      <w:r>
        <w:t>5</w:t>
      </w:r>
      <w:r>
        <w:tab/>
        <w:t>Techniques de réduction des brouillages</w:t>
      </w:r>
    </w:p>
    <w:p w:rsidR="002B489A" w:rsidRDefault="004F19C4">
      <w:pPr>
        <w:pStyle w:val="Heading2"/>
      </w:pPr>
      <w:r>
        <w:t>5.1</w:t>
      </w:r>
      <w:r>
        <w:tab/>
        <w:t>SRA</w:t>
      </w:r>
    </w:p>
    <w:p w:rsidR="002B489A" w:rsidRDefault="004F19C4">
      <w:r>
        <w:t>On peut utiliser diverses méthodes, y compris celles qui sont décrites ci-dessous, pour réduire les rayonnements non désirés causés par les émetteurs de satellite à un radiotélescope.</w:t>
      </w:r>
    </w:p>
    <w:p w:rsidR="002B489A" w:rsidRDefault="004F19C4">
      <w:r>
        <w:rPr>
          <w:i/>
        </w:rPr>
        <w:t>Performances du lobe latéral de l'antenne:</w:t>
      </w:r>
      <w:r>
        <w:t xml:space="preserve">  L'éclairement lumineux d'ouverture des radiotélescopes est habituellement optimisé pour </w:t>
      </w:r>
      <w:r>
        <w:rPr>
          <w:i/>
          <w:iCs/>
        </w:rPr>
        <w:t>G</w:t>
      </w:r>
      <w:r>
        <w:t>/</w:t>
      </w:r>
      <w:r>
        <w:rPr>
          <w:i/>
          <w:iCs/>
        </w:rPr>
        <w:t>T</w:t>
      </w:r>
      <w:r>
        <w:t xml:space="preserve">, c'est-à-dire le gain du télescope divisé par la température du système. Cela maximise le rapport </w:t>
      </w:r>
      <w:r>
        <w:rPr>
          <w:i/>
          <w:iCs/>
        </w:rPr>
        <w:t>S</w:t>
      </w:r>
      <w:r>
        <w:t>/</w:t>
      </w:r>
      <w:r>
        <w:rPr>
          <w:i/>
          <w:iCs/>
        </w:rPr>
        <w:t>N</w:t>
      </w:r>
      <w:r>
        <w:t xml:space="preserve"> pour les points sources. Un élément clé de cette approche est de réduire le rayonnement du sol entrant par les lobes latéraux distants. Inévitablement, cela conduit à un certain accroissement correspondant dans les niveaux de lobes latéraux proches. L'expérience a montré que le gabarit d'enveloppe de lobe latéral donné dans la Recommandation UIT-R SA.509 est satisfait par la majorité des radiotélescopes dans la plupart des directions.</w:t>
      </w:r>
    </w:p>
    <w:p w:rsidR="002B489A" w:rsidRDefault="004F19C4">
      <w:r>
        <w:rPr>
          <w:i/>
        </w:rPr>
        <w:t>Suppression de faisceau en temps et/ou fréquence:</w:t>
      </w:r>
      <w:r>
        <w:t>  Cette technique peut être appliquée dans certains cas lorsque le brouillage sur la bande de fréquences attribuée à la radioastronomie peut être identifié pleinement et sans ambiguïté en temps et/ou en fréquence.</w:t>
      </w:r>
    </w:p>
    <w:p w:rsidR="002B489A" w:rsidRDefault="004F19C4">
      <w:pPr>
        <w:pStyle w:val="Heading2"/>
      </w:pPr>
      <w:r>
        <w:t>5.2</w:t>
      </w:r>
      <w:r>
        <w:tab/>
        <w:t>SRS</w:t>
      </w:r>
    </w:p>
    <w:p w:rsidR="002B489A" w:rsidRDefault="004F19C4">
      <w:r>
        <w:t>Ce service suppose l'émission continue de signaux en permanence ou pendant de longs laps de temps, avec puissance et spectre constants. Des procédures de réduction des brouillages possibles sont destinées à éviter d'émettre des rayonnements non désirés dans la direction des stations de radioastronomie qui utilisent cette bande, ou à utiliser des filtres pour supprimer de façon appropriée les rayonnements non désirés jusqu'à un niveau où ne soient pas causés de brouillages gênants aux observations radioastronomiques dans la bande 1</w:t>
      </w:r>
      <w:r>
        <w:rPr>
          <w:rFonts w:ascii="Tms Rmn" w:hAnsi="Tms Rmn"/>
          <w:sz w:val="12"/>
        </w:rPr>
        <w:t> </w:t>
      </w:r>
      <w:r>
        <w:t>400-1</w:t>
      </w:r>
      <w:r>
        <w:rPr>
          <w:rFonts w:ascii="Tms Rmn" w:hAnsi="Tms Rmn"/>
          <w:sz w:val="12"/>
        </w:rPr>
        <w:t> </w:t>
      </w:r>
      <w:r>
        <w:t>427 MHz.</w:t>
      </w:r>
    </w:p>
    <w:p w:rsidR="002B489A" w:rsidRDefault="004F19C4">
      <w:pPr>
        <w:pStyle w:val="Heading2"/>
      </w:pPr>
      <w:r>
        <w:br w:type="page"/>
        <w:t>5.3</w:t>
      </w:r>
      <w:r>
        <w:tab/>
        <w:t>Impact potentiel</w:t>
      </w:r>
    </w:p>
    <w:p w:rsidR="002B489A" w:rsidRDefault="004F19C4">
      <w:pPr>
        <w:pStyle w:val="Heading3"/>
      </w:pPr>
      <w:r>
        <w:t>5.3.1</w:t>
      </w:r>
      <w:r>
        <w:tab/>
        <w:t>SRA</w:t>
      </w:r>
    </w:p>
    <w:p w:rsidR="002B489A" w:rsidRDefault="004F19C4">
      <w:r>
        <w:rPr>
          <w:i/>
        </w:rPr>
        <w:t>Performances du lobe latéral de l'antenne</w:t>
      </w:r>
      <w:r>
        <w:rPr>
          <w:i/>
          <w:iCs/>
        </w:rPr>
        <w:t>:</w:t>
      </w:r>
      <w:r>
        <w:t>  Les tentatives de diminution de la sensibilité des antennes de radioastronomie aux rayonnements non désirés provenant des stations spatiales vont vraisemblablement accroître la sensibilité des télescopes radioastronomiques au rayonnement du sol, et pourraient réduire leur gain de faisceau principal. Ces deux effets réduiront la capacité de canal du télescope et conduiront à une augmentation du temps d'intégration total nécessaire.</w:t>
      </w:r>
    </w:p>
    <w:p w:rsidR="002B489A" w:rsidRDefault="004F19C4">
      <w:pPr>
        <w:pStyle w:val="enumlev1"/>
        <w:ind w:left="0" w:firstLine="0"/>
        <w:rPr>
          <w:spacing w:val="-2"/>
        </w:rPr>
      </w:pPr>
      <w:r>
        <w:rPr>
          <w:i/>
          <w:spacing w:val="-2"/>
        </w:rPr>
        <w:t>Suppression de faisceau en temps et/ou fréquence:</w:t>
      </w:r>
      <w:r>
        <w:rPr>
          <w:spacing w:val="-2"/>
        </w:rPr>
        <w:t>  La suppression comporte le risque de compromettre l'intégrité des données et peut conduire à des erreurs de leur interprétation scientifique. Elle est également à l'origine d'un accroissement concomitant du temps d'intégration total requis pour faire l'observation, ce qui est équivalent à une perte de la capacité de canal du télescope.</w:t>
      </w:r>
    </w:p>
    <w:p w:rsidR="002B489A" w:rsidRDefault="004F19C4">
      <w:pPr>
        <w:pStyle w:val="Heading3"/>
      </w:pPr>
      <w:r>
        <w:t>5.3.2</w:t>
      </w:r>
      <w:r>
        <w:tab/>
        <w:t>SRS</w:t>
      </w:r>
    </w:p>
    <w:p w:rsidR="002B489A" w:rsidRDefault="004F19C4">
      <w:r>
        <w:t>Les filtres sont une façon évidente de supprimer les rayonnements non désirés, mais l'ajout de tels filtres peut affecter de façon substantielle la conception du satellite. Si on utilise une antenne active en réseau à commande de phase, des filtres peuvent être nécessaires pour chaque élément d'antenne activé. Cela va accroître le poids du satellite. La compensation de l'affaiblissement du filtre exigera des émetteurs plus puissants, ce qui à son tour exigera plus de puissance de transport, et ainsi de plus grands dispositifs d'énergie solaire. Cet accroissement de poids pourrait être suffisant pour exiger de plus gros lanceurs. L'impact sur les coûts pourrait être considérable. Par conséquent, la mise en œuvre de filtres ne peut être prise en considération qu'au stade de la conception d'un système. Cependant, les améliorations techniques continues de la conception des filtres et des antennes actives peuvent à l'avenir réduire le problème de la mise en œuvre de telles solutions dans des proportions acceptables.</w:t>
      </w:r>
    </w:p>
    <w:p w:rsidR="002B489A" w:rsidRDefault="004F19C4">
      <w:pPr>
        <w:pStyle w:val="Heading1"/>
      </w:pPr>
      <w:r>
        <w:t>6</w:t>
      </w:r>
      <w:r>
        <w:tab/>
        <w:t>Résulta</w:t>
      </w:r>
      <w:r>
        <w:tab/>
        <w:t>ts des études</w:t>
      </w:r>
    </w:p>
    <w:p w:rsidR="002B489A" w:rsidRDefault="004F19C4">
      <w:pPr>
        <w:pStyle w:val="Heading2"/>
      </w:pPr>
      <w:r>
        <w:t>6.1</w:t>
      </w:r>
      <w:r>
        <w:tab/>
        <w:t>Résumé</w:t>
      </w:r>
    </w:p>
    <w:p w:rsidR="002B489A" w:rsidRDefault="004F19C4">
      <w:r>
        <w:t>Les calculs présentés dans les paragraphes précédents concernent la compatibilité entre les systèmes SRS OSG fonctionnant dans la bande 1</w:t>
      </w:r>
      <w:r>
        <w:rPr>
          <w:rFonts w:ascii="Tms Rmn" w:hAnsi="Tms Rmn"/>
          <w:sz w:val="12"/>
        </w:rPr>
        <w:t> </w:t>
      </w:r>
      <w:r>
        <w:t>400-1</w:t>
      </w:r>
      <w:r>
        <w:rPr>
          <w:rFonts w:ascii="Tms Rmn" w:hAnsi="Tms Rmn"/>
          <w:sz w:val="12"/>
        </w:rPr>
        <w:t> </w:t>
      </w:r>
      <w:r>
        <w:t>427 MHz et le SRA fonctionnant dans la bande 1</w:t>
      </w:r>
      <w:r>
        <w:rPr>
          <w:rFonts w:ascii="Tms Rmn" w:hAnsi="Tms Rmn"/>
          <w:sz w:val="12"/>
        </w:rPr>
        <w:t> </w:t>
      </w:r>
      <w:r>
        <w:t>400-1</w:t>
      </w:r>
      <w:r>
        <w:rPr>
          <w:rFonts w:ascii="Tms Rmn" w:hAnsi="Tms Rmn"/>
          <w:sz w:val="12"/>
        </w:rPr>
        <w:t> </w:t>
      </w:r>
      <w:r>
        <w:t>427 MHz. Des études ultérieures seront nécessaires pour traiter le cas des systèmes non OSG.</w:t>
      </w:r>
    </w:p>
    <w:p w:rsidR="002B489A" w:rsidRDefault="004F19C4">
      <w:r>
        <w:t>Les calculs présentés dans les paragraphes précédents montrent que les systèmes SRS satisferont aux critères de protection de l'interférométrie VLBI et des observations du continuum, comme expliqué au § 1.3. Cependant, pour satisfaire aux critères de protection de raie spectrale, il est vraisemblable que des techniques de réduction des brouillages, telles que le filtrage, devront être mises en oeuvre. En prenant en compte le fait que la bande de garde existante entre les bandes attribuées au SRA et au SRS est importante par rapport à la largeur de bande nécessaire utilisée par les systèmes SRS, on s'attend à ce que les critères de protection du SRA soient techniquement réalisables en utilisant des techniques de réduction des brouillages telles que le filtrage et l'isolement géographique. On notera que l'impact économique de la mise en œuvre de telles techniques est significatif.</w:t>
      </w:r>
    </w:p>
    <w:p w:rsidR="002B489A" w:rsidRDefault="004F19C4">
      <w:pPr>
        <w:pStyle w:val="Heading2"/>
      </w:pPr>
      <w:r>
        <w:t>6.2</w:t>
      </w:r>
      <w:r>
        <w:tab/>
        <w:t>Conclusions</w:t>
      </w:r>
    </w:p>
    <w:p w:rsidR="002B489A" w:rsidRDefault="004F19C4">
      <w:r>
        <w:t>Les critères de protection pour les observations radioastronomiques dans cette bande peuvent être satisfaits pour les observations du continuum et d'interférométrie VLBI et pour les observations de raie spectrale lorsque les techniques de réduction des brouillages appropriées sont utilisées.</w:t>
      </w:r>
    </w:p>
    <w:p w:rsidR="002B489A" w:rsidRDefault="004F19C4">
      <w:pPr>
        <w:pStyle w:val="AnnexNoTitle"/>
      </w:pPr>
      <w:r>
        <w:br w:type="page"/>
        <w:t>Annexe 3</w:t>
      </w:r>
      <w:r>
        <w:br/>
      </w:r>
      <w:r>
        <w:br/>
        <w:t>Analyse de compatibilité entre les systèmes du SETS (passive) fonctionnant dans la bande 1</w:t>
      </w:r>
      <w:r>
        <w:rPr>
          <w:rFonts w:ascii="Tms Rmn" w:hAnsi="Tms Rmn"/>
          <w:sz w:val="12"/>
        </w:rPr>
        <w:t> </w:t>
      </w:r>
      <w:r>
        <w:t>400</w:t>
      </w:r>
      <w:r>
        <w:noBreakHyphen/>
        <w:t>1</w:t>
      </w:r>
      <w:r>
        <w:rPr>
          <w:rFonts w:ascii="Tms Rmn" w:hAnsi="Tms Rmn"/>
          <w:sz w:val="12"/>
        </w:rPr>
        <w:t> </w:t>
      </w:r>
      <w:r>
        <w:t>427 MHz et les systèmes de service de radiolocalisation fonctionnant dans la bande 1</w:t>
      </w:r>
      <w:r>
        <w:rPr>
          <w:rFonts w:ascii="Tms Rmn" w:hAnsi="Tms Rmn"/>
          <w:sz w:val="12"/>
        </w:rPr>
        <w:t> </w:t>
      </w:r>
      <w:r>
        <w:t>350</w:t>
      </w:r>
      <w:r>
        <w:noBreakHyphen/>
        <w:t>1</w:t>
      </w:r>
      <w:r>
        <w:rPr>
          <w:rFonts w:ascii="Tms Rmn" w:hAnsi="Tms Rmn"/>
          <w:sz w:val="12"/>
        </w:rPr>
        <w:t> </w:t>
      </w:r>
      <w:r>
        <w:t>400 MHz</w:t>
      </w:r>
    </w:p>
    <w:p w:rsidR="002B489A" w:rsidRDefault="004F19C4">
      <w:pPr>
        <w:pStyle w:val="Heading1"/>
      </w:pPr>
      <w:r>
        <w:t>1</w:t>
      </w:r>
      <w:r>
        <w:tab/>
        <w:t>SETS (passive)</w:t>
      </w:r>
    </w:p>
    <w:p w:rsidR="002B489A" w:rsidRDefault="004F19C4">
      <w:pPr>
        <w:pStyle w:val="Heading2"/>
      </w:pPr>
      <w:r>
        <w:t>1.1</w:t>
      </w:r>
      <w:r>
        <w:tab/>
        <w:t>Bande attribuée</w:t>
      </w:r>
    </w:p>
    <w:p w:rsidR="002B489A" w:rsidRDefault="004F19C4">
      <w:r>
        <w:t>Cette Annexe présente une étude bande par bande entre le service de radiolocalisation attribué dans la bande 1</w:t>
      </w:r>
      <w:r>
        <w:rPr>
          <w:rFonts w:ascii="Tms Rmn" w:hAnsi="Tms Rmn"/>
          <w:sz w:val="12"/>
        </w:rPr>
        <w:t> </w:t>
      </w:r>
      <w:r>
        <w:t>350</w:t>
      </w:r>
      <w:r>
        <w:noBreakHyphen/>
        <w:t>1</w:t>
      </w:r>
      <w:r>
        <w:rPr>
          <w:rFonts w:ascii="Tms Rmn" w:hAnsi="Tms Rmn"/>
          <w:sz w:val="12"/>
        </w:rPr>
        <w:t> </w:t>
      </w:r>
      <w:r>
        <w:t>400 MHz adjacente à la bande passive de 1</w:t>
      </w:r>
      <w:r>
        <w:rPr>
          <w:rFonts w:ascii="Tms Rmn" w:hAnsi="Tms Rmn"/>
          <w:sz w:val="12"/>
        </w:rPr>
        <w:t> </w:t>
      </w:r>
      <w:r>
        <w:t>400</w:t>
      </w:r>
      <w:r>
        <w:noBreakHyphen/>
        <w:t>1</w:t>
      </w:r>
      <w:r>
        <w:rPr>
          <w:rFonts w:ascii="Tms Rmn" w:hAnsi="Tms Rmn"/>
          <w:sz w:val="12"/>
        </w:rPr>
        <w:t> </w:t>
      </w:r>
      <w:r>
        <w:t>427 MHz</w:t>
      </w:r>
      <w:r>
        <w:rPr>
          <w:b/>
        </w:rPr>
        <w:t xml:space="preserve"> </w:t>
      </w:r>
      <w:r>
        <w:t>attribuée au SETS (passive). On notera que conformément au numéro 5.340 du RR, toutes les émissions sont interdites dans la bande 1</w:t>
      </w:r>
      <w:r>
        <w:rPr>
          <w:rFonts w:ascii="Tms Rmn" w:hAnsi="Tms Rmn"/>
          <w:sz w:val="12"/>
        </w:rPr>
        <w:t> </w:t>
      </w:r>
      <w:r>
        <w:t>400</w:t>
      </w:r>
      <w:r>
        <w:noBreakHyphen/>
        <w:t>1</w:t>
      </w:r>
      <w:r>
        <w:rPr>
          <w:rFonts w:ascii="Tms Rmn" w:hAnsi="Tms Rmn"/>
          <w:sz w:val="12"/>
        </w:rPr>
        <w:t> </w:t>
      </w:r>
      <w:r>
        <w:t>427 MHz. Les attributions sont indiquées au Tableau 6.</w:t>
      </w:r>
    </w:p>
    <w:p w:rsidR="002B489A" w:rsidRDefault="004F19C4">
      <w:pPr>
        <w:pStyle w:val="TableNo"/>
      </w:pPr>
      <w:r>
        <w:t>TABLEAU  6</w:t>
      </w:r>
    </w:p>
    <w:p w:rsidR="002B489A" w:rsidRDefault="004F19C4">
      <w:pPr>
        <w:pStyle w:val="Tabletitle"/>
      </w:pPr>
      <w:r>
        <w:t>Attributions dans les bandes adjacentes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2B489A">
        <w:tc>
          <w:tcPr>
            <w:tcW w:w="3289" w:type="dxa"/>
            <w:shd w:val="clear" w:color="auto" w:fill="FFFFFF"/>
            <w:vAlign w:val="center"/>
          </w:tcPr>
          <w:p w:rsidR="002B489A" w:rsidRDefault="004F19C4">
            <w:pPr>
              <w:pStyle w:val="Tablehead"/>
              <w:framePr w:hSpace="181" w:wrap="notBeside" w:vAnchor="text" w:hAnchor="text" w:xAlign="center" w:y="1"/>
            </w:pPr>
            <w:r>
              <w:t xml:space="preserve">Service dans les bandes </w:t>
            </w:r>
            <w:r>
              <w:br/>
              <w:t>attribuées inférieures</w:t>
            </w:r>
          </w:p>
        </w:tc>
        <w:tc>
          <w:tcPr>
            <w:tcW w:w="3289" w:type="dxa"/>
            <w:shd w:val="clear" w:color="auto" w:fill="FFFFFF"/>
            <w:vAlign w:val="center"/>
          </w:tcPr>
          <w:p w:rsidR="002B489A" w:rsidRDefault="004F19C4">
            <w:pPr>
              <w:pStyle w:val="Tablehead"/>
              <w:framePr w:hSpace="181" w:wrap="notBeside" w:vAnchor="text" w:hAnchor="text" w:xAlign="center" w:y="1"/>
            </w:pPr>
            <w:r>
              <w:t>Bande passive</w:t>
            </w:r>
          </w:p>
        </w:tc>
        <w:tc>
          <w:tcPr>
            <w:tcW w:w="3289" w:type="dxa"/>
            <w:shd w:val="clear" w:color="auto" w:fill="FFFFFF"/>
            <w:vAlign w:val="center"/>
          </w:tcPr>
          <w:p w:rsidR="002B489A" w:rsidRDefault="004F19C4">
            <w:pPr>
              <w:pStyle w:val="Tablehead"/>
              <w:framePr w:hSpace="181" w:wrap="notBeside" w:vAnchor="text" w:hAnchor="text" w:xAlign="center" w:y="1"/>
            </w:pPr>
            <w:r>
              <w:t>Service dans les bandes attribuées supérieures</w:t>
            </w:r>
          </w:p>
        </w:tc>
      </w:tr>
      <w:tr w:rsidR="002B489A">
        <w:tc>
          <w:tcPr>
            <w:tcW w:w="3289" w:type="dxa"/>
            <w:vAlign w:val="center"/>
          </w:tcPr>
          <w:p w:rsidR="002B489A" w:rsidRDefault="004F19C4">
            <w:pPr>
              <w:pStyle w:val="Tablehead"/>
              <w:framePr w:hSpace="181" w:wrap="notBeside" w:vAnchor="text" w:hAnchor="text" w:xAlign="center" w:y="1"/>
            </w:pPr>
            <w:r>
              <w:t>1</w:t>
            </w:r>
            <w:r>
              <w:rPr>
                <w:rFonts w:ascii="Tms Rmn" w:hAnsi="Tms Rmn"/>
                <w:sz w:val="12"/>
              </w:rPr>
              <w:t> </w:t>
            </w:r>
            <w:r>
              <w:t>350-1</w:t>
            </w:r>
            <w:r>
              <w:rPr>
                <w:rFonts w:ascii="Tms Rmn" w:hAnsi="Tms Rmn"/>
                <w:sz w:val="12"/>
              </w:rPr>
              <w:t> </w:t>
            </w:r>
            <w:r>
              <w:t>400 MHz</w:t>
            </w:r>
          </w:p>
        </w:tc>
        <w:tc>
          <w:tcPr>
            <w:tcW w:w="3289" w:type="dxa"/>
            <w:vAlign w:val="center"/>
          </w:tcPr>
          <w:p w:rsidR="002B489A" w:rsidRDefault="004F19C4">
            <w:pPr>
              <w:pStyle w:val="Tablehead"/>
              <w:framePr w:hSpace="181" w:wrap="notBeside" w:vAnchor="text" w:hAnchor="text" w:xAlign="center" w:y="1"/>
            </w:pPr>
            <w:r>
              <w:t>1</w:t>
            </w:r>
            <w:r>
              <w:rPr>
                <w:rFonts w:ascii="Tms Rmn" w:hAnsi="Tms Rmn"/>
                <w:sz w:val="12"/>
              </w:rPr>
              <w:t> </w:t>
            </w:r>
            <w:r>
              <w:t>400-1</w:t>
            </w:r>
            <w:r>
              <w:rPr>
                <w:rFonts w:ascii="Tms Rmn" w:hAnsi="Tms Rmn"/>
                <w:sz w:val="12"/>
              </w:rPr>
              <w:t> </w:t>
            </w:r>
            <w:r>
              <w:t>427 MHz</w:t>
            </w:r>
          </w:p>
        </w:tc>
        <w:tc>
          <w:tcPr>
            <w:tcW w:w="3289" w:type="dxa"/>
            <w:vAlign w:val="center"/>
          </w:tcPr>
          <w:p w:rsidR="002B489A" w:rsidRDefault="004F19C4">
            <w:pPr>
              <w:pStyle w:val="Tablehead"/>
              <w:framePr w:hSpace="181" w:wrap="notBeside" w:vAnchor="text" w:hAnchor="text" w:xAlign="center" w:y="1"/>
            </w:pPr>
            <w:r>
              <w:t>1</w:t>
            </w:r>
            <w:r>
              <w:rPr>
                <w:rFonts w:ascii="Tms Rmn" w:hAnsi="Tms Rmn"/>
                <w:sz w:val="12"/>
              </w:rPr>
              <w:t> </w:t>
            </w:r>
            <w:r>
              <w:t>427-1</w:t>
            </w:r>
            <w:r>
              <w:rPr>
                <w:rFonts w:ascii="Tms Rmn" w:hAnsi="Tms Rmn"/>
                <w:sz w:val="12"/>
              </w:rPr>
              <w:t> </w:t>
            </w:r>
            <w:r>
              <w:t>429 MHz</w:t>
            </w:r>
          </w:p>
        </w:tc>
      </w:tr>
      <w:tr w:rsidR="002B489A">
        <w:tc>
          <w:tcPr>
            <w:tcW w:w="3289" w:type="dxa"/>
          </w:tcPr>
          <w:p w:rsidR="002B489A" w:rsidRDefault="004F19C4">
            <w:pPr>
              <w:pStyle w:val="Tabletext"/>
              <w:framePr w:hSpace="181" w:wrap="notBeside" w:vAnchor="text" w:hAnchor="text" w:xAlign="center" w:y="1"/>
              <w:tabs>
                <w:tab w:val="clear" w:pos="2835"/>
                <w:tab w:val="left" w:pos="2887"/>
              </w:tabs>
              <w:jc w:val="left"/>
            </w:pPr>
            <w:r>
              <w:t>FIXE (Région 1)</w:t>
            </w:r>
            <w:r>
              <w:br/>
            </w:r>
          </w:p>
          <w:p w:rsidR="002B489A" w:rsidRDefault="004F19C4">
            <w:pPr>
              <w:pStyle w:val="Tabletext"/>
              <w:framePr w:hSpace="181" w:wrap="notBeside" w:vAnchor="text" w:hAnchor="text" w:xAlign="center" w:y="1"/>
              <w:tabs>
                <w:tab w:val="clear" w:pos="2835"/>
                <w:tab w:val="left" w:pos="2887"/>
              </w:tabs>
              <w:jc w:val="left"/>
            </w:pPr>
            <w:r>
              <w:t xml:space="preserve">MOBILE (Région 1) </w:t>
            </w:r>
          </w:p>
          <w:p w:rsidR="002B489A" w:rsidRDefault="004F19C4">
            <w:pPr>
              <w:pStyle w:val="Tabletext"/>
              <w:framePr w:hSpace="181" w:wrap="notBeside" w:vAnchor="text" w:hAnchor="text" w:xAlign="center" w:y="1"/>
              <w:tabs>
                <w:tab w:val="clear" w:pos="2835"/>
                <w:tab w:val="left" w:pos="2887"/>
              </w:tabs>
              <w:jc w:val="left"/>
            </w:pPr>
            <w:r>
              <w:t xml:space="preserve">RADIOLOCALISATION (toutes) </w:t>
            </w:r>
          </w:p>
          <w:p w:rsidR="002B489A" w:rsidRDefault="004F19C4">
            <w:pPr>
              <w:pStyle w:val="Tabletext"/>
              <w:framePr w:hSpace="181" w:wrap="notBeside" w:vAnchor="text" w:hAnchor="text" w:xAlign="center" w:y="1"/>
              <w:tabs>
                <w:tab w:val="clear" w:pos="2835"/>
                <w:tab w:val="left" w:pos="2887"/>
              </w:tabs>
              <w:jc w:val="left"/>
            </w:pPr>
            <w:r>
              <w:t>5.399</w:t>
            </w:r>
          </w:p>
        </w:tc>
        <w:tc>
          <w:tcPr>
            <w:tcW w:w="3289" w:type="dxa"/>
          </w:tcPr>
          <w:p w:rsidR="002B489A" w:rsidRDefault="004F19C4">
            <w:pPr>
              <w:pStyle w:val="Tabletext"/>
              <w:framePr w:hSpace="181" w:wrap="notBeside" w:vAnchor="text" w:hAnchor="text" w:xAlign="center" w:y="1"/>
              <w:jc w:val="left"/>
            </w:pPr>
            <w:r>
              <w:t>EXPLORATION DE LA TERRE PAR SATELLITE (passive)</w:t>
            </w:r>
          </w:p>
          <w:p w:rsidR="002B489A" w:rsidRDefault="004F19C4">
            <w:pPr>
              <w:pStyle w:val="Tabletext"/>
              <w:framePr w:hSpace="181" w:wrap="notBeside" w:vAnchor="text" w:hAnchor="text" w:xAlign="center" w:y="1"/>
              <w:jc w:val="left"/>
            </w:pPr>
            <w:r>
              <w:t>RADIOASTRONOMIE</w:t>
            </w:r>
          </w:p>
          <w:p w:rsidR="002B489A" w:rsidRDefault="004F19C4">
            <w:pPr>
              <w:pStyle w:val="Tabletext"/>
              <w:framePr w:hSpace="181" w:wrap="notBeside" w:vAnchor="text" w:hAnchor="text" w:xAlign="center" w:y="1"/>
              <w:jc w:val="left"/>
            </w:pPr>
            <w:r>
              <w:t>RECHERCHE SPATIALE (passive)</w:t>
            </w:r>
          </w:p>
          <w:p w:rsidR="002B489A" w:rsidRDefault="004F19C4">
            <w:pPr>
              <w:pStyle w:val="Tabletext"/>
              <w:framePr w:hSpace="181" w:wrap="notBeside" w:vAnchor="text" w:hAnchor="text" w:xAlign="center" w:y="1"/>
              <w:jc w:val="left"/>
            </w:pPr>
            <w:r>
              <w:t>5.340</w:t>
            </w:r>
          </w:p>
        </w:tc>
        <w:tc>
          <w:tcPr>
            <w:tcW w:w="3289" w:type="dxa"/>
          </w:tcPr>
          <w:p w:rsidR="002B489A" w:rsidRDefault="004F19C4">
            <w:pPr>
              <w:pStyle w:val="Tabletext"/>
              <w:framePr w:hSpace="181" w:wrap="notBeside" w:vAnchor="text" w:hAnchor="text" w:xAlign="center" w:y="1"/>
              <w:jc w:val="left"/>
            </w:pPr>
            <w:r>
              <w:t>EXPLOITATION SPATIALE (Terre vers espace)</w:t>
            </w:r>
          </w:p>
          <w:p w:rsidR="002B489A" w:rsidRDefault="004F19C4">
            <w:pPr>
              <w:pStyle w:val="Tabletext"/>
              <w:framePr w:hSpace="181" w:wrap="notBeside" w:vAnchor="text" w:hAnchor="text" w:xAlign="center" w:y="1"/>
              <w:jc w:val="left"/>
            </w:pPr>
            <w:r>
              <w:t>FIXE</w:t>
            </w:r>
          </w:p>
          <w:p w:rsidR="002B489A" w:rsidRDefault="004F19C4">
            <w:pPr>
              <w:pStyle w:val="Tabletext"/>
              <w:framePr w:hSpace="181" w:wrap="notBeside" w:vAnchor="text" w:hAnchor="text" w:xAlign="center" w:y="1"/>
              <w:jc w:val="left"/>
            </w:pPr>
            <w:r>
              <w:t>MOBILE sauf mobile aéronautique</w:t>
            </w:r>
          </w:p>
          <w:p w:rsidR="002B489A" w:rsidRDefault="002B489A">
            <w:pPr>
              <w:pStyle w:val="Tabletext"/>
              <w:framePr w:hSpace="181" w:wrap="notBeside" w:vAnchor="text" w:hAnchor="text" w:xAlign="center" w:y="1"/>
              <w:jc w:val="left"/>
            </w:pPr>
          </w:p>
        </w:tc>
      </w:tr>
    </w:tbl>
    <w:p w:rsidR="002B489A" w:rsidRDefault="002B489A">
      <w:pPr>
        <w:pStyle w:val="Tablefin"/>
        <w:rPr>
          <w:lang w:val="fr-FR"/>
        </w:rPr>
      </w:pPr>
    </w:p>
    <w:p w:rsidR="002B489A" w:rsidRDefault="004F19C4">
      <w:pPr>
        <w:pStyle w:val="Heading2"/>
      </w:pPr>
      <w:r>
        <w:t>1.2</w:t>
      </w:r>
      <w:r>
        <w:tab/>
        <w:t>Application</w:t>
      </w:r>
    </w:p>
    <w:p w:rsidR="002B489A" w:rsidRDefault="004F19C4">
      <w:r>
        <w:t>La NASA/JPL est en train de développer un instrument de mesure de l'humidité du sol (la mission HYDROS), qui collectera des mesures dans la totalité de la bande hyperfréquence passive à considérer (1</w:t>
      </w:r>
      <w:r>
        <w:rPr>
          <w:rFonts w:ascii="Tms Rmn" w:hAnsi="Tms Rmn"/>
          <w:sz w:val="12"/>
        </w:rPr>
        <w:t> </w:t>
      </w:r>
      <w:r>
        <w:t>400</w:t>
      </w:r>
      <w:r>
        <w:noBreakHyphen/>
        <w:t>1</w:t>
      </w:r>
      <w:r>
        <w:rPr>
          <w:rFonts w:ascii="Tms Rmn" w:hAnsi="Tms Rmn"/>
          <w:sz w:val="12"/>
        </w:rPr>
        <w:t> </w:t>
      </w:r>
      <w:r>
        <w:t xml:space="preserve">427 MHz). L'Agence spatiale européenne (ESA, </w:t>
      </w:r>
      <w:r>
        <w:rPr>
          <w:i/>
          <w:iCs/>
        </w:rPr>
        <w:t>European Space Agency</w:t>
      </w:r>
      <w:r>
        <w:t>) développe un instrument distinct (la mission SMOS), utilisant une approche technologique différente, pour la mesure de l'humidité des sols et de la salinité des océans. HYDROS et SMOS sont des missions complémentaires, toutes deux requérant des mesures radiométriques de haute précision sur le monde entier et en temps continu. Les fréquences proches de 1</w:t>
      </w:r>
      <w:r>
        <w:rPr>
          <w:rFonts w:ascii="Tms Rmn" w:hAnsi="Tms Rmn"/>
          <w:sz w:val="12"/>
        </w:rPr>
        <w:t> </w:t>
      </w:r>
      <w:r>
        <w:t>400 MHz sont idéales pour mesurer l'humidité du sol, et aussi pour mesurer la salinité de la surface de la mer et la biomasse végétale. L'humidité du sol est une variable clé du cycle hydrologique avec une influence significative sur l'évaporation, l'infiltration et le ruissellement. Dans la zone vadose, l'humidité du sol gouverne le taux d'absorption de l'eau par la végétation. La salinité de la surface de la mer a une influence sur la circulation thermohaline profonde et sur le transport de chaleur méridional. Les variations de salinité influencent la dynamique de la proche surface des océans tropicaux. Aujour</w:t>
      </w:r>
      <w:r>
        <w:softHyphen/>
        <w:t>d'hui, il n'y a pas de capacités directes de mesure de l'humidité des sols et de la salinité de la surface de la mer au niveau mondial, de sorte que la protection de cette bande passive est essentielle.</w:t>
      </w:r>
    </w:p>
    <w:p w:rsidR="002B489A" w:rsidRDefault="004F19C4">
      <w:pPr>
        <w:pStyle w:val="Heading2"/>
      </w:pPr>
      <w:r>
        <w:br w:type="page"/>
        <w:t>1.3</w:t>
      </w:r>
      <w:r>
        <w:tab/>
        <w:t>Critères de protection requis</w:t>
      </w:r>
    </w:p>
    <w:p w:rsidR="002B489A" w:rsidRDefault="004F19C4">
      <w:r>
        <w:t>Les</w:t>
      </w:r>
      <w:r>
        <w:rPr>
          <w:sz w:val="18"/>
        </w:rPr>
        <w:t xml:space="preserve"> </w:t>
      </w:r>
      <w:r>
        <w:t>trois</w:t>
      </w:r>
      <w:r>
        <w:rPr>
          <w:sz w:val="18"/>
        </w:rPr>
        <w:t xml:space="preserve"> </w:t>
      </w:r>
      <w:r>
        <w:t>Recommandations</w:t>
      </w:r>
      <w:r>
        <w:rPr>
          <w:sz w:val="18"/>
        </w:rPr>
        <w:t xml:space="preserve"> </w:t>
      </w:r>
      <w:r>
        <w:t>suivantes</w:t>
      </w:r>
      <w:r>
        <w:rPr>
          <w:sz w:val="18"/>
        </w:rPr>
        <w:t xml:space="preserve"> </w:t>
      </w:r>
      <w:r>
        <w:t>établissent</w:t>
      </w:r>
      <w:r>
        <w:rPr>
          <w:sz w:val="18"/>
        </w:rPr>
        <w:t xml:space="preserve"> </w:t>
      </w:r>
      <w:r>
        <w:t>les</w:t>
      </w:r>
      <w:r>
        <w:rPr>
          <w:sz w:val="18"/>
        </w:rPr>
        <w:t xml:space="preserve"> </w:t>
      </w:r>
      <w:r>
        <w:t>critères</w:t>
      </w:r>
      <w:r>
        <w:rPr>
          <w:sz w:val="18"/>
        </w:rPr>
        <w:t xml:space="preserve"> </w:t>
      </w:r>
      <w:r>
        <w:t>de</w:t>
      </w:r>
      <w:r>
        <w:rPr>
          <w:sz w:val="18"/>
        </w:rPr>
        <w:t xml:space="preserve"> </w:t>
      </w:r>
      <w:r>
        <w:t>brouillage</w:t>
      </w:r>
      <w:r>
        <w:rPr>
          <w:sz w:val="18"/>
        </w:rPr>
        <w:t xml:space="preserve"> </w:t>
      </w:r>
      <w:r>
        <w:t>pour</w:t>
      </w:r>
      <w:r>
        <w:rPr>
          <w:sz w:val="18"/>
        </w:rPr>
        <w:t xml:space="preserve"> </w:t>
      </w:r>
      <w:r>
        <w:t>les</w:t>
      </w:r>
      <w:r>
        <w:rPr>
          <w:sz w:val="18"/>
        </w:rPr>
        <w:t xml:space="preserve"> </w:t>
      </w:r>
      <w:r>
        <w:t>détecteurs</w:t>
      </w:r>
      <w:r>
        <w:rPr>
          <w:sz w:val="18"/>
        </w:rPr>
        <w:t xml:space="preserve"> </w:t>
      </w:r>
      <w:r>
        <w:t>passifs.</w:t>
      </w:r>
    </w:p>
    <w:p w:rsidR="002B489A" w:rsidRDefault="004F19C4">
      <w:pPr>
        <w:pStyle w:val="enumlev1"/>
        <w:tabs>
          <w:tab w:val="clear" w:pos="794"/>
          <w:tab w:val="clear" w:pos="1191"/>
          <w:tab w:val="clear" w:pos="1588"/>
          <w:tab w:val="clear" w:pos="1985"/>
          <w:tab w:val="left" w:pos="3515"/>
        </w:tabs>
        <w:ind w:left="3515" w:hanging="3515"/>
      </w:pPr>
      <w:r>
        <w:t>Recommandation UIT-R SA.515 –</w:t>
      </w:r>
      <w:r>
        <w:tab/>
        <w:t xml:space="preserve">Bandes de fréquences et largeurs de bande utilisées pour la télédétection passive par satellite. </w:t>
      </w:r>
    </w:p>
    <w:p w:rsidR="002B489A" w:rsidRDefault="004F19C4">
      <w:pPr>
        <w:pStyle w:val="enumlev1"/>
        <w:tabs>
          <w:tab w:val="clear" w:pos="794"/>
          <w:tab w:val="clear" w:pos="1191"/>
          <w:tab w:val="clear" w:pos="1588"/>
          <w:tab w:val="clear" w:pos="1985"/>
          <w:tab w:val="left" w:pos="3515"/>
        </w:tabs>
        <w:spacing w:before="60"/>
        <w:ind w:left="3515" w:hanging="3515"/>
      </w:pPr>
      <w:r>
        <w:t>Recommandation UIT-R SA.1028 –</w:t>
      </w:r>
      <w:r>
        <w:tab/>
        <w:t>Critères de qualité de fonctionnement pour la télédétection passive par satellite.</w:t>
      </w:r>
    </w:p>
    <w:p w:rsidR="002B489A" w:rsidRDefault="004F19C4">
      <w:pPr>
        <w:pStyle w:val="enumlev1"/>
        <w:tabs>
          <w:tab w:val="clear" w:pos="794"/>
          <w:tab w:val="clear" w:pos="1191"/>
          <w:tab w:val="clear" w:pos="1588"/>
          <w:tab w:val="clear" w:pos="1985"/>
          <w:tab w:val="left" w:pos="3515"/>
        </w:tabs>
        <w:spacing w:before="60"/>
        <w:ind w:left="3515" w:hanging="3515"/>
      </w:pPr>
      <w:r>
        <w:t>Recommandation UIT-R SA.1029 –</w:t>
      </w:r>
      <w:r>
        <w:tab/>
        <w:t>Critères de brouillage dans la télédétection passive par satellite.</w:t>
      </w:r>
    </w:p>
    <w:p w:rsidR="002B489A" w:rsidRDefault="004F19C4">
      <w:r>
        <w:t xml:space="preserve">Il y a deux critères pour cette bande. Il y a tout d'abord un seuil de puissance de </w:t>
      </w:r>
      <w:r>
        <w:sym w:font="Symbol" w:char="F02D"/>
      </w:r>
      <w:r>
        <w:t>171 dBW à 27 MHz. C'est un niveau de brouillage maximum pour toutes sources.</w:t>
      </w:r>
    </w:p>
    <w:p w:rsidR="002B489A" w:rsidRDefault="004F19C4">
      <w:r>
        <w:t>Il y a ensuite une limite de fréquence d'occurrence sur le seuil à ne pas dépasser. Le taux de perte de cellules de mesure due au dépassement du seuil ne doit pas excéder 5% dans les cas où les événements de brouillage sont aléatoires, et de 1% lorsque les événements de brouillage sont systématiques. Dans la mesure où le service de radiolocalisation n'est pas aléatoire (sites fixes et en fonctionnement à 100% du temps), le critère de 1% s'applique.</w:t>
      </w:r>
    </w:p>
    <w:p w:rsidR="002B489A" w:rsidRDefault="004F19C4">
      <w:pPr>
        <w:pStyle w:val="Heading2"/>
      </w:pPr>
      <w:r>
        <w:t>1.4</w:t>
      </w:r>
      <w:r>
        <w:tab/>
        <w:t>Caractéristiques de fonctionnement</w:t>
      </w:r>
    </w:p>
    <w:p w:rsidR="002B489A" w:rsidRDefault="004F19C4">
      <w:pPr>
        <w:pStyle w:val="TableNo"/>
        <w:spacing w:before="240"/>
      </w:pPr>
      <w:r>
        <w:t>TABLEAU  7</w:t>
      </w:r>
    </w:p>
    <w:p w:rsidR="002B489A" w:rsidRDefault="004F19C4">
      <w:pPr>
        <w:pStyle w:val="Tabletitle"/>
      </w:pPr>
      <w:r>
        <w:t xml:space="preserve">Caractéristiques du SETS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8"/>
        <w:gridCol w:w="2478"/>
        <w:gridCol w:w="2313"/>
      </w:tblGrid>
      <w:tr w:rsidR="002B489A">
        <w:trPr>
          <w:trHeight w:val="270"/>
        </w:trPr>
        <w:tc>
          <w:tcPr>
            <w:tcW w:w="4876" w:type="dxa"/>
          </w:tcPr>
          <w:p w:rsidR="002B489A" w:rsidRDefault="004F19C4">
            <w:pPr>
              <w:pStyle w:val="Tablehead"/>
              <w:framePr w:hSpace="181" w:wrap="notBeside" w:vAnchor="text" w:hAnchor="text" w:xAlign="center" w:y="1"/>
              <w:rPr>
                <w:rFonts w:eastAsia="Arial Unicode MS"/>
              </w:rPr>
            </w:pPr>
            <w:r>
              <w:t>Paramètre</w:t>
            </w:r>
          </w:p>
        </w:tc>
        <w:tc>
          <w:tcPr>
            <w:tcW w:w="2495" w:type="dxa"/>
          </w:tcPr>
          <w:p w:rsidR="002B489A" w:rsidRDefault="004F19C4">
            <w:pPr>
              <w:pStyle w:val="Tablehead"/>
              <w:framePr w:hSpace="181" w:wrap="notBeside" w:vAnchor="text" w:hAnchor="text" w:xAlign="center" w:y="1"/>
              <w:rPr>
                <w:rFonts w:eastAsia="Arial Unicode MS"/>
              </w:rPr>
            </w:pPr>
            <w:r>
              <w:t>SMOS</w:t>
            </w:r>
          </w:p>
        </w:tc>
        <w:tc>
          <w:tcPr>
            <w:tcW w:w="2325" w:type="dxa"/>
          </w:tcPr>
          <w:p w:rsidR="002B489A" w:rsidRDefault="004F19C4">
            <w:pPr>
              <w:pStyle w:val="Tablehead"/>
              <w:framePr w:hSpace="181" w:wrap="notBeside" w:vAnchor="text" w:hAnchor="text" w:xAlign="center" w:y="1"/>
              <w:rPr>
                <w:rFonts w:eastAsia="Arial Unicode MS"/>
              </w:rPr>
            </w:pPr>
            <w:r>
              <w:t>HYDROS</w:t>
            </w:r>
          </w:p>
        </w:tc>
      </w:tr>
      <w:tr w:rsidR="002B489A">
        <w:trPr>
          <w:trHeight w:val="255"/>
        </w:trPr>
        <w:tc>
          <w:tcPr>
            <w:tcW w:w="4876" w:type="dxa"/>
          </w:tcPr>
          <w:p w:rsidR="002B489A" w:rsidRDefault="004F19C4">
            <w:pPr>
              <w:pStyle w:val="Tabletext"/>
              <w:framePr w:hSpace="181" w:wrap="notBeside" w:vAnchor="text" w:hAnchor="text" w:xAlign="center" w:y="1"/>
              <w:rPr>
                <w:rFonts w:eastAsia="Arial Unicode MS"/>
              </w:rPr>
            </w:pPr>
            <w:r>
              <w:t>Gain maximum d'antenne SETS (dBi)</w:t>
            </w:r>
          </w:p>
        </w:tc>
        <w:tc>
          <w:tcPr>
            <w:tcW w:w="2495" w:type="dxa"/>
          </w:tcPr>
          <w:p w:rsidR="002B489A" w:rsidRDefault="004F19C4">
            <w:pPr>
              <w:pStyle w:val="Tabletext"/>
              <w:framePr w:hSpace="181" w:wrap="notBeside" w:vAnchor="text" w:hAnchor="text" w:xAlign="center" w:y="1"/>
              <w:jc w:val="center"/>
              <w:rPr>
                <w:rFonts w:eastAsia="Arial Unicode MS"/>
              </w:rPr>
            </w:pPr>
            <w:r>
              <w:t>9</w:t>
            </w:r>
          </w:p>
        </w:tc>
        <w:tc>
          <w:tcPr>
            <w:tcW w:w="2325" w:type="dxa"/>
          </w:tcPr>
          <w:p w:rsidR="002B489A" w:rsidRDefault="004F19C4">
            <w:pPr>
              <w:pStyle w:val="Tabletext"/>
              <w:framePr w:hSpace="181" w:wrap="notBeside" w:vAnchor="text" w:hAnchor="text" w:xAlign="center" w:y="1"/>
              <w:jc w:val="center"/>
              <w:rPr>
                <w:rFonts w:eastAsia="Arial Unicode MS"/>
              </w:rPr>
            </w:pPr>
            <w:r>
              <w:t>35</w:t>
            </w:r>
          </w:p>
        </w:tc>
      </w:tr>
      <w:tr w:rsidR="002B489A">
        <w:trPr>
          <w:trHeight w:val="255"/>
        </w:trPr>
        <w:tc>
          <w:tcPr>
            <w:tcW w:w="4876" w:type="dxa"/>
          </w:tcPr>
          <w:p w:rsidR="002B489A" w:rsidRDefault="004F19C4">
            <w:pPr>
              <w:pStyle w:val="Tabletext"/>
              <w:framePr w:hSpace="181" w:wrap="notBeside" w:vAnchor="text" w:hAnchor="text" w:xAlign="center" w:y="1"/>
              <w:rPr>
                <w:rFonts w:eastAsia="Arial Unicode MS"/>
              </w:rPr>
            </w:pPr>
            <w:r>
              <w:t>Altitude SETS (km)</w:t>
            </w:r>
          </w:p>
        </w:tc>
        <w:tc>
          <w:tcPr>
            <w:tcW w:w="2495" w:type="dxa"/>
          </w:tcPr>
          <w:p w:rsidR="002B489A" w:rsidRDefault="004F19C4">
            <w:pPr>
              <w:pStyle w:val="Tabletext"/>
              <w:framePr w:hSpace="181" w:wrap="notBeside" w:vAnchor="text" w:hAnchor="text" w:xAlign="center" w:y="1"/>
              <w:jc w:val="center"/>
              <w:rPr>
                <w:rFonts w:eastAsia="Arial Unicode MS"/>
              </w:rPr>
            </w:pPr>
            <w:r>
              <w:t>757</w:t>
            </w:r>
          </w:p>
        </w:tc>
        <w:tc>
          <w:tcPr>
            <w:tcW w:w="2325" w:type="dxa"/>
          </w:tcPr>
          <w:p w:rsidR="002B489A" w:rsidRDefault="004F19C4">
            <w:pPr>
              <w:pStyle w:val="Tabletext"/>
              <w:framePr w:hSpace="181" w:wrap="notBeside" w:vAnchor="text" w:hAnchor="text" w:xAlign="center" w:y="1"/>
              <w:jc w:val="center"/>
              <w:rPr>
                <w:rFonts w:eastAsia="Arial Unicode MS"/>
              </w:rPr>
            </w:pPr>
            <w:r>
              <w:t>670</w:t>
            </w:r>
          </w:p>
        </w:tc>
      </w:tr>
      <w:tr w:rsidR="002B489A">
        <w:trPr>
          <w:trHeight w:val="255"/>
        </w:trPr>
        <w:tc>
          <w:tcPr>
            <w:tcW w:w="4876" w:type="dxa"/>
          </w:tcPr>
          <w:p w:rsidR="002B489A" w:rsidRDefault="004F19C4">
            <w:pPr>
              <w:pStyle w:val="Tabletext"/>
              <w:framePr w:hSpace="181" w:wrap="notBeside" w:vAnchor="text" w:hAnchor="text" w:xAlign="center" w:y="1"/>
              <w:rPr>
                <w:rFonts w:eastAsia="Arial Unicode MS"/>
              </w:rPr>
            </w:pPr>
            <w:r>
              <w:t>Ouverture d'antenne SETS à –3 dB (degrés)</w:t>
            </w:r>
          </w:p>
        </w:tc>
        <w:tc>
          <w:tcPr>
            <w:tcW w:w="2495" w:type="dxa"/>
          </w:tcPr>
          <w:p w:rsidR="002B489A" w:rsidRDefault="004F19C4">
            <w:pPr>
              <w:pStyle w:val="Tabletext"/>
              <w:framePr w:hSpace="181" w:wrap="notBeside" w:vAnchor="text" w:hAnchor="text" w:xAlign="center" w:y="1"/>
              <w:jc w:val="center"/>
              <w:rPr>
                <w:rFonts w:eastAsia="Arial Unicode MS"/>
              </w:rPr>
            </w:pPr>
            <w:r>
              <w:t>71,6</w:t>
            </w:r>
          </w:p>
        </w:tc>
        <w:tc>
          <w:tcPr>
            <w:tcW w:w="2325" w:type="dxa"/>
          </w:tcPr>
          <w:p w:rsidR="002B489A" w:rsidRDefault="004F19C4">
            <w:pPr>
              <w:pStyle w:val="Tabletext"/>
              <w:framePr w:hSpace="181" w:wrap="notBeside" w:vAnchor="text" w:hAnchor="text" w:xAlign="center" w:y="1"/>
              <w:jc w:val="center"/>
              <w:rPr>
                <w:rFonts w:eastAsia="Arial Unicode MS"/>
              </w:rPr>
            </w:pPr>
            <w:r>
              <w:t>2,6</w:t>
            </w:r>
          </w:p>
        </w:tc>
      </w:tr>
      <w:tr w:rsidR="002B489A">
        <w:trPr>
          <w:trHeight w:val="255"/>
        </w:trPr>
        <w:tc>
          <w:tcPr>
            <w:tcW w:w="4876" w:type="dxa"/>
          </w:tcPr>
          <w:p w:rsidR="002B489A" w:rsidRDefault="004F19C4">
            <w:pPr>
              <w:pStyle w:val="Tabletext"/>
              <w:framePr w:hSpace="181" w:wrap="notBeside" w:vAnchor="text" w:hAnchor="text" w:xAlign="center" w:y="1"/>
              <w:rPr>
                <w:rFonts w:eastAsia="Arial Unicode MS"/>
              </w:rPr>
            </w:pPr>
            <w:r>
              <w:t>Direction de pointage SETS (degrés)</w:t>
            </w:r>
          </w:p>
        </w:tc>
        <w:tc>
          <w:tcPr>
            <w:tcW w:w="2495" w:type="dxa"/>
          </w:tcPr>
          <w:p w:rsidR="002B489A" w:rsidRDefault="004F19C4">
            <w:pPr>
              <w:pStyle w:val="Tabletext"/>
              <w:framePr w:hSpace="181" w:wrap="notBeside" w:vAnchor="text" w:hAnchor="text" w:xAlign="center" w:y="1"/>
              <w:jc w:val="center"/>
              <w:rPr>
                <w:rFonts w:eastAsia="Arial Unicode MS"/>
              </w:rPr>
            </w:pPr>
            <w:r>
              <w:t>25 hors nadir (fixe)</w:t>
            </w:r>
          </w:p>
        </w:tc>
        <w:tc>
          <w:tcPr>
            <w:tcW w:w="2325" w:type="dxa"/>
          </w:tcPr>
          <w:p w:rsidR="002B489A" w:rsidRDefault="004F19C4">
            <w:pPr>
              <w:pStyle w:val="Tabletext"/>
              <w:framePr w:hSpace="181" w:wrap="notBeside" w:vAnchor="text" w:hAnchor="text" w:xAlign="center" w:y="1"/>
              <w:jc w:val="center"/>
              <w:rPr>
                <w:rFonts w:eastAsia="Arial Unicode MS"/>
              </w:rPr>
            </w:pPr>
            <w:r>
              <w:t>40 hors nadir</w:t>
            </w:r>
            <w:r>
              <w:br/>
              <w:t>(rotation à 6 tr/min)</w:t>
            </w:r>
          </w:p>
        </w:tc>
      </w:tr>
      <w:tr w:rsidR="002B489A">
        <w:trPr>
          <w:trHeight w:val="270"/>
        </w:trPr>
        <w:tc>
          <w:tcPr>
            <w:tcW w:w="4876" w:type="dxa"/>
          </w:tcPr>
          <w:p w:rsidR="002B489A" w:rsidRDefault="004F19C4">
            <w:pPr>
              <w:pStyle w:val="Tabletext"/>
              <w:framePr w:hSpace="181" w:wrap="notBeside" w:vAnchor="text" w:hAnchor="text" w:xAlign="center" w:y="1"/>
              <w:rPr>
                <w:rFonts w:eastAsia="Arial Unicode MS"/>
              </w:rPr>
            </w:pPr>
            <w:r>
              <w:t>Largeur de couloir (km)</w:t>
            </w:r>
          </w:p>
        </w:tc>
        <w:tc>
          <w:tcPr>
            <w:tcW w:w="2495" w:type="dxa"/>
          </w:tcPr>
          <w:p w:rsidR="002B489A" w:rsidRDefault="004F19C4">
            <w:pPr>
              <w:pStyle w:val="Tabletext"/>
              <w:framePr w:hSpace="181" w:wrap="notBeside" w:vAnchor="text" w:hAnchor="text" w:xAlign="center" w:y="1"/>
              <w:jc w:val="center"/>
              <w:rPr>
                <w:rFonts w:eastAsia="Arial Unicode MS"/>
              </w:rPr>
            </w:pPr>
            <w:r>
              <w:t>620</w:t>
            </w:r>
          </w:p>
        </w:tc>
        <w:tc>
          <w:tcPr>
            <w:tcW w:w="2325" w:type="dxa"/>
          </w:tcPr>
          <w:p w:rsidR="002B489A" w:rsidRDefault="004F19C4">
            <w:pPr>
              <w:pStyle w:val="Tabletext"/>
              <w:framePr w:hSpace="181" w:wrap="notBeside" w:vAnchor="text" w:hAnchor="text" w:xAlign="center" w:y="1"/>
              <w:jc w:val="center"/>
              <w:rPr>
                <w:rFonts w:eastAsia="Arial Unicode MS"/>
              </w:rPr>
            </w:pPr>
            <w:r>
              <w:t>45</w:t>
            </w:r>
          </w:p>
        </w:tc>
      </w:tr>
    </w:tbl>
    <w:p w:rsidR="002B489A" w:rsidRDefault="002B489A">
      <w:pPr>
        <w:pStyle w:val="Tablefin"/>
        <w:spacing w:before="120"/>
        <w:rPr>
          <w:sz w:val="12"/>
        </w:rPr>
      </w:pPr>
    </w:p>
    <w:p w:rsidR="002B489A" w:rsidRDefault="0006728D">
      <w:pPr>
        <w:pStyle w:val="FigureNo"/>
        <w:spacing w:before="120" w:after="0"/>
      </w:pPr>
      <w:r>
        <w:rPr>
          <w:noProof/>
          <w:lang w:val="fr-CH" w:eastAsia="fr-CH"/>
        </w:rPr>
        <w:drawing>
          <wp:inline distT="0" distB="0" distL="0" distR="0">
            <wp:extent cx="3695700" cy="3390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95700" cy="3390900"/>
                    </a:xfrm>
                    <a:prstGeom prst="rect">
                      <a:avLst/>
                    </a:prstGeom>
                    <a:noFill/>
                    <a:ln>
                      <a:noFill/>
                    </a:ln>
                  </pic:spPr>
                </pic:pic>
              </a:graphicData>
            </a:graphic>
          </wp:inline>
        </w:drawing>
      </w:r>
    </w:p>
    <w:p w:rsidR="002B489A" w:rsidRDefault="004F19C4">
      <w:pPr>
        <w:pStyle w:val="FigureNo"/>
        <w:spacing w:before="0" w:after="0"/>
      </w:pPr>
      <w:r>
        <w:br w:type="page"/>
      </w:r>
      <w:r>
        <w:object w:dxaOrig="7517" w:dyaOrig="7743">
          <v:shape id="_x0000_i1036" type="#_x0000_t75" style="width:376pt;height:387pt" o:ole="">
            <v:imagedata r:id="rId34" o:title=""/>
          </v:shape>
          <o:OLEObject Type="Embed" ProgID="Designer.Drawing.7" ShapeID="_x0000_i1036" DrawAspect="Content" ObjectID="_1649163282" r:id="rId35"/>
        </w:object>
      </w:r>
    </w:p>
    <w:p w:rsidR="002B489A" w:rsidRDefault="004F19C4">
      <w:pPr>
        <w:pStyle w:val="Heading1"/>
        <w:spacing w:before="360"/>
      </w:pPr>
      <w:r>
        <w:t>2</w:t>
      </w:r>
      <w:r>
        <w:tab/>
        <w:t>Service de radiolocalisation</w:t>
      </w:r>
    </w:p>
    <w:p w:rsidR="002B489A" w:rsidRDefault="004F19C4">
      <w:pPr>
        <w:pStyle w:val="Heading2"/>
      </w:pPr>
      <w:r>
        <w:t>2.1</w:t>
      </w:r>
      <w:r>
        <w:tab/>
        <w:t>Bande d'émission attribuée</w:t>
      </w:r>
    </w:p>
    <w:p w:rsidR="002B489A" w:rsidRDefault="004F19C4">
      <w:r>
        <w:t>La bande du service actif est la bande 1</w:t>
      </w:r>
      <w:r>
        <w:rPr>
          <w:rFonts w:ascii="Tms Rmn" w:hAnsi="Tms Rmn"/>
          <w:sz w:val="12"/>
        </w:rPr>
        <w:t> </w:t>
      </w:r>
      <w:r>
        <w:t>350</w:t>
      </w:r>
      <w:r>
        <w:noBreakHyphen/>
        <w:t>1</w:t>
      </w:r>
      <w:r>
        <w:rPr>
          <w:rFonts w:ascii="Tms Rmn" w:hAnsi="Tms Rmn"/>
          <w:sz w:val="12"/>
        </w:rPr>
        <w:t> </w:t>
      </w:r>
      <w:r>
        <w:t>400 MHz attribuée au service de radiolocalisation.</w:t>
      </w:r>
    </w:p>
    <w:p w:rsidR="002B489A" w:rsidRDefault="004F19C4">
      <w:pPr>
        <w:pStyle w:val="Heading2"/>
      </w:pPr>
      <w:r>
        <w:t>2.2</w:t>
      </w:r>
      <w:r>
        <w:tab/>
        <w:t>Application</w:t>
      </w:r>
    </w:p>
    <w:p w:rsidR="002B489A" w:rsidRDefault="004F19C4">
      <w:r>
        <w:t>L'ensemble des caractéristiques de radar qui sont prises en compte dans cette analyse de compa</w:t>
      </w:r>
      <w:r>
        <w:softHyphen/>
        <w:t>tibilité est tiré de la Recommandation UIT-R M.1463 – Caractéristiques et critères de protection des radars fonctionnant dans le service de radiorepérage dans la bande de fréquences 1</w:t>
      </w:r>
      <w:r>
        <w:rPr>
          <w:rFonts w:ascii="Tms Rmn" w:hAnsi="Tms Rmn"/>
          <w:sz w:val="12"/>
        </w:rPr>
        <w:t> </w:t>
      </w:r>
      <w:r>
        <w:t>215</w:t>
      </w:r>
      <w:r>
        <w:noBreakHyphen/>
        <w:t>1</w:t>
      </w:r>
      <w:r>
        <w:rPr>
          <w:rFonts w:ascii="Tms Rmn" w:hAnsi="Tms Rmn"/>
          <w:sz w:val="12"/>
        </w:rPr>
        <w:t> </w:t>
      </w:r>
      <w:r>
        <w:t>400 MHz.</w:t>
      </w:r>
    </w:p>
    <w:p w:rsidR="002B489A" w:rsidRDefault="004F19C4">
      <w:pPr>
        <w:pStyle w:val="Heading2"/>
      </w:pPr>
      <w:r>
        <w:t>2.3</w:t>
      </w:r>
      <w:r>
        <w:tab/>
        <w:t>Niveaux fondés sur des dispositions et Recommandations de l'UIT-R</w:t>
      </w:r>
    </w:p>
    <w:p w:rsidR="002B489A" w:rsidRDefault="004F19C4">
      <w:pPr>
        <w:pStyle w:val="Heading3"/>
      </w:pPr>
      <w:r>
        <w:t>2.3.1</w:t>
      </w:r>
      <w:r>
        <w:tab/>
        <w:t>Numéro 1.153 du RR</w:t>
      </w:r>
    </w:p>
    <w:p w:rsidR="002B489A" w:rsidRDefault="004F19C4">
      <w:r>
        <w:t xml:space="preserve">Le RR de l'UIT définit la </w:t>
      </w:r>
      <w:r>
        <w:rPr>
          <w:i/>
        </w:rPr>
        <w:t>largeur de bande occupée</w:t>
      </w:r>
      <w:r>
        <w:t xml:space="preserve"> comme suit:</w:t>
      </w:r>
    </w:p>
    <w:p w:rsidR="002B489A" w:rsidRDefault="004F19C4">
      <w:r>
        <w:rPr>
          <w:rStyle w:val="Artdef"/>
          <w:b w:val="0"/>
          <w:bCs/>
        </w:rPr>
        <w:t>«</w:t>
      </w:r>
      <w:r>
        <w:rPr>
          <w:rStyle w:val="Artdef"/>
        </w:rPr>
        <w:t>1.153</w:t>
      </w:r>
      <w:r>
        <w:rPr>
          <w:rStyle w:val="Artdef"/>
        </w:rPr>
        <w:tab/>
      </w:r>
      <w:r>
        <w:rPr>
          <w:rStyle w:val="Artdef"/>
        </w:rPr>
        <w:tab/>
      </w:r>
      <w:r>
        <w:rPr>
          <w:i/>
        </w:rPr>
        <w:t>largeur de bande occupée:  </w:t>
      </w:r>
      <w:r>
        <w:t xml:space="preserve">Largeur de la bande de fréquences telle que, au-dessous de sa fréquence limite inférieure et au-dessus de sa fréquence limite supérieure, soient émises des </w:t>
      </w:r>
      <w:r>
        <w:rPr>
          <w:i/>
        </w:rPr>
        <w:t>puissances moyennes</w:t>
      </w:r>
      <w:r>
        <w:t xml:space="preserve"> égales chacune à un pourcentage donné </w:t>
      </w:r>
      <w:r>
        <w:rPr>
          <w:rFonts w:ascii="Symbol" w:hAnsi="Symbol"/>
        </w:rPr>
        <w:t></w:t>
      </w:r>
      <w:r>
        <w:t xml:space="preserve">/2 de la </w:t>
      </w:r>
      <w:r>
        <w:rPr>
          <w:i/>
        </w:rPr>
        <w:t>puissance moyenne</w:t>
      </w:r>
      <w:r>
        <w:t xml:space="preserve"> totale d'une </w:t>
      </w:r>
      <w:r>
        <w:rPr>
          <w:i/>
        </w:rPr>
        <w:t>émission</w:t>
      </w:r>
      <w:r>
        <w:t xml:space="preserve"> donnée.</w:t>
      </w:r>
    </w:p>
    <w:p w:rsidR="002B489A" w:rsidRDefault="004F19C4">
      <w:pPr>
        <w:spacing w:before="80"/>
      </w:pPr>
      <w:r>
        <w:tab/>
      </w:r>
      <w:r>
        <w:tab/>
        <w:t xml:space="preserve">En l'absence de spécifications dans une Recommandation de l'UIT-R pour la </w:t>
      </w:r>
      <w:r>
        <w:rPr>
          <w:i/>
        </w:rPr>
        <w:t>classe d'émission</w:t>
      </w:r>
      <w:r>
        <w:t xml:space="preserve"> considérée, la valeur </w:t>
      </w:r>
      <w:r>
        <w:rPr>
          <w:rFonts w:ascii="Symbol" w:hAnsi="Symbol"/>
        </w:rPr>
        <w:t></w:t>
      </w:r>
      <w:r>
        <w:t>/2 doit être prise égale à 0,5%.»</w:t>
      </w:r>
    </w:p>
    <w:p w:rsidR="002B489A" w:rsidRDefault="004F19C4">
      <w:r>
        <w:br w:type="page"/>
        <w:t>Si le bord supérieur de la largeur de bande occupée était à la limite supérieure ou au</w:t>
      </w:r>
      <w:r>
        <w:noBreakHyphen/>
        <w:t xml:space="preserve">dessous de l'attribution au service de radiolocalisation, la puissance totale des rayonnements non désirés aux fréquences au-dessus de la largeur de bande attribuée ne serait pas supérieure à 0,5% de </w:t>
      </w:r>
      <w:r>
        <w:rPr>
          <w:i/>
        </w:rPr>
        <w:t>P</w:t>
      </w:r>
      <w:r>
        <w:t xml:space="preserve">, où </w:t>
      </w:r>
      <w:r>
        <w:rPr>
          <w:i/>
        </w:rPr>
        <w:t>P</w:t>
      </w:r>
      <w:r>
        <w:t xml:space="preserve"> est la puissance dans la bande. Donc, la puissance totale de rayonnement non désiré aux fréquences de la bande SETS et au-dessus n'est pas supérieure à </w:t>
      </w:r>
      <w:r>
        <w:rPr>
          <w:i/>
        </w:rPr>
        <w:t>P</w:t>
      </w:r>
      <w:r>
        <w:t xml:space="preserve"> – 23 dB.</w:t>
      </w:r>
    </w:p>
    <w:p w:rsidR="002B489A" w:rsidRDefault="004F19C4">
      <w:pPr>
        <w:pStyle w:val="Heading3"/>
      </w:pPr>
      <w:r>
        <w:t>2.3.2</w:t>
      </w:r>
      <w:r>
        <w:tab/>
        <w:t>Recommandation UIT-R SM.1541</w:t>
      </w:r>
    </w:p>
    <w:p w:rsidR="002B489A" w:rsidRDefault="004F19C4">
      <w:r>
        <w:t xml:space="preserve">L'Annexe 8 de la Recommandation UIT-R SM.1541 spécifie un gabarit générique des émissions hors bande pour les radars primaires. Ceci est répété ci-dessous avec une fragmentation des relations. La variable relative </w:t>
      </w:r>
      <w:r>
        <w:rPr>
          <w:i/>
          <w:iCs/>
        </w:rPr>
        <w:t>F</w:t>
      </w:r>
      <w:r>
        <w:t xml:space="preserve"> est le décalage de fréquence par rapport au centre de la bande en pourcentage de la largeur de bande à –40 dB du radar, comme illustré à la Fig. 8.</w:t>
      </w:r>
    </w:p>
    <w:p w:rsidR="002B489A" w:rsidRDefault="004F19C4">
      <w:pPr>
        <w:pStyle w:val="Equationlegend"/>
        <w:rPr>
          <w:lang w:val="fr-FR"/>
        </w:rPr>
      </w:pPr>
      <w:r>
        <w:rPr>
          <w:bCs/>
          <w:lang w:val="fr-FR"/>
        </w:rPr>
        <w:tab/>
      </w:r>
      <w:r>
        <w:rPr>
          <w:bCs/>
          <w:i/>
          <w:iCs/>
          <w:lang w:val="fr-FR"/>
        </w:rPr>
        <w:t>F</w:t>
      </w:r>
      <w:r>
        <w:rPr>
          <w:rFonts w:ascii="Tms Rmn" w:hAnsi="Tms Rmn"/>
          <w:sz w:val="12"/>
          <w:lang w:val="fr-FR"/>
        </w:rPr>
        <w:t> </w:t>
      </w:r>
      <w:r>
        <w:rPr>
          <w:lang w:val="fr-FR"/>
        </w:rPr>
        <w:t>:</w:t>
      </w:r>
      <w:r>
        <w:rPr>
          <w:lang w:val="fr-FR"/>
        </w:rPr>
        <w:tab/>
        <w:t>décalage de fréquence par rapport au centre de la bande en pourcentage de la largeur de bande à –40 dB du radar.</w:t>
      </w:r>
    </w:p>
    <w:p w:rsidR="002B489A" w:rsidRDefault="004F19C4">
      <w:pPr>
        <w:pStyle w:val="Equationlegend"/>
        <w:rPr>
          <w:lang w:val="fr-FR"/>
        </w:rPr>
      </w:pPr>
      <w:r>
        <w:rPr>
          <w:bCs/>
          <w:lang w:val="fr-FR"/>
        </w:rPr>
        <w:tab/>
        <w:t>dBpp</w:t>
      </w:r>
      <w:r>
        <w:rPr>
          <w:rFonts w:ascii="Tms Rmn" w:hAnsi="Tms Rmn"/>
          <w:bCs/>
          <w:sz w:val="12"/>
          <w:lang w:val="fr-FR"/>
        </w:rPr>
        <w:t> </w:t>
      </w:r>
      <w:r>
        <w:rPr>
          <w:lang w:val="fr-FR"/>
        </w:rPr>
        <w:t>:</w:t>
      </w:r>
      <w:r>
        <w:rPr>
          <w:lang w:val="fr-FR"/>
        </w:rPr>
        <w:tab/>
        <w:t>décibels par rapport à la valeur maximale de la puissance de crête, mesurée avec la largeur de bande de référence au sein de la largeur de bande occupée.</w:t>
      </w:r>
    </w:p>
    <w:p w:rsidR="002B489A" w:rsidRDefault="004F19C4">
      <w:r>
        <w:t>Elle donne l'affaiblissement minimal pour la puissance d'émission hors bande, au sein d'une largeur de bande de référence, par rapport à la puissance de crête dans la bande.</w:t>
      </w:r>
    </w:p>
    <w:p w:rsidR="002B489A" w:rsidRDefault="0006728D">
      <w:pPr>
        <w:pStyle w:val="FigureNo"/>
      </w:pPr>
      <w:r>
        <w:rPr>
          <w:noProof/>
          <w:lang w:val="fr-CH" w:eastAsia="fr-CH"/>
        </w:rPr>
        <w:drawing>
          <wp:inline distT="0" distB="0" distL="0" distR="0">
            <wp:extent cx="4133850" cy="3371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33850" cy="3371850"/>
                    </a:xfrm>
                    <a:prstGeom prst="rect">
                      <a:avLst/>
                    </a:prstGeom>
                    <a:noFill/>
                    <a:ln>
                      <a:noFill/>
                    </a:ln>
                  </pic:spPr>
                </pic:pic>
              </a:graphicData>
            </a:graphic>
          </wp:inline>
        </w:drawing>
      </w:r>
    </w:p>
    <w:p w:rsidR="002B489A" w:rsidRDefault="004F19C4">
      <w:pPr>
        <w:pStyle w:val="Heading2"/>
      </w:pPr>
      <w:r>
        <w:t>2.4</w:t>
      </w:r>
      <w:r>
        <w:tab/>
        <w:t>Caractéristiques des émetteurs</w:t>
      </w:r>
    </w:p>
    <w:p w:rsidR="002B489A" w:rsidRDefault="004F19C4">
      <w:r>
        <w:t>Les caractéristiques des émetteurs sont décrites au Tableau 8. Ce Tableau est tiré de la Recommandation UIT-R M.1463.</w:t>
      </w:r>
    </w:p>
    <w:p w:rsidR="002B489A" w:rsidRDefault="004F19C4">
      <w:pPr>
        <w:pStyle w:val="Heading2"/>
      </w:pPr>
      <w:r>
        <w:t>2.5</w:t>
      </w:r>
      <w:r>
        <w:tab/>
        <w:t>Caractéristiques de fonctionnement</w:t>
      </w:r>
    </w:p>
    <w:p w:rsidR="002B489A" w:rsidRDefault="004F19C4">
      <w:r>
        <w:t>Voir le Tableau 8.</w:t>
      </w:r>
    </w:p>
    <w:p w:rsidR="002B489A" w:rsidRDefault="004F19C4">
      <w:pPr>
        <w:pStyle w:val="Heading2"/>
      </w:pPr>
      <w:r>
        <w:br w:type="page"/>
        <w:t>2.6</w:t>
      </w:r>
      <w:r>
        <w:tab/>
        <w:t>Niveau d'émission dans la bande</w:t>
      </w:r>
    </w:p>
    <w:p w:rsidR="002B489A" w:rsidRDefault="004F19C4">
      <w:r>
        <w:t>Voir le Tableau 8.</w:t>
      </w:r>
    </w:p>
    <w:p w:rsidR="002B489A" w:rsidRDefault="004F19C4">
      <w:pPr>
        <w:pStyle w:val="TableNo"/>
      </w:pPr>
      <w:r>
        <w:t>TABLEAU  8</w:t>
      </w:r>
    </w:p>
    <w:p w:rsidR="002B489A" w:rsidRDefault="004F19C4">
      <w:pPr>
        <w:pStyle w:val="Tabletitle"/>
      </w:pPr>
      <w:r>
        <w:t>Caractéristiques des systèmes de radiorepérage dans la bande 1</w:t>
      </w:r>
      <w:r>
        <w:rPr>
          <w:rFonts w:ascii="Tms Rmn" w:hAnsi="Tms Rmn"/>
          <w:sz w:val="12"/>
        </w:rPr>
        <w:t> </w:t>
      </w:r>
      <w:r>
        <w:t>215-1</w:t>
      </w:r>
      <w:r>
        <w:rPr>
          <w:rFonts w:ascii="Tms Rmn" w:hAnsi="Tms Rmn"/>
          <w:sz w:val="12"/>
        </w:rPr>
        <w:t> </w:t>
      </w:r>
      <w:r>
        <w:t>400 MHz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1"/>
        <w:gridCol w:w="1764"/>
        <w:gridCol w:w="1843"/>
        <w:gridCol w:w="1871"/>
        <w:gridCol w:w="1871"/>
      </w:tblGrid>
      <w:tr w:rsidR="002B489A">
        <w:trPr>
          <w:cantSplit/>
        </w:trPr>
        <w:tc>
          <w:tcPr>
            <w:tcW w:w="2381" w:type="dxa"/>
          </w:tcPr>
          <w:p w:rsidR="002B489A" w:rsidRDefault="004F19C4">
            <w:pPr>
              <w:pStyle w:val="Tablehead"/>
              <w:framePr w:hSpace="181" w:wrap="notBeside" w:vAnchor="text" w:hAnchor="text" w:xAlign="center" w:y="1"/>
              <w:spacing w:before="160" w:after="160"/>
              <w:rPr>
                <w:sz w:val="20"/>
                <w:lang w:val="en-US"/>
              </w:rPr>
            </w:pPr>
            <w:r>
              <w:rPr>
                <w:sz w:val="20"/>
                <w:lang w:val="en-US"/>
              </w:rPr>
              <w:t>Paramètre</w:t>
            </w:r>
          </w:p>
        </w:tc>
        <w:tc>
          <w:tcPr>
            <w:tcW w:w="1764" w:type="dxa"/>
          </w:tcPr>
          <w:p w:rsidR="002B489A" w:rsidRDefault="004F19C4">
            <w:pPr>
              <w:pStyle w:val="Tablehead"/>
              <w:framePr w:hSpace="181" w:wrap="notBeside" w:vAnchor="text" w:hAnchor="text" w:xAlign="center" w:y="1"/>
              <w:spacing w:before="160" w:after="160"/>
              <w:rPr>
                <w:sz w:val="20"/>
              </w:rPr>
            </w:pPr>
            <w:r>
              <w:rPr>
                <w:sz w:val="20"/>
              </w:rPr>
              <w:t>Système 1</w:t>
            </w:r>
          </w:p>
        </w:tc>
        <w:tc>
          <w:tcPr>
            <w:tcW w:w="1843" w:type="dxa"/>
          </w:tcPr>
          <w:p w:rsidR="002B489A" w:rsidRDefault="004F19C4">
            <w:pPr>
              <w:pStyle w:val="Tablehead"/>
              <w:framePr w:hSpace="181" w:wrap="notBeside" w:vAnchor="text" w:hAnchor="text" w:xAlign="center" w:y="1"/>
              <w:spacing w:before="160" w:after="160"/>
              <w:rPr>
                <w:sz w:val="20"/>
              </w:rPr>
            </w:pPr>
            <w:r>
              <w:rPr>
                <w:sz w:val="20"/>
              </w:rPr>
              <w:t>Système 2</w:t>
            </w:r>
          </w:p>
        </w:tc>
        <w:tc>
          <w:tcPr>
            <w:tcW w:w="1871" w:type="dxa"/>
          </w:tcPr>
          <w:p w:rsidR="002B489A" w:rsidRDefault="004F19C4">
            <w:pPr>
              <w:pStyle w:val="Tablehead"/>
              <w:framePr w:hSpace="181" w:wrap="notBeside" w:vAnchor="text" w:hAnchor="text" w:xAlign="center" w:y="1"/>
              <w:spacing w:before="160" w:after="160"/>
              <w:rPr>
                <w:sz w:val="20"/>
              </w:rPr>
            </w:pPr>
            <w:r>
              <w:rPr>
                <w:sz w:val="20"/>
              </w:rPr>
              <w:t>Système 3</w:t>
            </w:r>
          </w:p>
        </w:tc>
        <w:tc>
          <w:tcPr>
            <w:tcW w:w="1871" w:type="dxa"/>
          </w:tcPr>
          <w:p w:rsidR="002B489A" w:rsidRDefault="004F19C4">
            <w:pPr>
              <w:pStyle w:val="Tablehead"/>
              <w:framePr w:hSpace="181" w:wrap="notBeside" w:vAnchor="text" w:hAnchor="text" w:xAlign="center" w:y="1"/>
              <w:spacing w:before="160" w:after="160"/>
              <w:rPr>
                <w:sz w:val="20"/>
              </w:rPr>
            </w:pPr>
            <w:r>
              <w:rPr>
                <w:sz w:val="20"/>
              </w:rPr>
              <w:t>Système 4</w:t>
            </w:r>
          </w:p>
        </w:tc>
      </w:tr>
      <w:tr w:rsidR="002B489A">
        <w:trPr>
          <w:cantSplit/>
        </w:trPr>
        <w:tc>
          <w:tcPr>
            <w:tcW w:w="2381" w:type="dxa"/>
          </w:tcPr>
          <w:p w:rsidR="002B489A" w:rsidRDefault="004F19C4">
            <w:pPr>
              <w:pStyle w:val="Tabletext"/>
              <w:framePr w:hSpace="181" w:wrap="notBeside" w:vAnchor="text" w:hAnchor="text" w:xAlign="center" w:y="1"/>
              <w:spacing w:before="60" w:after="60"/>
              <w:jc w:val="left"/>
              <w:rPr>
                <w:sz w:val="20"/>
              </w:rPr>
            </w:pPr>
            <w:r>
              <w:rPr>
                <w:sz w:val="20"/>
              </w:rPr>
              <w:t>Puissance de crête fournie à l'antenne (dBm)</w:t>
            </w:r>
          </w:p>
        </w:tc>
        <w:tc>
          <w:tcPr>
            <w:tcW w:w="1764" w:type="dxa"/>
          </w:tcPr>
          <w:p w:rsidR="002B489A" w:rsidRDefault="004F19C4">
            <w:pPr>
              <w:pStyle w:val="Tabletext"/>
              <w:framePr w:hSpace="181" w:wrap="notBeside" w:vAnchor="text" w:hAnchor="text" w:xAlign="center" w:y="1"/>
              <w:spacing w:before="60" w:after="60"/>
              <w:jc w:val="center"/>
              <w:rPr>
                <w:sz w:val="20"/>
              </w:rPr>
            </w:pPr>
            <w:r>
              <w:rPr>
                <w:sz w:val="20"/>
              </w:rPr>
              <w:t>97</w:t>
            </w:r>
          </w:p>
        </w:tc>
        <w:tc>
          <w:tcPr>
            <w:tcW w:w="1843" w:type="dxa"/>
          </w:tcPr>
          <w:p w:rsidR="002B489A" w:rsidRDefault="004F19C4">
            <w:pPr>
              <w:pStyle w:val="Tabletext"/>
              <w:framePr w:hSpace="181" w:wrap="notBeside" w:vAnchor="text" w:hAnchor="text" w:xAlign="center" w:y="1"/>
              <w:spacing w:before="60" w:after="60"/>
              <w:jc w:val="center"/>
              <w:rPr>
                <w:sz w:val="20"/>
              </w:rPr>
            </w:pPr>
            <w:r>
              <w:rPr>
                <w:sz w:val="20"/>
              </w:rPr>
              <w:t>80</w:t>
            </w:r>
          </w:p>
        </w:tc>
        <w:tc>
          <w:tcPr>
            <w:tcW w:w="1871" w:type="dxa"/>
          </w:tcPr>
          <w:p w:rsidR="002B489A" w:rsidRDefault="004F19C4">
            <w:pPr>
              <w:pStyle w:val="Tabletext"/>
              <w:framePr w:hSpace="181" w:wrap="notBeside" w:vAnchor="text" w:hAnchor="text" w:xAlign="center" w:y="1"/>
              <w:spacing w:before="60" w:after="60"/>
              <w:jc w:val="center"/>
              <w:rPr>
                <w:sz w:val="20"/>
              </w:rPr>
            </w:pPr>
            <w:r>
              <w:rPr>
                <w:sz w:val="20"/>
              </w:rPr>
              <w:t>76,5</w:t>
            </w:r>
          </w:p>
        </w:tc>
        <w:tc>
          <w:tcPr>
            <w:tcW w:w="1871" w:type="dxa"/>
          </w:tcPr>
          <w:p w:rsidR="002B489A" w:rsidRDefault="004F19C4">
            <w:pPr>
              <w:pStyle w:val="Tabletext"/>
              <w:framePr w:hSpace="181" w:wrap="notBeside" w:vAnchor="text" w:hAnchor="text" w:xAlign="center" w:y="1"/>
              <w:spacing w:before="60" w:after="60"/>
              <w:jc w:val="center"/>
              <w:rPr>
                <w:sz w:val="20"/>
              </w:rPr>
            </w:pPr>
            <w:r>
              <w:rPr>
                <w:sz w:val="20"/>
              </w:rPr>
              <w:t>80</w:t>
            </w:r>
          </w:p>
        </w:tc>
      </w:tr>
      <w:tr w:rsidR="002B489A">
        <w:trPr>
          <w:cantSplit/>
        </w:trPr>
        <w:tc>
          <w:tcPr>
            <w:tcW w:w="2381" w:type="dxa"/>
          </w:tcPr>
          <w:p w:rsidR="002B489A" w:rsidRDefault="004F19C4">
            <w:pPr>
              <w:pStyle w:val="Tabletext"/>
              <w:framePr w:hSpace="181" w:wrap="notBeside" w:vAnchor="text" w:hAnchor="text" w:xAlign="center" w:y="1"/>
              <w:spacing w:before="60" w:after="60"/>
              <w:jc w:val="left"/>
              <w:rPr>
                <w:sz w:val="20"/>
              </w:rPr>
            </w:pPr>
            <w:r>
              <w:rPr>
                <w:sz w:val="20"/>
              </w:rPr>
              <w:t>Durée d'impulsion (</w:t>
            </w:r>
            <w:r>
              <w:rPr>
                <w:rFonts w:ascii="Symbol" w:hAnsi="Symbol"/>
                <w:sz w:val="20"/>
              </w:rPr>
              <w:sym w:font="Symbol" w:char="F06D"/>
            </w:r>
            <w:r>
              <w:rPr>
                <w:sz w:val="20"/>
              </w:rPr>
              <w:t>s)</w:t>
            </w:r>
          </w:p>
        </w:tc>
        <w:tc>
          <w:tcPr>
            <w:tcW w:w="1764" w:type="dxa"/>
          </w:tcPr>
          <w:p w:rsidR="002B489A" w:rsidRDefault="004F19C4">
            <w:pPr>
              <w:pStyle w:val="Tabletext"/>
              <w:framePr w:hSpace="181" w:wrap="notBeside" w:vAnchor="text" w:hAnchor="text" w:xAlign="center" w:y="1"/>
              <w:spacing w:before="60" w:after="60"/>
              <w:jc w:val="center"/>
              <w:rPr>
                <w:sz w:val="20"/>
              </w:rPr>
            </w:pPr>
            <w:r>
              <w:rPr>
                <w:sz w:val="20"/>
              </w:rPr>
              <w:t>2</w:t>
            </w:r>
          </w:p>
        </w:tc>
        <w:tc>
          <w:tcPr>
            <w:tcW w:w="1843" w:type="dxa"/>
          </w:tcPr>
          <w:p w:rsidR="002B489A" w:rsidRDefault="004F19C4">
            <w:pPr>
              <w:pStyle w:val="Tabletext"/>
              <w:framePr w:hSpace="181" w:wrap="notBeside" w:vAnchor="text" w:hAnchor="text" w:xAlign="center" w:y="1"/>
              <w:spacing w:before="60" w:after="60"/>
              <w:jc w:val="center"/>
              <w:rPr>
                <w:sz w:val="20"/>
              </w:rPr>
            </w:pPr>
            <w:r>
              <w:rPr>
                <w:sz w:val="20"/>
              </w:rPr>
              <w:t xml:space="preserve">88,8; 58,8 </w:t>
            </w:r>
            <w:r>
              <w:rPr>
                <w:sz w:val="20"/>
                <w:vertAlign w:val="superscript"/>
              </w:rPr>
              <w:t>(1)</w:t>
            </w:r>
          </w:p>
        </w:tc>
        <w:tc>
          <w:tcPr>
            <w:tcW w:w="1871" w:type="dxa"/>
          </w:tcPr>
          <w:p w:rsidR="002B489A" w:rsidRDefault="004F19C4">
            <w:pPr>
              <w:pStyle w:val="Tabletext"/>
              <w:framePr w:hSpace="181" w:wrap="notBeside" w:vAnchor="text" w:hAnchor="text" w:xAlign="center" w:y="1"/>
              <w:spacing w:before="60" w:after="60"/>
              <w:jc w:val="center"/>
              <w:rPr>
                <w:sz w:val="20"/>
              </w:rPr>
            </w:pPr>
            <w:r>
              <w:rPr>
                <w:sz w:val="20"/>
              </w:rPr>
              <w:t xml:space="preserve">0,4; 102,4; 409,6 </w:t>
            </w:r>
            <w:r>
              <w:rPr>
                <w:sz w:val="20"/>
                <w:vertAlign w:val="superscript"/>
              </w:rPr>
              <w:t>(2)</w:t>
            </w:r>
          </w:p>
        </w:tc>
        <w:tc>
          <w:tcPr>
            <w:tcW w:w="1871" w:type="dxa"/>
          </w:tcPr>
          <w:p w:rsidR="002B489A" w:rsidRDefault="004F19C4">
            <w:pPr>
              <w:pStyle w:val="Tabletext"/>
              <w:framePr w:hSpace="181" w:wrap="notBeside" w:vAnchor="text" w:hAnchor="text" w:xAlign="center" w:y="1"/>
              <w:spacing w:before="60" w:after="60"/>
              <w:ind w:left="-85" w:right="-85"/>
              <w:jc w:val="center"/>
              <w:rPr>
                <w:sz w:val="20"/>
              </w:rPr>
            </w:pPr>
            <w:r>
              <w:rPr>
                <w:sz w:val="20"/>
              </w:rPr>
              <w:t>Fréquence unique de 39, fréquence double de 26 et 13 </w:t>
            </w:r>
            <w:r>
              <w:rPr>
                <w:sz w:val="20"/>
                <w:vertAlign w:val="superscript"/>
              </w:rPr>
              <w:t>(3)</w:t>
            </w:r>
          </w:p>
        </w:tc>
      </w:tr>
      <w:tr w:rsidR="002B489A">
        <w:trPr>
          <w:cantSplit/>
        </w:trPr>
        <w:tc>
          <w:tcPr>
            <w:tcW w:w="2381" w:type="dxa"/>
          </w:tcPr>
          <w:p w:rsidR="002B489A" w:rsidRDefault="004F19C4">
            <w:pPr>
              <w:pStyle w:val="Tabletext"/>
              <w:framePr w:hSpace="181" w:wrap="notBeside" w:vAnchor="text" w:hAnchor="text" w:xAlign="center" w:y="1"/>
              <w:spacing w:before="60" w:after="60"/>
              <w:jc w:val="left"/>
              <w:rPr>
                <w:sz w:val="20"/>
              </w:rPr>
            </w:pPr>
            <w:r>
              <w:rPr>
                <w:sz w:val="20"/>
              </w:rPr>
              <w:t>Fréquence de répétition</w:t>
            </w:r>
            <w:r>
              <w:rPr>
                <w:sz w:val="20"/>
              </w:rPr>
              <w:br/>
              <w:t>des impulsions (pps)</w:t>
            </w:r>
          </w:p>
        </w:tc>
        <w:tc>
          <w:tcPr>
            <w:tcW w:w="1764" w:type="dxa"/>
          </w:tcPr>
          <w:p w:rsidR="002B489A" w:rsidRDefault="004F19C4">
            <w:pPr>
              <w:pStyle w:val="Tabletext"/>
              <w:framePr w:hSpace="181" w:wrap="notBeside" w:vAnchor="text" w:hAnchor="text" w:xAlign="center" w:y="1"/>
              <w:spacing w:before="60" w:after="60"/>
              <w:jc w:val="center"/>
              <w:rPr>
                <w:sz w:val="20"/>
              </w:rPr>
            </w:pPr>
            <w:r>
              <w:rPr>
                <w:sz w:val="20"/>
              </w:rPr>
              <w:t>310-380</w:t>
            </w:r>
            <w:r>
              <w:rPr>
                <w:sz w:val="20"/>
              </w:rPr>
              <w:br/>
              <w:t>avec décalage</w:t>
            </w:r>
          </w:p>
        </w:tc>
        <w:tc>
          <w:tcPr>
            <w:tcW w:w="1843" w:type="dxa"/>
          </w:tcPr>
          <w:p w:rsidR="002B489A" w:rsidRDefault="004F19C4">
            <w:pPr>
              <w:pStyle w:val="Tabletext"/>
              <w:framePr w:hSpace="181" w:wrap="notBeside" w:vAnchor="text" w:hAnchor="text" w:xAlign="center" w:y="1"/>
              <w:spacing w:before="60" w:after="60"/>
              <w:jc w:val="center"/>
              <w:rPr>
                <w:sz w:val="20"/>
              </w:rPr>
            </w:pPr>
            <w:r>
              <w:rPr>
                <w:sz w:val="20"/>
              </w:rPr>
              <w:t>291,5 ou 312,5</w:t>
            </w:r>
            <w:r>
              <w:rPr>
                <w:sz w:val="20"/>
              </w:rPr>
              <w:br/>
              <w:t>en moyenne</w:t>
            </w:r>
          </w:p>
        </w:tc>
        <w:tc>
          <w:tcPr>
            <w:tcW w:w="1871" w:type="dxa"/>
          </w:tcPr>
          <w:p w:rsidR="002B489A" w:rsidRDefault="004F19C4">
            <w:pPr>
              <w:pStyle w:val="Tabletext"/>
              <w:framePr w:hSpace="181" w:wrap="notBeside" w:vAnchor="text" w:hAnchor="text" w:xAlign="center" w:y="1"/>
              <w:spacing w:before="60" w:after="60"/>
              <w:jc w:val="center"/>
              <w:rPr>
                <w:sz w:val="20"/>
              </w:rPr>
            </w:pPr>
            <w:r>
              <w:rPr>
                <w:sz w:val="20"/>
              </w:rPr>
              <w:t>200-272 longue portée</w:t>
            </w:r>
          </w:p>
          <w:p w:rsidR="002B489A" w:rsidRDefault="004F19C4">
            <w:pPr>
              <w:pStyle w:val="Tabletext"/>
              <w:framePr w:hSpace="181" w:wrap="notBeside" w:vAnchor="text" w:hAnchor="text" w:xAlign="center" w:y="1"/>
              <w:spacing w:before="60" w:after="60"/>
              <w:jc w:val="center"/>
              <w:rPr>
                <w:sz w:val="20"/>
              </w:rPr>
            </w:pPr>
            <w:r>
              <w:rPr>
                <w:sz w:val="20"/>
              </w:rPr>
              <w:t>400-554 courte portée</w:t>
            </w:r>
          </w:p>
        </w:tc>
        <w:tc>
          <w:tcPr>
            <w:tcW w:w="1871" w:type="dxa"/>
          </w:tcPr>
          <w:p w:rsidR="002B489A" w:rsidRDefault="004F19C4">
            <w:pPr>
              <w:pStyle w:val="Tabletext"/>
              <w:framePr w:hSpace="181" w:wrap="notBeside" w:vAnchor="text" w:hAnchor="text" w:xAlign="center" w:y="1"/>
              <w:spacing w:before="60" w:after="60"/>
              <w:jc w:val="center"/>
              <w:rPr>
                <w:sz w:val="20"/>
              </w:rPr>
            </w:pPr>
            <w:r>
              <w:rPr>
                <w:sz w:val="20"/>
              </w:rPr>
              <w:t>774 en moyenne</w:t>
            </w:r>
          </w:p>
        </w:tc>
      </w:tr>
      <w:tr w:rsidR="002B489A">
        <w:trPr>
          <w:cantSplit/>
        </w:trPr>
        <w:tc>
          <w:tcPr>
            <w:tcW w:w="2381" w:type="dxa"/>
          </w:tcPr>
          <w:p w:rsidR="002B489A" w:rsidRDefault="004F19C4">
            <w:pPr>
              <w:pStyle w:val="Tabletext"/>
              <w:framePr w:hSpace="181" w:wrap="notBeside" w:vAnchor="text" w:hAnchor="text" w:xAlign="center" w:y="1"/>
              <w:spacing w:before="60" w:after="60"/>
              <w:jc w:val="left"/>
              <w:rPr>
                <w:sz w:val="20"/>
              </w:rPr>
            </w:pPr>
            <w:r>
              <w:rPr>
                <w:sz w:val="20"/>
              </w:rPr>
              <w:t>Largeur de bande pour des impulsions à modulation de fréquence</w:t>
            </w:r>
          </w:p>
        </w:tc>
        <w:tc>
          <w:tcPr>
            <w:tcW w:w="1764" w:type="dxa"/>
          </w:tcPr>
          <w:p w:rsidR="002B489A" w:rsidRDefault="004F19C4">
            <w:pPr>
              <w:pStyle w:val="Tabletext"/>
              <w:framePr w:hSpace="181" w:wrap="notBeside" w:vAnchor="text" w:hAnchor="text" w:xAlign="center" w:y="1"/>
              <w:spacing w:before="60" w:after="60"/>
              <w:jc w:val="center"/>
              <w:rPr>
                <w:sz w:val="20"/>
              </w:rPr>
            </w:pPr>
            <w:r>
              <w:rPr>
                <w:sz w:val="20"/>
              </w:rPr>
              <w:t>Sans objet</w:t>
            </w:r>
          </w:p>
        </w:tc>
        <w:tc>
          <w:tcPr>
            <w:tcW w:w="1843" w:type="dxa"/>
          </w:tcPr>
          <w:p w:rsidR="002B489A" w:rsidRDefault="004F19C4">
            <w:pPr>
              <w:pStyle w:val="Tabletext"/>
              <w:framePr w:hSpace="181" w:wrap="notBeside" w:vAnchor="text" w:hAnchor="text" w:xAlign="center" w:y="1"/>
              <w:spacing w:before="60" w:after="60"/>
              <w:jc w:val="center"/>
              <w:rPr>
                <w:sz w:val="20"/>
              </w:rPr>
            </w:pPr>
            <w:r>
              <w:rPr>
                <w:sz w:val="20"/>
              </w:rPr>
              <w:t>770 kHz pour chaque largeur d'impulsion</w:t>
            </w:r>
          </w:p>
        </w:tc>
        <w:tc>
          <w:tcPr>
            <w:tcW w:w="1871" w:type="dxa"/>
          </w:tcPr>
          <w:p w:rsidR="002B489A" w:rsidRDefault="004F19C4">
            <w:pPr>
              <w:pStyle w:val="Tabletext"/>
              <w:framePr w:hSpace="181" w:wrap="notBeside" w:vAnchor="text" w:hAnchor="text" w:xAlign="center" w:y="1"/>
              <w:spacing w:before="60" w:after="60"/>
              <w:jc w:val="center"/>
              <w:rPr>
                <w:sz w:val="20"/>
              </w:rPr>
            </w:pPr>
            <w:r>
              <w:rPr>
                <w:sz w:val="20"/>
              </w:rPr>
              <w:t>2,5 MHz pour</w:t>
            </w:r>
            <w:r>
              <w:rPr>
                <w:sz w:val="20"/>
              </w:rPr>
              <w:br/>
              <w:t xml:space="preserve">102,4 </w:t>
            </w:r>
            <w:r>
              <w:rPr>
                <w:rFonts w:ascii="Symbol" w:hAnsi="Symbol"/>
                <w:sz w:val="20"/>
              </w:rPr>
              <w:sym w:font="Symbol" w:char="F06D"/>
            </w:r>
            <w:r>
              <w:rPr>
                <w:sz w:val="20"/>
              </w:rPr>
              <w:t>s</w:t>
            </w:r>
          </w:p>
          <w:p w:rsidR="002B489A" w:rsidRDefault="004F19C4">
            <w:pPr>
              <w:pStyle w:val="Tabletext"/>
              <w:framePr w:hSpace="181" w:wrap="notBeside" w:vAnchor="text" w:hAnchor="text" w:xAlign="center" w:y="1"/>
              <w:spacing w:before="60" w:after="60"/>
              <w:jc w:val="center"/>
              <w:rPr>
                <w:sz w:val="20"/>
              </w:rPr>
            </w:pPr>
            <w:r>
              <w:rPr>
                <w:sz w:val="20"/>
              </w:rPr>
              <w:t>625 kHz pour</w:t>
            </w:r>
            <w:r>
              <w:rPr>
                <w:sz w:val="20"/>
              </w:rPr>
              <w:br/>
              <w:t xml:space="preserve">409,6 </w:t>
            </w:r>
            <w:r>
              <w:rPr>
                <w:rFonts w:ascii="Symbol" w:hAnsi="Symbol"/>
                <w:sz w:val="20"/>
              </w:rPr>
              <w:sym w:font="Symbol" w:char="F06D"/>
            </w:r>
            <w:r>
              <w:rPr>
                <w:sz w:val="20"/>
              </w:rPr>
              <w:t>s</w:t>
            </w:r>
          </w:p>
        </w:tc>
        <w:tc>
          <w:tcPr>
            <w:tcW w:w="1871" w:type="dxa"/>
          </w:tcPr>
          <w:p w:rsidR="002B489A" w:rsidRDefault="004F19C4">
            <w:pPr>
              <w:pStyle w:val="Tabletext"/>
              <w:framePr w:hSpace="181" w:wrap="notBeside" w:vAnchor="text" w:hAnchor="text" w:xAlign="center" w:y="1"/>
              <w:spacing w:before="60" w:after="60"/>
              <w:jc w:val="center"/>
              <w:rPr>
                <w:sz w:val="20"/>
              </w:rPr>
            </w:pPr>
            <w:r>
              <w:rPr>
                <w:sz w:val="20"/>
              </w:rPr>
              <w:t>Sans objet</w:t>
            </w:r>
          </w:p>
        </w:tc>
      </w:tr>
      <w:tr w:rsidR="002B489A">
        <w:trPr>
          <w:cantSplit/>
        </w:trPr>
        <w:tc>
          <w:tcPr>
            <w:tcW w:w="2381" w:type="dxa"/>
          </w:tcPr>
          <w:p w:rsidR="002B489A" w:rsidRDefault="004F19C4">
            <w:pPr>
              <w:pStyle w:val="Tabletext"/>
              <w:framePr w:hSpace="181" w:wrap="notBeside" w:vAnchor="text" w:hAnchor="text" w:xAlign="center" w:y="1"/>
              <w:spacing w:before="60" w:after="60"/>
              <w:jc w:val="left"/>
              <w:rPr>
                <w:sz w:val="20"/>
              </w:rPr>
            </w:pPr>
            <w:r>
              <w:rPr>
                <w:sz w:val="20"/>
              </w:rPr>
              <w:t>Largeur de sous</w:t>
            </w:r>
            <w:r>
              <w:rPr>
                <w:sz w:val="20"/>
              </w:rPr>
              <w:noBreakHyphen/>
              <w:t>impulsion</w:t>
            </w:r>
            <w:r>
              <w:rPr>
                <w:sz w:val="20"/>
              </w:rPr>
              <w:br/>
              <w:t>codée en phase (</w:t>
            </w:r>
            <w:r>
              <w:rPr>
                <w:sz w:val="20"/>
              </w:rPr>
              <w:sym w:font="Symbol" w:char="F06D"/>
            </w:r>
            <w:r>
              <w:rPr>
                <w:sz w:val="20"/>
              </w:rPr>
              <w:t>s)</w:t>
            </w:r>
          </w:p>
        </w:tc>
        <w:tc>
          <w:tcPr>
            <w:tcW w:w="5478" w:type="dxa"/>
            <w:gridSpan w:val="3"/>
          </w:tcPr>
          <w:p w:rsidR="002B489A" w:rsidRDefault="004F19C4">
            <w:pPr>
              <w:pStyle w:val="Tabletext"/>
              <w:framePr w:hSpace="181" w:wrap="notBeside" w:vAnchor="text" w:hAnchor="text" w:xAlign="center" w:y="1"/>
              <w:spacing w:before="60" w:after="60"/>
              <w:jc w:val="center"/>
              <w:rPr>
                <w:sz w:val="20"/>
              </w:rPr>
            </w:pPr>
            <w:r>
              <w:rPr>
                <w:sz w:val="20"/>
              </w:rPr>
              <w:t>Sans objet</w:t>
            </w:r>
          </w:p>
        </w:tc>
        <w:tc>
          <w:tcPr>
            <w:tcW w:w="1871" w:type="dxa"/>
          </w:tcPr>
          <w:p w:rsidR="002B489A" w:rsidRDefault="004F19C4">
            <w:pPr>
              <w:pStyle w:val="Tabletext"/>
              <w:framePr w:hSpace="181" w:wrap="notBeside" w:vAnchor="text" w:hAnchor="text" w:xAlign="center" w:y="1"/>
              <w:spacing w:before="60" w:after="60"/>
              <w:jc w:val="center"/>
              <w:rPr>
                <w:sz w:val="20"/>
              </w:rPr>
            </w:pPr>
            <w:r>
              <w:rPr>
                <w:sz w:val="20"/>
              </w:rPr>
              <w:t>1</w:t>
            </w:r>
          </w:p>
        </w:tc>
      </w:tr>
      <w:tr w:rsidR="002B489A">
        <w:trPr>
          <w:cantSplit/>
        </w:trPr>
        <w:tc>
          <w:tcPr>
            <w:tcW w:w="2381" w:type="dxa"/>
          </w:tcPr>
          <w:p w:rsidR="002B489A" w:rsidRDefault="004F19C4">
            <w:pPr>
              <w:pStyle w:val="Tabletext"/>
              <w:framePr w:hSpace="181" w:wrap="notBeside" w:vAnchor="text" w:hAnchor="text" w:xAlign="center" w:y="1"/>
              <w:spacing w:before="60" w:after="60"/>
              <w:jc w:val="left"/>
              <w:rPr>
                <w:sz w:val="20"/>
              </w:rPr>
            </w:pPr>
            <w:r>
              <w:rPr>
                <w:sz w:val="20"/>
              </w:rPr>
              <w:t>Rapport de compression</w:t>
            </w:r>
          </w:p>
        </w:tc>
        <w:tc>
          <w:tcPr>
            <w:tcW w:w="1764" w:type="dxa"/>
          </w:tcPr>
          <w:p w:rsidR="002B489A" w:rsidRDefault="004F19C4">
            <w:pPr>
              <w:pStyle w:val="Tabletext"/>
              <w:framePr w:hSpace="181" w:wrap="notBeside" w:vAnchor="text" w:hAnchor="text" w:xAlign="center" w:y="1"/>
              <w:spacing w:before="60" w:after="60"/>
              <w:jc w:val="center"/>
              <w:rPr>
                <w:sz w:val="20"/>
              </w:rPr>
            </w:pPr>
            <w:r>
              <w:rPr>
                <w:sz w:val="20"/>
              </w:rPr>
              <w:t>Sans objet</w:t>
            </w:r>
          </w:p>
        </w:tc>
        <w:tc>
          <w:tcPr>
            <w:tcW w:w="1843" w:type="dxa"/>
          </w:tcPr>
          <w:p w:rsidR="002B489A" w:rsidRDefault="004F19C4">
            <w:pPr>
              <w:pStyle w:val="Tabletext"/>
              <w:framePr w:hSpace="181" w:wrap="notBeside" w:vAnchor="text" w:hAnchor="text" w:xAlign="center" w:y="1"/>
              <w:spacing w:before="60" w:after="60"/>
              <w:jc w:val="center"/>
              <w:rPr>
                <w:sz w:val="20"/>
              </w:rPr>
            </w:pPr>
            <w:r>
              <w:rPr>
                <w:sz w:val="20"/>
              </w:rPr>
              <w:t>68,3:1 et 45,2:1</w:t>
            </w:r>
          </w:p>
        </w:tc>
        <w:tc>
          <w:tcPr>
            <w:tcW w:w="1871" w:type="dxa"/>
          </w:tcPr>
          <w:p w:rsidR="002B489A" w:rsidRDefault="004F19C4">
            <w:pPr>
              <w:pStyle w:val="Tabletext"/>
              <w:framePr w:hSpace="181" w:wrap="notBeside" w:vAnchor="text" w:hAnchor="text" w:xAlign="center" w:y="1"/>
              <w:spacing w:before="60" w:after="60"/>
              <w:jc w:val="center"/>
              <w:rPr>
                <w:sz w:val="20"/>
              </w:rPr>
            </w:pPr>
            <w:r>
              <w:rPr>
                <w:sz w:val="20"/>
              </w:rPr>
              <w:t>256:1 pour</w:t>
            </w:r>
            <w:r>
              <w:rPr>
                <w:sz w:val="20"/>
              </w:rPr>
              <w:br/>
              <w:t>les deux impulsions</w:t>
            </w:r>
          </w:p>
        </w:tc>
        <w:tc>
          <w:tcPr>
            <w:tcW w:w="1871" w:type="dxa"/>
          </w:tcPr>
          <w:p w:rsidR="002B489A" w:rsidRDefault="002B489A">
            <w:pPr>
              <w:pStyle w:val="Tabletext"/>
              <w:framePr w:hSpace="181" w:wrap="notBeside" w:vAnchor="text" w:hAnchor="text" w:xAlign="center" w:y="1"/>
              <w:spacing w:before="60" w:after="60"/>
              <w:jc w:val="center"/>
              <w:rPr>
                <w:sz w:val="20"/>
              </w:rPr>
            </w:pPr>
          </w:p>
        </w:tc>
      </w:tr>
      <w:tr w:rsidR="002B489A">
        <w:trPr>
          <w:cantSplit/>
        </w:trPr>
        <w:tc>
          <w:tcPr>
            <w:tcW w:w="2381" w:type="dxa"/>
          </w:tcPr>
          <w:p w:rsidR="002B489A" w:rsidRDefault="004F19C4">
            <w:pPr>
              <w:pStyle w:val="Tabletext"/>
              <w:framePr w:hSpace="181" w:wrap="notBeside" w:vAnchor="text" w:hAnchor="text" w:xAlign="center" w:y="1"/>
              <w:spacing w:before="60" w:after="60"/>
              <w:jc w:val="left"/>
              <w:rPr>
                <w:sz w:val="20"/>
              </w:rPr>
            </w:pPr>
            <w:r>
              <w:rPr>
                <w:sz w:val="20"/>
              </w:rPr>
              <w:t>Largeur de bande d'émission RF (3 dB)</w:t>
            </w:r>
            <w:r>
              <w:rPr>
                <w:sz w:val="20"/>
              </w:rPr>
              <w:br/>
              <w:t>(MHz)</w:t>
            </w:r>
          </w:p>
        </w:tc>
        <w:tc>
          <w:tcPr>
            <w:tcW w:w="1764" w:type="dxa"/>
          </w:tcPr>
          <w:p w:rsidR="002B489A" w:rsidRDefault="004F19C4">
            <w:pPr>
              <w:pStyle w:val="Tabletext"/>
              <w:framePr w:hSpace="181" w:wrap="notBeside" w:vAnchor="text" w:hAnchor="text" w:xAlign="center" w:y="1"/>
              <w:spacing w:before="60" w:after="60"/>
              <w:jc w:val="center"/>
              <w:rPr>
                <w:sz w:val="20"/>
              </w:rPr>
            </w:pPr>
            <w:r>
              <w:rPr>
                <w:sz w:val="20"/>
              </w:rPr>
              <w:t>0,5</w:t>
            </w:r>
          </w:p>
        </w:tc>
        <w:tc>
          <w:tcPr>
            <w:tcW w:w="1843" w:type="dxa"/>
          </w:tcPr>
          <w:p w:rsidR="002B489A" w:rsidRDefault="004F19C4">
            <w:pPr>
              <w:pStyle w:val="Tabletext"/>
              <w:framePr w:hSpace="181" w:wrap="notBeside" w:vAnchor="text" w:hAnchor="text" w:xAlign="center" w:y="1"/>
              <w:spacing w:before="60" w:after="60"/>
              <w:jc w:val="center"/>
              <w:rPr>
                <w:sz w:val="20"/>
              </w:rPr>
            </w:pPr>
            <w:r>
              <w:rPr>
                <w:sz w:val="20"/>
              </w:rPr>
              <w:t>1,09</w:t>
            </w:r>
          </w:p>
        </w:tc>
        <w:tc>
          <w:tcPr>
            <w:tcW w:w="1871" w:type="dxa"/>
          </w:tcPr>
          <w:p w:rsidR="002B489A" w:rsidRDefault="004F19C4">
            <w:pPr>
              <w:pStyle w:val="Tabletext"/>
              <w:framePr w:hSpace="181" w:wrap="notBeside" w:vAnchor="text" w:hAnchor="text" w:xAlign="center" w:y="1"/>
              <w:spacing w:before="60" w:after="60"/>
              <w:jc w:val="center"/>
              <w:rPr>
                <w:sz w:val="20"/>
              </w:rPr>
            </w:pPr>
            <w:r>
              <w:rPr>
                <w:sz w:val="20"/>
              </w:rPr>
              <w:t>2,2;</w:t>
            </w:r>
            <w:r>
              <w:rPr>
                <w:sz w:val="20"/>
              </w:rPr>
              <w:br/>
              <w:t>2,3;</w:t>
            </w:r>
            <w:r>
              <w:rPr>
                <w:sz w:val="20"/>
              </w:rPr>
              <w:br/>
              <w:t>0,58</w:t>
            </w:r>
          </w:p>
        </w:tc>
        <w:tc>
          <w:tcPr>
            <w:tcW w:w="1871" w:type="dxa"/>
          </w:tcPr>
          <w:p w:rsidR="002B489A" w:rsidRDefault="004F19C4">
            <w:pPr>
              <w:pStyle w:val="Tabletext"/>
              <w:framePr w:hSpace="181" w:wrap="notBeside" w:vAnchor="text" w:hAnchor="text" w:xAlign="center" w:y="1"/>
              <w:spacing w:before="60" w:after="60"/>
              <w:jc w:val="center"/>
              <w:rPr>
                <w:sz w:val="20"/>
              </w:rPr>
            </w:pPr>
            <w:r>
              <w:rPr>
                <w:sz w:val="20"/>
              </w:rPr>
              <w:t>1</w:t>
            </w:r>
          </w:p>
        </w:tc>
      </w:tr>
      <w:tr w:rsidR="002B489A">
        <w:trPr>
          <w:cantSplit/>
        </w:trPr>
        <w:tc>
          <w:tcPr>
            <w:tcW w:w="2381" w:type="dxa"/>
          </w:tcPr>
          <w:p w:rsidR="002B489A" w:rsidRDefault="004F19C4">
            <w:pPr>
              <w:pStyle w:val="Tabletext"/>
              <w:framePr w:hSpace="181" w:wrap="notBeside" w:vAnchor="text" w:hAnchor="text" w:xAlign="center" w:y="1"/>
              <w:spacing w:before="60" w:after="60"/>
              <w:jc w:val="left"/>
              <w:rPr>
                <w:sz w:val="20"/>
              </w:rPr>
            </w:pPr>
            <w:r>
              <w:rPr>
                <w:sz w:val="20"/>
              </w:rPr>
              <w:t>Organe de sortie</w:t>
            </w:r>
          </w:p>
        </w:tc>
        <w:tc>
          <w:tcPr>
            <w:tcW w:w="1764" w:type="dxa"/>
          </w:tcPr>
          <w:p w:rsidR="002B489A" w:rsidRDefault="004F19C4">
            <w:pPr>
              <w:pStyle w:val="Tabletext"/>
              <w:framePr w:hSpace="181" w:wrap="notBeside" w:vAnchor="text" w:hAnchor="text" w:xAlign="center" w:y="1"/>
              <w:spacing w:before="60" w:after="60"/>
              <w:jc w:val="center"/>
              <w:rPr>
                <w:sz w:val="20"/>
              </w:rPr>
            </w:pPr>
            <w:r>
              <w:rPr>
                <w:sz w:val="20"/>
              </w:rPr>
              <w:t>Klystron</w:t>
            </w:r>
          </w:p>
        </w:tc>
        <w:tc>
          <w:tcPr>
            <w:tcW w:w="3714" w:type="dxa"/>
            <w:gridSpan w:val="2"/>
          </w:tcPr>
          <w:p w:rsidR="002B489A" w:rsidRDefault="004F19C4">
            <w:pPr>
              <w:pStyle w:val="Tabletext"/>
              <w:framePr w:hSpace="181" w:wrap="notBeside" w:vAnchor="text" w:hAnchor="text" w:xAlign="center" w:y="1"/>
              <w:spacing w:before="60" w:after="60"/>
              <w:jc w:val="center"/>
              <w:rPr>
                <w:sz w:val="20"/>
              </w:rPr>
            </w:pPr>
            <w:r>
              <w:rPr>
                <w:sz w:val="20"/>
              </w:rPr>
              <w:t>Transistor</w:t>
            </w:r>
          </w:p>
        </w:tc>
        <w:tc>
          <w:tcPr>
            <w:tcW w:w="1871" w:type="dxa"/>
          </w:tcPr>
          <w:p w:rsidR="002B489A" w:rsidRDefault="004F19C4">
            <w:pPr>
              <w:pStyle w:val="Tabletext"/>
              <w:framePr w:hSpace="181" w:wrap="notBeside" w:vAnchor="text" w:hAnchor="text" w:xAlign="center" w:y="1"/>
              <w:spacing w:before="60" w:after="60"/>
              <w:jc w:val="center"/>
              <w:rPr>
                <w:sz w:val="20"/>
              </w:rPr>
            </w:pPr>
            <w:r>
              <w:rPr>
                <w:sz w:val="20"/>
              </w:rPr>
              <w:t>Amplificateur à</w:t>
            </w:r>
            <w:r>
              <w:rPr>
                <w:sz w:val="20"/>
              </w:rPr>
              <w:br/>
              <w:t>champs croisés</w:t>
            </w:r>
          </w:p>
        </w:tc>
      </w:tr>
      <w:tr w:rsidR="002B489A">
        <w:trPr>
          <w:cantSplit/>
        </w:trPr>
        <w:tc>
          <w:tcPr>
            <w:tcW w:w="2381" w:type="dxa"/>
          </w:tcPr>
          <w:p w:rsidR="002B489A" w:rsidRDefault="004F19C4">
            <w:pPr>
              <w:pStyle w:val="Tabletext"/>
              <w:framePr w:hSpace="181" w:wrap="notBeside" w:vAnchor="text" w:hAnchor="text" w:xAlign="center" w:y="1"/>
              <w:spacing w:before="60" w:after="60"/>
              <w:jc w:val="left"/>
              <w:rPr>
                <w:sz w:val="20"/>
              </w:rPr>
            </w:pPr>
            <w:r>
              <w:rPr>
                <w:sz w:val="20"/>
              </w:rPr>
              <w:t>Type d'antenne</w:t>
            </w:r>
          </w:p>
        </w:tc>
        <w:tc>
          <w:tcPr>
            <w:tcW w:w="1764" w:type="dxa"/>
          </w:tcPr>
          <w:p w:rsidR="002B489A" w:rsidRDefault="004F19C4">
            <w:pPr>
              <w:pStyle w:val="Tabletext"/>
              <w:framePr w:hSpace="181" w:wrap="notBeside" w:vAnchor="text" w:hAnchor="text" w:xAlign="center" w:y="1"/>
              <w:spacing w:before="60" w:after="60"/>
              <w:jc w:val="center"/>
              <w:rPr>
                <w:sz w:val="20"/>
              </w:rPr>
            </w:pPr>
            <w:r>
              <w:rPr>
                <w:sz w:val="20"/>
              </w:rPr>
              <w:t>Réflecteur alimenté par cornet</w:t>
            </w:r>
          </w:p>
        </w:tc>
        <w:tc>
          <w:tcPr>
            <w:tcW w:w="1843" w:type="dxa"/>
          </w:tcPr>
          <w:p w:rsidR="002B489A" w:rsidRDefault="004F19C4">
            <w:pPr>
              <w:pStyle w:val="Tabletext"/>
              <w:framePr w:hSpace="181" w:wrap="notBeside" w:vAnchor="text" w:hAnchor="text" w:xAlign="center" w:y="1"/>
              <w:spacing w:before="60" w:after="60"/>
              <w:jc w:val="center"/>
              <w:rPr>
                <w:sz w:val="20"/>
              </w:rPr>
            </w:pPr>
            <w:r>
              <w:rPr>
                <w:sz w:val="20"/>
              </w:rPr>
              <w:t>Réflecteur à faisceaux empilés</w:t>
            </w:r>
          </w:p>
        </w:tc>
        <w:tc>
          <w:tcPr>
            <w:tcW w:w="1871" w:type="dxa"/>
          </w:tcPr>
          <w:p w:rsidR="002B489A" w:rsidRDefault="004F19C4">
            <w:pPr>
              <w:pStyle w:val="Tabletext"/>
              <w:framePr w:hSpace="181" w:wrap="notBeside" w:vAnchor="text" w:hAnchor="text" w:xAlign="center" w:y="1"/>
              <w:spacing w:before="60" w:after="60"/>
              <w:jc w:val="center"/>
              <w:rPr>
                <w:sz w:val="20"/>
              </w:rPr>
            </w:pPr>
            <w:r>
              <w:rPr>
                <w:sz w:val="20"/>
              </w:rPr>
              <w:t>Antenne rotative à balayage électronique</w:t>
            </w:r>
          </w:p>
        </w:tc>
        <w:tc>
          <w:tcPr>
            <w:tcW w:w="1871" w:type="dxa"/>
          </w:tcPr>
          <w:p w:rsidR="002B489A" w:rsidRDefault="004F19C4">
            <w:pPr>
              <w:pStyle w:val="Tabletext"/>
              <w:framePr w:hSpace="181" w:wrap="notBeside" w:vAnchor="text" w:hAnchor="text" w:xAlign="center" w:y="1"/>
              <w:spacing w:before="60" w:after="60"/>
              <w:jc w:val="center"/>
              <w:rPr>
                <w:sz w:val="20"/>
              </w:rPr>
            </w:pPr>
            <w:r>
              <w:rPr>
                <w:sz w:val="20"/>
              </w:rPr>
              <w:t>Cylindre parabolique</w:t>
            </w:r>
          </w:p>
        </w:tc>
      </w:tr>
      <w:tr w:rsidR="002B489A">
        <w:trPr>
          <w:cantSplit/>
        </w:trPr>
        <w:tc>
          <w:tcPr>
            <w:tcW w:w="2381" w:type="dxa"/>
          </w:tcPr>
          <w:p w:rsidR="002B489A" w:rsidRDefault="004F19C4">
            <w:pPr>
              <w:pStyle w:val="Tabletext"/>
              <w:framePr w:hSpace="181" w:wrap="notBeside" w:vAnchor="text" w:hAnchor="text" w:xAlign="center" w:y="1"/>
              <w:spacing w:before="60" w:after="60"/>
              <w:jc w:val="left"/>
              <w:rPr>
                <w:sz w:val="20"/>
              </w:rPr>
            </w:pPr>
            <w:r>
              <w:rPr>
                <w:sz w:val="20"/>
              </w:rPr>
              <w:t>Polarisation d'antenne</w:t>
            </w:r>
          </w:p>
        </w:tc>
        <w:tc>
          <w:tcPr>
            <w:tcW w:w="1764" w:type="dxa"/>
          </w:tcPr>
          <w:p w:rsidR="002B489A" w:rsidRDefault="004F19C4">
            <w:pPr>
              <w:pStyle w:val="Tabletext"/>
              <w:framePr w:hSpace="181" w:wrap="notBeside" w:vAnchor="text" w:hAnchor="text" w:xAlign="center" w:y="1"/>
              <w:spacing w:before="60" w:after="60"/>
              <w:jc w:val="center"/>
              <w:rPr>
                <w:sz w:val="20"/>
              </w:rPr>
            </w:pPr>
            <w:r>
              <w:rPr>
                <w:sz w:val="20"/>
              </w:rPr>
              <w:t>Horizontale, verticale,</w:t>
            </w:r>
            <w:r>
              <w:rPr>
                <w:sz w:val="20"/>
              </w:rPr>
              <w:br/>
              <w:t>circulaire gauche, circulaire droite</w:t>
            </w:r>
          </w:p>
        </w:tc>
        <w:tc>
          <w:tcPr>
            <w:tcW w:w="1843" w:type="dxa"/>
          </w:tcPr>
          <w:p w:rsidR="002B489A" w:rsidRDefault="004F19C4">
            <w:pPr>
              <w:pStyle w:val="Tabletext"/>
              <w:framePr w:hSpace="181" w:wrap="notBeside" w:vAnchor="text" w:hAnchor="text" w:xAlign="center" w:y="1"/>
              <w:spacing w:before="60" w:after="60"/>
              <w:jc w:val="center"/>
              <w:rPr>
                <w:sz w:val="20"/>
              </w:rPr>
            </w:pPr>
            <w:r>
              <w:rPr>
                <w:sz w:val="20"/>
              </w:rPr>
              <w:t>Verticale, circulaire</w:t>
            </w:r>
          </w:p>
        </w:tc>
        <w:tc>
          <w:tcPr>
            <w:tcW w:w="1871" w:type="dxa"/>
          </w:tcPr>
          <w:p w:rsidR="002B489A" w:rsidRDefault="004F19C4">
            <w:pPr>
              <w:pStyle w:val="Tabletext"/>
              <w:framePr w:hSpace="181" w:wrap="notBeside" w:vAnchor="text" w:hAnchor="text" w:xAlign="center" w:y="1"/>
              <w:spacing w:before="60" w:after="60"/>
              <w:jc w:val="center"/>
              <w:rPr>
                <w:sz w:val="20"/>
              </w:rPr>
            </w:pPr>
            <w:r>
              <w:rPr>
                <w:sz w:val="20"/>
              </w:rPr>
              <w:t>Horizontale</w:t>
            </w:r>
          </w:p>
        </w:tc>
        <w:tc>
          <w:tcPr>
            <w:tcW w:w="1871" w:type="dxa"/>
          </w:tcPr>
          <w:p w:rsidR="002B489A" w:rsidRDefault="004F19C4">
            <w:pPr>
              <w:pStyle w:val="Tabletext"/>
              <w:framePr w:hSpace="181" w:wrap="notBeside" w:vAnchor="text" w:hAnchor="text" w:xAlign="center" w:y="1"/>
              <w:spacing w:before="60" w:after="60"/>
              <w:jc w:val="center"/>
              <w:rPr>
                <w:sz w:val="20"/>
              </w:rPr>
            </w:pPr>
            <w:r>
              <w:rPr>
                <w:sz w:val="20"/>
              </w:rPr>
              <w:t>Verticale</w:t>
            </w:r>
          </w:p>
        </w:tc>
      </w:tr>
      <w:tr w:rsidR="002B489A">
        <w:trPr>
          <w:cantSplit/>
        </w:trPr>
        <w:tc>
          <w:tcPr>
            <w:tcW w:w="2381" w:type="dxa"/>
          </w:tcPr>
          <w:p w:rsidR="002B489A" w:rsidRDefault="004F19C4">
            <w:pPr>
              <w:pStyle w:val="Tabletext"/>
              <w:framePr w:hSpace="181" w:wrap="notBeside" w:vAnchor="text" w:hAnchor="text" w:xAlign="center" w:y="1"/>
              <w:spacing w:before="60" w:after="60"/>
              <w:jc w:val="left"/>
              <w:rPr>
                <w:sz w:val="20"/>
              </w:rPr>
            </w:pPr>
            <w:r>
              <w:rPr>
                <w:sz w:val="20"/>
              </w:rPr>
              <w:t>Gain maximum</w:t>
            </w:r>
            <w:r>
              <w:rPr>
                <w:sz w:val="20"/>
              </w:rPr>
              <w:br/>
              <w:t>d'antenne (dBi)</w:t>
            </w:r>
          </w:p>
        </w:tc>
        <w:tc>
          <w:tcPr>
            <w:tcW w:w="1764" w:type="dxa"/>
          </w:tcPr>
          <w:p w:rsidR="002B489A" w:rsidRDefault="004F19C4">
            <w:pPr>
              <w:pStyle w:val="Tabletext"/>
              <w:framePr w:hSpace="181" w:wrap="notBeside" w:vAnchor="text" w:hAnchor="text" w:xAlign="center" w:y="1"/>
              <w:spacing w:before="60" w:after="60"/>
              <w:jc w:val="center"/>
              <w:rPr>
                <w:sz w:val="20"/>
              </w:rPr>
            </w:pPr>
            <w:r>
              <w:rPr>
                <w:sz w:val="20"/>
              </w:rPr>
              <w:t>34,5 en émission</w:t>
            </w:r>
          </w:p>
          <w:p w:rsidR="002B489A" w:rsidRDefault="004F19C4">
            <w:pPr>
              <w:pStyle w:val="Tabletext"/>
              <w:framePr w:hSpace="181" w:wrap="notBeside" w:vAnchor="text" w:hAnchor="text" w:xAlign="center" w:y="1"/>
              <w:spacing w:before="60" w:after="60"/>
              <w:jc w:val="center"/>
              <w:rPr>
                <w:sz w:val="20"/>
              </w:rPr>
            </w:pPr>
            <w:r>
              <w:rPr>
                <w:sz w:val="20"/>
              </w:rPr>
              <w:t>33,5 en réception</w:t>
            </w:r>
          </w:p>
        </w:tc>
        <w:tc>
          <w:tcPr>
            <w:tcW w:w="1843" w:type="dxa"/>
          </w:tcPr>
          <w:p w:rsidR="002B489A" w:rsidRDefault="004F19C4">
            <w:pPr>
              <w:pStyle w:val="Tabletext"/>
              <w:framePr w:hSpace="181" w:wrap="notBeside" w:vAnchor="text" w:hAnchor="text" w:xAlign="center" w:y="1"/>
              <w:spacing w:before="60" w:after="60"/>
              <w:jc w:val="center"/>
              <w:rPr>
                <w:sz w:val="20"/>
              </w:rPr>
            </w:pPr>
            <w:r>
              <w:rPr>
                <w:sz w:val="20"/>
              </w:rPr>
              <w:t>32,4-34,2 en émission,</w:t>
            </w:r>
          </w:p>
          <w:p w:rsidR="002B489A" w:rsidRDefault="004F19C4">
            <w:pPr>
              <w:pStyle w:val="Tabletext"/>
              <w:framePr w:hSpace="181" w:wrap="notBeside" w:vAnchor="text" w:hAnchor="text" w:xAlign="center" w:y="1"/>
              <w:spacing w:before="60" w:after="60"/>
              <w:jc w:val="center"/>
              <w:rPr>
                <w:sz w:val="20"/>
              </w:rPr>
            </w:pPr>
            <w:r>
              <w:rPr>
                <w:sz w:val="20"/>
              </w:rPr>
              <w:t>31,7-38,9 en réception</w:t>
            </w:r>
          </w:p>
        </w:tc>
        <w:tc>
          <w:tcPr>
            <w:tcW w:w="1871" w:type="dxa"/>
          </w:tcPr>
          <w:p w:rsidR="002B489A" w:rsidRDefault="004F19C4">
            <w:pPr>
              <w:pStyle w:val="Tabletext"/>
              <w:framePr w:hSpace="181" w:wrap="notBeside" w:vAnchor="text" w:hAnchor="text" w:xAlign="center" w:y="1"/>
              <w:spacing w:before="60" w:after="60"/>
              <w:jc w:val="center"/>
              <w:rPr>
                <w:sz w:val="20"/>
              </w:rPr>
            </w:pPr>
            <w:r>
              <w:rPr>
                <w:sz w:val="20"/>
              </w:rPr>
              <w:t>38,9 en émission</w:t>
            </w:r>
          </w:p>
          <w:p w:rsidR="002B489A" w:rsidRDefault="004F19C4">
            <w:pPr>
              <w:pStyle w:val="Tabletext"/>
              <w:framePr w:hSpace="181" w:wrap="notBeside" w:vAnchor="text" w:hAnchor="text" w:xAlign="center" w:y="1"/>
              <w:spacing w:before="60" w:after="60"/>
              <w:jc w:val="center"/>
              <w:rPr>
                <w:sz w:val="20"/>
              </w:rPr>
            </w:pPr>
            <w:r>
              <w:rPr>
                <w:sz w:val="20"/>
              </w:rPr>
              <w:t>38,2 en réception</w:t>
            </w:r>
          </w:p>
        </w:tc>
        <w:tc>
          <w:tcPr>
            <w:tcW w:w="1871" w:type="dxa"/>
          </w:tcPr>
          <w:p w:rsidR="002B489A" w:rsidRDefault="004F19C4">
            <w:pPr>
              <w:pStyle w:val="Tabletext"/>
              <w:framePr w:hSpace="181" w:wrap="notBeside" w:vAnchor="text" w:hAnchor="text" w:xAlign="center" w:y="1"/>
              <w:spacing w:before="60" w:after="60"/>
              <w:jc w:val="center"/>
              <w:rPr>
                <w:sz w:val="20"/>
              </w:rPr>
            </w:pPr>
            <w:r>
              <w:rPr>
                <w:sz w:val="20"/>
              </w:rPr>
              <w:t>32,5</w:t>
            </w:r>
          </w:p>
        </w:tc>
      </w:tr>
      <w:tr w:rsidR="002B489A">
        <w:trPr>
          <w:cantSplit/>
        </w:trPr>
        <w:tc>
          <w:tcPr>
            <w:tcW w:w="2381" w:type="dxa"/>
          </w:tcPr>
          <w:p w:rsidR="002B489A" w:rsidRDefault="004F19C4">
            <w:pPr>
              <w:pStyle w:val="Tabletext"/>
              <w:framePr w:hSpace="181" w:wrap="notBeside" w:vAnchor="text" w:hAnchor="text" w:xAlign="center" w:y="1"/>
              <w:spacing w:before="60" w:after="60"/>
              <w:jc w:val="left"/>
              <w:rPr>
                <w:sz w:val="20"/>
              </w:rPr>
            </w:pPr>
            <w:r>
              <w:rPr>
                <w:sz w:val="20"/>
              </w:rPr>
              <w:t>Ouverture angulaire en élévation du faisceau de l'antenne (degrés)</w:t>
            </w:r>
          </w:p>
        </w:tc>
        <w:tc>
          <w:tcPr>
            <w:tcW w:w="1764" w:type="dxa"/>
          </w:tcPr>
          <w:p w:rsidR="002B489A" w:rsidRDefault="004F19C4">
            <w:pPr>
              <w:pStyle w:val="Tabletext"/>
              <w:framePr w:hSpace="181" w:wrap="notBeside" w:vAnchor="text" w:hAnchor="text" w:xAlign="center" w:y="1"/>
              <w:spacing w:before="60" w:after="60"/>
              <w:jc w:val="center"/>
              <w:rPr>
                <w:sz w:val="20"/>
              </w:rPr>
            </w:pPr>
            <w:r>
              <w:rPr>
                <w:sz w:val="20"/>
              </w:rPr>
              <w:t>3,6 pointant à 44</w:t>
            </w:r>
          </w:p>
        </w:tc>
        <w:tc>
          <w:tcPr>
            <w:tcW w:w="1843" w:type="dxa"/>
          </w:tcPr>
          <w:p w:rsidR="002B489A" w:rsidRDefault="004F19C4">
            <w:pPr>
              <w:pStyle w:val="Tabletext"/>
              <w:framePr w:hSpace="181" w:wrap="notBeside" w:vAnchor="text" w:hAnchor="text" w:xAlign="center" w:y="1"/>
              <w:spacing w:before="60" w:after="60"/>
              <w:jc w:val="center"/>
              <w:rPr>
                <w:sz w:val="20"/>
              </w:rPr>
            </w:pPr>
            <w:r>
              <w:rPr>
                <w:sz w:val="20"/>
              </w:rPr>
              <w:t>3,63-5,61 en émission</w:t>
            </w:r>
          </w:p>
          <w:p w:rsidR="002B489A" w:rsidRDefault="004F19C4">
            <w:pPr>
              <w:pStyle w:val="Tabletext"/>
              <w:framePr w:hSpace="181" w:wrap="notBeside" w:vAnchor="text" w:hAnchor="text" w:xAlign="center" w:y="1"/>
              <w:spacing w:before="60" w:after="60"/>
              <w:jc w:val="center"/>
              <w:rPr>
                <w:sz w:val="20"/>
              </w:rPr>
            </w:pPr>
            <w:r>
              <w:rPr>
                <w:sz w:val="20"/>
              </w:rPr>
              <w:t>2,02-8,79</w:t>
            </w:r>
            <w:r>
              <w:rPr>
                <w:sz w:val="20"/>
                <w:vertAlign w:val="superscript"/>
              </w:rPr>
              <w:t xml:space="preserve"> </w:t>
            </w:r>
            <w:r>
              <w:rPr>
                <w:sz w:val="20"/>
              </w:rPr>
              <w:t>en réception</w:t>
            </w:r>
          </w:p>
        </w:tc>
        <w:tc>
          <w:tcPr>
            <w:tcW w:w="1871" w:type="dxa"/>
          </w:tcPr>
          <w:p w:rsidR="002B489A" w:rsidRDefault="004F19C4">
            <w:pPr>
              <w:pStyle w:val="Tabletext"/>
              <w:framePr w:hSpace="181" w:wrap="notBeside" w:vAnchor="text" w:hAnchor="text" w:xAlign="center" w:y="1"/>
              <w:spacing w:before="60" w:after="60"/>
              <w:jc w:val="center"/>
              <w:rPr>
                <w:sz w:val="20"/>
              </w:rPr>
            </w:pPr>
            <w:r>
              <w:rPr>
                <w:sz w:val="20"/>
              </w:rPr>
              <w:t>1,3</w:t>
            </w:r>
          </w:p>
        </w:tc>
        <w:tc>
          <w:tcPr>
            <w:tcW w:w="1871" w:type="dxa"/>
          </w:tcPr>
          <w:p w:rsidR="002B489A" w:rsidRDefault="004F19C4">
            <w:pPr>
              <w:pStyle w:val="Tabletext"/>
              <w:framePr w:hSpace="181" w:wrap="notBeside" w:vAnchor="text" w:hAnchor="text" w:xAlign="center" w:y="1"/>
              <w:spacing w:before="60" w:after="60"/>
              <w:jc w:val="center"/>
              <w:rPr>
                <w:sz w:val="20"/>
              </w:rPr>
            </w:pPr>
            <w:r>
              <w:rPr>
                <w:sz w:val="20"/>
              </w:rPr>
              <w:t>4,5</w:t>
            </w:r>
            <w:r>
              <w:rPr>
                <w:sz w:val="20"/>
                <w:vertAlign w:val="superscript"/>
              </w:rPr>
              <w:t xml:space="preserve"> </w:t>
            </w:r>
            <w:r>
              <w:rPr>
                <w:sz w:val="20"/>
              </w:rPr>
              <w:t>pointant à 40</w:t>
            </w:r>
          </w:p>
        </w:tc>
      </w:tr>
      <w:tr w:rsidR="002B489A">
        <w:trPr>
          <w:cantSplit/>
        </w:trPr>
        <w:tc>
          <w:tcPr>
            <w:tcW w:w="2381" w:type="dxa"/>
          </w:tcPr>
          <w:p w:rsidR="002B489A" w:rsidRDefault="004F19C4">
            <w:pPr>
              <w:pStyle w:val="Tabletext"/>
              <w:framePr w:hSpace="181" w:wrap="notBeside" w:vAnchor="text" w:hAnchor="text" w:xAlign="center" w:y="1"/>
              <w:spacing w:before="60" w:after="60"/>
              <w:jc w:val="left"/>
              <w:rPr>
                <w:sz w:val="20"/>
              </w:rPr>
            </w:pPr>
            <w:r>
              <w:rPr>
                <w:sz w:val="20"/>
              </w:rPr>
              <w:t>Ouverture angulaire en azimut du faisceau de l'antenne (degrés)</w:t>
            </w:r>
          </w:p>
        </w:tc>
        <w:tc>
          <w:tcPr>
            <w:tcW w:w="1764" w:type="dxa"/>
          </w:tcPr>
          <w:p w:rsidR="002B489A" w:rsidRDefault="004F19C4">
            <w:pPr>
              <w:pStyle w:val="Tabletext"/>
              <w:framePr w:hSpace="181" w:wrap="notBeside" w:vAnchor="text" w:hAnchor="text" w:xAlign="center" w:y="1"/>
              <w:spacing w:before="60" w:after="60"/>
              <w:jc w:val="center"/>
              <w:rPr>
                <w:sz w:val="20"/>
              </w:rPr>
            </w:pPr>
            <w:r>
              <w:rPr>
                <w:sz w:val="20"/>
              </w:rPr>
              <w:t>1,2</w:t>
            </w:r>
          </w:p>
        </w:tc>
        <w:tc>
          <w:tcPr>
            <w:tcW w:w="1843" w:type="dxa"/>
          </w:tcPr>
          <w:p w:rsidR="002B489A" w:rsidRDefault="004F19C4">
            <w:pPr>
              <w:pStyle w:val="Tabletext"/>
              <w:framePr w:hSpace="181" w:wrap="notBeside" w:vAnchor="text" w:hAnchor="text" w:xAlign="center" w:y="1"/>
              <w:spacing w:before="60" w:after="60"/>
              <w:jc w:val="center"/>
              <w:rPr>
                <w:sz w:val="20"/>
              </w:rPr>
            </w:pPr>
            <w:r>
              <w:rPr>
                <w:sz w:val="20"/>
              </w:rPr>
              <w:t>1,4</w:t>
            </w:r>
          </w:p>
        </w:tc>
        <w:tc>
          <w:tcPr>
            <w:tcW w:w="1871" w:type="dxa"/>
          </w:tcPr>
          <w:p w:rsidR="002B489A" w:rsidRDefault="004F19C4">
            <w:pPr>
              <w:pStyle w:val="Tabletext"/>
              <w:framePr w:hSpace="181" w:wrap="notBeside" w:vAnchor="text" w:hAnchor="text" w:xAlign="center" w:y="1"/>
              <w:spacing w:before="60" w:after="60"/>
              <w:jc w:val="center"/>
              <w:rPr>
                <w:sz w:val="20"/>
              </w:rPr>
            </w:pPr>
            <w:r>
              <w:rPr>
                <w:sz w:val="20"/>
              </w:rPr>
              <w:t>3,2</w:t>
            </w:r>
          </w:p>
        </w:tc>
        <w:tc>
          <w:tcPr>
            <w:tcW w:w="1871" w:type="dxa"/>
          </w:tcPr>
          <w:p w:rsidR="002B489A" w:rsidRDefault="004F19C4">
            <w:pPr>
              <w:pStyle w:val="Tabletext"/>
              <w:framePr w:hSpace="181" w:wrap="notBeside" w:vAnchor="text" w:hAnchor="text" w:xAlign="center" w:y="1"/>
              <w:spacing w:before="60" w:after="60"/>
              <w:jc w:val="center"/>
              <w:rPr>
                <w:sz w:val="20"/>
              </w:rPr>
            </w:pPr>
            <w:r>
              <w:rPr>
                <w:sz w:val="20"/>
              </w:rPr>
              <w:t>3,0</w:t>
            </w:r>
          </w:p>
        </w:tc>
      </w:tr>
    </w:tbl>
    <w:p w:rsidR="002B489A" w:rsidRDefault="002B489A">
      <w:pPr>
        <w:pStyle w:val="Tablefin"/>
        <w:spacing w:before="0"/>
      </w:pPr>
    </w:p>
    <w:p w:rsidR="002B489A" w:rsidRDefault="004F19C4">
      <w:pPr>
        <w:pStyle w:val="TableNo"/>
        <w:spacing w:before="0"/>
      </w:pPr>
      <w:r>
        <w:br w:type="page"/>
        <w:t>TABLEAU  8 (</w:t>
      </w:r>
      <w:r>
        <w:rPr>
          <w:i/>
          <w:iCs/>
        </w:rPr>
        <w:t>fin</w:t>
      </w:r>
      <w:r>
        <w:t>)</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0"/>
        <w:gridCol w:w="1764"/>
        <w:gridCol w:w="1847"/>
        <w:gridCol w:w="1862"/>
        <w:gridCol w:w="1862"/>
      </w:tblGrid>
      <w:tr w:rsidR="002B489A">
        <w:trPr>
          <w:cantSplit/>
        </w:trPr>
        <w:tc>
          <w:tcPr>
            <w:tcW w:w="2380" w:type="dxa"/>
          </w:tcPr>
          <w:p w:rsidR="002B489A" w:rsidRDefault="004F19C4">
            <w:pPr>
              <w:pStyle w:val="Tablehead"/>
              <w:framePr w:hSpace="181" w:wrap="notBeside" w:vAnchor="text" w:hAnchor="text" w:xAlign="center" w:y="1"/>
              <w:spacing w:before="160" w:after="160"/>
              <w:rPr>
                <w:sz w:val="20"/>
              </w:rPr>
            </w:pPr>
            <w:r>
              <w:rPr>
                <w:sz w:val="20"/>
              </w:rPr>
              <w:t>Paramètre</w:t>
            </w:r>
          </w:p>
        </w:tc>
        <w:tc>
          <w:tcPr>
            <w:tcW w:w="1764" w:type="dxa"/>
          </w:tcPr>
          <w:p w:rsidR="002B489A" w:rsidRDefault="004F19C4">
            <w:pPr>
              <w:pStyle w:val="Tablehead"/>
              <w:framePr w:hSpace="181" w:wrap="notBeside" w:vAnchor="text" w:hAnchor="text" w:xAlign="center" w:y="1"/>
              <w:spacing w:before="160" w:after="160"/>
              <w:rPr>
                <w:sz w:val="20"/>
              </w:rPr>
            </w:pPr>
            <w:r>
              <w:rPr>
                <w:sz w:val="20"/>
              </w:rPr>
              <w:t>Système 1</w:t>
            </w:r>
          </w:p>
        </w:tc>
        <w:tc>
          <w:tcPr>
            <w:tcW w:w="1847" w:type="dxa"/>
          </w:tcPr>
          <w:p w:rsidR="002B489A" w:rsidRDefault="004F19C4">
            <w:pPr>
              <w:pStyle w:val="Tablehead"/>
              <w:framePr w:hSpace="181" w:wrap="notBeside" w:vAnchor="text" w:hAnchor="text" w:xAlign="center" w:y="1"/>
              <w:spacing w:before="160" w:after="160"/>
              <w:rPr>
                <w:sz w:val="20"/>
              </w:rPr>
            </w:pPr>
            <w:r>
              <w:rPr>
                <w:sz w:val="20"/>
              </w:rPr>
              <w:t>Système 2</w:t>
            </w:r>
          </w:p>
        </w:tc>
        <w:tc>
          <w:tcPr>
            <w:tcW w:w="1862" w:type="dxa"/>
          </w:tcPr>
          <w:p w:rsidR="002B489A" w:rsidRDefault="004F19C4">
            <w:pPr>
              <w:pStyle w:val="Tablehead"/>
              <w:framePr w:hSpace="181" w:wrap="notBeside" w:vAnchor="text" w:hAnchor="text" w:xAlign="center" w:y="1"/>
              <w:spacing w:before="160" w:after="160"/>
              <w:rPr>
                <w:sz w:val="20"/>
              </w:rPr>
            </w:pPr>
            <w:r>
              <w:rPr>
                <w:sz w:val="20"/>
              </w:rPr>
              <w:t>Système 3</w:t>
            </w:r>
          </w:p>
        </w:tc>
        <w:tc>
          <w:tcPr>
            <w:tcW w:w="1862" w:type="dxa"/>
          </w:tcPr>
          <w:p w:rsidR="002B489A" w:rsidRDefault="004F19C4">
            <w:pPr>
              <w:pStyle w:val="Tablehead"/>
              <w:framePr w:hSpace="181" w:wrap="notBeside" w:vAnchor="text" w:hAnchor="text" w:xAlign="center" w:y="1"/>
              <w:spacing w:before="160" w:after="160"/>
              <w:rPr>
                <w:sz w:val="20"/>
              </w:rPr>
            </w:pPr>
            <w:r>
              <w:rPr>
                <w:sz w:val="20"/>
              </w:rPr>
              <w:t>Système 4</w:t>
            </w:r>
          </w:p>
        </w:tc>
      </w:tr>
      <w:tr w:rsidR="002B489A">
        <w:trPr>
          <w:cantSplit/>
        </w:trPr>
        <w:tc>
          <w:tcPr>
            <w:tcW w:w="2380" w:type="dxa"/>
          </w:tcPr>
          <w:p w:rsidR="002B489A" w:rsidRDefault="004F19C4">
            <w:pPr>
              <w:pStyle w:val="Tabletext"/>
              <w:framePr w:hSpace="181" w:wrap="notBeside" w:vAnchor="text" w:hAnchor="text" w:xAlign="center" w:y="1"/>
              <w:spacing w:before="60" w:after="60"/>
              <w:jc w:val="left"/>
              <w:rPr>
                <w:sz w:val="20"/>
              </w:rPr>
            </w:pPr>
            <w:r>
              <w:rPr>
                <w:sz w:val="20"/>
              </w:rPr>
              <w:t xml:space="preserve">Caractéristiques relatives au balayage horizontal de l'antenne </w:t>
            </w:r>
          </w:p>
        </w:tc>
        <w:tc>
          <w:tcPr>
            <w:tcW w:w="3611" w:type="dxa"/>
            <w:gridSpan w:val="2"/>
          </w:tcPr>
          <w:p w:rsidR="002B489A" w:rsidRDefault="004F19C4">
            <w:pPr>
              <w:pStyle w:val="Tabletext"/>
              <w:framePr w:hSpace="181" w:wrap="notBeside" w:vAnchor="text" w:hAnchor="text" w:xAlign="center" w:y="1"/>
              <w:spacing w:before="60" w:after="60"/>
              <w:jc w:val="center"/>
              <w:rPr>
                <w:sz w:val="20"/>
              </w:rPr>
            </w:pPr>
            <w:r>
              <w:rPr>
                <w:sz w:val="20"/>
              </w:rPr>
              <w:t>Balayage mécanique de 360</w:t>
            </w:r>
            <w:r>
              <w:rPr>
                <w:rFonts w:ascii="Symbol" w:hAnsi="Symbol"/>
                <w:sz w:val="20"/>
              </w:rPr>
              <w:t></w:t>
            </w:r>
            <w:r>
              <w:rPr>
                <w:sz w:val="20"/>
                <w:vertAlign w:val="superscript"/>
              </w:rPr>
              <w:t xml:space="preserve"> </w:t>
            </w:r>
            <w:r>
              <w:rPr>
                <w:sz w:val="20"/>
              </w:rPr>
              <w:t>à raison de 5 r.p.m.</w:t>
            </w:r>
          </w:p>
        </w:tc>
        <w:tc>
          <w:tcPr>
            <w:tcW w:w="1862" w:type="dxa"/>
          </w:tcPr>
          <w:p w:rsidR="002B489A" w:rsidRDefault="004F19C4">
            <w:pPr>
              <w:pStyle w:val="Tabletext"/>
              <w:framePr w:hSpace="181" w:wrap="notBeside" w:vAnchor="text" w:hAnchor="text" w:xAlign="center" w:y="1"/>
              <w:spacing w:before="60" w:after="60"/>
              <w:jc w:val="center"/>
              <w:rPr>
                <w:sz w:val="20"/>
              </w:rPr>
            </w:pPr>
            <w:r>
              <w:rPr>
                <w:sz w:val="20"/>
              </w:rPr>
              <w:t>Balayage mécanique de 360</w:t>
            </w:r>
            <w:r>
              <w:rPr>
                <w:rFonts w:ascii="Symbol" w:hAnsi="Symbol"/>
                <w:sz w:val="20"/>
              </w:rPr>
              <w:t></w:t>
            </w:r>
            <w:r>
              <w:rPr>
                <w:sz w:val="20"/>
                <w:vertAlign w:val="superscript"/>
              </w:rPr>
              <w:t xml:space="preserve"> </w:t>
            </w:r>
            <w:r>
              <w:rPr>
                <w:sz w:val="20"/>
              </w:rPr>
              <w:t>à raison de 6 rpm pour systèmes à longue portée et à raison de 12 rpm pour systèmes à courte portée</w:t>
            </w:r>
          </w:p>
        </w:tc>
        <w:tc>
          <w:tcPr>
            <w:tcW w:w="1862" w:type="dxa"/>
          </w:tcPr>
          <w:p w:rsidR="002B489A" w:rsidRDefault="004F19C4">
            <w:pPr>
              <w:pStyle w:val="Tabletext"/>
              <w:framePr w:hSpace="181" w:wrap="notBeside" w:vAnchor="text" w:hAnchor="text" w:xAlign="center" w:y="1"/>
              <w:spacing w:before="60" w:after="60"/>
              <w:jc w:val="center"/>
              <w:rPr>
                <w:sz w:val="20"/>
              </w:rPr>
            </w:pPr>
            <w:r>
              <w:rPr>
                <w:sz w:val="20"/>
              </w:rPr>
              <w:t>Balayage mécanique de 360</w:t>
            </w:r>
            <w:r>
              <w:rPr>
                <w:rFonts w:ascii="Symbol" w:hAnsi="Symbol"/>
                <w:sz w:val="20"/>
              </w:rPr>
              <w:t></w:t>
            </w:r>
            <w:r>
              <w:rPr>
                <w:sz w:val="20"/>
                <w:vertAlign w:val="superscript"/>
              </w:rPr>
              <w:t xml:space="preserve"> </w:t>
            </w:r>
            <w:r>
              <w:rPr>
                <w:sz w:val="20"/>
              </w:rPr>
              <w:t>à raison de 6, 12 ou 15 r.p.m.</w:t>
            </w:r>
          </w:p>
        </w:tc>
      </w:tr>
      <w:tr w:rsidR="002B489A">
        <w:trPr>
          <w:cantSplit/>
        </w:trPr>
        <w:tc>
          <w:tcPr>
            <w:tcW w:w="2380" w:type="dxa"/>
          </w:tcPr>
          <w:p w:rsidR="002B489A" w:rsidRDefault="004F19C4">
            <w:pPr>
              <w:pStyle w:val="Tabletext"/>
              <w:framePr w:hSpace="181" w:wrap="notBeside" w:vAnchor="text" w:hAnchor="text" w:xAlign="center" w:y="1"/>
              <w:spacing w:before="60" w:after="60"/>
              <w:jc w:val="left"/>
              <w:rPr>
                <w:sz w:val="20"/>
              </w:rPr>
            </w:pPr>
            <w:r>
              <w:rPr>
                <w:sz w:val="20"/>
              </w:rPr>
              <w:t>Caractéristiques relatives au balayage vertical de l'antenne</w:t>
            </w:r>
          </w:p>
        </w:tc>
        <w:tc>
          <w:tcPr>
            <w:tcW w:w="1764" w:type="dxa"/>
          </w:tcPr>
          <w:p w:rsidR="002B489A" w:rsidRDefault="004F19C4">
            <w:pPr>
              <w:pStyle w:val="Tabletext"/>
              <w:framePr w:hSpace="181" w:wrap="notBeside" w:vAnchor="text" w:hAnchor="text" w:xAlign="center" w:y="1"/>
              <w:spacing w:before="60" w:after="60"/>
              <w:jc w:val="center"/>
              <w:rPr>
                <w:sz w:val="20"/>
              </w:rPr>
            </w:pPr>
            <w:r>
              <w:rPr>
                <w:sz w:val="20"/>
              </w:rPr>
              <w:t>Sans objet</w:t>
            </w:r>
          </w:p>
        </w:tc>
        <w:tc>
          <w:tcPr>
            <w:tcW w:w="1847" w:type="dxa"/>
          </w:tcPr>
          <w:p w:rsidR="002B489A" w:rsidRDefault="004F19C4">
            <w:pPr>
              <w:pStyle w:val="Tabletext"/>
              <w:framePr w:hSpace="181" w:wrap="notBeside" w:vAnchor="text" w:hAnchor="text" w:xAlign="center" w:y="1"/>
              <w:spacing w:before="60" w:after="60"/>
              <w:jc w:val="center"/>
              <w:rPr>
                <w:sz w:val="20"/>
              </w:rPr>
            </w:pPr>
            <w:r>
              <w:rPr>
                <w:sz w:val="20"/>
              </w:rPr>
              <w:t>–7</w:t>
            </w:r>
            <w:r>
              <w:rPr>
                <w:rFonts w:ascii="Symbol" w:hAnsi="Symbol"/>
                <w:sz w:val="20"/>
              </w:rPr>
              <w:t></w:t>
            </w:r>
            <w:r>
              <w:rPr>
                <w:sz w:val="20"/>
                <w:vertAlign w:val="superscript"/>
              </w:rPr>
              <w:t xml:space="preserve"> </w:t>
            </w:r>
            <w:r>
              <w:rPr>
                <w:sz w:val="20"/>
              </w:rPr>
              <w:t xml:space="preserve">à </w:t>
            </w:r>
            <w:r>
              <w:rPr>
                <w:rFonts w:ascii="Symbol" w:hAnsi="Symbol"/>
                <w:sz w:val="20"/>
              </w:rPr>
              <w:t></w:t>
            </w:r>
            <w:r>
              <w:rPr>
                <w:sz w:val="20"/>
              </w:rPr>
              <w:t>30</w:t>
            </w:r>
            <w:r>
              <w:rPr>
                <w:rFonts w:ascii="Symbol" w:hAnsi="Symbol"/>
                <w:sz w:val="20"/>
              </w:rPr>
              <w:t></w:t>
            </w:r>
            <w:r>
              <w:rPr>
                <w:sz w:val="20"/>
                <w:vertAlign w:val="superscript"/>
              </w:rPr>
              <w:t xml:space="preserve"> </w:t>
            </w:r>
            <w:r>
              <w:rPr>
                <w:sz w:val="20"/>
              </w:rPr>
              <w:t>en 12,8 ou 13,7 ms</w:t>
            </w:r>
          </w:p>
        </w:tc>
        <w:tc>
          <w:tcPr>
            <w:tcW w:w="1862" w:type="dxa"/>
          </w:tcPr>
          <w:p w:rsidR="002B489A" w:rsidRDefault="004F19C4">
            <w:pPr>
              <w:pStyle w:val="Tabletext"/>
              <w:framePr w:hSpace="181" w:wrap="notBeside" w:vAnchor="text" w:hAnchor="text" w:xAlign="center" w:y="1"/>
              <w:spacing w:before="60" w:after="60"/>
              <w:jc w:val="center"/>
              <w:rPr>
                <w:sz w:val="20"/>
              </w:rPr>
            </w:pPr>
            <w:r>
              <w:rPr>
                <w:sz w:val="20"/>
              </w:rPr>
              <w:t>–1</w:t>
            </w:r>
            <w:r>
              <w:rPr>
                <w:rFonts w:ascii="Symbol" w:hAnsi="Symbol"/>
                <w:sz w:val="20"/>
              </w:rPr>
              <w:t></w:t>
            </w:r>
            <w:r>
              <w:rPr>
                <w:sz w:val="20"/>
                <w:vertAlign w:val="superscript"/>
              </w:rPr>
              <w:t xml:space="preserve"> </w:t>
            </w:r>
            <w:r>
              <w:rPr>
                <w:sz w:val="20"/>
              </w:rPr>
              <w:t xml:space="preserve">à </w:t>
            </w:r>
            <w:r>
              <w:rPr>
                <w:rFonts w:ascii="Symbol" w:hAnsi="Symbol"/>
                <w:sz w:val="20"/>
              </w:rPr>
              <w:t></w:t>
            </w:r>
            <w:r>
              <w:rPr>
                <w:sz w:val="20"/>
              </w:rPr>
              <w:t>19</w:t>
            </w:r>
            <w:r>
              <w:rPr>
                <w:rFonts w:ascii="Symbol" w:hAnsi="Symbol"/>
                <w:sz w:val="20"/>
              </w:rPr>
              <w:t></w:t>
            </w:r>
            <w:r>
              <w:rPr>
                <w:sz w:val="20"/>
                <w:vertAlign w:val="superscript"/>
              </w:rPr>
              <w:t xml:space="preserve"> </w:t>
            </w:r>
            <w:r>
              <w:rPr>
                <w:sz w:val="20"/>
              </w:rPr>
              <w:t>en 73,5 ms</w:t>
            </w:r>
          </w:p>
        </w:tc>
        <w:tc>
          <w:tcPr>
            <w:tcW w:w="1862" w:type="dxa"/>
          </w:tcPr>
          <w:p w:rsidR="002B489A" w:rsidRDefault="004F19C4">
            <w:pPr>
              <w:pStyle w:val="Tabletext"/>
              <w:framePr w:hSpace="181" w:wrap="notBeside" w:vAnchor="text" w:hAnchor="text" w:xAlign="center" w:y="1"/>
              <w:spacing w:before="60" w:after="60"/>
              <w:jc w:val="center"/>
              <w:rPr>
                <w:sz w:val="20"/>
              </w:rPr>
            </w:pPr>
            <w:r>
              <w:rPr>
                <w:sz w:val="20"/>
              </w:rPr>
              <w:t>Sans objet</w:t>
            </w:r>
          </w:p>
        </w:tc>
      </w:tr>
      <w:tr w:rsidR="002B489A">
        <w:trPr>
          <w:cantSplit/>
        </w:trPr>
        <w:tc>
          <w:tcPr>
            <w:tcW w:w="2380" w:type="dxa"/>
          </w:tcPr>
          <w:p w:rsidR="002B489A" w:rsidRDefault="004F19C4">
            <w:pPr>
              <w:pStyle w:val="Tabletext"/>
              <w:framePr w:hSpace="181" w:wrap="notBeside" w:vAnchor="text" w:hAnchor="text" w:xAlign="center" w:y="1"/>
              <w:spacing w:before="60" w:after="60"/>
              <w:jc w:val="left"/>
              <w:rPr>
                <w:sz w:val="20"/>
              </w:rPr>
            </w:pPr>
            <w:r>
              <w:rPr>
                <w:sz w:val="20"/>
              </w:rPr>
              <w:t>Largeur de bande FI</w:t>
            </w:r>
            <w:r>
              <w:rPr>
                <w:sz w:val="20"/>
              </w:rPr>
              <w:br/>
              <w:t>du récepteur</w:t>
            </w:r>
          </w:p>
        </w:tc>
        <w:tc>
          <w:tcPr>
            <w:tcW w:w="1764" w:type="dxa"/>
          </w:tcPr>
          <w:p w:rsidR="002B489A" w:rsidRDefault="004F19C4">
            <w:pPr>
              <w:pStyle w:val="Tabletext"/>
              <w:framePr w:hSpace="181" w:wrap="notBeside" w:vAnchor="text" w:hAnchor="text" w:xAlign="center" w:y="1"/>
              <w:spacing w:before="60" w:after="60"/>
              <w:jc w:val="center"/>
              <w:rPr>
                <w:sz w:val="20"/>
              </w:rPr>
            </w:pPr>
            <w:r>
              <w:rPr>
                <w:sz w:val="20"/>
              </w:rPr>
              <w:t>780 kHz</w:t>
            </w:r>
          </w:p>
        </w:tc>
        <w:tc>
          <w:tcPr>
            <w:tcW w:w="1847" w:type="dxa"/>
          </w:tcPr>
          <w:p w:rsidR="002B489A" w:rsidRDefault="004F19C4">
            <w:pPr>
              <w:pStyle w:val="Tabletext"/>
              <w:framePr w:hSpace="181" w:wrap="notBeside" w:vAnchor="text" w:hAnchor="text" w:xAlign="center" w:y="1"/>
              <w:spacing w:before="60" w:after="60"/>
              <w:jc w:val="center"/>
              <w:rPr>
                <w:sz w:val="20"/>
              </w:rPr>
            </w:pPr>
            <w:r>
              <w:rPr>
                <w:sz w:val="20"/>
              </w:rPr>
              <w:t>0,69 MHz</w:t>
            </w:r>
          </w:p>
        </w:tc>
        <w:tc>
          <w:tcPr>
            <w:tcW w:w="1862" w:type="dxa"/>
          </w:tcPr>
          <w:p w:rsidR="002B489A" w:rsidRDefault="004F19C4">
            <w:pPr>
              <w:pStyle w:val="Tabletext"/>
              <w:framePr w:hSpace="181" w:wrap="notBeside" w:vAnchor="text" w:hAnchor="text" w:xAlign="center" w:y="1"/>
              <w:spacing w:before="60" w:after="60"/>
              <w:jc w:val="center"/>
              <w:rPr>
                <w:sz w:val="20"/>
              </w:rPr>
            </w:pPr>
            <w:r>
              <w:rPr>
                <w:sz w:val="20"/>
              </w:rPr>
              <w:t>4,4 à 6,4 MHz</w:t>
            </w:r>
          </w:p>
        </w:tc>
        <w:tc>
          <w:tcPr>
            <w:tcW w:w="1862" w:type="dxa"/>
          </w:tcPr>
          <w:p w:rsidR="002B489A" w:rsidRDefault="004F19C4">
            <w:pPr>
              <w:pStyle w:val="Tabletext"/>
              <w:framePr w:hSpace="181" w:wrap="notBeside" w:vAnchor="text" w:hAnchor="text" w:xAlign="center" w:y="1"/>
              <w:spacing w:before="60" w:after="60"/>
              <w:jc w:val="center"/>
              <w:rPr>
                <w:sz w:val="20"/>
              </w:rPr>
            </w:pPr>
            <w:r>
              <w:rPr>
                <w:sz w:val="20"/>
              </w:rPr>
              <w:t>1,2 MHz</w:t>
            </w:r>
          </w:p>
        </w:tc>
      </w:tr>
      <w:tr w:rsidR="002B489A">
        <w:trPr>
          <w:cantSplit/>
        </w:trPr>
        <w:tc>
          <w:tcPr>
            <w:tcW w:w="2380" w:type="dxa"/>
          </w:tcPr>
          <w:p w:rsidR="002B489A" w:rsidRDefault="004F19C4">
            <w:pPr>
              <w:pStyle w:val="Tabletext"/>
              <w:framePr w:hSpace="181" w:wrap="notBeside" w:vAnchor="text" w:hAnchor="text" w:xAlign="center" w:y="1"/>
              <w:spacing w:before="60" w:after="60"/>
              <w:jc w:val="left"/>
              <w:rPr>
                <w:sz w:val="20"/>
              </w:rPr>
            </w:pPr>
            <w:r>
              <w:rPr>
                <w:sz w:val="20"/>
              </w:rPr>
              <w:t>Facteur de bruit</w:t>
            </w:r>
            <w:r>
              <w:rPr>
                <w:sz w:val="20"/>
              </w:rPr>
              <w:br/>
              <w:t>du récepteur (dB)</w:t>
            </w:r>
          </w:p>
        </w:tc>
        <w:tc>
          <w:tcPr>
            <w:tcW w:w="3611" w:type="dxa"/>
            <w:gridSpan w:val="2"/>
          </w:tcPr>
          <w:p w:rsidR="002B489A" w:rsidRDefault="004F19C4">
            <w:pPr>
              <w:pStyle w:val="Tabletext"/>
              <w:framePr w:hSpace="181" w:wrap="notBeside" w:vAnchor="text" w:hAnchor="text" w:xAlign="center" w:y="1"/>
              <w:spacing w:before="60" w:after="60"/>
              <w:jc w:val="center"/>
              <w:rPr>
                <w:sz w:val="20"/>
              </w:rPr>
            </w:pPr>
            <w:r>
              <w:rPr>
                <w:sz w:val="20"/>
              </w:rPr>
              <w:t>2</w:t>
            </w:r>
          </w:p>
        </w:tc>
        <w:tc>
          <w:tcPr>
            <w:tcW w:w="1862" w:type="dxa"/>
          </w:tcPr>
          <w:p w:rsidR="002B489A" w:rsidRDefault="004F19C4">
            <w:pPr>
              <w:pStyle w:val="Tabletext"/>
              <w:framePr w:hSpace="181" w:wrap="notBeside" w:vAnchor="text" w:hAnchor="text" w:xAlign="center" w:y="1"/>
              <w:spacing w:before="60" w:after="60"/>
              <w:jc w:val="center"/>
              <w:rPr>
                <w:sz w:val="20"/>
              </w:rPr>
            </w:pPr>
            <w:r>
              <w:rPr>
                <w:sz w:val="20"/>
              </w:rPr>
              <w:t>4,7</w:t>
            </w:r>
          </w:p>
        </w:tc>
        <w:tc>
          <w:tcPr>
            <w:tcW w:w="1862" w:type="dxa"/>
          </w:tcPr>
          <w:p w:rsidR="002B489A" w:rsidRDefault="004F19C4">
            <w:pPr>
              <w:pStyle w:val="Tabletext"/>
              <w:framePr w:hSpace="181" w:wrap="notBeside" w:vAnchor="text" w:hAnchor="text" w:xAlign="center" w:y="1"/>
              <w:spacing w:before="60" w:after="60"/>
              <w:jc w:val="center"/>
              <w:rPr>
                <w:sz w:val="20"/>
              </w:rPr>
            </w:pPr>
            <w:r>
              <w:rPr>
                <w:sz w:val="20"/>
              </w:rPr>
              <w:t>3,5</w:t>
            </w:r>
          </w:p>
        </w:tc>
      </w:tr>
      <w:tr w:rsidR="002B489A">
        <w:trPr>
          <w:cantSplit/>
        </w:trPr>
        <w:tc>
          <w:tcPr>
            <w:tcW w:w="2380" w:type="dxa"/>
          </w:tcPr>
          <w:p w:rsidR="002B489A" w:rsidRDefault="004F19C4">
            <w:pPr>
              <w:pStyle w:val="Tabletext"/>
              <w:framePr w:hSpace="181" w:wrap="notBeside" w:vAnchor="text" w:hAnchor="text" w:xAlign="center" w:y="1"/>
              <w:spacing w:before="60" w:after="60"/>
              <w:jc w:val="left"/>
              <w:rPr>
                <w:sz w:val="20"/>
              </w:rPr>
            </w:pPr>
            <w:r>
              <w:rPr>
                <w:sz w:val="20"/>
              </w:rPr>
              <w:t>Type de plate-forme</w:t>
            </w:r>
          </w:p>
        </w:tc>
        <w:tc>
          <w:tcPr>
            <w:tcW w:w="3611" w:type="dxa"/>
            <w:gridSpan w:val="2"/>
          </w:tcPr>
          <w:p w:rsidR="002B489A" w:rsidRDefault="004F19C4">
            <w:pPr>
              <w:pStyle w:val="Tabletext"/>
              <w:framePr w:hSpace="181" w:wrap="notBeside" w:vAnchor="text" w:hAnchor="text" w:xAlign="center" w:y="1"/>
              <w:spacing w:before="60" w:after="60"/>
              <w:jc w:val="center"/>
              <w:rPr>
                <w:sz w:val="20"/>
              </w:rPr>
            </w:pPr>
            <w:r>
              <w:rPr>
                <w:sz w:val="20"/>
              </w:rPr>
              <w:t>Fixe</w:t>
            </w:r>
          </w:p>
        </w:tc>
        <w:tc>
          <w:tcPr>
            <w:tcW w:w="3724" w:type="dxa"/>
            <w:gridSpan w:val="2"/>
          </w:tcPr>
          <w:p w:rsidR="002B489A" w:rsidRDefault="004F19C4">
            <w:pPr>
              <w:pStyle w:val="Tabletext"/>
              <w:framePr w:hSpace="181" w:wrap="notBeside" w:vAnchor="text" w:hAnchor="text" w:xAlign="center" w:y="1"/>
              <w:spacing w:before="60" w:after="60"/>
              <w:jc w:val="center"/>
              <w:rPr>
                <w:sz w:val="20"/>
              </w:rPr>
            </w:pPr>
            <w:r>
              <w:rPr>
                <w:sz w:val="20"/>
              </w:rPr>
              <w:t>Transportable</w:t>
            </w:r>
          </w:p>
        </w:tc>
      </w:tr>
      <w:tr w:rsidR="002B489A">
        <w:trPr>
          <w:cantSplit/>
        </w:trPr>
        <w:tc>
          <w:tcPr>
            <w:tcW w:w="2380" w:type="dxa"/>
            <w:tcBorders>
              <w:bottom w:val="single" w:sz="4" w:space="0" w:color="auto"/>
            </w:tcBorders>
          </w:tcPr>
          <w:p w:rsidR="002B489A" w:rsidRDefault="004F19C4">
            <w:pPr>
              <w:pStyle w:val="Tabletext"/>
              <w:framePr w:hSpace="181" w:wrap="notBeside" w:vAnchor="text" w:hAnchor="text" w:xAlign="center" w:y="1"/>
              <w:spacing w:before="60" w:after="60"/>
              <w:jc w:val="left"/>
              <w:rPr>
                <w:sz w:val="20"/>
              </w:rPr>
            </w:pPr>
            <w:r>
              <w:rPr>
                <w:sz w:val="20"/>
              </w:rPr>
              <w:t>Pourcentage de temps pendant lequel le système fonctionne (</w:t>
            </w:r>
            <w:r>
              <w:rPr>
                <w:rFonts w:ascii="Symbol" w:hAnsi="Symbol"/>
                <w:sz w:val="20"/>
              </w:rPr>
              <w:t></w:t>
            </w:r>
            <w:r>
              <w:rPr>
                <w:rFonts w:ascii="Symbol" w:hAnsi="Symbol"/>
                <w:sz w:val="20"/>
              </w:rPr>
              <w:t></w:t>
            </w:r>
          </w:p>
        </w:tc>
        <w:tc>
          <w:tcPr>
            <w:tcW w:w="7335" w:type="dxa"/>
            <w:gridSpan w:val="4"/>
            <w:tcBorders>
              <w:bottom w:val="single" w:sz="4" w:space="0" w:color="auto"/>
            </w:tcBorders>
            <w:vAlign w:val="center"/>
          </w:tcPr>
          <w:p w:rsidR="002B489A" w:rsidRDefault="004F19C4">
            <w:pPr>
              <w:pStyle w:val="Tabletext"/>
              <w:framePr w:hSpace="181" w:wrap="notBeside" w:vAnchor="text" w:hAnchor="text" w:xAlign="center" w:y="1"/>
              <w:spacing w:before="60" w:after="60"/>
              <w:jc w:val="center"/>
              <w:rPr>
                <w:sz w:val="20"/>
              </w:rPr>
            </w:pPr>
            <w:r>
              <w:rPr>
                <w:sz w:val="20"/>
              </w:rPr>
              <w:t>100</w:t>
            </w:r>
          </w:p>
        </w:tc>
      </w:tr>
      <w:tr w:rsidR="002B489A">
        <w:trPr>
          <w:cantSplit/>
        </w:trPr>
        <w:tc>
          <w:tcPr>
            <w:tcW w:w="9715" w:type="dxa"/>
            <w:gridSpan w:val="5"/>
            <w:tcBorders>
              <w:left w:val="nil"/>
              <w:bottom w:val="nil"/>
              <w:right w:val="nil"/>
            </w:tcBorders>
          </w:tcPr>
          <w:p w:rsidR="002B489A" w:rsidRDefault="004F19C4">
            <w:pPr>
              <w:pStyle w:val="Tablelegend"/>
              <w:framePr w:hSpace="181" w:wrap="notBeside" w:vAnchor="text" w:hAnchor="text" w:xAlign="center" w:y="1"/>
              <w:spacing w:line="220" w:lineRule="exact"/>
              <w:rPr>
                <w:sz w:val="20"/>
              </w:rPr>
            </w:pPr>
            <w:r>
              <w:rPr>
                <w:sz w:val="20"/>
                <w:vertAlign w:val="superscript"/>
              </w:rPr>
              <w:t>(1)</w:t>
            </w:r>
            <w:r>
              <w:rPr>
                <w:sz w:val="20"/>
              </w:rPr>
              <w:tab/>
              <w:t>Le radar possède 44 paires de canaux RF dont une sélectionnée en mode normal. La forme d'onde trans</w:t>
            </w:r>
            <w:r>
              <w:rPr>
                <w:sz w:val="20"/>
              </w:rPr>
              <w:softHyphen/>
              <w:t xml:space="preserve">mise est composée d'une impulsion de 88,8 </w:t>
            </w:r>
            <w:r>
              <w:rPr>
                <w:spacing w:val="-1"/>
                <w:sz w:val="20"/>
              </w:rPr>
              <w:sym w:font="Symbol" w:char="F06D"/>
            </w:r>
            <w:r>
              <w:rPr>
                <w:sz w:val="20"/>
              </w:rPr>
              <w:t xml:space="preserve">s pour une fréquence </w:t>
            </w:r>
            <w:r>
              <w:rPr>
                <w:i/>
                <w:iCs/>
                <w:sz w:val="20"/>
              </w:rPr>
              <w:t>f</w:t>
            </w:r>
            <w:r>
              <w:rPr>
                <w:sz w:val="20"/>
                <w:vertAlign w:val="subscript"/>
              </w:rPr>
              <w:t>1</w:t>
            </w:r>
            <w:r>
              <w:rPr>
                <w:sz w:val="20"/>
              </w:rPr>
              <w:t xml:space="preserve"> suivie d'une impulsion de 58,8 </w:t>
            </w:r>
            <w:r>
              <w:rPr>
                <w:spacing w:val="-1"/>
                <w:sz w:val="20"/>
              </w:rPr>
              <w:sym w:font="Symbol" w:char="F06D"/>
            </w:r>
            <w:r>
              <w:rPr>
                <w:sz w:val="20"/>
              </w:rPr>
              <w:t>s pour une fréquence </w:t>
            </w:r>
            <w:r>
              <w:rPr>
                <w:i/>
                <w:iCs/>
                <w:sz w:val="20"/>
              </w:rPr>
              <w:t>f</w:t>
            </w:r>
            <w:r>
              <w:rPr>
                <w:sz w:val="20"/>
                <w:vertAlign w:val="subscript"/>
              </w:rPr>
              <w:t>2</w:t>
            </w:r>
            <w:r>
              <w:rPr>
                <w:sz w:val="20"/>
              </w:rPr>
              <w:t xml:space="preserve">. L'écart entre </w:t>
            </w:r>
            <w:r>
              <w:rPr>
                <w:i/>
                <w:iCs/>
                <w:sz w:val="20"/>
              </w:rPr>
              <w:t>f</w:t>
            </w:r>
            <w:r>
              <w:rPr>
                <w:sz w:val="20"/>
                <w:vertAlign w:val="subscript"/>
              </w:rPr>
              <w:t>1</w:t>
            </w:r>
            <w:r>
              <w:rPr>
                <w:sz w:val="20"/>
              </w:rPr>
              <w:t xml:space="preserve"> et </w:t>
            </w:r>
            <w:r>
              <w:rPr>
                <w:i/>
                <w:iCs/>
                <w:sz w:val="20"/>
              </w:rPr>
              <w:t>f</w:t>
            </w:r>
            <w:r>
              <w:rPr>
                <w:sz w:val="20"/>
                <w:vertAlign w:val="subscript"/>
              </w:rPr>
              <w:t>2</w:t>
            </w:r>
            <w:r>
              <w:rPr>
                <w:sz w:val="20"/>
              </w:rPr>
              <w:t xml:space="preserve"> est de 82,854 MHz.</w:t>
            </w:r>
          </w:p>
          <w:p w:rsidR="002B489A" w:rsidRDefault="004F19C4">
            <w:pPr>
              <w:pStyle w:val="Tablelegend"/>
              <w:framePr w:hSpace="181" w:wrap="notBeside" w:vAnchor="text" w:hAnchor="text" w:xAlign="center" w:y="1"/>
              <w:spacing w:before="40" w:line="220" w:lineRule="exact"/>
              <w:rPr>
                <w:spacing w:val="-2"/>
                <w:sz w:val="20"/>
              </w:rPr>
            </w:pPr>
            <w:r>
              <w:rPr>
                <w:sz w:val="20"/>
                <w:vertAlign w:val="superscript"/>
              </w:rPr>
              <w:t>(2)</w:t>
            </w:r>
            <w:r>
              <w:rPr>
                <w:sz w:val="20"/>
              </w:rPr>
              <w:tab/>
            </w:r>
            <w:r>
              <w:rPr>
                <w:spacing w:val="-2"/>
                <w:sz w:val="20"/>
              </w:rPr>
              <w:t xml:space="preserve">Le radar possède 20 canaux RF par pas de 8,96 MHz. Le groupe de formes d'onde transmises est composé d'une impulsion P0 de 0,4 </w:t>
            </w:r>
            <w:r>
              <w:rPr>
                <w:rFonts w:ascii="Symbol" w:hAnsi="Symbol"/>
                <w:spacing w:val="-1"/>
                <w:sz w:val="20"/>
              </w:rPr>
              <w:sym w:font="Symbol" w:char="F06D"/>
            </w:r>
            <w:r>
              <w:rPr>
                <w:spacing w:val="-2"/>
                <w:sz w:val="20"/>
              </w:rPr>
              <w:t xml:space="preserve">s (facultative) suivie d'une impulsion modulée linéairement en fréquence de 102,4 </w:t>
            </w:r>
            <w:r>
              <w:rPr>
                <w:rFonts w:ascii="Symbol" w:hAnsi="Symbol"/>
                <w:spacing w:val="-1"/>
                <w:sz w:val="20"/>
              </w:rPr>
              <w:sym w:font="Symbol" w:char="F06D"/>
            </w:r>
            <w:r>
              <w:rPr>
                <w:spacing w:val="-2"/>
                <w:sz w:val="20"/>
              </w:rPr>
              <w:t xml:space="preserve">s (si l'impulsion P0 de 0,4 </w:t>
            </w:r>
            <w:r>
              <w:rPr>
                <w:rFonts w:ascii="Symbol" w:hAnsi="Symbol"/>
                <w:spacing w:val="-1"/>
                <w:sz w:val="20"/>
              </w:rPr>
              <w:sym w:font="Symbol" w:char="F06D"/>
            </w:r>
            <w:r>
              <w:rPr>
                <w:spacing w:val="-2"/>
                <w:sz w:val="20"/>
              </w:rPr>
              <w:t xml:space="preserve">s n'est pas transmise) avec des signaux à 2,5 MHz. Cette impulsion peut être suivie d'un groupe d'une à quatre impulsions modulées linéairement en fréquence de </w:t>
            </w:r>
            <w:r>
              <w:rPr>
                <w:sz w:val="20"/>
              </w:rPr>
              <w:t xml:space="preserve">longue </w:t>
            </w:r>
            <w:r>
              <w:rPr>
                <w:spacing w:val="-2"/>
                <w:sz w:val="20"/>
              </w:rPr>
              <w:t>durée (409,6 </w:t>
            </w:r>
            <w:r>
              <w:rPr>
                <w:rFonts w:ascii="Symbol" w:hAnsi="Symbol"/>
                <w:spacing w:val="-1"/>
                <w:sz w:val="20"/>
              </w:rPr>
              <w:sym w:font="Symbol" w:char="F06D"/>
            </w:r>
            <w:r>
              <w:rPr>
                <w:spacing w:val="-2"/>
                <w:sz w:val="20"/>
              </w:rPr>
              <w:t>s), chacune étant modulée à 625 kHz et transmise sur différentes porteuses séparées par une fréquence de 3,75 MHz. Le mode normal de fonctionnement utilise l'agilité de fréquence au moyen de laquelle les différentes fréquences de chaque groupe de formes d'onde sont sélectionnées d'une manière pseudo-aléatoire parmi l'un des 20 canaux RF possibles dans la bande 1</w:t>
            </w:r>
            <w:r>
              <w:rPr>
                <w:rFonts w:ascii="Tms Rmn" w:hAnsi="Tms Rmn"/>
                <w:spacing w:val="-2"/>
                <w:sz w:val="12"/>
              </w:rPr>
              <w:t> </w:t>
            </w:r>
            <w:r>
              <w:rPr>
                <w:spacing w:val="-2"/>
                <w:sz w:val="20"/>
              </w:rPr>
              <w:t>215</w:t>
            </w:r>
            <w:r>
              <w:rPr>
                <w:spacing w:val="-2"/>
                <w:sz w:val="20"/>
              </w:rPr>
              <w:noBreakHyphen/>
              <w:t>1</w:t>
            </w:r>
            <w:r>
              <w:rPr>
                <w:rFonts w:ascii="Tms Rmn" w:hAnsi="Tms Rmn"/>
                <w:spacing w:val="-2"/>
                <w:sz w:val="12"/>
              </w:rPr>
              <w:t> </w:t>
            </w:r>
            <w:r>
              <w:rPr>
                <w:spacing w:val="-2"/>
                <w:sz w:val="20"/>
              </w:rPr>
              <w:t>400 MHz.</w:t>
            </w:r>
          </w:p>
          <w:p w:rsidR="002B489A" w:rsidRDefault="004F19C4">
            <w:pPr>
              <w:pStyle w:val="Tablelegend"/>
              <w:framePr w:hSpace="181" w:wrap="notBeside" w:vAnchor="text" w:hAnchor="text" w:xAlign="center" w:y="1"/>
              <w:spacing w:before="40" w:line="220" w:lineRule="exact"/>
              <w:rPr>
                <w:sz w:val="20"/>
              </w:rPr>
            </w:pPr>
            <w:r>
              <w:rPr>
                <w:sz w:val="20"/>
                <w:vertAlign w:val="superscript"/>
              </w:rPr>
              <w:t>(3)</w:t>
            </w:r>
            <w:r>
              <w:rPr>
                <w:sz w:val="20"/>
              </w:rPr>
              <w:tab/>
            </w:r>
            <w:r>
              <w:rPr>
                <w:spacing w:val="-2"/>
                <w:sz w:val="20"/>
              </w:rPr>
              <w:t xml:space="preserve">Le radar peut utiliser une fréquence unique ou une fréquence double. Les canaux RF doubles sont séparés par une fréquence de 60 MHz. Le mode de canal unique utilise la largeur d'impulsion de 39 </w:t>
            </w:r>
            <w:r>
              <w:rPr>
                <w:rFonts w:ascii="Symbol" w:hAnsi="Symbol"/>
                <w:spacing w:val="-1"/>
                <w:sz w:val="20"/>
              </w:rPr>
              <w:sym w:font="Symbol" w:char="F06D"/>
            </w:r>
            <w:r>
              <w:rPr>
                <w:spacing w:val="-2"/>
                <w:sz w:val="20"/>
              </w:rPr>
              <w:t xml:space="preserve">s. Dans le mode de canal double, l'impulsion de 26 </w:t>
            </w:r>
            <w:r>
              <w:rPr>
                <w:rFonts w:ascii="Symbol" w:hAnsi="Symbol"/>
                <w:sz w:val="20"/>
              </w:rPr>
              <w:sym w:font="Symbol" w:char="F06D"/>
            </w:r>
            <w:r>
              <w:rPr>
                <w:spacing w:val="-2"/>
                <w:sz w:val="20"/>
              </w:rPr>
              <w:t xml:space="preserve">s, transmise à la fréquence </w:t>
            </w:r>
            <w:r>
              <w:rPr>
                <w:i/>
                <w:iCs/>
                <w:spacing w:val="-2"/>
                <w:sz w:val="20"/>
              </w:rPr>
              <w:t>f</w:t>
            </w:r>
            <w:r>
              <w:rPr>
                <w:spacing w:val="-2"/>
                <w:sz w:val="20"/>
              </w:rPr>
              <w:t>, est suivie de l'impulsion de 13 </w:t>
            </w:r>
            <w:r>
              <w:rPr>
                <w:rFonts w:ascii="Symbol" w:hAnsi="Symbol"/>
                <w:sz w:val="20"/>
              </w:rPr>
              <w:sym w:font="Symbol" w:char="F06D"/>
            </w:r>
            <w:r>
              <w:rPr>
                <w:spacing w:val="-2"/>
                <w:sz w:val="20"/>
              </w:rPr>
              <w:t xml:space="preserve">s transmise à </w:t>
            </w:r>
            <w:r>
              <w:rPr>
                <w:i/>
                <w:iCs/>
                <w:spacing w:val="-2"/>
                <w:sz w:val="20"/>
              </w:rPr>
              <w:t>f</w:t>
            </w:r>
            <w:r>
              <w:rPr>
                <w:spacing w:val="-2"/>
                <w:sz w:val="20"/>
              </w:rPr>
              <w:t xml:space="preserve">  </w:t>
            </w:r>
            <w:r>
              <w:rPr>
                <w:rFonts w:ascii="Symbol" w:hAnsi="Symbol"/>
                <w:sz w:val="20"/>
              </w:rPr>
              <w:t></w:t>
            </w:r>
            <w:r>
              <w:rPr>
                <w:spacing w:val="-2"/>
                <w:sz w:val="20"/>
              </w:rPr>
              <w:t xml:space="preserve"> 60 MHz.</w:t>
            </w:r>
          </w:p>
        </w:tc>
      </w:tr>
    </w:tbl>
    <w:p w:rsidR="002B489A" w:rsidRDefault="002B489A">
      <w:pPr>
        <w:pStyle w:val="Tablefin"/>
        <w:rPr>
          <w:lang w:val="fr-CH"/>
        </w:rPr>
      </w:pPr>
    </w:p>
    <w:p w:rsidR="002B489A" w:rsidRDefault="004F19C4">
      <w:pPr>
        <w:pStyle w:val="Heading1"/>
      </w:pPr>
      <w:r>
        <w:t>3</w:t>
      </w:r>
      <w:r>
        <w:tab/>
        <w:t>Seuil de compatibilité</w:t>
      </w:r>
    </w:p>
    <w:p w:rsidR="002B489A" w:rsidRDefault="004F19C4">
      <w:pPr>
        <w:spacing w:before="60"/>
      </w:pPr>
      <w:r>
        <w:t xml:space="preserve">Le seuil de brouillage de service passif de la Recommandation UIT-R SA.1029 est </w:t>
      </w:r>
      <w:r>
        <w:sym w:font="Symbol" w:char="F02D"/>
      </w:r>
      <w:r>
        <w:t>171 dBW en 27 MHz pour les détecteurs fonctionnant au voisinage de 1</w:t>
      </w:r>
      <w:r>
        <w:rPr>
          <w:rFonts w:ascii="Tms Rmn" w:hAnsi="Tms Rmn"/>
          <w:sz w:val="12"/>
        </w:rPr>
        <w:t> </w:t>
      </w:r>
      <w:r>
        <w:t>400 MHz.</w:t>
      </w:r>
    </w:p>
    <w:p w:rsidR="002B489A" w:rsidRDefault="004F19C4">
      <w:pPr>
        <w:spacing w:before="60"/>
      </w:pPr>
      <w:r>
        <w:t>Le brouillage peut être reçu simultanément de diverses sources appartenant à plusieurs services. La valeur qui figure dans la Recommandation UIT-R SA.1029 (pour une bande spécifique) est le niveau de brouillage maximum admissible pour un détecteur passif.</w:t>
      </w:r>
    </w:p>
    <w:p w:rsidR="002B489A" w:rsidRDefault="004F19C4">
      <w:pPr>
        <w:spacing w:before="60"/>
      </w:pPr>
      <w:r>
        <w:t>La présente Annexe fait l'analyse du brouillage généré par un service actif unique.</w:t>
      </w:r>
    </w:p>
    <w:p w:rsidR="002B489A" w:rsidRDefault="004F19C4">
      <w:pPr>
        <w:spacing w:before="60"/>
      </w:pPr>
      <w:r>
        <w:t>D'autres travaux sont nécessaires pour étudier l'impact des multiples services actifs fonctionnant au</w:t>
      </w:r>
      <w:r>
        <w:noBreakHyphen/>
        <w:t>dessus et au-dessous de la bande passive.</w:t>
      </w:r>
    </w:p>
    <w:p w:rsidR="002B489A" w:rsidRDefault="004F19C4">
      <w:pPr>
        <w:pStyle w:val="Heading1"/>
      </w:pPr>
      <w:r>
        <w:br w:type="page"/>
        <w:t>4</w:t>
      </w:r>
      <w:r>
        <w:tab/>
        <w:t>Evaluation du brouillage</w:t>
      </w:r>
    </w:p>
    <w:p w:rsidR="002B489A" w:rsidRDefault="004F19C4">
      <w:pPr>
        <w:pStyle w:val="Heading2"/>
      </w:pPr>
      <w:r>
        <w:t>4.1</w:t>
      </w:r>
      <w:r>
        <w:tab/>
        <w:t>Méthode d'évaluation du niveau de brouillage</w:t>
      </w:r>
    </w:p>
    <w:p w:rsidR="002B489A" w:rsidRDefault="004F19C4">
      <w:r>
        <w:t>La première étape est l'analyse du cas du brouillage cocanal. A partir de cela, on trouve l'affaiblissement requis pour satisfaire aux critères de protection du SETS (passive). La seconde étape consiste à calculer l'affaiblissement lorsque la bande attribuée au SETS (passive) tombe juste en dehors de la largeur de bande à –40 dB du radar.</w:t>
      </w:r>
    </w:p>
    <w:p w:rsidR="002B489A" w:rsidRDefault="004F19C4">
      <w:pPr>
        <w:pStyle w:val="Heading2"/>
      </w:pPr>
      <w:r>
        <w:t>4.2</w:t>
      </w:r>
      <w:r>
        <w:tab/>
        <w:t>Calcul du niveau de brouillage</w:t>
      </w:r>
    </w:p>
    <w:p w:rsidR="002B489A" w:rsidRDefault="004F19C4" w:rsidP="0006728D">
      <w:pPr>
        <w:numPr>
          <w:ilvl w:val="2"/>
          <w:numId w:val="1"/>
        </w:numPr>
        <w:rPr>
          <w:b/>
        </w:rPr>
      </w:pPr>
      <w:r>
        <w:rPr>
          <w:b/>
        </w:rPr>
        <w:t>Affaiblissement requis dans la bande passive</w:t>
      </w:r>
    </w:p>
    <w:p w:rsidR="002B489A" w:rsidRDefault="004F19C4">
      <w:r>
        <w:t>L'affaiblissement requis pour les quatre systèmes de radiolocalisation est donnée au Tableau 9.</w:t>
      </w:r>
    </w:p>
    <w:p w:rsidR="002B489A" w:rsidRDefault="004F19C4">
      <w:pPr>
        <w:pStyle w:val="TableNo"/>
      </w:pPr>
      <w:r>
        <w:t>TABLEAU  9</w:t>
      </w:r>
    </w:p>
    <w:p w:rsidR="002B489A" w:rsidRDefault="004F19C4">
      <w:pPr>
        <w:pStyle w:val="Tabletitle"/>
      </w:pPr>
      <w:r>
        <w:t>Analyse de compatibilité avec un radar</w:t>
      </w:r>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609"/>
        <w:gridCol w:w="753"/>
        <w:gridCol w:w="728"/>
        <w:gridCol w:w="752"/>
        <w:gridCol w:w="738"/>
        <w:gridCol w:w="753"/>
        <w:gridCol w:w="753"/>
        <w:gridCol w:w="738"/>
        <w:gridCol w:w="815"/>
      </w:tblGrid>
      <w:tr w:rsidR="002B489A">
        <w:trPr>
          <w:trHeight w:val="276"/>
        </w:trPr>
        <w:tc>
          <w:tcPr>
            <w:tcW w:w="3558" w:type="dxa"/>
            <w:vAlign w:val="bottom"/>
          </w:tcPr>
          <w:p w:rsidR="002B489A" w:rsidRDefault="004F19C4">
            <w:pPr>
              <w:pStyle w:val="Tablehead"/>
              <w:framePr w:hSpace="181" w:wrap="notBeside" w:vAnchor="text" w:hAnchor="text" w:xAlign="center" w:y="1"/>
              <w:jc w:val="left"/>
              <w:rPr>
                <w:rFonts w:eastAsia="Arial Unicode MS"/>
                <w:lang w:val="fr-CH"/>
              </w:rPr>
            </w:pPr>
            <w:r>
              <w:rPr>
                <w:lang w:val="fr-CH"/>
              </w:rPr>
              <w:t> </w:t>
            </w:r>
          </w:p>
        </w:tc>
        <w:tc>
          <w:tcPr>
            <w:tcW w:w="1460" w:type="dxa"/>
            <w:gridSpan w:val="2"/>
            <w:vAlign w:val="bottom"/>
          </w:tcPr>
          <w:p w:rsidR="002B489A" w:rsidRDefault="004F19C4">
            <w:pPr>
              <w:pStyle w:val="Tablehead"/>
              <w:framePr w:hSpace="181" w:wrap="notBeside" w:vAnchor="text" w:hAnchor="text" w:xAlign="center" w:y="1"/>
              <w:rPr>
                <w:rFonts w:eastAsia="Arial Unicode MS"/>
                <w:lang w:val="fr-CH"/>
              </w:rPr>
            </w:pPr>
            <w:r>
              <w:rPr>
                <w:lang w:val="fr-CH"/>
              </w:rPr>
              <w:t>Système 1</w:t>
            </w:r>
          </w:p>
        </w:tc>
        <w:tc>
          <w:tcPr>
            <w:tcW w:w="1469" w:type="dxa"/>
            <w:gridSpan w:val="2"/>
            <w:vAlign w:val="bottom"/>
          </w:tcPr>
          <w:p w:rsidR="002B489A" w:rsidRDefault="004F19C4">
            <w:pPr>
              <w:pStyle w:val="Tablehead"/>
              <w:framePr w:hSpace="181" w:wrap="notBeside" w:vAnchor="text" w:hAnchor="text" w:xAlign="center" w:y="1"/>
              <w:rPr>
                <w:rFonts w:eastAsia="Arial Unicode MS"/>
                <w:lang w:val="fr-CH"/>
              </w:rPr>
            </w:pPr>
            <w:r>
              <w:rPr>
                <w:lang w:val="fr-CH"/>
              </w:rPr>
              <w:t>Système 2</w:t>
            </w:r>
          </w:p>
        </w:tc>
        <w:tc>
          <w:tcPr>
            <w:tcW w:w="1484" w:type="dxa"/>
            <w:gridSpan w:val="2"/>
            <w:vAlign w:val="bottom"/>
          </w:tcPr>
          <w:p w:rsidR="002B489A" w:rsidRDefault="004F19C4">
            <w:pPr>
              <w:pStyle w:val="Tablehead"/>
              <w:framePr w:hSpace="181" w:wrap="notBeside" w:vAnchor="text" w:hAnchor="text" w:xAlign="center" w:y="1"/>
              <w:rPr>
                <w:rFonts w:eastAsia="Arial Unicode MS"/>
                <w:lang w:val="fr-CH"/>
              </w:rPr>
            </w:pPr>
            <w:r>
              <w:rPr>
                <w:lang w:val="fr-CH"/>
              </w:rPr>
              <w:t>Système 3</w:t>
            </w:r>
          </w:p>
        </w:tc>
        <w:tc>
          <w:tcPr>
            <w:tcW w:w="1531" w:type="dxa"/>
            <w:gridSpan w:val="2"/>
            <w:vAlign w:val="bottom"/>
          </w:tcPr>
          <w:p w:rsidR="002B489A" w:rsidRDefault="004F19C4">
            <w:pPr>
              <w:pStyle w:val="Tablehead"/>
              <w:framePr w:hSpace="181" w:wrap="notBeside" w:vAnchor="text" w:hAnchor="text" w:xAlign="center" w:y="1"/>
              <w:rPr>
                <w:rFonts w:eastAsia="Arial Unicode MS"/>
              </w:rPr>
            </w:pPr>
            <w:r>
              <w:t>Système 4</w:t>
            </w:r>
          </w:p>
        </w:tc>
      </w:tr>
      <w:tr w:rsidR="002B489A">
        <w:trPr>
          <w:trHeight w:val="264"/>
        </w:trPr>
        <w:tc>
          <w:tcPr>
            <w:tcW w:w="3558" w:type="dxa"/>
            <w:vAlign w:val="bottom"/>
          </w:tcPr>
          <w:p w:rsidR="002B489A" w:rsidRDefault="004F19C4">
            <w:pPr>
              <w:pStyle w:val="Tabletext"/>
              <w:framePr w:hSpace="181" w:wrap="notBeside" w:vAnchor="text" w:hAnchor="text" w:xAlign="center" w:y="1"/>
              <w:jc w:val="left"/>
              <w:rPr>
                <w:rFonts w:eastAsia="Arial Unicode MS"/>
              </w:rPr>
            </w:pPr>
            <w:r>
              <w:t>Puissance de crête (dBW)</w:t>
            </w:r>
          </w:p>
        </w:tc>
        <w:tc>
          <w:tcPr>
            <w:tcW w:w="1460" w:type="dxa"/>
            <w:gridSpan w:val="2"/>
            <w:vAlign w:val="center"/>
          </w:tcPr>
          <w:p w:rsidR="002B489A" w:rsidRDefault="004F19C4">
            <w:pPr>
              <w:pStyle w:val="Tabletext"/>
              <w:framePr w:hSpace="181" w:wrap="notBeside" w:vAnchor="text" w:hAnchor="text" w:xAlign="center" w:y="1"/>
              <w:jc w:val="center"/>
              <w:rPr>
                <w:rFonts w:eastAsia="Arial Unicode MS"/>
              </w:rPr>
            </w:pPr>
            <w:r>
              <w:t>67</w:t>
            </w:r>
          </w:p>
        </w:tc>
        <w:tc>
          <w:tcPr>
            <w:tcW w:w="1469" w:type="dxa"/>
            <w:gridSpan w:val="2"/>
            <w:vAlign w:val="center"/>
          </w:tcPr>
          <w:p w:rsidR="002B489A" w:rsidRDefault="004F19C4">
            <w:pPr>
              <w:pStyle w:val="Tabletext"/>
              <w:framePr w:hSpace="181" w:wrap="notBeside" w:vAnchor="text" w:hAnchor="text" w:xAlign="center" w:y="1"/>
              <w:jc w:val="center"/>
              <w:rPr>
                <w:rFonts w:eastAsia="Arial Unicode MS"/>
              </w:rPr>
            </w:pPr>
            <w:r>
              <w:t>50</w:t>
            </w:r>
          </w:p>
        </w:tc>
        <w:tc>
          <w:tcPr>
            <w:tcW w:w="1484" w:type="dxa"/>
            <w:gridSpan w:val="2"/>
            <w:vAlign w:val="center"/>
          </w:tcPr>
          <w:p w:rsidR="002B489A" w:rsidRDefault="004F19C4">
            <w:pPr>
              <w:pStyle w:val="Tabletext"/>
              <w:framePr w:hSpace="181" w:wrap="notBeside" w:vAnchor="text" w:hAnchor="text" w:xAlign="center" w:y="1"/>
              <w:jc w:val="center"/>
              <w:rPr>
                <w:rFonts w:eastAsia="Arial Unicode MS"/>
              </w:rPr>
            </w:pPr>
            <w:r>
              <w:t>46,5</w:t>
            </w:r>
          </w:p>
        </w:tc>
        <w:tc>
          <w:tcPr>
            <w:tcW w:w="1531" w:type="dxa"/>
            <w:gridSpan w:val="2"/>
            <w:vAlign w:val="center"/>
          </w:tcPr>
          <w:p w:rsidR="002B489A" w:rsidRDefault="004F19C4">
            <w:pPr>
              <w:pStyle w:val="Tabletext"/>
              <w:framePr w:hSpace="181" w:wrap="notBeside" w:vAnchor="text" w:hAnchor="text" w:xAlign="center" w:y="1"/>
              <w:jc w:val="center"/>
              <w:rPr>
                <w:rFonts w:eastAsia="Arial Unicode MS"/>
              </w:rPr>
            </w:pPr>
            <w:r>
              <w:t>50</w:t>
            </w:r>
          </w:p>
        </w:tc>
      </w:tr>
      <w:tr w:rsidR="002B489A">
        <w:trPr>
          <w:trHeight w:val="264"/>
        </w:trPr>
        <w:tc>
          <w:tcPr>
            <w:tcW w:w="3558" w:type="dxa"/>
            <w:vAlign w:val="bottom"/>
          </w:tcPr>
          <w:p w:rsidR="002B489A" w:rsidRDefault="004F19C4">
            <w:pPr>
              <w:pStyle w:val="Tabletext"/>
              <w:framePr w:hSpace="181" w:wrap="notBeside" w:vAnchor="text" w:hAnchor="text" w:xAlign="center" w:y="1"/>
              <w:jc w:val="left"/>
              <w:rPr>
                <w:rFonts w:eastAsia="Arial Unicode MS"/>
              </w:rPr>
            </w:pPr>
            <w:r>
              <w:t>Gain d'antenne radar (dBi)</w:t>
            </w:r>
          </w:p>
        </w:tc>
        <w:tc>
          <w:tcPr>
            <w:tcW w:w="1460" w:type="dxa"/>
            <w:gridSpan w:val="2"/>
            <w:vAlign w:val="center"/>
          </w:tcPr>
          <w:p w:rsidR="002B489A" w:rsidRDefault="004F19C4">
            <w:pPr>
              <w:pStyle w:val="Tabletext"/>
              <w:framePr w:hSpace="181" w:wrap="notBeside" w:vAnchor="text" w:hAnchor="text" w:xAlign="center" w:y="1"/>
              <w:jc w:val="center"/>
              <w:rPr>
                <w:rFonts w:eastAsia="Arial Unicode MS"/>
              </w:rPr>
            </w:pPr>
            <w:r>
              <w:t>34,5</w:t>
            </w:r>
          </w:p>
        </w:tc>
        <w:tc>
          <w:tcPr>
            <w:tcW w:w="1469" w:type="dxa"/>
            <w:gridSpan w:val="2"/>
            <w:vAlign w:val="center"/>
          </w:tcPr>
          <w:p w:rsidR="002B489A" w:rsidRDefault="004F19C4">
            <w:pPr>
              <w:pStyle w:val="Tabletext"/>
              <w:framePr w:hSpace="181" w:wrap="notBeside" w:vAnchor="text" w:hAnchor="text" w:xAlign="center" w:y="1"/>
              <w:jc w:val="center"/>
              <w:rPr>
                <w:rFonts w:eastAsia="Arial Unicode MS"/>
              </w:rPr>
            </w:pPr>
            <w:r>
              <w:t>34,2</w:t>
            </w:r>
          </w:p>
        </w:tc>
        <w:tc>
          <w:tcPr>
            <w:tcW w:w="1484" w:type="dxa"/>
            <w:gridSpan w:val="2"/>
            <w:vAlign w:val="center"/>
          </w:tcPr>
          <w:p w:rsidR="002B489A" w:rsidRDefault="004F19C4">
            <w:pPr>
              <w:pStyle w:val="Tabletext"/>
              <w:framePr w:hSpace="181" w:wrap="notBeside" w:vAnchor="text" w:hAnchor="text" w:xAlign="center" w:y="1"/>
              <w:jc w:val="center"/>
              <w:rPr>
                <w:rFonts w:eastAsia="Arial Unicode MS"/>
              </w:rPr>
            </w:pPr>
            <w:r>
              <w:t>38,9</w:t>
            </w:r>
          </w:p>
        </w:tc>
        <w:tc>
          <w:tcPr>
            <w:tcW w:w="1531" w:type="dxa"/>
            <w:gridSpan w:val="2"/>
            <w:vAlign w:val="center"/>
          </w:tcPr>
          <w:p w:rsidR="002B489A" w:rsidRDefault="004F19C4">
            <w:pPr>
              <w:pStyle w:val="Tabletext"/>
              <w:framePr w:hSpace="181" w:wrap="notBeside" w:vAnchor="text" w:hAnchor="text" w:xAlign="center" w:y="1"/>
              <w:jc w:val="center"/>
              <w:rPr>
                <w:rFonts w:eastAsia="Arial Unicode MS"/>
              </w:rPr>
            </w:pPr>
            <w:r>
              <w:t>32,5</w:t>
            </w:r>
          </w:p>
        </w:tc>
      </w:tr>
      <w:tr w:rsidR="002B489A">
        <w:trPr>
          <w:trHeight w:val="264"/>
        </w:trPr>
        <w:tc>
          <w:tcPr>
            <w:tcW w:w="3558" w:type="dxa"/>
            <w:vAlign w:val="bottom"/>
          </w:tcPr>
          <w:p w:rsidR="002B489A" w:rsidRDefault="004F19C4">
            <w:pPr>
              <w:pStyle w:val="Tabletext"/>
              <w:framePr w:hSpace="181" w:wrap="notBeside" w:vAnchor="text" w:hAnchor="text" w:xAlign="center" w:y="1"/>
              <w:jc w:val="left"/>
              <w:rPr>
                <w:rFonts w:eastAsia="Arial Unicode MS"/>
              </w:rPr>
            </w:pPr>
            <w:r>
              <w:t>Tolérance de temps de mise sous tension (dB)</w:t>
            </w:r>
          </w:p>
        </w:tc>
        <w:tc>
          <w:tcPr>
            <w:tcW w:w="1460" w:type="dxa"/>
            <w:gridSpan w:val="2"/>
            <w:vAlign w:val="center"/>
          </w:tcPr>
          <w:p w:rsidR="002B489A" w:rsidRDefault="004F19C4">
            <w:pPr>
              <w:pStyle w:val="Tabletext"/>
              <w:framePr w:hSpace="181" w:wrap="notBeside" w:vAnchor="text" w:hAnchor="text" w:xAlign="center" w:y="1"/>
              <w:jc w:val="center"/>
              <w:rPr>
                <w:rFonts w:eastAsia="Arial Unicode MS"/>
              </w:rPr>
            </w:pPr>
            <w:r>
              <w:t>–31,2</w:t>
            </w:r>
          </w:p>
        </w:tc>
        <w:tc>
          <w:tcPr>
            <w:tcW w:w="1469" w:type="dxa"/>
            <w:gridSpan w:val="2"/>
            <w:vAlign w:val="center"/>
          </w:tcPr>
          <w:p w:rsidR="002B489A" w:rsidRDefault="004F19C4">
            <w:pPr>
              <w:pStyle w:val="Tabletext"/>
              <w:framePr w:hSpace="181" w:wrap="notBeside" w:vAnchor="text" w:hAnchor="text" w:xAlign="center" w:y="1"/>
              <w:jc w:val="center"/>
              <w:rPr>
                <w:rFonts w:eastAsia="Arial Unicode MS"/>
              </w:rPr>
            </w:pPr>
            <w:r>
              <w:t>–15,7</w:t>
            </w:r>
          </w:p>
        </w:tc>
        <w:tc>
          <w:tcPr>
            <w:tcW w:w="1484" w:type="dxa"/>
            <w:gridSpan w:val="2"/>
            <w:vAlign w:val="center"/>
          </w:tcPr>
          <w:p w:rsidR="002B489A" w:rsidRDefault="004F19C4">
            <w:pPr>
              <w:pStyle w:val="Tabletext"/>
              <w:framePr w:hSpace="181" w:wrap="notBeside" w:vAnchor="text" w:hAnchor="text" w:xAlign="center" w:y="1"/>
              <w:jc w:val="center"/>
              <w:rPr>
                <w:rFonts w:eastAsia="Arial Unicode MS"/>
              </w:rPr>
            </w:pPr>
            <w:r>
              <w:t>–10,9</w:t>
            </w:r>
          </w:p>
        </w:tc>
        <w:tc>
          <w:tcPr>
            <w:tcW w:w="1531" w:type="dxa"/>
            <w:gridSpan w:val="2"/>
            <w:vAlign w:val="center"/>
          </w:tcPr>
          <w:p w:rsidR="002B489A" w:rsidRDefault="004F19C4">
            <w:pPr>
              <w:pStyle w:val="Tabletext"/>
              <w:framePr w:hSpace="181" w:wrap="notBeside" w:vAnchor="text" w:hAnchor="text" w:xAlign="center" w:y="1"/>
              <w:jc w:val="center"/>
              <w:rPr>
                <w:rFonts w:eastAsia="Arial Unicode MS"/>
              </w:rPr>
            </w:pPr>
            <w:r>
              <w:t>–15,2</w:t>
            </w:r>
          </w:p>
        </w:tc>
      </w:tr>
      <w:tr w:rsidR="002B489A">
        <w:trPr>
          <w:trHeight w:val="264"/>
        </w:trPr>
        <w:tc>
          <w:tcPr>
            <w:tcW w:w="3558" w:type="dxa"/>
            <w:vAlign w:val="bottom"/>
          </w:tcPr>
          <w:p w:rsidR="002B489A" w:rsidRDefault="004F19C4">
            <w:pPr>
              <w:pStyle w:val="Tabletext"/>
              <w:framePr w:hSpace="181" w:wrap="notBeside" w:vAnchor="text" w:hAnchor="text" w:xAlign="center" w:y="1"/>
              <w:jc w:val="left"/>
              <w:rPr>
                <w:rFonts w:eastAsia="Arial Unicode MS"/>
              </w:rPr>
            </w:pPr>
            <w:r>
              <w:t xml:space="preserve">Affaiblissement en espace libre </w:t>
            </w:r>
            <w:r>
              <w:rPr>
                <w:sz w:val="20"/>
              </w:rPr>
              <w:t>SMOS/HYDROS</w:t>
            </w:r>
            <w:r>
              <w:t xml:space="preserve"> (dB)</w:t>
            </w:r>
          </w:p>
        </w:tc>
        <w:tc>
          <w:tcPr>
            <w:tcW w:w="742" w:type="dxa"/>
            <w:vAlign w:val="center"/>
          </w:tcPr>
          <w:p w:rsidR="002B489A" w:rsidRDefault="004F19C4">
            <w:pPr>
              <w:pStyle w:val="Tabletext"/>
              <w:framePr w:hSpace="181" w:wrap="notBeside" w:vAnchor="text" w:hAnchor="text" w:xAlign="center" w:y="1"/>
              <w:jc w:val="center"/>
              <w:rPr>
                <w:rFonts w:eastAsia="Arial Unicode MS"/>
              </w:rPr>
            </w:pPr>
            <w:r>
              <w:t>152,9</w:t>
            </w:r>
          </w:p>
        </w:tc>
        <w:tc>
          <w:tcPr>
            <w:tcW w:w="718" w:type="dxa"/>
            <w:vAlign w:val="center"/>
          </w:tcPr>
          <w:p w:rsidR="002B489A" w:rsidRDefault="004F19C4">
            <w:pPr>
              <w:pStyle w:val="Tabletext"/>
              <w:framePr w:hSpace="181" w:wrap="notBeside" w:vAnchor="text" w:hAnchor="text" w:xAlign="center" w:y="1"/>
              <w:jc w:val="center"/>
              <w:rPr>
                <w:rFonts w:eastAsia="Arial Unicode MS"/>
              </w:rPr>
            </w:pPr>
            <w:r>
              <w:rPr>
                <w:rFonts w:eastAsia="Arial Unicode MS"/>
              </w:rPr>
              <w:t>154,4</w:t>
            </w:r>
          </w:p>
        </w:tc>
        <w:tc>
          <w:tcPr>
            <w:tcW w:w="741" w:type="dxa"/>
            <w:vAlign w:val="center"/>
          </w:tcPr>
          <w:p w:rsidR="002B489A" w:rsidRDefault="004F19C4">
            <w:pPr>
              <w:pStyle w:val="Tabletext"/>
              <w:framePr w:hSpace="181" w:wrap="notBeside" w:vAnchor="text" w:hAnchor="text" w:xAlign="center" w:y="1"/>
              <w:jc w:val="center"/>
              <w:rPr>
                <w:rFonts w:eastAsia="Arial Unicode MS"/>
              </w:rPr>
            </w:pPr>
            <w:r>
              <w:t>152,9</w:t>
            </w:r>
          </w:p>
        </w:tc>
        <w:tc>
          <w:tcPr>
            <w:tcW w:w="728" w:type="dxa"/>
            <w:vAlign w:val="center"/>
          </w:tcPr>
          <w:p w:rsidR="002B489A" w:rsidRDefault="004F19C4">
            <w:pPr>
              <w:pStyle w:val="Tabletext"/>
              <w:framePr w:hSpace="181" w:wrap="notBeside" w:vAnchor="text" w:hAnchor="text" w:xAlign="center" w:y="1"/>
              <w:jc w:val="center"/>
              <w:rPr>
                <w:rFonts w:eastAsia="Arial Unicode MS"/>
              </w:rPr>
            </w:pPr>
            <w:r>
              <w:rPr>
                <w:rFonts w:eastAsia="Arial Unicode MS"/>
              </w:rPr>
              <w:t>154,4</w:t>
            </w:r>
          </w:p>
        </w:tc>
        <w:tc>
          <w:tcPr>
            <w:tcW w:w="742" w:type="dxa"/>
            <w:vAlign w:val="center"/>
          </w:tcPr>
          <w:p w:rsidR="002B489A" w:rsidRDefault="004F19C4">
            <w:pPr>
              <w:pStyle w:val="Tabletext"/>
              <w:framePr w:hSpace="181" w:wrap="notBeside" w:vAnchor="text" w:hAnchor="text" w:xAlign="center" w:y="1"/>
              <w:jc w:val="center"/>
              <w:rPr>
                <w:rFonts w:eastAsia="Arial Unicode MS"/>
              </w:rPr>
            </w:pPr>
            <w:r>
              <w:t>152,9</w:t>
            </w:r>
          </w:p>
        </w:tc>
        <w:tc>
          <w:tcPr>
            <w:tcW w:w="742" w:type="dxa"/>
            <w:vAlign w:val="center"/>
          </w:tcPr>
          <w:p w:rsidR="002B489A" w:rsidRDefault="004F19C4">
            <w:pPr>
              <w:pStyle w:val="Tabletext"/>
              <w:framePr w:hSpace="181" w:wrap="notBeside" w:vAnchor="text" w:hAnchor="text" w:xAlign="center" w:y="1"/>
              <w:jc w:val="center"/>
              <w:rPr>
                <w:rFonts w:eastAsia="Arial Unicode MS"/>
              </w:rPr>
            </w:pPr>
            <w:r>
              <w:rPr>
                <w:rFonts w:eastAsia="Arial Unicode MS"/>
              </w:rPr>
              <w:t>154,4</w:t>
            </w:r>
          </w:p>
        </w:tc>
        <w:tc>
          <w:tcPr>
            <w:tcW w:w="728" w:type="dxa"/>
            <w:vAlign w:val="center"/>
          </w:tcPr>
          <w:p w:rsidR="002B489A" w:rsidRDefault="004F19C4">
            <w:pPr>
              <w:pStyle w:val="Tabletext"/>
              <w:framePr w:hSpace="181" w:wrap="notBeside" w:vAnchor="text" w:hAnchor="text" w:xAlign="center" w:y="1"/>
              <w:jc w:val="center"/>
              <w:rPr>
                <w:rFonts w:eastAsia="Arial Unicode MS"/>
              </w:rPr>
            </w:pPr>
            <w:r>
              <w:t>152,9</w:t>
            </w:r>
          </w:p>
        </w:tc>
        <w:tc>
          <w:tcPr>
            <w:tcW w:w="803" w:type="dxa"/>
            <w:vAlign w:val="center"/>
          </w:tcPr>
          <w:p w:rsidR="002B489A" w:rsidRDefault="004F19C4">
            <w:pPr>
              <w:pStyle w:val="Tabletext"/>
              <w:framePr w:hSpace="181" w:wrap="notBeside" w:vAnchor="text" w:hAnchor="text" w:xAlign="center" w:y="1"/>
              <w:jc w:val="center"/>
              <w:rPr>
                <w:rFonts w:eastAsia="Arial Unicode MS"/>
              </w:rPr>
            </w:pPr>
            <w:r>
              <w:rPr>
                <w:rFonts w:eastAsia="Arial Unicode MS"/>
              </w:rPr>
              <w:t>154,4</w:t>
            </w:r>
          </w:p>
        </w:tc>
      </w:tr>
      <w:tr w:rsidR="002B489A">
        <w:trPr>
          <w:trHeight w:val="264"/>
        </w:trPr>
        <w:tc>
          <w:tcPr>
            <w:tcW w:w="3558" w:type="dxa"/>
            <w:vAlign w:val="bottom"/>
          </w:tcPr>
          <w:p w:rsidR="002B489A" w:rsidRDefault="004F19C4">
            <w:pPr>
              <w:pStyle w:val="Tabletext"/>
              <w:framePr w:hSpace="181" w:wrap="notBeside" w:vAnchor="text" w:hAnchor="text" w:xAlign="center" w:y="1"/>
              <w:jc w:val="left"/>
              <w:rPr>
                <w:rFonts w:eastAsia="Arial Unicode MS"/>
              </w:rPr>
            </w:pPr>
            <w:r>
              <w:t>Gain d'antenne du détecteur</w:t>
            </w:r>
            <w:r>
              <w:rPr>
                <w:sz w:val="20"/>
              </w:rPr>
              <w:t xml:space="preserve"> SMOS/HYDROS</w:t>
            </w:r>
            <w:r>
              <w:t xml:space="preserve"> (dBi)</w:t>
            </w:r>
          </w:p>
        </w:tc>
        <w:tc>
          <w:tcPr>
            <w:tcW w:w="742" w:type="dxa"/>
            <w:vAlign w:val="center"/>
          </w:tcPr>
          <w:p w:rsidR="002B489A" w:rsidRDefault="004F19C4">
            <w:pPr>
              <w:pStyle w:val="Tabletext"/>
              <w:framePr w:hSpace="181" w:wrap="notBeside" w:vAnchor="text" w:hAnchor="text" w:xAlign="center" w:y="1"/>
              <w:jc w:val="center"/>
              <w:rPr>
                <w:rFonts w:eastAsia="Arial Unicode MS"/>
              </w:rPr>
            </w:pPr>
            <w:r>
              <w:t>9</w:t>
            </w:r>
          </w:p>
        </w:tc>
        <w:tc>
          <w:tcPr>
            <w:tcW w:w="718" w:type="dxa"/>
            <w:vAlign w:val="center"/>
          </w:tcPr>
          <w:p w:rsidR="002B489A" w:rsidRDefault="004F19C4">
            <w:pPr>
              <w:pStyle w:val="Tabletext"/>
              <w:framePr w:hSpace="181" w:wrap="notBeside" w:vAnchor="text" w:hAnchor="text" w:xAlign="center" w:y="1"/>
              <w:jc w:val="center"/>
              <w:rPr>
                <w:rFonts w:eastAsia="Arial Unicode MS"/>
              </w:rPr>
            </w:pPr>
            <w:r>
              <w:rPr>
                <w:rFonts w:eastAsia="Arial Unicode MS"/>
              </w:rPr>
              <w:t>35</w:t>
            </w:r>
          </w:p>
        </w:tc>
        <w:tc>
          <w:tcPr>
            <w:tcW w:w="741" w:type="dxa"/>
            <w:vAlign w:val="center"/>
          </w:tcPr>
          <w:p w:rsidR="002B489A" w:rsidRDefault="004F19C4">
            <w:pPr>
              <w:pStyle w:val="Tabletext"/>
              <w:framePr w:hSpace="181" w:wrap="notBeside" w:vAnchor="text" w:hAnchor="text" w:xAlign="center" w:y="1"/>
              <w:jc w:val="center"/>
              <w:rPr>
                <w:rFonts w:eastAsia="Arial Unicode MS"/>
              </w:rPr>
            </w:pPr>
            <w:r>
              <w:t>9</w:t>
            </w:r>
          </w:p>
        </w:tc>
        <w:tc>
          <w:tcPr>
            <w:tcW w:w="728" w:type="dxa"/>
            <w:vAlign w:val="center"/>
          </w:tcPr>
          <w:p w:rsidR="002B489A" w:rsidRDefault="004F19C4">
            <w:pPr>
              <w:pStyle w:val="Tabletext"/>
              <w:framePr w:hSpace="181" w:wrap="notBeside" w:vAnchor="text" w:hAnchor="text" w:xAlign="center" w:y="1"/>
              <w:jc w:val="center"/>
              <w:rPr>
                <w:rFonts w:eastAsia="Arial Unicode MS"/>
              </w:rPr>
            </w:pPr>
            <w:r>
              <w:rPr>
                <w:rFonts w:eastAsia="Arial Unicode MS"/>
              </w:rPr>
              <w:t>35</w:t>
            </w:r>
          </w:p>
        </w:tc>
        <w:tc>
          <w:tcPr>
            <w:tcW w:w="742" w:type="dxa"/>
            <w:vAlign w:val="center"/>
          </w:tcPr>
          <w:p w:rsidR="002B489A" w:rsidRDefault="004F19C4">
            <w:pPr>
              <w:pStyle w:val="Tabletext"/>
              <w:framePr w:hSpace="181" w:wrap="notBeside" w:vAnchor="text" w:hAnchor="text" w:xAlign="center" w:y="1"/>
              <w:jc w:val="center"/>
              <w:rPr>
                <w:rFonts w:eastAsia="Arial Unicode MS"/>
              </w:rPr>
            </w:pPr>
            <w:r>
              <w:t>9</w:t>
            </w:r>
          </w:p>
        </w:tc>
        <w:tc>
          <w:tcPr>
            <w:tcW w:w="742" w:type="dxa"/>
            <w:vAlign w:val="center"/>
          </w:tcPr>
          <w:p w:rsidR="002B489A" w:rsidRDefault="004F19C4">
            <w:pPr>
              <w:pStyle w:val="Tabletext"/>
              <w:framePr w:hSpace="181" w:wrap="notBeside" w:vAnchor="text" w:hAnchor="text" w:xAlign="center" w:y="1"/>
              <w:jc w:val="center"/>
              <w:rPr>
                <w:rFonts w:eastAsia="Arial Unicode MS"/>
              </w:rPr>
            </w:pPr>
            <w:r>
              <w:rPr>
                <w:rFonts w:eastAsia="Arial Unicode MS"/>
              </w:rPr>
              <w:t>35</w:t>
            </w:r>
          </w:p>
        </w:tc>
        <w:tc>
          <w:tcPr>
            <w:tcW w:w="728" w:type="dxa"/>
            <w:vAlign w:val="center"/>
          </w:tcPr>
          <w:p w:rsidR="002B489A" w:rsidRDefault="004F19C4">
            <w:pPr>
              <w:pStyle w:val="Tabletext"/>
              <w:framePr w:hSpace="181" w:wrap="notBeside" w:vAnchor="text" w:hAnchor="text" w:xAlign="center" w:y="1"/>
              <w:jc w:val="center"/>
              <w:rPr>
                <w:rFonts w:eastAsia="Arial Unicode MS"/>
              </w:rPr>
            </w:pPr>
            <w:r>
              <w:t>9</w:t>
            </w:r>
          </w:p>
        </w:tc>
        <w:tc>
          <w:tcPr>
            <w:tcW w:w="803" w:type="dxa"/>
            <w:vAlign w:val="center"/>
          </w:tcPr>
          <w:p w:rsidR="002B489A" w:rsidRDefault="004F19C4">
            <w:pPr>
              <w:pStyle w:val="Tabletext"/>
              <w:framePr w:hSpace="181" w:wrap="notBeside" w:vAnchor="text" w:hAnchor="text" w:xAlign="center" w:y="1"/>
              <w:jc w:val="center"/>
              <w:rPr>
                <w:rFonts w:eastAsia="Arial Unicode MS"/>
              </w:rPr>
            </w:pPr>
            <w:r>
              <w:rPr>
                <w:rFonts w:eastAsia="Arial Unicode MS"/>
              </w:rPr>
              <w:t>35</w:t>
            </w:r>
          </w:p>
        </w:tc>
      </w:tr>
      <w:tr w:rsidR="002B489A">
        <w:trPr>
          <w:trHeight w:val="264"/>
        </w:trPr>
        <w:tc>
          <w:tcPr>
            <w:tcW w:w="3558" w:type="dxa"/>
            <w:vAlign w:val="bottom"/>
          </w:tcPr>
          <w:p w:rsidR="002B489A" w:rsidRDefault="004F19C4">
            <w:pPr>
              <w:pStyle w:val="Tabletext"/>
              <w:framePr w:hSpace="181" w:wrap="notBeside" w:vAnchor="text" w:hAnchor="text" w:xAlign="center" w:y="1"/>
              <w:jc w:val="left"/>
              <w:rPr>
                <w:rFonts w:eastAsia="Arial Unicode MS"/>
              </w:rPr>
            </w:pPr>
            <w:r>
              <w:t>Puissance reçue cocanal (dBW)</w:t>
            </w:r>
          </w:p>
        </w:tc>
        <w:tc>
          <w:tcPr>
            <w:tcW w:w="1460" w:type="dxa"/>
            <w:gridSpan w:val="2"/>
            <w:vAlign w:val="center"/>
          </w:tcPr>
          <w:p w:rsidR="002B489A" w:rsidRDefault="004F19C4">
            <w:pPr>
              <w:pStyle w:val="Tabletext"/>
              <w:framePr w:hSpace="181" w:wrap="notBeside" w:vAnchor="text" w:hAnchor="text" w:xAlign="center" w:y="1"/>
              <w:jc w:val="center"/>
              <w:rPr>
                <w:rFonts w:eastAsia="Arial Unicode MS"/>
              </w:rPr>
            </w:pPr>
            <w:r>
              <w:t>–73,6</w:t>
            </w:r>
          </w:p>
        </w:tc>
        <w:tc>
          <w:tcPr>
            <w:tcW w:w="1469" w:type="dxa"/>
            <w:gridSpan w:val="2"/>
            <w:vAlign w:val="center"/>
          </w:tcPr>
          <w:p w:rsidR="002B489A" w:rsidRDefault="004F19C4">
            <w:pPr>
              <w:pStyle w:val="Tabletext"/>
              <w:framePr w:hSpace="181" w:wrap="notBeside" w:vAnchor="text" w:hAnchor="text" w:xAlign="center" w:y="1"/>
              <w:jc w:val="center"/>
              <w:rPr>
                <w:rFonts w:eastAsia="Arial Unicode MS"/>
              </w:rPr>
            </w:pPr>
            <w:r>
              <w:t>–75,4</w:t>
            </w:r>
          </w:p>
        </w:tc>
        <w:tc>
          <w:tcPr>
            <w:tcW w:w="1484" w:type="dxa"/>
            <w:gridSpan w:val="2"/>
            <w:vAlign w:val="center"/>
          </w:tcPr>
          <w:p w:rsidR="002B489A" w:rsidRDefault="004F19C4">
            <w:pPr>
              <w:pStyle w:val="Tabletext"/>
              <w:framePr w:hSpace="181" w:wrap="notBeside" w:vAnchor="text" w:hAnchor="text" w:xAlign="center" w:y="1"/>
              <w:jc w:val="center"/>
              <w:rPr>
                <w:rFonts w:eastAsia="Arial Unicode MS"/>
              </w:rPr>
            </w:pPr>
            <w:r>
              <w:t>–69,4</w:t>
            </w:r>
          </w:p>
        </w:tc>
        <w:tc>
          <w:tcPr>
            <w:tcW w:w="1531" w:type="dxa"/>
            <w:gridSpan w:val="2"/>
            <w:vAlign w:val="center"/>
          </w:tcPr>
          <w:p w:rsidR="002B489A" w:rsidRDefault="004F19C4">
            <w:pPr>
              <w:pStyle w:val="Tabletext"/>
              <w:framePr w:hSpace="181" w:wrap="notBeside" w:vAnchor="text" w:hAnchor="text" w:xAlign="center" w:y="1"/>
              <w:jc w:val="center"/>
              <w:rPr>
                <w:rFonts w:eastAsia="Arial Unicode MS"/>
              </w:rPr>
            </w:pPr>
            <w:r>
              <w:t>–76,6</w:t>
            </w:r>
          </w:p>
        </w:tc>
      </w:tr>
      <w:tr w:rsidR="002B489A">
        <w:trPr>
          <w:trHeight w:val="264"/>
        </w:trPr>
        <w:tc>
          <w:tcPr>
            <w:tcW w:w="3558" w:type="dxa"/>
            <w:vAlign w:val="bottom"/>
          </w:tcPr>
          <w:p w:rsidR="002B489A" w:rsidRDefault="004F19C4">
            <w:pPr>
              <w:pStyle w:val="Tabletext"/>
              <w:framePr w:hSpace="181" w:wrap="notBeside" w:vAnchor="text" w:hAnchor="text" w:xAlign="center" w:y="1"/>
              <w:jc w:val="left"/>
              <w:rPr>
                <w:rFonts w:eastAsia="Arial Unicode MS"/>
              </w:rPr>
            </w:pPr>
            <w:r>
              <w:t>Seuil de brouillage (dBW)</w:t>
            </w:r>
          </w:p>
        </w:tc>
        <w:tc>
          <w:tcPr>
            <w:tcW w:w="1460" w:type="dxa"/>
            <w:gridSpan w:val="2"/>
            <w:vAlign w:val="center"/>
          </w:tcPr>
          <w:p w:rsidR="002B489A" w:rsidRDefault="004F19C4">
            <w:pPr>
              <w:pStyle w:val="Tabletext"/>
              <w:framePr w:hSpace="181" w:wrap="notBeside" w:vAnchor="text" w:hAnchor="text" w:xAlign="center" w:y="1"/>
              <w:jc w:val="center"/>
              <w:rPr>
                <w:rFonts w:eastAsia="Arial Unicode MS"/>
              </w:rPr>
            </w:pPr>
            <w:r>
              <w:t>–171</w:t>
            </w:r>
          </w:p>
        </w:tc>
        <w:tc>
          <w:tcPr>
            <w:tcW w:w="1469" w:type="dxa"/>
            <w:gridSpan w:val="2"/>
            <w:vAlign w:val="center"/>
          </w:tcPr>
          <w:p w:rsidR="002B489A" w:rsidRDefault="004F19C4">
            <w:pPr>
              <w:pStyle w:val="Tabletext"/>
              <w:framePr w:hSpace="181" w:wrap="notBeside" w:vAnchor="text" w:hAnchor="text" w:xAlign="center" w:y="1"/>
              <w:jc w:val="center"/>
              <w:rPr>
                <w:rFonts w:eastAsia="Arial Unicode MS"/>
              </w:rPr>
            </w:pPr>
            <w:r>
              <w:t>–171</w:t>
            </w:r>
          </w:p>
        </w:tc>
        <w:tc>
          <w:tcPr>
            <w:tcW w:w="1484" w:type="dxa"/>
            <w:gridSpan w:val="2"/>
            <w:vAlign w:val="center"/>
          </w:tcPr>
          <w:p w:rsidR="002B489A" w:rsidRDefault="004F19C4">
            <w:pPr>
              <w:pStyle w:val="Tabletext"/>
              <w:framePr w:hSpace="181" w:wrap="notBeside" w:vAnchor="text" w:hAnchor="text" w:xAlign="center" w:y="1"/>
              <w:jc w:val="center"/>
              <w:rPr>
                <w:rFonts w:eastAsia="Arial Unicode MS"/>
              </w:rPr>
            </w:pPr>
            <w:r>
              <w:t>–171</w:t>
            </w:r>
          </w:p>
        </w:tc>
        <w:tc>
          <w:tcPr>
            <w:tcW w:w="1531" w:type="dxa"/>
            <w:gridSpan w:val="2"/>
            <w:vAlign w:val="center"/>
          </w:tcPr>
          <w:p w:rsidR="002B489A" w:rsidRDefault="004F19C4">
            <w:pPr>
              <w:pStyle w:val="Tabletext"/>
              <w:framePr w:hSpace="181" w:wrap="notBeside" w:vAnchor="text" w:hAnchor="text" w:xAlign="center" w:y="1"/>
              <w:jc w:val="center"/>
              <w:rPr>
                <w:rFonts w:eastAsia="Arial Unicode MS"/>
              </w:rPr>
            </w:pPr>
            <w:r>
              <w:t>–171</w:t>
            </w:r>
          </w:p>
        </w:tc>
      </w:tr>
      <w:tr w:rsidR="002B489A">
        <w:trPr>
          <w:trHeight w:val="276"/>
        </w:trPr>
        <w:tc>
          <w:tcPr>
            <w:tcW w:w="3558" w:type="dxa"/>
            <w:vAlign w:val="bottom"/>
          </w:tcPr>
          <w:p w:rsidR="002B489A" w:rsidRDefault="004F19C4">
            <w:pPr>
              <w:pStyle w:val="Tabletext"/>
              <w:framePr w:hSpace="181" w:wrap="notBeside" w:vAnchor="text" w:hAnchor="text" w:xAlign="center" w:y="1"/>
              <w:jc w:val="left"/>
              <w:rPr>
                <w:rFonts w:eastAsia="Arial Unicode MS"/>
              </w:rPr>
            </w:pPr>
            <w:r>
              <w:t>Affaiblissement requis (dB)</w:t>
            </w:r>
          </w:p>
        </w:tc>
        <w:tc>
          <w:tcPr>
            <w:tcW w:w="742" w:type="dxa"/>
            <w:vAlign w:val="center"/>
          </w:tcPr>
          <w:p w:rsidR="002B489A" w:rsidRDefault="004F19C4">
            <w:pPr>
              <w:pStyle w:val="Tabletext"/>
              <w:framePr w:hSpace="181" w:wrap="notBeside" w:vAnchor="text" w:hAnchor="text" w:xAlign="center" w:y="1"/>
              <w:jc w:val="center"/>
              <w:rPr>
                <w:rFonts w:eastAsia="Arial Unicode MS"/>
              </w:rPr>
            </w:pPr>
            <w:r>
              <w:t>97,4</w:t>
            </w:r>
          </w:p>
        </w:tc>
        <w:tc>
          <w:tcPr>
            <w:tcW w:w="718" w:type="dxa"/>
            <w:vAlign w:val="center"/>
          </w:tcPr>
          <w:p w:rsidR="002B489A" w:rsidRDefault="004F19C4">
            <w:pPr>
              <w:pStyle w:val="Tabletext"/>
              <w:framePr w:hSpace="181" w:wrap="notBeside" w:vAnchor="text" w:hAnchor="text" w:xAlign="center" w:y="1"/>
              <w:jc w:val="center"/>
              <w:rPr>
                <w:rFonts w:eastAsia="Arial Unicode MS"/>
              </w:rPr>
            </w:pPr>
            <w:r>
              <w:rPr>
                <w:rFonts w:eastAsia="Arial Unicode MS"/>
              </w:rPr>
              <w:t>121,9</w:t>
            </w:r>
          </w:p>
        </w:tc>
        <w:tc>
          <w:tcPr>
            <w:tcW w:w="741" w:type="dxa"/>
            <w:vAlign w:val="center"/>
          </w:tcPr>
          <w:p w:rsidR="002B489A" w:rsidRDefault="004F19C4">
            <w:pPr>
              <w:pStyle w:val="Tabletext"/>
              <w:framePr w:hSpace="181" w:wrap="notBeside" w:vAnchor="text" w:hAnchor="text" w:xAlign="center" w:y="1"/>
              <w:jc w:val="center"/>
              <w:rPr>
                <w:rFonts w:eastAsia="Arial Unicode MS"/>
              </w:rPr>
            </w:pPr>
            <w:r>
              <w:t>95,6</w:t>
            </w:r>
          </w:p>
        </w:tc>
        <w:tc>
          <w:tcPr>
            <w:tcW w:w="728" w:type="dxa"/>
            <w:vAlign w:val="center"/>
          </w:tcPr>
          <w:p w:rsidR="002B489A" w:rsidRDefault="004F19C4">
            <w:pPr>
              <w:pStyle w:val="Tabletext"/>
              <w:framePr w:hSpace="181" w:wrap="notBeside" w:vAnchor="text" w:hAnchor="text" w:xAlign="center" w:y="1"/>
              <w:jc w:val="center"/>
              <w:rPr>
                <w:rFonts w:eastAsia="Arial Unicode MS"/>
              </w:rPr>
            </w:pPr>
            <w:r>
              <w:rPr>
                <w:rFonts w:eastAsia="Arial Unicode MS"/>
              </w:rPr>
              <w:t>120,1</w:t>
            </w:r>
          </w:p>
        </w:tc>
        <w:tc>
          <w:tcPr>
            <w:tcW w:w="742" w:type="dxa"/>
            <w:vAlign w:val="center"/>
          </w:tcPr>
          <w:p w:rsidR="002B489A" w:rsidRDefault="004F19C4">
            <w:pPr>
              <w:pStyle w:val="Tabletext"/>
              <w:framePr w:hSpace="181" w:wrap="notBeside" w:vAnchor="text" w:hAnchor="text" w:xAlign="center" w:y="1"/>
              <w:jc w:val="center"/>
              <w:rPr>
                <w:rFonts w:eastAsia="Arial Unicode MS"/>
              </w:rPr>
            </w:pPr>
            <w:r>
              <w:t>101,6</w:t>
            </w:r>
          </w:p>
        </w:tc>
        <w:tc>
          <w:tcPr>
            <w:tcW w:w="742" w:type="dxa"/>
            <w:vAlign w:val="center"/>
          </w:tcPr>
          <w:p w:rsidR="002B489A" w:rsidRDefault="004F19C4">
            <w:pPr>
              <w:pStyle w:val="Tabletext"/>
              <w:framePr w:hSpace="181" w:wrap="notBeside" w:vAnchor="text" w:hAnchor="text" w:xAlign="center" w:y="1"/>
              <w:jc w:val="center"/>
              <w:rPr>
                <w:rFonts w:eastAsia="Arial Unicode MS"/>
              </w:rPr>
            </w:pPr>
            <w:r>
              <w:rPr>
                <w:rFonts w:eastAsia="Arial Unicode MS"/>
              </w:rPr>
              <w:t>126,1</w:t>
            </w:r>
          </w:p>
        </w:tc>
        <w:tc>
          <w:tcPr>
            <w:tcW w:w="728" w:type="dxa"/>
            <w:vAlign w:val="center"/>
          </w:tcPr>
          <w:p w:rsidR="002B489A" w:rsidRDefault="004F19C4">
            <w:pPr>
              <w:pStyle w:val="Tabletext"/>
              <w:framePr w:hSpace="181" w:wrap="notBeside" w:vAnchor="text" w:hAnchor="text" w:xAlign="center" w:y="1"/>
              <w:jc w:val="center"/>
              <w:rPr>
                <w:rFonts w:eastAsia="Arial Unicode MS"/>
              </w:rPr>
            </w:pPr>
            <w:r>
              <w:t>94,4</w:t>
            </w:r>
          </w:p>
        </w:tc>
        <w:tc>
          <w:tcPr>
            <w:tcW w:w="803" w:type="dxa"/>
            <w:vAlign w:val="center"/>
          </w:tcPr>
          <w:p w:rsidR="002B489A" w:rsidRDefault="004F19C4">
            <w:pPr>
              <w:pStyle w:val="Tabletext"/>
              <w:framePr w:hSpace="181" w:wrap="notBeside" w:vAnchor="text" w:hAnchor="text" w:xAlign="center" w:y="1"/>
              <w:jc w:val="center"/>
              <w:rPr>
                <w:rFonts w:eastAsia="Arial Unicode MS"/>
              </w:rPr>
            </w:pPr>
            <w:r>
              <w:rPr>
                <w:rFonts w:eastAsia="Arial Unicode MS"/>
              </w:rPr>
              <w:t>118,9</w:t>
            </w:r>
          </w:p>
        </w:tc>
      </w:tr>
    </w:tbl>
    <w:p w:rsidR="002B489A" w:rsidRDefault="002B489A">
      <w:pPr>
        <w:pStyle w:val="Tablefin"/>
      </w:pPr>
    </w:p>
    <w:p w:rsidR="002B489A" w:rsidRDefault="004F19C4">
      <w:r>
        <w:t>Bien sûr, ces valeurs résultent d'une situation de cas le plus défavorable. Mais même si le gain de l'antenne du radar était de 0 dBi, l'affaiblissement requis serait respectivement de 62,9, 61,4, 62,7 et 61,9 dB pour les Systèmes 1 à 4, pour SMOS et serait respectivement de 87,4, 85,9, 87,2 et 86,4 pour les Systèmes 1 à 4, pour HYDROS.</w:t>
      </w:r>
    </w:p>
    <w:p w:rsidR="002B489A" w:rsidRDefault="004F19C4">
      <w:pPr>
        <w:pStyle w:val="Heading3"/>
      </w:pPr>
      <w:r>
        <w:t>4.2.2</w:t>
      </w:r>
      <w:r>
        <w:tab/>
        <w:t>Calcul des rayonnements non désirés provenant des Systèmes radar 1 et 2</w:t>
      </w:r>
    </w:p>
    <w:p w:rsidR="002B489A" w:rsidRDefault="004F19C4">
      <w:r>
        <w:t>Une hypothèse utilisée dans cette analyse est que la largeur de bande à –40 dB du radar est localisée au sein de la bande 1</w:t>
      </w:r>
      <w:r>
        <w:rPr>
          <w:rFonts w:ascii="Tms Rmn" w:hAnsi="Tms Rmn"/>
          <w:sz w:val="12"/>
        </w:rPr>
        <w:t> </w:t>
      </w:r>
      <w:r>
        <w:t>350</w:t>
      </w:r>
      <w:r>
        <w:noBreakHyphen/>
        <w:t>1</w:t>
      </w:r>
      <w:r>
        <w:rPr>
          <w:rFonts w:ascii="Tms Rmn" w:hAnsi="Tms Rmn"/>
          <w:sz w:val="12"/>
        </w:rPr>
        <w:t> </w:t>
      </w:r>
      <w:r>
        <w:t>400 MHz et que la bande attribuée au SETS est localisée à une valeur de 50% de la largeur de bande à –40 dB comme décrit à la Fig. 8.</w:t>
      </w:r>
    </w:p>
    <w:p w:rsidR="002B489A" w:rsidRDefault="004F19C4">
      <w:r>
        <w:t>On a calculé les niveaux d'affaiblissement pour les Systèmes 1 et 2. Cela a été fait en utilisant le gabarit et les équations de l'Annexe 8 de la Recommandation UIT-R</w:t>
      </w:r>
      <w:r>
        <w:rPr>
          <w:b/>
        </w:rPr>
        <w:t xml:space="preserve"> </w:t>
      </w:r>
      <w:r>
        <w:rPr>
          <w:bCs/>
        </w:rPr>
        <w:t>SM.1541</w:t>
      </w:r>
      <w:r>
        <w:t>. Le temps de montée de l'impulsion est nécessaire pour le calcul aussi bien de la largeur de bande nécessaire que de la largeur de bande à –40 dB.</w:t>
      </w:r>
    </w:p>
    <w:p w:rsidR="002B489A" w:rsidRDefault="004F19C4">
      <w:r>
        <w:t>En ce qui concerne le temps de montée de l'impulsion, la valeur de ce paramètre va varier en fonction du type de radar, et donc il n'est pas possible d'allouer une valeur unique à ce paramètre pour les radars dans la bande 1</w:t>
      </w:r>
      <w:r>
        <w:rPr>
          <w:rFonts w:ascii="Tms Rmn" w:hAnsi="Tms Rmn"/>
          <w:sz w:val="12"/>
        </w:rPr>
        <w:t> </w:t>
      </w:r>
      <w:r>
        <w:t>350-1</w:t>
      </w:r>
      <w:r>
        <w:rPr>
          <w:rFonts w:ascii="Tms Rmn" w:hAnsi="Tms Rmn"/>
          <w:sz w:val="12"/>
        </w:rPr>
        <w:t> </w:t>
      </w:r>
      <w:r>
        <w:t>400 MHz. Une valeur de 50 ns peut cependant être utilisée comme approximation raisonnable pour les systèmes exploités dans cette bande.</w:t>
      </w:r>
    </w:p>
    <w:p w:rsidR="002B489A" w:rsidRDefault="004F19C4">
      <w:pPr>
        <w:spacing w:before="80"/>
      </w:pPr>
      <w:r>
        <w:br w:type="page"/>
        <w:t xml:space="preserve">En conséquence, ce paramètre a été estimé à 50 ns pour les Systèmes 1 et 2. Pour le Système 1, il en est résulté une </w:t>
      </w:r>
      <w:r>
        <w:rPr>
          <w:i/>
          <w:iCs/>
        </w:rPr>
        <w:t>B</w:t>
      </w:r>
      <w:r>
        <w:rPr>
          <w:i/>
          <w:iCs/>
          <w:vertAlign w:val="subscript"/>
        </w:rPr>
        <w:t>N</w:t>
      </w:r>
      <w:r>
        <w:t xml:space="preserve"> de 3,18 MHz et une </w:t>
      </w:r>
      <w:r>
        <w:rPr>
          <w:i/>
          <w:iCs/>
        </w:rPr>
        <w:t>B</w:t>
      </w:r>
      <w:r>
        <w:rPr>
          <w:vertAlign w:val="subscript"/>
        </w:rPr>
        <w:t>–40</w:t>
      </w:r>
      <w:r>
        <w:t xml:space="preserve"> de 19,6 MHz. Pour le Système 2, </w:t>
      </w:r>
      <w:r>
        <w:rPr>
          <w:i/>
          <w:iCs/>
        </w:rPr>
        <w:t>B</w:t>
      </w:r>
      <w:r>
        <w:rPr>
          <w:i/>
          <w:iCs/>
          <w:vertAlign w:val="subscript"/>
        </w:rPr>
        <w:t>N</w:t>
      </w:r>
      <w:r>
        <w:t xml:space="preserve"> est de 2,39 MHz et </w:t>
      </w:r>
      <w:r>
        <w:rPr>
          <w:i/>
          <w:iCs/>
        </w:rPr>
        <w:t>B</w:t>
      </w:r>
      <w:r>
        <w:rPr>
          <w:i/>
          <w:iCs/>
          <w:vertAlign w:val="subscript"/>
        </w:rPr>
        <w:t>–</w:t>
      </w:r>
      <w:r>
        <w:rPr>
          <w:vertAlign w:val="subscript"/>
        </w:rPr>
        <w:t>40</w:t>
      </w:r>
      <w:r>
        <w:t xml:space="preserve"> est de 8,68 MHz.</w:t>
      </w:r>
    </w:p>
    <w:p w:rsidR="002B489A" w:rsidRDefault="004F19C4">
      <w:pPr>
        <w:spacing w:before="80"/>
      </w:pPr>
      <w:r>
        <w:t>La bande 1</w:t>
      </w:r>
      <w:r>
        <w:rPr>
          <w:rFonts w:ascii="Tms Rmn" w:hAnsi="Tms Rmn"/>
          <w:sz w:val="12"/>
        </w:rPr>
        <w:t> </w:t>
      </w:r>
      <w:r>
        <w:t>400</w:t>
      </w:r>
      <w:r>
        <w:noBreakHyphen/>
        <w:t>1</w:t>
      </w:r>
      <w:r>
        <w:rPr>
          <w:rFonts w:ascii="Tms Rmn" w:hAnsi="Tms Rmn"/>
          <w:sz w:val="12"/>
        </w:rPr>
        <w:t> </w:t>
      </w:r>
      <w:r>
        <w:t xml:space="preserve">427 MHz attribuée au SETS (passive) va de 50% à 187,75% sur la Fig. 7 pour le Système 1 et de 50% à 361% pour le Système 2. La puissance des rayonnements non désirés tombant dans la largeur de bande de référence de 27 MHz est –45,8 dBpp pour le Système 1 et </w:t>
      </w:r>
      <w:r>
        <w:rPr>
          <w:rFonts w:ascii="Symbol" w:hAnsi="Symbol"/>
        </w:rPr>
        <w:noBreakHyphen/>
      </w:r>
      <w:r>
        <w:t>48,7 dBpp pour le Système 2.</w:t>
      </w:r>
    </w:p>
    <w:p w:rsidR="002B489A" w:rsidRDefault="004F19C4">
      <w:pPr>
        <w:pStyle w:val="Heading2"/>
      </w:pPr>
      <w:r>
        <w:t>4.3</w:t>
      </w:r>
      <w:r>
        <w:tab/>
        <w:t>Valeurs obtenues</w:t>
      </w:r>
    </w:p>
    <w:p w:rsidR="002B489A" w:rsidRDefault="004F19C4">
      <w:pPr>
        <w:spacing w:before="80"/>
      </w:pPr>
      <w:r>
        <w:t>Pour le service SMOS, les marges résultantes pour un niveau de lobe latéral de radar de 0 dBi sont respectivement 17,1 et 12,7 dB pour les Systèmes 1 et 2 (pour des gains d'antenne radar maximaux l'analyse donne 51,6 et 46,9 dB).</w:t>
      </w:r>
    </w:p>
    <w:p w:rsidR="002B489A" w:rsidRDefault="004F19C4">
      <w:pPr>
        <w:spacing w:before="80"/>
      </w:pPr>
      <w:r>
        <w:t>Pour le service HYDROS, les marges résultantes pour un niveau de lobe latéral de radar de 0 dBi sont respectivement 41,6 et 37,2 dB pour les Systèmes 1 et 2 (pour des gains d'antenne radar maximaux l'analyse donne 76,1 et 71,4 dB).</w:t>
      </w:r>
    </w:p>
    <w:p w:rsidR="002B489A" w:rsidRDefault="004F19C4">
      <w:pPr>
        <w:spacing w:before="80"/>
      </w:pPr>
      <w:r>
        <w:t>Visiblement, la différence entre les valeurs obtenues pour les deux instruments SETS (passive) peuvent s'expliquer par les gains d'antenne maximaux différents. Cependant, les empreintes d'antenne instantanées des deux détecteurs se neutralisent en ce sens que, pour le service SMOS, dans la mesure où il a une plus grande largeur de couloir d'antenne (mais un plus faible gain d'antenne), la vraisemblance d'un brouillage dans une situation donnée est plus forte.</w:t>
      </w:r>
    </w:p>
    <w:p w:rsidR="002B489A" w:rsidRDefault="004F19C4">
      <w:pPr>
        <w:spacing w:before="80"/>
      </w:pPr>
      <w:r>
        <w:t>Cette étude s'appuie sur l'hypothèse que la largeur de bande à –40 dB est entièrement comprise dans la bande attribuée au service de radiolocalisation, qui n'a pas besoin d'être valide pour tous les systèmes. Aussi, une administration a effectué des mesures détaillées sur les rayonnements pour un certain nombre de types de radars dans la bande 1</w:t>
      </w:r>
      <w:r>
        <w:rPr>
          <w:rFonts w:ascii="Tms Rmn" w:hAnsi="Tms Rmn"/>
          <w:sz w:val="12"/>
        </w:rPr>
        <w:t> </w:t>
      </w:r>
      <w:r>
        <w:t>350-1</w:t>
      </w:r>
      <w:r>
        <w:rPr>
          <w:rFonts w:ascii="Tms Rmn" w:hAnsi="Tms Rmn"/>
          <w:sz w:val="12"/>
        </w:rPr>
        <w:t> </w:t>
      </w:r>
      <w:r>
        <w:t>400 MHz, et a mesuré les niveaux de rayonnement à partir de ces radars sur les bandes adjacentes. Ces mesures ont montré que, conformément au RR, les radars occupent la largeur de bande nécessaire à la bordure de la bande des 1</w:t>
      </w:r>
      <w:r>
        <w:rPr>
          <w:rFonts w:ascii="Tms Rmn" w:hAnsi="Tms Rmn"/>
          <w:sz w:val="12"/>
        </w:rPr>
        <w:t> </w:t>
      </w:r>
      <w:r>
        <w:t>400 MHz. On a trouvé que les niveaux de rayonnement de crête mesurés sont approximativement de –20 dB à 1</w:t>
      </w:r>
      <w:r>
        <w:rPr>
          <w:rFonts w:ascii="Tms Rmn" w:hAnsi="Tms Rmn"/>
          <w:sz w:val="12"/>
        </w:rPr>
        <w:t> </w:t>
      </w:r>
      <w:r>
        <w:t>400 MHz quand ils sont mesurés dans une largeur de bande de 1 MHz, par rapport au maximum du rayonnement radar fondamental au sein de la bande. Les mêmes mesures montrent que le niveau de rayonnement à –40 dB est obtenu à des fréquences proches de 1</w:t>
      </w:r>
      <w:r>
        <w:rPr>
          <w:rFonts w:ascii="Tms Rmn" w:hAnsi="Tms Rmn"/>
          <w:sz w:val="12"/>
        </w:rPr>
        <w:t> </w:t>
      </w:r>
      <w:r>
        <w:t>420 MHz, mesuré dans une largeur de bande de 1 MHz.</w:t>
      </w:r>
    </w:p>
    <w:p w:rsidR="002B489A" w:rsidRDefault="004F19C4">
      <w:pPr>
        <w:pStyle w:val="Heading1"/>
      </w:pPr>
      <w:r>
        <w:t>5</w:t>
      </w:r>
      <w:r>
        <w:tab/>
        <w:t>Techniques de réduction des brouillages</w:t>
      </w:r>
    </w:p>
    <w:p w:rsidR="002B489A" w:rsidRDefault="004F19C4">
      <w:pPr>
        <w:pStyle w:val="Heading2"/>
      </w:pPr>
      <w:r>
        <w:t>5.1</w:t>
      </w:r>
      <w:r>
        <w:tab/>
        <w:t>SETS (passive)</w:t>
      </w:r>
    </w:p>
    <w:p w:rsidR="002B489A" w:rsidRDefault="004F19C4">
      <w:pPr>
        <w:spacing w:before="80"/>
      </w:pPr>
      <w:r>
        <w:t>Du fait de l'étroitesse de la bande de 27 MHz attribuée, aucune technique de réduction des brouillages telle qu'une bande de garde effective ne peut être utilisée pour la bande attribuée au SETS (passive).</w:t>
      </w:r>
    </w:p>
    <w:p w:rsidR="002B489A" w:rsidRDefault="004F19C4">
      <w:pPr>
        <w:pStyle w:val="Heading2"/>
      </w:pPr>
      <w:r>
        <w:t>5.2</w:t>
      </w:r>
      <w:r>
        <w:tab/>
        <w:t>Service de radiolocalisation</w:t>
      </w:r>
    </w:p>
    <w:p w:rsidR="002B489A" w:rsidRDefault="004F19C4">
      <w:pPr>
        <w:spacing w:before="80"/>
      </w:pPr>
      <w:r>
        <w:t>Les techniques de réduction des brouillages pour les systèmes qui sont actuellement utilisés peuvent servir d'un point de vue pratique. La plupart des radars utilisés dans la gamme 1</w:t>
      </w:r>
      <w:r>
        <w:rPr>
          <w:rFonts w:ascii="Tms Rmn" w:hAnsi="Tms Rmn"/>
          <w:sz w:val="12"/>
        </w:rPr>
        <w:t> </w:t>
      </w:r>
      <w:r>
        <w:t>215</w:t>
      </w:r>
      <w:r>
        <w:noBreakHyphen/>
        <w:t>1</w:t>
      </w:r>
      <w:r>
        <w:rPr>
          <w:rFonts w:ascii="Tms Rmn" w:hAnsi="Tms Rmn"/>
          <w:sz w:val="12"/>
        </w:rPr>
        <w:t> </w:t>
      </w:r>
      <w:r>
        <w:t>400 MHz sont agiles en fréquence et ont de relativement petites largeurs de bande d'émission RF par rapport à la bande attribuée. Il faut explorer la possibilité d'éviter les rayonnements dans la partie supérieure du spectre, ce qui pourrait résoudre l'incompatibilité. Par exemple, il est vraisemblable que l'analyse de compatibilité donnerait un scénario positif lorsque le canal radar le plus proche par rapport à la bordure existante de la bande passive a une séparation de fréquence d'approximativement 2 à 2,5 fois la largeur de bande à –40 dB des systèmes de radiolocalisation.</w:t>
      </w:r>
    </w:p>
    <w:p w:rsidR="002B489A" w:rsidRDefault="004F19C4">
      <w:pPr>
        <w:pStyle w:val="Heading2"/>
      </w:pPr>
      <w:r>
        <w:br w:type="page"/>
        <w:t>5.3</w:t>
      </w:r>
      <w:r>
        <w:tab/>
        <w:t>Impact potentiel</w:t>
      </w:r>
    </w:p>
    <w:p w:rsidR="002B489A" w:rsidRDefault="004F19C4">
      <w:pPr>
        <w:pStyle w:val="Heading3"/>
      </w:pPr>
      <w:r>
        <w:t>5.3.1</w:t>
      </w:r>
      <w:r>
        <w:tab/>
        <w:t>SETS (passive)</w:t>
      </w:r>
    </w:p>
    <w:p w:rsidR="002B489A" w:rsidRDefault="004F19C4">
      <w:pPr>
        <w:spacing w:before="60"/>
      </w:pPr>
      <w:r>
        <w:t>Dans la mesure où aucune technique de réduction des brouillages n'a été identifiée pour le SETS (passive) dans cette bande spécifique, l'impact potentiel de ces techniques de réduction des brouillages sera nul.</w:t>
      </w:r>
    </w:p>
    <w:p w:rsidR="002B489A" w:rsidRDefault="004F19C4">
      <w:pPr>
        <w:pStyle w:val="Heading3"/>
      </w:pPr>
      <w:r>
        <w:t>5.3.2</w:t>
      </w:r>
      <w:r>
        <w:tab/>
        <w:t>Service de radiolocalisation</w:t>
      </w:r>
    </w:p>
    <w:p w:rsidR="002B489A" w:rsidRDefault="004F19C4">
      <w:pPr>
        <w:spacing w:before="60"/>
      </w:pPr>
      <w:r>
        <w:t xml:space="preserve">Il faudra approfondir la faisabilité de conservation de la totalité de la largeur de bande radar à </w:t>
      </w:r>
      <w:r>
        <w:rPr>
          <w:rFonts w:ascii="Symbol" w:hAnsi="Symbol"/>
        </w:rPr>
        <w:noBreakHyphen/>
      </w:r>
      <w:r>
        <w:t>40 dB au sein de la bande de radiolocalisation combinée soit avec une séparation de fréquence supplémentaire soit avec une limite de puissance de crête inférieure (c'est-à-dire que les radars de l'avenir pour la bande 1</w:t>
      </w:r>
      <w:r>
        <w:rPr>
          <w:rFonts w:ascii="Tms Rmn" w:hAnsi="Tms Rmn"/>
          <w:sz w:val="12"/>
        </w:rPr>
        <w:t> </w:t>
      </w:r>
      <w:r>
        <w:t>350</w:t>
      </w:r>
      <w:r>
        <w:noBreakHyphen/>
        <w:t>1</w:t>
      </w:r>
      <w:r>
        <w:rPr>
          <w:rFonts w:ascii="Tms Rmn" w:hAnsi="Tms Rmn"/>
          <w:sz w:val="12"/>
        </w:rPr>
        <w:t> </w:t>
      </w:r>
      <w:r>
        <w:t>400 MHz pourraient avoir des paramètres différents).</w:t>
      </w:r>
    </w:p>
    <w:p w:rsidR="002B489A" w:rsidRDefault="004F19C4">
      <w:pPr>
        <w:pStyle w:val="Heading1"/>
      </w:pPr>
      <w:r>
        <w:t>6</w:t>
      </w:r>
      <w:r>
        <w:tab/>
        <w:t>Résultats des études</w:t>
      </w:r>
    </w:p>
    <w:p w:rsidR="002B489A" w:rsidRDefault="004F19C4">
      <w:pPr>
        <w:pStyle w:val="Heading2"/>
      </w:pPr>
      <w:r>
        <w:t>6.1</w:t>
      </w:r>
      <w:r>
        <w:tab/>
        <w:t>Résumé</w:t>
      </w:r>
    </w:p>
    <w:p w:rsidR="002B489A" w:rsidRDefault="004F19C4">
      <w:pPr>
        <w:spacing w:before="60"/>
      </w:pPr>
      <w:r>
        <w:t>La présente analyse de compatibilité a calculé le risque de brouillage provoqué par les systèmes de radiolocalisation sur la bande adjacente inférieure dans la bande 1</w:t>
      </w:r>
      <w:r>
        <w:rPr>
          <w:rFonts w:ascii="Tms Rmn" w:hAnsi="Tms Rmn"/>
          <w:sz w:val="12"/>
        </w:rPr>
        <w:t> </w:t>
      </w:r>
      <w:r>
        <w:t>400</w:t>
      </w:r>
      <w:r>
        <w:noBreakHyphen/>
        <w:t>1</w:t>
      </w:r>
      <w:r>
        <w:rPr>
          <w:rFonts w:ascii="Tms Rmn" w:hAnsi="Tms Rmn"/>
          <w:sz w:val="12"/>
        </w:rPr>
        <w:t> </w:t>
      </w:r>
      <w:r>
        <w:t>427 MHz attribuée au SETS (passive).</w:t>
      </w:r>
    </w:p>
    <w:p w:rsidR="002B489A" w:rsidRDefault="004F19C4">
      <w:pPr>
        <w:pStyle w:val="Heading2"/>
      </w:pPr>
      <w:r>
        <w:t>6.2</w:t>
      </w:r>
      <w:r>
        <w:tab/>
        <w:t>Conclusions</w:t>
      </w:r>
    </w:p>
    <w:p w:rsidR="002B489A" w:rsidRDefault="004F19C4">
      <w:pPr>
        <w:spacing w:before="60"/>
      </w:pPr>
      <w:r>
        <w:t>Pour le détecteur passif du système SMOS, cette analyse de compatibilité a montré une discordance de respectivement 17,1 dB et 12,7 dB pour un Système des Systèmes de radiolocalisation 1 et 2, en supposant un gain de lobe latéral d'antenne de 0 dBi. Pour le détecteur passif du système HYDROS, elle a montré une discordance de respectivement 41,6 dB et 37,2 dB pour un Système des Systèmes de radiolocalisation 1 et 2, en supposant un gain de lobe latéral d'antenne de 0 dBi.</w:t>
      </w:r>
    </w:p>
    <w:p w:rsidR="002B489A" w:rsidRDefault="004F19C4">
      <w:pPr>
        <w:spacing w:before="60"/>
      </w:pPr>
      <w:r>
        <w:t>Ces évaluations de compatibilité ont utilisé des hypothèses qui sont peu contraignantes et ne valent pas pour tous les systèmes de radiolocalisation.</w:t>
      </w:r>
    </w:p>
    <w:p w:rsidR="002B489A" w:rsidRDefault="004F19C4">
      <w:pPr>
        <w:spacing w:before="60"/>
      </w:pPr>
      <w:r>
        <w:t>Il est vraisemblable que cette analyse de compatibilité donnerait un scénario positif lorsque le canal radar le plus proche du bord existant de la bande passive a une séparation de fréquence d'environ 2 à 2,5 fois la largeur de bande à –40 dB des systèmes de radiolocalisation.</w:t>
      </w:r>
    </w:p>
    <w:p w:rsidR="002B489A" w:rsidRDefault="002B489A"/>
    <w:p w:rsidR="002B489A" w:rsidRDefault="004F19C4">
      <w:pPr>
        <w:pStyle w:val="AnnexNoTitle"/>
      </w:pPr>
      <w:r>
        <w:t>Annexe 4</w:t>
      </w:r>
      <w:r>
        <w:br/>
      </w:r>
      <w:r>
        <w:br/>
        <w:t>Analyse de compatibilité entre le SRA dans la bande 1</w:t>
      </w:r>
      <w:r>
        <w:rPr>
          <w:rFonts w:ascii="Tms Rmn" w:hAnsi="Tms Rmn"/>
          <w:sz w:val="12"/>
        </w:rPr>
        <w:t> </w:t>
      </w:r>
      <w:r>
        <w:t>400</w:t>
      </w:r>
      <w:r>
        <w:noBreakHyphen/>
        <w:t>1</w:t>
      </w:r>
      <w:r>
        <w:rPr>
          <w:rFonts w:ascii="Tms Rmn" w:hAnsi="Tms Rmn"/>
          <w:sz w:val="12"/>
        </w:rPr>
        <w:t> </w:t>
      </w:r>
      <w:r>
        <w:t xml:space="preserve">427 MHz et </w:t>
      </w:r>
      <w:r>
        <w:br/>
        <w:t xml:space="preserve">les systèmes mobiles à satellites OSG (espace vers terre) fonctionnant </w:t>
      </w:r>
      <w:r>
        <w:br/>
        <w:t>dans la bande 1</w:t>
      </w:r>
      <w:r>
        <w:rPr>
          <w:rFonts w:ascii="Tms Rmn" w:hAnsi="Tms Rmn"/>
          <w:sz w:val="12"/>
        </w:rPr>
        <w:t> </w:t>
      </w:r>
      <w:r>
        <w:t>525-1</w:t>
      </w:r>
      <w:r>
        <w:rPr>
          <w:rFonts w:ascii="Tms Rmn" w:hAnsi="Tms Rmn"/>
          <w:sz w:val="12"/>
        </w:rPr>
        <w:t> </w:t>
      </w:r>
      <w:r>
        <w:t>559 MHz</w:t>
      </w:r>
    </w:p>
    <w:p w:rsidR="002B489A" w:rsidRDefault="004F19C4">
      <w:pPr>
        <w:pStyle w:val="Heading1"/>
      </w:pPr>
      <w:r>
        <w:t>1</w:t>
      </w:r>
      <w:r>
        <w:tab/>
        <w:t>SRA</w:t>
      </w:r>
    </w:p>
    <w:p w:rsidR="002B489A" w:rsidRDefault="004F19C4">
      <w:pPr>
        <w:pStyle w:val="Heading2"/>
      </w:pPr>
      <w:r>
        <w:t>1.1</w:t>
      </w:r>
      <w:r>
        <w:tab/>
        <w:t>Bande attribuée</w:t>
      </w:r>
    </w:p>
    <w:p w:rsidR="002B489A" w:rsidRDefault="004F19C4">
      <w:pPr>
        <w:spacing w:before="60"/>
      </w:pPr>
      <w:r>
        <w:t>La bande 1</w:t>
      </w:r>
      <w:r>
        <w:rPr>
          <w:rFonts w:ascii="Tms Rmn" w:hAnsi="Tms Rmn"/>
          <w:sz w:val="12"/>
        </w:rPr>
        <w:t> </w:t>
      </w:r>
      <w:r>
        <w:t>400-1</w:t>
      </w:r>
      <w:r>
        <w:rPr>
          <w:rFonts w:ascii="Tms Rmn" w:hAnsi="Tms Rmn"/>
          <w:sz w:val="12"/>
        </w:rPr>
        <w:t> </w:t>
      </w:r>
      <w:r>
        <w:t>427 MHz est attribuée uniquement à titre primaire à des services passifs uniquement: SRA, SETS (passive) et service de recherche spatiale (passive). La présente Annexe ne traite que du cas de la radioastronomie.</w:t>
      </w:r>
    </w:p>
    <w:p w:rsidR="002B489A" w:rsidRDefault="004F19C4">
      <w:pPr>
        <w:spacing w:before="60"/>
      </w:pPr>
      <w:r>
        <w:t>Le numéro 5.340 du RR interdit toutes les émissions dans cette bande.</w:t>
      </w:r>
    </w:p>
    <w:p w:rsidR="002B489A" w:rsidRDefault="004F19C4">
      <w:pPr>
        <w:pStyle w:val="Heading2"/>
      </w:pPr>
      <w:r>
        <w:br w:type="page"/>
        <w:t>1.2</w:t>
      </w:r>
      <w:r>
        <w:tab/>
        <w:t>Type d'observations</w:t>
      </w:r>
    </w:p>
    <w:p w:rsidR="002B489A" w:rsidRDefault="004F19C4">
      <w:r>
        <w:t>La bande 1</w:t>
      </w:r>
      <w:r>
        <w:rPr>
          <w:rFonts w:ascii="Tms Rmn" w:hAnsi="Tms Rmn"/>
          <w:sz w:val="12"/>
        </w:rPr>
        <w:t> </w:t>
      </w:r>
      <w:r>
        <w:t>400-1</w:t>
      </w:r>
      <w:r>
        <w:rPr>
          <w:rFonts w:ascii="Tms Rmn" w:hAnsi="Tms Rmn"/>
          <w:sz w:val="12"/>
        </w:rPr>
        <w:t> </w:t>
      </w:r>
      <w:r>
        <w:t>427 MHz est utilisée plus intensément que toute autre dans toutes les Régions de l'UIT-R. La principale utilisation radioastronomique de cette bande est de faire des observations de raies spectrales d'atomes d'hydrogène neutre dans le cosmos (désigné aussi par HI), qui a une fréquence de repos de 1</w:t>
      </w:r>
      <w:r>
        <w:rPr>
          <w:rFonts w:ascii="Tms Rmn" w:hAnsi="Tms Rmn"/>
          <w:sz w:val="12"/>
        </w:rPr>
        <w:t> </w:t>
      </w:r>
      <w:r>
        <w:t>420,406 MHz. Cet élément est de loin le principal constituant de notre galaxie et des autres galaxies, et il intervient dans d'énormes nuages de structure complexe. Cette raie est observée à la fois en émission et en absorption, et elle est élargie et déplacée en fréquence par des effets Doppler dus à des mouvements locaux et en masse dans les structures de nuages. Par conséquent, les observations de HI peuvent être utilisées pour cartographier la distribution de la matière et de ses mouvements dans notre galaxie et dans les autres. De cette façon, nous pouvons cartographier la structure de notre galaxie, et la façon dont bouge la matière.</w:t>
      </w:r>
    </w:p>
    <w:p w:rsidR="002B489A" w:rsidRDefault="004F19C4">
      <w:r>
        <w:t>L'attribution 1</w:t>
      </w:r>
      <w:r>
        <w:rPr>
          <w:rFonts w:ascii="Tms Rmn" w:hAnsi="Tms Rmn"/>
          <w:sz w:val="12"/>
        </w:rPr>
        <w:t> </w:t>
      </w:r>
      <w:r>
        <w:t>400-1</w:t>
      </w:r>
      <w:r>
        <w:rPr>
          <w:rFonts w:ascii="Tms Rmn" w:hAnsi="Tms Rmn"/>
          <w:sz w:val="12"/>
        </w:rPr>
        <w:t> </w:t>
      </w:r>
      <w:r>
        <w:t>427 MHz est suffisamment large pour englober les émissions d'effets Doppler provenant des nuages dans notre galaxie et dans les galaxies voisines. Les mesures de la polarisation de l'émission ou de l'absorption de HI donnent d'importantes informations sur les champs magnétiques galactiques et permettent donc d'accroître notre compréhension de la structure des galaxies.</w:t>
      </w:r>
    </w:p>
    <w:p w:rsidR="002B489A" w:rsidRDefault="004F19C4">
      <w:r>
        <w:t>La bande 1</w:t>
      </w:r>
      <w:r>
        <w:rPr>
          <w:rFonts w:ascii="Tms Rmn" w:hAnsi="Tms Rmn"/>
          <w:sz w:val="12"/>
        </w:rPr>
        <w:t> </w:t>
      </w:r>
      <w:r>
        <w:t>400-1</w:t>
      </w:r>
      <w:r>
        <w:rPr>
          <w:rFonts w:ascii="Tms Rmn" w:hAnsi="Tms Rmn"/>
          <w:sz w:val="12"/>
        </w:rPr>
        <w:t> </w:t>
      </w:r>
      <w:r>
        <w:t>427 MHz est aussi utilisée pour des observations du continuum des émissions large bande produites par les plasmas chauds formés lorsque les étoiles chauffent les nuages qui les entourent, et par l'interaction d'électrons à haute énergie dans le champ magnétique galactique (rayonnement synchrotron).</w:t>
      </w:r>
    </w:p>
    <w:p w:rsidR="002B489A" w:rsidRDefault="004F19C4">
      <w:pPr>
        <w:pStyle w:val="Heading2"/>
      </w:pPr>
      <w:r>
        <w:t>1.3</w:t>
      </w:r>
      <w:r>
        <w:tab/>
        <w:t>Critères de protection requis</w:t>
      </w:r>
    </w:p>
    <w:p w:rsidR="002B489A" w:rsidRDefault="004F19C4">
      <w:r>
        <w:t>Les niveaux de seuil de brouillage nuisible pour les observations radioastronomiques sont donnés dans la Recommandation UIT-R</w:t>
      </w:r>
      <w:r>
        <w:rPr>
          <w:b/>
        </w:rPr>
        <w:t xml:space="preserve"> </w:t>
      </w:r>
      <w:r>
        <w:rPr>
          <w:bCs/>
        </w:rPr>
        <w:t>RA.769</w:t>
      </w:r>
      <w:r>
        <w:t>, qui donne la liste des niveaux de rayonnements non désirés qui augmenteront de 10% l'erreur de mesure. La bande est utilisée à la fois pour les observations de raies spectrales et pour celles du continuum. Dans la bande 1</w:t>
      </w:r>
      <w:r>
        <w:rPr>
          <w:rFonts w:ascii="Tms Rmn" w:hAnsi="Tms Rmn"/>
          <w:sz w:val="12"/>
        </w:rPr>
        <w:t> </w:t>
      </w:r>
      <w:r>
        <w:t>400-1</w:t>
      </w:r>
      <w:r>
        <w:rPr>
          <w:rFonts w:ascii="Tms Rmn" w:hAnsi="Tms Rmn"/>
          <w:sz w:val="12"/>
        </w:rPr>
        <w:t> </w:t>
      </w:r>
      <w:r>
        <w:t>427 MHz, pour des observations de raies spectrales avec une seule antenne parabolique faites en utilisant une largeur de bande de canal (un des canaux du spectroscope) de 20 kHz, la limite de la puissance surfacique du seuil est –196 dB(W/m</w:t>
      </w:r>
      <w:r>
        <w:rPr>
          <w:rFonts w:ascii="Times" w:hAnsi="Times"/>
          <w:spacing w:val="-2"/>
          <w:vertAlign w:val="superscript"/>
        </w:rPr>
        <w:t>2</w:t>
      </w:r>
      <w:r>
        <w:rPr>
          <w:rFonts w:ascii="Times" w:hAnsi="Times"/>
          <w:spacing w:val="-2"/>
        </w:rPr>
        <w:t>)</w:t>
      </w:r>
      <w:r>
        <w:t>. Pour faire des observations du continuum avec une seule antenne parabolique, on utilise la totalité de la largeur de bande de 27 MHz, auquel cas la limite de la puissance surfacique du seuil pour les brouillages gênants est –180 dB(W/m</w:t>
      </w:r>
      <w:r>
        <w:rPr>
          <w:vertAlign w:val="superscript"/>
        </w:rPr>
        <w:t>2</w:t>
      </w:r>
      <w:r>
        <w:t>).</w:t>
      </w:r>
    </w:p>
    <w:p w:rsidR="002B489A" w:rsidRDefault="004F19C4">
      <w:r>
        <w:t>Les observations VLBI, pour lesquelles les signaux provenant d'antennes largement écartées les unes des autres sont enregistrés et corrélés après les observations, sont beaucoup moins vulnérables au brouillage. Ceci est reflété dans le niveau de la puissance surfacique du seuil pour les observations VLBI dans cette bande, –166 dB(W/m</w:t>
      </w:r>
      <w:r>
        <w:rPr>
          <w:rFonts w:ascii="Times" w:hAnsi="Times"/>
          <w:spacing w:val="-2"/>
          <w:vertAlign w:val="superscript"/>
        </w:rPr>
        <w:t>2</w:t>
      </w:r>
      <w:r>
        <w:rPr>
          <w:rFonts w:ascii="Times" w:hAnsi="Times"/>
          <w:spacing w:val="-2"/>
        </w:rPr>
        <w:t>), pour une largeur de bande de 20 kHz.</w:t>
      </w:r>
    </w:p>
    <w:p w:rsidR="002B489A" w:rsidRDefault="004F19C4">
      <w:pPr>
        <w:pStyle w:val="enumlev1"/>
        <w:ind w:left="0" w:firstLine="0"/>
      </w:pPr>
      <w:r>
        <w:t xml:space="preserve">Les seuils des niveaux de brouillage nuisible pour le SRA, tels que définis et calculés dans la Recommandation UIT-R </w:t>
      </w:r>
      <w:r>
        <w:rPr>
          <w:bCs/>
        </w:rPr>
        <w:t>RA.769</w:t>
      </w:r>
      <w:r>
        <w:rPr>
          <w:b/>
        </w:rPr>
        <w:t>,</w:t>
      </w:r>
      <w:r>
        <w:t xml:space="preserve"> sont des critères de protection au-dessus desquels les données de radioastronomie sont dégradées et peuvent même finalement être détruites. En principe, dans des circonstances idéales, si ces niveaux sont très légèrement dépassés, l'observatoire de radioastro</w:t>
      </w:r>
      <w:r>
        <w:softHyphen/>
        <w:t>nomie peut compenser en accroissant le temps d'observation. Ce faisant, la capacité de canal du télescope est réduite, avec une réduction correspondante du débit des données scientifiques. Si le niveau de brouillage, avec les hypothèses de la Recommandation UIT-R </w:t>
      </w:r>
      <w:r>
        <w:rPr>
          <w:bCs/>
        </w:rPr>
        <w:t>RA.769</w:t>
      </w:r>
      <w:r>
        <w:t xml:space="preserve"> (par exemple, les performances d'antenne, etc.), passe à 10 dB ou plus au-dessus de la définition de la Recomman</w:t>
      </w:r>
      <w:r>
        <w:softHyphen/>
        <w:t xml:space="preserve">dation UIT-R </w:t>
      </w:r>
      <w:r>
        <w:rPr>
          <w:bCs/>
        </w:rPr>
        <w:t>RA.769</w:t>
      </w:r>
      <w:r>
        <w:t>, l'augmentation du temps d'observation ne permettra alors plus de garantir que des données scientifiques valides sont fournies aux scientifiques. La station de radioastronomie sera incapable de fonctionner dans la bande de fréquences affectée, et sa capacité à fournir le service aura été perdue si des techniques de réduction des brouillages ne peuvent être appliquées.</w:t>
      </w:r>
    </w:p>
    <w:p w:rsidR="002B489A" w:rsidRDefault="004F19C4">
      <w:pPr>
        <w:pStyle w:val="Heading2"/>
      </w:pPr>
      <w:r>
        <w:br w:type="page"/>
        <w:t>1.4</w:t>
      </w:r>
      <w:r>
        <w:tab/>
        <w:t>Caractéristiques de fonctionnement, type d'observations</w:t>
      </w:r>
    </w:p>
    <w:p w:rsidR="002B489A" w:rsidRDefault="004F19C4">
      <w:pPr>
        <w:spacing w:before="90"/>
      </w:pPr>
      <w:r>
        <w:t>La bande 1</w:t>
      </w:r>
      <w:r>
        <w:rPr>
          <w:rFonts w:ascii="Tms Rmn" w:hAnsi="Tms Rmn"/>
          <w:sz w:val="12"/>
        </w:rPr>
        <w:t> </w:t>
      </w:r>
      <w:r>
        <w:t>400-1</w:t>
      </w:r>
      <w:r>
        <w:rPr>
          <w:rFonts w:ascii="Tms Rmn" w:hAnsi="Tms Rmn"/>
          <w:sz w:val="12"/>
        </w:rPr>
        <w:t> </w:t>
      </w:r>
      <w:r>
        <w:t>427 MHz est celle qui est la plus intensément utilisée de toutes les bandes de radioastronomie. Elle est utilisée dans le monde entier, dans toutes les Régions de l'UIT, et certains radiotélescopes, comme le Radiotélescope de synthèse de l'Observatoire de radioastrophysique du Dominion (DRAO) de Penticton (Canada), observent en permanence dans cette bande. Des radiotélescopes à une seule antenne sont utilisés pour mesurer la densité spectrale de puissance surfacique intégrée de sources de petit diamètre angulaire et pour cartographier les structures de grande taille angulaire qui ne peuvent être cartographiées à l'aide des télescopes de synthèse.</w:t>
      </w:r>
    </w:p>
    <w:p w:rsidR="002B489A" w:rsidRDefault="004F19C4">
      <w:pPr>
        <w:spacing w:before="90"/>
      </w:pPr>
      <w:r>
        <w:t xml:space="preserve">La plus forte résolution angulaire offerte par les télescopes de synthèse permet de cartographier la structure la plus fine des nuages d'hydrogène et des sources d'émissions continues, comme les restes de supernova. Ces cartes sont alors combinées avec les cartes à plus faible résolution obtenues en utilisant des radiotélescopes à antenne unique pour faire des images en trois dimensions de haute qualité de notre galaxie ou des autres. Les radiotélescopes de synthèse, qui utilisent des dispositifs multiantennes, peuvent nécessiter de une à douze durées d'exposition de 12 h pour faire une cartographie complète d'une zone stellaire. </w:t>
      </w:r>
    </w:p>
    <w:p w:rsidR="002B489A" w:rsidRDefault="004F19C4">
      <w:pPr>
        <w:spacing w:before="90"/>
      </w:pPr>
      <w:r>
        <w:t>Pour faciliter la cartographie de structures de sources relativement grandes, certains radiotélescopes de synthèse, comme l'instrument DRAO, utilisent des dispositifs de relativement petites antennes. Les instruments de cette sorte ne disposent pas de l'option de suppression de lobe latéral optimum et sont donc plus vulnérables aux brouillages.</w:t>
      </w:r>
    </w:p>
    <w:p w:rsidR="002B489A" w:rsidRDefault="004F19C4">
      <w:pPr>
        <w:spacing w:before="90"/>
      </w:pPr>
      <w:r>
        <w:t>Les observations de raies spectrales sont faites en utilisant des spectromètres multicanaux qui peuvent intégrer simultanément la puissance de nombreux (typiquement de 256 à 4</w:t>
      </w:r>
      <w:r>
        <w:rPr>
          <w:rFonts w:ascii="Tms Rmn" w:hAnsi="Tms Rmn"/>
          <w:sz w:val="12"/>
        </w:rPr>
        <w:t> </w:t>
      </w:r>
      <w:r>
        <w:t>096) canaux de fréquences distribués sur la bande. Le nombre de canaux et leurs largeurs de bande individuelles sont choisis pour échantillonner de façon adéquate le spectre du rayonnement net du ou des nuages d'hydrogène sur le faisceau de l'antenne.</w:t>
      </w:r>
    </w:p>
    <w:p w:rsidR="002B489A" w:rsidRDefault="004F19C4">
      <w:pPr>
        <w:spacing w:before="90"/>
      </w:pPr>
      <w:r>
        <w:t>En général, les observations sont faites de façon différentielle. Dans le cas d'émissions du continuum, la zone du ciel contenant la source peut être cartographiée et le rayonnement de fond peut être soustrait, ou on peut faire des mesures de la puissance venant de la direction de la source (à la source) et à une ou plusieurs des positions voisines dans le ciel (hors source). En soustrayant les valeurs hors source des valeurs à la source, les rayonnements ayant leur origine à la source sont séparés des autres contributions à la sortie du récepteur.</w:t>
      </w:r>
    </w:p>
    <w:p w:rsidR="002B489A" w:rsidRDefault="004F19C4">
      <w:pPr>
        <w:spacing w:before="90"/>
      </w:pPr>
      <w:r>
        <w:t>Dans le cas d'observations de raies spectrales, les spectres sont enregistrés sur les gammes de fréquences y compris les rayonnements de raies présentant un intérêt (les spectres de raies), et donc à une fréquence qui est la reproduction des rayonnements des raies, ou à la même fréquence mais à une position voisine dans le ciel (le spectre de référence). En soustrayant le spectre de référence du spectre de raie, les contributions de bruit brouilleuses et les autres produits polluants peuvent être retirés des données.</w:t>
      </w:r>
    </w:p>
    <w:p w:rsidR="002B489A" w:rsidRDefault="004F19C4">
      <w:pPr>
        <w:spacing w:before="90"/>
      </w:pPr>
      <w:r>
        <w:t>Dans la mesure où la galaxie est remplie de nuages d'hydrogène neutre, les radiotélescopes ne détectent pas que les rayonnements ou l'absorption par les nuages dans le faisceau principal de l'antenne, mais aussi une contribution très significative par les lobes latéraux de l'antenne. Ce «rayonnement parasite» crée une distorsion du spectre et réduit les détails de la carte. Retirer cela des données implique des mesures à grande échelle sur la totalité du faisceau de l'antenne (dans la mesure du possible), et l'estimation de la correction du rayonnement parasite. Les brouillages et les grandes zones «bloquées» du ciel vont donc affecter la capacité à cartographier de grands angles de parties du ciel à partir des sources de brouillage.</w:t>
      </w:r>
    </w:p>
    <w:p w:rsidR="002B489A" w:rsidRDefault="004F19C4">
      <w:pPr>
        <w:spacing w:before="90"/>
      </w:pPr>
      <w:r>
        <w:t xml:space="preserve">On peut cartographier les zones d'émissions radioélectriques en enregistrant ces émissions à partir d'une grille de points couvrant la région concernée. On peut faire aussi bien des observations du continuum que des observations de raies spectrales. Dans le cas de radiotélescopes à antenne unique, chaque observation de point de grille est une indication de la puissance totale (en cas d'observation du continuum) ou du spectre d'émission (en cas d'observation de raies spectrales) </w:t>
      </w:r>
      <w:r>
        <w:br w:type="page"/>
        <w:t>venant de cette position du ciel; l'espacement entre les points de la grille ne devrait pas être supérieur à l'ouverture à mi-puissance du faisceau de l'antenne. Lorsque des observations sont effectuées à l'aide d'un radiotélescope de synthèse, si la zone à cartographier dépasse le champ de cartographie instantanée, les points du quadrillage ne devraient pas être séparés de plus de la moitié de l'ouverture de faisceau de l'une des antennes du radiotélescope.</w:t>
      </w:r>
    </w:p>
    <w:p w:rsidR="002B489A" w:rsidRDefault="004F19C4">
      <w:r>
        <w:t>Les observations VLBI se font par conversion des signaux en bande de base; on les numérise sans démodulation, et on les enregistre sur une bande magnétique ou un autre support avec des signaux de synchronisation temporelle précis. Les données sont alors transmises à un centre de traitement des données VLBI où les signaux sont synchronisés et corrélés. Par conséquent, le plein effet des brouillages peut n'être pas découvert avant la fin de la période d'observation et le traitement des données.</w:t>
      </w:r>
    </w:p>
    <w:p w:rsidR="002B489A" w:rsidRDefault="004F19C4">
      <w:pPr>
        <w:pStyle w:val="Heading1"/>
      </w:pPr>
      <w:r>
        <w:t>2</w:t>
      </w:r>
      <w:r>
        <w:tab/>
        <w:t>Systèmes mobiles à satellites</w:t>
      </w:r>
    </w:p>
    <w:p w:rsidR="002B489A" w:rsidRDefault="004F19C4">
      <w:pPr>
        <w:pStyle w:val="Heading2"/>
      </w:pPr>
      <w:r>
        <w:t>2.1</w:t>
      </w:r>
      <w:r>
        <w:tab/>
        <w:t>Bande d'émission attribuée</w:t>
      </w:r>
    </w:p>
    <w:p w:rsidR="002B489A" w:rsidRDefault="004F19C4">
      <w:r>
        <w:t>La bande d'émission attribuée est 1</w:t>
      </w:r>
      <w:r>
        <w:rPr>
          <w:rFonts w:ascii="Tms Rmn" w:hAnsi="Tms Rmn"/>
          <w:sz w:val="12"/>
        </w:rPr>
        <w:t> </w:t>
      </w:r>
      <w:r>
        <w:t>525-1</w:t>
      </w:r>
      <w:r>
        <w:rPr>
          <w:rFonts w:ascii="Tms Rmn" w:hAnsi="Tms Rmn"/>
          <w:sz w:val="12"/>
        </w:rPr>
        <w:t> </w:t>
      </w:r>
      <w:r>
        <w:t>559 MHz (espace vers Terre).</w:t>
      </w:r>
    </w:p>
    <w:p w:rsidR="002B489A" w:rsidRDefault="004F19C4">
      <w:pPr>
        <w:pStyle w:val="Heading2"/>
      </w:pPr>
      <w:r>
        <w:t>2.2</w:t>
      </w:r>
      <w:r>
        <w:tab/>
        <w:t>Application</w:t>
      </w:r>
    </w:p>
    <w:p w:rsidR="002B489A" w:rsidRDefault="004F19C4">
      <w:r>
        <w:t>Service mobile par satellite.</w:t>
      </w:r>
    </w:p>
    <w:p w:rsidR="002B489A" w:rsidRDefault="004F19C4">
      <w:pPr>
        <w:pStyle w:val="Heading2"/>
      </w:pPr>
      <w:r>
        <w:t>2.3</w:t>
      </w:r>
      <w:r>
        <w:tab/>
        <w:t>Niveaux fondés sur des dispositions réglementaires</w:t>
      </w:r>
    </w:p>
    <w:p w:rsidR="002B489A" w:rsidRDefault="004F19C4">
      <w:r>
        <w:t>L'affaiblissement requis est de 43 </w:t>
      </w:r>
      <w:r>
        <w:rPr>
          <w:rFonts w:ascii="Symbol" w:hAnsi="Symbol"/>
        </w:rPr>
        <w:t></w:t>
      </w:r>
      <w:r>
        <w:t xml:space="preserve"> 10 log </w:t>
      </w:r>
      <w:r>
        <w:rPr>
          <w:i/>
          <w:iCs/>
        </w:rPr>
        <w:t>P</w:t>
      </w:r>
      <w:r>
        <w:t xml:space="preserve"> dBc ou 60 dBc selon celui qui est le moins sévère, où </w:t>
      </w:r>
      <w:r>
        <w:rPr>
          <w:i/>
          <w:iCs/>
        </w:rPr>
        <w:t>P</w:t>
      </w:r>
      <w:r>
        <w:t xml:space="preserve"> est la puissance de crête à l'entrée de l'antenne (W) dans 4 kHz.</w:t>
      </w:r>
    </w:p>
    <w:p w:rsidR="002B489A" w:rsidRDefault="004F19C4">
      <w:pPr>
        <w:pStyle w:val="Heading2"/>
      </w:pPr>
      <w:r>
        <w:t>2.4</w:t>
      </w:r>
      <w:r>
        <w:tab/>
        <w:t>Caractéristiques de l'émetteur</w:t>
      </w:r>
    </w:p>
    <w:p w:rsidR="002B489A" w:rsidRDefault="004F19C4">
      <w:r>
        <w:t>Le gain d'antenne est de 41 dBi.</w:t>
      </w:r>
    </w:p>
    <w:p w:rsidR="002B489A" w:rsidRDefault="004F19C4">
      <w:r>
        <w:t>Les caractéristiques du filtre de sortie de l'émetteur sont indiquées à la Fig. 9.</w:t>
      </w:r>
    </w:p>
    <w:p w:rsidR="002B489A" w:rsidRDefault="0006728D">
      <w:pPr>
        <w:pStyle w:val="FigureNo"/>
        <w:spacing w:before="360" w:after="0"/>
      </w:pPr>
      <w:r>
        <w:rPr>
          <w:noProof/>
          <w:lang w:val="fr-CH" w:eastAsia="fr-CH"/>
        </w:rPr>
        <w:drawing>
          <wp:inline distT="0" distB="0" distL="0" distR="0">
            <wp:extent cx="5076825" cy="33813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76825" cy="3381375"/>
                    </a:xfrm>
                    <a:prstGeom prst="rect">
                      <a:avLst/>
                    </a:prstGeom>
                    <a:noFill/>
                    <a:ln>
                      <a:noFill/>
                    </a:ln>
                  </pic:spPr>
                </pic:pic>
              </a:graphicData>
            </a:graphic>
          </wp:inline>
        </w:drawing>
      </w:r>
    </w:p>
    <w:p w:rsidR="002B489A" w:rsidRDefault="004F19C4">
      <w:pPr>
        <w:pStyle w:val="Heading2"/>
      </w:pPr>
      <w:r>
        <w:br w:type="page"/>
        <w:t>2.5</w:t>
      </w:r>
      <w:r>
        <w:tab/>
        <w:t>Caractéristiques de fonctionnement</w:t>
      </w:r>
    </w:p>
    <w:p w:rsidR="002B489A" w:rsidRDefault="004F19C4">
      <w:r>
        <w:t>La puissance de crête typique dans le faisceau étroit d'un satellite SMS OSG à l'entrée de l'antenne est de 16 dBW sur une largeur de bande de 5 MHz.</w:t>
      </w:r>
    </w:p>
    <w:p w:rsidR="002B489A" w:rsidRDefault="004F19C4">
      <w:pPr>
        <w:pStyle w:val="Heading2"/>
      </w:pPr>
      <w:r>
        <w:t>2.6</w:t>
      </w:r>
      <w:r>
        <w:tab/>
        <w:t>Niveau d'émission dans la bande</w:t>
      </w:r>
    </w:p>
    <w:p w:rsidR="002B489A" w:rsidRDefault="004F19C4">
      <w:r>
        <w:t>Le niveau d'émission dans la bande est de –15 dBW dans une largeur de bande de 4 kHz.</w:t>
      </w:r>
    </w:p>
    <w:p w:rsidR="002B489A" w:rsidRDefault="004F19C4">
      <w:pPr>
        <w:pStyle w:val="Heading1"/>
      </w:pPr>
      <w:r>
        <w:t>3</w:t>
      </w:r>
      <w:r>
        <w:tab/>
        <w:t>Seuil de compatibilité</w:t>
      </w:r>
    </w:p>
    <w:p w:rsidR="002B489A" w:rsidRDefault="004F19C4">
      <w:r>
        <w:t>Voir le § 1.3.</w:t>
      </w:r>
    </w:p>
    <w:p w:rsidR="002B489A" w:rsidRDefault="004F19C4">
      <w:pPr>
        <w:pStyle w:val="Heading1"/>
      </w:pPr>
      <w:r>
        <w:t>4</w:t>
      </w:r>
      <w:r>
        <w:tab/>
        <w:t>Evaluation du brouillage</w:t>
      </w:r>
    </w:p>
    <w:p w:rsidR="002B489A" w:rsidRDefault="004F19C4">
      <w:pPr>
        <w:pStyle w:val="Heading2"/>
      </w:pPr>
      <w:r>
        <w:t>4.1</w:t>
      </w:r>
      <w:r>
        <w:tab/>
        <w:t>Méthode d'évaluation du niveau de brouillage</w:t>
      </w:r>
    </w:p>
    <w:p w:rsidR="002B489A" w:rsidRDefault="004F19C4">
      <w:r>
        <w:t>Les paramètres DSP de crête dans la bande, gain d'antenne de crête et affaiblissement mesuré du filtre de sortie de l'émetteur à différentes fréquences sont utilisés pour déterminer la puissance surfacique à la surface de la Terre.</w:t>
      </w:r>
    </w:p>
    <w:p w:rsidR="002B489A" w:rsidRDefault="004F19C4">
      <w:pPr>
        <w:pStyle w:val="Heading2"/>
      </w:pPr>
      <w:r>
        <w:t>4.2</w:t>
      </w:r>
      <w:r>
        <w:tab/>
        <w:t>Calcul du niveau de brouillage</w:t>
      </w:r>
    </w:p>
    <w:p w:rsidR="002B489A" w:rsidRDefault="004F19C4">
      <w:r>
        <w:t>Sur la base des performances attendues du filtre de l'émetteur utilisé pour la bande 1</w:t>
      </w:r>
      <w:r>
        <w:rPr>
          <w:rFonts w:ascii="Tms Rmn" w:hAnsi="Tms Rmn"/>
          <w:sz w:val="12"/>
        </w:rPr>
        <w:t> </w:t>
      </w:r>
      <w:r>
        <w:t>525</w:t>
      </w:r>
      <w:r>
        <w:noBreakHyphen/>
        <w:t>1</w:t>
      </w:r>
      <w:r>
        <w:rPr>
          <w:rFonts w:ascii="Tms Rmn" w:hAnsi="Tms Rmn"/>
          <w:sz w:val="12"/>
        </w:rPr>
        <w:t> </w:t>
      </w:r>
      <w:r>
        <w:t>559 MHz, les niveaux de puissance typiques à la sortie de ce filtre, les niveaux de densité de p.i.r.e. à la sortie de l'antenne et la puissance surfacique produite à la surface de la Terre à différentes fréquences sont indiqués dans le Tableau 10.</w:t>
      </w:r>
    </w:p>
    <w:p w:rsidR="002B489A" w:rsidRDefault="004F19C4">
      <w:pPr>
        <w:pStyle w:val="TableNo"/>
        <w:spacing w:before="200"/>
      </w:pPr>
      <w:r>
        <w:t>TABLEAU  10</w:t>
      </w:r>
    </w:p>
    <w:p w:rsidR="002B489A" w:rsidRDefault="004F19C4">
      <w:pPr>
        <w:pStyle w:val="Tabletitle"/>
      </w:pPr>
      <w:r>
        <w:t xml:space="preserve">Valeurs attendues de la DSP, de la densité de p.i.r.e. </w:t>
      </w:r>
      <w:r>
        <w:br/>
        <w:t>et de la puissance surfacique à la surface de la Terre du satellite Inmarsat-4</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6"/>
        <w:gridCol w:w="2809"/>
        <w:gridCol w:w="2814"/>
        <w:gridCol w:w="2810"/>
      </w:tblGrid>
      <w:tr w:rsidR="002B489A">
        <w:tc>
          <w:tcPr>
            <w:tcW w:w="1206" w:type="dxa"/>
          </w:tcPr>
          <w:p w:rsidR="002B489A" w:rsidRDefault="004F19C4">
            <w:pPr>
              <w:pStyle w:val="Tablehead"/>
              <w:framePr w:hSpace="181" w:wrap="notBeside" w:vAnchor="text" w:hAnchor="text" w:xAlign="center" w:y="1"/>
            </w:pPr>
            <w:r>
              <w:t>Fréquence</w:t>
            </w:r>
            <w:r>
              <w:br/>
              <w:t>(MHz)</w:t>
            </w:r>
          </w:p>
        </w:tc>
        <w:tc>
          <w:tcPr>
            <w:tcW w:w="2809" w:type="dxa"/>
          </w:tcPr>
          <w:p w:rsidR="002B489A" w:rsidRDefault="004F19C4">
            <w:pPr>
              <w:pStyle w:val="Tablehead"/>
              <w:framePr w:hSpace="181" w:wrap="notBeside" w:vAnchor="text" w:hAnchor="text" w:xAlign="center" w:y="1"/>
              <w:ind w:left="-57" w:right="-57"/>
            </w:pPr>
            <w:r>
              <w:t xml:space="preserve">DSP à la sortie du filtre </w:t>
            </w:r>
            <w:r>
              <w:br/>
              <w:t>(dB(W/4 kHz))</w:t>
            </w:r>
          </w:p>
        </w:tc>
        <w:tc>
          <w:tcPr>
            <w:tcW w:w="2814" w:type="dxa"/>
          </w:tcPr>
          <w:p w:rsidR="002B489A" w:rsidRDefault="004F19C4">
            <w:pPr>
              <w:pStyle w:val="Tablehead"/>
              <w:framePr w:hSpace="181" w:wrap="notBeside" w:vAnchor="text" w:hAnchor="text" w:xAlign="center" w:y="1"/>
              <w:ind w:left="-57" w:right="-57"/>
            </w:pPr>
            <w:r>
              <w:t>Densité de p.i.r.e. en sortie d'antenne</w:t>
            </w:r>
            <w:r>
              <w:br/>
              <w:t>(dB(W/4 kHz))</w:t>
            </w:r>
          </w:p>
        </w:tc>
        <w:tc>
          <w:tcPr>
            <w:tcW w:w="2810" w:type="dxa"/>
          </w:tcPr>
          <w:p w:rsidR="002B489A" w:rsidRDefault="004F19C4">
            <w:pPr>
              <w:pStyle w:val="Tablehead"/>
              <w:framePr w:hSpace="181" w:wrap="notBeside" w:vAnchor="text" w:hAnchor="text" w:xAlign="center" w:y="1"/>
              <w:ind w:left="-57" w:right="-57"/>
            </w:pPr>
            <w:r>
              <w:t>Puissance surfacique à la surface de la Terre</w:t>
            </w:r>
            <w:r>
              <w:br/>
              <w:t>(dB(W/(m</w:t>
            </w:r>
            <w:r>
              <w:rPr>
                <w:vertAlign w:val="superscript"/>
              </w:rPr>
              <w:t>2</w:t>
            </w:r>
            <w:r>
              <w:t> · 4 kHz)))</w:t>
            </w:r>
          </w:p>
        </w:tc>
      </w:tr>
      <w:tr w:rsidR="002B489A">
        <w:tc>
          <w:tcPr>
            <w:tcW w:w="1206" w:type="dxa"/>
          </w:tcPr>
          <w:p w:rsidR="002B489A" w:rsidRDefault="004F19C4">
            <w:pPr>
              <w:pStyle w:val="Tabletext"/>
              <w:framePr w:hSpace="181" w:wrap="notBeside" w:vAnchor="text" w:hAnchor="text" w:xAlign="center" w:y="1"/>
              <w:spacing w:before="24" w:after="24"/>
              <w:jc w:val="center"/>
            </w:pPr>
            <w:r>
              <w:t>1</w:t>
            </w:r>
            <w:r>
              <w:rPr>
                <w:rFonts w:ascii="Tms Rmn" w:hAnsi="Tms Rmn"/>
                <w:sz w:val="12"/>
              </w:rPr>
              <w:t> </w:t>
            </w:r>
            <w:r>
              <w:t>300</w:t>
            </w:r>
          </w:p>
        </w:tc>
        <w:tc>
          <w:tcPr>
            <w:tcW w:w="2809"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24" w:after="24"/>
              <w:jc w:val="left"/>
            </w:pPr>
            <w:r>
              <w:t>–80</w:t>
            </w:r>
          </w:p>
        </w:tc>
        <w:tc>
          <w:tcPr>
            <w:tcW w:w="2814"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24" w:after="24"/>
              <w:jc w:val="left"/>
            </w:pPr>
            <w:r>
              <w:t>–39</w:t>
            </w:r>
          </w:p>
        </w:tc>
        <w:tc>
          <w:tcPr>
            <w:tcW w:w="281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24" w:after="24"/>
              <w:jc w:val="left"/>
            </w:pPr>
            <w:r>
              <w:t>–202</w:t>
            </w:r>
          </w:p>
        </w:tc>
      </w:tr>
      <w:tr w:rsidR="002B489A">
        <w:tc>
          <w:tcPr>
            <w:tcW w:w="1206" w:type="dxa"/>
          </w:tcPr>
          <w:p w:rsidR="002B489A" w:rsidRDefault="004F19C4">
            <w:pPr>
              <w:pStyle w:val="Tabletext"/>
              <w:framePr w:hSpace="181" w:wrap="notBeside" w:vAnchor="text" w:hAnchor="text" w:xAlign="center" w:y="1"/>
              <w:spacing w:before="24" w:after="24"/>
              <w:jc w:val="center"/>
            </w:pPr>
            <w:r>
              <w:t>1</w:t>
            </w:r>
            <w:r>
              <w:rPr>
                <w:rFonts w:ascii="Tms Rmn" w:hAnsi="Tms Rmn"/>
                <w:sz w:val="12"/>
              </w:rPr>
              <w:t> </w:t>
            </w:r>
            <w:r>
              <w:t>406</w:t>
            </w:r>
          </w:p>
        </w:tc>
        <w:tc>
          <w:tcPr>
            <w:tcW w:w="2809"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24" w:after="24"/>
              <w:jc w:val="left"/>
            </w:pPr>
            <w:r>
              <w:t>–80</w:t>
            </w:r>
          </w:p>
        </w:tc>
        <w:tc>
          <w:tcPr>
            <w:tcW w:w="2814"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24" w:after="24"/>
              <w:jc w:val="left"/>
            </w:pPr>
            <w:r>
              <w:t>–39</w:t>
            </w:r>
          </w:p>
        </w:tc>
        <w:tc>
          <w:tcPr>
            <w:tcW w:w="281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24" w:after="24"/>
              <w:jc w:val="left"/>
            </w:pPr>
            <w:r>
              <w:t>–202</w:t>
            </w:r>
          </w:p>
        </w:tc>
      </w:tr>
      <w:tr w:rsidR="002B489A">
        <w:tc>
          <w:tcPr>
            <w:tcW w:w="1206" w:type="dxa"/>
          </w:tcPr>
          <w:p w:rsidR="002B489A" w:rsidRDefault="004F19C4">
            <w:pPr>
              <w:pStyle w:val="Tabletext"/>
              <w:framePr w:hSpace="181" w:wrap="notBeside" w:vAnchor="text" w:hAnchor="text" w:xAlign="center" w:y="1"/>
              <w:spacing w:before="24" w:after="24"/>
              <w:jc w:val="center"/>
            </w:pPr>
            <w:r>
              <w:t>1</w:t>
            </w:r>
            <w:r>
              <w:rPr>
                <w:rFonts w:ascii="Tms Rmn" w:hAnsi="Tms Rmn"/>
                <w:sz w:val="12"/>
              </w:rPr>
              <w:t> </w:t>
            </w:r>
            <w:r>
              <w:t>457</w:t>
            </w:r>
          </w:p>
        </w:tc>
        <w:tc>
          <w:tcPr>
            <w:tcW w:w="2809"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24" w:after="24"/>
              <w:jc w:val="left"/>
            </w:pPr>
            <w:r>
              <w:t>–75</w:t>
            </w:r>
          </w:p>
        </w:tc>
        <w:tc>
          <w:tcPr>
            <w:tcW w:w="2814"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24" w:after="24"/>
              <w:jc w:val="left"/>
            </w:pPr>
            <w:r>
              <w:t>–24</w:t>
            </w:r>
          </w:p>
        </w:tc>
        <w:tc>
          <w:tcPr>
            <w:tcW w:w="281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24" w:after="24"/>
              <w:jc w:val="left"/>
            </w:pPr>
            <w:r>
              <w:t>–197</w:t>
            </w:r>
          </w:p>
        </w:tc>
      </w:tr>
      <w:tr w:rsidR="002B489A">
        <w:tc>
          <w:tcPr>
            <w:tcW w:w="1206" w:type="dxa"/>
          </w:tcPr>
          <w:p w:rsidR="002B489A" w:rsidRDefault="004F19C4">
            <w:pPr>
              <w:pStyle w:val="Tabletext"/>
              <w:framePr w:hSpace="181" w:wrap="notBeside" w:vAnchor="text" w:hAnchor="text" w:xAlign="center" w:y="1"/>
              <w:spacing w:before="24" w:after="24"/>
              <w:jc w:val="center"/>
            </w:pPr>
            <w:r>
              <w:t>1</w:t>
            </w:r>
            <w:r>
              <w:rPr>
                <w:rFonts w:ascii="Tms Rmn" w:hAnsi="Tms Rmn"/>
                <w:sz w:val="12"/>
              </w:rPr>
              <w:t> </w:t>
            </w:r>
            <w:r>
              <w:t>474</w:t>
            </w:r>
          </w:p>
        </w:tc>
        <w:tc>
          <w:tcPr>
            <w:tcW w:w="2809"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24" w:after="24"/>
              <w:jc w:val="left"/>
            </w:pPr>
            <w:r>
              <w:t>–65</w:t>
            </w:r>
          </w:p>
        </w:tc>
        <w:tc>
          <w:tcPr>
            <w:tcW w:w="2814"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24" w:after="24"/>
              <w:jc w:val="left"/>
            </w:pPr>
            <w:r>
              <w:t>–14</w:t>
            </w:r>
          </w:p>
        </w:tc>
        <w:tc>
          <w:tcPr>
            <w:tcW w:w="281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24" w:after="24"/>
              <w:jc w:val="left"/>
            </w:pPr>
            <w:r>
              <w:t>–187</w:t>
            </w:r>
          </w:p>
        </w:tc>
      </w:tr>
      <w:tr w:rsidR="002B489A">
        <w:tc>
          <w:tcPr>
            <w:tcW w:w="1206" w:type="dxa"/>
          </w:tcPr>
          <w:p w:rsidR="002B489A" w:rsidRDefault="004F19C4">
            <w:pPr>
              <w:pStyle w:val="Tabletext"/>
              <w:framePr w:hSpace="181" w:wrap="notBeside" w:vAnchor="text" w:hAnchor="text" w:xAlign="center" w:y="1"/>
              <w:spacing w:before="24" w:after="24"/>
              <w:jc w:val="center"/>
            </w:pPr>
            <w:r>
              <w:t>1</w:t>
            </w:r>
            <w:r>
              <w:rPr>
                <w:rFonts w:ascii="Tms Rmn" w:hAnsi="Tms Rmn"/>
                <w:sz w:val="12"/>
              </w:rPr>
              <w:t> </w:t>
            </w:r>
            <w:r>
              <w:t>491</w:t>
            </w:r>
          </w:p>
        </w:tc>
        <w:tc>
          <w:tcPr>
            <w:tcW w:w="2809"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24" w:after="24"/>
              <w:jc w:val="left"/>
            </w:pPr>
            <w:r>
              <w:t>–45</w:t>
            </w:r>
          </w:p>
        </w:tc>
        <w:tc>
          <w:tcPr>
            <w:tcW w:w="2814"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24" w:after="24"/>
              <w:jc w:val="left"/>
            </w:pPr>
            <w:r>
              <w:t>–4</w:t>
            </w:r>
          </w:p>
        </w:tc>
        <w:tc>
          <w:tcPr>
            <w:tcW w:w="281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24" w:after="24"/>
              <w:jc w:val="left"/>
            </w:pPr>
            <w:r>
              <w:t>–167</w:t>
            </w:r>
          </w:p>
        </w:tc>
      </w:tr>
      <w:tr w:rsidR="002B489A">
        <w:tc>
          <w:tcPr>
            <w:tcW w:w="1206" w:type="dxa"/>
          </w:tcPr>
          <w:p w:rsidR="002B489A" w:rsidRDefault="004F19C4">
            <w:pPr>
              <w:pStyle w:val="Tabletext"/>
              <w:framePr w:hSpace="181" w:wrap="notBeside" w:vAnchor="text" w:hAnchor="text" w:xAlign="center" w:y="1"/>
              <w:spacing w:before="24" w:after="24"/>
              <w:jc w:val="center"/>
            </w:pPr>
            <w:r>
              <w:t>1</w:t>
            </w:r>
            <w:r>
              <w:rPr>
                <w:rFonts w:ascii="Tms Rmn" w:hAnsi="Tms Rmn"/>
                <w:sz w:val="12"/>
              </w:rPr>
              <w:t> </w:t>
            </w:r>
            <w:r>
              <w:t>508</w:t>
            </w:r>
          </w:p>
        </w:tc>
        <w:tc>
          <w:tcPr>
            <w:tcW w:w="2809"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24" w:after="24"/>
              <w:jc w:val="left"/>
            </w:pPr>
            <w:r>
              <w:t>–35</w:t>
            </w:r>
          </w:p>
        </w:tc>
        <w:tc>
          <w:tcPr>
            <w:tcW w:w="2814"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24" w:after="24"/>
              <w:jc w:val="left"/>
            </w:pPr>
            <w:r>
              <w:t>6</w:t>
            </w:r>
          </w:p>
        </w:tc>
        <w:tc>
          <w:tcPr>
            <w:tcW w:w="281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24" w:after="24"/>
              <w:jc w:val="left"/>
            </w:pPr>
            <w:r>
              <w:t>–157</w:t>
            </w:r>
          </w:p>
        </w:tc>
      </w:tr>
      <w:tr w:rsidR="002B489A">
        <w:tc>
          <w:tcPr>
            <w:tcW w:w="1206" w:type="dxa"/>
          </w:tcPr>
          <w:p w:rsidR="002B489A" w:rsidRDefault="004F19C4">
            <w:pPr>
              <w:pStyle w:val="Tabletext"/>
              <w:framePr w:hSpace="181" w:wrap="notBeside" w:vAnchor="text" w:hAnchor="text" w:xAlign="center" w:y="1"/>
              <w:spacing w:before="24" w:after="24"/>
              <w:jc w:val="center"/>
            </w:pPr>
            <w:r>
              <w:t>1</w:t>
            </w:r>
            <w:r>
              <w:rPr>
                <w:rFonts w:ascii="Tms Rmn" w:hAnsi="Tms Rmn"/>
                <w:sz w:val="12"/>
              </w:rPr>
              <w:t> </w:t>
            </w:r>
            <w:r>
              <w:t>525</w:t>
            </w:r>
          </w:p>
        </w:tc>
        <w:tc>
          <w:tcPr>
            <w:tcW w:w="2809"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24" w:after="24"/>
              <w:jc w:val="left"/>
            </w:pPr>
            <w:r>
              <w:t>–15</w:t>
            </w:r>
          </w:p>
        </w:tc>
        <w:tc>
          <w:tcPr>
            <w:tcW w:w="2814"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24" w:after="24"/>
              <w:jc w:val="left"/>
            </w:pPr>
            <w:r>
              <w:t>26</w:t>
            </w:r>
          </w:p>
        </w:tc>
        <w:tc>
          <w:tcPr>
            <w:tcW w:w="281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24" w:after="24"/>
              <w:jc w:val="left"/>
            </w:pPr>
            <w:r>
              <w:t>–137</w:t>
            </w:r>
          </w:p>
        </w:tc>
      </w:tr>
      <w:tr w:rsidR="002B489A">
        <w:tc>
          <w:tcPr>
            <w:tcW w:w="1206" w:type="dxa"/>
          </w:tcPr>
          <w:p w:rsidR="002B489A" w:rsidRDefault="004F19C4">
            <w:pPr>
              <w:pStyle w:val="Tabletext"/>
              <w:framePr w:hSpace="181" w:wrap="notBeside" w:vAnchor="text" w:hAnchor="text" w:xAlign="center" w:y="1"/>
              <w:spacing w:before="24" w:after="24"/>
              <w:jc w:val="center"/>
            </w:pPr>
            <w:r>
              <w:t>1</w:t>
            </w:r>
            <w:r>
              <w:rPr>
                <w:rFonts w:ascii="Tms Rmn" w:hAnsi="Tms Rmn"/>
                <w:sz w:val="12"/>
              </w:rPr>
              <w:t> </w:t>
            </w:r>
            <w:r>
              <w:t>559</w:t>
            </w:r>
          </w:p>
        </w:tc>
        <w:tc>
          <w:tcPr>
            <w:tcW w:w="2809"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24" w:after="24"/>
              <w:jc w:val="left"/>
            </w:pPr>
            <w:r>
              <w:t>–15</w:t>
            </w:r>
          </w:p>
        </w:tc>
        <w:tc>
          <w:tcPr>
            <w:tcW w:w="2814"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24" w:after="24"/>
              <w:jc w:val="left"/>
            </w:pPr>
            <w:r>
              <w:t>26</w:t>
            </w:r>
          </w:p>
        </w:tc>
        <w:tc>
          <w:tcPr>
            <w:tcW w:w="281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24" w:after="24"/>
              <w:jc w:val="left"/>
            </w:pPr>
            <w:r>
              <w:t>–137</w:t>
            </w:r>
          </w:p>
        </w:tc>
      </w:tr>
      <w:tr w:rsidR="002B489A">
        <w:tc>
          <w:tcPr>
            <w:tcW w:w="1206" w:type="dxa"/>
          </w:tcPr>
          <w:p w:rsidR="002B489A" w:rsidRDefault="004F19C4">
            <w:pPr>
              <w:pStyle w:val="Tabletext"/>
              <w:framePr w:hSpace="181" w:wrap="notBeside" w:vAnchor="text" w:hAnchor="text" w:xAlign="center" w:y="1"/>
              <w:spacing w:before="24" w:after="24"/>
              <w:jc w:val="center"/>
            </w:pPr>
            <w:r>
              <w:rPr>
                <w:sz w:val="24"/>
              </w:rPr>
              <w:br w:type="page"/>
            </w:r>
            <w:r>
              <w:t>1</w:t>
            </w:r>
            <w:r>
              <w:rPr>
                <w:rFonts w:ascii="Tms Rmn" w:hAnsi="Tms Rmn"/>
                <w:sz w:val="12"/>
              </w:rPr>
              <w:t> </w:t>
            </w:r>
            <w:r>
              <w:t>576</w:t>
            </w:r>
          </w:p>
        </w:tc>
        <w:tc>
          <w:tcPr>
            <w:tcW w:w="2809"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24" w:after="24"/>
              <w:jc w:val="left"/>
            </w:pPr>
            <w:r>
              <w:t>–35</w:t>
            </w:r>
          </w:p>
        </w:tc>
        <w:tc>
          <w:tcPr>
            <w:tcW w:w="2814"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24" w:after="24"/>
              <w:jc w:val="left"/>
            </w:pPr>
            <w:r>
              <w:t>6</w:t>
            </w:r>
          </w:p>
        </w:tc>
        <w:tc>
          <w:tcPr>
            <w:tcW w:w="281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24" w:after="24"/>
              <w:jc w:val="left"/>
            </w:pPr>
            <w:r>
              <w:t>–157</w:t>
            </w:r>
          </w:p>
        </w:tc>
      </w:tr>
      <w:tr w:rsidR="002B489A">
        <w:tc>
          <w:tcPr>
            <w:tcW w:w="1206" w:type="dxa"/>
          </w:tcPr>
          <w:p w:rsidR="002B489A" w:rsidRDefault="004F19C4">
            <w:pPr>
              <w:pStyle w:val="Tabletext"/>
              <w:framePr w:hSpace="181" w:wrap="notBeside" w:vAnchor="text" w:hAnchor="text" w:xAlign="center" w:y="1"/>
              <w:spacing w:before="24" w:after="24"/>
              <w:jc w:val="center"/>
            </w:pPr>
            <w:r>
              <w:t>1</w:t>
            </w:r>
            <w:r>
              <w:rPr>
                <w:rFonts w:ascii="Tms Rmn" w:hAnsi="Tms Rmn"/>
                <w:sz w:val="12"/>
              </w:rPr>
              <w:t> </w:t>
            </w:r>
            <w:r>
              <w:t>593</w:t>
            </w:r>
          </w:p>
        </w:tc>
        <w:tc>
          <w:tcPr>
            <w:tcW w:w="2809"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24" w:after="24"/>
              <w:jc w:val="left"/>
            </w:pPr>
            <w:r>
              <w:t>–45</w:t>
            </w:r>
          </w:p>
        </w:tc>
        <w:tc>
          <w:tcPr>
            <w:tcW w:w="2814"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24" w:after="24"/>
              <w:jc w:val="left"/>
            </w:pPr>
            <w:r>
              <w:t>–4</w:t>
            </w:r>
          </w:p>
        </w:tc>
        <w:tc>
          <w:tcPr>
            <w:tcW w:w="281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24" w:after="24"/>
              <w:jc w:val="left"/>
            </w:pPr>
            <w:r>
              <w:t>–167</w:t>
            </w:r>
          </w:p>
        </w:tc>
      </w:tr>
      <w:tr w:rsidR="002B489A">
        <w:tc>
          <w:tcPr>
            <w:tcW w:w="1206" w:type="dxa"/>
          </w:tcPr>
          <w:p w:rsidR="002B489A" w:rsidRDefault="004F19C4">
            <w:pPr>
              <w:pStyle w:val="Tabletext"/>
              <w:framePr w:hSpace="181" w:wrap="notBeside" w:vAnchor="text" w:hAnchor="text" w:xAlign="center" w:y="1"/>
              <w:spacing w:before="24" w:after="24"/>
              <w:jc w:val="center"/>
            </w:pPr>
            <w:r>
              <w:t>1</w:t>
            </w:r>
            <w:r>
              <w:rPr>
                <w:rFonts w:ascii="Tms Rmn" w:hAnsi="Tms Rmn"/>
                <w:sz w:val="12"/>
              </w:rPr>
              <w:t> </w:t>
            </w:r>
            <w:r>
              <w:t>610</w:t>
            </w:r>
          </w:p>
        </w:tc>
        <w:tc>
          <w:tcPr>
            <w:tcW w:w="2809"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24" w:after="24"/>
              <w:jc w:val="left"/>
            </w:pPr>
            <w:r>
              <w:t>–65</w:t>
            </w:r>
          </w:p>
        </w:tc>
        <w:tc>
          <w:tcPr>
            <w:tcW w:w="2814"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24" w:after="24"/>
              <w:jc w:val="left"/>
            </w:pPr>
            <w:r>
              <w:t>–14</w:t>
            </w:r>
          </w:p>
        </w:tc>
        <w:tc>
          <w:tcPr>
            <w:tcW w:w="281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24" w:after="24"/>
              <w:jc w:val="left"/>
            </w:pPr>
            <w:r>
              <w:t>–187</w:t>
            </w:r>
          </w:p>
        </w:tc>
      </w:tr>
      <w:tr w:rsidR="002B489A">
        <w:tc>
          <w:tcPr>
            <w:tcW w:w="1206" w:type="dxa"/>
          </w:tcPr>
          <w:p w:rsidR="002B489A" w:rsidRDefault="004F19C4">
            <w:pPr>
              <w:pStyle w:val="Tabletext"/>
              <w:framePr w:hSpace="181" w:wrap="notBeside" w:vAnchor="text" w:hAnchor="text" w:xAlign="center" w:y="1"/>
              <w:spacing w:before="24" w:after="24"/>
              <w:jc w:val="center"/>
            </w:pPr>
            <w:r>
              <w:t>1</w:t>
            </w:r>
            <w:r>
              <w:rPr>
                <w:rFonts w:ascii="Tms Rmn" w:hAnsi="Tms Rmn"/>
                <w:sz w:val="12"/>
              </w:rPr>
              <w:t> </w:t>
            </w:r>
            <w:r>
              <w:t>627</w:t>
            </w:r>
          </w:p>
        </w:tc>
        <w:tc>
          <w:tcPr>
            <w:tcW w:w="2809"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24" w:after="24"/>
              <w:jc w:val="left"/>
            </w:pPr>
            <w:r>
              <w:t>–75</w:t>
            </w:r>
          </w:p>
        </w:tc>
        <w:tc>
          <w:tcPr>
            <w:tcW w:w="2814"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24" w:after="24"/>
              <w:jc w:val="left"/>
            </w:pPr>
            <w:r>
              <w:t>–24</w:t>
            </w:r>
          </w:p>
        </w:tc>
        <w:tc>
          <w:tcPr>
            <w:tcW w:w="281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24" w:after="24"/>
              <w:jc w:val="left"/>
            </w:pPr>
            <w:r>
              <w:t>–197</w:t>
            </w:r>
          </w:p>
        </w:tc>
      </w:tr>
      <w:tr w:rsidR="002B489A">
        <w:tc>
          <w:tcPr>
            <w:tcW w:w="1206" w:type="dxa"/>
          </w:tcPr>
          <w:p w:rsidR="002B489A" w:rsidRDefault="004F19C4">
            <w:pPr>
              <w:pStyle w:val="Tabletext"/>
              <w:framePr w:hSpace="181" w:wrap="notBeside" w:vAnchor="text" w:hAnchor="text" w:xAlign="center" w:y="1"/>
              <w:spacing w:before="24" w:after="24"/>
              <w:jc w:val="center"/>
            </w:pPr>
            <w:r>
              <w:t>1</w:t>
            </w:r>
            <w:r>
              <w:rPr>
                <w:rFonts w:ascii="Tms Rmn" w:hAnsi="Tms Rmn"/>
                <w:sz w:val="12"/>
              </w:rPr>
              <w:t> </w:t>
            </w:r>
            <w:r>
              <w:t>678</w:t>
            </w:r>
          </w:p>
        </w:tc>
        <w:tc>
          <w:tcPr>
            <w:tcW w:w="2809"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24" w:after="24"/>
              <w:jc w:val="left"/>
            </w:pPr>
            <w:r>
              <w:t>–80</w:t>
            </w:r>
          </w:p>
        </w:tc>
        <w:tc>
          <w:tcPr>
            <w:tcW w:w="2814"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24" w:after="24"/>
              <w:jc w:val="left"/>
            </w:pPr>
            <w:r>
              <w:t>–39</w:t>
            </w:r>
          </w:p>
        </w:tc>
        <w:tc>
          <w:tcPr>
            <w:tcW w:w="281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24" w:after="24"/>
              <w:jc w:val="left"/>
            </w:pPr>
            <w:r>
              <w:t>–202</w:t>
            </w:r>
          </w:p>
        </w:tc>
      </w:tr>
      <w:tr w:rsidR="002B489A">
        <w:tc>
          <w:tcPr>
            <w:tcW w:w="1206" w:type="dxa"/>
          </w:tcPr>
          <w:p w:rsidR="002B489A" w:rsidRDefault="004F19C4">
            <w:pPr>
              <w:pStyle w:val="Tabletext"/>
              <w:framePr w:hSpace="181" w:wrap="notBeside" w:vAnchor="text" w:hAnchor="text" w:xAlign="center" w:y="1"/>
              <w:spacing w:before="24" w:after="24"/>
              <w:jc w:val="center"/>
            </w:pPr>
            <w:r>
              <w:t>1</w:t>
            </w:r>
            <w:r>
              <w:rPr>
                <w:rFonts w:ascii="Tms Rmn" w:hAnsi="Tms Rmn"/>
                <w:sz w:val="12"/>
              </w:rPr>
              <w:t> </w:t>
            </w:r>
            <w:r>
              <w:t>700</w:t>
            </w:r>
          </w:p>
        </w:tc>
        <w:tc>
          <w:tcPr>
            <w:tcW w:w="2809"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24" w:after="24"/>
              <w:jc w:val="left"/>
            </w:pPr>
            <w:r>
              <w:t>–80</w:t>
            </w:r>
          </w:p>
        </w:tc>
        <w:tc>
          <w:tcPr>
            <w:tcW w:w="2814"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24" w:after="24"/>
              <w:jc w:val="left"/>
            </w:pPr>
            <w:r>
              <w:t>–39</w:t>
            </w:r>
          </w:p>
        </w:tc>
        <w:tc>
          <w:tcPr>
            <w:tcW w:w="281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24" w:after="24"/>
              <w:jc w:val="left"/>
            </w:pPr>
            <w:r>
              <w:t>–202</w:t>
            </w:r>
          </w:p>
        </w:tc>
      </w:tr>
      <w:tr w:rsidR="002B489A">
        <w:tc>
          <w:tcPr>
            <w:tcW w:w="1206" w:type="dxa"/>
          </w:tcPr>
          <w:p w:rsidR="002B489A" w:rsidRDefault="004F19C4">
            <w:pPr>
              <w:pStyle w:val="Tabletext"/>
              <w:framePr w:hSpace="181" w:wrap="notBeside" w:vAnchor="text" w:hAnchor="text" w:xAlign="center" w:y="1"/>
              <w:spacing w:before="24" w:after="24"/>
              <w:jc w:val="center"/>
            </w:pPr>
            <w:r>
              <w:t>1</w:t>
            </w:r>
            <w:r>
              <w:rPr>
                <w:rFonts w:ascii="Tms Rmn" w:hAnsi="Tms Rmn"/>
                <w:sz w:val="12"/>
              </w:rPr>
              <w:t> </w:t>
            </w:r>
            <w:r>
              <w:t>800</w:t>
            </w:r>
          </w:p>
        </w:tc>
        <w:tc>
          <w:tcPr>
            <w:tcW w:w="2809"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24" w:after="24"/>
              <w:jc w:val="left"/>
            </w:pPr>
            <w:r>
              <w:t>–80</w:t>
            </w:r>
          </w:p>
        </w:tc>
        <w:tc>
          <w:tcPr>
            <w:tcW w:w="2814"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24" w:after="24"/>
              <w:jc w:val="left"/>
            </w:pPr>
            <w:r>
              <w:t>–39</w:t>
            </w:r>
          </w:p>
        </w:tc>
        <w:tc>
          <w:tcPr>
            <w:tcW w:w="281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decimal" w:pos="1418"/>
              </w:tabs>
              <w:spacing w:before="24" w:after="24"/>
              <w:jc w:val="left"/>
            </w:pPr>
            <w:r>
              <w:t>–202</w:t>
            </w:r>
          </w:p>
        </w:tc>
      </w:tr>
    </w:tbl>
    <w:p w:rsidR="002B489A" w:rsidRDefault="002B489A">
      <w:pPr>
        <w:pStyle w:val="Tablefin"/>
        <w:spacing w:before="0"/>
        <w:rPr>
          <w:sz w:val="2"/>
        </w:rPr>
      </w:pPr>
    </w:p>
    <w:p w:rsidR="002B489A" w:rsidRDefault="004F19C4">
      <w:pPr>
        <w:pStyle w:val="Heading2"/>
      </w:pPr>
      <w:r>
        <w:br w:type="page"/>
        <w:t>4.3</w:t>
      </w:r>
      <w:r>
        <w:tab/>
        <w:t>Valeurs obtenues</w:t>
      </w:r>
    </w:p>
    <w:p w:rsidR="002B489A" w:rsidRDefault="004F19C4">
      <w:r>
        <w:t>La valeur est –202 dB(W/m</w:t>
      </w:r>
      <w:r>
        <w:rPr>
          <w:vertAlign w:val="superscript"/>
        </w:rPr>
        <w:t>2</w:t>
      </w:r>
      <w:r>
        <w:t>) dans une largeur de bande de 4 kHz.</w:t>
      </w:r>
    </w:p>
    <w:p w:rsidR="002B489A" w:rsidRDefault="004F19C4">
      <w:r>
        <w:t xml:space="preserve">En traduisant ces valeurs pour les observations du continuum et les observations de raies spectrales, nous obtenons les valeurs suivantes: </w:t>
      </w:r>
    </w:p>
    <w:p w:rsidR="002B489A" w:rsidRDefault="004F19C4">
      <w:pPr>
        <w:pStyle w:val="enumlev1"/>
      </w:pPr>
      <w:r>
        <w:t>–</w:t>
      </w:r>
      <w:r>
        <w:tab/>
        <w:t>pour des observations du continuum avec une antenne unique: –163 dB(W/m</w:t>
      </w:r>
      <w:r>
        <w:rPr>
          <w:vertAlign w:val="superscript"/>
        </w:rPr>
        <w:t>2</w:t>
      </w:r>
      <w:r>
        <w:t>) dans une largeur de bande de 27 MHz;</w:t>
      </w:r>
    </w:p>
    <w:p w:rsidR="002B489A" w:rsidRDefault="004F19C4">
      <w:pPr>
        <w:pStyle w:val="enumlev1"/>
      </w:pPr>
      <w:r>
        <w:t>–</w:t>
      </w:r>
      <w:r>
        <w:tab/>
        <w:t>pour des observations de raies spectrales avec une antenne unique: –195 dB(W/m</w:t>
      </w:r>
      <w:r>
        <w:rPr>
          <w:vertAlign w:val="superscript"/>
        </w:rPr>
        <w:t>2</w:t>
      </w:r>
      <w:r>
        <w:t>) dans une largeur de bande de 20 kHz.</w:t>
      </w:r>
    </w:p>
    <w:p w:rsidR="002B489A" w:rsidRDefault="004F19C4">
      <w:r>
        <w:t>Sur la base des paramètres ci-dessus, on déduit les marges/déficits suivants pour un seul opérateur d'un système mobile à satellites OSG:</w:t>
      </w:r>
    </w:p>
    <w:p w:rsidR="002B489A" w:rsidRDefault="004F19C4">
      <w:pPr>
        <w:pStyle w:val="enumlev1"/>
      </w:pPr>
      <w:r>
        <w:t>–</w:t>
      </w:r>
      <w:r>
        <w:tab/>
        <w:t>pour des observations de raies avec une seule antenne, il manque 1 dB pour satisfaire le critère de protection donné dans la Recommandation UIT-R</w:t>
      </w:r>
      <w:r>
        <w:rPr>
          <w:bCs/>
        </w:rPr>
        <w:t xml:space="preserve"> RA.769</w:t>
      </w:r>
      <w:r>
        <w:t>;</w:t>
      </w:r>
    </w:p>
    <w:p w:rsidR="002B489A" w:rsidRDefault="004F19C4">
      <w:pPr>
        <w:pStyle w:val="enumlev1"/>
      </w:pPr>
      <w:r>
        <w:t>–</w:t>
      </w:r>
      <w:r>
        <w:tab/>
        <w:t xml:space="preserve">pour des observations du continuum avec une seule antenne, il manque 17 dB pour satisfaire le critère de protection donné dans la Recommandation UIT-R </w:t>
      </w:r>
      <w:r>
        <w:rPr>
          <w:bCs/>
        </w:rPr>
        <w:t>RA.769</w:t>
      </w:r>
      <w:r>
        <w:t>.</w:t>
      </w:r>
    </w:p>
    <w:p w:rsidR="002B489A" w:rsidRDefault="004F19C4">
      <w:pPr>
        <w:pStyle w:val="Heading1"/>
        <w:keepNext w:val="0"/>
        <w:ind w:left="0" w:firstLine="0"/>
      </w:pPr>
      <w:r>
        <w:t>5</w:t>
      </w:r>
      <w:r>
        <w:tab/>
        <w:t>Techniques de réduction des brouillage</w:t>
      </w:r>
    </w:p>
    <w:p w:rsidR="002B489A" w:rsidRDefault="004F19C4">
      <w:pPr>
        <w:pStyle w:val="Heading2"/>
      </w:pPr>
      <w:r>
        <w:t>5.1</w:t>
      </w:r>
      <w:r>
        <w:tab/>
        <w:t>SRA</w:t>
      </w:r>
    </w:p>
    <w:p w:rsidR="002B489A" w:rsidRDefault="004F19C4">
      <w:r>
        <w:t>On peut utiliser diverses méthodes, y compris celles qui sont décrites ci-dessous, pour réduire les rayonnements non désirés causés par les émetteurs de satellite à un radiotélescope.</w:t>
      </w:r>
    </w:p>
    <w:p w:rsidR="002B489A" w:rsidRDefault="004F19C4">
      <w:r>
        <w:rPr>
          <w:i/>
        </w:rPr>
        <w:t>Performances du lobe latéral de l'antenne:</w:t>
      </w:r>
      <w:r>
        <w:t xml:space="preserve">  L'éclairement lumineux d'ouverture des radiotélescopes est habituellement optimisé pour </w:t>
      </w:r>
      <w:r>
        <w:rPr>
          <w:i/>
          <w:iCs/>
        </w:rPr>
        <w:t>G</w:t>
      </w:r>
      <w:r>
        <w:t>/</w:t>
      </w:r>
      <w:r>
        <w:rPr>
          <w:i/>
          <w:iCs/>
        </w:rPr>
        <w:t>T</w:t>
      </w:r>
      <w:r>
        <w:t xml:space="preserve">, c'est-à-dire le gain du télescope divisé par la température du système. Cela maximise le rapport </w:t>
      </w:r>
      <w:r>
        <w:rPr>
          <w:i/>
          <w:iCs/>
        </w:rPr>
        <w:t>S</w:t>
      </w:r>
      <w:r>
        <w:t>/</w:t>
      </w:r>
      <w:r>
        <w:rPr>
          <w:i/>
          <w:iCs/>
        </w:rPr>
        <w:t>N</w:t>
      </w:r>
      <w:r>
        <w:t xml:space="preserve"> pour les points sources. Un élément clé de cette approche est de réduire le rayonnement du sol entrant par les lobes latéraux distants. Inévitablement, cela conduit à un certain accroissement correspondant dans les niveaux de lobes latéraux proches. L'expérience a montré que le gabarit d'enveloppe de lobe latéral donné dans la Recommandation UIT-R SA.509 est satisfait par la majorité des radiotélescopes dans la plupart des directions.</w:t>
      </w:r>
    </w:p>
    <w:p w:rsidR="002B489A" w:rsidRDefault="004F19C4">
      <w:r>
        <w:rPr>
          <w:i/>
        </w:rPr>
        <w:t>Suppression de faisceau en temps et/ou fréquence</w:t>
      </w:r>
      <w:r>
        <w:rPr>
          <w:i/>
          <w:iCs/>
        </w:rPr>
        <w:t>:</w:t>
      </w:r>
      <w:r>
        <w:t>  Cette technique peut être appliquée dans certains cas lorsque le brouillage sur la bande de fréquences attribuée à la radioastronomie peut être identifié pleinement et sans ambiguïté en temps et/ou en fréquence.</w:t>
      </w:r>
    </w:p>
    <w:p w:rsidR="002B489A" w:rsidRDefault="004F19C4">
      <w:pPr>
        <w:pStyle w:val="Heading2"/>
      </w:pPr>
      <w:r>
        <w:t>5.2</w:t>
      </w:r>
      <w:r>
        <w:tab/>
        <w:t>SMS</w:t>
      </w:r>
    </w:p>
    <w:p w:rsidR="002B489A" w:rsidRDefault="004F19C4">
      <w:r>
        <w:t>Afin d'améliorer les niveaux donnés au Tableau 10, on devrait prendre en compte les techniques de réduction des brouillages suivantes dans la conception de nouvelles stations spatiales:</w:t>
      </w:r>
    </w:p>
    <w:p w:rsidR="002B489A" w:rsidRDefault="004F19C4">
      <w:pPr>
        <w:pStyle w:val="enumlev1"/>
      </w:pPr>
      <w:r>
        <w:t>–</w:t>
      </w:r>
      <w:r>
        <w:tab/>
        <w:t>la réponse en fréquence large bande de l'antenne;</w:t>
      </w:r>
    </w:p>
    <w:p w:rsidR="002B489A" w:rsidRDefault="004F19C4">
      <w:pPr>
        <w:pStyle w:val="enumlev1"/>
      </w:pPr>
      <w:r>
        <w:t>–</w:t>
      </w:r>
      <w:r>
        <w:tab/>
        <w:t>les caractéristiques d'affaiblissement des filtres intermédiaires;</w:t>
      </w:r>
    </w:p>
    <w:p w:rsidR="002B489A" w:rsidRDefault="004F19C4">
      <w:pPr>
        <w:pStyle w:val="enumlev1"/>
      </w:pPr>
      <w:r>
        <w:t>–</w:t>
      </w:r>
      <w:r>
        <w:tab/>
        <w:t>la réponse en fréquence du gain des amplificateurs de puissance à semi-conducteur;</w:t>
      </w:r>
    </w:p>
    <w:p w:rsidR="002B489A" w:rsidRDefault="004F19C4">
      <w:pPr>
        <w:pStyle w:val="enumlev1"/>
      </w:pPr>
      <w:r>
        <w:t>–</w:t>
      </w:r>
      <w:r>
        <w:tab/>
        <w:t>les caractéristiques de modulation des porteuses individuelles;</w:t>
      </w:r>
    </w:p>
    <w:p w:rsidR="002B489A" w:rsidRDefault="004F19C4">
      <w:pPr>
        <w:pStyle w:val="enumlev1"/>
      </w:pPr>
      <w:r>
        <w:t>–</w:t>
      </w:r>
      <w:r>
        <w:tab/>
        <w:t>l'affaiblissement des produits d'intermodulation par rapport à la puissance des porteuses.</w:t>
      </w:r>
    </w:p>
    <w:p w:rsidR="002B489A" w:rsidRDefault="004F19C4">
      <w:pPr>
        <w:pStyle w:val="Heading2"/>
      </w:pPr>
      <w:r>
        <w:br w:type="page"/>
        <w:t>5.3</w:t>
      </w:r>
      <w:r>
        <w:tab/>
        <w:t>Impact potentiel</w:t>
      </w:r>
    </w:p>
    <w:p w:rsidR="002B489A" w:rsidRDefault="004F19C4">
      <w:r>
        <w:t>Les techniques de réduction des brouillages du § 5.2 sont réputées techniquement faisables pour les systèmes OSG.</w:t>
      </w:r>
    </w:p>
    <w:p w:rsidR="002B489A" w:rsidRDefault="004F19C4">
      <w:pPr>
        <w:pStyle w:val="Heading3"/>
      </w:pPr>
      <w:r>
        <w:t>5.3.1</w:t>
      </w:r>
      <w:r>
        <w:tab/>
        <w:t>SMS</w:t>
      </w:r>
    </w:p>
    <w:p w:rsidR="002B489A" w:rsidRDefault="004F19C4">
      <w:r>
        <w:t>Les techniques de réduction des brouillages du § 5.2 sont réputées techniquement faisables pour les systèmes OSG.</w:t>
      </w:r>
    </w:p>
    <w:p w:rsidR="002B489A" w:rsidRDefault="004F19C4">
      <w:pPr>
        <w:pStyle w:val="Heading1"/>
      </w:pPr>
      <w:r>
        <w:t>6</w:t>
      </w:r>
      <w:r>
        <w:tab/>
        <w:t>Résultats des études</w:t>
      </w:r>
    </w:p>
    <w:p w:rsidR="002B489A" w:rsidRDefault="004F19C4">
      <w:pPr>
        <w:pStyle w:val="Heading2"/>
      </w:pPr>
      <w:r>
        <w:t>6.1</w:t>
      </w:r>
      <w:r>
        <w:tab/>
        <w:t>Résumé</w:t>
      </w:r>
    </w:p>
    <w:p w:rsidR="002B489A" w:rsidRDefault="004F19C4">
      <w:r>
        <w:t>Sur la base des paramètres d'un système mobile à satellites OSG d'un opérateur et en tenant compte des facteurs de réduction des brouillages dont la liste figure au § 5.2, il est très vraisemblable que les niveaux des rayonnements non désirés provenant de ce système à satellites satisfont aux niveaux de seuil de brouillage nuisible pour les observations radioastronomiques à une seule antenne (voir le § 1.3).</w:t>
      </w:r>
    </w:p>
    <w:p w:rsidR="002B489A" w:rsidRDefault="004F19C4">
      <w:pPr>
        <w:pStyle w:val="Heading2"/>
      </w:pPr>
      <w:r>
        <w:t>6.2</w:t>
      </w:r>
      <w:r>
        <w:tab/>
        <w:t>Conclusions</w:t>
      </w:r>
    </w:p>
    <w:p w:rsidR="002B489A" w:rsidRDefault="004F19C4">
      <w:r>
        <w:t>Les critères de protection seront vraisemblablement satisfaits pour les observations du continuum, les observations VLBI et celles des raies spectrales, avec l'utilisation des mesures de réduction des brouillages appropriées.</w:t>
      </w:r>
    </w:p>
    <w:p w:rsidR="002B489A" w:rsidRDefault="002B489A"/>
    <w:p w:rsidR="002B489A" w:rsidRDefault="002B489A"/>
    <w:p w:rsidR="002B489A" w:rsidRDefault="004F19C4">
      <w:pPr>
        <w:pStyle w:val="AnnexNoTitle"/>
      </w:pPr>
      <w:r>
        <w:t xml:space="preserve">Annexe 5 </w:t>
      </w:r>
      <w:r>
        <w:br/>
      </w:r>
      <w:r>
        <w:br/>
        <w:t xml:space="preserve">Analyse de compatibilité entre les systèmes du SRA fonctionnant dans </w:t>
      </w:r>
      <w:r>
        <w:br/>
        <w:t>la bande 1</w:t>
      </w:r>
      <w:r>
        <w:rPr>
          <w:rFonts w:ascii="Tms Rmn" w:hAnsi="Tms Rmn"/>
          <w:sz w:val="12"/>
        </w:rPr>
        <w:t> </w:t>
      </w:r>
      <w:r>
        <w:t>610,6-1</w:t>
      </w:r>
      <w:r>
        <w:rPr>
          <w:rFonts w:ascii="Tms Rmn" w:hAnsi="Tms Rmn"/>
          <w:sz w:val="12"/>
        </w:rPr>
        <w:t> </w:t>
      </w:r>
      <w:r>
        <w:t xml:space="preserve">613,8 MHz et les systèmes du SRNS </w:t>
      </w:r>
      <w:r>
        <w:br/>
        <w:t>fonctionnant dans la bande 1</w:t>
      </w:r>
      <w:r>
        <w:rPr>
          <w:rFonts w:ascii="Tms Rmn" w:hAnsi="Tms Rmn"/>
          <w:sz w:val="12"/>
        </w:rPr>
        <w:t> </w:t>
      </w:r>
      <w:r>
        <w:t>559-1</w:t>
      </w:r>
      <w:r>
        <w:rPr>
          <w:rFonts w:ascii="Tms Rmn" w:hAnsi="Tms Rmn"/>
          <w:sz w:val="12"/>
        </w:rPr>
        <w:t> </w:t>
      </w:r>
      <w:r>
        <w:t>610 MHz</w:t>
      </w:r>
    </w:p>
    <w:p w:rsidR="002B489A" w:rsidRDefault="004F19C4">
      <w:pPr>
        <w:pStyle w:val="Heading1"/>
        <w:rPr>
          <w:b w:val="0"/>
        </w:rPr>
      </w:pPr>
      <w:r>
        <w:t>1</w:t>
      </w:r>
      <w:r>
        <w:tab/>
        <w:t>SRA</w:t>
      </w:r>
    </w:p>
    <w:p w:rsidR="002B489A" w:rsidRDefault="004F19C4">
      <w:pPr>
        <w:pStyle w:val="Heading2"/>
      </w:pPr>
      <w:r>
        <w:t>1.1</w:t>
      </w:r>
      <w:r>
        <w:tab/>
        <w:t>Bande attribuée</w:t>
      </w:r>
    </w:p>
    <w:p w:rsidR="002B489A" w:rsidRDefault="004F19C4">
      <w:r>
        <w:t>La bande 1</w:t>
      </w:r>
      <w:r>
        <w:rPr>
          <w:rFonts w:ascii="Tms Rmn" w:hAnsi="Tms Rmn"/>
          <w:sz w:val="12"/>
        </w:rPr>
        <w:t> </w:t>
      </w:r>
      <w:r>
        <w:t>610,6-1</w:t>
      </w:r>
      <w:r>
        <w:rPr>
          <w:rFonts w:ascii="Tms Rmn" w:hAnsi="Tms Rmn"/>
          <w:sz w:val="12"/>
        </w:rPr>
        <w:t> </w:t>
      </w:r>
      <w:r>
        <w:t>613,8 MHz est attribuée au SRA à titre primaire.</w:t>
      </w:r>
    </w:p>
    <w:p w:rsidR="002B489A" w:rsidRDefault="004F19C4">
      <w:r>
        <w:t>Conformément au numéro 5.149 du RR, les administrations sont instamment priées de prendre toutes les mesures pratiquement réalisables pour protéger le SRA.</w:t>
      </w:r>
    </w:p>
    <w:p w:rsidR="002B489A" w:rsidRDefault="004F19C4">
      <w:pPr>
        <w:pStyle w:val="Heading2"/>
      </w:pPr>
      <w:r>
        <w:t>1.2</w:t>
      </w:r>
      <w:r>
        <w:tab/>
        <w:t>Type d'observations</w:t>
      </w:r>
    </w:p>
    <w:p w:rsidR="002B489A" w:rsidRDefault="004F19C4">
      <w:r>
        <w:t>La bande 1</w:t>
      </w:r>
      <w:r>
        <w:rPr>
          <w:rFonts w:ascii="Tms Rmn" w:hAnsi="Tms Rmn"/>
          <w:sz w:val="12"/>
        </w:rPr>
        <w:t> </w:t>
      </w:r>
      <w:r>
        <w:t>610,6-1</w:t>
      </w:r>
      <w:r>
        <w:rPr>
          <w:rFonts w:ascii="Tms Rmn" w:hAnsi="Tms Rmn"/>
          <w:sz w:val="12"/>
        </w:rPr>
        <w:t> </w:t>
      </w:r>
      <w:r>
        <w:t xml:space="preserve">613,8 MHz est utilisée pour les observations de raies spectrales de radical oxhydryle (OH, </w:t>
      </w:r>
      <w:r>
        <w:rPr>
          <w:i/>
          <w:iCs/>
        </w:rPr>
        <w:t>hydroxyl radical</w:t>
      </w:r>
      <w:r>
        <w:t>). La raie OH, qui a une fréquence de repos de 1</w:t>
      </w:r>
      <w:r>
        <w:rPr>
          <w:rFonts w:ascii="Tms Rmn" w:hAnsi="Tms Rmn"/>
          <w:sz w:val="12"/>
        </w:rPr>
        <w:t> </w:t>
      </w:r>
      <w:r>
        <w:t>612 MHz, est une des plus importantes raies spectrales pour la radioastronomie, et figure comme telle dans la Recommandation UIT-R</w:t>
      </w:r>
      <w:r>
        <w:rPr>
          <w:b/>
        </w:rPr>
        <w:t xml:space="preserve"> </w:t>
      </w:r>
      <w:r>
        <w:t xml:space="preserve">RA.314. OH a été le premier radical cosmique a être détecté à des </w:t>
      </w:r>
      <w:r>
        <w:br w:type="page"/>
        <w:t>fréquences radioélectriques (1963), et continue d'être un puissant outil de recherche. OH produit quatre raies spectrales, à des fréquences d'approximativement 1</w:t>
      </w:r>
      <w:r>
        <w:rPr>
          <w:rFonts w:ascii="Tms Rmn" w:hAnsi="Tms Rmn"/>
          <w:sz w:val="12"/>
        </w:rPr>
        <w:t> </w:t>
      </w:r>
      <w:r>
        <w:t>612, 1</w:t>
      </w:r>
      <w:r>
        <w:rPr>
          <w:rFonts w:ascii="Tms Rmn" w:hAnsi="Tms Rmn"/>
          <w:sz w:val="12"/>
        </w:rPr>
        <w:t> </w:t>
      </w:r>
      <w:r>
        <w:t>665, 1</w:t>
      </w:r>
      <w:r>
        <w:rPr>
          <w:rFonts w:ascii="Tms Rmn" w:hAnsi="Tms Rmn"/>
          <w:sz w:val="12"/>
        </w:rPr>
        <w:t> </w:t>
      </w:r>
      <w:r>
        <w:t>667 et 1</w:t>
      </w:r>
      <w:r>
        <w:rPr>
          <w:rFonts w:ascii="Tms Rmn" w:hAnsi="Tms Rmn"/>
          <w:sz w:val="12"/>
        </w:rPr>
        <w:t> </w:t>
      </w:r>
      <w:r>
        <w:t>720 MHz, qui ont toutes été observées dans notre propre galaxie, aussi bien que dans d'autres galaxies externes. L'étude des raies OH fournit des informations sur une large gamme de phénomènes astronomiques, par exemple, sur la formation de protoétoiles et sur l'évolution des étoiles. Pour interpréter la plupart des observations faites sur les raies OH, il est nécessaire de mesurer la puissance relative de plusieurs de ces raies. La perte de capacité d'observation de l'une ou l'autre de ces raies peut empêcher l'étude de certaines classes de phénomènes physiques.</w:t>
      </w:r>
    </w:p>
    <w:p w:rsidR="002B489A" w:rsidRDefault="004F19C4">
      <w:r>
        <w:t>Ces raies OH sont produites par un processus cohérent, dans lequel une concentration de radicaux OH rayonne «au pas», créant un rayonnement de bande étroite. Il est légèrement élargi à cause des conditions physiques de cette concentration. Les mouvements de ces concentrations par rapport à la Terre déterminent un effet Doppler sur l'émission de la raie. La présence de plusieurs concentrations dans la source, qui se déplacent à des vitesses différentes, fait apparaître un spectre plus compliqué, consistant en un certain nombre de profils de raies gaussiens surimposés de différentes largeurs et amplitudes, et de fréquences légèrement différentes (à cause d'effets Doppler différents). La largeur de l'attribution de bande est nécessaire pour traiter l'étalement et le glissement du spectre par des mouvements différentiels et totaux de la source.</w:t>
      </w:r>
    </w:p>
    <w:p w:rsidR="002B489A" w:rsidRDefault="004F19C4">
      <w:r>
        <w:t>A certaines étapes de leur évolution, certaines classes d'étoiles ne rayonnent que sur la raie à 1</w:t>
      </w:r>
      <w:r>
        <w:rPr>
          <w:rFonts w:ascii="Tms Rmn" w:hAnsi="Tms Rmn"/>
          <w:sz w:val="12"/>
        </w:rPr>
        <w:t> </w:t>
      </w:r>
      <w:r>
        <w:t>612 MHz. L'étude de cette raie permet aux astronomes d'évaluer les propriétés physiques de ces étoiles comme le taux d'émission de gaz par les étoiles et son recyclage dans le milieu interstellaire. Certaines propriétés de ces étoiles ne peuvent pas être déduites d'autres observations astronomiques. Les mesures d'émission d'OH par les étoiles ont aussi été utilisées pour estimer la distance au centre de la galaxie, pour mesurer la masse du corps central de notre galaxie, et pour étudier la distribution spatiale des composants moléculaires dans notre galaxie et dans les galaxies externes. Finalement, des émissions maser extrêmement fortes ont été détectées près du noyau d'un certain nombre de galaxies externes. Cette émission mégamaser d'OH provenant de noyaux galactiques permet aux astronomes d'étudier la température et la densité du gaz moléculaire en leur centre.</w:t>
      </w:r>
    </w:p>
    <w:p w:rsidR="002B489A" w:rsidRDefault="004F19C4">
      <w:r>
        <w:t>La raie spectrale OH est aussi observée dans les comètes; il y a peu de souplesse dans la planification des observations de ces cibles occasionnelles.</w:t>
      </w:r>
    </w:p>
    <w:p w:rsidR="002B489A" w:rsidRDefault="004F19C4">
      <w:pPr>
        <w:spacing w:after="120"/>
      </w:pPr>
      <w:r>
        <w:t>Les observations de raies spectrales sont faites à l'aide de spectromètres qui peuvent intégrer simultanément la puissance dans un grand nombre de canaux de fréquence (typiquement 256 à 4</w:t>
      </w:r>
      <w:r>
        <w:rPr>
          <w:rFonts w:ascii="Tms Rmn" w:hAnsi="Tms Rmn"/>
          <w:sz w:val="12"/>
        </w:rPr>
        <w:t> </w:t>
      </w:r>
      <w:r>
        <w:t>096) distribués sur la bande de fréquences utilisée. La largeur et le nombre de canaux doivent être suffisamment grands pour reproduire de façon fidèle le spectre de l'émission reçue par le radiotélescope. On utilise typiquement des largeurs de bande instantanées d'environ 0,2 à 20 kHz par canal de fréquence, selon le programme scientifique.</w:t>
      </w:r>
    </w:p>
    <w:p w:rsidR="002B489A" w:rsidRDefault="004F19C4">
      <w:pPr>
        <w:spacing w:after="120"/>
      </w:pPr>
      <w:r>
        <w:t>Les sources sont petites, et les mesures de leurs tailles et structures nécessitent souvent des observations utilisant la technique VLBI.</w:t>
      </w:r>
    </w:p>
    <w:p w:rsidR="002B489A" w:rsidRDefault="004F19C4">
      <w:pPr>
        <w:pStyle w:val="Heading2"/>
      </w:pPr>
      <w:r>
        <w:t>1.3</w:t>
      </w:r>
      <w:r>
        <w:tab/>
        <w:t>Critères de protection requis</w:t>
      </w:r>
    </w:p>
    <w:p w:rsidR="002B489A" w:rsidRDefault="004F19C4">
      <w:r>
        <w:t>La Recommandation UIT-R</w:t>
      </w:r>
      <w:r>
        <w:rPr>
          <w:b/>
        </w:rPr>
        <w:t xml:space="preserve"> </w:t>
      </w:r>
      <w:r>
        <w:t>RA.769 spécifie les critères de protection pour les observations de radioastronomie et donne les niveaux de seuil de brouillage nuisible pour les bandes attribuées à titre primaire à la radioastronomie. Dans la bande 1</w:t>
      </w:r>
      <w:r>
        <w:rPr>
          <w:rFonts w:ascii="Tms Rmn" w:hAnsi="Tms Rmn"/>
          <w:sz w:val="12"/>
        </w:rPr>
        <w:t> </w:t>
      </w:r>
      <w:r>
        <w:t>610,6-1</w:t>
      </w:r>
      <w:r>
        <w:rPr>
          <w:rFonts w:ascii="Tms Rmn" w:hAnsi="Tms Rmn"/>
          <w:sz w:val="12"/>
        </w:rPr>
        <w:t> </w:t>
      </w:r>
      <w:r>
        <w:t>613,8 MHz, pour les observations de raie spectrale à une seule antenne faites en utilisant une largeur de bande de canal (un des canaux du spectromètre) de 20 kHz, la limite du seuil de puissance surfacique est de –194 dB(W/m</w:t>
      </w:r>
      <w:r>
        <w:rPr>
          <w:rFonts w:ascii="Times" w:hAnsi="Times"/>
          <w:spacing w:val="-2"/>
          <w:vertAlign w:val="superscript"/>
        </w:rPr>
        <w:t>2</w:t>
      </w:r>
      <w:r>
        <w:rPr>
          <w:rFonts w:ascii="Times" w:hAnsi="Times"/>
          <w:spacing w:val="-2"/>
        </w:rPr>
        <w:t>)</w:t>
      </w:r>
      <w:r>
        <w:t>. Cette bande n'est utilisée que pour les observations de raies radioélectriques et ne l'est pas pour les observations du continuum.</w:t>
      </w:r>
    </w:p>
    <w:p w:rsidR="002B489A" w:rsidRDefault="004F19C4">
      <w:r>
        <w:br w:type="page"/>
        <w:t>Pour les brouillages nuisibles aux systèmes non OSG, les critères de protection et les méthodes pertinentes sont décrits dans les Recommandations UIT-R RA.769 et UIT-R RA.1513, ainsi que dans la Recommandation UIT-R S.1586 pour les systèmes SFS et dans la Recommandation UIT</w:t>
      </w:r>
      <w:r>
        <w:noBreakHyphen/>
        <w:t>R M.1583 pour les systèmes SMS et SRNS.</w:t>
      </w:r>
    </w:p>
    <w:p w:rsidR="002B489A" w:rsidRDefault="004F19C4">
      <w:r>
        <w:t>Les seuils de brouillage nuisible pour le SRA, définis et calculés dans la Recommandation UIT</w:t>
      </w:r>
      <w:r>
        <w:noBreakHyphen/>
        <w:t>R RA.769, sont des critères de protection au-dessus desquels les données radioastronomiques sont dégradées et peuvent même être détruites. En principe, dans des circonstances idéales, si ces niveaux ne sont que très légèrement dépassés, il est possible d'effectuer une compensation à l'observatoire de radioastronomie en accroissant le temps d'observation. Ce faisant, la capacité de canal du télescope est réduite, avec une réduction correspondante du résultat scientifique. Si le niveau de brouillage, dans les hypothèses de la Recommandation UIT-R RA.769 (par exemple, les performances d'antenne, etc.), passe à 10 dB ou plus au-dessus de la définition de la Recommandation UIT-R RA.769, l'augmentation du temps d'observation ne garantira plus la fourniture de données scientifiques valables aux savants. La station radioastronomique sera incapable de fonctionner dans la bande de fréquences affectée et sa capacité à fournir un service sera perdue si on ne peut pas appliquer de techniques de réduction des brouillages appropriées.</w:t>
      </w:r>
    </w:p>
    <w:p w:rsidR="002B489A" w:rsidRDefault="004F19C4">
      <w:pPr>
        <w:pStyle w:val="Heading2"/>
      </w:pPr>
      <w:r>
        <w:t>1.4</w:t>
      </w:r>
      <w:r>
        <w:tab/>
        <w:t>Caractéristiques de fonctionnement</w:t>
      </w:r>
    </w:p>
    <w:p w:rsidR="002B489A" w:rsidRDefault="004F19C4">
      <w:r>
        <w:t>Les observations dans la bande des 1</w:t>
      </w:r>
      <w:r>
        <w:rPr>
          <w:rFonts w:ascii="Tms Rmn" w:hAnsi="Tms Rmn"/>
          <w:sz w:val="12"/>
        </w:rPr>
        <w:t> </w:t>
      </w:r>
      <w:r>
        <w:t>612 MHz sont effectuées dans un certain nombre de sites astronomiques de nombreux pays, dans le monde entier. Les observations dans la bande des 1</w:t>
      </w:r>
      <w:r>
        <w:rPr>
          <w:rFonts w:ascii="Tms Rmn" w:hAnsi="Tms Rmn"/>
          <w:sz w:val="12"/>
        </w:rPr>
        <w:t> </w:t>
      </w:r>
      <w:r>
        <w:t>612 MHz sont parfois effectuées sur des cibles occasionnelles, par exemple, sur des objets comme les comètes, dont il a été observé qu'elles produisent des rayonnements non essentiels dans cette raie. Les observations VLBI sont aussi fréquemment effectuées dans cette bande, parfois entre les réseaux VLBI nord américain et européen.</w:t>
      </w:r>
    </w:p>
    <w:p w:rsidR="002B489A" w:rsidRDefault="004F19C4">
      <w:pPr>
        <w:spacing w:line="280" w:lineRule="exact"/>
      </w:pPr>
      <w:r>
        <w:t xml:space="preserve">Les observations VLBI, où les signaux d'antennes largement séparées sont enregistrés et corrélés après les observations, sont beaucoup moins vulnérables aux brouillages. Ceci se reflète dans le niveau de seuil de puissance surfacique pour les observations VLBI dans cette bande, </w:t>
      </w:r>
      <w:r>
        <w:rPr>
          <w:rFonts w:ascii="Symbol" w:hAnsi="Symbol"/>
        </w:rPr>
        <w:noBreakHyphen/>
      </w:r>
      <w:r>
        <w:t>166 dB(W/m</w:t>
      </w:r>
      <w:r>
        <w:rPr>
          <w:rFonts w:ascii="Times" w:hAnsi="Times"/>
          <w:spacing w:val="-2"/>
          <w:vertAlign w:val="superscript"/>
        </w:rPr>
        <w:t>2</w:t>
      </w:r>
      <w:r>
        <w:rPr>
          <w:rFonts w:ascii="Times" w:hAnsi="Times"/>
          <w:spacing w:val="-2"/>
        </w:rPr>
        <w:t>), pour une largeur de bande de 20 kHz, qui a été prévu pour les observations VLBI, mais n'est pas inclus dans la Recomm</w:t>
      </w:r>
      <w:r>
        <w:t>andation UIT-R RA.769.</w:t>
      </w:r>
    </w:p>
    <w:p w:rsidR="002B489A" w:rsidRDefault="004F19C4">
      <w:r>
        <w:t>Les observations de raies spectrales sont faites à l'aide de spectromètres multicanaux qui peuvent intégrer simultanément la puissance dans de nombreux (typiquement 256 à 4</w:t>
      </w:r>
      <w:r>
        <w:rPr>
          <w:rFonts w:ascii="Tms Rmn" w:hAnsi="Tms Rmn"/>
          <w:sz w:val="12"/>
        </w:rPr>
        <w:t> </w:t>
      </w:r>
      <w:r>
        <w:t>096) canaux de fréquences distribués à travers la bande. Le nombre de canaux et leur largeur de bande individuelle sont choisis pour échantillonner de façon adéquate le spectre de leur rayonnement net à partir de la ou des sources dans le faisceau de l'antenne.</w:t>
      </w:r>
    </w:p>
    <w:p w:rsidR="002B489A" w:rsidRDefault="004F19C4">
      <w:r>
        <w:t>En général, les observations sont faites de façon différentielle; les spectres sont enregistrés en gammes de fréquences incluant les émissions des raies intéressantes (les raies spectrales), et ensuite à une fréquence qui est un décalage à partir des émissions de la raie, ou à la même fréquence mais à une position voisine dans le ciel (les spectres de référence). En soustrayant les spectres de référence des spectres de raies, les contributions au bruit non désiré et les autres produits contaminateurs peuvent être retirés des données.</w:t>
      </w:r>
    </w:p>
    <w:p w:rsidR="002B489A" w:rsidRDefault="004F19C4">
      <w:r>
        <w:t>Les observations VLBI sont faites en ramenant les signaux à la bande de base, en les numérisant sans rectification, et en les enregistrant sur bande magnétique ou autre moyen de stockage, avec un marquage temporel précis. Les données sont alors portées à un centre de traitement de données VLBI où les signaux sont synchronisés et corrélés. Par conséquent, le plein impact des brouillages peut n'être connu que lorsque la période d'observation est terminée et que les données ont été traitées.</w:t>
      </w:r>
    </w:p>
    <w:p w:rsidR="002B489A" w:rsidRDefault="004F19C4">
      <w:pPr>
        <w:pStyle w:val="Heading1"/>
      </w:pPr>
      <w:r>
        <w:br w:type="page"/>
        <w:t>2</w:t>
      </w:r>
      <w:r>
        <w:tab/>
        <w:t>SRNS</w:t>
      </w:r>
    </w:p>
    <w:p w:rsidR="002B489A" w:rsidRDefault="004F19C4">
      <w:pPr>
        <w:pStyle w:val="Heading2"/>
      </w:pPr>
      <w:r>
        <w:t>2.1</w:t>
      </w:r>
      <w:r>
        <w:tab/>
        <w:t>Bande d'émission attribuée</w:t>
      </w:r>
    </w:p>
    <w:p w:rsidR="002B489A" w:rsidRDefault="004F19C4">
      <w:r>
        <w:t>La bande 1</w:t>
      </w:r>
      <w:r>
        <w:rPr>
          <w:rFonts w:ascii="Tms Rmn" w:hAnsi="Tms Rmn"/>
          <w:sz w:val="12"/>
        </w:rPr>
        <w:t> </w:t>
      </w:r>
      <w:r>
        <w:t>559-1</w:t>
      </w:r>
      <w:r>
        <w:rPr>
          <w:rFonts w:ascii="Tms Rmn" w:hAnsi="Tms Rmn"/>
          <w:sz w:val="12"/>
        </w:rPr>
        <w:t> </w:t>
      </w:r>
      <w:r>
        <w:t>610 MHz est attribuée au SRNS pour les émissions espace vers Terre.</w:t>
      </w:r>
    </w:p>
    <w:p w:rsidR="002B489A" w:rsidRDefault="004F19C4">
      <w:pPr>
        <w:pStyle w:val="Heading2"/>
        <w:ind w:left="0" w:firstLine="0"/>
      </w:pPr>
      <w:r>
        <w:t>2.2</w:t>
      </w:r>
      <w:r>
        <w:tab/>
        <w:t>Application</w:t>
      </w:r>
    </w:p>
    <w:p w:rsidR="002B489A" w:rsidRDefault="004F19C4">
      <w:r>
        <w:t>Les systèmes de radionavigation par satellite, qui sont des systèmes à faible puissance par rapport à la plupart des systèmes à satellites, sont utilisés pour l'estimation et le minutage des positions par les utilisateurs, y compris les radioastronomes et les systèmes spatiaux passifs. Et donc les deux services sont imbriqués. Il y a deux types principaux de systèmes SRNS non OSG et SRNS OSG. Les systèmes OSG sont d'abord utilisés pour la navigation aérienne. Les systèmes non OSG sont utilisés partout dans le monde et par de multiples administrations pour la navigation, l'estimation de position, des calculs horaires précis ainsi que pour la recherche et le sauvetage.</w:t>
      </w:r>
    </w:p>
    <w:p w:rsidR="002B489A" w:rsidRDefault="004F19C4">
      <w:pPr>
        <w:pStyle w:val="Heading2"/>
        <w:rPr>
          <w:b w:val="0"/>
        </w:rPr>
      </w:pPr>
      <w:r>
        <w:t>2.3</w:t>
      </w:r>
      <w:r>
        <w:tab/>
        <w:t>Niveaux fondés sur des dispositions réglementaires</w:t>
      </w:r>
    </w:p>
    <w:p w:rsidR="002B489A" w:rsidRDefault="004F19C4">
      <w:r>
        <w:t>Le niveaux n'ont pas été évalués au cours de la présente étude.</w:t>
      </w:r>
    </w:p>
    <w:p w:rsidR="002B489A" w:rsidRDefault="004F19C4">
      <w:pPr>
        <w:pStyle w:val="Heading1"/>
      </w:pPr>
      <w:r>
        <w:t>3</w:t>
      </w:r>
      <w:r>
        <w:tab/>
        <w:t>Seuil de compatibilité</w:t>
      </w:r>
    </w:p>
    <w:p w:rsidR="002B489A" w:rsidRDefault="004F19C4">
      <w:r>
        <w:t>Voir le § 1.3.</w:t>
      </w:r>
    </w:p>
    <w:p w:rsidR="002B489A" w:rsidRDefault="004F19C4">
      <w:pPr>
        <w:pStyle w:val="Heading1"/>
      </w:pPr>
      <w:r>
        <w:t>4</w:t>
      </w:r>
      <w:r>
        <w:tab/>
        <w:t>Evaluation du brouillage</w:t>
      </w:r>
    </w:p>
    <w:p w:rsidR="002B489A" w:rsidRDefault="004F19C4">
      <w:pPr>
        <w:pStyle w:val="Heading2"/>
      </w:pPr>
      <w:r>
        <w:rPr>
          <w:snapToGrid w:val="0"/>
        </w:rPr>
        <w:t>4.1</w:t>
      </w:r>
      <w:r>
        <w:rPr>
          <w:snapToGrid w:val="0"/>
        </w:rPr>
        <w:tab/>
        <w:t>Méthode utilisée pour évaluer le niveau de brouillage</w:t>
      </w:r>
    </w:p>
    <w:p w:rsidR="002B489A" w:rsidRDefault="004F19C4">
      <w:r>
        <w:t>Voir le § 1.3 pour les références aux Recommandations UIT-R pertinentes en ce qui concerne la méthode d'epfd pour les systèmes non OSG.</w:t>
      </w:r>
    </w:p>
    <w:p w:rsidR="002B489A" w:rsidRDefault="004F19C4">
      <w:pPr>
        <w:pStyle w:val="Heading2"/>
      </w:pPr>
      <w:r>
        <w:t>4.2</w:t>
      </w:r>
      <w:r>
        <w:tab/>
        <w:t>Calcul du niveau de brouillage</w:t>
      </w:r>
    </w:p>
    <w:p w:rsidR="002B489A" w:rsidRDefault="004F19C4">
      <w:r>
        <w:t>Voir le § 2.3.</w:t>
      </w:r>
    </w:p>
    <w:p w:rsidR="002B489A" w:rsidRDefault="004F19C4">
      <w:pPr>
        <w:pStyle w:val="Heading2"/>
      </w:pPr>
      <w:r>
        <w:t>4.3</w:t>
      </w:r>
      <w:r>
        <w:tab/>
        <w:t>Valeurs obtenues</w:t>
      </w:r>
    </w:p>
    <w:p w:rsidR="002B489A" w:rsidRDefault="004F19C4">
      <w:pPr>
        <w:pStyle w:val="Heading1"/>
        <w:rPr>
          <w:snapToGrid w:val="0"/>
        </w:rPr>
      </w:pPr>
      <w:r>
        <w:rPr>
          <w:snapToGrid w:val="0"/>
        </w:rPr>
        <w:t>5</w:t>
      </w:r>
      <w:r>
        <w:rPr>
          <w:snapToGrid w:val="0"/>
        </w:rPr>
        <w:tab/>
        <w:t>Méthodes de réduction des brouillages</w:t>
      </w:r>
    </w:p>
    <w:p w:rsidR="002B489A" w:rsidRDefault="004F19C4">
      <w:pPr>
        <w:pStyle w:val="Heading2"/>
      </w:pPr>
      <w:r>
        <w:t>5.1</w:t>
      </w:r>
      <w:r>
        <w:tab/>
        <w:t>SRA</w:t>
      </w:r>
    </w:p>
    <w:p w:rsidR="002B489A" w:rsidRDefault="004F19C4">
      <w:r>
        <w:t>On peut utiliser diverses méthodes, y compris celles qui sont décrites ci-dessous, pour réduire les rayonnements non désirés causés par les émetteurs de satellite à un radiotélescope.</w:t>
      </w:r>
    </w:p>
    <w:p w:rsidR="002B489A" w:rsidRDefault="004F19C4">
      <w:r>
        <w:rPr>
          <w:i/>
        </w:rPr>
        <w:t>Performances du lobe latéral de l'antenne:</w:t>
      </w:r>
      <w:r>
        <w:t xml:space="preserve">  L'éclairement lumineux d'ouverture des radiotélescopes est habituellement optimisé pour </w:t>
      </w:r>
      <w:r>
        <w:rPr>
          <w:i/>
          <w:iCs/>
        </w:rPr>
        <w:t>G</w:t>
      </w:r>
      <w:r>
        <w:t>/</w:t>
      </w:r>
      <w:r>
        <w:rPr>
          <w:i/>
          <w:iCs/>
        </w:rPr>
        <w:t>T</w:t>
      </w:r>
      <w:r>
        <w:t xml:space="preserve">, c'est-à-dire le gain du télescope divisé par la température du système. Cela maximise le rapport </w:t>
      </w:r>
      <w:r>
        <w:rPr>
          <w:i/>
          <w:iCs/>
        </w:rPr>
        <w:t>S</w:t>
      </w:r>
      <w:r>
        <w:t>/</w:t>
      </w:r>
      <w:r>
        <w:rPr>
          <w:i/>
          <w:iCs/>
        </w:rPr>
        <w:t>N</w:t>
      </w:r>
      <w:r>
        <w:t xml:space="preserve"> pour les points sources. Un élément clé de cette approche est de réduire le rayonnement du sol entrant par les lobes latéraux distants. Inévitablement, cela conduit à un certain accroissement correspondant dans les niveaux de lobes latéraux proches. L'expérience a montré que le gabarit d'enveloppe de lobe latéral donné dans la Recommandation UIT-R SA.509 est satisfait par la majorité des radiotélescopes dans la plupart des directions.</w:t>
      </w:r>
    </w:p>
    <w:p w:rsidR="002B489A" w:rsidRDefault="004F19C4">
      <w:r>
        <w:rPr>
          <w:i/>
        </w:rPr>
        <w:br w:type="page"/>
        <w:t>Suppression de faisceau en temps et/ou fréquence:</w:t>
      </w:r>
      <w:r>
        <w:t>  Cette technique peut être appliquée dans certains cas lorsque le brouillage sur la bande de fréquences attribuée à la radioastronomie peut être identifié pleinement et sans ambiguïté en temps et/ou en fréquence.</w:t>
      </w:r>
    </w:p>
    <w:p w:rsidR="002B489A" w:rsidRDefault="004F19C4">
      <w:pPr>
        <w:pStyle w:val="Heading2"/>
      </w:pPr>
      <w:r>
        <w:t>5.2</w:t>
      </w:r>
      <w:r>
        <w:tab/>
        <w:t>SRNS</w:t>
      </w:r>
    </w:p>
    <w:p w:rsidR="002B489A" w:rsidRDefault="004F19C4">
      <w:r>
        <w:t>Deux systèmes SRNS fonctionnent dans la bande 1</w:t>
      </w:r>
      <w:r>
        <w:rPr>
          <w:rFonts w:ascii="Tms Rmn" w:hAnsi="Tms Rmn"/>
          <w:sz w:val="12"/>
        </w:rPr>
        <w:t> </w:t>
      </w:r>
      <w:r>
        <w:t>559-1</w:t>
      </w:r>
      <w:r>
        <w:rPr>
          <w:rFonts w:ascii="Tms Rmn" w:hAnsi="Tms Rmn"/>
          <w:sz w:val="12"/>
        </w:rPr>
        <w:t> </w:t>
      </w:r>
      <w:r>
        <w:t>610 MHz, et tous deux utilisent la modulation à étalement de spectre. Les deux systèmes ont commencé à fonctionner sans filtrage de leurs émissions, et des brouillages dans la bande 1</w:t>
      </w:r>
      <w:r>
        <w:rPr>
          <w:rFonts w:ascii="Tms Rmn" w:hAnsi="Tms Rmn"/>
          <w:sz w:val="12"/>
        </w:rPr>
        <w:t> </w:t>
      </w:r>
      <w:r>
        <w:t>610,6-1</w:t>
      </w:r>
      <w:r>
        <w:rPr>
          <w:rFonts w:ascii="Tms Rmn" w:hAnsi="Tms Rmn"/>
          <w:sz w:val="12"/>
        </w:rPr>
        <w:t> </w:t>
      </w:r>
      <w:r>
        <w:t>613,8 MHz provenant des deux systèmes ont été relevés par les stations de radioastronomie.</w:t>
      </w:r>
    </w:p>
    <w:p w:rsidR="002B489A" w:rsidRDefault="004F19C4">
      <w:r>
        <w:t>Les rayonnements non désirés dans la bande 1</w:t>
      </w:r>
      <w:r>
        <w:rPr>
          <w:rFonts w:ascii="Tms Rmn" w:hAnsi="Tms Rmn"/>
          <w:sz w:val="12"/>
        </w:rPr>
        <w:t> </w:t>
      </w:r>
      <w:r>
        <w:t>610,6</w:t>
      </w:r>
      <w:r>
        <w:noBreakHyphen/>
        <w:t>1</w:t>
      </w:r>
      <w:r>
        <w:rPr>
          <w:rFonts w:ascii="Tms Rmn" w:hAnsi="Tms Rmn"/>
          <w:sz w:val="12"/>
        </w:rPr>
        <w:t> </w:t>
      </w:r>
      <w:r>
        <w:t>613,8 MHz par un système qui fonctionne à de plus basses fréquences dans la bande attribuée au SRNS, ont été améliorés, à la satisfaction de la communauté des radioastronomes, en introduisant des filtres dans les satellites lancés après la détection des brouillages.</w:t>
      </w:r>
    </w:p>
    <w:p w:rsidR="002B489A" w:rsidRDefault="004F19C4">
      <w:r>
        <w:t>L'autre système a commencé à fonctionner dans la bande 1</w:t>
      </w:r>
      <w:r>
        <w:rPr>
          <w:rFonts w:ascii="Tms Rmn" w:hAnsi="Tms Rmn"/>
          <w:sz w:val="12"/>
        </w:rPr>
        <w:t> </w:t>
      </w:r>
      <w:r>
        <w:t>610,6-1</w:t>
      </w:r>
      <w:r>
        <w:rPr>
          <w:rFonts w:ascii="Tms Rmn" w:hAnsi="Tms Rmn"/>
          <w:sz w:val="12"/>
        </w:rPr>
        <w:t> </w:t>
      </w:r>
      <w:r>
        <w:t>613,8 MHz alors que cette attribution au SRA était encore secondaire. Afin d'améliorer la situation des brouillages dans la bande, un accord a été conclu entre l'exploitant du satellite et le Comité inter-unions pour l'attribution de fréquences à la radioastronomie et à la science spatiale (IUCAF), représentant la communauté mondiale des radioastronomes. Cet accord contient une approche graduelle pour satisfaire aux critères de protection du SRA après quelques années. Le plan des canaux a été révisé et les émissions par satellite ont été transférées sur d'autres fréquences au-dessous de la bande 1</w:t>
      </w:r>
      <w:r>
        <w:rPr>
          <w:rFonts w:ascii="Tms Rmn" w:hAnsi="Tms Rmn"/>
          <w:sz w:val="12"/>
        </w:rPr>
        <w:t> </w:t>
      </w:r>
      <w:r>
        <w:t>610,6-1</w:t>
      </w:r>
      <w:r>
        <w:rPr>
          <w:rFonts w:ascii="Tms Rmn" w:hAnsi="Tms Rmn"/>
          <w:sz w:val="12"/>
        </w:rPr>
        <w:t> </w:t>
      </w:r>
      <w:r>
        <w:t>613,8 MHz. Selon l'accord susmentionné, on prévoit que le filtrage dans les générations ultérieures de satellites devrait supprimer les rayonnements non désirés des systèmes dans la bande 1</w:t>
      </w:r>
      <w:r>
        <w:rPr>
          <w:rFonts w:ascii="Tms Rmn" w:hAnsi="Tms Rmn"/>
          <w:sz w:val="12"/>
        </w:rPr>
        <w:t> </w:t>
      </w:r>
      <w:r>
        <w:t>610,6-1</w:t>
      </w:r>
      <w:r>
        <w:rPr>
          <w:rFonts w:ascii="Tms Rmn" w:hAnsi="Tms Rmn"/>
          <w:sz w:val="12"/>
        </w:rPr>
        <w:t> </w:t>
      </w:r>
      <w:r>
        <w:t>613,8 MHz jusqu'aux niveaux des seuils de brouillage pour antenne unique donnés dans la Recommandation UIT-R RA.769.</w:t>
      </w:r>
    </w:p>
    <w:p w:rsidR="002B489A" w:rsidRDefault="004F19C4">
      <w:pPr>
        <w:pStyle w:val="Heading2"/>
      </w:pPr>
      <w:r>
        <w:t>5.3</w:t>
      </w:r>
      <w:r>
        <w:tab/>
        <w:t>Impact potentiel</w:t>
      </w:r>
    </w:p>
    <w:p w:rsidR="002B489A" w:rsidRDefault="004F19C4">
      <w:pPr>
        <w:pStyle w:val="Heading3"/>
        <w:rPr>
          <w:snapToGrid w:val="0"/>
        </w:rPr>
      </w:pPr>
      <w:r>
        <w:t>5.3.1</w:t>
      </w:r>
      <w:r>
        <w:tab/>
        <w:t>SRA</w:t>
      </w:r>
    </w:p>
    <w:p w:rsidR="002B489A" w:rsidRDefault="004F19C4">
      <w:r>
        <w:rPr>
          <w:i/>
        </w:rPr>
        <w:t>Performances du lobe latéral de l'antenne:</w:t>
      </w:r>
      <w:r>
        <w:t xml:space="preserve"> Les tentatives de diminution de la sensibilité des antennes de radioastronomie aux rayonnements non désirés provenant des stations spatiales vont vraisemblablement accroître la sensibilité des télescopes radioastronomiques au rayonnement du sol, et pourraient réduire leur gain de faisceau principal. Ces deux effets réduiront la capacité de canal du télescope et conduiront à une augmentation du temps d'intégration total nécessaire.</w:t>
      </w:r>
    </w:p>
    <w:p w:rsidR="002B489A" w:rsidRDefault="004F19C4">
      <w:pPr>
        <w:pStyle w:val="enumlev1"/>
        <w:ind w:left="0" w:firstLine="0"/>
      </w:pPr>
      <w:r>
        <w:rPr>
          <w:i/>
        </w:rPr>
        <w:t>Suppression de faisceau en temps et</w:t>
      </w:r>
      <w:r>
        <w:rPr>
          <w:iCs/>
        </w:rPr>
        <w:t>/</w:t>
      </w:r>
      <w:r>
        <w:rPr>
          <w:i/>
        </w:rPr>
        <w:t>ou fréquence:</w:t>
      </w:r>
      <w:r>
        <w:t xml:space="preserve"> La suppression comporte le risque de compromettre l'intégrité des données et peut conduire à des erreurs de leur interprétation scientifique. Elle est également à l'origine d'un accroissement concomitant du temps d'intégration total requis pour faire l'observation, ce qui est équivalent à une perte de la capacité de canal du télescope.</w:t>
      </w:r>
    </w:p>
    <w:p w:rsidR="002B489A" w:rsidRDefault="004F19C4">
      <w:pPr>
        <w:pStyle w:val="Heading3"/>
      </w:pPr>
      <w:r>
        <w:t>5.3.2</w:t>
      </w:r>
      <w:r>
        <w:tab/>
        <w:t>SRNS</w:t>
      </w:r>
    </w:p>
    <w:p w:rsidR="002B489A" w:rsidRDefault="004F19C4">
      <w:r>
        <w:t>Les solutions de matériel comme les filtres peuvent être difficiles à mettre en œuvre. Dans les antennes actives, multi-éléments, les filtres peuvent être nécessaires pour chaque élément d'antenne. Cela va accroître le poids du satellite. Les pertes dues aux filtres vont exiger des émetteurs plus puissants, qui a leur tour vont demander plus de puissance de transmission, et donc de plus gros dispositifs solaires. Cela va encore augmenter le poids. De plus, un satellite plus gros et plus lourd peut exiger un plus gros lanceur. L'impact financier peut être considérable. Les perfectionnements techniques de la conception des filtres peuvent atténuer ce problème. La mise en œuvre de filtres dans le système peut être plus facile à gérer si elle est prise en considération au stade de la conception du système.</w:t>
      </w:r>
    </w:p>
    <w:p w:rsidR="002B489A" w:rsidRDefault="004F19C4">
      <w:pPr>
        <w:pStyle w:val="Heading1"/>
      </w:pPr>
      <w:r>
        <w:br w:type="page"/>
        <w:t>6</w:t>
      </w:r>
      <w:r>
        <w:tab/>
        <w:t>Résultats des études</w:t>
      </w:r>
    </w:p>
    <w:p w:rsidR="002B489A" w:rsidRDefault="004F19C4">
      <w:pPr>
        <w:pStyle w:val="Heading2"/>
      </w:pPr>
      <w:r>
        <w:t>6.1</w:t>
      </w:r>
      <w:r>
        <w:tab/>
        <w:t>Résumé</w:t>
      </w:r>
    </w:p>
    <w:p w:rsidR="002B489A" w:rsidRDefault="004F19C4">
      <w:r>
        <w:t>Dans cette bande, les niveaux de seuil des brouillages gênants pour les observations radioastronomiques examinés au § 1.3 peuvent être satisfaits par le service actif pour le cas de la VLBI et de la raie spectrale à une seule antenne, lorsque des méthodes de réduction des brouillages sont prises en compte. Aucune observation du continuum à une seule antenne n'est faite dans cette bande.</w:t>
      </w:r>
    </w:p>
    <w:p w:rsidR="002B489A" w:rsidRDefault="004F19C4">
      <w:pPr>
        <w:pStyle w:val="Heading2"/>
      </w:pPr>
      <w:r>
        <w:t>6.2</w:t>
      </w:r>
      <w:r>
        <w:tab/>
        <w:t>Conclusions</w:t>
      </w:r>
    </w:p>
    <w:p w:rsidR="002B489A" w:rsidRDefault="004F19C4">
      <w:r>
        <w:t>Il est possible que des techniques de réduction des brouillages appropriées, prévues pour les systèmes de l'avenir, permettent des observations VLBI et de raies spectrales dans cette bande.</w:t>
      </w:r>
    </w:p>
    <w:p w:rsidR="002B489A" w:rsidRDefault="002B489A"/>
    <w:p w:rsidR="002B489A" w:rsidRDefault="002B489A"/>
    <w:p w:rsidR="002B489A" w:rsidRDefault="004F19C4">
      <w:pPr>
        <w:pStyle w:val="AnnexNoTitle"/>
      </w:pPr>
      <w:r>
        <w:t>Annexe 6</w:t>
      </w:r>
      <w:r>
        <w:br/>
      </w:r>
      <w:r>
        <w:br/>
      </w:r>
      <w:r>
        <w:rPr>
          <w:rFonts w:ascii="Times New Roman Bold" w:hAnsi="Times New Roman Bold"/>
          <w:b w:val="0"/>
        </w:rPr>
        <w:t xml:space="preserve">Analyse de compatibilité entre les systèmes du SRA fonctionnant dans la </w:t>
      </w:r>
      <w:r>
        <w:rPr>
          <w:rFonts w:ascii="Times New Roman Bold" w:hAnsi="Times New Roman Bold"/>
          <w:b w:val="0"/>
        </w:rPr>
        <w:br/>
        <w:t>bande 1</w:t>
      </w:r>
      <w:r>
        <w:rPr>
          <w:rFonts w:ascii="Tms Rmn" w:hAnsi="Tms Rmn"/>
          <w:b w:val="0"/>
          <w:sz w:val="12"/>
        </w:rPr>
        <w:t> </w:t>
      </w:r>
      <w:r>
        <w:rPr>
          <w:rFonts w:ascii="Times New Roman Bold" w:hAnsi="Times New Roman Bold"/>
          <w:b w:val="0"/>
        </w:rPr>
        <w:t>610,6-1</w:t>
      </w:r>
      <w:r>
        <w:rPr>
          <w:rFonts w:ascii="Tms Rmn" w:hAnsi="Tms Rmn"/>
          <w:b w:val="0"/>
          <w:sz w:val="12"/>
        </w:rPr>
        <w:t> </w:t>
      </w:r>
      <w:r>
        <w:rPr>
          <w:rFonts w:ascii="Times New Roman Bold" w:hAnsi="Times New Roman Bold"/>
          <w:b w:val="0"/>
        </w:rPr>
        <w:t>613,8 MHz et les systèmes du SMS (espace vers Terre) fonctionnant dans la bande 1</w:t>
      </w:r>
      <w:r>
        <w:rPr>
          <w:rFonts w:ascii="Tms Rmn" w:hAnsi="Tms Rmn"/>
          <w:b w:val="0"/>
          <w:sz w:val="12"/>
        </w:rPr>
        <w:t> </w:t>
      </w:r>
      <w:r>
        <w:rPr>
          <w:rFonts w:ascii="Times New Roman Bold" w:hAnsi="Times New Roman Bold"/>
          <w:b w:val="0"/>
        </w:rPr>
        <w:t>613,8</w:t>
      </w:r>
      <w:r>
        <w:rPr>
          <w:rFonts w:ascii="Times New Roman Bold" w:hAnsi="Times New Roman Bold"/>
          <w:b w:val="0"/>
        </w:rPr>
        <w:noBreakHyphen/>
        <w:t>1</w:t>
      </w:r>
      <w:r>
        <w:rPr>
          <w:rFonts w:ascii="Tms Rmn" w:hAnsi="Tms Rmn"/>
          <w:b w:val="0"/>
          <w:sz w:val="12"/>
        </w:rPr>
        <w:t> </w:t>
      </w:r>
      <w:r>
        <w:rPr>
          <w:rFonts w:ascii="Times New Roman Bold" w:hAnsi="Times New Roman Bold"/>
          <w:b w:val="0"/>
        </w:rPr>
        <w:t>626,5 MHz</w:t>
      </w:r>
    </w:p>
    <w:p w:rsidR="002B489A" w:rsidRDefault="004F19C4">
      <w:pPr>
        <w:pStyle w:val="Heading1"/>
        <w:rPr>
          <w:b w:val="0"/>
        </w:rPr>
      </w:pPr>
      <w:r>
        <w:t>1</w:t>
      </w:r>
      <w:r>
        <w:tab/>
        <w:t>SRA</w:t>
      </w:r>
    </w:p>
    <w:p w:rsidR="002B489A" w:rsidRDefault="004F19C4">
      <w:pPr>
        <w:pStyle w:val="Heading2"/>
      </w:pPr>
      <w:r>
        <w:t>1.1</w:t>
      </w:r>
      <w:r>
        <w:tab/>
        <w:t>Bande attribuée</w:t>
      </w:r>
    </w:p>
    <w:p w:rsidR="002B489A" w:rsidRDefault="004F19C4">
      <w:r>
        <w:t>La bande 1</w:t>
      </w:r>
      <w:r>
        <w:rPr>
          <w:rFonts w:ascii="Tms Rmn" w:hAnsi="Tms Rmn"/>
          <w:sz w:val="12"/>
        </w:rPr>
        <w:t> </w:t>
      </w:r>
      <w:r>
        <w:t>610,6-1</w:t>
      </w:r>
      <w:r>
        <w:rPr>
          <w:rFonts w:ascii="Tms Rmn" w:hAnsi="Tms Rmn"/>
          <w:sz w:val="12"/>
        </w:rPr>
        <w:t> </w:t>
      </w:r>
      <w:r>
        <w:t>613,8 MHz est attribuée au SRA à titre primaire.</w:t>
      </w:r>
    </w:p>
    <w:p w:rsidR="002B489A" w:rsidRDefault="004F19C4">
      <w:r>
        <w:t>Conformément au numéro 5.149 du RR, les administrations sont instamment priées de prendre toutes les mesures pratiquement réalisables pour protéger le SRA dans cette bande.</w:t>
      </w:r>
    </w:p>
    <w:p w:rsidR="002B489A" w:rsidRDefault="004F19C4">
      <w:pPr>
        <w:pStyle w:val="Heading2"/>
      </w:pPr>
      <w:r>
        <w:t>1.2</w:t>
      </w:r>
      <w:r>
        <w:tab/>
        <w:t>Type d'observations</w:t>
      </w:r>
    </w:p>
    <w:p w:rsidR="002B489A" w:rsidRDefault="004F19C4">
      <w:r>
        <w:t>La bande 1</w:t>
      </w:r>
      <w:r>
        <w:rPr>
          <w:rFonts w:ascii="Tms Rmn" w:hAnsi="Tms Rmn"/>
          <w:sz w:val="12"/>
        </w:rPr>
        <w:t> </w:t>
      </w:r>
      <w:r>
        <w:t>610,6-1</w:t>
      </w:r>
      <w:r>
        <w:rPr>
          <w:rFonts w:ascii="Tms Rmn" w:hAnsi="Tms Rmn"/>
          <w:sz w:val="12"/>
        </w:rPr>
        <w:t> </w:t>
      </w:r>
      <w:r>
        <w:t>613,8 MHz est utilisée pour les observations de raies spectrales de OH. La raie OH, qui a une fréquence de repos de 1 612 MHz, est une des plus importantes raies spectrales pour la radioastronomie, et figure comme telle dans la Recommandation UIT-R RA.314. OH a été le premier radical cosmique a être détecté à des fréquences radioélectriques (1963), et continue d'être un puissant outil de recherche. OH produit quatre raies spectrales, à des fréquences d'approximativement 1</w:t>
      </w:r>
      <w:r>
        <w:rPr>
          <w:rFonts w:ascii="Tms Rmn" w:hAnsi="Tms Rmn"/>
          <w:sz w:val="12"/>
        </w:rPr>
        <w:t> </w:t>
      </w:r>
      <w:r>
        <w:t>612, 1</w:t>
      </w:r>
      <w:r>
        <w:rPr>
          <w:rFonts w:ascii="Tms Rmn" w:hAnsi="Tms Rmn"/>
          <w:sz w:val="12"/>
        </w:rPr>
        <w:t> </w:t>
      </w:r>
      <w:r>
        <w:t>665, 1</w:t>
      </w:r>
      <w:r>
        <w:rPr>
          <w:rFonts w:ascii="Tms Rmn" w:hAnsi="Tms Rmn"/>
          <w:sz w:val="12"/>
        </w:rPr>
        <w:t> </w:t>
      </w:r>
      <w:r>
        <w:t>667 et 1</w:t>
      </w:r>
      <w:r>
        <w:rPr>
          <w:rFonts w:ascii="Tms Rmn" w:hAnsi="Tms Rmn"/>
          <w:sz w:val="12"/>
        </w:rPr>
        <w:t> </w:t>
      </w:r>
      <w:r>
        <w:t>720 MHz, qui ont toutes été observées dans notre propre galaxie, aussi bien que dans d'autres galaxies externes. L'étude des raies OH fournit des informations sur une large gamme de phénomènes astronomiques, par exemple, sur la formation de protoétoiles et sur l'évolution des étoiles. Pour interpréter la plupart des observations faites sur les raies OH, il est nécessaire de mesurer la puissance relative de plusieurs de ces raies. La perte de capacité d'observation de l'une ou l'autre de ces raies peut empêcher l'étude de certaines classes de phénomènes physiques.</w:t>
      </w:r>
    </w:p>
    <w:p w:rsidR="002B489A" w:rsidRDefault="004F19C4">
      <w:r>
        <w:t xml:space="preserve">Ces raies OH sont produites par un processus cohérent, dans lequel une concentration de radicaux OH rayonne «au pas», créant un rayonnement de bande étroite. Il est légèrement élargi à cause des conditions physiques de cette concentration. Les mouvements de ces concentrations par </w:t>
      </w:r>
      <w:r>
        <w:br w:type="page"/>
        <w:t>rapport à la Terre déterminent un effet Doppler sur l'émission de la raie. La présence de plusieurs concentrations dans la source, qui se déplacent à des vitesses différentes, fait apparaître un spectre plus compliqué, consistant en un certain nombre de profils de raies gaussiens surimposés de différentes largeurs et amplitudes, et de fréquences légèrement différentes (à cause d'effets Doppler différents). La largeur de l'attribution de bande est nécessaire pour traiter l'étalement et le glissement du spectre par des mouvements différentiels et totaux de la source.</w:t>
      </w:r>
    </w:p>
    <w:p w:rsidR="002B489A" w:rsidRDefault="004F19C4">
      <w:r>
        <w:t>A certaines étapes de leur évolution, certaines classes d'étoiles ne rayonnent que sur la raie à 1</w:t>
      </w:r>
      <w:r>
        <w:rPr>
          <w:rFonts w:ascii="Tms Rmn" w:hAnsi="Tms Rmn"/>
          <w:sz w:val="12"/>
        </w:rPr>
        <w:t> </w:t>
      </w:r>
      <w:r>
        <w:t xml:space="preserve">612 MHz. L'étude de cette raie permet aux astronomes d'évaluer les propriétés physiques de ces étoiles comme le taux d'émission de gaz par les étoiles et son recyclage dans le milieu interstellaire. Certaines propriétés de ces étoiles </w:t>
      </w:r>
      <w:r>
        <w:rPr>
          <w:b/>
          <w:bCs/>
        </w:rPr>
        <w:t>ne peuvent pas</w:t>
      </w:r>
      <w:r>
        <w:t xml:space="preserve"> être déduites d'autres observations astrono</w:t>
      </w:r>
      <w:r>
        <w:softHyphen/>
        <w:t>miques. Les mesures d'émission d'OH par les étoiles ont aussi été utilisées pour estimer la distance au centre de la galaxie, pour mesurer la masse du corps central de notre galaxie, et pour étudier la distribution spatiales des composants moléculaires dans notre galaxie et dans les galaxies externes. Finalement, des émissions maser extrêmement fortes ont été détectées près du noyau d'un certain nombre de galaxies externes. Cette émission mégamaser d'OH provenant de noyaux galactiques permet aux astronomes d'étudier la température et la densité du gaz moléculaire en leur centre.</w:t>
      </w:r>
    </w:p>
    <w:p w:rsidR="002B489A" w:rsidRDefault="004F19C4">
      <w:r>
        <w:t>La raie spectrale OH est aussi observée dans les comètes; il y a peu de souplesse dans la planification des observations de ces cibles occasionnelles.</w:t>
      </w:r>
    </w:p>
    <w:p w:rsidR="002B489A" w:rsidRDefault="004F19C4">
      <w:pPr>
        <w:spacing w:after="120"/>
      </w:pPr>
      <w:r>
        <w:t>Les observations de raies spectrales sont faites à l'aide de spectromètres qui peuvent intégrer simultanément la puissance dans un grand nombre de canaux de fréquence (typiquement 256 à 4</w:t>
      </w:r>
      <w:r>
        <w:rPr>
          <w:rFonts w:ascii="Tms Rmn" w:hAnsi="Tms Rmn"/>
          <w:sz w:val="12"/>
        </w:rPr>
        <w:t> </w:t>
      </w:r>
      <w:r>
        <w:t>096) distribués sur la bande de fréquences utilisée. La largeur et le nombre de canaux doivent être suffisamment grands pour reproduire de façon fidèle le spectre de l'émission reçue par le radiotélescope. On utilise typiquement des largeurs de bande instantanées d'environ 0,2 à 20 kHz par canal de fréquence, selon le programme scientifique.</w:t>
      </w:r>
    </w:p>
    <w:p w:rsidR="002B489A" w:rsidRDefault="004F19C4">
      <w:pPr>
        <w:spacing w:after="120"/>
      </w:pPr>
      <w:r>
        <w:t>Les sources sont petites, et les mesures de leurs tailles et structures nécessitent souvent des observations utilisant la technique VLBI.</w:t>
      </w:r>
    </w:p>
    <w:p w:rsidR="002B489A" w:rsidRDefault="004F19C4">
      <w:pPr>
        <w:pStyle w:val="Heading2"/>
      </w:pPr>
      <w:r>
        <w:t>1.3</w:t>
      </w:r>
      <w:r>
        <w:tab/>
        <w:t>Critères de protection requis</w:t>
      </w:r>
    </w:p>
    <w:p w:rsidR="002B489A" w:rsidRDefault="004F19C4">
      <w:r>
        <w:t>La Recommandation UIT-R RA.769 spécifie les critères de protection pour les observations de radioastronomie et donne les niveaux de seuil de brouillage nuisible pour les bandes attribuées à titre primaire à la radioastronomie. Dans la bande 1</w:t>
      </w:r>
      <w:r>
        <w:rPr>
          <w:rFonts w:ascii="Tms Rmn" w:hAnsi="Tms Rmn"/>
          <w:sz w:val="12"/>
        </w:rPr>
        <w:t> </w:t>
      </w:r>
      <w:r>
        <w:t>610,6-1</w:t>
      </w:r>
      <w:r>
        <w:rPr>
          <w:rFonts w:ascii="Tms Rmn" w:hAnsi="Tms Rmn"/>
          <w:sz w:val="12"/>
        </w:rPr>
        <w:t> </w:t>
      </w:r>
      <w:r>
        <w:t>613,8 MHz, pour les observations de raie spectrale à une seule antenne faites en utilisant une largeur de bande de canal (un des canaux du spectromètre) de 20 kHz, la limite du seuil de puissance surfacique est de –194 dB(W/m</w:t>
      </w:r>
      <w:r>
        <w:rPr>
          <w:rFonts w:ascii="Times" w:hAnsi="Times"/>
          <w:spacing w:val="-2"/>
          <w:vertAlign w:val="superscript"/>
        </w:rPr>
        <w:t>2</w:t>
      </w:r>
      <w:r>
        <w:rPr>
          <w:rFonts w:ascii="Times" w:hAnsi="Times"/>
          <w:spacing w:val="-2"/>
        </w:rPr>
        <w:t>)</w:t>
      </w:r>
      <w:r>
        <w:t>. Cette bande n'est utilisée que pour les observations de raies radioélectriques et ne l'est pas pour les observations du continuum.</w:t>
      </w:r>
    </w:p>
    <w:p w:rsidR="002B489A" w:rsidRDefault="004F19C4">
      <w:r>
        <w:t>Pour les brouillages gênants aux systèmes non OSG, les critères de protection et les méthodes pertinentes sont décrits dans les Recommandations UIT-R RA.769 et UIT-R RA.1513, ainsi que dans la Recommandation UIT-R S.1586 pour les systèmes SFS et dans la Recommandation UIT</w:t>
      </w:r>
      <w:r>
        <w:noBreakHyphen/>
        <w:t>R M.1583 pour les systèmes SMS et SRNS.</w:t>
      </w:r>
    </w:p>
    <w:p w:rsidR="002B489A" w:rsidRDefault="004F19C4">
      <w:r>
        <w:t>Les seuils de brouillage nuisible pour le SRA, définis et calculés dans la Recommandation UIT</w:t>
      </w:r>
      <w:r>
        <w:noBreakHyphen/>
        <w:t xml:space="preserve">R RA.769, sont des critères de protection au-dessus desquels les données radioastronomiques sont dégradées et peuvent même être détruites. En principe, dans des circonstances idéales, si ces niveaux ne sont que très légèrement dépassés, il est possible d'effectuer une compensation à l'observatoire de radioastronomie en accroissant le temps d'observation. Ce faisant, la capacité de canal du télescope est réduite, avec une réduction correspondante du résultat scientifique. Si le niveau de brouillage, dans les hypothèses de la Recommandation UIT-R RA.769 (par exemple, les performances d'antenne, etc.), passe à 10 dB ou plus au-dessus de la définition de la </w:t>
      </w:r>
      <w:r>
        <w:br w:type="page"/>
        <w:t>Recommandation UIT-R RA.769, l'augmentation du temps d'observation ne garantira plus la fourniture de données scientifiques valables aux savants. La station radioastronomique sera incapable de fonctionner dans la bande de fréquences affectée et sa capacité à fournir un service sera perdue si on ne peut pas appliquer de techniques de réduction des brouillages appropriées.</w:t>
      </w:r>
    </w:p>
    <w:p w:rsidR="002B489A" w:rsidRDefault="004F19C4">
      <w:pPr>
        <w:pStyle w:val="Heading2"/>
      </w:pPr>
      <w:r>
        <w:t>1.4</w:t>
      </w:r>
      <w:r>
        <w:tab/>
        <w:t>Caractéristiques de fonctionnement</w:t>
      </w:r>
    </w:p>
    <w:p w:rsidR="002B489A" w:rsidRDefault="004F19C4">
      <w:r>
        <w:t>Les observations dans la bande des 1</w:t>
      </w:r>
      <w:r>
        <w:rPr>
          <w:rFonts w:ascii="Tms Rmn" w:hAnsi="Tms Rmn"/>
          <w:sz w:val="12"/>
        </w:rPr>
        <w:t> </w:t>
      </w:r>
      <w:r>
        <w:t>612 MHz sont effectuées dans un certain nombre de sites astronomiques de nombreux pays, dans le monde entier. Les observations dans la bande des 1</w:t>
      </w:r>
      <w:r>
        <w:rPr>
          <w:rFonts w:ascii="Tms Rmn" w:hAnsi="Tms Rmn"/>
          <w:sz w:val="12"/>
        </w:rPr>
        <w:t> </w:t>
      </w:r>
      <w:r>
        <w:t>612 MHz sont parfois effectuées sur des cibles occasionnelles, par exemple, sur des objets comme les comètes, dont il a été observé qu'elles produisent des rayonnements non essentiels dans cette raie. Les observations VLBI sont aussi fréquemment effectuées dans cette bande, parfois entre les réseaux VLBI nord américain et européen.</w:t>
      </w:r>
    </w:p>
    <w:p w:rsidR="002B489A" w:rsidRDefault="004F19C4">
      <w:pPr>
        <w:spacing w:line="280" w:lineRule="exact"/>
      </w:pPr>
      <w:r>
        <w:t xml:space="preserve">Les observations VLBI, où les signaux d'antennes largement séparées sont enregistrés et corrélés après les observations, sont beaucoup moins vulnérables aux brouillages. Ceci se reflète dans le niveau de seuil de puissance surfacique pour les observations VLBI dans cette bande, </w:t>
      </w:r>
      <w:r>
        <w:rPr>
          <w:rFonts w:ascii="Symbol" w:hAnsi="Symbol"/>
        </w:rPr>
        <w:noBreakHyphen/>
      </w:r>
      <w:r>
        <w:t>166 dB(W/m</w:t>
      </w:r>
      <w:r>
        <w:rPr>
          <w:rFonts w:ascii="Times" w:hAnsi="Times"/>
          <w:spacing w:val="-2"/>
          <w:vertAlign w:val="superscript"/>
        </w:rPr>
        <w:t>2</w:t>
      </w:r>
      <w:r>
        <w:rPr>
          <w:rFonts w:ascii="Times" w:hAnsi="Times"/>
          <w:spacing w:val="-2"/>
        </w:rPr>
        <w:t>), pour une largeur de bande de 20 kHz, qui a été prévu pour les observations VLBI, mais n'est pas inclus dans la Recommandation</w:t>
      </w:r>
      <w:r>
        <w:t xml:space="preserve"> UIT-R RA.769.</w:t>
      </w:r>
    </w:p>
    <w:p w:rsidR="002B489A" w:rsidRDefault="004F19C4">
      <w:r>
        <w:t>Les observations de raies spectrales sont faites à l'aide de spectromètres multicanaux qui peuvent intégrer simultanément la puissance dans de nombreux (typiquement 256 à 4</w:t>
      </w:r>
      <w:r>
        <w:rPr>
          <w:rFonts w:ascii="Tms Rmn" w:hAnsi="Tms Rmn"/>
          <w:sz w:val="12"/>
        </w:rPr>
        <w:t> </w:t>
      </w:r>
      <w:r>
        <w:t>096) canaux de fréquences distribués à travers la bande. Le nombre de canaux et leur largeur de bande individuelle sont choisis pour échantillonner de façon adéquate le spectre de leur rayonnement net à partir de la ou des sources dans le faisceau de l'antenne.</w:t>
      </w:r>
    </w:p>
    <w:p w:rsidR="002B489A" w:rsidRDefault="004F19C4">
      <w:r>
        <w:t>En général, les observations sont faites de façon différentielle; les spectres sont enregistrés en gammes de fréquences incluant les émissions des raies intéressantes (les raies spectrales), et ensuite à une fréquence qui est un décalage à partir des émissions de la raie, ou à la même fréquence mais à une position voisine dans le ciel (les spectres de référence). En soustrayant les spectres de référence des spectres de raies, les contributions au bruit non désiré et les autres produits contaminateurs peuvent être retirés des données.</w:t>
      </w:r>
    </w:p>
    <w:p w:rsidR="002B489A" w:rsidRDefault="004F19C4">
      <w:r>
        <w:t>Les observations VLBI sont faites en ramenant les signaux à la bande de base, en les numérisant sans rectification, et en les enregistrant sur bande magnétique ou autre moyen de stockage, avec un marquage temporel précis. Les données sont alors portées à un centre de traitement de données VLBI où les signaux sont synchronisés et corrélés. Par conséquent, le plein impact des brouillages peut n'être connu que lorsque la période d'observation est terminée et que les données ont été traitées.</w:t>
      </w:r>
    </w:p>
    <w:p w:rsidR="002B489A" w:rsidRDefault="004F19C4">
      <w:pPr>
        <w:pStyle w:val="Heading1"/>
      </w:pPr>
      <w:r>
        <w:t>2</w:t>
      </w:r>
      <w:r>
        <w:tab/>
        <w:t>SMS</w:t>
      </w:r>
    </w:p>
    <w:p w:rsidR="002B489A" w:rsidRDefault="004F19C4">
      <w:pPr>
        <w:pStyle w:val="Heading2"/>
      </w:pPr>
      <w:r>
        <w:t>2.1</w:t>
      </w:r>
      <w:r>
        <w:tab/>
        <w:t>Bande d'émission attribuée</w:t>
      </w:r>
    </w:p>
    <w:p w:rsidR="002B489A" w:rsidRDefault="004F19C4">
      <w:r>
        <w:t>La bande 1</w:t>
      </w:r>
      <w:r>
        <w:rPr>
          <w:rFonts w:ascii="Tms Rmn" w:hAnsi="Tms Rmn"/>
          <w:sz w:val="12"/>
        </w:rPr>
        <w:t> </w:t>
      </w:r>
      <w:r>
        <w:t>613,8</w:t>
      </w:r>
      <w:r>
        <w:noBreakHyphen/>
        <w:t>1</w:t>
      </w:r>
      <w:r>
        <w:rPr>
          <w:rFonts w:ascii="Tms Rmn" w:hAnsi="Tms Rmn"/>
          <w:sz w:val="12"/>
        </w:rPr>
        <w:t> </w:t>
      </w:r>
      <w:r>
        <w:t>626,5 MHz a été attribuée au SMS (espace vers Terre) à titre secondaire, pour le monde entier, à la CAMR-92. La CAMR-92 a également pris les décisions suivantes en ce qui concerne le SRA dans la bande 1</w:t>
      </w:r>
      <w:r>
        <w:rPr>
          <w:rFonts w:ascii="Tms Rmn" w:hAnsi="Tms Rmn"/>
          <w:sz w:val="12"/>
        </w:rPr>
        <w:t> </w:t>
      </w:r>
      <w:r>
        <w:t>610,6-1</w:t>
      </w:r>
      <w:r>
        <w:rPr>
          <w:rFonts w:ascii="Tms Rmn" w:hAnsi="Tms Rmn"/>
          <w:sz w:val="12"/>
        </w:rPr>
        <w:t> </w:t>
      </w:r>
      <w:r>
        <w:t>613,8 MHz:</w:t>
      </w:r>
    </w:p>
    <w:p w:rsidR="002B489A" w:rsidRDefault="004F19C4">
      <w:pPr>
        <w:pStyle w:val="enumlev1"/>
        <w:rPr>
          <w:snapToGrid w:val="0"/>
        </w:rPr>
      </w:pPr>
      <w:r>
        <w:rPr>
          <w:snapToGrid w:val="0"/>
        </w:rPr>
        <w:t>a)</w:t>
      </w:r>
      <w:r>
        <w:rPr>
          <w:snapToGrid w:val="0"/>
        </w:rPr>
        <w:tab/>
        <w:t>un relèvement de statut secondaire à statut primaire de l'attribution existante à la radioastronomie dans la bande 1</w:t>
      </w:r>
      <w:r>
        <w:rPr>
          <w:rFonts w:ascii="Tms Rmn" w:hAnsi="Tms Rmn"/>
          <w:snapToGrid w:val="0"/>
          <w:sz w:val="12"/>
        </w:rPr>
        <w:t> </w:t>
      </w:r>
      <w:r>
        <w:rPr>
          <w:snapToGrid w:val="0"/>
        </w:rPr>
        <w:t>610,6</w:t>
      </w:r>
      <w:r>
        <w:noBreakHyphen/>
      </w:r>
      <w:r>
        <w:rPr>
          <w:snapToGrid w:val="0"/>
        </w:rPr>
        <w:t>1</w:t>
      </w:r>
      <w:r>
        <w:rPr>
          <w:rFonts w:ascii="Tms Rmn" w:hAnsi="Tms Rmn"/>
          <w:snapToGrid w:val="0"/>
          <w:sz w:val="12"/>
        </w:rPr>
        <w:t> </w:t>
      </w:r>
      <w:r>
        <w:rPr>
          <w:snapToGrid w:val="0"/>
        </w:rPr>
        <w:t>613,8 MHz; et</w:t>
      </w:r>
    </w:p>
    <w:p w:rsidR="002B489A" w:rsidRDefault="004F19C4">
      <w:pPr>
        <w:pStyle w:val="enumlev1"/>
        <w:rPr>
          <w:snapToGrid w:val="0"/>
        </w:rPr>
      </w:pPr>
      <w:r>
        <w:t>b)</w:t>
      </w:r>
      <w:r>
        <w:tab/>
        <w:t>l'adoption du numéro 5.372 du RR, qui dispose: «Les stations du service de radiorepérage par satellite et du service mobile par satellite ne doivent pas causer de brouillage préjudiciable aux stations du SRA qui utilisent la bande 1</w:t>
      </w:r>
      <w:r>
        <w:rPr>
          <w:sz w:val="12"/>
        </w:rPr>
        <w:t> </w:t>
      </w:r>
      <w:r>
        <w:t>610,6</w:t>
      </w:r>
      <w:r>
        <w:noBreakHyphen/>
        <w:t>1</w:t>
      </w:r>
      <w:r>
        <w:rPr>
          <w:sz w:val="12"/>
        </w:rPr>
        <w:t> </w:t>
      </w:r>
      <w:r>
        <w:t>613,8 MHz (le numéro </w:t>
      </w:r>
      <w:r>
        <w:rPr>
          <w:b/>
          <w:bCs/>
        </w:rPr>
        <w:t>29.13</w:t>
      </w:r>
      <w:r>
        <w:t xml:space="preserve"> du RR s'applique).» Ce renvoi s'applique à la </w:t>
      </w:r>
      <w:r>
        <w:rPr>
          <w:snapToGrid w:val="0"/>
        </w:rPr>
        <w:t>bande 1</w:t>
      </w:r>
      <w:r>
        <w:rPr>
          <w:rFonts w:ascii="Tms Rmn" w:hAnsi="Tms Rmn"/>
          <w:snapToGrid w:val="0"/>
          <w:sz w:val="12"/>
        </w:rPr>
        <w:t> </w:t>
      </w:r>
      <w:r>
        <w:rPr>
          <w:snapToGrid w:val="0"/>
        </w:rPr>
        <w:t>610</w:t>
      </w:r>
      <w:r>
        <w:noBreakHyphen/>
      </w:r>
      <w:r>
        <w:rPr>
          <w:snapToGrid w:val="0"/>
        </w:rPr>
        <w:t>1</w:t>
      </w:r>
      <w:r>
        <w:rPr>
          <w:rFonts w:ascii="Tms Rmn" w:hAnsi="Tms Rmn"/>
          <w:snapToGrid w:val="0"/>
          <w:sz w:val="12"/>
        </w:rPr>
        <w:t> </w:t>
      </w:r>
      <w:r>
        <w:rPr>
          <w:snapToGrid w:val="0"/>
        </w:rPr>
        <w:t>626,5 MHz.</w:t>
      </w:r>
    </w:p>
    <w:p w:rsidR="002B489A" w:rsidRDefault="004F19C4">
      <w:pPr>
        <w:pStyle w:val="Heading2"/>
        <w:rPr>
          <w:snapToGrid w:val="0"/>
        </w:rPr>
      </w:pPr>
      <w:r>
        <w:rPr>
          <w:snapToGrid w:val="0"/>
        </w:rPr>
        <w:br w:type="page"/>
        <w:t>2.2</w:t>
      </w:r>
      <w:r>
        <w:rPr>
          <w:snapToGrid w:val="0"/>
        </w:rPr>
        <w:tab/>
        <w:t>Application</w:t>
      </w:r>
    </w:p>
    <w:p w:rsidR="002B489A" w:rsidRDefault="004F19C4">
      <w:pPr>
        <w:spacing w:after="120"/>
      </w:pPr>
      <w:r>
        <w:t>La bande 1</w:t>
      </w:r>
      <w:r>
        <w:rPr>
          <w:rFonts w:ascii="Tms Rmn" w:hAnsi="Tms Rmn"/>
          <w:sz w:val="12"/>
        </w:rPr>
        <w:t> </w:t>
      </w:r>
      <w:r>
        <w:t>610</w:t>
      </w:r>
      <w:r>
        <w:noBreakHyphen/>
        <w:t>1</w:t>
      </w:r>
      <w:r>
        <w:rPr>
          <w:rFonts w:ascii="Tms Rmn" w:hAnsi="Tms Rmn"/>
          <w:sz w:val="12"/>
        </w:rPr>
        <w:t> </w:t>
      </w:r>
      <w:r>
        <w:t>626,5 MHz est attribuée aux liaisons montantes du SMS, dans le monde entier, à titre primaire, avec quelques contraintes.</w:t>
      </w:r>
    </w:p>
    <w:p w:rsidR="002B489A" w:rsidRDefault="004F19C4">
      <w:pPr>
        <w:spacing w:after="120"/>
      </w:pPr>
      <w:r>
        <w:t>La bande 1</w:t>
      </w:r>
      <w:r>
        <w:rPr>
          <w:rFonts w:ascii="Tms Rmn" w:hAnsi="Tms Rmn"/>
          <w:sz w:val="12"/>
        </w:rPr>
        <w:t> </w:t>
      </w:r>
      <w:r>
        <w:t>613,8</w:t>
      </w:r>
      <w:r>
        <w:noBreakHyphen/>
        <w:t>1</w:t>
      </w:r>
      <w:r>
        <w:rPr>
          <w:rFonts w:ascii="Tms Rmn" w:hAnsi="Tms Rmn"/>
          <w:sz w:val="12"/>
        </w:rPr>
        <w:t> </w:t>
      </w:r>
      <w:r>
        <w:t>626,5 MHz est attribuée au SMS (espace vers Terre) à titre secondaire, dans le monde entier. Le système HIBLEO-2 est actuellement le seul système utilisant cette attribution à la fois dans le sens Terre vers espace et dans le sens espace vers Terre, tandis que le système HIBLEO</w:t>
      </w:r>
      <w:r>
        <w:noBreakHyphen/>
        <w:t>4 utilise la bande dans le sens Terre vers espace. HIBLEO-2 est un système à satellites capable de fonctionner dans la bande 1</w:t>
      </w:r>
      <w:r>
        <w:rPr>
          <w:rFonts w:ascii="Tms Rmn" w:hAnsi="Tms Rmn"/>
          <w:sz w:val="12"/>
        </w:rPr>
        <w:t> </w:t>
      </w:r>
      <w:r>
        <w:t>616</w:t>
      </w:r>
      <w:r>
        <w:noBreakHyphen/>
        <w:t>1</w:t>
      </w:r>
      <w:r>
        <w:rPr>
          <w:rFonts w:ascii="Tms Rmn" w:hAnsi="Tms Rmn"/>
          <w:sz w:val="12"/>
        </w:rPr>
        <w:t> </w:t>
      </w:r>
      <w:r>
        <w:t>626,5 MHz, mais autorisé à fonctionner uniquement dans la bande 1</w:t>
      </w:r>
      <w:r>
        <w:rPr>
          <w:rFonts w:ascii="Tms Rmn" w:hAnsi="Tms Rmn"/>
          <w:sz w:val="12"/>
        </w:rPr>
        <w:t> </w:t>
      </w:r>
      <w:r>
        <w:t>621,35</w:t>
      </w:r>
      <w:r>
        <w:noBreakHyphen/>
        <w:t>1</w:t>
      </w:r>
      <w:r>
        <w:rPr>
          <w:rFonts w:ascii="Tms Rmn" w:hAnsi="Tms Rmn"/>
          <w:sz w:val="12"/>
        </w:rPr>
        <w:t> </w:t>
      </w:r>
      <w:r>
        <w:t>626,5 MHz.</w:t>
      </w:r>
    </w:p>
    <w:p w:rsidR="002B489A" w:rsidRDefault="004F19C4">
      <w:pPr>
        <w:pStyle w:val="Heading2"/>
        <w:rPr>
          <w:b w:val="0"/>
        </w:rPr>
      </w:pPr>
      <w:r>
        <w:t>2.3</w:t>
      </w:r>
      <w:r>
        <w:tab/>
        <w:t xml:space="preserve">Niveaux fondés sur des dispositions réglementaires </w:t>
      </w:r>
    </w:p>
    <w:p w:rsidR="002B489A" w:rsidRDefault="004F19C4">
      <w:r>
        <w:t>Aucune limite réglementaire n'est imposée aux émissions hors bande dans le RR. Cependant, le RR de l'UIT dispose (numéros 5.28 à 5.31 du RR) que, entre autres, par définition, les stations d'un service secondaire ne doivent pas causer de brouillage préjudiciable aux stations d'un service primaire auxquelles des fréquences ont été assignées antérieurement ou sont susceptibles d'être assignées ultérieurement ni ne peuvent prétendre à la protection contre les brouillages préjudiciables causés par les stations d'un service primaire. Cette disposition s'applique à la fois à la protection contre les rayonnements dans la bande et hors bande et devrait s'appliquer aux liaisons descendantes secondaires du SMS, sans considération des niveaux spécifiés de puissance surfacique. Il n'y a donc pas de raison évidente de codifier des limites spécifiques de puissance surfacique.</w:t>
      </w:r>
    </w:p>
    <w:p w:rsidR="002B489A" w:rsidRDefault="004F19C4">
      <w:r>
        <w:t>Au numéro 29.13 du RR il est dit que «les administrations doivent prendre note des Recommandations pertinentes de l'UIT-R afin de limiter les brouillages causés par d'autres services au service de radioastronomie».</w:t>
      </w:r>
    </w:p>
    <w:p w:rsidR="002B489A" w:rsidRDefault="004F19C4">
      <w:pPr>
        <w:pStyle w:val="Heading1"/>
      </w:pPr>
      <w:r>
        <w:t>3</w:t>
      </w:r>
      <w:r>
        <w:tab/>
        <w:t>Seuil de compatibilité</w:t>
      </w:r>
    </w:p>
    <w:p w:rsidR="002B489A" w:rsidRDefault="004F19C4">
      <w:r>
        <w:t>Voir le § 1.3.</w:t>
      </w:r>
    </w:p>
    <w:p w:rsidR="002B489A" w:rsidRDefault="004F19C4">
      <w:pPr>
        <w:pStyle w:val="Heading1"/>
      </w:pPr>
      <w:r>
        <w:t>4</w:t>
      </w:r>
      <w:r>
        <w:tab/>
        <w:t>Evaluation du brouillage</w:t>
      </w:r>
    </w:p>
    <w:p w:rsidR="002B489A" w:rsidRDefault="004F19C4">
      <w:pPr>
        <w:pStyle w:val="Heading2"/>
      </w:pPr>
      <w:r>
        <w:t>4.1</w:t>
      </w:r>
      <w:r>
        <w:tab/>
        <w:t>Méthode d'évaluation du niveau de brouillage</w:t>
      </w:r>
    </w:p>
    <w:p w:rsidR="002B489A" w:rsidRDefault="004F19C4">
      <w:r>
        <w:t>Voir au § 2.3 les références aux Recommandations UIT-R pertinentes relatives aux systèmes non OSG.</w:t>
      </w:r>
    </w:p>
    <w:p w:rsidR="002B489A" w:rsidRDefault="004F19C4">
      <w:pPr>
        <w:pStyle w:val="Heading2"/>
        <w:rPr>
          <w:i/>
        </w:rPr>
      </w:pPr>
      <w:r>
        <w:t>4.2</w:t>
      </w:r>
      <w:r>
        <w:tab/>
        <w:t>Calcul du niveau de brouillage</w:t>
      </w:r>
    </w:p>
    <w:p w:rsidR="002B489A" w:rsidRDefault="004F19C4">
      <w:r>
        <w:t>Les rayonnements non désirés en terme de la densité spectrale de puissance surfacique cumulative des émissions du satellite HIBLEO-2 dans la bande 1</w:t>
      </w:r>
      <w:r>
        <w:rPr>
          <w:rFonts w:ascii="Tms Rmn" w:hAnsi="Tms Rmn"/>
          <w:sz w:val="12"/>
        </w:rPr>
        <w:t> </w:t>
      </w:r>
      <w:r>
        <w:t>610,6</w:t>
      </w:r>
      <w:r>
        <w:noBreakHyphen/>
        <w:t>1</w:t>
      </w:r>
      <w:r>
        <w:rPr>
          <w:rFonts w:ascii="Tms Rmn" w:hAnsi="Tms Rmn"/>
          <w:sz w:val="12"/>
        </w:rPr>
        <w:t> </w:t>
      </w:r>
      <w:r>
        <w:t xml:space="preserve">613,8 MHz ont été estimés théoriquement à une gamme comprise entre </w:t>
      </w:r>
      <w:r>
        <w:sym w:font="Symbol" w:char="F02D"/>
      </w:r>
      <w:r>
        <w:t>214 dB(W/(m</w:t>
      </w:r>
      <w:r>
        <w:rPr>
          <w:rFonts w:ascii="Times" w:hAnsi="Times"/>
          <w:spacing w:val="-2"/>
          <w:vertAlign w:val="superscript"/>
        </w:rPr>
        <w:t>2</w:t>
      </w:r>
      <w:r>
        <w:t xml:space="preserve">/Hz)) et </w:t>
      </w:r>
      <w:r>
        <w:sym w:font="Symbol" w:char="F02D"/>
      </w:r>
      <w:r>
        <w:t>223 dB(W/(m</w:t>
      </w:r>
      <w:r>
        <w:rPr>
          <w:vertAlign w:val="superscript"/>
        </w:rPr>
        <w:t>2</w:t>
      </w:r>
      <w:r>
        <w:t>/Hz)) sur certains sites de radioastronomie, dans des conditions de pleine charge.</w:t>
      </w:r>
    </w:p>
    <w:p w:rsidR="002B489A" w:rsidRDefault="004F19C4">
      <w:pPr>
        <w:pStyle w:val="Heading2"/>
        <w:rPr>
          <w:snapToGrid w:val="0"/>
        </w:rPr>
      </w:pPr>
      <w:r>
        <w:rPr>
          <w:snapToGrid w:val="0"/>
        </w:rPr>
        <w:t>4.3</w:t>
      </w:r>
      <w:r>
        <w:rPr>
          <w:snapToGrid w:val="0"/>
        </w:rPr>
        <w:tab/>
        <w:t>Valeurs obtenues</w:t>
      </w:r>
    </w:p>
    <w:p w:rsidR="002B489A" w:rsidRDefault="004F19C4">
      <w:r>
        <w:t xml:space="preserve">Un programme d'essais en collaboration, mené par HIBLEO-2 et l'observatoire national américain de radioastronomie (NRAO, </w:t>
      </w:r>
      <w:r>
        <w:rPr>
          <w:i/>
          <w:iCs/>
        </w:rPr>
        <w:t>United States National Radio Astronomy observatory</w:t>
      </w:r>
      <w:r>
        <w:t xml:space="preserve">), a mesuré en 1998 des valeurs de puissance surfacique allant de </w:t>
      </w:r>
      <w:r>
        <w:sym w:font="Symbol" w:char="F02D"/>
      </w:r>
      <w:r>
        <w:t xml:space="preserve">220 à </w:t>
      </w:r>
      <w:r>
        <w:rPr>
          <w:rFonts w:ascii="Symbol" w:hAnsi="Symbol"/>
        </w:rPr>
        <w:noBreakHyphen/>
      </w:r>
      <w:r>
        <w:t>240 dB(W/(m</w:t>
      </w:r>
      <w:r>
        <w:rPr>
          <w:rFonts w:ascii="Times" w:hAnsi="Times"/>
          <w:spacing w:val="-2"/>
          <w:vertAlign w:val="superscript"/>
        </w:rPr>
        <w:t>2</w:t>
      </w:r>
      <w:r>
        <w:t xml:space="preserve">/Hz)) sur ces sites. Ces valeurs se réfèrent à ce qu'on appelle des canaux vocaux qui sont activés lorsque survient une </w:t>
      </w:r>
      <w:r>
        <w:br w:type="page"/>
        <w:t>communication. De plus, on a trouvé que le système HIBLEO</w:t>
      </w:r>
      <w:r>
        <w:noBreakHyphen/>
        <w:t xml:space="preserve">2 rayonne à tout moment des signaux de radiodiffusion. Le spectre des canaux de radiodiffusion montrait 9 à 10 crêtes étroites (de moins de 40 kHz de large) au sein de la bande attribuée à la radioastronomie. Les valeurs de crête de la densité spectrale de puissance surfacique spécifique apparaissaient en moyenne à </w:t>
      </w:r>
      <w:r>
        <w:rPr>
          <w:rFonts w:ascii="Symbol" w:hAnsi="Symbol"/>
        </w:rPr>
        <w:noBreakHyphen/>
      </w:r>
      <w:r>
        <w:t>227 dB (W/(m</w:t>
      </w:r>
      <w:r>
        <w:rPr>
          <w:rFonts w:ascii="Times" w:hAnsi="Times"/>
          <w:spacing w:val="-2"/>
          <w:vertAlign w:val="superscript"/>
        </w:rPr>
        <w:t>2</w:t>
      </w:r>
      <w:r>
        <w:t>/Hz)) sur 90 ms. Du fait de la discordance entre les paramètres d'émission et autres du système à satellites et les caractéristiques du récepteur et de l'antenne de radioastronomie (par exemple, les radiotélescopes ne sont pas adaptés à la poursuite des satellites; les largeurs de bande disponibles des récepteurs sont différentes de 20 kHz, etc.), il était difficile d'estimer la densité spectrale de puissance surfacique qui en résulterait dans les conditions de la Recommandation UIT</w:t>
      </w:r>
      <w:r>
        <w:noBreakHyphen/>
        <w:t xml:space="preserve">R RA.769, qui spécifie un niveau de brouillage nuisible de </w:t>
      </w:r>
      <w:r>
        <w:sym w:font="Symbol" w:char="F02D"/>
      </w:r>
      <w:r>
        <w:t>238 dB(W/(m</w:t>
      </w:r>
      <w:r>
        <w:rPr>
          <w:vertAlign w:val="superscript"/>
        </w:rPr>
        <w:t>2</w:t>
      </w:r>
      <w:r>
        <w:t>/Hz)).</w:t>
      </w:r>
    </w:p>
    <w:p w:rsidR="002B489A" w:rsidRDefault="004F19C4">
      <w:pPr>
        <w:pStyle w:val="Heading1"/>
        <w:rPr>
          <w:snapToGrid w:val="0"/>
        </w:rPr>
      </w:pPr>
      <w:r>
        <w:rPr>
          <w:snapToGrid w:val="0"/>
        </w:rPr>
        <w:t>5</w:t>
      </w:r>
      <w:r>
        <w:rPr>
          <w:snapToGrid w:val="0"/>
        </w:rPr>
        <w:tab/>
        <w:t>Techniques de réduction des brouillages</w:t>
      </w:r>
    </w:p>
    <w:p w:rsidR="002B489A" w:rsidRDefault="004F19C4">
      <w:pPr>
        <w:pStyle w:val="Heading2"/>
        <w:rPr>
          <w:snapToGrid w:val="0"/>
        </w:rPr>
      </w:pPr>
      <w:r>
        <w:rPr>
          <w:snapToGrid w:val="0"/>
        </w:rPr>
        <w:t>5.1</w:t>
      </w:r>
      <w:r>
        <w:rPr>
          <w:snapToGrid w:val="0"/>
        </w:rPr>
        <w:tab/>
        <w:t>SRA</w:t>
      </w:r>
    </w:p>
    <w:p w:rsidR="002B489A" w:rsidRDefault="004F19C4">
      <w:pPr>
        <w:spacing w:after="120"/>
      </w:pPr>
      <w:r>
        <w:t>Différentes méthodes peuvent être utilisées pour réduire les rayonnements non désirés provenant des émetteurs des satellites sur un radiotélescope. Lorsque ces méthodes sont insuffisantes, d'autres solutions peuvent être envisagées, comme un accord entre l'exploitant du système à satellites et les observatoires de radioastronomie.</w:t>
      </w:r>
    </w:p>
    <w:p w:rsidR="002B489A" w:rsidRDefault="004F19C4">
      <w:r>
        <w:t>Il n'y a pas dans le RR de dispositions spécifiques pour de tels accords de coordination entre le SRA et les services actifs. Cependant, des dispositions générales pour la coordination et la consultation se trouvent à l'Article 9 du RR.</w:t>
      </w:r>
    </w:p>
    <w:p w:rsidR="002B489A" w:rsidRDefault="004F19C4">
      <w:r>
        <w:t>Les accords de coordination ne peuvent être conclus qu'avec l'assentiment mutuel explicite des deux parties en cause, c'est-à-dire en principe, l'exploitant de satellite et l'observatoire de radioastronomie affecté. Pour les liaisons descendantes des satellites, la coordination au niveau national entre un exploitant de système à satellites et les sites de radioastronomie n'est praticable que lorsque l'empreinte d'émission du satellite est plus petite que les dimensions géographiques du pays où la coordination est recherchée et que la visibilité de la station spatiale émettrice par une station de radioastronomie ne s'étend pas au-delà des frontières de ce pays. Il est nécessaire de trouver des solutions internationales lorsque la densité géographique locale des stations de radioastronomie fonctionnant à 1,6 GHz est telle qu'à un moment donné, des stations de radioastronomie dans plus d'un pays se trouvent dans l'empreinte ou la visibilité d'un même satellite.</w:t>
      </w:r>
    </w:p>
    <w:p w:rsidR="002B489A" w:rsidRDefault="004F19C4">
      <w:r>
        <w:t>En général, les conditions de tels arrangements ne sont pas immuables dans le temps et doivent être révisées en tant que de besoin, ce qui nécessite de définir des étapes. En cas de désaccord, on doit définir a priori, dans le texte de l'accord, des règles d'arbitrage par accord mutuel.</w:t>
      </w:r>
    </w:p>
    <w:p w:rsidR="002B489A" w:rsidRDefault="004F19C4">
      <w:pPr>
        <w:spacing w:after="120"/>
      </w:pPr>
      <w:r>
        <w:t>Plusieurs accords ont été obtenus entre les exploitants du système HIBLEO-2 et diverses parties de la communauté de la radioastronomie. L'élément commun de ces accords est que les rayonnements agrégés du système HIBLEO-2 satisferont aux niveaux de seuil donnés dans la Recommandation UIT-R RA.769 pour les observations à antenne unique dans la bande 1</w:t>
      </w:r>
      <w:r>
        <w:rPr>
          <w:rFonts w:ascii="Tms Rmn" w:hAnsi="Tms Rmn"/>
          <w:sz w:val="12"/>
        </w:rPr>
        <w:t> </w:t>
      </w:r>
      <w:r>
        <w:t>610,6</w:t>
      </w:r>
      <w:r>
        <w:noBreakHyphen/>
        <w:t>1</w:t>
      </w:r>
      <w:r>
        <w:rPr>
          <w:rFonts w:ascii="Tms Rmn" w:hAnsi="Tms Rmn"/>
          <w:sz w:val="12"/>
        </w:rPr>
        <w:t> </w:t>
      </w:r>
      <w:r>
        <w:t>613,8 MHz faites aux observatoires concernés pour une durée quotidienne variant de 4 à 8 h. Certains sites de radioastronomie ont été d'accord pour notifier à l'avance leurs intentions de faire des observations dans cette bande.</w:t>
      </w:r>
    </w:p>
    <w:p w:rsidR="002B489A" w:rsidRDefault="004F19C4">
      <w:pPr>
        <w:pStyle w:val="Heading2"/>
      </w:pPr>
      <w:r>
        <w:t>5.2</w:t>
      </w:r>
      <w:r>
        <w:tab/>
        <w:t>SMS</w:t>
      </w:r>
    </w:p>
    <w:p w:rsidR="002B489A" w:rsidRDefault="004F19C4">
      <w:r>
        <w:t>Diverses méthodes comme le filtrage peuvent être employées pour réduire les rayonnements non désirés. Elles devraient être prises en considération dès la conception de la nouvelle station spatiale.</w:t>
      </w:r>
    </w:p>
    <w:p w:rsidR="002B489A" w:rsidRDefault="004F19C4">
      <w:r>
        <w:br w:type="page"/>
        <w:t>Lorsque de telles méthodes sont insuffisantes, d'autres solutions, comme un accord entre l'exploitant d'un système à satellites et les observatoires de radioastronomie, peuvent être envisagées (voir le § 5.1).</w:t>
      </w:r>
    </w:p>
    <w:p w:rsidR="002B489A" w:rsidRDefault="004F19C4">
      <w:pPr>
        <w:pStyle w:val="Heading2"/>
        <w:rPr>
          <w:snapToGrid w:val="0"/>
        </w:rPr>
      </w:pPr>
      <w:r>
        <w:rPr>
          <w:snapToGrid w:val="0"/>
        </w:rPr>
        <w:t>5.3</w:t>
      </w:r>
      <w:r>
        <w:rPr>
          <w:snapToGrid w:val="0"/>
        </w:rPr>
        <w:tab/>
        <w:t>Impact potentiel</w:t>
      </w:r>
    </w:p>
    <w:p w:rsidR="002B489A" w:rsidRDefault="004F19C4">
      <w:pPr>
        <w:pStyle w:val="Heading3"/>
        <w:rPr>
          <w:snapToGrid w:val="0"/>
        </w:rPr>
      </w:pPr>
      <w:r>
        <w:rPr>
          <w:snapToGrid w:val="0"/>
        </w:rPr>
        <w:t>5.3.1</w:t>
      </w:r>
      <w:r>
        <w:rPr>
          <w:snapToGrid w:val="0"/>
        </w:rPr>
        <w:tab/>
        <w:t>SRA</w:t>
      </w:r>
    </w:p>
    <w:p w:rsidR="002B489A" w:rsidRDefault="004F19C4">
      <w:r>
        <w:t>Les accords de coordination entre l'exploitant d'un système à satellites et les observatoires de radioastronomie, à condition qu'ils soient réalisables, peuvent avoir un impact négatif sur la planification des observations, sur la souplesse d'adaptation de l'observatoire aux besoins de la communauté des utilisateurs, et accroître la charge administrative. L'impact net d'un accord de coordination sur la capacité de fonctionnement d'un observatoire ne devrait pas le rendre incapable de satisfaire aux normes de productivité courantes.</w:t>
      </w:r>
    </w:p>
    <w:p w:rsidR="002B489A" w:rsidRDefault="004F19C4">
      <w:pPr>
        <w:pStyle w:val="Heading3"/>
        <w:rPr>
          <w:snapToGrid w:val="0"/>
        </w:rPr>
      </w:pPr>
      <w:r>
        <w:rPr>
          <w:snapToGrid w:val="0"/>
        </w:rPr>
        <w:t>5.3.2</w:t>
      </w:r>
      <w:r>
        <w:rPr>
          <w:snapToGrid w:val="0"/>
        </w:rPr>
        <w:tab/>
      </w:r>
      <w:r>
        <w:rPr>
          <w:rFonts w:ascii="Times New Roman Bold" w:hAnsi="Times New Roman Bold"/>
        </w:rPr>
        <w:t>SMS</w:t>
      </w:r>
    </w:p>
    <w:p w:rsidR="002B489A" w:rsidRDefault="004F19C4">
      <w:pPr>
        <w:spacing w:before="60"/>
      </w:pPr>
      <w:r>
        <w:t>Les solutions de matériel comme les filtres peuvent être difficiles à mettre en œuvre. Dans les antennes actives, multi-éléments, les filtres peuvent être nécessaires pour chaque élément d'antenne. Cela va accroître le poids du satellite. Les pertes dues aux filtres vont exiger des émetteurs plus puissants, qui a leur tour vont demander plus de puissance de transmission, et donc de plus gros dispositifs solaires. Cela va encore augmenter le poids. De plus, un satellite plus gros et plus lourd peut exiger un plus gros lanceur. L'impact financier peut être considérable. Les perfectionnements techniques de la conception des filtres peuvent atténuer ce problème. La mise en œuvre de filtres dans le système peut être plus facile à gérer si elle est prise en considération au stade de la conception du système.</w:t>
      </w:r>
    </w:p>
    <w:p w:rsidR="002B489A" w:rsidRDefault="004F19C4">
      <w:pPr>
        <w:spacing w:before="60"/>
      </w:pPr>
      <w:r>
        <w:t>On doit noter cependant que, conformément à l'accord de coordination signé entre l'exploitant du système à satellites HIBLEO-2 et la communauté européenne de radioastronomie, le niveau agrégé de puissance surfacique du système HIBLEO-2 ne dépassera pas les niveaux spécifiés dans la Recommandation UIT-R RA.769 pour les stations de radioastronomie situées en Europe à partir du 1er janvier 2006. Ceci indique que la mise en œuvre de techniques de réduction des brouillages adéquates est attendue avant cette date.</w:t>
      </w:r>
    </w:p>
    <w:p w:rsidR="002B489A" w:rsidRDefault="004F19C4">
      <w:pPr>
        <w:spacing w:before="60"/>
      </w:pPr>
      <w:r>
        <w:t>Cependant, si le réapprovisionnement en satellites se fait après le 1</w:t>
      </w:r>
      <w:r>
        <w:rPr>
          <w:vertAlign w:val="superscript"/>
        </w:rPr>
        <w:t>er</w:t>
      </w:r>
      <w:r>
        <w:t xml:space="preserve"> janvier 2006, il sera difficile d'utiliser un filtrage amélioré sur les satellites toujours en orbite ayant un filtrage inadéquat, et la mise en œuvre d'autres techniques de réduction des brouillages pourrait avoir un impact économique négatif.</w:t>
      </w:r>
    </w:p>
    <w:p w:rsidR="002B489A" w:rsidRDefault="004F19C4">
      <w:pPr>
        <w:pStyle w:val="Heading1"/>
      </w:pPr>
      <w:r>
        <w:t>6</w:t>
      </w:r>
      <w:r>
        <w:tab/>
        <w:t>Résultats des études</w:t>
      </w:r>
    </w:p>
    <w:p w:rsidR="002B489A" w:rsidRDefault="004F19C4">
      <w:pPr>
        <w:pStyle w:val="Heading2"/>
        <w:rPr>
          <w:snapToGrid w:val="0"/>
        </w:rPr>
      </w:pPr>
      <w:r>
        <w:rPr>
          <w:snapToGrid w:val="0"/>
        </w:rPr>
        <w:t>6.1</w:t>
      </w:r>
      <w:r>
        <w:rPr>
          <w:snapToGrid w:val="0"/>
        </w:rPr>
        <w:tab/>
        <w:t>Résumé</w:t>
      </w:r>
    </w:p>
    <w:p w:rsidR="002B489A" w:rsidRDefault="004F19C4">
      <w:pPr>
        <w:spacing w:before="60"/>
      </w:pPr>
      <w:r>
        <w:t>Les questions de réduction des brouillages ont été traitées par la conclusion d'accords entre les exploitants du système HIBLEO-2 et divers exploitants de services de radioastronomie. En utilisant de telles techniques de réduction des brouillages, il devrait être possible de satisfaire aux critères de protection pour les observations de raies spectrales, comme décrit au § 1.3, et pour les observations VLBI. Aucune observation à antenne unique du continuum n'est faite dans cette bande.</w:t>
      </w:r>
    </w:p>
    <w:p w:rsidR="002B489A" w:rsidRDefault="004F19C4">
      <w:pPr>
        <w:pStyle w:val="Heading2"/>
      </w:pPr>
      <w:r>
        <w:t>6.2</w:t>
      </w:r>
      <w:r>
        <w:tab/>
        <w:t>Conclusions</w:t>
      </w:r>
    </w:p>
    <w:p w:rsidR="002B489A" w:rsidRDefault="004F19C4">
      <w:r>
        <w:t>Des techniques de réduction des brouillages devrait rendre possible des observations VLBI et de raies spectrales efficaces dans cette bande.</w:t>
      </w:r>
    </w:p>
    <w:p w:rsidR="002B489A" w:rsidRDefault="004F19C4">
      <w:pPr>
        <w:pStyle w:val="AnnexNoTitle"/>
      </w:pPr>
      <w:r>
        <w:br w:type="page"/>
        <w:t>Annexe 7</w:t>
      </w:r>
      <w:r>
        <w:br/>
      </w:r>
      <w:r>
        <w:br/>
        <w:t>Analyse de compatibilité entre les systèmes du SRA fonctionnant dans la bande 1</w:t>
      </w:r>
      <w:r>
        <w:rPr>
          <w:rFonts w:ascii="Tms Rmn" w:hAnsi="Tms Rmn"/>
          <w:sz w:val="12"/>
        </w:rPr>
        <w:t> </w:t>
      </w:r>
      <w:r>
        <w:t>610,6</w:t>
      </w:r>
      <w:r>
        <w:noBreakHyphen/>
        <w:t>1</w:t>
      </w:r>
      <w:r>
        <w:rPr>
          <w:rFonts w:ascii="Tms Rmn" w:hAnsi="Tms Rmn"/>
          <w:sz w:val="12"/>
        </w:rPr>
        <w:t> </w:t>
      </w:r>
      <w:r>
        <w:t>613,8 MHz et les systèmes du SMS OSG (espace vers Terre) fonctionnant dans la bande 1</w:t>
      </w:r>
      <w:r>
        <w:rPr>
          <w:rFonts w:ascii="Tms Rmn" w:hAnsi="Tms Rmn"/>
          <w:sz w:val="12"/>
        </w:rPr>
        <w:t> </w:t>
      </w:r>
      <w:r>
        <w:t>525</w:t>
      </w:r>
      <w:r>
        <w:noBreakHyphen/>
        <w:t>1</w:t>
      </w:r>
      <w:r>
        <w:rPr>
          <w:rFonts w:ascii="Tms Rmn" w:hAnsi="Tms Rmn"/>
          <w:sz w:val="12"/>
        </w:rPr>
        <w:t> </w:t>
      </w:r>
      <w:r>
        <w:t>559 MHz</w:t>
      </w:r>
    </w:p>
    <w:p w:rsidR="002B489A" w:rsidRDefault="004F19C4">
      <w:pPr>
        <w:pStyle w:val="Heading1"/>
        <w:spacing w:before="440"/>
        <w:rPr>
          <w:lang w:val="fr-CH"/>
        </w:rPr>
      </w:pPr>
      <w:r>
        <w:rPr>
          <w:lang w:val="fr-CH"/>
        </w:rPr>
        <w:t>1</w:t>
      </w:r>
      <w:r>
        <w:rPr>
          <w:lang w:val="fr-CH"/>
        </w:rPr>
        <w:tab/>
        <w:t>SRA</w:t>
      </w:r>
    </w:p>
    <w:p w:rsidR="002B489A" w:rsidRDefault="004F19C4">
      <w:pPr>
        <w:pStyle w:val="Heading2"/>
        <w:spacing w:before="280"/>
        <w:rPr>
          <w:lang w:val="fr-CH"/>
        </w:rPr>
      </w:pPr>
      <w:r>
        <w:rPr>
          <w:lang w:val="fr-CH"/>
        </w:rPr>
        <w:t>1.1</w:t>
      </w:r>
      <w:r>
        <w:rPr>
          <w:lang w:val="fr-CH"/>
        </w:rPr>
        <w:tab/>
        <w:t>Bande attribuée</w:t>
      </w:r>
    </w:p>
    <w:p w:rsidR="002B489A" w:rsidRDefault="004F19C4">
      <w:pPr>
        <w:spacing w:before="60"/>
        <w:rPr>
          <w:lang w:val="fr-CH"/>
        </w:rPr>
      </w:pPr>
      <w:r>
        <w:rPr>
          <w:lang w:val="fr-CH"/>
        </w:rPr>
        <w:t>La bande 1</w:t>
      </w:r>
      <w:r>
        <w:rPr>
          <w:rFonts w:ascii="Tms Rmn" w:hAnsi="Tms Rmn"/>
          <w:sz w:val="12"/>
          <w:lang w:val="fr-CH"/>
        </w:rPr>
        <w:t> </w:t>
      </w:r>
      <w:r>
        <w:rPr>
          <w:lang w:val="fr-CH"/>
        </w:rPr>
        <w:t>610,6</w:t>
      </w:r>
      <w:r>
        <w:rPr>
          <w:lang w:val="fr-CH"/>
        </w:rPr>
        <w:noBreakHyphen/>
        <w:t>1</w:t>
      </w:r>
      <w:r>
        <w:rPr>
          <w:rFonts w:ascii="Tms Rmn" w:hAnsi="Tms Rmn"/>
          <w:sz w:val="12"/>
          <w:lang w:val="fr-CH"/>
        </w:rPr>
        <w:t> </w:t>
      </w:r>
      <w:r>
        <w:rPr>
          <w:lang w:val="fr-CH"/>
        </w:rPr>
        <w:t>613,8 MHz est attribuée au SRA à titre primaire.</w:t>
      </w:r>
    </w:p>
    <w:p w:rsidR="002B489A" w:rsidRDefault="004F19C4">
      <w:pPr>
        <w:spacing w:before="60"/>
        <w:rPr>
          <w:lang w:val="fr-CH"/>
        </w:rPr>
      </w:pPr>
      <w:r>
        <w:rPr>
          <w:lang w:val="fr-CH"/>
        </w:rPr>
        <w:t>Conformément au numéro 5.149 du RR, les administrations sont instamment priées de prendre toutes les mesures pratiquement réalisables pour protéger le SRA dans cette bande.</w:t>
      </w:r>
    </w:p>
    <w:p w:rsidR="002B489A" w:rsidRDefault="004F19C4">
      <w:pPr>
        <w:pStyle w:val="Heading2"/>
        <w:rPr>
          <w:lang w:val="fr-CH"/>
        </w:rPr>
      </w:pPr>
      <w:r>
        <w:rPr>
          <w:lang w:val="fr-CH"/>
        </w:rPr>
        <w:t>1.2</w:t>
      </w:r>
      <w:r>
        <w:rPr>
          <w:lang w:val="fr-CH"/>
        </w:rPr>
        <w:tab/>
        <w:t>Type d'observations</w:t>
      </w:r>
    </w:p>
    <w:p w:rsidR="002B489A" w:rsidRDefault="004F19C4">
      <w:pPr>
        <w:spacing w:before="80"/>
        <w:rPr>
          <w:lang w:val="fr-CH"/>
        </w:rPr>
      </w:pPr>
      <w:r>
        <w:rPr>
          <w:lang w:val="fr-CH"/>
        </w:rPr>
        <w:t>La bande 1</w:t>
      </w:r>
      <w:r>
        <w:rPr>
          <w:rFonts w:ascii="Tms Rmn" w:hAnsi="Tms Rmn"/>
          <w:sz w:val="12"/>
          <w:lang w:val="fr-CH"/>
        </w:rPr>
        <w:t> </w:t>
      </w:r>
      <w:r>
        <w:rPr>
          <w:lang w:val="fr-CH"/>
        </w:rPr>
        <w:t>610,6-1</w:t>
      </w:r>
      <w:r>
        <w:rPr>
          <w:rFonts w:ascii="Tms Rmn" w:hAnsi="Tms Rmn"/>
          <w:sz w:val="12"/>
          <w:lang w:val="fr-CH"/>
        </w:rPr>
        <w:t> </w:t>
      </w:r>
      <w:r>
        <w:rPr>
          <w:lang w:val="fr-CH"/>
        </w:rPr>
        <w:t>613,8 MHz est utilisée pour les observations de raies spectrales de OH. La raie OH, qui a une fréquence de repos de 1</w:t>
      </w:r>
      <w:r>
        <w:rPr>
          <w:rFonts w:ascii="Tms Rmn" w:hAnsi="Tms Rmn"/>
          <w:sz w:val="12"/>
          <w:lang w:val="fr-CH"/>
        </w:rPr>
        <w:t> </w:t>
      </w:r>
      <w:r>
        <w:rPr>
          <w:lang w:val="fr-CH"/>
        </w:rPr>
        <w:t>612 MHz, est une des plus importantes raies spectrales pour la radioastronomie, et figure comme telle dans la Recommandation UIT-R RA.314. OH a été le premier radical cosmique à être détecté à des fréquences radioélectriques (1963), et continue d'être un puissant outil de recherche. OH produit quatre raies spectrales, à des fréquences d'approximativement 1</w:t>
      </w:r>
      <w:r>
        <w:rPr>
          <w:rFonts w:ascii="Tms Rmn" w:hAnsi="Tms Rmn"/>
          <w:sz w:val="12"/>
          <w:lang w:val="fr-CH"/>
        </w:rPr>
        <w:t> </w:t>
      </w:r>
      <w:r>
        <w:rPr>
          <w:lang w:val="fr-CH"/>
        </w:rPr>
        <w:t>612, 1</w:t>
      </w:r>
      <w:r>
        <w:rPr>
          <w:rFonts w:ascii="Tms Rmn" w:hAnsi="Tms Rmn"/>
          <w:sz w:val="12"/>
          <w:lang w:val="fr-CH"/>
        </w:rPr>
        <w:t> </w:t>
      </w:r>
      <w:r>
        <w:rPr>
          <w:lang w:val="fr-CH"/>
        </w:rPr>
        <w:t>665, 1</w:t>
      </w:r>
      <w:r>
        <w:rPr>
          <w:rFonts w:ascii="Tms Rmn" w:hAnsi="Tms Rmn"/>
          <w:sz w:val="12"/>
          <w:lang w:val="fr-CH"/>
        </w:rPr>
        <w:t> </w:t>
      </w:r>
      <w:r>
        <w:rPr>
          <w:lang w:val="fr-CH"/>
        </w:rPr>
        <w:t>667 et 1</w:t>
      </w:r>
      <w:r>
        <w:rPr>
          <w:rFonts w:ascii="Tms Rmn" w:hAnsi="Tms Rmn"/>
          <w:sz w:val="12"/>
          <w:lang w:val="fr-CH"/>
        </w:rPr>
        <w:t> </w:t>
      </w:r>
      <w:r>
        <w:rPr>
          <w:lang w:val="fr-CH"/>
        </w:rPr>
        <w:t>720 MHz, qui ont toutes été observées dans notre propre galaxie, aussi bien que dans d'autres galaxies externes. L'étude des raies OH fournit des informations sur une large gamme de phénomènes astronomiques, par exemple, sur la formation de protoétoiles et sur l'évolution des étoiles. Pour interpréter la plupart des observations faites sur les raies OH, il est nécessaire de mesurer la puissance relative de plusieurs de ces raies. La perte de capacité d'observation de l'une ou l'autre de ces raies peut empêcher l'étude de certaines classes de phénomènes physiques.</w:t>
      </w:r>
    </w:p>
    <w:p w:rsidR="002B489A" w:rsidRDefault="004F19C4">
      <w:pPr>
        <w:spacing w:before="80"/>
        <w:rPr>
          <w:lang w:val="fr-CH"/>
        </w:rPr>
      </w:pPr>
      <w:r>
        <w:rPr>
          <w:lang w:val="fr-CH"/>
        </w:rPr>
        <w:t>Ces raies OH sont produites par un processus cohérent, dans lequel une concentration de radicaux OH rayonne «au pas», créant un rayonnement de bande étroite. Il est légèrement élargi à cause des conditions physiques de cette concentration. Les mouvements de ces concentrations par rapport à la Terre déterminent un effet Doppler sur l'émission de la raie. La présence de plusieurs concentrations dans la source, qui se déplacent à des vitesses différentes, fait apparaître un spectre plus compliqué, consistant en un certain nombre de profils de raies gaussiens surimposés de différentes largeurs et amplitudes, et de fréquences légèrement différentes (à cause d'effets Doppler différents). La largeur de l'attribution de bande est nécessaire pour traiter l'étalement et le glissement du spectre par des mouvements différentiels et totaux de la source.</w:t>
      </w:r>
    </w:p>
    <w:p w:rsidR="002B489A" w:rsidRDefault="004F19C4">
      <w:pPr>
        <w:spacing w:before="80"/>
        <w:rPr>
          <w:lang w:val="fr-CH"/>
        </w:rPr>
      </w:pPr>
      <w:r>
        <w:rPr>
          <w:lang w:val="fr-CH"/>
        </w:rPr>
        <w:t>A certaines étapes de leur évolution, certaines classes d'étoiles ne rayonnent que sur la raie à 1</w:t>
      </w:r>
      <w:r>
        <w:rPr>
          <w:rFonts w:ascii="Tms Rmn" w:hAnsi="Tms Rmn"/>
          <w:sz w:val="12"/>
          <w:lang w:val="fr-CH"/>
        </w:rPr>
        <w:t> </w:t>
      </w:r>
      <w:r>
        <w:rPr>
          <w:lang w:val="fr-CH"/>
        </w:rPr>
        <w:t xml:space="preserve">612 MHz. L'étude de cette raie permet aux astronomes d'évaluer les propriétés physiques de ces étoiles comme le taux d'émission de gaz par les étoiles et son recyclage dans le milieu interstellaire. Certaines propriétés de ces </w:t>
      </w:r>
      <w:r>
        <w:t xml:space="preserve">étoiles ne peuvent </w:t>
      </w:r>
      <w:r>
        <w:rPr>
          <w:lang w:val="fr-CH"/>
        </w:rPr>
        <w:t>pas être déduites d'autres observations astronomiques. Les mesures d'émission d'OH par les étoiles ont aussi été utilisées pour estimer la distance au centre de la galaxie, pour mesurer la masse du corps central de notre galaxie, et pour étudier la distribution spatiale des composants moléculaires dans notre galaxie et dans les galaxies externes. Finalement, des émissions maser extrêmement fortes ont été détectées près du noyau d'un certain nombre de galaxies externes. Cette émission mégamaser d'OH provenant de noyaux galactiques permet aux astronomes d'étudier la température et la densité du gaz moléculaire en leur centre.</w:t>
      </w:r>
    </w:p>
    <w:p w:rsidR="002B489A" w:rsidRDefault="004F19C4">
      <w:pPr>
        <w:spacing w:before="80"/>
        <w:rPr>
          <w:lang w:val="fr-CH"/>
        </w:rPr>
      </w:pPr>
      <w:r>
        <w:rPr>
          <w:lang w:val="fr-CH"/>
        </w:rPr>
        <w:br w:type="page"/>
        <w:t>La raie spectrale OH est aussi observée dans les comètes; il y a peu de souplesse dans la planification des observations de ces «cibles occasionnelles».</w:t>
      </w:r>
    </w:p>
    <w:p w:rsidR="002B489A" w:rsidRDefault="004F19C4">
      <w:pPr>
        <w:spacing w:before="80"/>
        <w:rPr>
          <w:lang w:val="fr-CH"/>
        </w:rPr>
      </w:pPr>
      <w:r>
        <w:rPr>
          <w:lang w:val="fr-CH"/>
        </w:rPr>
        <w:t>Les observations de raies spectrales sont faites à l'aide de spectromètres qui peuvent intégrer simultanément la puissance dans un grand nombre de canaux de fréquence (typiquement 256 à 4</w:t>
      </w:r>
      <w:r>
        <w:rPr>
          <w:rFonts w:ascii="Tms Rmn" w:hAnsi="Tms Rmn"/>
          <w:sz w:val="12"/>
          <w:lang w:val="fr-CH"/>
        </w:rPr>
        <w:t> </w:t>
      </w:r>
      <w:r>
        <w:rPr>
          <w:lang w:val="fr-CH"/>
        </w:rPr>
        <w:t>096) distribués sur la bande de fréquences utilisée. La largeur et le nombre de canaux doivent être suffisamment grands pour reproduire de façon fidèle le spectre de l'émission reçue par le radiotélescope. On utilise typiquement des largeurs de bande instantanées d'environ 0,2 à 20 kHz par canal de fréquence, selon le programme scientifique.</w:t>
      </w:r>
    </w:p>
    <w:p w:rsidR="002B489A" w:rsidRDefault="004F19C4">
      <w:pPr>
        <w:spacing w:before="80"/>
        <w:rPr>
          <w:lang w:val="fr-CH"/>
        </w:rPr>
      </w:pPr>
      <w:r>
        <w:rPr>
          <w:lang w:val="fr-CH"/>
        </w:rPr>
        <w:t>Les sources sont petites, et les mesures de leurs tailles et structures nécessitent souvent des observations utilisant la technique VLBI.</w:t>
      </w:r>
    </w:p>
    <w:p w:rsidR="002B489A" w:rsidRDefault="004F19C4">
      <w:pPr>
        <w:pStyle w:val="Heading2"/>
        <w:rPr>
          <w:lang w:val="fr-CH"/>
        </w:rPr>
      </w:pPr>
      <w:r>
        <w:rPr>
          <w:lang w:val="fr-CH"/>
        </w:rPr>
        <w:t>1.3</w:t>
      </w:r>
      <w:r>
        <w:rPr>
          <w:lang w:val="fr-CH"/>
        </w:rPr>
        <w:tab/>
        <w:t>Critères de protection requis</w:t>
      </w:r>
    </w:p>
    <w:p w:rsidR="002B489A" w:rsidRDefault="004F19C4">
      <w:pPr>
        <w:spacing w:before="80"/>
        <w:rPr>
          <w:lang w:val="fr-CH"/>
        </w:rPr>
      </w:pPr>
      <w:r>
        <w:rPr>
          <w:lang w:val="fr-CH"/>
        </w:rPr>
        <w:t>La Recommandation UIT-R RA.769 spécifie les critères de protection pour les observations de radioastronomie et donne les niveaux de seuil de brouillage nuisible pour les bandes primaires de radioastronomie. Pour les observations de raies spectrales à une seule antenne faites en utilisant une largeur de bande de canal (un des canaux du spectromètre) de 20 kHz, la limite du seuil de puissance surfacique est de –194 dB(W/m</w:t>
      </w:r>
      <w:r>
        <w:rPr>
          <w:vertAlign w:val="superscript"/>
        </w:rPr>
        <w:t>2</w:t>
      </w:r>
      <w:r>
        <w:rPr>
          <w:rFonts w:ascii="Times" w:hAnsi="Times"/>
          <w:spacing w:val="-2"/>
          <w:lang w:val="fr-CH"/>
        </w:rPr>
        <w:t>)</w:t>
      </w:r>
      <w:r>
        <w:rPr>
          <w:lang w:val="fr-CH"/>
        </w:rPr>
        <w:t>.</w:t>
      </w:r>
    </w:p>
    <w:p w:rsidR="002B489A" w:rsidRDefault="004F19C4">
      <w:pPr>
        <w:rPr>
          <w:lang w:val="fr-CH"/>
        </w:rPr>
      </w:pPr>
      <w:r>
        <w:rPr>
          <w:lang w:val="fr-CH"/>
        </w:rPr>
        <w:t>Cette bande n'est utilisée que pour les observations de raies radioélectriques et ne l'est pas pour les observations du continuum.</w:t>
      </w:r>
    </w:p>
    <w:p w:rsidR="002B489A" w:rsidRDefault="004F19C4">
      <w:pPr>
        <w:rPr>
          <w:lang w:val="fr-CH"/>
        </w:rPr>
      </w:pPr>
      <w:r>
        <w:rPr>
          <w:lang w:val="fr-CH"/>
        </w:rPr>
        <w:t>Les seuils de brouillage nuisible pour le SRA, définis et calculés dans la Recommandation UIT</w:t>
      </w:r>
      <w:r>
        <w:rPr>
          <w:lang w:val="fr-CH"/>
        </w:rPr>
        <w:noBreakHyphen/>
        <w:t>R RA.769, sont des critères de protection au-dessus desquels les données radioastronomiques sont dégradées et peuvent même être détruites. En principe, dans des circonstances idéales, si ces niveaux ne sont que très légèrement dépassés, il est possible d'effectuer une compensation à l'observatoire de radioastronomie en accroissant le temps d'observation. Ce faisant, la capacité de canal du télescope est réduite, avec une réduction correspondante du résultat scientifique. Si le niveau de brouillage, dans les hypothèses de la Recommandation UIT-R RA.769 (par exemple, les performances d'antenne, etc.), passe à 10 dB ou plus au-dessus de la définition de la Recommandation UIT-R RA.769, l'augmentation du temps d'observation ne garantira plus la fourniture de données scientifiques valables aux savants. La station radioastronomique sera incapable de fonctionner dans la bande de fréquences affectée et sa capacité à fournir un service sera perdue si on ne peut pas appliquer de techniques de réduction des brouillages appropriées.</w:t>
      </w:r>
    </w:p>
    <w:p w:rsidR="002B489A" w:rsidRDefault="004F19C4">
      <w:pPr>
        <w:pStyle w:val="Heading2"/>
        <w:rPr>
          <w:lang w:val="fr-CH"/>
        </w:rPr>
      </w:pPr>
      <w:r>
        <w:rPr>
          <w:lang w:val="fr-CH"/>
        </w:rPr>
        <w:t>1.4</w:t>
      </w:r>
      <w:r>
        <w:rPr>
          <w:lang w:val="fr-CH"/>
        </w:rPr>
        <w:tab/>
        <w:t>Caractéristiques de fonctionnement</w:t>
      </w:r>
    </w:p>
    <w:p w:rsidR="002B489A" w:rsidRDefault="004F19C4">
      <w:pPr>
        <w:rPr>
          <w:lang w:val="fr-CH"/>
        </w:rPr>
      </w:pPr>
      <w:r>
        <w:rPr>
          <w:lang w:val="fr-CH"/>
        </w:rPr>
        <w:t>Les observations dans la bande des 1</w:t>
      </w:r>
      <w:r>
        <w:rPr>
          <w:rFonts w:ascii="Tms Rmn" w:hAnsi="Tms Rmn"/>
          <w:sz w:val="12"/>
          <w:lang w:val="fr-CH"/>
        </w:rPr>
        <w:t> </w:t>
      </w:r>
      <w:r>
        <w:rPr>
          <w:lang w:val="fr-CH"/>
        </w:rPr>
        <w:t>612 MHz sont effectuées dans un certain nombre de sites astronomiques de nombreux pays, dans le monde entier. Les observations dans la bande des 1</w:t>
      </w:r>
      <w:r>
        <w:rPr>
          <w:rFonts w:ascii="Tms Rmn" w:hAnsi="Tms Rmn"/>
          <w:sz w:val="12"/>
          <w:lang w:val="fr-CH"/>
        </w:rPr>
        <w:t> </w:t>
      </w:r>
      <w:r>
        <w:rPr>
          <w:lang w:val="fr-CH"/>
        </w:rPr>
        <w:t>612 MHz sont parfois effectuées sur des cibles occasionnelles, par exemple, sur des objets comme les comètes, dont il a été observé qu'elles produisent des rayonnements non essentiels dans cette raie. Les observations VLBI sont aussi fréquemment effectuées dans cette bande, parfois entre les réseaux VLBI nord américain et européen.</w:t>
      </w:r>
    </w:p>
    <w:p w:rsidR="002B489A" w:rsidRDefault="004F19C4">
      <w:pPr>
        <w:rPr>
          <w:lang w:val="fr-CH"/>
        </w:rPr>
      </w:pPr>
      <w:r>
        <w:rPr>
          <w:lang w:val="fr-CH"/>
        </w:rPr>
        <w:t xml:space="preserve">Les observations VLBI, où les signaux d'antennes largement séparées sont enregistrés et corrélés après les observations, sont beaucoup moins vulnérables aux brouillages. Ceci se reflète dans le niveau de seuil de puissance surfacique pour les observations VLBI dans cette bande, </w:t>
      </w:r>
      <w:r>
        <w:rPr>
          <w:rFonts w:ascii="Symbol" w:hAnsi="Symbol"/>
          <w:lang w:val="fr-CH"/>
        </w:rPr>
        <w:noBreakHyphen/>
      </w:r>
      <w:r>
        <w:t>166</w:t>
      </w:r>
      <w:r>
        <w:rPr>
          <w:rFonts w:hint="eastAsia"/>
        </w:rPr>
        <w:t> dB(W/</w:t>
      </w:r>
      <w:r>
        <w:rPr>
          <w:vertAlign w:val="superscript"/>
        </w:rPr>
        <w:t>2</w:t>
      </w:r>
      <w:r>
        <w:t>)</w:t>
      </w:r>
      <w:r>
        <w:rPr>
          <w:lang w:val="fr-CH"/>
        </w:rPr>
        <w:t xml:space="preserve"> </w:t>
      </w:r>
      <w:r>
        <w:rPr>
          <w:rFonts w:ascii="Times" w:hAnsi="Times"/>
          <w:spacing w:val="-2"/>
          <w:lang w:val="fr-CH"/>
        </w:rPr>
        <w:t>pour une largeur de bande de 20 kHz, qui a été prévu pour les observations VLBI, mais n'est pas inclus dans la Recomm</w:t>
      </w:r>
      <w:r>
        <w:rPr>
          <w:lang w:val="fr-CH"/>
        </w:rPr>
        <w:t>andation UIT-R RA.769.</w:t>
      </w:r>
    </w:p>
    <w:p w:rsidR="002B489A" w:rsidRDefault="004F19C4">
      <w:pPr>
        <w:rPr>
          <w:lang w:val="fr-CH"/>
        </w:rPr>
      </w:pPr>
      <w:r>
        <w:rPr>
          <w:lang w:val="fr-CH"/>
        </w:rPr>
        <w:br w:type="page"/>
        <w:t>Les observations de raies spectrales sont faites à l'aide de spectromètres multicanaux qui peuvent intégrer simultanément la puissance dans de nombreux (typiquement 256 à 4</w:t>
      </w:r>
      <w:r>
        <w:rPr>
          <w:rFonts w:ascii="Tms Rmn" w:hAnsi="Tms Rmn"/>
          <w:sz w:val="12"/>
          <w:lang w:val="fr-CH"/>
        </w:rPr>
        <w:t> </w:t>
      </w:r>
      <w:r>
        <w:rPr>
          <w:lang w:val="fr-CH"/>
        </w:rPr>
        <w:t>096) canaux de fréquences distribués à travers la bande. Le nombre de canaux et leur largeur de bande individuelle sont choisis pour échantillonner de façon adéquate le spectre de leur rayonnement net à partir de la ou des sources dans le faisceau de l'antenne.</w:t>
      </w:r>
    </w:p>
    <w:p w:rsidR="002B489A" w:rsidRDefault="004F19C4">
      <w:pPr>
        <w:rPr>
          <w:lang w:val="fr-CH"/>
        </w:rPr>
      </w:pPr>
      <w:r>
        <w:rPr>
          <w:lang w:val="fr-CH"/>
        </w:rPr>
        <w:t>En général, les observations sont faites de façon différentielle; les spectres sont enregistrés en gammes de fréquences incluant les émissions des raies intéressantes (les raies spectrales), et ensuite à une fréquence qui est un décalage à partir des émissions de la raie, ou à la même fréquence mais à une position voisine dans le ciel (les spectres de référence). En soustrayant les spectres de référence des spectres de raies, les contributions au bruit non désiré et les autres produits contaminateurs peuvent être retirés des données.</w:t>
      </w:r>
    </w:p>
    <w:p w:rsidR="002B489A" w:rsidRDefault="004F19C4">
      <w:pPr>
        <w:rPr>
          <w:lang w:val="fr-CH"/>
        </w:rPr>
      </w:pPr>
      <w:r>
        <w:rPr>
          <w:lang w:val="fr-CH"/>
        </w:rPr>
        <w:t xml:space="preserve">Les </w:t>
      </w:r>
      <w:r>
        <w:rPr>
          <w:spacing w:val="-2"/>
          <w:lang w:val="fr-CH"/>
        </w:rPr>
        <w:t>observations</w:t>
      </w:r>
      <w:r>
        <w:rPr>
          <w:lang w:val="fr-CH"/>
        </w:rPr>
        <w:t xml:space="preserve"> VLBI sont faites en ramenant les signaux à la bande de base, en les numérisant sans rectification, et en les enregistrant sur bande magnétique ou autre moyen de stockage, avec un marquage temporel précis. Les données sont alors portées à un centre de traitement de données VLBI où les signaux sont synchronisés et corrélés. Par conséquent, le plein impact des brouillages peut n'être connu que lorsque la période d'observation est terminée et que les données ont été traitées.</w:t>
      </w:r>
    </w:p>
    <w:p w:rsidR="002B489A" w:rsidRDefault="004F19C4">
      <w:pPr>
        <w:pStyle w:val="Heading1"/>
        <w:rPr>
          <w:lang w:val="fr-CH"/>
        </w:rPr>
      </w:pPr>
      <w:r>
        <w:rPr>
          <w:lang w:val="fr-CH"/>
        </w:rPr>
        <w:t>2</w:t>
      </w:r>
      <w:r>
        <w:rPr>
          <w:lang w:val="fr-CH"/>
        </w:rPr>
        <w:tab/>
        <w:t>SMS</w:t>
      </w:r>
    </w:p>
    <w:p w:rsidR="002B489A" w:rsidRDefault="004F19C4">
      <w:pPr>
        <w:pStyle w:val="Heading2"/>
        <w:rPr>
          <w:lang w:val="fr-CH"/>
        </w:rPr>
      </w:pPr>
      <w:r>
        <w:rPr>
          <w:lang w:val="fr-CH"/>
        </w:rPr>
        <w:t>2.1</w:t>
      </w:r>
      <w:r>
        <w:rPr>
          <w:lang w:val="fr-CH"/>
        </w:rPr>
        <w:tab/>
        <w:t>Bande d'émission attribuée</w:t>
      </w:r>
    </w:p>
    <w:p w:rsidR="002B489A" w:rsidRDefault="004F19C4">
      <w:pPr>
        <w:rPr>
          <w:lang w:val="fr-CH"/>
        </w:rPr>
      </w:pPr>
      <w:r>
        <w:rPr>
          <w:lang w:val="fr-CH"/>
        </w:rPr>
        <w:t>1</w:t>
      </w:r>
      <w:r>
        <w:rPr>
          <w:rFonts w:ascii="Tms Rmn" w:hAnsi="Tms Rmn"/>
          <w:sz w:val="12"/>
          <w:lang w:val="fr-CH"/>
        </w:rPr>
        <w:t> </w:t>
      </w:r>
      <w:r>
        <w:rPr>
          <w:lang w:val="fr-CH"/>
        </w:rPr>
        <w:t>525</w:t>
      </w:r>
      <w:r>
        <w:rPr>
          <w:lang w:val="fr-CH"/>
        </w:rPr>
        <w:noBreakHyphen/>
        <w:t>1</w:t>
      </w:r>
      <w:r>
        <w:rPr>
          <w:rFonts w:ascii="Tms Rmn" w:hAnsi="Tms Rmn"/>
          <w:sz w:val="12"/>
          <w:lang w:val="fr-CH"/>
        </w:rPr>
        <w:t> </w:t>
      </w:r>
      <w:r>
        <w:rPr>
          <w:lang w:val="fr-CH"/>
        </w:rPr>
        <w:t>559 MHz (espace vers Terre).</w:t>
      </w:r>
    </w:p>
    <w:p w:rsidR="002B489A" w:rsidRDefault="004F19C4">
      <w:pPr>
        <w:pStyle w:val="Heading2"/>
        <w:rPr>
          <w:lang w:val="fr-CH"/>
        </w:rPr>
      </w:pPr>
      <w:r>
        <w:rPr>
          <w:lang w:val="fr-CH"/>
        </w:rPr>
        <w:t>2.2</w:t>
      </w:r>
      <w:r>
        <w:rPr>
          <w:lang w:val="fr-CH"/>
        </w:rPr>
        <w:tab/>
        <w:t>Application</w:t>
      </w:r>
    </w:p>
    <w:p w:rsidR="002B489A" w:rsidRDefault="004F19C4">
      <w:pPr>
        <w:rPr>
          <w:lang w:val="fr-CH"/>
        </w:rPr>
      </w:pPr>
      <w:r>
        <w:rPr>
          <w:lang w:val="fr-CH"/>
        </w:rPr>
        <w:t>SMS.</w:t>
      </w:r>
    </w:p>
    <w:p w:rsidR="002B489A" w:rsidRDefault="004F19C4">
      <w:pPr>
        <w:pStyle w:val="Heading2"/>
        <w:rPr>
          <w:lang w:val="fr-CH"/>
        </w:rPr>
      </w:pPr>
      <w:r>
        <w:rPr>
          <w:lang w:val="fr-CH"/>
        </w:rPr>
        <w:t>2.3</w:t>
      </w:r>
      <w:r>
        <w:rPr>
          <w:lang w:val="fr-CH"/>
        </w:rPr>
        <w:tab/>
        <w:t>Niveaux fondés sur des dispositions réglementaires</w:t>
      </w:r>
    </w:p>
    <w:p w:rsidR="002B489A" w:rsidRDefault="004F19C4">
      <w:pPr>
        <w:rPr>
          <w:lang w:val="fr-CH"/>
        </w:rPr>
      </w:pPr>
      <w:r>
        <w:rPr>
          <w:lang w:val="fr-CH"/>
        </w:rPr>
        <w:t>Appendice 3 du RR.</w:t>
      </w:r>
    </w:p>
    <w:p w:rsidR="002B489A" w:rsidRDefault="004F19C4">
      <w:pPr>
        <w:rPr>
          <w:spacing w:val="-2"/>
          <w:lang w:val="fr-CH"/>
        </w:rPr>
      </w:pPr>
      <w:r>
        <w:rPr>
          <w:spacing w:val="-2"/>
          <w:lang w:val="fr-CH"/>
        </w:rPr>
        <w:t>L'affaiblissement requis est de 43 </w:t>
      </w:r>
      <w:r>
        <w:rPr>
          <w:rFonts w:ascii="Symbol" w:hAnsi="Symbol"/>
          <w:spacing w:val="-2"/>
          <w:lang w:val="fr-CH"/>
        </w:rPr>
        <w:t></w:t>
      </w:r>
      <w:r>
        <w:rPr>
          <w:spacing w:val="-2"/>
          <w:lang w:val="fr-CH"/>
        </w:rPr>
        <w:t xml:space="preserve"> 10 log </w:t>
      </w:r>
      <w:r>
        <w:rPr>
          <w:i/>
          <w:spacing w:val="-2"/>
          <w:lang w:val="fr-CH"/>
        </w:rPr>
        <w:t>P</w:t>
      </w:r>
      <w:r>
        <w:rPr>
          <w:spacing w:val="-2"/>
          <w:lang w:val="fr-CH"/>
        </w:rPr>
        <w:t xml:space="preserve"> dBc ou 60 dBc, en prenant la valeur la moins contraignante, où </w:t>
      </w:r>
      <w:r>
        <w:rPr>
          <w:i/>
          <w:spacing w:val="-2"/>
          <w:lang w:val="fr-CH"/>
        </w:rPr>
        <w:t>P</w:t>
      </w:r>
      <w:r>
        <w:rPr>
          <w:spacing w:val="-2"/>
          <w:lang w:val="fr-CH"/>
        </w:rPr>
        <w:t xml:space="preserve"> est la puissance de crête à l'entrée de l'antenne (W) dans une largeur de bande de 4 kHz.</w:t>
      </w:r>
    </w:p>
    <w:p w:rsidR="002B489A" w:rsidRDefault="004F19C4">
      <w:pPr>
        <w:pStyle w:val="Heading2"/>
        <w:rPr>
          <w:lang w:val="fr-CH"/>
        </w:rPr>
      </w:pPr>
      <w:r>
        <w:rPr>
          <w:lang w:val="fr-CH"/>
        </w:rPr>
        <w:t>2.4</w:t>
      </w:r>
      <w:r>
        <w:rPr>
          <w:lang w:val="fr-CH"/>
        </w:rPr>
        <w:tab/>
        <w:t>Caractéristiques de l'émetteur</w:t>
      </w:r>
    </w:p>
    <w:p w:rsidR="002B489A" w:rsidRDefault="004F19C4">
      <w:pPr>
        <w:rPr>
          <w:lang w:val="fr-CH"/>
        </w:rPr>
      </w:pPr>
      <w:r>
        <w:rPr>
          <w:lang w:val="fr-CH"/>
        </w:rPr>
        <w:t>Le gain d'antenne est de 41 dBi. Les caractéristiques de sortie du filtre d'émission sont indiquées à la Fig. 10.</w:t>
      </w:r>
    </w:p>
    <w:p w:rsidR="002B489A" w:rsidRDefault="004F19C4">
      <w:pPr>
        <w:pStyle w:val="Heading2"/>
        <w:rPr>
          <w:lang w:val="fr-CH"/>
        </w:rPr>
      </w:pPr>
      <w:r>
        <w:rPr>
          <w:lang w:val="fr-CH"/>
        </w:rPr>
        <w:t>2.5</w:t>
      </w:r>
      <w:r>
        <w:rPr>
          <w:lang w:val="fr-CH"/>
        </w:rPr>
        <w:tab/>
        <w:t>Caractéristiques de fonctionnement</w:t>
      </w:r>
    </w:p>
    <w:p w:rsidR="002B489A" w:rsidRDefault="004F19C4">
      <w:pPr>
        <w:rPr>
          <w:lang w:val="fr-CH"/>
        </w:rPr>
      </w:pPr>
      <w:r>
        <w:rPr>
          <w:lang w:val="fr-CH"/>
        </w:rPr>
        <w:t>La puissance de crête typique dans le faisceau ponctuel d'un satellite SMS OSG à l'entrée de l'antenne est de 16 dBW sur une largeur de bande de 5 MHz.</w:t>
      </w:r>
    </w:p>
    <w:p w:rsidR="002B489A" w:rsidRDefault="004F19C4">
      <w:pPr>
        <w:pStyle w:val="Heading2"/>
        <w:rPr>
          <w:lang w:val="fr-CH"/>
        </w:rPr>
      </w:pPr>
      <w:r>
        <w:rPr>
          <w:lang w:val="fr-CH"/>
        </w:rPr>
        <w:t>2.6</w:t>
      </w:r>
      <w:r>
        <w:rPr>
          <w:lang w:val="fr-CH"/>
        </w:rPr>
        <w:tab/>
        <w:t>Niveau d'émission dans la bande</w:t>
      </w:r>
    </w:p>
    <w:p w:rsidR="002B489A" w:rsidRDefault="004F19C4">
      <w:pPr>
        <w:rPr>
          <w:lang w:val="fr-CH"/>
        </w:rPr>
      </w:pPr>
      <w:r>
        <w:rPr>
          <w:lang w:val="fr-CH"/>
        </w:rPr>
        <w:t>Le niveau d'émission dans la bande est de –15 dBW dans une largeur de bande de 4 kHz.</w:t>
      </w:r>
    </w:p>
    <w:p w:rsidR="002B489A" w:rsidRDefault="004F19C4">
      <w:pPr>
        <w:pStyle w:val="FigureNo"/>
        <w:rPr>
          <w:lang w:val="fr-CH"/>
        </w:rPr>
      </w:pPr>
      <w:r>
        <w:rPr>
          <w:lang w:val="fr-CH"/>
        </w:rPr>
        <w:br w:type="page"/>
      </w:r>
      <w:r w:rsidR="0006728D">
        <w:rPr>
          <w:noProof/>
          <w:lang w:val="fr-CH" w:eastAsia="fr-CH"/>
        </w:rPr>
        <w:drawing>
          <wp:inline distT="0" distB="0" distL="0" distR="0">
            <wp:extent cx="5076825" cy="33813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76825" cy="3381375"/>
                    </a:xfrm>
                    <a:prstGeom prst="rect">
                      <a:avLst/>
                    </a:prstGeom>
                    <a:noFill/>
                    <a:ln>
                      <a:noFill/>
                    </a:ln>
                  </pic:spPr>
                </pic:pic>
              </a:graphicData>
            </a:graphic>
          </wp:inline>
        </w:drawing>
      </w:r>
    </w:p>
    <w:p w:rsidR="002B489A" w:rsidRDefault="004F19C4">
      <w:pPr>
        <w:pStyle w:val="Heading1"/>
        <w:rPr>
          <w:lang w:val="fr-CH"/>
        </w:rPr>
      </w:pPr>
      <w:r>
        <w:rPr>
          <w:lang w:val="fr-CH"/>
        </w:rPr>
        <w:t>3</w:t>
      </w:r>
      <w:r>
        <w:rPr>
          <w:lang w:val="fr-CH"/>
        </w:rPr>
        <w:tab/>
        <w:t>Seuil de compatibilité</w:t>
      </w:r>
    </w:p>
    <w:p w:rsidR="002B489A" w:rsidRDefault="004F19C4">
      <w:pPr>
        <w:rPr>
          <w:lang w:val="fr-CH"/>
        </w:rPr>
      </w:pPr>
      <w:r>
        <w:rPr>
          <w:lang w:val="fr-CH"/>
        </w:rPr>
        <w:t>Voir le § 1.3.</w:t>
      </w:r>
    </w:p>
    <w:p w:rsidR="002B489A" w:rsidRDefault="004F19C4">
      <w:pPr>
        <w:pStyle w:val="Heading1"/>
        <w:rPr>
          <w:lang w:val="fr-CH"/>
        </w:rPr>
      </w:pPr>
      <w:r>
        <w:rPr>
          <w:lang w:val="fr-CH"/>
        </w:rPr>
        <w:t>4</w:t>
      </w:r>
      <w:r>
        <w:rPr>
          <w:lang w:val="fr-CH"/>
        </w:rPr>
        <w:tab/>
        <w:t>Evaluation du brouillage</w:t>
      </w:r>
    </w:p>
    <w:p w:rsidR="002B489A" w:rsidRDefault="004F19C4">
      <w:pPr>
        <w:pStyle w:val="Heading2"/>
        <w:rPr>
          <w:lang w:val="fr-CH"/>
        </w:rPr>
      </w:pPr>
      <w:r>
        <w:rPr>
          <w:lang w:val="fr-CH"/>
        </w:rPr>
        <w:t>4.1</w:t>
      </w:r>
      <w:r>
        <w:rPr>
          <w:lang w:val="fr-CH"/>
        </w:rPr>
        <w:tab/>
        <w:t>Méthode d'évaluation du niveau de brouillage</w:t>
      </w:r>
    </w:p>
    <w:p w:rsidR="002B489A" w:rsidRDefault="004F19C4">
      <w:pPr>
        <w:rPr>
          <w:lang w:val="fr-CH"/>
        </w:rPr>
      </w:pPr>
      <w:r>
        <w:rPr>
          <w:lang w:val="fr-CH"/>
        </w:rPr>
        <w:t>Les paramètres densité spectrale de puissance de crête dans la bande, gain d'antenne de crête et affaiblissement mesuré du filtre de sortie de la bande 1</w:t>
      </w:r>
      <w:r>
        <w:rPr>
          <w:rFonts w:ascii="Tms Rmn" w:hAnsi="Tms Rmn"/>
          <w:sz w:val="12"/>
          <w:lang w:val="fr-CH"/>
        </w:rPr>
        <w:t> </w:t>
      </w:r>
      <w:r>
        <w:rPr>
          <w:lang w:val="fr-CH"/>
        </w:rPr>
        <w:t>525</w:t>
      </w:r>
      <w:r>
        <w:rPr>
          <w:lang w:val="fr-CH"/>
        </w:rPr>
        <w:noBreakHyphen/>
        <w:t>1</w:t>
      </w:r>
      <w:r>
        <w:rPr>
          <w:rFonts w:ascii="Tms Rmn" w:hAnsi="Tms Rmn"/>
          <w:sz w:val="12"/>
          <w:lang w:val="fr-CH"/>
        </w:rPr>
        <w:t> </w:t>
      </w:r>
      <w:r>
        <w:rPr>
          <w:lang w:val="fr-CH"/>
        </w:rPr>
        <w:t>559 MHz à différentes fréquences servent à déterminer la puissance surfacique à la surface de la Terre.</w:t>
      </w:r>
    </w:p>
    <w:p w:rsidR="002B489A" w:rsidRDefault="004F19C4">
      <w:pPr>
        <w:pStyle w:val="Heading2"/>
        <w:rPr>
          <w:lang w:val="fr-CH"/>
        </w:rPr>
      </w:pPr>
      <w:r>
        <w:rPr>
          <w:lang w:val="fr-CH"/>
        </w:rPr>
        <w:t>4.2</w:t>
      </w:r>
      <w:r>
        <w:rPr>
          <w:lang w:val="fr-CH"/>
        </w:rPr>
        <w:tab/>
        <w:t>Calcul du niveau de brouillage</w:t>
      </w:r>
    </w:p>
    <w:p w:rsidR="002B489A" w:rsidRDefault="004F19C4">
      <w:pPr>
        <w:rPr>
          <w:lang w:val="fr-CH"/>
        </w:rPr>
      </w:pPr>
      <w:r>
        <w:rPr>
          <w:lang w:val="fr-CH"/>
        </w:rPr>
        <w:t>Sur la base des performances attendues du filtre de la bande L de l'émetteur utilisé pour la bande 1</w:t>
      </w:r>
      <w:r>
        <w:rPr>
          <w:rFonts w:ascii="Tms Rmn" w:hAnsi="Tms Rmn"/>
          <w:sz w:val="12"/>
          <w:lang w:val="fr-CH"/>
        </w:rPr>
        <w:t> </w:t>
      </w:r>
      <w:r>
        <w:rPr>
          <w:lang w:val="fr-CH"/>
        </w:rPr>
        <w:t>525</w:t>
      </w:r>
      <w:r>
        <w:rPr>
          <w:lang w:val="fr-CH"/>
        </w:rPr>
        <w:noBreakHyphen/>
        <w:t>1</w:t>
      </w:r>
      <w:r>
        <w:rPr>
          <w:rFonts w:ascii="Tms Rmn" w:hAnsi="Tms Rmn"/>
          <w:sz w:val="12"/>
          <w:lang w:val="fr-CH"/>
        </w:rPr>
        <w:t> </w:t>
      </w:r>
      <w:r>
        <w:rPr>
          <w:lang w:val="fr-CH"/>
        </w:rPr>
        <w:t>559 MHz, les niveaux de puissance typiques à la sortie de ce filtre, les niveaux de densité de p.i.r.e. à la sortie de l'antenne et la puissance surfacique produite à la surface de la Terre à différentes fréquences sont indiqués dans le Tableau 11.</w:t>
      </w:r>
    </w:p>
    <w:p w:rsidR="002B489A" w:rsidRDefault="004F19C4">
      <w:pPr>
        <w:pStyle w:val="Heading2"/>
        <w:rPr>
          <w:lang w:val="fr-CH"/>
        </w:rPr>
      </w:pPr>
      <w:r>
        <w:rPr>
          <w:lang w:val="fr-CH"/>
        </w:rPr>
        <w:t>4.3</w:t>
      </w:r>
      <w:r>
        <w:rPr>
          <w:lang w:val="fr-CH"/>
        </w:rPr>
        <w:tab/>
        <w:t>Valeurs obtenues</w:t>
      </w:r>
    </w:p>
    <w:p w:rsidR="002B489A" w:rsidRDefault="004F19C4">
      <w:pPr>
        <w:rPr>
          <w:lang w:val="fr-CH"/>
        </w:rPr>
      </w:pPr>
      <w:r>
        <w:rPr>
          <w:lang w:val="fr-CH"/>
        </w:rPr>
        <w:t>La valeur obtenue est de –192 dB(W/m</w:t>
      </w:r>
      <w:r>
        <w:rPr>
          <w:vertAlign w:val="superscript"/>
          <w:lang w:val="fr-CH"/>
        </w:rPr>
        <w:t>2</w:t>
      </w:r>
      <w:r>
        <w:rPr>
          <w:rFonts w:ascii="Times" w:hAnsi="Times"/>
          <w:spacing w:val="-2"/>
          <w:lang w:val="fr-CH"/>
        </w:rPr>
        <w:t>)</w:t>
      </w:r>
      <w:r>
        <w:rPr>
          <w:lang w:val="fr-CH"/>
        </w:rPr>
        <w:t xml:space="preserve"> dans une largeur de bande de 4 kHz.</w:t>
      </w:r>
    </w:p>
    <w:p w:rsidR="002B489A" w:rsidRDefault="004F19C4">
      <w:pPr>
        <w:rPr>
          <w:lang w:val="fr-CH"/>
        </w:rPr>
      </w:pPr>
      <w:r>
        <w:rPr>
          <w:lang w:val="fr-CH"/>
        </w:rPr>
        <w:t>En traduisant ces valeurs pour des observations de raies spectrales à antenne unique, on obtient une valeur de puissance surfacique de –185 dB(W/m</w:t>
      </w:r>
      <w:r>
        <w:rPr>
          <w:vertAlign w:val="superscript"/>
          <w:lang w:val="fr-CH"/>
        </w:rPr>
        <w:t>2</w:t>
      </w:r>
      <w:r>
        <w:rPr>
          <w:rFonts w:ascii="Times" w:hAnsi="Times"/>
          <w:spacing w:val="-2"/>
          <w:lang w:val="fr-CH"/>
        </w:rPr>
        <w:t>)</w:t>
      </w:r>
      <w:r>
        <w:rPr>
          <w:lang w:val="fr-CH"/>
        </w:rPr>
        <w:t xml:space="preserve"> dans une largeur de bande de 20 kHz pour des observations de raies spectrales: sur la base des paramètres ci-dessus pour un système mobile à satellites OSG d'un opérateur, il s'ensuit qu'il manque 9 dB pour satisfaire aux critères de protection pour les observations de raies spectrales à antenne unique.</w:t>
      </w:r>
    </w:p>
    <w:p w:rsidR="002B489A" w:rsidRDefault="004F19C4">
      <w:pPr>
        <w:pStyle w:val="TableNo"/>
        <w:rPr>
          <w:lang w:val="fr-CH"/>
        </w:rPr>
      </w:pPr>
      <w:r>
        <w:rPr>
          <w:lang w:val="fr-CH"/>
        </w:rPr>
        <w:br w:type="page"/>
        <w:t>TABLEAU  11</w:t>
      </w:r>
    </w:p>
    <w:p w:rsidR="002B489A" w:rsidRDefault="004F19C4">
      <w:pPr>
        <w:pStyle w:val="Tabletitle"/>
        <w:rPr>
          <w:lang w:val="fr-CH"/>
        </w:rPr>
      </w:pPr>
      <w:r>
        <w:rPr>
          <w:lang w:val="fr-CH"/>
        </w:rPr>
        <w:t>Valeurs attendues de la DSP, de la densité de p.i.r.e. et de la puissance surfacique</w:t>
      </w:r>
      <w:r>
        <w:rPr>
          <w:lang w:val="fr-CH"/>
        </w:rPr>
        <w:br/>
        <w:t>à la surface de la Terre du satellite Inmarsat-4 dans la</w:t>
      </w:r>
      <w:r>
        <w:rPr>
          <w:lang w:val="fr-CH"/>
        </w:rPr>
        <w:br/>
        <w:t xml:space="preserve"> bande de fréquences 1</w:t>
      </w:r>
      <w:r>
        <w:rPr>
          <w:rFonts w:ascii="Tms Rmn" w:hAnsi="Tms Rmn"/>
          <w:sz w:val="12"/>
          <w:lang w:val="fr-CH"/>
        </w:rPr>
        <w:t> </w:t>
      </w:r>
      <w:r>
        <w:rPr>
          <w:lang w:val="fr-CH"/>
        </w:rPr>
        <w:t>525</w:t>
      </w:r>
      <w:r>
        <w:rPr>
          <w:lang w:val="fr-CH"/>
        </w:rPr>
        <w:noBreakHyphen/>
        <w:t>1</w:t>
      </w:r>
      <w:r>
        <w:rPr>
          <w:rFonts w:ascii="Tms Rmn" w:hAnsi="Tms Rmn"/>
          <w:sz w:val="12"/>
          <w:lang w:val="fr-CH"/>
        </w:rPr>
        <w:t> </w:t>
      </w:r>
      <w:r>
        <w:rPr>
          <w:lang w:val="fr-CH"/>
        </w:rPr>
        <w:t>559 MHz</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4"/>
        <w:gridCol w:w="3155"/>
        <w:gridCol w:w="2400"/>
        <w:gridCol w:w="2640"/>
      </w:tblGrid>
      <w:tr w:rsidR="002B489A">
        <w:tc>
          <w:tcPr>
            <w:tcW w:w="0" w:type="auto"/>
          </w:tcPr>
          <w:p w:rsidR="002B489A" w:rsidRDefault="004F19C4">
            <w:pPr>
              <w:pStyle w:val="Tablehead"/>
              <w:framePr w:hSpace="181" w:wrap="notBeside" w:vAnchor="text" w:hAnchor="text" w:xAlign="center" w:y="1"/>
              <w:rPr>
                <w:lang w:val="fr-CH"/>
              </w:rPr>
            </w:pPr>
            <w:r>
              <w:rPr>
                <w:lang w:val="fr-CH"/>
              </w:rPr>
              <w:t>Fréquence</w:t>
            </w:r>
            <w:r>
              <w:rPr>
                <w:lang w:val="fr-CH"/>
              </w:rPr>
              <w:br/>
              <w:t>(MHz)</w:t>
            </w:r>
          </w:p>
        </w:tc>
        <w:tc>
          <w:tcPr>
            <w:tcW w:w="3155" w:type="dxa"/>
          </w:tcPr>
          <w:p w:rsidR="002B489A" w:rsidRDefault="004F19C4">
            <w:pPr>
              <w:pStyle w:val="Tablehead"/>
              <w:framePr w:hSpace="181" w:wrap="notBeside" w:vAnchor="text" w:hAnchor="text" w:xAlign="center" w:y="1"/>
              <w:rPr>
                <w:lang w:val="fr-CH"/>
              </w:rPr>
            </w:pPr>
            <w:r>
              <w:rPr>
                <w:lang w:val="fr-CH"/>
              </w:rPr>
              <w:t xml:space="preserve">DSP à la sortie du filtre </w:t>
            </w:r>
            <w:r>
              <w:rPr>
                <w:lang w:val="fr-CH"/>
              </w:rPr>
              <w:br/>
              <w:t>(dB(W/4 kHz))</w:t>
            </w:r>
          </w:p>
        </w:tc>
        <w:tc>
          <w:tcPr>
            <w:tcW w:w="2400" w:type="dxa"/>
          </w:tcPr>
          <w:p w:rsidR="002B489A" w:rsidRDefault="004F19C4">
            <w:pPr>
              <w:pStyle w:val="Tablehead"/>
              <w:framePr w:hSpace="181" w:wrap="notBeside" w:vAnchor="text" w:hAnchor="text" w:xAlign="center" w:y="1"/>
              <w:rPr>
                <w:lang w:val="fr-CH"/>
              </w:rPr>
            </w:pPr>
            <w:r>
              <w:rPr>
                <w:lang w:val="fr-CH"/>
              </w:rPr>
              <w:t>Densité de p.i.r.e. en sortie d'antenne</w:t>
            </w:r>
            <w:r>
              <w:rPr>
                <w:lang w:val="fr-CH"/>
              </w:rPr>
              <w:br/>
              <w:t>(dB(W/4 kHz))</w:t>
            </w:r>
          </w:p>
        </w:tc>
        <w:tc>
          <w:tcPr>
            <w:tcW w:w="2640" w:type="dxa"/>
          </w:tcPr>
          <w:p w:rsidR="002B489A" w:rsidRDefault="004F19C4">
            <w:pPr>
              <w:pStyle w:val="Tablehead"/>
              <w:framePr w:hSpace="181" w:wrap="notBeside" w:vAnchor="text" w:hAnchor="text" w:xAlign="center" w:y="1"/>
              <w:rPr>
                <w:lang w:val="fr-CH"/>
              </w:rPr>
            </w:pPr>
            <w:r>
              <w:rPr>
                <w:lang w:val="fr-CH"/>
              </w:rPr>
              <w:t>Puissance surfacique à la surface de la Terre</w:t>
            </w:r>
            <w:r>
              <w:rPr>
                <w:lang w:val="fr-CH"/>
              </w:rPr>
              <w:br/>
              <w:t>(dB(W/(m</w:t>
            </w:r>
            <w:r>
              <w:rPr>
                <w:vertAlign w:val="superscript"/>
                <w:lang w:val="fr-CH"/>
              </w:rPr>
              <w:t>2</w:t>
            </w:r>
            <w:r>
              <w:rPr>
                <w:lang w:val="fr-CH"/>
              </w:rPr>
              <w:t> · 4 kHz)))</w:t>
            </w:r>
          </w:p>
        </w:tc>
      </w:tr>
      <w:tr w:rsidR="002B489A">
        <w:tc>
          <w:tcPr>
            <w:tcW w:w="0" w:type="auto"/>
          </w:tcPr>
          <w:p w:rsidR="002B489A" w:rsidRDefault="004F19C4">
            <w:pPr>
              <w:pStyle w:val="Tabletext"/>
              <w:framePr w:hSpace="181" w:wrap="notBeside" w:vAnchor="text" w:hAnchor="text" w:xAlign="center" w:y="1"/>
              <w:jc w:val="center"/>
              <w:rPr>
                <w:lang w:val="fr-CH"/>
              </w:rPr>
            </w:pPr>
            <w:r>
              <w:rPr>
                <w:lang w:val="fr-CH"/>
              </w:rPr>
              <w:t>1</w:t>
            </w:r>
            <w:r>
              <w:rPr>
                <w:rFonts w:ascii="Tms Rmn" w:hAnsi="Tms Rmn"/>
                <w:sz w:val="12"/>
                <w:lang w:val="fr-CH"/>
              </w:rPr>
              <w:t> </w:t>
            </w:r>
            <w:r>
              <w:rPr>
                <w:lang w:val="fr-CH"/>
              </w:rPr>
              <w:t>300</w:t>
            </w:r>
          </w:p>
        </w:tc>
        <w:tc>
          <w:tcPr>
            <w:tcW w:w="3155" w:type="dxa"/>
          </w:tcPr>
          <w:p w:rsidR="002B489A" w:rsidRDefault="004F19C4">
            <w:pPr>
              <w:pStyle w:val="Tabletext"/>
              <w:framePr w:hSpace="181" w:wrap="notBeside" w:vAnchor="text" w:hAnchor="text" w:xAlign="center" w:y="1"/>
              <w:jc w:val="center"/>
              <w:rPr>
                <w:lang w:val="fr-CH"/>
              </w:rPr>
            </w:pPr>
            <w:r>
              <w:rPr>
                <w:lang w:val="fr-CH"/>
              </w:rPr>
              <w:t>–80</w:t>
            </w:r>
          </w:p>
        </w:tc>
        <w:tc>
          <w:tcPr>
            <w:tcW w:w="240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35"/>
              </w:tabs>
              <w:jc w:val="left"/>
              <w:rPr>
                <w:lang w:val="fr-CH"/>
              </w:rPr>
            </w:pPr>
            <w:r>
              <w:rPr>
                <w:lang w:val="fr-CH"/>
              </w:rPr>
              <w:t>–39</w:t>
            </w:r>
          </w:p>
        </w:tc>
        <w:tc>
          <w:tcPr>
            <w:tcW w:w="2640" w:type="dxa"/>
          </w:tcPr>
          <w:p w:rsidR="002B489A" w:rsidRDefault="004F19C4">
            <w:pPr>
              <w:pStyle w:val="Tabletext"/>
              <w:framePr w:hSpace="181" w:wrap="notBeside" w:vAnchor="text" w:hAnchor="text" w:xAlign="center" w:y="1"/>
              <w:jc w:val="center"/>
              <w:rPr>
                <w:lang w:val="fr-CH"/>
              </w:rPr>
            </w:pPr>
            <w:r>
              <w:rPr>
                <w:lang w:val="fr-CH"/>
              </w:rPr>
              <w:t>–202</w:t>
            </w:r>
          </w:p>
        </w:tc>
      </w:tr>
      <w:tr w:rsidR="002B489A">
        <w:tc>
          <w:tcPr>
            <w:tcW w:w="0" w:type="auto"/>
          </w:tcPr>
          <w:p w:rsidR="002B489A" w:rsidRDefault="004F19C4">
            <w:pPr>
              <w:pStyle w:val="Tabletext"/>
              <w:framePr w:hSpace="181" w:wrap="notBeside" w:vAnchor="text" w:hAnchor="text" w:xAlign="center" w:y="1"/>
              <w:jc w:val="center"/>
              <w:rPr>
                <w:lang w:val="fr-CH"/>
              </w:rPr>
            </w:pPr>
            <w:r>
              <w:rPr>
                <w:lang w:val="fr-CH"/>
              </w:rPr>
              <w:t>1</w:t>
            </w:r>
            <w:r>
              <w:rPr>
                <w:rFonts w:ascii="Tms Rmn" w:hAnsi="Tms Rmn"/>
                <w:sz w:val="12"/>
                <w:lang w:val="fr-CH"/>
              </w:rPr>
              <w:t> </w:t>
            </w:r>
            <w:r>
              <w:rPr>
                <w:lang w:val="fr-CH"/>
              </w:rPr>
              <w:t>406</w:t>
            </w:r>
          </w:p>
        </w:tc>
        <w:tc>
          <w:tcPr>
            <w:tcW w:w="3155" w:type="dxa"/>
          </w:tcPr>
          <w:p w:rsidR="002B489A" w:rsidRDefault="004F19C4">
            <w:pPr>
              <w:pStyle w:val="Tabletext"/>
              <w:framePr w:hSpace="181" w:wrap="notBeside" w:vAnchor="text" w:hAnchor="text" w:xAlign="center" w:y="1"/>
              <w:jc w:val="center"/>
              <w:rPr>
                <w:lang w:val="fr-CH"/>
              </w:rPr>
            </w:pPr>
            <w:r>
              <w:rPr>
                <w:lang w:val="fr-CH"/>
              </w:rPr>
              <w:t>–80</w:t>
            </w:r>
          </w:p>
        </w:tc>
        <w:tc>
          <w:tcPr>
            <w:tcW w:w="240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35"/>
              </w:tabs>
              <w:jc w:val="left"/>
              <w:rPr>
                <w:lang w:val="fr-CH"/>
              </w:rPr>
            </w:pPr>
            <w:r>
              <w:rPr>
                <w:lang w:val="fr-CH"/>
              </w:rPr>
              <w:t>–39</w:t>
            </w:r>
          </w:p>
        </w:tc>
        <w:tc>
          <w:tcPr>
            <w:tcW w:w="2640" w:type="dxa"/>
          </w:tcPr>
          <w:p w:rsidR="002B489A" w:rsidRDefault="004F19C4">
            <w:pPr>
              <w:pStyle w:val="Tabletext"/>
              <w:framePr w:hSpace="181" w:wrap="notBeside" w:vAnchor="text" w:hAnchor="text" w:xAlign="center" w:y="1"/>
              <w:jc w:val="center"/>
              <w:rPr>
                <w:lang w:val="fr-CH"/>
              </w:rPr>
            </w:pPr>
            <w:r>
              <w:rPr>
                <w:lang w:val="fr-CH"/>
              </w:rPr>
              <w:t>–202</w:t>
            </w:r>
          </w:p>
        </w:tc>
      </w:tr>
      <w:tr w:rsidR="002B489A">
        <w:tc>
          <w:tcPr>
            <w:tcW w:w="0" w:type="auto"/>
          </w:tcPr>
          <w:p w:rsidR="002B489A" w:rsidRDefault="004F19C4">
            <w:pPr>
              <w:pStyle w:val="Tabletext"/>
              <w:framePr w:hSpace="181" w:wrap="notBeside" w:vAnchor="text" w:hAnchor="text" w:xAlign="center" w:y="1"/>
              <w:jc w:val="center"/>
              <w:rPr>
                <w:lang w:val="fr-CH"/>
              </w:rPr>
            </w:pPr>
            <w:r>
              <w:rPr>
                <w:lang w:val="fr-CH"/>
              </w:rPr>
              <w:t>1</w:t>
            </w:r>
            <w:r>
              <w:rPr>
                <w:rFonts w:ascii="Tms Rmn" w:hAnsi="Tms Rmn"/>
                <w:sz w:val="12"/>
                <w:lang w:val="fr-CH"/>
              </w:rPr>
              <w:t> </w:t>
            </w:r>
            <w:r>
              <w:rPr>
                <w:lang w:val="fr-CH"/>
              </w:rPr>
              <w:t>457</w:t>
            </w:r>
          </w:p>
        </w:tc>
        <w:tc>
          <w:tcPr>
            <w:tcW w:w="3155" w:type="dxa"/>
          </w:tcPr>
          <w:p w:rsidR="002B489A" w:rsidRDefault="004F19C4">
            <w:pPr>
              <w:pStyle w:val="Tabletext"/>
              <w:framePr w:hSpace="181" w:wrap="notBeside" w:vAnchor="text" w:hAnchor="text" w:xAlign="center" w:y="1"/>
              <w:jc w:val="center"/>
              <w:rPr>
                <w:lang w:val="fr-CH"/>
              </w:rPr>
            </w:pPr>
            <w:r>
              <w:rPr>
                <w:lang w:val="fr-CH"/>
              </w:rPr>
              <w:t>–75</w:t>
            </w:r>
          </w:p>
        </w:tc>
        <w:tc>
          <w:tcPr>
            <w:tcW w:w="240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35"/>
              </w:tabs>
              <w:jc w:val="left"/>
              <w:rPr>
                <w:lang w:val="fr-CH"/>
              </w:rPr>
            </w:pPr>
            <w:r>
              <w:rPr>
                <w:lang w:val="fr-CH"/>
              </w:rPr>
              <w:t>–24</w:t>
            </w:r>
          </w:p>
        </w:tc>
        <w:tc>
          <w:tcPr>
            <w:tcW w:w="2640" w:type="dxa"/>
          </w:tcPr>
          <w:p w:rsidR="002B489A" w:rsidRDefault="004F19C4">
            <w:pPr>
              <w:pStyle w:val="Tabletext"/>
              <w:framePr w:hSpace="181" w:wrap="notBeside" w:vAnchor="text" w:hAnchor="text" w:xAlign="center" w:y="1"/>
              <w:jc w:val="center"/>
              <w:rPr>
                <w:lang w:val="fr-CH"/>
              </w:rPr>
            </w:pPr>
            <w:r>
              <w:rPr>
                <w:lang w:val="fr-CH"/>
              </w:rPr>
              <w:t>–197</w:t>
            </w:r>
          </w:p>
        </w:tc>
      </w:tr>
      <w:tr w:rsidR="002B489A">
        <w:tc>
          <w:tcPr>
            <w:tcW w:w="0" w:type="auto"/>
          </w:tcPr>
          <w:p w:rsidR="002B489A" w:rsidRDefault="004F19C4">
            <w:pPr>
              <w:pStyle w:val="Tabletext"/>
              <w:framePr w:hSpace="181" w:wrap="notBeside" w:vAnchor="text" w:hAnchor="text" w:xAlign="center" w:y="1"/>
              <w:jc w:val="center"/>
              <w:rPr>
                <w:lang w:val="fr-CH"/>
              </w:rPr>
            </w:pPr>
            <w:r>
              <w:rPr>
                <w:lang w:val="fr-CH"/>
              </w:rPr>
              <w:t>1</w:t>
            </w:r>
            <w:r>
              <w:rPr>
                <w:rFonts w:ascii="Tms Rmn" w:hAnsi="Tms Rmn"/>
                <w:sz w:val="12"/>
                <w:lang w:val="fr-CH"/>
              </w:rPr>
              <w:t> </w:t>
            </w:r>
            <w:r>
              <w:rPr>
                <w:lang w:val="fr-CH"/>
              </w:rPr>
              <w:t>474</w:t>
            </w:r>
          </w:p>
        </w:tc>
        <w:tc>
          <w:tcPr>
            <w:tcW w:w="3155" w:type="dxa"/>
          </w:tcPr>
          <w:p w:rsidR="002B489A" w:rsidRDefault="004F19C4">
            <w:pPr>
              <w:pStyle w:val="Tabletext"/>
              <w:framePr w:hSpace="181" w:wrap="notBeside" w:vAnchor="text" w:hAnchor="text" w:xAlign="center" w:y="1"/>
              <w:jc w:val="center"/>
              <w:rPr>
                <w:lang w:val="fr-CH"/>
              </w:rPr>
            </w:pPr>
            <w:r>
              <w:rPr>
                <w:lang w:val="fr-CH"/>
              </w:rPr>
              <w:t>–65</w:t>
            </w:r>
          </w:p>
        </w:tc>
        <w:tc>
          <w:tcPr>
            <w:tcW w:w="240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35"/>
              </w:tabs>
              <w:jc w:val="left"/>
              <w:rPr>
                <w:lang w:val="fr-CH"/>
              </w:rPr>
            </w:pPr>
            <w:r>
              <w:rPr>
                <w:lang w:val="fr-CH"/>
              </w:rPr>
              <w:t>–14</w:t>
            </w:r>
          </w:p>
        </w:tc>
        <w:tc>
          <w:tcPr>
            <w:tcW w:w="2640" w:type="dxa"/>
          </w:tcPr>
          <w:p w:rsidR="002B489A" w:rsidRDefault="004F19C4">
            <w:pPr>
              <w:pStyle w:val="Tabletext"/>
              <w:framePr w:hSpace="181" w:wrap="notBeside" w:vAnchor="text" w:hAnchor="text" w:xAlign="center" w:y="1"/>
              <w:jc w:val="center"/>
              <w:rPr>
                <w:lang w:val="fr-CH"/>
              </w:rPr>
            </w:pPr>
            <w:r>
              <w:rPr>
                <w:lang w:val="fr-CH"/>
              </w:rPr>
              <w:t>–187</w:t>
            </w:r>
          </w:p>
        </w:tc>
      </w:tr>
      <w:tr w:rsidR="002B489A">
        <w:tc>
          <w:tcPr>
            <w:tcW w:w="0" w:type="auto"/>
          </w:tcPr>
          <w:p w:rsidR="002B489A" w:rsidRDefault="004F19C4">
            <w:pPr>
              <w:pStyle w:val="Tabletext"/>
              <w:framePr w:hSpace="181" w:wrap="notBeside" w:vAnchor="text" w:hAnchor="text" w:xAlign="center" w:y="1"/>
              <w:jc w:val="center"/>
              <w:rPr>
                <w:lang w:val="fr-CH"/>
              </w:rPr>
            </w:pPr>
            <w:r>
              <w:rPr>
                <w:lang w:val="fr-CH"/>
              </w:rPr>
              <w:t>1</w:t>
            </w:r>
            <w:r>
              <w:rPr>
                <w:rFonts w:ascii="Tms Rmn" w:hAnsi="Tms Rmn"/>
                <w:sz w:val="12"/>
                <w:lang w:val="fr-CH"/>
              </w:rPr>
              <w:t> </w:t>
            </w:r>
            <w:r>
              <w:rPr>
                <w:lang w:val="fr-CH"/>
              </w:rPr>
              <w:t>491</w:t>
            </w:r>
          </w:p>
        </w:tc>
        <w:tc>
          <w:tcPr>
            <w:tcW w:w="3155" w:type="dxa"/>
          </w:tcPr>
          <w:p w:rsidR="002B489A" w:rsidRDefault="004F19C4">
            <w:pPr>
              <w:pStyle w:val="Tabletext"/>
              <w:framePr w:hSpace="181" w:wrap="notBeside" w:vAnchor="text" w:hAnchor="text" w:xAlign="center" w:y="1"/>
              <w:jc w:val="center"/>
              <w:rPr>
                <w:lang w:val="fr-CH"/>
              </w:rPr>
            </w:pPr>
            <w:r>
              <w:rPr>
                <w:lang w:val="fr-CH"/>
              </w:rPr>
              <w:t>–45</w:t>
            </w:r>
          </w:p>
        </w:tc>
        <w:tc>
          <w:tcPr>
            <w:tcW w:w="240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35"/>
              </w:tabs>
              <w:jc w:val="left"/>
              <w:rPr>
                <w:lang w:val="fr-CH"/>
              </w:rPr>
            </w:pPr>
            <w:r>
              <w:rPr>
                <w:lang w:val="fr-CH"/>
              </w:rPr>
              <w:t>–4</w:t>
            </w:r>
          </w:p>
        </w:tc>
        <w:tc>
          <w:tcPr>
            <w:tcW w:w="2640" w:type="dxa"/>
          </w:tcPr>
          <w:p w:rsidR="002B489A" w:rsidRDefault="004F19C4">
            <w:pPr>
              <w:pStyle w:val="Tabletext"/>
              <w:framePr w:hSpace="181" w:wrap="notBeside" w:vAnchor="text" w:hAnchor="text" w:xAlign="center" w:y="1"/>
              <w:jc w:val="center"/>
              <w:rPr>
                <w:lang w:val="fr-CH"/>
              </w:rPr>
            </w:pPr>
            <w:r>
              <w:rPr>
                <w:lang w:val="fr-CH"/>
              </w:rPr>
              <w:t>–167</w:t>
            </w:r>
          </w:p>
        </w:tc>
      </w:tr>
      <w:tr w:rsidR="002B489A">
        <w:tc>
          <w:tcPr>
            <w:tcW w:w="0" w:type="auto"/>
          </w:tcPr>
          <w:p w:rsidR="002B489A" w:rsidRDefault="004F19C4">
            <w:pPr>
              <w:pStyle w:val="Tabletext"/>
              <w:framePr w:hSpace="181" w:wrap="notBeside" w:vAnchor="text" w:hAnchor="text" w:xAlign="center" w:y="1"/>
              <w:jc w:val="center"/>
              <w:rPr>
                <w:lang w:val="fr-CH"/>
              </w:rPr>
            </w:pPr>
            <w:r>
              <w:rPr>
                <w:lang w:val="fr-CH"/>
              </w:rPr>
              <w:t>1</w:t>
            </w:r>
            <w:r>
              <w:rPr>
                <w:rFonts w:ascii="Tms Rmn" w:hAnsi="Tms Rmn"/>
                <w:sz w:val="12"/>
                <w:lang w:val="fr-CH"/>
              </w:rPr>
              <w:t> </w:t>
            </w:r>
            <w:r>
              <w:rPr>
                <w:lang w:val="fr-CH"/>
              </w:rPr>
              <w:t>508</w:t>
            </w:r>
          </w:p>
        </w:tc>
        <w:tc>
          <w:tcPr>
            <w:tcW w:w="3155" w:type="dxa"/>
          </w:tcPr>
          <w:p w:rsidR="002B489A" w:rsidRDefault="004F19C4">
            <w:pPr>
              <w:pStyle w:val="Tabletext"/>
              <w:framePr w:hSpace="181" w:wrap="notBeside" w:vAnchor="text" w:hAnchor="text" w:xAlign="center" w:y="1"/>
              <w:jc w:val="center"/>
              <w:rPr>
                <w:lang w:val="fr-CH"/>
              </w:rPr>
            </w:pPr>
            <w:r>
              <w:rPr>
                <w:lang w:val="fr-CH"/>
              </w:rPr>
              <w:t>–35</w:t>
            </w:r>
          </w:p>
        </w:tc>
        <w:tc>
          <w:tcPr>
            <w:tcW w:w="240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35"/>
              </w:tabs>
              <w:jc w:val="left"/>
              <w:rPr>
                <w:lang w:val="fr-CH"/>
              </w:rPr>
            </w:pPr>
            <w:r>
              <w:rPr>
                <w:lang w:val="fr-CH"/>
              </w:rPr>
              <w:t>6</w:t>
            </w:r>
          </w:p>
        </w:tc>
        <w:tc>
          <w:tcPr>
            <w:tcW w:w="2640" w:type="dxa"/>
          </w:tcPr>
          <w:p w:rsidR="002B489A" w:rsidRDefault="004F19C4">
            <w:pPr>
              <w:pStyle w:val="Tabletext"/>
              <w:framePr w:hSpace="181" w:wrap="notBeside" w:vAnchor="text" w:hAnchor="text" w:xAlign="center" w:y="1"/>
              <w:jc w:val="center"/>
              <w:rPr>
                <w:lang w:val="fr-CH"/>
              </w:rPr>
            </w:pPr>
            <w:r>
              <w:rPr>
                <w:lang w:val="fr-CH"/>
              </w:rPr>
              <w:t>–157</w:t>
            </w:r>
          </w:p>
        </w:tc>
      </w:tr>
      <w:tr w:rsidR="002B489A">
        <w:tc>
          <w:tcPr>
            <w:tcW w:w="0" w:type="auto"/>
          </w:tcPr>
          <w:p w:rsidR="002B489A" w:rsidRDefault="004F19C4">
            <w:pPr>
              <w:pStyle w:val="Tabletext"/>
              <w:framePr w:hSpace="181" w:wrap="notBeside" w:vAnchor="text" w:hAnchor="text" w:xAlign="center" w:y="1"/>
              <w:jc w:val="center"/>
              <w:rPr>
                <w:lang w:val="fr-CH"/>
              </w:rPr>
            </w:pPr>
            <w:r>
              <w:rPr>
                <w:lang w:val="fr-CH"/>
              </w:rPr>
              <w:t>1</w:t>
            </w:r>
            <w:r>
              <w:rPr>
                <w:rFonts w:ascii="Tms Rmn" w:hAnsi="Tms Rmn"/>
                <w:sz w:val="12"/>
                <w:lang w:val="fr-CH"/>
              </w:rPr>
              <w:t> </w:t>
            </w:r>
            <w:r>
              <w:rPr>
                <w:lang w:val="fr-CH"/>
              </w:rPr>
              <w:t>525</w:t>
            </w:r>
          </w:p>
        </w:tc>
        <w:tc>
          <w:tcPr>
            <w:tcW w:w="3155" w:type="dxa"/>
          </w:tcPr>
          <w:p w:rsidR="002B489A" w:rsidRDefault="004F19C4">
            <w:pPr>
              <w:pStyle w:val="Tabletext"/>
              <w:framePr w:hSpace="181" w:wrap="notBeside" w:vAnchor="text" w:hAnchor="text" w:xAlign="center" w:y="1"/>
              <w:jc w:val="center"/>
              <w:rPr>
                <w:lang w:val="fr-CH"/>
              </w:rPr>
            </w:pPr>
            <w:r>
              <w:rPr>
                <w:lang w:val="fr-CH"/>
              </w:rPr>
              <w:t>–15</w:t>
            </w:r>
          </w:p>
        </w:tc>
        <w:tc>
          <w:tcPr>
            <w:tcW w:w="240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35"/>
              </w:tabs>
              <w:jc w:val="left"/>
              <w:rPr>
                <w:lang w:val="fr-CH"/>
              </w:rPr>
            </w:pPr>
            <w:r>
              <w:rPr>
                <w:lang w:val="fr-CH"/>
              </w:rPr>
              <w:t>26</w:t>
            </w:r>
          </w:p>
        </w:tc>
        <w:tc>
          <w:tcPr>
            <w:tcW w:w="2640" w:type="dxa"/>
          </w:tcPr>
          <w:p w:rsidR="002B489A" w:rsidRDefault="004F19C4">
            <w:pPr>
              <w:pStyle w:val="Tabletext"/>
              <w:framePr w:hSpace="181" w:wrap="notBeside" w:vAnchor="text" w:hAnchor="text" w:xAlign="center" w:y="1"/>
              <w:jc w:val="center"/>
              <w:rPr>
                <w:lang w:val="fr-CH"/>
              </w:rPr>
            </w:pPr>
            <w:r>
              <w:rPr>
                <w:lang w:val="fr-CH"/>
              </w:rPr>
              <w:t>–137</w:t>
            </w:r>
          </w:p>
        </w:tc>
      </w:tr>
      <w:tr w:rsidR="002B489A">
        <w:tc>
          <w:tcPr>
            <w:tcW w:w="0" w:type="auto"/>
          </w:tcPr>
          <w:p w:rsidR="002B489A" w:rsidRDefault="004F19C4">
            <w:pPr>
              <w:pStyle w:val="Tabletext"/>
              <w:framePr w:hSpace="181" w:wrap="notBeside" w:vAnchor="text" w:hAnchor="text" w:xAlign="center" w:y="1"/>
              <w:jc w:val="center"/>
              <w:rPr>
                <w:lang w:val="fr-CH"/>
              </w:rPr>
            </w:pPr>
            <w:r>
              <w:rPr>
                <w:lang w:val="fr-CH"/>
              </w:rPr>
              <w:t>1</w:t>
            </w:r>
            <w:r>
              <w:rPr>
                <w:rFonts w:ascii="Tms Rmn" w:hAnsi="Tms Rmn"/>
                <w:sz w:val="12"/>
                <w:lang w:val="fr-CH"/>
              </w:rPr>
              <w:t> </w:t>
            </w:r>
            <w:r>
              <w:rPr>
                <w:lang w:val="fr-CH"/>
              </w:rPr>
              <w:t>559</w:t>
            </w:r>
          </w:p>
        </w:tc>
        <w:tc>
          <w:tcPr>
            <w:tcW w:w="3155" w:type="dxa"/>
          </w:tcPr>
          <w:p w:rsidR="002B489A" w:rsidRDefault="004F19C4">
            <w:pPr>
              <w:pStyle w:val="Tabletext"/>
              <w:framePr w:hSpace="181" w:wrap="notBeside" w:vAnchor="text" w:hAnchor="text" w:xAlign="center" w:y="1"/>
              <w:jc w:val="center"/>
              <w:rPr>
                <w:lang w:val="fr-CH"/>
              </w:rPr>
            </w:pPr>
            <w:r>
              <w:rPr>
                <w:lang w:val="fr-CH"/>
              </w:rPr>
              <w:t>–15</w:t>
            </w:r>
          </w:p>
        </w:tc>
        <w:tc>
          <w:tcPr>
            <w:tcW w:w="240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35"/>
              </w:tabs>
              <w:jc w:val="left"/>
              <w:rPr>
                <w:lang w:val="fr-CH"/>
              </w:rPr>
            </w:pPr>
            <w:r>
              <w:rPr>
                <w:lang w:val="fr-CH"/>
              </w:rPr>
              <w:t>26</w:t>
            </w:r>
          </w:p>
        </w:tc>
        <w:tc>
          <w:tcPr>
            <w:tcW w:w="2640" w:type="dxa"/>
          </w:tcPr>
          <w:p w:rsidR="002B489A" w:rsidRDefault="004F19C4">
            <w:pPr>
              <w:pStyle w:val="Tabletext"/>
              <w:framePr w:hSpace="181" w:wrap="notBeside" w:vAnchor="text" w:hAnchor="text" w:xAlign="center" w:y="1"/>
              <w:jc w:val="center"/>
              <w:rPr>
                <w:lang w:val="fr-CH"/>
              </w:rPr>
            </w:pPr>
            <w:r>
              <w:rPr>
                <w:lang w:val="fr-CH"/>
              </w:rPr>
              <w:t>–137</w:t>
            </w:r>
          </w:p>
        </w:tc>
      </w:tr>
      <w:tr w:rsidR="002B489A">
        <w:tc>
          <w:tcPr>
            <w:tcW w:w="0" w:type="auto"/>
          </w:tcPr>
          <w:p w:rsidR="002B489A" w:rsidRDefault="004F19C4">
            <w:pPr>
              <w:pStyle w:val="Tabletext"/>
              <w:framePr w:hSpace="181" w:wrap="notBeside" w:vAnchor="text" w:hAnchor="text" w:xAlign="center" w:y="1"/>
              <w:jc w:val="center"/>
              <w:rPr>
                <w:lang w:val="fr-CH"/>
              </w:rPr>
            </w:pPr>
            <w:r>
              <w:rPr>
                <w:sz w:val="24"/>
                <w:lang w:val="fr-CH"/>
              </w:rPr>
              <w:br w:type="page"/>
            </w:r>
            <w:r>
              <w:rPr>
                <w:lang w:val="fr-CH"/>
              </w:rPr>
              <w:t>1</w:t>
            </w:r>
            <w:r>
              <w:rPr>
                <w:rFonts w:ascii="Tms Rmn" w:hAnsi="Tms Rmn"/>
                <w:sz w:val="12"/>
                <w:lang w:val="fr-CH"/>
              </w:rPr>
              <w:t> </w:t>
            </w:r>
            <w:r>
              <w:rPr>
                <w:lang w:val="fr-CH"/>
              </w:rPr>
              <w:t>576</w:t>
            </w:r>
          </w:p>
        </w:tc>
        <w:tc>
          <w:tcPr>
            <w:tcW w:w="3155" w:type="dxa"/>
          </w:tcPr>
          <w:p w:rsidR="002B489A" w:rsidRDefault="004F19C4">
            <w:pPr>
              <w:pStyle w:val="Tabletext"/>
              <w:framePr w:hSpace="181" w:wrap="notBeside" w:vAnchor="text" w:hAnchor="text" w:xAlign="center" w:y="1"/>
              <w:jc w:val="center"/>
              <w:rPr>
                <w:lang w:val="fr-CH"/>
              </w:rPr>
            </w:pPr>
            <w:r>
              <w:rPr>
                <w:lang w:val="fr-CH"/>
              </w:rPr>
              <w:t>–35</w:t>
            </w:r>
          </w:p>
        </w:tc>
        <w:tc>
          <w:tcPr>
            <w:tcW w:w="240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35"/>
              </w:tabs>
              <w:jc w:val="left"/>
              <w:rPr>
                <w:lang w:val="fr-CH"/>
              </w:rPr>
            </w:pPr>
            <w:r>
              <w:rPr>
                <w:lang w:val="fr-CH"/>
              </w:rPr>
              <w:t>6</w:t>
            </w:r>
          </w:p>
        </w:tc>
        <w:tc>
          <w:tcPr>
            <w:tcW w:w="2640" w:type="dxa"/>
          </w:tcPr>
          <w:p w:rsidR="002B489A" w:rsidRDefault="004F19C4">
            <w:pPr>
              <w:pStyle w:val="Tabletext"/>
              <w:framePr w:hSpace="181" w:wrap="notBeside" w:vAnchor="text" w:hAnchor="text" w:xAlign="center" w:y="1"/>
              <w:jc w:val="center"/>
              <w:rPr>
                <w:lang w:val="fr-CH"/>
              </w:rPr>
            </w:pPr>
            <w:r>
              <w:rPr>
                <w:lang w:val="fr-CH"/>
              </w:rPr>
              <w:t>–157</w:t>
            </w:r>
          </w:p>
        </w:tc>
      </w:tr>
      <w:tr w:rsidR="002B489A">
        <w:tc>
          <w:tcPr>
            <w:tcW w:w="0" w:type="auto"/>
          </w:tcPr>
          <w:p w:rsidR="002B489A" w:rsidRDefault="004F19C4">
            <w:pPr>
              <w:pStyle w:val="Tabletext"/>
              <w:framePr w:hSpace="181" w:wrap="notBeside" w:vAnchor="text" w:hAnchor="text" w:xAlign="center" w:y="1"/>
              <w:jc w:val="center"/>
              <w:rPr>
                <w:lang w:val="fr-CH"/>
              </w:rPr>
            </w:pPr>
            <w:r>
              <w:rPr>
                <w:lang w:val="fr-CH"/>
              </w:rPr>
              <w:t>1</w:t>
            </w:r>
            <w:r>
              <w:rPr>
                <w:rFonts w:ascii="Tms Rmn" w:hAnsi="Tms Rmn"/>
                <w:sz w:val="12"/>
                <w:lang w:val="fr-CH"/>
              </w:rPr>
              <w:t> </w:t>
            </w:r>
            <w:r>
              <w:rPr>
                <w:lang w:val="fr-CH"/>
              </w:rPr>
              <w:t>593</w:t>
            </w:r>
          </w:p>
        </w:tc>
        <w:tc>
          <w:tcPr>
            <w:tcW w:w="3155" w:type="dxa"/>
          </w:tcPr>
          <w:p w:rsidR="002B489A" w:rsidRDefault="004F19C4">
            <w:pPr>
              <w:pStyle w:val="Tabletext"/>
              <w:framePr w:hSpace="181" w:wrap="notBeside" w:vAnchor="text" w:hAnchor="text" w:xAlign="center" w:y="1"/>
              <w:jc w:val="center"/>
              <w:rPr>
                <w:lang w:val="fr-CH"/>
              </w:rPr>
            </w:pPr>
            <w:r>
              <w:rPr>
                <w:lang w:val="fr-CH"/>
              </w:rPr>
              <w:t>–45</w:t>
            </w:r>
          </w:p>
        </w:tc>
        <w:tc>
          <w:tcPr>
            <w:tcW w:w="240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35"/>
              </w:tabs>
              <w:jc w:val="left"/>
              <w:rPr>
                <w:lang w:val="fr-CH"/>
              </w:rPr>
            </w:pPr>
            <w:r>
              <w:rPr>
                <w:lang w:val="fr-CH"/>
              </w:rPr>
              <w:t>–4</w:t>
            </w:r>
          </w:p>
        </w:tc>
        <w:tc>
          <w:tcPr>
            <w:tcW w:w="2640" w:type="dxa"/>
          </w:tcPr>
          <w:p w:rsidR="002B489A" w:rsidRDefault="004F19C4">
            <w:pPr>
              <w:pStyle w:val="Tabletext"/>
              <w:framePr w:hSpace="181" w:wrap="notBeside" w:vAnchor="text" w:hAnchor="text" w:xAlign="center" w:y="1"/>
              <w:jc w:val="center"/>
              <w:rPr>
                <w:lang w:val="fr-CH"/>
              </w:rPr>
            </w:pPr>
            <w:r>
              <w:rPr>
                <w:lang w:val="fr-CH"/>
              </w:rPr>
              <w:t>–167</w:t>
            </w:r>
          </w:p>
        </w:tc>
      </w:tr>
      <w:tr w:rsidR="002B489A">
        <w:tc>
          <w:tcPr>
            <w:tcW w:w="0" w:type="auto"/>
          </w:tcPr>
          <w:p w:rsidR="002B489A" w:rsidRDefault="004F19C4">
            <w:pPr>
              <w:pStyle w:val="Tabletext"/>
              <w:framePr w:hSpace="181" w:wrap="notBeside" w:vAnchor="text" w:hAnchor="text" w:xAlign="center" w:y="1"/>
              <w:jc w:val="center"/>
              <w:rPr>
                <w:lang w:val="fr-CH"/>
              </w:rPr>
            </w:pPr>
            <w:r>
              <w:rPr>
                <w:lang w:val="fr-CH"/>
              </w:rPr>
              <w:t>1</w:t>
            </w:r>
            <w:r>
              <w:rPr>
                <w:rFonts w:ascii="Tms Rmn" w:hAnsi="Tms Rmn"/>
                <w:sz w:val="12"/>
                <w:lang w:val="fr-CH"/>
              </w:rPr>
              <w:t> </w:t>
            </w:r>
            <w:r>
              <w:rPr>
                <w:lang w:val="fr-CH"/>
              </w:rPr>
              <w:t>610</w:t>
            </w:r>
          </w:p>
        </w:tc>
        <w:tc>
          <w:tcPr>
            <w:tcW w:w="3155" w:type="dxa"/>
          </w:tcPr>
          <w:p w:rsidR="002B489A" w:rsidRDefault="004F19C4">
            <w:pPr>
              <w:pStyle w:val="Tabletext"/>
              <w:framePr w:hSpace="181" w:wrap="notBeside" w:vAnchor="text" w:hAnchor="text" w:xAlign="center" w:y="1"/>
              <w:jc w:val="center"/>
              <w:rPr>
                <w:lang w:val="fr-CH"/>
              </w:rPr>
            </w:pPr>
            <w:r>
              <w:rPr>
                <w:lang w:val="fr-CH"/>
              </w:rPr>
              <w:t>–65</w:t>
            </w:r>
          </w:p>
        </w:tc>
        <w:tc>
          <w:tcPr>
            <w:tcW w:w="240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35"/>
              </w:tabs>
              <w:jc w:val="left"/>
              <w:rPr>
                <w:lang w:val="fr-CH"/>
              </w:rPr>
            </w:pPr>
            <w:r>
              <w:rPr>
                <w:lang w:val="fr-CH"/>
              </w:rPr>
              <w:t>–14</w:t>
            </w:r>
          </w:p>
        </w:tc>
        <w:tc>
          <w:tcPr>
            <w:tcW w:w="2640" w:type="dxa"/>
          </w:tcPr>
          <w:p w:rsidR="002B489A" w:rsidRDefault="004F19C4">
            <w:pPr>
              <w:pStyle w:val="Tabletext"/>
              <w:framePr w:hSpace="181" w:wrap="notBeside" w:vAnchor="text" w:hAnchor="text" w:xAlign="center" w:y="1"/>
              <w:jc w:val="center"/>
              <w:rPr>
                <w:lang w:val="fr-CH"/>
              </w:rPr>
            </w:pPr>
            <w:r>
              <w:rPr>
                <w:lang w:val="fr-CH"/>
              </w:rPr>
              <w:t>–187</w:t>
            </w:r>
          </w:p>
        </w:tc>
      </w:tr>
      <w:tr w:rsidR="002B489A">
        <w:tc>
          <w:tcPr>
            <w:tcW w:w="0" w:type="auto"/>
          </w:tcPr>
          <w:p w:rsidR="002B489A" w:rsidRDefault="004F19C4">
            <w:pPr>
              <w:pStyle w:val="Tabletext"/>
              <w:framePr w:hSpace="181" w:wrap="notBeside" w:vAnchor="text" w:hAnchor="text" w:xAlign="center" w:y="1"/>
              <w:jc w:val="center"/>
              <w:rPr>
                <w:lang w:val="fr-CH"/>
              </w:rPr>
            </w:pPr>
            <w:r>
              <w:rPr>
                <w:lang w:val="fr-CH"/>
              </w:rPr>
              <w:t>1</w:t>
            </w:r>
            <w:r>
              <w:rPr>
                <w:rFonts w:ascii="Tms Rmn" w:hAnsi="Tms Rmn"/>
                <w:sz w:val="12"/>
                <w:lang w:val="fr-CH"/>
              </w:rPr>
              <w:t> </w:t>
            </w:r>
            <w:r>
              <w:rPr>
                <w:lang w:val="fr-CH"/>
              </w:rPr>
              <w:t>627</w:t>
            </w:r>
          </w:p>
        </w:tc>
        <w:tc>
          <w:tcPr>
            <w:tcW w:w="3155" w:type="dxa"/>
          </w:tcPr>
          <w:p w:rsidR="002B489A" w:rsidRDefault="004F19C4">
            <w:pPr>
              <w:pStyle w:val="Tabletext"/>
              <w:framePr w:hSpace="181" w:wrap="notBeside" w:vAnchor="text" w:hAnchor="text" w:xAlign="center" w:y="1"/>
              <w:jc w:val="center"/>
              <w:rPr>
                <w:lang w:val="fr-CH"/>
              </w:rPr>
            </w:pPr>
            <w:r>
              <w:rPr>
                <w:lang w:val="fr-CH"/>
              </w:rPr>
              <w:t>–75</w:t>
            </w:r>
          </w:p>
        </w:tc>
        <w:tc>
          <w:tcPr>
            <w:tcW w:w="240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35"/>
              </w:tabs>
              <w:jc w:val="left"/>
              <w:rPr>
                <w:lang w:val="fr-CH"/>
              </w:rPr>
            </w:pPr>
            <w:r>
              <w:rPr>
                <w:lang w:val="fr-CH"/>
              </w:rPr>
              <w:t>–24</w:t>
            </w:r>
          </w:p>
        </w:tc>
        <w:tc>
          <w:tcPr>
            <w:tcW w:w="2640" w:type="dxa"/>
          </w:tcPr>
          <w:p w:rsidR="002B489A" w:rsidRDefault="004F19C4">
            <w:pPr>
              <w:pStyle w:val="Tabletext"/>
              <w:framePr w:hSpace="181" w:wrap="notBeside" w:vAnchor="text" w:hAnchor="text" w:xAlign="center" w:y="1"/>
              <w:jc w:val="center"/>
              <w:rPr>
                <w:lang w:val="fr-CH"/>
              </w:rPr>
            </w:pPr>
            <w:r>
              <w:rPr>
                <w:lang w:val="fr-CH"/>
              </w:rPr>
              <w:t>–197</w:t>
            </w:r>
          </w:p>
        </w:tc>
      </w:tr>
      <w:tr w:rsidR="002B489A">
        <w:tc>
          <w:tcPr>
            <w:tcW w:w="0" w:type="auto"/>
          </w:tcPr>
          <w:p w:rsidR="002B489A" w:rsidRDefault="004F19C4">
            <w:pPr>
              <w:pStyle w:val="Tabletext"/>
              <w:framePr w:hSpace="181" w:wrap="notBeside" w:vAnchor="text" w:hAnchor="text" w:xAlign="center" w:y="1"/>
              <w:jc w:val="center"/>
              <w:rPr>
                <w:lang w:val="fr-CH"/>
              </w:rPr>
            </w:pPr>
            <w:r>
              <w:rPr>
                <w:lang w:val="fr-CH"/>
              </w:rPr>
              <w:t>1</w:t>
            </w:r>
            <w:r>
              <w:rPr>
                <w:rFonts w:ascii="Tms Rmn" w:hAnsi="Tms Rmn"/>
                <w:sz w:val="12"/>
                <w:lang w:val="fr-CH"/>
              </w:rPr>
              <w:t> </w:t>
            </w:r>
            <w:r>
              <w:rPr>
                <w:lang w:val="fr-CH"/>
              </w:rPr>
              <w:t>678</w:t>
            </w:r>
          </w:p>
        </w:tc>
        <w:tc>
          <w:tcPr>
            <w:tcW w:w="3155" w:type="dxa"/>
          </w:tcPr>
          <w:p w:rsidR="002B489A" w:rsidRDefault="004F19C4">
            <w:pPr>
              <w:pStyle w:val="Tabletext"/>
              <w:framePr w:hSpace="181" w:wrap="notBeside" w:vAnchor="text" w:hAnchor="text" w:xAlign="center" w:y="1"/>
              <w:jc w:val="center"/>
              <w:rPr>
                <w:lang w:val="fr-CH"/>
              </w:rPr>
            </w:pPr>
            <w:r>
              <w:rPr>
                <w:lang w:val="fr-CH"/>
              </w:rPr>
              <w:t>–80</w:t>
            </w:r>
          </w:p>
        </w:tc>
        <w:tc>
          <w:tcPr>
            <w:tcW w:w="240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35"/>
              </w:tabs>
              <w:jc w:val="left"/>
              <w:rPr>
                <w:lang w:val="fr-CH"/>
              </w:rPr>
            </w:pPr>
            <w:r>
              <w:rPr>
                <w:lang w:val="fr-CH"/>
              </w:rPr>
              <w:t>–39</w:t>
            </w:r>
          </w:p>
        </w:tc>
        <w:tc>
          <w:tcPr>
            <w:tcW w:w="2640" w:type="dxa"/>
          </w:tcPr>
          <w:p w:rsidR="002B489A" w:rsidRDefault="004F19C4">
            <w:pPr>
              <w:pStyle w:val="Tabletext"/>
              <w:framePr w:hSpace="181" w:wrap="notBeside" w:vAnchor="text" w:hAnchor="text" w:xAlign="center" w:y="1"/>
              <w:jc w:val="center"/>
              <w:rPr>
                <w:lang w:val="fr-CH"/>
              </w:rPr>
            </w:pPr>
            <w:r>
              <w:rPr>
                <w:lang w:val="fr-CH"/>
              </w:rPr>
              <w:t>–202</w:t>
            </w:r>
          </w:p>
        </w:tc>
      </w:tr>
      <w:tr w:rsidR="002B489A">
        <w:tc>
          <w:tcPr>
            <w:tcW w:w="0" w:type="auto"/>
          </w:tcPr>
          <w:p w:rsidR="002B489A" w:rsidRDefault="004F19C4">
            <w:pPr>
              <w:pStyle w:val="Tabletext"/>
              <w:framePr w:hSpace="181" w:wrap="notBeside" w:vAnchor="text" w:hAnchor="text" w:xAlign="center" w:y="1"/>
              <w:jc w:val="center"/>
              <w:rPr>
                <w:lang w:val="fr-CH"/>
              </w:rPr>
            </w:pPr>
            <w:r>
              <w:rPr>
                <w:lang w:val="fr-CH"/>
              </w:rPr>
              <w:t>1</w:t>
            </w:r>
            <w:r>
              <w:rPr>
                <w:rFonts w:ascii="Tms Rmn" w:hAnsi="Tms Rmn"/>
                <w:sz w:val="12"/>
                <w:lang w:val="fr-CH"/>
              </w:rPr>
              <w:t> </w:t>
            </w:r>
            <w:r>
              <w:rPr>
                <w:lang w:val="fr-CH"/>
              </w:rPr>
              <w:t>700</w:t>
            </w:r>
          </w:p>
        </w:tc>
        <w:tc>
          <w:tcPr>
            <w:tcW w:w="3155" w:type="dxa"/>
          </w:tcPr>
          <w:p w:rsidR="002B489A" w:rsidRDefault="004F19C4">
            <w:pPr>
              <w:pStyle w:val="Tabletext"/>
              <w:framePr w:hSpace="181" w:wrap="notBeside" w:vAnchor="text" w:hAnchor="text" w:xAlign="center" w:y="1"/>
              <w:jc w:val="center"/>
              <w:rPr>
                <w:lang w:val="fr-CH"/>
              </w:rPr>
            </w:pPr>
            <w:r>
              <w:rPr>
                <w:lang w:val="fr-CH"/>
              </w:rPr>
              <w:t>–80</w:t>
            </w:r>
          </w:p>
        </w:tc>
        <w:tc>
          <w:tcPr>
            <w:tcW w:w="240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35"/>
              </w:tabs>
              <w:jc w:val="left"/>
              <w:rPr>
                <w:lang w:val="fr-CH"/>
              </w:rPr>
            </w:pPr>
            <w:r>
              <w:rPr>
                <w:lang w:val="fr-CH"/>
              </w:rPr>
              <w:t>–39</w:t>
            </w:r>
          </w:p>
        </w:tc>
        <w:tc>
          <w:tcPr>
            <w:tcW w:w="2640" w:type="dxa"/>
          </w:tcPr>
          <w:p w:rsidR="002B489A" w:rsidRDefault="004F19C4">
            <w:pPr>
              <w:pStyle w:val="Tabletext"/>
              <w:framePr w:hSpace="181" w:wrap="notBeside" w:vAnchor="text" w:hAnchor="text" w:xAlign="center" w:y="1"/>
              <w:jc w:val="center"/>
              <w:rPr>
                <w:lang w:val="fr-CH"/>
              </w:rPr>
            </w:pPr>
            <w:r>
              <w:rPr>
                <w:lang w:val="fr-CH"/>
              </w:rPr>
              <w:t>–202</w:t>
            </w:r>
          </w:p>
        </w:tc>
      </w:tr>
      <w:tr w:rsidR="002B489A">
        <w:tc>
          <w:tcPr>
            <w:tcW w:w="0" w:type="auto"/>
          </w:tcPr>
          <w:p w:rsidR="002B489A" w:rsidRDefault="004F19C4">
            <w:pPr>
              <w:pStyle w:val="Tabletext"/>
              <w:framePr w:hSpace="181" w:wrap="notBeside" w:vAnchor="text" w:hAnchor="text" w:xAlign="center" w:y="1"/>
              <w:jc w:val="center"/>
              <w:rPr>
                <w:lang w:val="fr-CH"/>
              </w:rPr>
            </w:pPr>
            <w:r>
              <w:rPr>
                <w:lang w:val="fr-CH"/>
              </w:rPr>
              <w:t>1</w:t>
            </w:r>
            <w:r>
              <w:rPr>
                <w:rFonts w:ascii="Tms Rmn" w:hAnsi="Tms Rmn"/>
                <w:sz w:val="12"/>
                <w:lang w:val="fr-CH"/>
              </w:rPr>
              <w:t> </w:t>
            </w:r>
            <w:r>
              <w:rPr>
                <w:lang w:val="fr-CH"/>
              </w:rPr>
              <w:t>800</w:t>
            </w:r>
          </w:p>
        </w:tc>
        <w:tc>
          <w:tcPr>
            <w:tcW w:w="3155" w:type="dxa"/>
          </w:tcPr>
          <w:p w:rsidR="002B489A" w:rsidRDefault="004F19C4">
            <w:pPr>
              <w:pStyle w:val="Tabletext"/>
              <w:framePr w:hSpace="181" w:wrap="notBeside" w:vAnchor="text" w:hAnchor="text" w:xAlign="center" w:y="1"/>
              <w:jc w:val="center"/>
              <w:rPr>
                <w:lang w:val="fr-CH"/>
              </w:rPr>
            </w:pPr>
            <w:r>
              <w:rPr>
                <w:lang w:val="fr-CH"/>
              </w:rPr>
              <w:t>–80</w:t>
            </w:r>
          </w:p>
        </w:tc>
        <w:tc>
          <w:tcPr>
            <w:tcW w:w="240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35"/>
              </w:tabs>
              <w:jc w:val="left"/>
              <w:rPr>
                <w:lang w:val="fr-CH"/>
              </w:rPr>
            </w:pPr>
            <w:r>
              <w:rPr>
                <w:lang w:val="fr-CH"/>
              </w:rPr>
              <w:t>–39</w:t>
            </w:r>
          </w:p>
        </w:tc>
        <w:tc>
          <w:tcPr>
            <w:tcW w:w="2640" w:type="dxa"/>
          </w:tcPr>
          <w:p w:rsidR="002B489A" w:rsidRDefault="004F19C4">
            <w:pPr>
              <w:pStyle w:val="Tabletext"/>
              <w:framePr w:hSpace="181" w:wrap="notBeside" w:vAnchor="text" w:hAnchor="text" w:xAlign="center" w:y="1"/>
              <w:jc w:val="center"/>
              <w:rPr>
                <w:lang w:val="fr-CH"/>
              </w:rPr>
            </w:pPr>
            <w:r>
              <w:rPr>
                <w:lang w:val="fr-CH"/>
              </w:rPr>
              <w:t>–202</w:t>
            </w:r>
          </w:p>
        </w:tc>
      </w:tr>
    </w:tbl>
    <w:p w:rsidR="002B489A" w:rsidRDefault="002B489A">
      <w:pPr>
        <w:pStyle w:val="Tablefin"/>
      </w:pPr>
    </w:p>
    <w:p w:rsidR="002B489A" w:rsidRDefault="002B489A">
      <w:pPr>
        <w:rPr>
          <w:lang w:val="en-GB"/>
        </w:rPr>
      </w:pPr>
    </w:p>
    <w:p w:rsidR="002B489A" w:rsidRDefault="004F19C4">
      <w:pPr>
        <w:pStyle w:val="Heading1"/>
        <w:rPr>
          <w:lang w:val="fr-CH"/>
        </w:rPr>
      </w:pPr>
      <w:r>
        <w:rPr>
          <w:lang w:val="fr-CH"/>
        </w:rPr>
        <w:t>5</w:t>
      </w:r>
      <w:r>
        <w:rPr>
          <w:lang w:val="fr-CH"/>
        </w:rPr>
        <w:tab/>
        <w:t>Techniques de réduction des brouillages</w:t>
      </w:r>
    </w:p>
    <w:p w:rsidR="002B489A" w:rsidRDefault="004F19C4">
      <w:pPr>
        <w:pStyle w:val="Heading2"/>
        <w:rPr>
          <w:lang w:val="fr-CH"/>
        </w:rPr>
      </w:pPr>
      <w:r>
        <w:rPr>
          <w:lang w:val="fr-CH"/>
        </w:rPr>
        <w:t>5.1</w:t>
      </w:r>
      <w:r>
        <w:rPr>
          <w:lang w:val="fr-CH"/>
        </w:rPr>
        <w:tab/>
        <w:t>SRA</w:t>
      </w:r>
    </w:p>
    <w:p w:rsidR="002B489A" w:rsidRDefault="004F19C4">
      <w:pPr>
        <w:rPr>
          <w:lang w:val="fr-CH"/>
        </w:rPr>
      </w:pPr>
      <w:r>
        <w:rPr>
          <w:lang w:val="fr-CH"/>
        </w:rPr>
        <w:t>On peut utiliser diverses méthodes, y compris celles qui sont décrites ci-dessous, pour réduire les rayonnements non désirés causés par les émetteurs de satellite à un radiotélescope.</w:t>
      </w:r>
    </w:p>
    <w:p w:rsidR="002B489A" w:rsidRDefault="004F19C4">
      <w:pPr>
        <w:rPr>
          <w:lang w:val="fr-CH"/>
        </w:rPr>
      </w:pPr>
      <w:r>
        <w:rPr>
          <w:i/>
          <w:lang w:val="fr-CH"/>
        </w:rPr>
        <w:t>Performances du lobe latéral de l'antenne:</w:t>
      </w:r>
      <w:r>
        <w:rPr>
          <w:lang w:val="fr-CH"/>
        </w:rPr>
        <w:t xml:space="preserve"> L'éclairement lumineux d'ouverture des radiotélescopes est habituellement optimisé pour </w:t>
      </w:r>
      <w:r>
        <w:rPr>
          <w:i/>
          <w:iCs/>
          <w:lang w:val="fr-CH"/>
        </w:rPr>
        <w:t>G</w:t>
      </w:r>
      <w:r>
        <w:rPr>
          <w:lang w:val="fr-CH"/>
        </w:rPr>
        <w:t>/</w:t>
      </w:r>
      <w:r>
        <w:rPr>
          <w:i/>
          <w:iCs/>
          <w:lang w:val="fr-CH"/>
        </w:rPr>
        <w:t>T</w:t>
      </w:r>
      <w:r>
        <w:rPr>
          <w:lang w:val="fr-CH"/>
        </w:rPr>
        <w:t xml:space="preserve">, c'est-à-dire le gain du télescope divisé par la température du système. Cela maximise le rapport </w:t>
      </w:r>
      <w:r>
        <w:rPr>
          <w:i/>
          <w:iCs/>
          <w:lang w:val="fr-CH"/>
        </w:rPr>
        <w:t>S</w:t>
      </w:r>
      <w:r>
        <w:rPr>
          <w:lang w:val="fr-CH"/>
        </w:rPr>
        <w:t>/</w:t>
      </w:r>
      <w:r>
        <w:rPr>
          <w:i/>
          <w:iCs/>
          <w:lang w:val="fr-CH"/>
        </w:rPr>
        <w:t>N</w:t>
      </w:r>
      <w:r>
        <w:rPr>
          <w:lang w:val="fr-CH"/>
        </w:rPr>
        <w:t xml:space="preserve"> pour les points sources. Un élément clé de cette approche est de réduire le rayonnement du sol entrant par les lobes latéraux distants. Inévitablement, cela conduit à un certain accroissement correspondant dans les niveaux de lobes latéraux proches. L'expérience a montré que le gabarit d'enveloppe de lobe latéral donné dans la Recommandation UIT-R SA.509 est satisfait par la majorité des radiotélescopes dans la plupart des directions.</w:t>
      </w:r>
    </w:p>
    <w:p w:rsidR="002B489A" w:rsidRDefault="004F19C4">
      <w:pPr>
        <w:rPr>
          <w:lang w:val="fr-CH"/>
        </w:rPr>
      </w:pPr>
      <w:r>
        <w:rPr>
          <w:i/>
          <w:lang w:val="fr-CH"/>
        </w:rPr>
        <w:br w:type="page"/>
        <w:t>Suppression de faisceau en temps et/ou fréquence:</w:t>
      </w:r>
      <w:r>
        <w:rPr>
          <w:lang w:val="fr-CH"/>
        </w:rPr>
        <w:t xml:space="preserve"> Cette technique peut être appliquée dans certains cas lorsque le brouillage sur la bande de fréquences attribuée à la radioastronomie peut être identifié pleinement et sans ambiguïté en temps et/ou en fréquence.</w:t>
      </w:r>
    </w:p>
    <w:p w:rsidR="002B489A" w:rsidRDefault="004F19C4">
      <w:pPr>
        <w:pStyle w:val="Heading2"/>
        <w:rPr>
          <w:lang w:val="fr-CH"/>
        </w:rPr>
      </w:pPr>
      <w:r>
        <w:rPr>
          <w:lang w:val="fr-CH"/>
        </w:rPr>
        <w:t>5.2</w:t>
      </w:r>
      <w:r>
        <w:rPr>
          <w:lang w:val="fr-CH"/>
        </w:rPr>
        <w:tab/>
        <w:t>SMS</w:t>
      </w:r>
    </w:p>
    <w:p w:rsidR="002B489A" w:rsidRDefault="004F19C4">
      <w:pPr>
        <w:ind w:right="-142"/>
      </w:pPr>
      <w:r>
        <w:t>Pour améliorer les niveaux donnés au Tableau 11, les techniques de réduction des brouillages suivantes devraient être prises en considération lors de la conception de nouvelles stations spatiales :</w:t>
      </w:r>
    </w:p>
    <w:p w:rsidR="002B489A" w:rsidRDefault="004F19C4">
      <w:pPr>
        <w:pStyle w:val="enumlev1"/>
      </w:pPr>
      <w:r>
        <w:t>–</w:t>
      </w:r>
      <w:r>
        <w:tab/>
        <w:t>la réponse en fréquence large bande de l'antenne;</w:t>
      </w:r>
    </w:p>
    <w:p w:rsidR="002B489A" w:rsidRDefault="004F19C4">
      <w:pPr>
        <w:pStyle w:val="enumlev1"/>
      </w:pPr>
      <w:r>
        <w:t>–</w:t>
      </w:r>
      <w:r>
        <w:tab/>
        <w:t>les caractéristiques d'affaiblissement des filtres intermédiaires;</w:t>
      </w:r>
    </w:p>
    <w:p w:rsidR="002B489A" w:rsidRDefault="004F19C4">
      <w:pPr>
        <w:pStyle w:val="enumlev1"/>
      </w:pPr>
      <w:r>
        <w:t>–</w:t>
      </w:r>
      <w:r>
        <w:tab/>
        <w:t>le gain de réponse en fréquence des amplificateurs de puissance à semiconducteur;</w:t>
      </w:r>
    </w:p>
    <w:p w:rsidR="002B489A" w:rsidRDefault="004F19C4">
      <w:pPr>
        <w:pStyle w:val="enumlev1"/>
      </w:pPr>
      <w:r>
        <w:t>–</w:t>
      </w:r>
      <w:r>
        <w:tab/>
        <w:t>les caractéristiques de modulation des porteuses individuelles;</w:t>
      </w:r>
    </w:p>
    <w:p w:rsidR="002B489A" w:rsidRDefault="004F19C4">
      <w:pPr>
        <w:pStyle w:val="enumlev1"/>
        <w:rPr>
          <w:lang w:val="fr-CH"/>
        </w:rPr>
      </w:pPr>
      <w:r>
        <w:t>–</w:t>
      </w:r>
      <w:r>
        <w:tab/>
        <w:t>l'affaiblissement des produits d'intermodulation par rapport à la puissance des porteuses.</w:t>
      </w:r>
    </w:p>
    <w:p w:rsidR="002B489A" w:rsidRDefault="004F19C4">
      <w:pPr>
        <w:pStyle w:val="Heading2"/>
        <w:rPr>
          <w:lang w:val="fr-CH"/>
        </w:rPr>
      </w:pPr>
      <w:r>
        <w:rPr>
          <w:lang w:val="fr-CH"/>
        </w:rPr>
        <w:t>5.3</w:t>
      </w:r>
      <w:r>
        <w:rPr>
          <w:lang w:val="fr-CH"/>
        </w:rPr>
        <w:tab/>
        <w:t>Impact potentiel</w:t>
      </w:r>
    </w:p>
    <w:p w:rsidR="002B489A" w:rsidRDefault="004F19C4">
      <w:pPr>
        <w:pStyle w:val="Heading3"/>
        <w:rPr>
          <w:lang w:val="fr-CH"/>
        </w:rPr>
      </w:pPr>
      <w:r>
        <w:rPr>
          <w:lang w:val="fr-CH"/>
        </w:rPr>
        <w:t>5.3.1</w:t>
      </w:r>
      <w:r>
        <w:rPr>
          <w:lang w:val="fr-CH"/>
        </w:rPr>
        <w:tab/>
        <w:t>SRA</w:t>
      </w:r>
    </w:p>
    <w:p w:rsidR="002B489A" w:rsidRDefault="004F19C4">
      <w:pPr>
        <w:rPr>
          <w:lang w:val="fr-CH"/>
        </w:rPr>
      </w:pPr>
      <w:r>
        <w:rPr>
          <w:lang w:val="fr-CH"/>
        </w:rPr>
        <w:t>Sur la base de l'analyse du § 4, et de la nature des techniques de réduction des brouillages dont la liste figure au § 5.1, il pourrait y avoir un peu de perte de temps d'observation lorsque les satellites traversent les lobes latéraux principaux ou internes de l'antenne. L'étendue de la perte dépendra de l'antenne du radiotélescope et du nombre de satellites. La question de la perte des données est examinée dans la Recommandation UIT-R RA.1513.</w:t>
      </w:r>
    </w:p>
    <w:p w:rsidR="002B489A" w:rsidRDefault="004F19C4">
      <w:pPr>
        <w:pStyle w:val="Heading3"/>
        <w:rPr>
          <w:lang w:val="fr-CH"/>
        </w:rPr>
      </w:pPr>
      <w:r>
        <w:rPr>
          <w:lang w:val="fr-CH"/>
        </w:rPr>
        <w:t>5.3.2</w:t>
      </w:r>
      <w:r>
        <w:rPr>
          <w:lang w:val="fr-CH"/>
        </w:rPr>
        <w:tab/>
        <w:t>SMS</w:t>
      </w:r>
    </w:p>
    <w:p w:rsidR="002B489A" w:rsidRDefault="004F19C4">
      <w:pPr>
        <w:spacing w:before="60"/>
        <w:rPr>
          <w:lang w:val="fr-CH"/>
        </w:rPr>
      </w:pPr>
      <w:r>
        <w:rPr>
          <w:lang w:val="fr-CH"/>
        </w:rPr>
        <w:t>Les techniques de réduction des brouillages du § 5.2 sont réputées techniquement faisables pour les systèmes OSG.</w:t>
      </w:r>
    </w:p>
    <w:p w:rsidR="002B489A" w:rsidRDefault="004F19C4">
      <w:pPr>
        <w:pStyle w:val="Heading1"/>
        <w:rPr>
          <w:lang w:val="fr-CH"/>
        </w:rPr>
      </w:pPr>
      <w:r>
        <w:rPr>
          <w:lang w:val="fr-CH"/>
        </w:rPr>
        <w:t>6</w:t>
      </w:r>
      <w:r>
        <w:rPr>
          <w:lang w:val="fr-CH"/>
        </w:rPr>
        <w:tab/>
        <w:t>Résultats des études</w:t>
      </w:r>
    </w:p>
    <w:p w:rsidR="002B489A" w:rsidRDefault="004F19C4">
      <w:pPr>
        <w:pStyle w:val="Heading2"/>
        <w:rPr>
          <w:lang w:val="fr-CH"/>
        </w:rPr>
      </w:pPr>
      <w:r>
        <w:rPr>
          <w:lang w:val="fr-CH"/>
        </w:rPr>
        <w:t>6.1</w:t>
      </w:r>
      <w:r>
        <w:rPr>
          <w:lang w:val="fr-CH"/>
        </w:rPr>
        <w:tab/>
        <w:t>Résumé</w:t>
      </w:r>
    </w:p>
    <w:p w:rsidR="002B489A" w:rsidRDefault="004F19C4">
      <w:pPr>
        <w:spacing w:before="60"/>
        <w:rPr>
          <w:lang w:val="fr-CH"/>
        </w:rPr>
      </w:pPr>
      <w:r>
        <w:rPr>
          <w:lang w:val="fr-CH"/>
        </w:rPr>
        <w:t>Sur la base des paramètres d'un système mobile à satellites OSG d'un opérateur et en tenant compte des facteurs de réduction des brouillages dont la liste figure au § 5.2, il est très vraisemblable que les niveaux des rayonnements non désirés provenant de ce système à satellites satisfont aux niveaux de seuil de brouillage nuisible pour les observations radioastronomiques à une seule antenne (voir le § 1.3). Aucune observation à antenne unique du continuum n'est effectuée dans cette bande.</w:t>
      </w:r>
    </w:p>
    <w:p w:rsidR="002B489A" w:rsidRDefault="004F19C4">
      <w:pPr>
        <w:pStyle w:val="Heading2"/>
        <w:rPr>
          <w:lang w:val="fr-CH"/>
        </w:rPr>
      </w:pPr>
      <w:r>
        <w:rPr>
          <w:lang w:val="fr-CH"/>
        </w:rPr>
        <w:t>6.2</w:t>
      </w:r>
      <w:r>
        <w:rPr>
          <w:lang w:val="fr-CH"/>
        </w:rPr>
        <w:tab/>
        <w:t>Conclusions</w:t>
      </w:r>
    </w:p>
    <w:p w:rsidR="002B489A" w:rsidRDefault="004F19C4">
      <w:pPr>
        <w:spacing w:before="60"/>
        <w:rPr>
          <w:lang w:val="fr-CH"/>
        </w:rPr>
      </w:pPr>
      <w:r>
        <w:rPr>
          <w:lang w:val="fr-CH"/>
        </w:rPr>
        <w:t>Les critères de protection sont satisfaits pour le cas d'observation de raies spectrales avec une antenne unique et pour les observations VLBI.</w:t>
      </w:r>
    </w:p>
    <w:p w:rsidR="002B489A" w:rsidRDefault="004F19C4">
      <w:pPr>
        <w:pStyle w:val="AnnexNoTitle"/>
        <w:rPr>
          <w:lang w:val="fr-CH"/>
        </w:rPr>
      </w:pPr>
      <w:r>
        <w:rPr>
          <w:lang w:val="fr-CH"/>
        </w:rPr>
        <w:br w:type="page"/>
        <w:t>Annexe 8</w:t>
      </w:r>
      <w:r>
        <w:rPr>
          <w:b w:val="0"/>
          <w:lang w:val="fr-CH"/>
        </w:rPr>
        <w:br/>
      </w:r>
      <w:r>
        <w:rPr>
          <w:b w:val="0"/>
          <w:lang w:val="fr-CH"/>
        </w:rPr>
        <w:br/>
      </w:r>
      <w:r>
        <w:rPr>
          <w:lang w:val="fr-CH"/>
        </w:rPr>
        <w:t>Analyse de compatibilité entre les systèmes du SRA (espace vers Terre) fonctionnant dans la bande 2</w:t>
      </w:r>
      <w:r>
        <w:rPr>
          <w:rFonts w:ascii="Tms Rmn" w:hAnsi="Tms Rmn"/>
          <w:sz w:val="12"/>
          <w:lang w:val="fr-CH"/>
        </w:rPr>
        <w:t> </w:t>
      </w:r>
      <w:r>
        <w:rPr>
          <w:lang w:val="fr-CH"/>
        </w:rPr>
        <w:t>690</w:t>
      </w:r>
      <w:r>
        <w:rPr>
          <w:lang w:val="fr-CH"/>
        </w:rPr>
        <w:noBreakHyphen/>
        <w:t>2</w:t>
      </w:r>
      <w:r>
        <w:rPr>
          <w:rFonts w:ascii="Tms Rmn" w:hAnsi="Tms Rmn"/>
          <w:sz w:val="12"/>
          <w:lang w:val="fr-CH"/>
        </w:rPr>
        <w:t> </w:t>
      </w:r>
      <w:r>
        <w:rPr>
          <w:lang w:val="fr-CH"/>
        </w:rPr>
        <w:t xml:space="preserve">700 MHz et les systèmes du SRS </w:t>
      </w:r>
      <w:r>
        <w:rPr>
          <w:lang w:val="fr-CH"/>
        </w:rPr>
        <w:br/>
        <w:t xml:space="preserve">et du SFS (espace vers Terre) fonctionnant dans </w:t>
      </w:r>
      <w:r>
        <w:rPr>
          <w:lang w:val="fr-CH"/>
        </w:rPr>
        <w:br/>
        <w:t>la bande 2</w:t>
      </w:r>
      <w:r>
        <w:rPr>
          <w:rFonts w:ascii="Tms Rmn" w:hAnsi="Tms Rmn"/>
          <w:sz w:val="12"/>
          <w:lang w:val="fr-CH"/>
        </w:rPr>
        <w:t> </w:t>
      </w:r>
      <w:r>
        <w:rPr>
          <w:lang w:val="fr-CH"/>
        </w:rPr>
        <w:t>655</w:t>
      </w:r>
      <w:r>
        <w:rPr>
          <w:lang w:val="fr-CH"/>
        </w:rPr>
        <w:noBreakHyphen/>
        <w:t>2</w:t>
      </w:r>
      <w:r>
        <w:rPr>
          <w:rFonts w:ascii="Tms Rmn" w:hAnsi="Tms Rmn"/>
          <w:sz w:val="12"/>
          <w:lang w:val="fr-CH"/>
        </w:rPr>
        <w:t> </w:t>
      </w:r>
      <w:r>
        <w:rPr>
          <w:lang w:val="fr-CH"/>
        </w:rPr>
        <w:t xml:space="preserve">690 MHz </w:t>
      </w:r>
    </w:p>
    <w:p w:rsidR="002B489A" w:rsidRDefault="004F19C4">
      <w:pPr>
        <w:pStyle w:val="Heading1"/>
        <w:rPr>
          <w:lang w:val="fr-CH"/>
        </w:rPr>
      </w:pPr>
      <w:r>
        <w:rPr>
          <w:lang w:val="fr-CH"/>
        </w:rPr>
        <w:t>1</w:t>
      </w:r>
      <w:r>
        <w:rPr>
          <w:lang w:val="fr-CH"/>
        </w:rPr>
        <w:tab/>
        <w:t>SRA</w:t>
      </w:r>
    </w:p>
    <w:p w:rsidR="002B489A" w:rsidRDefault="004F19C4">
      <w:pPr>
        <w:pStyle w:val="Heading2"/>
        <w:rPr>
          <w:lang w:val="fr-CH"/>
        </w:rPr>
      </w:pPr>
      <w:r>
        <w:rPr>
          <w:lang w:val="fr-CH"/>
        </w:rPr>
        <w:t>1.1</w:t>
      </w:r>
      <w:r>
        <w:rPr>
          <w:lang w:val="fr-CH"/>
        </w:rPr>
        <w:tab/>
        <w:t>Bande attribuée</w:t>
      </w:r>
    </w:p>
    <w:p w:rsidR="002B489A" w:rsidRDefault="004F19C4">
      <w:pPr>
        <w:spacing w:before="60"/>
        <w:rPr>
          <w:lang w:val="fr-CH"/>
        </w:rPr>
      </w:pPr>
      <w:r>
        <w:rPr>
          <w:lang w:val="fr-CH"/>
        </w:rPr>
        <w:t>La bande 2</w:t>
      </w:r>
      <w:r>
        <w:rPr>
          <w:rFonts w:ascii="Tms Rmn" w:hAnsi="Tms Rmn"/>
          <w:sz w:val="12"/>
          <w:lang w:val="fr-CH"/>
        </w:rPr>
        <w:t> </w:t>
      </w:r>
      <w:r>
        <w:rPr>
          <w:lang w:val="fr-CH"/>
        </w:rPr>
        <w:t>690</w:t>
      </w:r>
      <w:r>
        <w:rPr>
          <w:lang w:val="fr-CH"/>
        </w:rPr>
        <w:noBreakHyphen/>
        <w:t>2</w:t>
      </w:r>
      <w:r>
        <w:rPr>
          <w:rFonts w:ascii="Tms Rmn" w:hAnsi="Tms Rmn"/>
          <w:sz w:val="12"/>
          <w:lang w:val="fr-CH"/>
        </w:rPr>
        <w:t> </w:t>
      </w:r>
      <w:r>
        <w:rPr>
          <w:lang w:val="fr-CH"/>
        </w:rPr>
        <w:t>700 MHz a été attribuée à titre primaire aux SRA, SETS (passive) et de recherche spatiale (passive).</w:t>
      </w:r>
    </w:p>
    <w:p w:rsidR="002B489A" w:rsidRDefault="004F19C4">
      <w:pPr>
        <w:spacing w:before="60"/>
        <w:rPr>
          <w:lang w:val="fr-CH"/>
        </w:rPr>
      </w:pPr>
      <w:r>
        <w:rPr>
          <w:lang w:val="fr-CH"/>
        </w:rPr>
        <w:t>Le numéro 5.340 du RR dispose que, dans cette bande, «toutes les émissions sont interdites».</w:t>
      </w:r>
    </w:p>
    <w:p w:rsidR="002B489A" w:rsidRDefault="004F19C4">
      <w:pPr>
        <w:pStyle w:val="Heading2"/>
        <w:rPr>
          <w:lang w:val="fr-CH"/>
        </w:rPr>
      </w:pPr>
      <w:r>
        <w:rPr>
          <w:lang w:val="fr-CH"/>
        </w:rPr>
        <w:t>1.2</w:t>
      </w:r>
      <w:r>
        <w:rPr>
          <w:lang w:val="fr-CH"/>
        </w:rPr>
        <w:tab/>
        <w:t>Type d'observations</w:t>
      </w:r>
    </w:p>
    <w:p w:rsidR="002B489A" w:rsidRDefault="004F19C4">
      <w:pPr>
        <w:spacing w:before="60"/>
        <w:rPr>
          <w:lang w:val="fr-CH"/>
        </w:rPr>
      </w:pPr>
      <w:r>
        <w:rPr>
          <w:lang w:val="fr-CH"/>
        </w:rPr>
        <w:t>Cette bande est principalement intéressante pour l'étude des émissions du continuum des sources radioélectriques.</w:t>
      </w:r>
    </w:p>
    <w:p w:rsidR="002B489A" w:rsidRDefault="004F19C4">
      <w:pPr>
        <w:spacing w:before="60"/>
        <w:rPr>
          <w:lang w:val="fr-CH"/>
        </w:rPr>
      </w:pPr>
      <w:r>
        <w:rPr>
          <w:lang w:val="fr-CH"/>
        </w:rPr>
        <w:t>Une considération générale pour l'étude des émissions du continuum des sources radioélectriques est l'exigence d'observations échantillonnées de ces sources à travers une très large gamme de fréquences. Les observations à des fréquences très variées aident à définir la forme des spectres d'émission de ces sources, ce qui donne ensuite des informations sur les paramètres physiques des sources de rayonnement comme les densités, les températures et les champs magnétiques, ainsi qu'également sur leurs durées de vie. La connaissance de ces paramètres physiques est essentielle pour notre compréhension des processus physiques qui produisent des rayonnements radioélectriques. De nombreuses radiosources extragalactiques montrent une «rupture» dans leur spectre non thermique dans la région comprise entre 1 et 3 GHz et des mesures du continuum à environ 2,7 GHz sont essentielles pour définir avec précision de telles caractéristiques spectrales.</w:t>
      </w:r>
    </w:p>
    <w:p w:rsidR="002B489A" w:rsidRDefault="004F19C4">
      <w:pPr>
        <w:rPr>
          <w:lang w:val="fr-CH"/>
        </w:rPr>
      </w:pPr>
      <w:r>
        <w:rPr>
          <w:lang w:val="fr-CH"/>
        </w:rPr>
        <w:t>C'est une bonne bande de fréquences pour les mesures du continuum, en partie à cause du faible rayonnement galactique de fond, et aussi parce que les récepteurs de radioastronomie sont d'excellente qualité et ont un très faible bruit à de telles fréquences.</w:t>
      </w:r>
    </w:p>
    <w:p w:rsidR="002B489A" w:rsidRDefault="004F19C4">
      <w:pPr>
        <w:rPr>
          <w:lang w:val="fr-CH"/>
        </w:rPr>
      </w:pPr>
      <w:r>
        <w:rPr>
          <w:lang w:val="fr-CH"/>
        </w:rPr>
        <w:t>Elle est aussi utile pour les études galactiques des nuages d'hydrogène ionisé et pour le rayonnement général diffus de la galaxie. Dans la mesure où, à de telles fréquences, les radiotélescopes disponibles ont une résolution angulaire adéquate (faisceaux étroits, de l'ordre de 10 min d'arc pour les grands télescopes), de nombreuses études utiles du plan galactique ont été effectuées, y compris dans les régions du centre galactique qui est invisible aux longueurs d'onde optiques à cause de l'absorption interstellaire par les particules de poussière. Le centre de notre galaxie est peut-être sa région la plus importante et il ne peut être observé qu'aux longueurs d'onde infrarouges et radioélectriques, dans la mesure où ces longueurs d'onde ne sont pas affectées par les particules de poussière de l'espace interstellaire (les longueurs d'onde optiques sont absorbées et dispersées par ces particules de poussière). L'étude des noyaux des galaxies, y compris le noyau de la nôtre, est en train de devenir un sujet des plus importants et même fondamentaux de l'astronomie.</w:t>
      </w:r>
    </w:p>
    <w:p w:rsidR="002B489A" w:rsidRDefault="004F19C4">
      <w:pPr>
        <w:rPr>
          <w:lang w:val="fr-CH"/>
        </w:rPr>
      </w:pPr>
      <w:r>
        <w:rPr>
          <w:lang w:val="fr-CH"/>
        </w:rPr>
        <w:t>Les problèmes qui peuvent être étudiés dans ces objets incluent l'état de la matière et les possibilités d'existence de trous noirs dans les noyaux galactiques, les activités explosives et la production de doubles radiosources intenses provenant des noyaux galactiques, l'influence des noyaux galactiques sur la structure morphologique des galaxies, la formation des galaxies et des quasars, et bien d'autres sujets astrophysiques majeurs.</w:t>
      </w:r>
    </w:p>
    <w:p w:rsidR="002B489A" w:rsidRDefault="004F19C4">
      <w:pPr>
        <w:rPr>
          <w:lang w:val="fr-CH"/>
        </w:rPr>
      </w:pPr>
      <w:r>
        <w:rPr>
          <w:lang w:val="fr-CH"/>
        </w:rPr>
        <w:br w:type="page"/>
        <w:t>Une étude importante aux longueurs d'ondes radioélectriques est la polarisation des rayonnements qui est observée à partir des radiosources. On trouve souvent que celles-ci ont une faible polarisation linéaire, avec un angle de position qui dépend de la fréquence. Cela tient au fait que le moyen de propagation dans lequel voyagent les ondes radioélectriques pour nous atteindre est composé de particules chargées, électrons et protons, en présence de champs magnétiques. La détermination du degré et de l'angle de polarisation nous donnent des informations sur les champs magnétiques et les densités électroniques du milieu interstellaire et dans certains cas sur la nature des sources émettrices elles-mêmes. Le degré de polarisation des ondes radioélectriques est plus élevé aux hautes fréquences. La bande de fréquences 2</w:t>
      </w:r>
      <w:r>
        <w:rPr>
          <w:rFonts w:ascii="Tms Rmn" w:hAnsi="Tms Rmn"/>
          <w:sz w:val="12"/>
          <w:lang w:val="fr-CH"/>
        </w:rPr>
        <w:t> </w:t>
      </w:r>
      <w:r>
        <w:rPr>
          <w:lang w:val="fr-CH"/>
        </w:rPr>
        <w:t>690</w:t>
      </w:r>
      <w:r>
        <w:rPr>
          <w:lang w:val="fr-CH"/>
        </w:rPr>
        <w:noBreakHyphen/>
        <w:t>2</w:t>
      </w:r>
      <w:r>
        <w:rPr>
          <w:rFonts w:ascii="Tms Rmn" w:hAnsi="Tms Rmn"/>
          <w:sz w:val="12"/>
          <w:lang w:val="fr-CH"/>
        </w:rPr>
        <w:t> </w:t>
      </w:r>
      <w:r>
        <w:rPr>
          <w:lang w:val="fr-CH"/>
        </w:rPr>
        <w:t>700 MHz est importante pour les mesures de polarisation.</w:t>
      </w:r>
    </w:p>
    <w:p w:rsidR="002B489A" w:rsidRDefault="004F19C4">
      <w:pPr>
        <w:pStyle w:val="Heading2"/>
        <w:rPr>
          <w:lang w:val="fr-CH"/>
        </w:rPr>
      </w:pPr>
      <w:r>
        <w:rPr>
          <w:lang w:val="fr-CH"/>
        </w:rPr>
        <w:t>1.3</w:t>
      </w:r>
      <w:r>
        <w:rPr>
          <w:lang w:val="fr-CH"/>
        </w:rPr>
        <w:tab/>
        <w:t>Critères de protection requis</w:t>
      </w:r>
    </w:p>
    <w:p w:rsidR="002B489A" w:rsidRDefault="004F19C4">
      <w:pPr>
        <w:rPr>
          <w:lang w:val="fr-CH"/>
        </w:rPr>
      </w:pPr>
      <w:r>
        <w:rPr>
          <w:lang w:val="fr-CH"/>
        </w:rPr>
        <w:t>La Recommandation UIT-R RA.769 spécifie les critères de protection pour les observations de radioastronomie et donne les niveaux de seuil de brouillage nuisible pour les bandes attribuées au SRA à titre primaire. Dans la bande 2</w:t>
      </w:r>
      <w:r>
        <w:rPr>
          <w:rFonts w:ascii="Tms Rmn" w:hAnsi="Tms Rmn"/>
          <w:sz w:val="12"/>
          <w:lang w:val="fr-CH"/>
        </w:rPr>
        <w:t> </w:t>
      </w:r>
      <w:r>
        <w:rPr>
          <w:lang w:val="fr-CH"/>
        </w:rPr>
        <w:t>690</w:t>
      </w:r>
      <w:r>
        <w:rPr>
          <w:lang w:val="fr-CH"/>
        </w:rPr>
        <w:noBreakHyphen/>
        <w:t>2</w:t>
      </w:r>
      <w:r>
        <w:rPr>
          <w:rFonts w:ascii="Tms Rmn" w:hAnsi="Tms Rmn"/>
          <w:sz w:val="12"/>
          <w:lang w:val="fr-CH"/>
        </w:rPr>
        <w:t> </w:t>
      </w:r>
      <w:r>
        <w:rPr>
          <w:lang w:val="fr-CH"/>
        </w:rPr>
        <w:t>700 MHz, pour les observations du continuum à une seule antenne faites en utilisant la totalité de la largeur de bande de 10 MHz, la limite du seuil de puissance surfacique est de –177 dB(W/m</w:t>
      </w:r>
      <w:r>
        <w:rPr>
          <w:rFonts w:ascii="Times" w:hAnsi="Times"/>
          <w:spacing w:val="-2"/>
          <w:vertAlign w:val="superscript"/>
          <w:lang w:val="fr-CH"/>
        </w:rPr>
        <w:t>2</w:t>
      </w:r>
      <w:r>
        <w:rPr>
          <w:rFonts w:ascii="Times" w:hAnsi="Times"/>
          <w:spacing w:val="-2"/>
          <w:lang w:val="fr-CH"/>
        </w:rPr>
        <w:t>)</w:t>
      </w:r>
      <w:r>
        <w:rPr>
          <w:lang w:val="fr-CH"/>
        </w:rPr>
        <w:t>.</w:t>
      </w:r>
    </w:p>
    <w:p w:rsidR="002B489A" w:rsidRDefault="004F19C4">
      <w:pPr>
        <w:rPr>
          <w:lang w:val="fr-CH"/>
        </w:rPr>
      </w:pPr>
      <w:r>
        <w:rPr>
          <w:lang w:val="fr-CH"/>
        </w:rPr>
        <w:t>Cette bande n'est utilisée que pour les observations du continuum et ne l'est pas pour les observations de raies spectrales.</w:t>
      </w:r>
    </w:p>
    <w:p w:rsidR="002B489A" w:rsidRDefault="004F19C4">
      <w:pPr>
        <w:rPr>
          <w:lang w:val="fr-CH"/>
        </w:rPr>
      </w:pPr>
      <w:r>
        <w:rPr>
          <w:lang w:val="fr-CH"/>
        </w:rPr>
        <w:t>Les observations VLBI, dans lesquelles les signaux d'antenne largement séparés sont enregistrés et corrélés après les observations, sont beaucoup moins vulnérables au brouillage. Ceci se reflète dans le niveau du seuil de puissance surfacique pour les observations VLBI dans cette bande, (</w:t>
      </w:r>
      <w:r>
        <w:rPr>
          <w:rFonts w:ascii="Symbol" w:hAnsi="Symbol"/>
          <w:lang w:val="fr-CH"/>
        </w:rPr>
        <w:noBreakHyphen/>
      </w:r>
      <w:r>
        <w:rPr>
          <w:lang w:val="fr-CH"/>
        </w:rPr>
        <w:t>161 dB(W/(m</w:t>
      </w:r>
      <w:r>
        <w:rPr>
          <w:sz w:val="28"/>
          <w:vertAlign w:val="superscript"/>
          <w:lang w:val="fr-CH"/>
        </w:rPr>
        <w:t>2</w:t>
      </w:r>
      <w:r>
        <w:rPr>
          <w:lang w:val="fr-CH"/>
        </w:rPr>
        <w:t>)</w:t>
      </w:r>
      <w:r>
        <w:rPr>
          <w:rFonts w:ascii="Times" w:hAnsi="Times"/>
          <w:spacing w:val="-2"/>
          <w:lang w:val="fr-CH"/>
        </w:rPr>
        <w:t xml:space="preserve">, </w:t>
      </w:r>
      <w:r>
        <w:rPr>
          <w:lang w:val="fr-CH"/>
        </w:rPr>
        <w:t>pour une largeur de bande de 20 kHz.</w:t>
      </w:r>
    </w:p>
    <w:p w:rsidR="002B489A" w:rsidRDefault="004F19C4">
      <w:pPr>
        <w:rPr>
          <w:lang w:val="fr-CH"/>
        </w:rPr>
      </w:pPr>
      <w:r>
        <w:rPr>
          <w:lang w:val="fr-CH"/>
        </w:rPr>
        <w:t>Pour les brouillages gênants causés par les systèmes non OSG, les critères de protection et les méthodes pertinentes sont décrits dans les Recommandations UIT-R RA.769 et UIT-R RA.1513, ainsi que dans la Recommandation UIT-R S.1586 pour les systèmes SFS.</w:t>
      </w:r>
    </w:p>
    <w:p w:rsidR="002B489A" w:rsidRDefault="004F19C4">
      <w:pPr>
        <w:rPr>
          <w:lang w:val="fr-CH"/>
        </w:rPr>
      </w:pPr>
      <w:r>
        <w:rPr>
          <w:lang w:val="fr-CH"/>
        </w:rPr>
        <w:t>Les seuils de brouillage nuisible pour le SRA, définis et calculés dans la Recommandation UIT</w:t>
      </w:r>
      <w:r>
        <w:rPr>
          <w:lang w:val="fr-CH"/>
        </w:rPr>
        <w:noBreakHyphen/>
        <w:t>R RA.769, sont des critères de protection au-dessus desquels les données radioastronomiques sont dégradées et peuvent même être détruites. En principe, dans des circonstances idéales, si ces niveaux ne sont que très légèrement dépassés, il est possible d'effectuer une compensation à l'observatoire de radioastronomie en accroissant le temps d'observation. Ce faisant, la capacité de canal du télescope est réduite, avec une réduction correspondante du résultat scientifique. Si le niveau de brouillage, dans les hypothèses de la Recommandation UIT-R RA.769 (par exemple, les performances d'antenne, etc.), passe à 10 dB ou plus au-dessus de la définition de la Recommandation UIT-R RA.769, l'augmentation du temps d'observation ne garantira plus la fourniture de données scientifiques valables aux savants. La station radioastronomique sera incapable de fonctionner dans la bande de fréquences affectée et sa capacité à fournir un service sera perdue si on ne peut pas appliquer de techniques de réduction des brouillages appropriées.</w:t>
      </w:r>
    </w:p>
    <w:p w:rsidR="002B489A" w:rsidRDefault="004F19C4">
      <w:pPr>
        <w:pStyle w:val="Heading2"/>
        <w:rPr>
          <w:lang w:val="fr-CH"/>
        </w:rPr>
      </w:pPr>
      <w:r>
        <w:rPr>
          <w:lang w:val="fr-CH"/>
        </w:rPr>
        <w:t>1.4</w:t>
      </w:r>
      <w:r>
        <w:rPr>
          <w:lang w:val="fr-CH"/>
        </w:rPr>
        <w:tab/>
        <w:t>Caractéristiques de fonctionnement</w:t>
      </w:r>
    </w:p>
    <w:p w:rsidR="002B489A" w:rsidRDefault="004F19C4">
      <w:pPr>
        <w:rPr>
          <w:lang w:val="fr-CH"/>
        </w:rPr>
      </w:pPr>
      <w:r>
        <w:rPr>
          <w:lang w:val="fr-CH"/>
        </w:rPr>
        <w:t>Les observations dans la bande 2</w:t>
      </w:r>
      <w:r>
        <w:rPr>
          <w:rFonts w:ascii="Tms Rmn" w:hAnsi="Tms Rmn"/>
          <w:sz w:val="12"/>
          <w:lang w:val="fr-CH"/>
        </w:rPr>
        <w:t> </w:t>
      </w:r>
      <w:r>
        <w:rPr>
          <w:lang w:val="fr-CH"/>
        </w:rPr>
        <w:t>690</w:t>
      </w:r>
      <w:r>
        <w:rPr>
          <w:lang w:val="fr-CH"/>
        </w:rPr>
        <w:noBreakHyphen/>
        <w:t>2</w:t>
      </w:r>
      <w:r>
        <w:rPr>
          <w:rFonts w:ascii="Tms Rmn" w:hAnsi="Tms Rmn"/>
          <w:sz w:val="12"/>
          <w:lang w:val="fr-CH"/>
        </w:rPr>
        <w:t> </w:t>
      </w:r>
      <w:r>
        <w:rPr>
          <w:lang w:val="fr-CH"/>
        </w:rPr>
        <w:t>700 MHz sont effectuées dans un certain nombre de sites astronomiques de nombreux pays, dans le monde entier. Les observations dans cette bande sont parfois effectuées sur des cibles occasionnelles, par exemple, sur des objets comme les comètes, dont il a été observé qu'elles produisent des rayonnements non essentiels dans cette raie. Les observations VLBI sont aussi fréquemment effectuées dans cette bande, parfois entre les réseaux VLBI nord américain et européen.</w:t>
      </w:r>
    </w:p>
    <w:p w:rsidR="002B489A" w:rsidRDefault="004F19C4">
      <w:pPr>
        <w:rPr>
          <w:lang w:val="fr-CH"/>
        </w:rPr>
      </w:pPr>
      <w:r>
        <w:rPr>
          <w:lang w:val="fr-CH"/>
        </w:rPr>
        <w:br w:type="page"/>
        <w:t>En général, les observations sont faites de façon différentielle, la zone du ciel contenant la source peut être cartographiée et le rayonnement de fond peut être soustrait, ou on peut faire des mesures de la puissance venant de la direction de la source (à la source) et à une ou plusieurs des positions voisines dans le ciel (hors source). En soustrayant les valeurs hors source des valeurs à la source, les rayonnements ayant leur origine à la source sont séparés des autres contributions à la sortie du récepteur.</w:t>
      </w:r>
    </w:p>
    <w:p w:rsidR="002B489A" w:rsidRDefault="004F19C4">
      <w:pPr>
        <w:rPr>
          <w:lang w:val="fr-CH"/>
        </w:rPr>
      </w:pPr>
      <w:r>
        <w:rPr>
          <w:lang w:val="fr-CH"/>
        </w:rPr>
        <w:t>De larges zones de rayonnement peuvent être cartographiées en enregistrant les rayonnements à partir d'une grille de points couvrant la région concernée. Dans le cas de radiotélescopes à antenne unique, chaque observation de point de grille est une indication de la puissance totale venant de cette position du ciel; l'espacement entre les points de la grille ne devrait pas être supérieur à la moitié de la largeur du faisceau de l'antenne. Lorsque des observations sont effectuées à l'aide d'un radiotélescope de synthèse, si la zone à cartographier dépasse le champ de cartographie instantanée, les points de grille ne devraient pas être séparés de plus de la moitié de l'ouverture de faisceau de l'une des antennes du radiotélescope.</w:t>
      </w:r>
    </w:p>
    <w:p w:rsidR="002B489A" w:rsidRDefault="004F19C4">
      <w:pPr>
        <w:rPr>
          <w:lang w:val="fr-CH"/>
        </w:rPr>
      </w:pPr>
      <w:r>
        <w:rPr>
          <w:lang w:val="fr-CH"/>
        </w:rPr>
        <w:t>Les observations VLBI sont faites en ramenant les signaux à la bande de base, en les numérisant sans rectification, et en les enregistrant sur bande magnétique ou autre moyen de stockage, avec un marquage temporel précis. Les données sont alors portées à un centre de traitement de données VLBI où les signaux sont synchronisés et corrélés. Par conséquent, le plein impact des brouillages peut n'être connu que lorsque la période d'observation est terminée et que les données ont été traitées.</w:t>
      </w:r>
    </w:p>
    <w:p w:rsidR="002B489A" w:rsidRDefault="004F19C4">
      <w:pPr>
        <w:pStyle w:val="Heading1"/>
        <w:rPr>
          <w:lang w:val="fr-CH"/>
        </w:rPr>
      </w:pPr>
      <w:r>
        <w:rPr>
          <w:lang w:val="fr-CH"/>
        </w:rPr>
        <w:t>2</w:t>
      </w:r>
      <w:r>
        <w:rPr>
          <w:lang w:val="fr-CH"/>
        </w:rPr>
        <w:tab/>
        <w:t>Bande active</w:t>
      </w:r>
    </w:p>
    <w:p w:rsidR="002B489A" w:rsidRDefault="004F19C4">
      <w:pPr>
        <w:pStyle w:val="Heading2"/>
        <w:rPr>
          <w:lang w:val="fr-CH"/>
        </w:rPr>
      </w:pPr>
      <w:r>
        <w:rPr>
          <w:lang w:val="fr-CH"/>
        </w:rPr>
        <w:t>2.1</w:t>
      </w:r>
      <w:r>
        <w:rPr>
          <w:lang w:val="fr-CH"/>
        </w:rPr>
        <w:tab/>
        <w:t>Bande d'émission attribuée</w:t>
      </w:r>
    </w:p>
    <w:p w:rsidR="002B489A" w:rsidRDefault="004F19C4">
      <w:pPr>
        <w:rPr>
          <w:lang w:val="fr-CH"/>
        </w:rPr>
      </w:pPr>
      <w:r>
        <w:rPr>
          <w:lang w:val="fr-CH"/>
        </w:rPr>
        <w:t>La sous-bande 2</w:t>
      </w:r>
      <w:r>
        <w:rPr>
          <w:rFonts w:ascii="Tms Rmn" w:hAnsi="Tms Rmn"/>
          <w:sz w:val="12"/>
          <w:lang w:val="fr-CH"/>
        </w:rPr>
        <w:t> </w:t>
      </w:r>
      <w:r>
        <w:rPr>
          <w:lang w:val="fr-CH"/>
        </w:rPr>
        <w:t>655</w:t>
      </w:r>
      <w:r>
        <w:rPr>
          <w:lang w:val="fr-CH"/>
        </w:rPr>
        <w:noBreakHyphen/>
        <w:t>2</w:t>
      </w:r>
      <w:r>
        <w:rPr>
          <w:rFonts w:ascii="Tms Rmn" w:hAnsi="Tms Rmn"/>
          <w:sz w:val="12"/>
          <w:lang w:val="fr-CH"/>
        </w:rPr>
        <w:t> </w:t>
      </w:r>
      <w:r>
        <w:rPr>
          <w:lang w:val="fr-CH"/>
        </w:rPr>
        <w:t>670 MHz a été attribuée à titre primaire au SRS.</w:t>
      </w:r>
    </w:p>
    <w:p w:rsidR="002B489A" w:rsidRDefault="004F19C4">
      <w:pPr>
        <w:rPr>
          <w:lang w:val="fr-CH"/>
        </w:rPr>
      </w:pPr>
      <w:r>
        <w:rPr>
          <w:lang w:val="fr-CH"/>
        </w:rPr>
        <w:t>La sous-bande 2</w:t>
      </w:r>
      <w:r>
        <w:rPr>
          <w:rFonts w:ascii="Tms Rmn" w:hAnsi="Tms Rmn"/>
          <w:sz w:val="12"/>
          <w:lang w:val="fr-CH"/>
        </w:rPr>
        <w:t> </w:t>
      </w:r>
      <w:r>
        <w:rPr>
          <w:lang w:val="fr-CH"/>
        </w:rPr>
        <w:t>670</w:t>
      </w:r>
      <w:r>
        <w:rPr>
          <w:lang w:val="fr-CH"/>
        </w:rPr>
        <w:noBreakHyphen/>
        <w:t>2</w:t>
      </w:r>
      <w:r>
        <w:rPr>
          <w:rFonts w:ascii="Tms Rmn" w:hAnsi="Tms Rmn"/>
          <w:sz w:val="12"/>
          <w:lang w:val="fr-CH"/>
        </w:rPr>
        <w:t> </w:t>
      </w:r>
      <w:r>
        <w:rPr>
          <w:lang w:val="fr-CH"/>
        </w:rPr>
        <w:t>690 MHz a été attribuée à titre primaire au SMS (Terre vers espace), au SFS (Terre vers espace) dans les Régions 2 et 3 et au SFS (espace vers Terre) dans la Région 2.</w:t>
      </w:r>
    </w:p>
    <w:p w:rsidR="002B489A" w:rsidRDefault="004F19C4">
      <w:pPr>
        <w:rPr>
          <w:lang w:val="fr-CH"/>
        </w:rPr>
      </w:pPr>
      <w:r>
        <w:rPr>
          <w:lang w:val="fr-CH"/>
        </w:rPr>
        <w:t>Les numéros pertinents suivants s'appliquent à la sous-bande 2</w:t>
      </w:r>
      <w:r>
        <w:rPr>
          <w:rFonts w:ascii="Tms Rmn" w:hAnsi="Tms Rmn"/>
          <w:sz w:val="12"/>
          <w:lang w:val="fr-CH"/>
        </w:rPr>
        <w:t> </w:t>
      </w:r>
      <w:r>
        <w:rPr>
          <w:lang w:val="fr-CH"/>
        </w:rPr>
        <w:t>655</w:t>
      </w:r>
      <w:r>
        <w:rPr>
          <w:lang w:val="fr-CH"/>
        </w:rPr>
        <w:noBreakHyphen/>
        <w:t>2</w:t>
      </w:r>
      <w:r>
        <w:rPr>
          <w:rFonts w:ascii="Tms Rmn" w:hAnsi="Tms Rmn"/>
          <w:sz w:val="12"/>
          <w:lang w:val="fr-CH"/>
        </w:rPr>
        <w:t> </w:t>
      </w:r>
      <w:r>
        <w:rPr>
          <w:lang w:val="fr-CH"/>
        </w:rPr>
        <w:t>670 MHz: numéros 5.149, 5.413, 5.415, 5.416 et 5.420 du RR, et les numéros suivants s'appliquent à la sous-bande 2</w:t>
      </w:r>
      <w:r>
        <w:rPr>
          <w:rFonts w:ascii="Tms Rmn" w:hAnsi="Tms Rmn"/>
          <w:sz w:val="12"/>
          <w:lang w:val="fr-CH"/>
        </w:rPr>
        <w:t> </w:t>
      </w:r>
      <w:r>
        <w:rPr>
          <w:lang w:val="fr-CH"/>
        </w:rPr>
        <w:t>670</w:t>
      </w:r>
      <w:r>
        <w:rPr>
          <w:lang w:val="fr-CH"/>
        </w:rPr>
        <w:noBreakHyphen/>
        <w:t>2</w:t>
      </w:r>
      <w:r>
        <w:rPr>
          <w:rFonts w:ascii="Tms Rmn" w:hAnsi="Tms Rmn"/>
          <w:sz w:val="12"/>
          <w:lang w:val="fr-CH"/>
        </w:rPr>
        <w:t> </w:t>
      </w:r>
      <w:r>
        <w:rPr>
          <w:lang w:val="fr-CH"/>
        </w:rPr>
        <w:t>690 MHz: numéros 5.149, 5.419 et 5.420 du RR. Les plus pertinents pour la question qui nous intéresse sont les suivants:</w:t>
      </w:r>
    </w:p>
    <w:p w:rsidR="002B489A" w:rsidRDefault="004F19C4">
      <w:pPr>
        <w:rPr>
          <w:lang w:val="fr-CH"/>
        </w:rPr>
      </w:pPr>
      <w:r>
        <w:rPr>
          <w:lang w:val="fr-CH"/>
        </w:rPr>
        <w:t>Le numéro 5.149 du RR dispose que, dans cette bande, «En assignant des fréquences aux stations des autres services ... , les administrations sont instamment priées de prendre toutes les mesures pratiquement réalisables pour protéger le service de radioastronomie contre les brouillages préjudiciables».</w:t>
      </w:r>
    </w:p>
    <w:p w:rsidR="002B489A" w:rsidRDefault="004F19C4">
      <w:pPr>
        <w:rPr>
          <w:lang w:val="fr-CH"/>
        </w:rPr>
      </w:pPr>
      <w:r>
        <w:rPr>
          <w:lang w:val="fr-CH"/>
        </w:rPr>
        <w:t>Le numéro 5.413 du RR dispose que, «Dans la conception de systèmes de radiodiffusion par satellite dans les bandes situées entre 2</w:t>
      </w:r>
      <w:r>
        <w:rPr>
          <w:sz w:val="12"/>
          <w:lang w:val="fr-CH"/>
        </w:rPr>
        <w:t> </w:t>
      </w:r>
      <w:r>
        <w:rPr>
          <w:lang w:val="fr-CH"/>
        </w:rPr>
        <w:t>500 MHz et 2</w:t>
      </w:r>
      <w:r>
        <w:rPr>
          <w:sz w:val="12"/>
          <w:lang w:val="fr-CH"/>
        </w:rPr>
        <w:t> </w:t>
      </w:r>
      <w:r>
        <w:rPr>
          <w:lang w:val="fr-CH"/>
        </w:rPr>
        <w:t>690 MHz, les administrations sont instamment priées de prendre toutes les mesures nécessaires pour protéger le service de radioastronomie dans la bande 2</w:t>
      </w:r>
      <w:r>
        <w:rPr>
          <w:sz w:val="12"/>
          <w:lang w:val="fr-CH"/>
        </w:rPr>
        <w:t> </w:t>
      </w:r>
      <w:r>
        <w:rPr>
          <w:lang w:val="fr-CH"/>
        </w:rPr>
        <w:t>690</w:t>
      </w:r>
      <w:r>
        <w:rPr>
          <w:lang w:val="fr-CH"/>
        </w:rPr>
        <w:noBreakHyphen/>
        <w:t>2</w:t>
      </w:r>
      <w:r>
        <w:rPr>
          <w:sz w:val="12"/>
          <w:lang w:val="fr-CH"/>
        </w:rPr>
        <w:t> </w:t>
      </w:r>
      <w:r>
        <w:rPr>
          <w:lang w:val="fr-CH"/>
        </w:rPr>
        <w:t>700 MHz».</w:t>
      </w:r>
    </w:p>
    <w:p w:rsidR="002B489A" w:rsidRDefault="004F19C4">
      <w:pPr>
        <w:rPr>
          <w:lang w:val="fr-CH"/>
        </w:rPr>
      </w:pPr>
      <w:r>
        <w:rPr>
          <w:lang w:val="fr-CH"/>
        </w:rPr>
        <w:t xml:space="preserve">Le numéro 5.415 du RR dispose que, dans cette bande, pour le service fixe par satellite fonctionnant dans les Régions 2 et 3, «dans le sens espace vers Terre, la puissance surfacique à la surface de la Terre ne doit pas dépasser les valeurs spécifiées à l'Article </w:t>
      </w:r>
      <w:r>
        <w:rPr>
          <w:rStyle w:val="Artref"/>
          <w:b/>
          <w:bCs/>
          <w:lang w:val="fr-CH"/>
        </w:rPr>
        <w:t>21</w:t>
      </w:r>
      <w:r>
        <w:rPr>
          <w:lang w:val="fr-CH"/>
        </w:rPr>
        <w:t>, Tableau 21-4.»</w:t>
      </w:r>
    </w:p>
    <w:p w:rsidR="002B489A" w:rsidRDefault="004F19C4">
      <w:pPr>
        <w:pStyle w:val="Heading2"/>
        <w:rPr>
          <w:snapToGrid w:val="0"/>
          <w:lang w:val="fr-CH"/>
        </w:rPr>
      </w:pPr>
      <w:r>
        <w:rPr>
          <w:snapToGrid w:val="0"/>
          <w:lang w:val="fr-CH"/>
        </w:rPr>
        <w:t>2.2</w:t>
      </w:r>
      <w:r>
        <w:rPr>
          <w:snapToGrid w:val="0"/>
          <w:lang w:val="fr-CH"/>
        </w:rPr>
        <w:tab/>
        <w:t>Application</w:t>
      </w:r>
    </w:p>
    <w:p w:rsidR="002B489A" w:rsidRDefault="004F19C4">
      <w:pPr>
        <w:rPr>
          <w:lang w:val="fr-CH"/>
        </w:rPr>
      </w:pPr>
      <w:r>
        <w:rPr>
          <w:lang w:val="fr-CH"/>
        </w:rPr>
        <w:t>Dans cette bande, il y a des SRS opérationnels qui desservent spécialement l'Inde. Ces services entrent dans la définition de distribution du SRS.</w:t>
      </w:r>
    </w:p>
    <w:p w:rsidR="002B489A" w:rsidRDefault="004F19C4">
      <w:pPr>
        <w:pStyle w:val="Heading2"/>
        <w:rPr>
          <w:lang w:val="fr-CH"/>
        </w:rPr>
      </w:pPr>
      <w:r>
        <w:rPr>
          <w:lang w:val="fr-CH"/>
        </w:rPr>
        <w:br w:type="page"/>
        <w:t>2.3</w:t>
      </w:r>
      <w:r>
        <w:rPr>
          <w:lang w:val="fr-CH"/>
        </w:rPr>
        <w:tab/>
        <w:t>Niveau fondé sur des dispositions réglementaires</w:t>
      </w:r>
    </w:p>
    <w:p w:rsidR="002B489A" w:rsidRDefault="004F19C4">
      <w:pPr>
        <w:rPr>
          <w:lang w:val="fr-CH"/>
        </w:rPr>
      </w:pPr>
      <w:r>
        <w:rPr>
          <w:lang w:val="fr-CH"/>
        </w:rPr>
        <w:t>Des limites de puissance surfacique existent pour le SRS pour la réception communautaire et pour les systèmes SFS (voir le Tableau 21-4 du RR).</w:t>
      </w:r>
    </w:p>
    <w:p w:rsidR="002B489A" w:rsidRDefault="004F19C4">
      <w:pPr>
        <w:pStyle w:val="Heading2"/>
        <w:rPr>
          <w:lang w:val="fr-CH"/>
        </w:rPr>
      </w:pPr>
      <w:r>
        <w:rPr>
          <w:lang w:val="fr-CH"/>
        </w:rPr>
        <w:t>2.4</w:t>
      </w:r>
      <w:r>
        <w:rPr>
          <w:lang w:val="fr-CH"/>
        </w:rPr>
        <w:tab/>
        <w:t>Caractéristiques des émetteurs</w:t>
      </w:r>
    </w:p>
    <w:p w:rsidR="002B489A" w:rsidRDefault="004F19C4">
      <w:pPr>
        <w:pStyle w:val="Heading3"/>
        <w:rPr>
          <w:lang w:val="fr-CH"/>
        </w:rPr>
      </w:pPr>
      <w:r>
        <w:rPr>
          <w:lang w:val="fr-CH"/>
        </w:rPr>
        <w:t>2.4.1</w:t>
      </w:r>
      <w:r>
        <w:rPr>
          <w:lang w:val="fr-CH"/>
        </w:rPr>
        <w:tab/>
        <w:t>Systèmes SFS/SMS</w:t>
      </w:r>
    </w:p>
    <w:p w:rsidR="002B489A" w:rsidRDefault="004F19C4">
      <w:pPr>
        <w:rPr>
          <w:lang w:val="fr-CH"/>
        </w:rPr>
      </w:pPr>
      <w:r>
        <w:rPr>
          <w:lang w:val="fr-CH"/>
        </w:rPr>
        <w:t>Sur la base des caractéristiques typiques des systèmes fonctionnant dans cette bande, les systèmes SFS/SMS sont supposés utiliser une largeur de bande nécessaire de 20 MHz et fonctionner en utilisant les limites de puissance surfacique données à l'Article 21 du RR: –137 dB(W/(m</w:t>
      </w:r>
      <w:r>
        <w:rPr>
          <w:vertAlign w:val="superscript"/>
          <w:lang w:val="fr-CH"/>
        </w:rPr>
        <w:t>2</w:t>
      </w:r>
      <w:r>
        <w:rPr>
          <w:lang w:val="fr-CH"/>
        </w:rPr>
        <w:t xml:space="preserve"> · 4 kHz)) (c'est</w:t>
      </w:r>
      <w:r>
        <w:rPr>
          <w:lang w:val="fr-CH"/>
        </w:rPr>
        <w:noBreakHyphen/>
        <w:t>à</w:t>
      </w:r>
      <w:r>
        <w:rPr>
          <w:lang w:val="fr-CH"/>
        </w:rPr>
        <w:noBreakHyphen/>
        <w:t>dire –100 dB(W/(m</w:t>
      </w:r>
      <w:r>
        <w:rPr>
          <w:vertAlign w:val="superscript"/>
          <w:lang w:val="fr-CH"/>
        </w:rPr>
        <w:t>2</w:t>
      </w:r>
      <w:r>
        <w:rPr>
          <w:lang w:val="fr-CH"/>
        </w:rPr>
        <w:t xml:space="preserve"> · 20 MHz))).</w:t>
      </w:r>
    </w:p>
    <w:p w:rsidR="002B489A" w:rsidRDefault="004F19C4">
      <w:pPr>
        <w:pStyle w:val="Heading3"/>
        <w:rPr>
          <w:lang w:val="fr-CH"/>
        </w:rPr>
      </w:pPr>
      <w:r>
        <w:rPr>
          <w:lang w:val="fr-CH"/>
        </w:rPr>
        <w:t>2.4.2</w:t>
      </w:r>
      <w:r>
        <w:rPr>
          <w:lang w:val="fr-CH"/>
        </w:rPr>
        <w:tab/>
        <w:t>Systèmes SRS</w:t>
      </w:r>
    </w:p>
    <w:p w:rsidR="002B489A" w:rsidRDefault="004F19C4">
      <w:pPr>
        <w:rPr>
          <w:lang w:val="fr-CH"/>
        </w:rPr>
      </w:pPr>
      <w:r>
        <w:rPr>
          <w:lang w:val="fr-CH"/>
        </w:rPr>
        <w:t>Sur la base des caractéristiques typiques des systèmes fonctionnant dans cette bande, les systèmes SFS/SMS sont supposés utiliser une largeur de bande nécessaire de 18 MHz et fonctionner en utilisant les limites de puissance surfacique données à l'Article 21 du RR: –137 dB(W/(m</w:t>
      </w:r>
      <w:r>
        <w:rPr>
          <w:vertAlign w:val="superscript"/>
          <w:lang w:val="fr-CH"/>
        </w:rPr>
        <w:t>2</w:t>
      </w:r>
      <w:r>
        <w:rPr>
          <w:lang w:val="fr-CH"/>
        </w:rPr>
        <w:t xml:space="preserve"> · 4 kHz)) (c'est</w:t>
      </w:r>
      <w:r>
        <w:rPr>
          <w:lang w:val="fr-CH"/>
        </w:rPr>
        <w:noBreakHyphen/>
        <w:t>à</w:t>
      </w:r>
      <w:r>
        <w:rPr>
          <w:lang w:val="fr-CH"/>
        </w:rPr>
        <w:noBreakHyphen/>
        <w:t>dire –100,5 dB(W/(m</w:t>
      </w:r>
      <w:r>
        <w:rPr>
          <w:vertAlign w:val="superscript"/>
          <w:lang w:val="fr-CH"/>
        </w:rPr>
        <w:t>2</w:t>
      </w:r>
      <w:r>
        <w:rPr>
          <w:lang w:val="fr-CH"/>
        </w:rPr>
        <w:t xml:space="preserve"> · 20 MHz))).</w:t>
      </w:r>
    </w:p>
    <w:p w:rsidR="002B489A" w:rsidRDefault="004F19C4">
      <w:pPr>
        <w:pStyle w:val="Heading2"/>
        <w:rPr>
          <w:lang w:val="fr-CH"/>
        </w:rPr>
      </w:pPr>
      <w:r>
        <w:rPr>
          <w:lang w:val="fr-CH"/>
        </w:rPr>
        <w:t>2.5</w:t>
      </w:r>
      <w:r>
        <w:rPr>
          <w:lang w:val="fr-CH"/>
        </w:rPr>
        <w:tab/>
        <w:t>Caractéristiques de fonctionnement</w:t>
      </w:r>
    </w:p>
    <w:p w:rsidR="002B489A" w:rsidRDefault="004F19C4">
      <w:pPr>
        <w:rPr>
          <w:lang w:val="fr-CH"/>
        </w:rPr>
      </w:pPr>
      <w:r>
        <w:rPr>
          <w:lang w:val="fr-CH"/>
        </w:rPr>
        <w:t>Seuls les systèmes OSG sont visés dans les calculs suivants.</w:t>
      </w:r>
    </w:p>
    <w:p w:rsidR="002B489A" w:rsidRDefault="004F19C4">
      <w:pPr>
        <w:pStyle w:val="Heading2"/>
        <w:rPr>
          <w:snapToGrid w:val="0"/>
          <w:lang w:val="fr-CH"/>
        </w:rPr>
      </w:pPr>
      <w:r>
        <w:rPr>
          <w:snapToGrid w:val="0"/>
          <w:lang w:val="fr-CH"/>
        </w:rPr>
        <w:t>2.6</w:t>
      </w:r>
      <w:r>
        <w:rPr>
          <w:snapToGrid w:val="0"/>
          <w:lang w:val="fr-CH"/>
        </w:rPr>
        <w:tab/>
        <w:t>Niveau d'émission dans la bande</w:t>
      </w:r>
    </w:p>
    <w:p w:rsidR="002B489A" w:rsidRDefault="004F19C4">
      <w:pPr>
        <w:rPr>
          <w:lang w:val="fr-CH"/>
        </w:rPr>
      </w:pPr>
      <w:r>
        <w:rPr>
          <w:lang w:val="fr-CH"/>
        </w:rPr>
        <w:t>Les niveaux de réception communautaire SRS et de puissance surfacique SFS se conforment aux niveaux du Tableau 21-4 du RR.</w:t>
      </w:r>
    </w:p>
    <w:p w:rsidR="002B489A" w:rsidRDefault="004F19C4">
      <w:pPr>
        <w:pStyle w:val="Heading1"/>
        <w:rPr>
          <w:snapToGrid w:val="0"/>
          <w:lang w:val="fr-CH"/>
        </w:rPr>
      </w:pPr>
      <w:r>
        <w:rPr>
          <w:snapToGrid w:val="0"/>
          <w:lang w:val="fr-CH"/>
        </w:rPr>
        <w:t>3</w:t>
      </w:r>
      <w:r>
        <w:rPr>
          <w:snapToGrid w:val="0"/>
          <w:lang w:val="fr-CH"/>
        </w:rPr>
        <w:tab/>
        <w:t>Seuil de compatibilité</w:t>
      </w:r>
    </w:p>
    <w:p w:rsidR="002B489A" w:rsidRDefault="004F19C4">
      <w:pPr>
        <w:rPr>
          <w:lang w:val="fr-CH"/>
        </w:rPr>
      </w:pPr>
      <w:r>
        <w:rPr>
          <w:lang w:val="fr-CH"/>
        </w:rPr>
        <w:t>Voir le § 1.3.</w:t>
      </w:r>
    </w:p>
    <w:p w:rsidR="002B489A" w:rsidRDefault="004F19C4">
      <w:pPr>
        <w:pStyle w:val="Heading1"/>
        <w:rPr>
          <w:i/>
          <w:snapToGrid w:val="0"/>
          <w:lang w:val="fr-CH"/>
        </w:rPr>
      </w:pPr>
      <w:r>
        <w:rPr>
          <w:snapToGrid w:val="0"/>
          <w:lang w:val="fr-CH"/>
        </w:rPr>
        <w:t>4</w:t>
      </w:r>
      <w:r>
        <w:rPr>
          <w:snapToGrid w:val="0"/>
          <w:lang w:val="fr-CH"/>
        </w:rPr>
        <w:tab/>
        <w:t>Evaluation du brouillage</w:t>
      </w:r>
    </w:p>
    <w:p w:rsidR="002B489A" w:rsidRDefault="004F19C4">
      <w:pPr>
        <w:pStyle w:val="Heading2"/>
        <w:rPr>
          <w:snapToGrid w:val="0"/>
          <w:lang w:val="fr-CH"/>
        </w:rPr>
      </w:pPr>
      <w:r>
        <w:rPr>
          <w:snapToGrid w:val="0"/>
          <w:lang w:val="fr-CH"/>
        </w:rPr>
        <w:t>4.1</w:t>
      </w:r>
      <w:r>
        <w:rPr>
          <w:snapToGrid w:val="0"/>
          <w:lang w:val="fr-CH"/>
        </w:rPr>
        <w:tab/>
        <w:t>Méthode d'évaluation du niveau de brouillage</w:t>
      </w:r>
    </w:p>
    <w:p w:rsidR="002B489A" w:rsidRDefault="004F19C4">
      <w:pPr>
        <w:pStyle w:val="Heading3"/>
        <w:rPr>
          <w:lang w:val="fr-CH"/>
        </w:rPr>
      </w:pPr>
      <w:r>
        <w:rPr>
          <w:lang w:val="fr-CH"/>
        </w:rPr>
        <w:t>4.1.1</w:t>
      </w:r>
      <w:r>
        <w:rPr>
          <w:lang w:val="fr-CH"/>
        </w:rPr>
        <w:tab/>
        <w:t>Cas SMS/SFS</w:t>
      </w:r>
    </w:p>
    <w:p w:rsidR="002B489A" w:rsidRDefault="004F19C4">
      <w:pPr>
        <w:rPr>
          <w:lang w:val="fr-CH"/>
        </w:rPr>
      </w:pPr>
      <w:r>
        <w:rPr>
          <w:lang w:val="fr-CH"/>
        </w:rPr>
        <w:t>La Recommandation UIT-R SM.1541 donne un gabarit des rayonnements non désirés dans le domaine des émissions hors bande couvrant le cas des systèmes du SFS/SMS.</w:t>
      </w:r>
    </w:p>
    <w:p w:rsidR="002B489A" w:rsidRDefault="004F19C4">
      <w:pPr>
        <w:pStyle w:val="Heading3"/>
        <w:rPr>
          <w:lang w:val="fr-CH"/>
        </w:rPr>
      </w:pPr>
      <w:r>
        <w:rPr>
          <w:lang w:val="fr-CH"/>
        </w:rPr>
        <w:t>4.1.2</w:t>
      </w:r>
      <w:r>
        <w:rPr>
          <w:lang w:val="fr-CH"/>
        </w:rPr>
        <w:tab/>
        <w:t>Cas SRS</w:t>
      </w:r>
    </w:p>
    <w:p w:rsidR="002B489A" w:rsidRDefault="004F19C4">
      <w:pPr>
        <w:rPr>
          <w:lang w:val="fr-CH"/>
        </w:rPr>
      </w:pPr>
      <w:r>
        <w:rPr>
          <w:lang w:val="fr-CH"/>
        </w:rPr>
        <w:t>Le SRS est un service à plein temps, en ce que les zones desservies vont recevoir le signal en permanence, avec le même spectre et la même puissance. D'un autre côté, il n'y a pas de station de radioastronomie qui utilise en permanence la bande considérée. Si des problèmes de brouillage apparaissent, les systèmes à satellites OSG seront des émetteurs constants à des positions fixes dans le ciel, alors que les sources célestes vont défiler devant elles, portées par la rotation de la Terre, de sorte que le brouillage ne peut pas empêcher complètement l'observation des sources.</w:t>
      </w:r>
    </w:p>
    <w:p w:rsidR="002B489A" w:rsidRDefault="004F19C4">
      <w:pPr>
        <w:rPr>
          <w:lang w:val="fr-CH"/>
        </w:rPr>
      </w:pPr>
      <w:r>
        <w:rPr>
          <w:lang w:val="fr-CH"/>
        </w:rPr>
        <w:br w:type="page"/>
        <w:t>Le brouillage des radiotélescopes à antenne unique va dégrader les observations d'un pourcentage qui est fonction de l'angle entre le ou les satellites et le point de visée de l'antenne, et il peut être évalué en utilisant des méthodes telles que l'approche par la puissance surfacique équivalente (epfd) (voir le § 1.3).</w:t>
      </w:r>
    </w:p>
    <w:p w:rsidR="002B489A" w:rsidRDefault="004F19C4">
      <w:pPr>
        <w:rPr>
          <w:lang w:val="fr-CH"/>
        </w:rPr>
      </w:pPr>
      <w:r>
        <w:rPr>
          <w:lang w:val="fr-CH"/>
        </w:rPr>
        <w:t>Le calcul des niveaux de rayonnements non désirés utilisant le gabarit hors bande pour les systèmes SRS qui est maintenant retenu dans la Recommandation UIT-R SM.1541 a montré que, suivant ce gabarit de dBc, dans certains cas le niveau des émissions dans le domaine des émissions hors bande peut être plus élevé que les niveaux d'émission dans la largeur de bande nécessaire. Donc, un nouveau gabarit hors bande a été développé pour le système SRS.</w:t>
      </w:r>
    </w:p>
    <w:p w:rsidR="002B489A" w:rsidRDefault="004F19C4">
      <w:pPr>
        <w:rPr>
          <w:lang w:val="fr-CH"/>
        </w:rPr>
      </w:pPr>
      <w:r>
        <w:rPr>
          <w:lang w:val="fr-CH"/>
        </w:rPr>
        <w:t>Les émissions hors bande d'une station fonctionnant dans les bandes attribuées au SRS par satellite devraient être atténuées en dessous de la densité spectrale de puissance maximum, dans une largeur de bande de référence de 4 kHz (pour les systèmes fonctionnant au</w:t>
      </w:r>
      <w:r>
        <w:rPr>
          <w:lang w:val="fr-CH"/>
        </w:rPr>
        <w:noBreakHyphen/>
        <w:t>dessus de 15 GHz, une largeur de bande de référence de 1 MHz peut être utilisée à la place de 4 kHz) au sein de la largeur de bande nécessaire, de ce qui suit:</w:t>
      </w:r>
    </w:p>
    <w:p w:rsidR="002B489A" w:rsidRDefault="004F19C4">
      <w:pPr>
        <w:pStyle w:val="Equation"/>
        <w:rPr>
          <w:lang w:val="fr-CH"/>
        </w:rPr>
      </w:pPr>
      <w:r>
        <w:rPr>
          <w:lang w:val="fr-CH"/>
        </w:rPr>
        <w:tab/>
      </w:r>
      <w:r>
        <w:rPr>
          <w:lang w:val="fr-CH"/>
        </w:rPr>
        <w:tab/>
      </w:r>
      <w:r>
        <w:rPr>
          <w:position w:val="-28"/>
          <w:sz w:val="20"/>
          <w:lang w:val="fr-CH"/>
        </w:rPr>
        <w:object w:dxaOrig="1540" w:dyaOrig="680">
          <v:shape id="_x0000_i1037" type="#_x0000_t75" style="width:77pt;height:34pt" o:ole="" fillcolor="window">
            <v:imagedata r:id="rId39" o:title=""/>
          </v:shape>
          <o:OLEObject Type="Embed" ProgID="Equation.3" ShapeID="_x0000_i1037" DrawAspect="Content" ObjectID="_1649163283" r:id="rId40"/>
        </w:object>
      </w:r>
      <w:r>
        <w:rPr>
          <w:lang w:val="es-ES"/>
        </w:rPr>
        <w:t>                </w:t>
      </w:r>
      <w:r>
        <w:rPr>
          <w:lang w:val="fr-CH"/>
        </w:rPr>
        <w:t>dBsd</w:t>
      </w:r>
      <w:r>
        <w:rPr>
          <w:lang w:val="fr-CH"/>
        </w:rPr>
        <w:tab/>
      </w:r>
    </w:p>
    <w:p w:rsidR="002B489A" w:rsidRDefault="004F19C4">
      <w:pPr>
        <w:rPr>
          <w:lang w:val="fr-CH" w:eastAsia="ja-JP"/>
        </w:rPr>
      </w:pPr>
      <w:r>
        <w:rPr>
          <w:lang w:val="fr-CH"/>
        </w:rPr>
        <w:t xml:space="preserve">où </w:t>
      </w:r>
      <w:r>
        <w:rPr>
          <w:i/>
          <w:lang w:val="fr-CH"/>
        </w:rPr>
        <w:t>F</w:t>
      </w:r>
      <w:r>
        <w:rPr>
          <w:lang w:val="fr-CH"/>
        </w:rPr>
        <w:t xml:space="preserve"> est le décalage de fréquence par rapport au bord de la bande totale assignée, exprimé en pourcentage de la largeur de bande nécessaire. On note que le domaine des émissions hors bande débute à la bordure de la bande totale assignée.</w:t>
      </w:r>
    </w:p>
    <w:p w:rsidR="002B489A" w:rsidRDefault="004F19C4">
      <w:pPr>
        <w:spacing w:line="270" w:lineRule="exact"/>
        <w:rPr>
          <w:lang w:val="fr-CH"/>
        </w:rPr>
      </w:pPr>
      <w:r>
        <w:rPr>
          <w:lang w:val="fr-CH"/>
        </w:rPr>
        <w:t>Le gabarit d'émission hors bande s'étend jusqu'à la frontière des rayonnements non essentiels ou au point où il est égal à la limite des rayonnements non essentiels de l'Appendice 3 du RR, selon ce qui donne l'affaiblissement le plus faible. L'affaiblissement des rayonnements non essentiels pour les services spatiaux est de 43 </w:t>
      </w:r>
      <w:r>
        <w:rPr>
          <w:rFonts w:ascii="Symbol" w:hAnsi="Symbol"/>
          <w:lang w:val="fr-CH"/>
        </w:rPr>
        <w:t></w:t>
      </w:r>
      <w:r>
        <w:rPr>
          <w:lang w:val="fr-CH"/>
        </w:rPr>
        <w:t xml:space="preserve"> 10 log </w:t>
      </w:r>
      <w:r>
        <w:rPr>
          <w:i/>
          <w:lang w:val="fr-CH"/>
        </w:rPr>
        <w:t>P</w:t>
      </w:r>
      <w:r>
        <w:rPr>
          <w:lang w:val="fr-CH"/>
        </w:rPr>
        <w:t xml:space="preserve"> ou 60 dBc dans une largeur de bande de référence de 4 kHz, selon ce qui donne l'affaiblissement le plus faible, ou de façon équivalente, 19 </w:t>
      </w:r>
      <w:r>
        <w:rPr>
          <w:rFonts w:ascii="Symbol" w:hAnsi="Symbol"/>
          <w:lang w:val="fr-CH"/>
        </w:rPr>
        <w:t></w:t>
      </w:r>
      <w:r>
        <w:rPr>
          <w:lang w:val="fr-CH"/>
        </w:rPr>
        <w:t xml:space="preserve"> 10 log </w:t>
      </w:r>
      <w:r>
        <w:rPr>
          <w:i/>
          <w:lang w:val="fr-CH"/>
        </w:rPr>
        <w:t>P</w:t>
      </w:r>
      <w:r>
        <w:rPr>
          <w:lang w:val="fr-CH"/>
        </w:rPr>
        <w:t xml:space="preserve"> ou 36 dBc dans une largeur de bande de référence de 1 MHz, selon ce qui donne l'affaiblissement le plus faible.</w:t>
      </w:r>
    </w:p>
    <w:p w:rsidR="002B489A" w:rsidRDefault="0006728D">
      <w:pPr>
        <w:pStyle w:val="FigureNo"/>
        <w:rPr>
          <w:lang w:val="fr-CH" w:eastAsia="ja-JP"/>
        </w:rPr>
      </w:pPr>
      <w:r>
        <w:rPr>
          <w:noProof/>
          <w:lang w:val="fr-CH" w:eastAsia="fr-CH"/>
        </w:rPr>
        <w:drawing>
          <wp:inline distT="0" distB="0" distL="0" distR="0">
            <wp:extent cx="3524250" cy="3105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24250" cy="3105150"/>
                    </a:xfrm>
                    <a:prstGeom prst="rect">
                      <a:avLst/>
                    </a:prstGeom>
                    <a:noFill/>
                    <a:ln>
                      <a:noFill/>
                    </a:ln>
                  </pic:spPr>
                </pic:pic>
              </a:graphicData>
            </a:graphic>
          </wp:inline>
        </w:drawing>
      </w:r>
    </w:p>
    <w:p w:rsidR="002B489A" w:rsidRDefault="004F19C4">
      <w:pPr>
        <w:pStyle w:val="Heading2"/>
        <w:rPr>
          <w:lang w:val="fr-CH"/>
        </w:rPr>
      </w:pPr>
      <w:r>
        <w:rPr>
          <w:lang w:val="fr-CH"/>
        </w:rPr>
        <w:br w:type="page"/>
        <w:t>4.2</w:t>
      </w:r>
      <w:r>
        <w:rPr>
          <w:lang w:val="fr-CH"/>
        </w:rPr>
        <w:tab/>
        <w:t>Calcul du niveau de brouillage</w:t>
      </w:r>
    </w:p>
    <w:p w:rsidR="002B489A" w:rsidRDefault="004F19C4">
      <w:pPr>
        <w:rPr>
          <w:lang w:val="fr-CH"/>
        </w:rPr>
      </w:pPr>
      <w:r>
        <w:rPr>
          <w:lang w:val="fr-CH"/>
        </w:rPr>
        <w:t>Dans les cas où l'application du numéro 1.153 du RR procure des améliorations en ce qui concerne la compatibilité, on devrait tenir compte du numéro suivant:</w:t>
      </w:r>
    </w:p>
    <w:p w:rsidR="002B489A" w:rsidRDefault="004F19C4">
      <w:pPr>
        <w:tabs>
          <w:tab w:val="clear" w:pos="794"/>
          <w:tab w:val="left" w:pos="0"/>
          <w:tab w:val="left" w:pos="851"/>
        </w:tabs>
        <w:rPr>
          <w:lang w:val="fr-CH"/>
        </w:rPr>
      </w:pPr>
      <w:r>
        <w:rPr>
          <w:lang w:val="fr-CH"/>
        </w:rPr>
        <w:t>«</w:t>
      </w:r>
      <w:r>
        <w:rPr>
          <w:rStyle w:val="Artdef"/>
          <w:lang w:val="fr-CH"/>
        </w:rPr>
        <w:t>1.153</w:t>
      </w:r>
      <w:r>
        <w:rPr>
          <w:rStyle w:val="Artdef"/>
          <w:lang w:val="fr-CH"/>
        </w:rPr>
        <w:tab/>
      </w:r>
      <w:r>
        <w:rPr>
          <w:lang w:val="fr-CH"/>
        </w:rPr>
        <w:tab/>
      </w:r>
      <w:r>
        <w:rPr>
          <w:i/>
          <w:lang w:val="fr-CH"/>
        </w:rPr>
        <w:t>largeur de bande occupée:  </w:t>
      </w:r>
      <w:r>
        <w:rPr>
          <w:lang w:val="fr-CH"/>
        </w:rPr>
        <w:t xml:space="preserve">Largeur de la bande de fréquences telle que, au-dessous de sa fréquence limite inférieure et au-dessus de sa fréquence limite supérieure, soient émises des </w:t>
      </w:r>
      <w:r>
        <w:rPr>
          <w:i/>
          <w:lang w:val="fr-CH"/>
        </w:rPr>
        <w:t>puissances moyennes</w:t>
      </w:r>
      <w:r>
        <w:rPr>
          <w:lang w:val="fr-CH"/>
        </w:rPr>
        <w:t xml:space="preserve"> égales chacune à un pourcentage donné </w:t>
      </w:r>
      <w:r>
        <w:rPr>
          <w:rFonts w:ascii="Symbol" w:hAnsi="Symbol"/>
        </w:rPr>
        <w:sym w:font="Symbol" w:char="F062"/>
      </w:r>
      <w:r>
        <w:rPr>
          <w:lang w:val="fr-CH"/>
        </w:rPr>
        <w:t xml:space="preserve">/2 de la </w:t>
      </w:r>
      <w:r>
        <w:rPr>
          <w:i/>
          <w:lang w:val="fr-CH"/>
        </w:rPr>
        <w:t>puissance moyenne</w:t>
      </w:r>
      <w:r>
        <w:rPr>
          <w:lang w:val="fr-CH"/>
        </w:rPr>
        <w:t xml:space="preserve"> totale d'une </w:t>
      </w:r>
      <w:r>
        <w:rPr>
          <w:i/>
          <w:lang w:val="fr-CH"/>
        </w:rPr>
        <w:t>émission</w:t>
      </w:r>
      <w:r>
        <w:rPr>
          <w:lang w:val="fr-CH"/>
        </w:rPr>
        <w:t xml:space="preserve"> donnée.</w:t>
      </w:r>
    </w:p>
    <w:p w:rsidR="002B489A" w:rsidRDefault="004F19C4">
      <w:pPr>
        <w:tabs>
          <w:tab w:val="clear" w:pos="794"/>
          <w:tab w:val="left" w:pos="0"/>
          <w:tab w:val="left" w:pos="851"/>
        </w:tabs>
        <w:rPr>
          <w:lang w:val="fr-CH"/>
        </w:rPr>
      </w:pPr>
      <w:r>
        <w:rPr>
          <w:lang w:val="fr-CH"/>
        </w:rPr>
        <w:tab/>
      </w:r>
      <w:r>
        <w:rPr>
          <w:lang w:val="fr-CH"/>
        </w:rPr>
        <w:tab/>
        <w:t xml:space="preserve">En l'absence de spécifications dans une Recommandation de l'UIT-R pour la </w:t>
      </w:r>
      <w:r>
        <w:rPr>
          <w:i/>
          <w:lang w:val="fr-CH"/>
        </w:rPr>
        <w:t>classe d'émission</w:t>
      </w:r>
      <w:r>
        <w:rPr>
          <w:lang w:val="fr-CH"/>
        </w:rPr>
        <w:t xml:space="preserve"> considérée, la valeur </w:t>
      </w:r>
      <w:r>
        <w:rPr>
          <w:rFonts w:ascii="Symbol" w:hAnsi="Symbol"/>
        </w:rPr>
        <w:sym w:font="Symbol" w:char="F062"/>
      </w:r>
      <w:r>
        <w:rPr>
          <w:lang w:val="fr-CH"/>
        </w:rPr>
        <w:t>/2 doit être prise égale à 0,5%.»</w:t>
      </w:r>
    </w:p>
    <w:p w:rsidR="002B489A" w:rsidRDefault="004F19C4">
      <w:pPr>
        <w:rPr>
          <w:lang w:val="fr-CH"/>
        </w:rPr>
      </w:pPr>
      <w:r>
        <w:rPr>
          <w:lang w:val="fr-CH"/>
        </w:rPr>
        <w:t>Si le bord supérieur de la largeur de bande occupée était à la limite supérieure ou au</w:t>
      </w:r>
      <w:r>
        <w:rPr>
          <w:lang w:val="fr-CH"/>
        </w:rPr>
        <w:noBreakHyphen/>
        <w:t xml:space="preserve">dessous de l'attribution au service de radiolocalisation, la puissance totale des rayonnements non désirés aux fréquences au-dessous de la largeur de bande attribuée ne serait pas supérieure à 0,5% de </w:t>
      </w:r>
      <w:r>
        <w:rPr>
          <w:i/>
          <w:lang w:val="fr-CH"/>
        </w:rPr>
        <w:t>P</w:t>
      </w:r>
      <w:r>
        <w:rPr>
          <w:lang w:val="fr-CH"/>
        </w:rPr>
        <w:t xml:space="preserve">, où </w:t>
      </w:r>
      <w:r>
        <w:rPr>
          <w:i/>
          <w:lang w:val="fr-CH"/>
        </w:rPr>
        <w:t>P</w:t>
      </w:r>
      <w:r>
        <w:rPr>
          <w:lang w:val="fr-CH"/>
        </w:rPr>
        <w:t xml:space="preserve"> est la puissance dans la bande. Donc, la puissance totale de rayonnement non désiré aux fréquences dans la bande 50,2</w:t>
      </w:r>
      <w:r>
        <w:rPr>
          <w:lang w:val="fr-CH"/>
        </w:rPr>
        <w:noBreakHyphen/>
        <w:t xml:space="preserve">50,4 GHz du SETS ne serait donc pas supérieure à </w:t>
      </w:r>
      <w:r>
        <w:rPr>
          <w:i/>
          <w:lang w:val="fr-CH"/>
        </w:rPr>
        <w:t>P</w:t>
      </w:r>
      <w:r>
        <w:rPr>
          <w:lang w:val="fr-CH"/>
        </w:rPr>
        <w:t xml:space="preserve"> – 23 dB.</w:t>
      </w:r>
    </w:p>
    <w:p w:rsidR="002B489A" w:rsidRDefault="004F19C4">
      <w:pPr>
        <w:pStyle w:val="Heading2"/>
        <w:rPr>
          <w:lang w:val="fr-CH"/>
        </w:rPr>
      </w:pPr>
      <w:r>
        <w:rPr>
          <w:lang w:val="fr-CH"/>
        </w:rPr>
        <w:t>4.3</w:t>
      </w:r>
      <w:r>
        <w:rPr>
          <w:lang w:val="fr-CH"/>
        </w:rPr>
        <w:tab/>
        <w:t>Valeurs obtenues</w:t>
      </w:r>
    </w:p>
    <w:p w:rsidR="002B489A" w:rsidRDefault="004F19C4">
      <w:pPr>
        <w:pStyle w:val="Heading3"/>
        <w:rPr>
          <w:lang w:val="fr-CH"/>
        </w:rPr>
      </w:pPr>
      <w:r>
        <w:rPr>
          <w:lang w:val="fr-CH"/>
        </w:rPr>
        <w:t>4.3.1</w:t>
      </w:r>
      <w:r>
        <w:rPr>
          <w:lang w:val="fr-CH"/>
        </w:rPr>
        <w:tab/>
        <w:t>Cas SFS/SMS</w:t>
      </w:r>
    </w:p>
    <w:p w:rsidR="002B489A" w:rsidRDefault="004F19C4">
      <w:pPr>
        <w:rPr>
          <w:lang w:val="fr-CH"/>
        </w:rPr>
      </w:pPr>
      <w:r>
        <w:rPr>
          <w:lang w:val="fr-CH"/>
        </w:rPr>
        <w:t>L'application de la Recommandation UIT-R SM.1541 aux systèmes SFS/SMS utilisant une largeur de bande nécessaire conduit à une puissance surfacique intégrée sur la totalité de la bande attribuée au SRA de 108,5 dB(W/(m</w:t>
      </w:r>
      <w:r>
        <w:rPr>
          <w:vertAlign w:val="superscript"/>
          <w:lang w:val="fr-CH"/>
        </w:rPr>
        <w:t>2</w:t>
      </w:r>
      <w:r>
        <w:rPr>
          <w:lang w:val="fr-CH"/>
        </w:rPr>
        <w:t xml:space="preserve"> · 10 MHz)). L'application du numéro 1.153 du RR conduit à une puissance surfacique totale de –123 dB(W/(m</w:t>
      </w:r>
      <w:r>
        <w:rPr>
          <w:vertAlign w:val="superscript"/>
          <w:lang w:val="fr-CH"/>
        </w:rPr>
        <w:t>2</w:t>
      </w:r>
      <w:r>
        <w:rPr>
          <w:lang w:val="fr-CH"/>
        </w:rPr>
        <w:t xml:space="preserve"> · 10 MHz)). Cela signifie que les critères de protection pour les observations du continuum ne seront pas satisfaits.</w:t>
      </w:r>
    </w:p>
    <w:p w:rsidR="002B489A" w:rsidRDefault="004F19C4">
      <w:pPr>
        <w:rPr>
          <w:lang w:val="fr-CH"/>
        </w:rPr>
      </w:pPr>
      <w:r>
        <w:rPr>
          <w:lang w:val="fr-CH"/>
        </w:rPr>
        <w:t>La puissance surfacique intégrée sur 20 kHz, à la bordure de la bande attribuée au SRA, est égale à –130 dB(W/(m</w:t>
      </w:r>
      <w:r>
        <w:rPr>
          <w:vertAlign w:val="superscript"/>
          <w:lang w:val="fr-CH"/>
        </w:rPr>
        <w:t>2</w:t>
      </w:r>
      <w:r>
        <w:rPr>
          <w:lang w:val="fr-CH"/>
        </w:rPr>
        <w:t xml:space="preserve"> · 20 kHz)), c'est-à-dire environ 30 dB au-dessus du critère de protection VLBI.</w:t>
      </w:r>
    </w:p>
    <w:p w:rsidR="002B489A" w:rsidRDefault="004F19C4">
      <w:pPr>
        <w:pStyle w:val="Heading3"/>
        <w:rPr>
          <w:lang w:val="fr-CH"/>
        </w:rPr>
      </w:pPr>
      <w:r>
        <w:rPr>
          <w:lang w:val="fr-CH"/>
        </w:rPr>
        <w:t>4.3.2</w:t>
      </w:r>
      <w:r>
        <w:rPr>
          <w:lang w:val="fr-CH"/>
        </w:rPr>
        <w:tab/>
        <w:t>Cas SRS</w:t>
      </w:r>
    </w:p>
    <w:p w:rsidR="002B489A" w:rsidRDefault="004F19C4">
      <w:pPr>
        <w:spacing w:line="270" w:lineRule="exact"/>
        <w:rPr>
          <w:lang w:val="fr-CH"/>
        </w:rPr>
      </w:pPr>
      <w:r>
        <w:rPr>
          <w:lang w:val="fr-CH"/>
        </w:rPr>
        <w:t>Sur la base de la limite de puissance surfacique donnée à l'Article 21 du RR (</w:t>
      </w:r>
      <w:r>
        <w:rPr>
          <w:rFonts w:ascii="Symbol" w:hAnsi="Symbol"/>
          <w:lang w:val="fr-CH"/>
        </w:rPr>
        <w:noBreakHyphen/>
      </w:r>
      <w:r>
        <w:rPr>
          <w:lang w:val="fr-CH"/>
        </w:rPr>
        <w:t>137 dB(W/(m</w:t>
      </w:r>
      <w:r>
        <w:rPr>
          <w:vertAlign w:val="superscript"/>
          <w:lang w:val="fr-CH"/>
        </w:rPr>
        <w:t>2</w:t>
      </w:r>
      <w:r>
        <w:rPr>
          <w:lang w:val="fr-CH"/>
        </w:rPr>
        <w:t> · 4 kHz))), en supposant une largeur de bande nécessaire de 18 MHz et en appliquant le gabarit décrit au § 4.1.2, pour un système SRS fonctionnant au-dessous de 2</w:t>
      </w:r>
      <w:r>
        <w:rPr>
          <w:rFonts w:ascii="Tms Rmn" w:hAnsi="Tms Rmn"/>
          <w:sz w:val="12"/>
          <w:lang w:val="fr-CH"/>
        </w:rPr>
        <w:t> </w:t>
      </w:r>
      <w:r>
        <w:rPr>
          <w:lang w:val="fr-CH"/>
        </w:rPr>
        <w:t>670 MHz, la puissance surfacique maximum tombant dans une largeur de bande de référence de 10 MHz est égale à –121 dB(W/(m</w:t>
      </w:r>
      <w:r>
        <w:rPr>
          <w:vertAlign w:val="superscript"/>
          <w:lang w:val="fr-CH"/>
        </w:rPr>
        <w:t>2</w:t>
      </w:r>
      <w:r>
        <w:rPr>
          <w:lang w:val="fr-CH"/>
        </w:rPr>
        <w:t xml:space="preserve"> · 10 MHz)), c'est-à-dire environ 56 dB au-dessus du critère donné pour les observations du continuum. L'application du numéro 1.153 du RR conduit à une puissance surfacique de –123,5 dB(W/(m</w:t>
      </w:r>
      <w:r>
        <w:rPr>
          <w:vertAlign w:val="superscript"/>
          <w:lang w:val="fr-CH"/>
        </w:rPr>
        <w:t>2</w:t>
      </w:r>
      <w:r>
        <w:rPr>
          <w:lang w:val="fr-CH"/>
        </w:rPr>
        <w:t xml:space="preserve"> · 10 MHz)). Cela signifie que les critères de protection pour les observations du continuum ne seront pas satisfaits.</w:t>
      </w:r>
    </w:p>
    <w:p w:rsidR="002B489A" w:rsidRDefault="004F19C4">
      <w:pPr>
        <w:rPr>
          <w:lang w:val="fr-CH"/>
        </w:rPr>
      </w:pPr>
      <w:r>
        <w:rPr>
          <w:lang w:val="fr-CH"/>
        </w:rPr>
        <w:t>La puissance surfacique due à un système SRS fonctionnant en dessous de 2</w:t>
      </w:r>
      <w:r>
        <w:rPr>
          <w:rFonts w:ascii="Tms Rmn" w:hAnsi="Tms Rmn"/>
          <w:sz w:val="12"/>
          <w:lang w:val="fr-CH"/>
        </w:rPr>
        <w:t> </w:t>
      </w:r>
      <w:r>
        <w:rPr>
          <w:lang w:val="fr-CH"/>
        </w:rPr>
        <w:t>670 MHz et intégrée sur 20 kHz, en bordure de la bande attribuée au SRA, est égale à –146 dB(W/(m</w:t>
      </w:r>
      <w:r>
        <w:rPr>
          <w:vertAlign w:val="superscript"/>
          <w:lang w:val="fr-CH"/>
        </w:rPr>
        <w:t>2</w:t>
      </w:r>
      <w:r>
        <w:rPr>
          <w:lang w:val="fr-CH"/>
        </w:rPr>
        <w:t xml:space="preserve"> · 10 MHz)) ce qui est environ 15 dB au-dessus du critère de protection VLBI.</w:t>
      </w:r>
    </w:p>
    <w:p w:rsidR="002B489A" w:rsidRDefault="004F19C4">
      <w:pPr>
        <w:pStyle w:val="Heading1"/>
        <w:ind w:left="0" w:firstLine="0"/>
        <w:rPr>
          <w:snapToGrid w:val="0"/>
          <w:lang w:val="fr-CH"/>
        </w:rPr>
      </w:pPr>
      <w:r>
        <w:rPr>
          <w:snapToGrid w:val="0"/>
          <w:lang w:val="fr-CH"/>
        </w:rPr>
        <w:t>5</w:t>
      </w:r>
      <w:r>
        <w:rPr>
          <w:snapToGrid w:val="0"/>
          <w:lang w:val="fr-CH"/>
        </w:rPr>
        <w:tab/>
        <w:t>Techniques de réduction des brouillages</w:t>
      </w:r>
    </w:p>
    <w:p w:rsidR="002B489A" w:rsidRDefault="004F19C4">
      <w:pPr>
        <w:pStyle w:val="Heading2"/>
        <w:rPr>
          <w:lang w:val="fr-CH"/>
        </w:rPr>
      </w:pPr>
      <w:r>
        <w:rPr>
          <w:lang w:val="fr-CH"/>
        </w:rPr>
        <w:t>5.1</w:t>
      </w:r>
      <w:r>
        <w:rPr>
          <w:lang w:val="fr-CH"/>
        </w:rPr>
        <w:tab/>
        <w:t>SRA</w:t>
      </w:r>
    </w:p>
    <w:p w:rsidR="002B489A" w:rsidRDefault="004F19C4">
      <w:pPr>
        <w:rPr>
          <w:lang w:val="fr-CH"/>
        </w:rPr>
      </w:pPr>
      <w:r>
        <w:rPr>
          <w:lang w:val="fr-CH"/>
        </w:rPr>
        <w:t>On peut utiliser diverses méthodes, y compris celles qui sont décrites ci-dessous, pour réduire les rayonnements non désirés causés par les émetteurs de satellite à un radiotélescope.</w:t>
      </w:r>
    </w:p>
    <w:p w:rsidR="002B489A" w:rsidRDefault="004F19C4">
      <w:pPr>
        <w:rPr>
          <w:lang w:val="fr-CH"/>
        </w:rPr>
      </w:pPr>
      <w:r>
        <w:rPr>
          <w:i/>
          <w:lang w:val="fr-CH"/>
        </w:rPr>
        <w:br w:type="page"/>
        <w:t>Performances du lobe latéral de l'antenne</w:t>
      </w:r>
      <w:r>
        <w:rPr>
          <w:lang w:val="fr-CH"/>
        </w:rPr>
        <w:t xml:space="preserve">: L'éclairement lumineux d'ouverture des radiotélescopes est habituellement optimisé pour </w:t>
      </w:r>
      <w:r>
        <w:rPr>
          <w:i/>
          <w:iCs/>
          <w:lang w:val="fr-CH"/>
        </w:rPr>
        <w:t>G</w:t>
      </w:r>
      <w:r>
        <w:rPr>
          <w:lang w:val="fr-CH"/>
        </w:rPr>
        <w:t>/</w:t>
      </w:r>
      <w:r>
        <w:rPr>
          <w:i/>
          <w:iCs/>
          <w:lang w:val="fr-CH"/>
        </w:rPr>
        <w:t>T</w:t>
      </w:r>
      <w:r>
        <w:rPr>
          <w:lang w:val="fr-CH"/>
        </w:rPr>
        <w:t xml:space="preserve">, c'est-à-dire le gain du télescope divisé par la température du système. Cela maximise le rapport </w:t>
      </w:r>
      <w:r>
        <w:rPr>
          <w:i/>
          <w:iCs/>
          <w:lang w:val="fr-CH"/>
        </w:rPr>
        <w:t>S</w:t>
      </w:r>
      <w:r>
        <w:rPr>
          <w:lang w:val="fr-CH"/>
        </w:rPr>
        <w:t>/</w:t>
      </w:r>
      <w:r>
        <w:rPr>
          <w:i/>
          <w:iCs/>
          <w:lang w:val="fr-CH"/>
        </w:rPr>
        <w:t>N</w:t>
      </w:r>
      <w:r>
        <w:rPr>
          <w:lang w:val="fr-CH"/>
        </w:rPr>
        <w:t xml:space="preserve"> pour les points sources. Un élément clé de cette approche est de réduire le rayonnement du sol entrant par les lobes latéraux distants. Inévitablement, cela conduit à un certain accroissement correspondant dans les niveaux de lobes latéraux proches. L'expérience a montré que le gabarit d'enveloppe de lobe latéral donné dans la Recommandation UIT-R SA.509 est satisfait par la majorité des radiotélescopes dans la plupart des directions.</w:t>
      </w:r>
    </w:p>
    <w:p w:rsidR="002B489A" w:rsidRDefault="004F19C4">
      <w:pPr>
        <w:rPr>
          <w:lang w:val="fr-CH"/>
        </w:rPr>
      </w:pPr>
      <w:r>
        <w:rPr>
          <w:i/>
          <w:lang w:val="fr-CH"/>
        </w:rPr>
        <w:t>Suppression de faisceau en temps et/ou fréquence</w:t>
      </w:r>
      <w:r>
        <w:rPr>
          <w:lang w:val="fr-CH"/>
        </w:rPr>
        <w:t>: Cette technique peut être appliquée dans certains cas lorsque le brouillage sur la bande de fréquences attribuée à la radioastronomie peut être identifié pleinement et sans ambiguïté en temps et/ou en fréquence.</w:t>
      </w:r>
    </w:p>
    <w:p w:rsidR="002B489A" w:rsidRDefault="004F19C4">
      <w:pPr>
        <w:rPr>
          <w:lang w:val="fr-CH"/>
        </w:rPr>
      </w:pPr>
      <w:r>
        <w:rPr>
          <w:i/>
          <w:lang w:val="fr-CH"/>
        </w:rPr>
        <w:t>Bande de garde</w:t>
      </w:r>
      <w:r>
        <w:rPr>
          <w:lang w:val="fr-CH"/>
        </w:rPr>
        <w:t>: Une bande de garde est une technique fournissant une séparation en fréquence adéquate entre les services actifs et les services passifs. En général, elle va chevaucher équitablement la frontière entre les bandes de fréquences des services actifs et des services passifs.</w:t>
      </w:r>
    </w:p>
    <w:p w:rsidR="002B489A" w:rsidRDefault="004F19C4">
      <w:pPr>
        <w:rPr>
          <w:lang w:val="fr-CH"/>
        </w:rPr>
      </w:pPr>
      <w:r>
        <w:rPr>
          <w:i/>
          <w:lang w:val="fr-CH"/>
        </w:rPr>
        <w:t>Isolement géographique</w:t>
      </w:r>
      <w:r>
        <w:rPr>
          <w:lang w:val="fr-CH"/>
        </w:rPr>
        <w:t>: L'isolement géographique de sites spécifiques de radioastronomie peut être un facteur qui favorise la protection des observations sur ces sites, vu la localisation orbitale d'un satellite SRS/SFS spécifique, car il y aura relativement peu de satellites.</w:t>
      </w:r>
    </w:p>
    <w:p w:rsidR="002B489A" w:rsidRDefault="004F19C4">
      <w:pPr>
        <w:pStyle w:val="Heading2"/>
        <w:rPr>
          <w:lang w:val="fr-CH"/>
        </w:rPr>
      </w:pPr>
      <w:r>
        <w:rPr>
          <w:lang w:val="fr-CH"/>
        </w:rPr>
        <w:t>5.2</w:t>
      </w:r>
      <w:r>
        <w:rPr>
          <w:lang w:val="fr-CH"/>
        </w:rPr>
        <w:tab/>
        <w:t>Services SFS/SRS</w:t>
      </w:r>
    </w:p>
    <w:p w:rsidR="002B489A" w:rsidRDefault="004F19C4">
      <w:pPr>
        <w:rPr>
          <w:lang w:val="fr-CH"/>
        </w:rPr>
      </w:pPr>
      <w:r>
        <w:rPr>
          <w:lang w:val="fr-CH"/>
        </w:rPr>
        <w:t>Ce service suppose l'émission continue de signaux en permanence ou pendant de longs laps de temps, avec puissance et spectre constants. Des procédures de réduction des brouillages possibles sont destinées à éviter d'émettre des rayonnements non désirés dans la direction des stations de radioastronomie qui utilisent cette bande, ou à utiliser des filtres pour supprimer de façon appropriée les rayonnements non désirés jusqu'à un niveau où ne soient pas causés de brouillages gênants aux observations radioastronomiques dans la bande 2</w:t>
      </w:r>
      <w:r>
        <w:rPr>
          <w:rFonts w:ascii="Tms Rmn" w:hAnsi="Tms Rmn"/>
          <w:sz w:val="12"/>
          <w:lang w:val="fr-CH"/>
        </w:rPr>
        <w:t> </w:t>
      </w:r>
      <w:r>
        <w:rPr>
          <w:lang w:val="fr-CH"/>
        </w:rPr>
        <w:t>690-2</w:t>
      </w:r>
      <w:r>
        <w:rPr>
          <w:rFonts w:ascii="Tms Rmn" w:hAnsi="Tms Rmn"/>
          <w:sz w:val="12"/>
          <w:lang w:val="fr-CH"/>
        </w:rPr>
        <w:t> </w:t>
      </w:r>
      <w:r>
        <w:rPr>
          <w:lang w:val="fr-CH"/>
        </w:rPr>
        <w:t>700 MHz.</w:t>
      </w:r>
    </w:p>
    <w:p w:rsidR="002B489A" w:rsidRDefault="004F19C4">
      <w:pPr>
        <w:pStyle w:val="Heading2"/>
        <w:rPr>
          <w:lang w:val="fr-CH"/>
        </w:rPr>
      </w:pPr>
      <w:r>
        <w:rPr>
          <w:lang w:val="fr-CH"/>
        </w:rPr>
        <w:t>5.3</w:t>
      </w:r>
      <w:r>
        <w:rPr>
          <w:lang w:val="fr-CH"/>
        </w:rPr>
        <w:tab/>
        <w:t>Impact potentiel</w:t>
      </w:r>
    </w:p>
    <w:p w:rsidR="002B489A" w:rsidRDefault="004F19C4">
      <w:pPr>
        <w:pStyle w:val="Heading3"/>
        <w:rPr>
          <w:lang w:val="fr-CH"/>
        </w:rPr>
      </w:pPr>
      <w:r>
        <w:rPr>
          <w:lang w:val="fr-CH"/>
        </w:rPr>
        <w:t>5.3.1</w:t>
      </w:r>
      <w:r>
        <w:rPr>
          <w:lang w:val="fr-CH"/>
        </w:rPr>
        <w:tab/>
        <w:t>SRA</w:t>
      </w:r>
    </w:p>
    <w:p w:rsidR="002B489A" w:rsidRDefault="004F19C4">
      <w:pPr>
        <w:rPr>
          <w:lang w:val="fr-CH"/>
        </w:rPr>
      </w:pPr>
      <w:r>
        <w:rPr>
          <w:i/>
          <w:lang w:val="fr-CH"/>
        </w:rPr>
        <w:t>Performances du lobe latéral de l'antenne</w:t>
      </w:r>
      <w:r>
        <w:rPr>
          <w:lang w:val="fr-CH"/>
        </w:rPr>
        <w:t>: Les tentatives de diminution de la sensibilité des antennes de radioastronomie aux rayonnements non désirés provenant des stations spatiales vont vraisemblablement accroître la sensibilité des télescopes radioastronomiques au rayonnement du sol, et pourraient réduire leur gain de faisceau principal. Ces deux effets réduiront la capacité de canal du télescope et conduiront à une augmentation du temps d'intégration total nécessaire.</w:t>
      </w:r>
    </w:p>
    <w:p w:rsidR="002B489A" w:rsidRDefault="004F19C4">
      <w:pPr>
        <w:pStyle w:val="enumlev1"/>
        <w:ind w:left="0" w:firstLine="0"/>
        <w:rPr>
          <w:lang w:val="fr-CH"/>
        </w:rPr>
      </w:pPr>
      <w:r>
        <w:rPr>
          <w:i/>
          <w:lang w:val="fr-CH"/>
        </w:rPr>
        <w:t>Suppression de faisceau en temps et/ou fréquence</w:t>
      </w:r>
      <w:r>
        <w:rPr>
          <w:lang w:val="fr-CH"/>
        </w:rPr>
        <w:t>: La suppression comporte le risque de compromettre l'intégrité des données et peut conduire à des erreurs de leur interprétation scientifique. Il est également à l'origine d'un accroissement concomitant du temps d'intégration total requis pour faire l'observation, ce qui est équivalent à une perte de la capacité de canal du télescope.</w:t>
      </w:r>
    </w:p>
    <w:p w:rsidR="002B489A" w:rsidRDefault="004F19C4">
      <w:pPr>
        <w:rPr>
          <w:lang w:val="fr-CH"/>
        </w:rPr>
      </w:pPr>
      <w:r>
        <w:rPr>
          <w:i/>
          <w:lang w:val="fr-CH"/>
        </w:rPr>
        <w:t>Bande de garde</w:t>
      </w:r>
      <w:r>
        <w:rPr>
          <w:lang w:val="fr-CH"/>
        </w:rPr>
        <w:t>: Dans le cas de mesures à large bande du continuum, l'utilisation d'une bande de garde conduirait effectivement à une perte de capacité de canal, dans la mesure où le temps d'intégration devrait être augmenté pour compenser la perte de largeur de bande.</w:t>
      </w:r>
    </w:p>
    <w:p w:rsidR="002B489A" w:rsidRDefault="004F19C4">
      <w:pPr>
        <w:rPr>
          <w:lang w:val="fr-CH"/>
        </w:rPr>
      </w:pPr>
      <w:r>
        <w:rPr>
          <w:i/>
          <w:lang w:val="fr-CH"/>
        </w:rPr>
        <w:t>Isolement géographique</w:t>
      </w:r>
      <w:r>
        <w:rPr>
          <w:lang w:val="fr-CH"/>
        </w:rPr>
        <w:t>: Lorsqu'on le considère au cas par cas, il est vraisemblable qu'il y aura peu d'impact sur les sites de radioastronomie concernés. Cela procure cependant nécessairement une protection de la radioastronomie en tant que service.</w:t>
      </w:r>
    </w:p>
    <w:p w:rsidR="002B489A" w:rsidRDefault="004F19C4">
      <w:pPr>
        <w:pStyle w:val="Heading3"/>
        <w:rPr>
          <w:lang w:val="fr-CH"/>
        </w:rPr>
      </w:pPr>
      <w:r>
        <w:rPr>
          <w:lang w:val="fr-CH"/>
        </w:rPr>
        <w:br w:type="page"/>
        <w:t>5.3.2</w:t>
      </w:r>
      <w:r>
        <w:rPr>
          <w:lang w:val="fr-CH"/>
        </w:rPr>
        <w:tab/>
        <w:t>SFS/SRS</w:t>
      </w:r>
    </w:p>
    <w:p w:rsidR="002B489A" w:rsidRDefault="004F19C4">
      <w:pPr>
        <w:rPr>
          <w:lang w:val="fr-CH"/>
        </w:rPr>
      </w:pPr>
      <w:r>
        <w:rPr>
          <w:lang w:val="fr-CH"/>
        </w:rPr>
        <w:t>Les filtres sont une façon évidente de supprimer les rayonnements non désirés, mais l'ajout de tels filtres peut affecter de façon substantielle la conception du satellite. Si on utilise une antenne active en réseau à commande de phase, des filtres peuvent être nécessaires pour chaque élément d'antenne activé. Cela va accroître le poids du satellite. La compensation de l'affaiblissement du filtre exigera des émetteurs plus puissants, ce qui à son tour exigera plus de puissance de transport, et ainsi de plus grands dispositifs d'énergie solaire. Cet accroissement de poids pourrait être suffisant pour exiger de plus gros lanceurs. L'impact sur les coûts pourrait être considérable. Par conséquent, la mise en œuvre de filtres ne peut être prise en considération qu'au stade de la conception d'un système. Cependant, les améliorations techniques continues de la conception des filtres et des antennes actives peuvent à l'avenir réduire le problème de la mise en œuvre de telles solutions dans des proportions acceptables.</w:t>
      </w:r>
    </w:p>
    <w:p w:rsidR="002B489A" w:rsidRDefault="004F19C4">
      <w:pPr>
        <w:rPr>
          <w:lang w:val="fr-CH"/>
        </w:rPr>
      </w:pPr>
      <w:r>
        <w:rPr>
          <w:lang w:val="fr-CH"/>
        </w:rPr>
        <w:t>Dans la mesure où certains systèmes à satellites multi-faisceaux sont prévus dans la gamme de fréquences concernée, les implications en coût et en poids de filtrage RF supplémentaires sont multipliées par le nombre de faisceaux dans les systèmes multifaisceaux, ou le nombre d'éléments dans le système d'antenne en réseau à commande de phase. Cela tient au fait que, dans un système multifaisceaux, les amplificateurs de sortie ne sont généralement pas partagés entre les faisceaux, et on doit donc les filtrer séparément. Dans un système du type réseau à commande de phase, l'étape finale de l'amplification survient sur les divers éléments du réseau, chacun d'entre eux devant être filtré séparément. De cette façon, l'impact en poids d'un filtre individuel est multiplié par le nombre de faisceaux du système, ou par le nombre d'éléments dans le réseau à commande de phase. L'affaiblissement dû à l'insertion de filtres pourrait avoir un impact sur la capacité du système.</w:t>
      </w:r>
    </w:p>
    <w:p w:rsidR="002B489A" w:rsidRDefault="004F19C4">
      <w:pPr>
        <w:rPr>
          <w:lang w:val="fr-CH"/>
        </w:rPr>
      </w:pPr>
      <w:r>
        <w:rPr>
          <w:lang w:val="fr-CH"/>
        </w:rPr>
        <w:t>L'isolement géographique impliquerait l'utilisation d'un processus de décroissance du diagramme d'antenne satellite pour réaliser l'isolement requis et satisfaire à un critère de partage ayant fait l'objet d'un accord sur un site particulier de réception de radioastronomie. Cette technique suppose tacitement qu'un système SFS n'aura pas une zone de couverture mondiale ou même régionale, ce qui est une hypothèse limitante en elle-même. De nombreux systèmes ont des faisceaux régionaux ou sous-régionaux pour lesquels l'isolation géographique n'est pas réalisable. D'autres systèmes à faisceau ponctuel peuvent être capables d'utiliser l'isolement géographique, cependant, ce n'est pas une solution très séduisante du point de vue du système à satellites car il pourrait en résulter que des zones de la Terre seraient indisponibles pour le service par satellite. De telles limitations de la zone du SFS pourraient avoir de sérieuses implications en termes de revenu. Cependant, cette solution a le mérite de prendre en compte les exigences réelles de protection de sites spécifiques de radioastronomie, sans qu'il soit besoin d'avoir recours aux critères du cas le plus défavorable sur chaque site de radioastronomie.</w:t>
      </w:r>
    </w:p>
    <w:p w:rsidR="002B489A" w:rsidRDefault="004F19C4">
      <w:pPr>
        <w:pStyle w:val="Heading1"/>
        <w:rPr>
          <w:snapToGrid w:val="0"/>
          <w:lang w:val="fr-CH"/>
        </w:rPr>
      </w:pPr>
      <w:r>
        <w:rPr>
          <w:snapToGrid w:val="0"/>
          <w:lang w:val="fr-CH"/>
        </w:rPr>
        <w:t>6</w:t>
      </w:r>
      <w:r>
        <w:rPr>
          <w:snapToGrid w:val="0"/>
          <w:lang w:val="fr-CH"/>
        </w:rPr>
        <w:tab/>
        <w:t>Résultats des études</w:t>
      </w:r>
    </w:p>
    <w:p w:rsidR="002B489A" w:rsidRDefault="004F19C4">
      <w:pPr>
        <w:pStyle w:val="Heading2"/>
        <w:rPr>
          <w:lang w:val="fr-CH"/>
        </w:rPr>
      </w:pPr>
      <w:r>
        <w:rPr>
          <w:lang w:val="fr-CH"/>
        </w:rPr>
        <w:t>6.1</w:t>
      </w:r>
      <w:r>
        <w:rPr>
          <w:lang w:val="fr-CH"/>
        </w:rPr>
        <w:tab/>
        <w:t>Résumé</w:t>
      </w:r>
    </w:p>
    <w:p w:rsidR="002B489A" w:rsidRDefault="004F19C4">
      <w:pPr>
        <w:rPr>
          <w:lang w:val="fr-CH"/>
        </w:rPr>
      </w:pPr>
      <w:r>
        <w:rPr>
          <w:lang w:val="fr-CH"/>
        </w:rPr>
        <w:t>Le calcul de brouillage effectué montre que, sur la base des critères de protection examinés au §</w:t>
      </w:r>
      <w:r>
        <w:rPr>
          <w:rFonts w:ascii="Tms Rmn" w:hAnsi="Tms Rmn"/>
          <w:sz w:val="12"/>
          <w:lang w:val="fr-CH"/>
        </w:rPr>
        <w:t> </w:t>
      </w:r>
      <w:r>
        <w:rPr>
          <w:lang w:val="fr-CH"/>
        </w:rPr>
        <w:t>1.3, si on n'applique pas de techniques de réduction des brouillages, il y a un risque de brouillage nuisible causé aux observations de radioastronomie dans la bande de 2</w:t>
      </w:r>
      <w:r>
        <w:rPr>
          <w:rFonts w:ascii="Tms Rmn" w:hAnsi="Tms Rmn"/>
          <w:sz w:val="12"/>
          <w:lang w:val="fr-CH"/>
        </w:rPr>
        <w:t> </w:t>
      </w:r>
      <w:r>
        <w:rPr>
          <w:lang w:val="fr-CH"/>
        </w:rPr>
        <w:t>690</w:t>
      </w:r>
      <w:r>
        <w:rPr>
          <w:lang w:val="fr-CH"/>
        </w:rPr>
        <w:noBreakHyphen/>
        <w:t>2</w:t>
      </w:r>
      <w:r>
        <w:rPr>
          <w:rFonts w:ascii="Tms Rmn" w:hAnsi="Tms Rmn"/>
          <w:sz w:val="12"/>
          <w:lang w:val="fr-CH"/>
        </w:rPr>
        <w:t> </w:t>
      </w:r>
      <w:r>
        <w:rPr>
          <w:lang w:val="fr-CH"/>
        </w:rPr>
        <w:t>700 MHz par des services dans la bande adjacente, à un niveau qui empêcherait effectivement d'effectuer toute mesure astronomique utile dans cette bande.</w:t>
      </w:r>
    </w:p>
    <w:p w:rsidR="002B489A" w:rsidRDefault="004F19C4">
      <w:pPr>
        <w:rPr>
          <w:lang w:val="fr-CH"/>
        </w:rPr>
      </w:pPr>
      <w:r>
        <w:rPr>
          <w:lang w:val="fr-CH"/>
        </w:rPr>
        <w:t xml:space="preserve">Les opérateurs de satellites devront continuer à travailler en relation étroite avec la communauté de la radioastronomie pour minimiser l'impact des émissions hors bande des satellites. Dans de nombreux cas, le filtrage normal du répéteur sera suffisant pour garantir qu'il n'y aura pas d'impact </w:t>
      </w:r>
      <w:r>
        <w:rPr>
          <w:lang w:val="fr-CH"/>
        </w:rPr>
        <w:br w:type="page"/>
        <w:t>dommageable sur les bandes attribuées à la radioastronomie. Lorsque ce n'est pas le cas, l'impact d'un filtrage supplémentaire du satellite sera examiné conjointement avec d'autres techniques de réduction des brouillages telles que l'isolement du schéma géographique et l'isolement de la station radioastronomique au sol. Cela peut se faire au cas par cas en fonction de la localisation du site de radioastronomie et de la localisation orbitale.</w:t>
      </w:r>
    </w:p>
    <w:p w:rsidR="002B489A" w:rsidRDefault="004F19C4">
      <w:pPr>
        <w:pStyle w:val="Heading2"/>
        <w:rPr>
          <w:lang w:val="fr-CH"/>
        </w:rPr>
      </w:pPr>
      <w:r>
        <w:rPr>
          <w:lang w:val="fr-CH"/>
        </w:rPr>
        <w:t>6.2</w:t>
      </w:r>
      <w:r>
        <w:rPr>
          <w:lang w:val="fr-CH"/>
        </w:rPr>
        <w:tab/>
        <w:t>Conclusions</w:t>
      </w:r>
    </w:p>
    <w:p w:rsidR="002B489A" w:rsidRDefault="004F19C4">
      <w:pPr>
        <w:rPr>
          <w:lang w:val="fr-CH"/>
        </w:rPr>
      </w:pPr>
      <w:r>
        <w:rPr>
          <w:lang w:val="fr-CH"/>
        </w:rPr>
        <w:t>Les critères de protection ne sont pas satisfaits pour les observations du continuum à antenne unique ou de raies spectrales, ou pour la VLBI.</w:t>
      </w:r>
    </w:p>
    <w:p w:rsidR="002B489A" w:rsidRDefault="002B489A">
      <w:pPr>
        <w:rPr>
          <w:lang w:val="fr-CH"/>
        </w:rPr>
      </w:pPr>
    </w:p>
    <w:p w:rsidR="002B489A" w:rsidRDefault="004F19C4">
      <w:pPr>
        <w:pStyle w:val="AnnexNoTitle"/>
        <w:rPr>
          <w:lang w:val="fr-CH"/>
        </w:rPr>
      </w:pPr>
      <w:r>
        <w:rPr>
          <w:lang w:val="fr-CH"/>
        </w:rPr>
        <w:t>Annexe 9</w:t>
      </w:r>
      <w:r>
        <w:rPr>
          <w:lang w:val="fr-CH"/>
        </w:rPr>
        <w:br/>
      </w:r>
      <w:r>
        <w:rPr>
          <w:lang w:val="fr-CH"/>
        </w:rPr>
        <w:br/>
        <w:t xml:space="preserve">Analyse de compatibilité entre les systèmes du SETS (passive) fonctionnant </w:t>
      </w:r>
      <w:r>
        <w:rPr>
          <w:lang w:val="fr-CH"/>
        </w:rPr>
        <w:br/>
        <w:t>dans la bande 10,6</w:t>
      </w:r>
      <w:r>
        <w:rPr>
          <w:lang w:val="fr-CH"/>
        </w:rPr>
        <w:noBreakHyphen/>
        <w:t>10,7 GHz et les systèmes du SFS (espace vers Terre) fonctionnant dans la bande 10,7</w:t>
      </w:r>
      <w:r>
        <w:rPr>
          <w:lang w:val="fr-CH"/>
        </w:rPr>
        <w:noBreakHyphen/>
        <w:t>10,95 GHz</w:t>
      </w:r>
    </w:p>
    <w:p w:rsidR="002B489A" w:rsidRDefault="004F19C4">
      <w:pPr>
        <w:pStyle w:val="Heading1"/>
        <w:rPr>
          <w:lang w:val="fr-CH"/>
        </w:rPr>
      </w:pPr>
      <w:r>
        <w:rPr>
          <w:lang w:val="fr-CH"/>
        </w:rPr>
        <w:t>1</w:t>
      </w:r>
      <w:r>
        <w:rPr>
          <w:lang w:val="fr-CH"/>
        </w:rPr>
        <w:tab/>
        <w:t>Service d'exploration de la Terre par satellite (SETS) (passive)</w:t>
      </w:r>
    </w:p>
    <w:p w:rsidR="002B489A" w:rsidRDefault="004F19C4">
      <w:pPr>
        <w:pStyle w:val="Heading2"/>
        <w:rPr>
          <w:lang w:val="fr-CH"/>
        </w:rPr>
      </w:pPr>
      <w:r>
        <w:rPr>
          <w:lang w:val="fr-CH"/>
        </w:rPr>
        <w:t>1.1</w:t>
      </w:r>
      <w:r>
        <w:rPr>
          <w:lang w:val="fr-CH"/>
        </w:rPr>
        <w:tab/>
        <w:t>Bande attribuée</w:t>
      </w:r>
    </w:p>
    <w:p w:rsidR="002B489A" w:rsidRDefault="004F19C4">
      <w:pPr>
        <w:rPr>
          <w:lang w:val="fr-CH"/>
        </w:rPr>
      </w:pPr>
      <w:r>
        <w:rPr>
          <w:lang w:val="fr-CH"/>
        </w:rPr>
        <w:t>La bande 10,6</w:t>
      </w:r>
      <w:r>
        <w:rPr>
          <w:lang w:val="fr-CH"/>
        </w:rPr>
        <w:noBreakHyphen/>
        <w:t>10,68 GHz est attribuée au SETS (passive), aux SRA et de recherche spatiale (passive) et aussi à des services de Terre (fixes et mobiles).</w:t>
      </w:r>
    </w:p>
    <w:p w:rsidR="002B489A" w:rsidRDefault="004F19C4">
      <w:pPr>
        <w:rPr>
          <w:lang w:val="fr-CH"/>
        </w:rPr>
      </w:pPr>
      <w:r>
        <w:rPr>
          <w:lang w:val="fr-CH"/>
        </w:rPr>
        <w:t>La bande 10,68</w:t>
      </w:r>
      <w:r>
        <w:rPr>
          <w:lang w:val="fr-CH"/>
        </w:rPr>
        <w:noBreakHyphen/>
        <w:t>10,7 GHz a un numéro, le numéro 5.340 du RR, qui concerne les services passifs.</w:t>
      </w:r>
    </w:p>
    <w:p w:rsidR="002B489A" w:rsidRDefault="004F19C4">
      <w:pPr>
        <w:pStyle w:val="TableNo"/>
        <w:rPr>
          <w:lang w:val="fr-CH"/>
        </w:rPr>
      </w:pPr>
      <w:r>
        <w:rPr>
          <w:lang w:val="fr-CH"/>
        </w:rPr>
        <w:t>TABLEAU  12</w:t>
      </w:r>
    </w:p>
    <w:p w:rsidR="002B489A" w:rsidRDefault="004F19C4">
      <w:pPr>
        <w:pStyle w:val="Tabletitle"/>
        <w:rPr>
          <w:lang w:val="fr-CH"/>
        </w:rPr>
      </w:pPr>
      <w:r>
        <w:rPr>
          <w:lang w:val="fr-CH"/>
        </w:rPr>
        <w:t>Attributions des bandes adjacentes</w:t>
      </w:r>
    </w:p>
    <w:tbl>
      <w:tblPr>
        <w:tblW w:w="963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985"/>
        <w:gridCol w:w="2693"/>
        <w:gridCol w:w="2693"/>
        <w:gridCol w:w="2268"/>
      </w:tblGrid>
      <w:tr w:rsidR="002B489A">
        <w:tc>
          <w:tcPr>
            <w:tcW w:w="4679" w:type="dxa"/>
            <w:gridSpan w:val="2"/>
            <w:tcBorders>
              <w:top w:val="single" w:sz="6" w:space="0" w:color="auto"/>
              <w:left w:val="single" w:sz="6" w:space="0" w:color="auto"/>
              <w:bottom w:val="single" w:sz="6" w:space="0" w:color="auto"/>
            </w:tcBorders>
            <w:vAlign w:val="center"/>
          </w:tcPr>
          <w:p w:rsidR="002B489A" w:rsidRDefault="004F19C4">
            <w:pPr>
              <w:pStyle w:val="Tablehead"/>
              <w:framePr w:hSpace="181" w:wrap="notBeside" w:vAnchor="text" w:hAnchor="text" w:xAlign="center" w:y="1"/>
            </w:pPr>
            <w:r>
              <w:t xml:space="preserve">Services dans les bandes </w:t>
            </w:r>
            <w:r>
              <w:br/>
              <w:t>attribuées inférieures</w:t>
            </w:r>
          </w:p>
        </w:tc>
        <w:tc>
          <w:tcPr>
            <w:tcW w:w="2693" w:type="dxa"/>
            <w:tcBorders>
              <w:top w:val="single" w:sz="6" w:space="0" w:color="auto"/>
              <w:bottom w:val="single" w:sz="6" w:space="0" w:color="auto"/>
            </w:tcBorders>
            <w:vAlign w:val="center"/>
          </w:tcPr>
          <w:p w:rsidR="002B489A" w:rsidRDefault="004F19C4">
            <w:pPr>
              <w:pStyle w:val="Tablehead"/>
              <w:framePr w:hSpace="181" w:wrap="notBeside" w:vAnchor="text" w:hAnchor="text" w:xAlign="center" w:y="1"/>
            </w:pPr>
            <w:r>
              <w:t>Bande passive</w:t>
            </w:r>
          </w:p>
        </w:tc>
        <w:tc>
          <w:tcPr>
            <w:tcW w:w="2268" w:type="dxa"/>
            <w:tcBorders>
              <w:top w:val="single" w:sz="6" w:space="0" w:color="auto"/>
              <w:bottom w:val="single" w:sz="6" w:space="0" w:color="auto"/>
              <w:right w:val="single" w:sz="6" w:space="0" w:color="auto"/>
            </w:tcBorders>
            <w:vAlign w:val="center"/>
          </w:tcPr>
          <w:p w:rsidR="002B489A" w:rsidRDefault="004F19C4">
            <w:pPr>
              <w:pStyle w:val="Tablehead"/>
              <w:framePr w:hSpace="181" w:wrap="notBeside" w:vAnchor="text" w:hAnchor="text" w:xAlign="center" w:y="1"/>
            </w:pPr>
            <w:r>
              <w:t>Service dans la bande attribuée supérieure</w:t>
            </w:r>
          </w:p>
        </w:tc>
      </w:tr>
      <w:tr w:rsidR="002B489A">
        <w:tc>
          <w:tcPr>
            <w:tcW w:w="1986" w:type="dxa"/>
            <w:tcBorders>
              <w:top w:val="single" w:sz="6" w:space="0" w:color="auto"/>
              <w:left w:val="single" w:sz="6" w:space="0" w:color="auto"/>
              <w:bottom w:val="single" w:sz="6" w:space="0" w:color="auto"/>
            </w:tcBorders>
          </w:tcPr>
          <w:p w:rsidR="002B489A" w:rsidRDefault="004F19C4">
            <w:pPr>
              <w:pStyle w:val="Tablehead"/>
              <w:framePr w:hSpace="181" w:wrap="notBeside" w:vAnchor="text" w:hAnchor="text" w:xAlign="center" w:y="1"/>
            </w:pPr>
            <w:r>
              <w:t>10,55</w:t>
            </w:r>
            <w:r>
              <w:noBreakHyphen/>
              <w:t>10,6 GHz</w:t>
            </w:r>
          </w:p>
        </w:tc>
        <w:tc>
          <w:tcPr>
            <w:tcW w:w="2693" w:type="dxa"/>
            <w:tcBorders>
              <w:top w:val="single" w:sz="6" w:space="0" w:color="auto"/>
              <w:bottom w:val="single" w:sz="6" w:space="0" w:color="auto"/>
            </w:tcBorders>
          </w:tcPr>
          <w:p w:rsidR="002B489A" w:rsidRDefault="004F19C4">
            <w:pPr>
              <w:pStyle w:val="Tablehead"/>
              <w:framePr w:hSpace="181" w:wrap="notBeside" w:vAnchor="text" w:hAnchor="text" w:xAlign="center" w:y="1"/>
            </w:pPr>
            <w:r>
              <w:t>10,60</w:t>
            </w:r>
            <w:r>
              <w:noBreakHyphen/>
              <w:t>10,68 GHz</w:t>
            </w:r>
          </w:p>
        </w:tc>
        <w:tc>
          <w:tcPr>
            <w:tcW w:w="2693" w:type="dxa"/>
            <w:tcBorders>
              <w:top w:val="single" w:sz="6" w:space="0" w:color="auto"/>
              <w:bottom w:val="single" w:sz="6" w:space="0" w:color="auto"/>
            </w:tcBorders>
          </w:tcPr>
          <w:p w:rsidR="002B489A" w:rsidRDefault="004F19C4">
            <w:pPr>
              <w:pStyle w:val="Tablehead"/>
              <w:framePr w:hSpace="181" w:wrap="notBeside" w:vAnchor="text" w:hAnchor="text" w:xAlign="center" w:y="1"/>
            </w:pPr>
            <w:r>
              <w:t>10,68</w:t>
            </w:r>
            <w:r>
              <w:noBreakHyphen/>
              <w:t>10,7 GHz</w:t>
            </w:r>
          </w:p>
        </w:tc>
        <w:tc>
          <w:tcPr>
            <w:tcW w:w="2268" w:type="dxa"/>
            <w:tcBorders>
              <w:top w:val="single" w:sz="6" w:space="0" w:color="auto"/>
              <w:bottom w:val="single" w:sz="6" w:space="0" w:color="auto"/>
              <w:right w:val="single" w:sz="6" w:space="0" w:color="auto"/>
            </w:tcBorders>
          </w:tcPr>
          <w:p w:rsidR="002B489A" w:rsidRDefault="004F19C4">
            <w:pPr>
              <w:pStyle w:val="Tablehead"/>
              <w:framePr w:hSpace="181" w:wrap="notBeside" w:vAnchor="text" w:hAnchor="text" w:xAlign="center" w:y="1"/>
            </w:pPr>
            <w:r>
              <w:t>10,70</w:t>
            </w:r>
            <w:r>
              <w:noBreakHyphen/>
              <w:t>11,7 GHz</w:t>
            </w:r>
          </w:p>
        </w:tc>
      </w:tr>
      <w:tr w:rsidR="002B489A">
        <w:trPr>
          <w:trHeight w:val="3000"/>
        </w:trPr>
        <w:tc>
          <w:tcPr>
            <w:tcW w:w="1986" w:type="dxa"/>
            <w:tcBorders>
              <w:top w:val="single" w:sz="6" w:space="0" w:color="auto"/>
              <w:left w:val="single" w:sz="6" w:space="0" w:color="auto"/>
              <w:bottom w:val="nil"/>
            </w:tcBorders>
          </w:tcPr>
          <w:p w:rsidR="002B489A" w:rsidRDefault="004F19C4">
            <w:pPr>
              <w:pStyle w:val="Tabletext"/>
              <w:keepNext/>
              <w:framePr w:hSpace="181" w:wrap="notBeside" w:vAnchor="text" w:hAnchor="text" w:xAlign="center" w:y="1"/>
              <w:jc w:val="left"/>
            </w:pPr>
            <w:r>
              <w:t>FIXE</w:t>
            </w:r>
          </w:p>
          <w:p w:rsidR="002B489A" w:rsidRDefault="004F19C4">
            <w:pPr>
              <w:pStyle w:val="Tabletext"/>
              <w:keepNext/>
              <w:framePr w:hSpace="181" w:wrap="notBeside" w:vAnchor="text" w:hAnchor="text" w:xAlign="center" w:y="1"/>
              <w:jc w:val="left"/>
            </w:pPr>
            <w:r>
              <w:t>MOBILE sauf mobile aéronautique</w:t>
            </w:r>
          </w:p>
          <w:p w:rsidR="002B489A" w:rsidRDefault="004F19C4">
            <w:pPr>
              <w:pStyle w:val="Tabletext"/>
              <w:keepNext/>
              <w:framePr w:hSpace="181" w:wrap="notBeside" w:vAnchor="text" w:hAnchor="text" w:xAlign="center" w:y="1"/>
              <w:jc w:val="left"/>
            </w:pPr>
            <w:r>
              <w:t>Radiolocalisation</w:t>
            </w:r>
          </w:p>
        </w:tc>
        <w:tc>
          <w:tcPr>
            <w:tcW w:w="2693" w:type="dxa"/>
            <w:tcBorders>
              <w:top w:val="single" w:sz="6" w:space="0" w:color="auto"/>
              <w:bottom w:val="nil"/>
            </w:tcBorders>
          </w:tcPr>
          <w:p w:rsidR="002B489A" w:rsidRDefault="004F19C4">
            <w:pPr>
              <w:pStyle w:val="Tabletext"/>
              <w:keepNext/>
              <w:framePr w:hSpace="181" w:wrap="notBeside" w:vAnchor="text" w:hAnchor="text" w:xAlign="center" w:y="1"/>
              <w:jc w:val="left"/>
            </w:pPr>
            <w:r>
              <w:t>EXPLORATION DE LA TERRE PAR SATELLITE (passive)</w:t>
            </w:r>
          </w:p>
          <w:p w:rsidR="002B489A" w:rsidRDefault="004F19C4">
            <w:pPr>
              <w:pStyle w:val="Tabletext"/>
              <w:keepNext/>
              <w:framePr w:hSpace="181" w:wrap="notBeside" w:vAnchor="text" w:hAnchor="text" w:xAlign="center" w:y="1"/>
              <w:jc w:val="left"/>
            </w:pPr>
            <w:r>
              <w:t>FIXE</w:t>
            </w:r>
          </w:p>
          <w:p w:rsidR="002B489A" w:rsidRDefault="004F19C4">
            <w:pPr>
              <w:pStyle w:val="Tabletext"/>
              <w:keepNext/>
              <w:framePr w:hSpace="181" w:wrap="notBeside" w:vAnchor="text" w:hAnchor="text" w:xAlign="center" w:y="1"/>
              <w:jc w:val="left"/>
            </w:pPr>
            <w:r>
              <w:t>MOBILE sauf mobile aéronautique</w:t>
            </w:r>
          </w:p>
          <w:p w:rsidR="002B489A" w:rsidRDefault="004F19C4">
            <w:pPr>
              <w:pStyle w:val="Tabletext"/>
              <w:keepNext/>
              <w:framePr w:hSpace="181" w:wrap="notBeside" w:vAnchor="text" w:hAnchor="text" w:xAlign="center" w:y="1"/>
              <w:jc w:val="left"/>
            </w:pPr>
            <w:r>
              <w:t>RADIOASTRONOMIE</w:t>
            </w:r>
          </w:p>
          <w:p w:rsidR="002B489A" w:rsidRDefault="004F19C4">
            <w:pPr>
              <w:pStyle w:val="Tabletext"/>
              <w:keepNext/>
              <w:framePr w:hSpace="181" w:wrap="notBeside" w:vAnchor="text" w:hAnchor="text" w:xAlign="center" w:y="1"/>
              <w:jc w:val="left"/>
            </w:pPr>
            <w:r>
              <w:t>RECHERCHE SPATIALE (passive)</w:t>
            </w:r>
          </w:p>
          <w:p w:rsidR="002B489A" w:rsidRDefault="004F19C4">
            <w:pPr>
              <w:pStyle w:val="Tabletext"/>
              <w:keepNext/>
              <w:framePr w:hSpace="181" w:wrap="notBeside" w:vAnchor="text" w:hAnchor="text" w:xAlign="center" w:y="1"/>
              <w:jc w:val="left"/>
            </w:pPr>
            <w:r>
              <w:t>Radiolocalisation</w:t>
            </w:r>
          </w:p>
        </w:tc>
        <w:tc>
          <w:tcPr>
            <w:tcW w:w="2693" w:type="dxa"/>
            <w:tcBorders>
              <w:top w:val="single" w:sz="6" w:space="0" w:color="auto"/>
              <w:bottom w:val="nil"/>
            </w:tcBorders>
          </w:tcPr>
          <w:p w:rsidR="002B489A" w:rsidRDefault="004F19C4">
            <w:pPr>
              <w:pStyle w:val="Tabletext"/>
              <w:keepNext/>
              <w:framePr w:hSpace="181" w:wrap="notBeside" w:vAnchor="text" w:hAnchor="text" w:xAlign="center" w:y="1"/>
              <w:jc w:val="left"/>
            </w:pPr>
            <w:r>
              <w:t>EXPLORATION DE LA TERRE PAR SATELLITE (passive)</w:t>
            </w:r>
          </w:p>
          <w:p w:rsidR="002B489A" w:rsidRDefault="004F19C4">
            <w:pPr>
              <w:pStyle w:val="Tabletext"/>
              <w:keepNext/>
              <w:framePr w:hSpace="181" w:wrap="notBeside" w:vAnchor="text" w:hAnchor="text" w:xAlign="center" w:y="1"/>
              <w:jc w:val="left"/>
            </w:pPr>
            <w:r>
              <w:t>RADIOASTRONOMIE</w:t>
            </w:r>
          </w:p>
          <w:p w:rsidR="002B489A" w:rsidRDefault="004F19C4">
            <w:pPr>
              <w:pStyle w:val="Tabletext"/>
              <w:keepNext/>
              <w:framePr w:hSpace="181" w:wrap="notBeside" w:vAnchor="text" w:hAnchor="text" w:xAlign="center" w:y="1"/>
              <w:jc w:val="left"/>
            </w:pPr>
            <w:r>
              <w:t>RECHERCHE SPATIALE (passive)</w:t>
            </w:r>
          </w:p>
          <w:p w:rsidR="002B489A" w:rsidRDefault="002B489A">
            <w:pPr>
              <w:pStyle w:val="Tabletext"/>
              <w:keepNext/>
              <w:framePr w:hSpace="181" w:wrap="notBeside" w:vAnchor="text" w:hAnchor="text" w:xAlign="center" w:y="1"/>
              <w:jc w:val="left"/>
            </w:pPr>
          </w:p>
        </w:tc>
        <w:tc>
          <w:tcPr>
            <w:tcW w:w="2268" w:type="dxa"/>
            <w:tcBorders>
              <w:top w:val="single" w:sz="6" w:space="0" w:color="auto"/>
              <w:bottom w:val="nil"/>
              <w:right w:val="single" w:sz="6" w:space="0" w:color="auto"/>
            </w:tcBorders>
          </w:tcPr>
          <w:p w:rsidR="002B489A" w:rsidRDefault="004F19C4">
            <w:pPr>
              <w:pStyle w:val="Tabletext"/>
              <w:framePr w:hSpace="181" w:wrap="notBeside" w:vAnchor="text" w:hAnchor="text" w:xAlign="center" w:y="1"/>
              <w:jc w:val="left"/>
            </w:pPr>
            <w:r>
              <w:t>FIXE</w:t>
            </w:r>
          </w:p>
          <w:p w:rsidR="002B489A" w:rsidRDefault="004F19C4">
            <w:pPr>
              <w:pStyle w:val="Tabletext"/>
              <w:framePr w:hSpace="181" w:wrap="notBeside" w:vAnchor="text" w:hAnchor="text" w:xAlign="center" w:y="1"/>
              <w:jc w:val="left"/>
            </w:pPr>
            <w:r>
              <w:t>FIXE PAR SATELLITE (espace vers Terre dans toutes les Régions)  5.441  5.484A</w:t>
            </w:r>
          </w:p>
          <w:p w:rsidR="002B489A" w:rsidRDefault="004F19C4">
            <w:pPr>
              <w:pStyle w:val="Tabletext"/>
              <w:framePr w:hSpace="181" w:wrap="notBeside" w:vAnchor="text" w:hAnchor="text" w:xAlign="center" w:y="1"/>
              <w:jc w:val="left"/>
            </w:pPr>
            <w:r>
              <w:t xml:space="preserve">(Terre vers espace en </w:t>
            </w:r>
            <w:r>
              <w:br/>
              <w:t>Région 1)  5.484</w:t>
            </w:r>
          </w:p>
          <w:p w:rsidR="002B489A" w:rsidRDefault="004F19C4">
            <w:pPr>
              <w:pStyle w:val="Tabletext"/>
              <w:framePr w:hSpace="181" w:wrap="notBeside" w:vAnchor="text" w:hAnchor="text" w:xAlign="center" w:y="1"/>
              <w:jc w:val="left"/>
            </w:pPr>
            <w:r>
              <w:t>MOBILE sauf mobile aéronautique</w:t>
            </w:r>
          </w:p>
        </w:tc>
      </w:tr>
      <w:tr w:rsidR="002B489A">
        <w:trPr>
          <w:trHeight w:val="330"/>
        </w:trPr>
        <w:tc>
          <w:tcPr>
            <w:tcW w:w="1986" w:type="dxa"/>
            <w:tcBorders>
              <w:top w:val="nil"/>
              <w:left w:val="single" w:sz="6" w:space="0" w:color="auto"/>
              <w:bottom w:val="single" w:sz="6" w:space="0" w:color="auto"/>
            </w:tcBorders>
          </w:tcPr>
          <w:p w:rsidR="002B489A" w:rsidRDefault="002B489A">
            <w:pPr>
              <w:pStyle w:val="Tabletext"/>
              <w:keepNext/>
              <w:framePr w:hSpace="181" w:wrap="notBeside" w:vAnchor="text" w:hAnchor="text" w:xAlign="center" w:y="1"/>
              <w:jc w:val="left"/>
            </w:pPr>
          </w:p>
        </w:tc>
        <w:tc>
          <w:tcPr>
            <w:tcW w:w="2693" w:type="dxa"/>
            <w:tcBorders>
              <w:top w:val="nil"/>
              <w:bottom w:val="single" w:sz="6" w:space="0" w:color="auto"/>
            </w:tcBorders>
          </w:tcPr>
          <w:p w:rsidR="002B489A" w:rsidRDefault="004F19C4">
            <w:pPr>
              <w:pStyle w:val="Tabletext"/>
              <w:keepNext/>
              <w:framePr w:hSpace="181" w:wrap="notBeside" w:vAnchor="text" w:hAnchor="text" w:xAlign="center" w:y="1"/>
              <w:jc w:val="left"/>
            </w:pPr>
            <w:r>
              <w:t>5.149  5.482</w:t>
            </w:r>
          </w:p>
        </w:tc>
        <w:tc>
          <w:tcPr>
            <w:tcW w:w="2693" w:type="dxa"/>
            <w:tcBorders>
              <w:top w:val="nil"/>
              <w:bottom w:val="single" w:sz="6" w:space="0" w:color="auto"/>
            </w:tcBorders>
          </w:tcPr>
          <w:p w:rsidR="002B489A" w:rsidRDefault="004F19C4">
            <w:pPr>
              <w:pStyle w:val="Tabletext"/>
              <w:keepNext/>
              <w:framePr w:hSpace="181" w:wrap="notBeside" w:vAnchor="text" w:hAnchor="text" w:xAlign="center" w:y="1"/>
              <w:jc w:val="left"/>
            </w:pPr>
            <w:r>
              <w:t>5.340  5.483</w:t>
            </w:r>
          </w:p>
        </w:tc>
        <w:tc>
          <w:tcPr>
            <w:tcW w:w="2268" w:type="dxa"/>
            <w:tcBorders>
              <w:top w:val="nil"/>
              <w:bottom w:val="single" w:sz="6" w:space="0" w:color="auto"/>
              <w:right w:val="single" w:sz="6" w:space="0" w:color="auto"/>
            </w:tcBorders>
          </w:tcPr>
          <w:p w:rsidR="002B489A" w:rsidRDefault="002B489A">
            <w:pPr>
              <w:pStyle w:val="Tabletext"/>
              <w:keepNext/>
              <w:framePr w:hSpace="181" w:wrap="notBeside" w:vAnchor="text" w:hAnchor="text" w:xAlign="center" w:y="1"/>
              <w:jc w:val="left"/>
            </w:pPr>
          </w:p>
        </w:tc>
      </w:tr>
    </w:tbl>
    <w:p w:rsidR="002B489A" w:rsidRDefault="002B489A">
      <w:pPr>
        <w:pStyle w:val="Tablefin"/>
        <w:spacing w:before="0"/>
        <w:rPr>
          <w:sz w:val="2"/>
        </w:rPr>
      </w:pPr>
    </w:p>
    <w:p w:rsidR="002B489A" w:rsidRDefault="004F19C4">
      <w:pPr>
        <w:pStyle w:val="Heading2"/>
        <w:rPr>
          <w:lang w:val="fr-CH"/>
        </w:rPr>
      </w:pPr>
      <w:r>
        <w:rPr>
          <w:lang w:val="fr-CH"/>
        </w:rPr>
        <w:br w:type="page"/>
        <w:t>1.2</w:t>
      </w:r>
      <w:r>
        <w:rPr>
          <w:lang w:val="fr-CH"/>
        </w:rPr>
        <w:tab/>
        <w:t>Application</w:t>
      </w:r>
    </w:p>
    <w:p w:rsidR="002B489A" w:rsidRDefault="004F19C4">
      <w:pPr>
        <w:rPr>
          <w:lang w:val="fr-CH"/>
        </w:rPr>
      </w:pPr>
      <w:r>
        <w:rPr>
          <w:lang w:val="fr-CH"/>
        </w:rPr>
        <w:t>La bande 10,6</w:t>
      </w:r>
      <w:r>
        <w:rPr>
          <w:lang w:val="fr-CH"/>
        </w:rPr>
        <w:noBreakHyphen/>
        <w:t>10,7 GHz présente un intérêt particulier pour les mesures de la pluie, de la neige, de l'état de la mer et des vents océaniques.</w:t>
      </w:r>
    </w:p>
    <w:p w:rsidR="002B489A" w:rsidRDefault="004F19C4">
      <w:pPr>
        <w:pStyle w:val="Heading2"/>
        <w:rPr>
          <w:lang w:val="fr-CH"/>
        </w:rPr>
      </w:pPr>
      <w:r>
        <w:rPr>
          <w:lang w:val="fr-CH"/>
        </w:rPr>
        <w:t>1.3</w:t>
      </w:r>
      <w:r>
        <w:rPr>
          <w:lang w:val="fr-CH"/>
        </w:rPr>
        <w:tab/>
        <w:t>Critères de protection requis</w:t>
      </w:r>
    </w:p>
    <w:p w:rsidR="002B489A" w:rsidRDefault="004F19C4">
      <w:r>
        <w:t>Les</w:t>
      </w:r>
      <w:r>
        <w:rPr>
          <w:sz w:val="18"/>
        </w:rPr>
        <w:t xml:space="preserve"> </w:t>
      </w:r>
      <w:r>
        <w:t>trois</w:t>
      </w:r>
      <w:r>
        <w:rPr>
          <w:sz w:val="18"/>
        </w:rPr>
        <w:t xml:space="preserve"> </w:t>
      </w:r>
      <w:r>
        <w:t>Recommandations</w:t>
      </w:r>
      <w:r>
        <w:rPr>
          <w:sz w:val="18"/>
        </w:rPr>
        <w:t xml:space="preserve"> </w:t>
      </w:r>
      <w:r>
        <w:t>suivantes</w:t>
      </w:r>
      <w:r>
        <w:rPr>
          <w:sz w:val="18"/>
        </w:rPr>
        <w:t xml:space="preserve"> </w:t>
      </w:r>
      <w:r>
        <w:t>établissent</w:t>
      </w:r>
      <w:r>
        <w:rPr>
          <w:sz w:val="18"/>
        </w:rPr>
        <w:t xml:space="preserve"> </w:t>
      </w:r>
      <w:r>
        <w:t>les</w:t>
      </w:r>
      <w:r>
        <w:rPr>
          <w:sz w:val="18"/>
        </w:rPr>
        <w:t xml:space="preserve"> </w:t>
      </w:r>
      <w:r>
        <w:t>critères</w:t>
      </w:r>
      <w:r>
        <w:rPr>
          <w:sz w:val="18"/>
        </w:rPr>
        <w:t xml:space="preserve"> </w:t>
      </w:r>
      <w:r>
        <w:t>de</w:t>
      </w:r>
      <w:r>
        <w:rPr>
          <w:sz w:val="18"/>
        </w:rPr>
        <w:t xml:space="preserve"> </w:t>
      </w:r>
      <w:r>
        <w:t>brouillage</w:t>
      </w:r>
      <w:r>
        <w:rPr>
          <w:sz w:val="18"/>
        </w:rPr>
        <w:t xml:space="preserve"> </w:t>
      </w:r>
      <w:r>
        <w:t>pour</w:t>
      </w:r>
      <w:r>
        <w:rPr>
          <w:sz w:val="18"/>
        </w:rPr>
        <w:t xml:space="preserve"> </w:t>
      </w:r>
      <w:r>
        <w:t>les</w:t>
      </w:r>
      <w:r>
        <w:rPr>
          <w:sz w:val="18"/>
        </w:rPr>
        <w:t xml:space="preserve"> </w:t>
      </w:r>
      <w:r>
        <w:t>détecteurs</w:t>
      </w:r>
      <w:r>
        <w:rPr>
          <w:sz w:val="18"/>
        </w:rPr>
        <w:t xml:space="preserve"> </w:t>
      </w:r>
      <w:r>
        <w:t>passifs.</w:t>
      </w:r>
    </w:p>
    <w:p w:rsidR="002B489A" w:rsidRDefault="004F19C4">
      <w:pPr>
        <w:pStyle w:val="enumlev1"/>
        <w:tabs>
          <w:tab w:val="clear" w:pos="794"/>
          <w:tab w:val="clear" w:pos="1191"/>
          <w:tab w:val="clear" w:pos="1588"/>
          <w:tab w:val="clear" w:pos="1985"/>
          <w:tab w:val="left" w:pos="3515"/>
        </w:tabs>
        <w:ind w:left="3515" w:hanging="3515"/>
      </w:pPr>
      <w:r>
        <w:t>Recommandation UIT-R SA.515 –</w:t>
      </w:r>
      <w:r>
        <w:tab/>
        <w:t xml:space="preserve">Bandes de fréquences et largeurs de bande utilisées pour la télédétection passive par satellite. </w:t>
      </w:r>
    </w:p>
    <w:p w:rsidR="002B489A" w:rsidRDefault="004F19C4">
      <w:pPr>
        <w:pStyle w:val="enumlev1"/>
        <w:tabs>
          <w:tab w:val="clear" w:pos="794"/>
          <w:tab w:val="clear" w:pos="1191"/>
          <w:tab w:val="clear" w:pos="1588"/>
          <w:tab w:val="clear" w:pos="1985"/>
          <w:tab w:val="left" w:pos="3515"/>
        </w:tabs>
        <w:spacing w:before="60"/>
        <w:ind w:left="3515" w:hanging="3515"/>
      </w:pPr>
      <w:r>
        <w:t>Recommandation UIT-R SA.1028 –</w:t>
      </w:r>
      <w:r>
        <w:tab/>
        <w:t>Critères de qualité de fonctionnement pour la télédétection passive par satellite.</w:t>
      </w:r>
    </w:p>
    <w:p w:rsidR="002B489A" w:rsidRDefault="004F19C4">
      <w:pPr>
        <w:pStyle w:val="enumlev1"/>
        <w:tabs>
          <w:tab w:val="clear" w:pos="794"/>
          <w:tab w:val="clear" w:pos="1191"/>
          <w:tab w:val="clear" w:pos="1588"/>
          <w:tab w:val="clear" w:pos="1985"/>
          <w:tab w:val="left" w:pos="3515"/>
        </w:tabs>
        <w:spacing w:before="60"/>
        <w:ind w:left="3515" w:hanging="3515"/>
      </w:pPr>
      <w:r>
        <w:t>Recommandation UIT-R SA.1029 –</w:t>
      </w:r>
      <w:r>
        <w:tab/>
        <w:t>Critères de brouillage dans la télédétection passive par satellite.</w:t>
      </w:r>
    </w:p>
    <w:p w:rsidR="002B489A" w:rsidRDefault="004F19C4">
      <w:pPr>
        <w:rPr>
          <w:lang w:val="fr-CH"/>
        </w:rPr>
      </w:pPr>
      <w:r>
        <w:rPr>
          <w:lang w:val="fr-CH"/>
        </w:rPr>
        <w:t xml:space="preserve">Le premier critère est la puissance brouilleuse acceptable reçue par le détecteur SETS, qui est de </w:t>
      </w:r>
      <w:r>
        <w:rPr>
          <w:rFonts w:ascii="Symbol" w:hAnsi="Symbol"/>
          <w:lang w:val="fr-CH"/>
        </w:rPr>
        <w:noBreakHyphen/>
      </w:r>
      <w:r>
        <w:rPr>
          <w:rFonts w:ascii="Symbol" w:hAnsi="Symbol"/>
          <w:lang w:val="fr-CH"/>
        </w:rPr>
        <w:t></w:t>
      </w:r>
      <w:r>
        <w:rPr>
          <w:rFonts w:ascii="Symbol" w:hAnsi="Symbol"/>
          <w:lang w:val="fr-CH"/>
        </w:rPr>
        <w:t></w:t>
      </w:r>
      <w:r>
        <w:rPr>
          <w:rFonts w:ascii="Symbol" w:hAnsi="Symbol"/>
          <w:lang w:val="fr-CH"/>
        </w:rPr>
        <w:t></w:t>
      </w:r>
      <w:r>
        <w:rPr>
          <w:rFonts w:hint="eastAsia"/>
          <w:lang w:val="fr-CH"/>
        </w:rPr>
        <w:t> dBW</w:t>
      </w:r>
      <w:r>
        <w:rPr>
          <w:lang w:val="fr-CH"/>
        </w:rPr>
        <w:t xml:space="preserve"> dans la largeur de bande de référence de 20 MHz. C'est un niveau de brouillage maximum provenant de toutes les sources.</w:t>
      </w:r>
    </w:p>
    <w:p w:rsidR="002B489A" w:rsidRDefault="004F19C4">
      <w:pPr>
        <w:rPr>
          <w:lang w:val="fr-CH"/>
        </w:rPr>
      </w:pPr>
      <w:r>
        <w:rPr>
          <w:lang w:val="fr-CH"/>
        </w:rPr>
        <w:t>Le second critère est la fréquence d'occurrence de dépassement du seuil limite. Le taux de pertes de cellules de mesure dues au dépassement du seuil ne doit pas excéder 5% lorsque les évènements de brouillage sont aléatoires, et 1% lorsque les évènements de brouillage sont systématiques. Dans la mesure où le SFS n'est pas aléatoire, le critère de 1% s'applique.</w:t>
      </w:r>
    </w:p>
    <w:p w:rsidR="002B489A" w:rsidRDefault="004F19C4">
      <w:pPr>
        <w:pStyle w:val="Heading2"/>
        <w:rPr>
          <w:lang w:val="fr-CH"/>
        </w:rPr>
      </w:pPr>
      <w:r>
        <w:rPr>
          <w:lang w:val="fr-CH"/>
        </w:rPr>
        <w:t>1.4</w:t>
      </w:r>
      <w:r>
        <w:rPr>
          <w:lang w:val="fr-CH"/>
        </w:rPr>
        <w:tab/>
        <w:t>Caractéristiques de fonctionnement</w:t>
      </w:r>
    </w:p>
    <w:p w:rsidR="002B489A" w:rsidRDefault="004F19C4">
      <w:pPr>
        <w:rPr>
          <w:lang w:val="fr-CH"/>
        </w:rPr>
      </w:pPr>
      <w:r>
        <w:rPr>
          <w:lang w:val="fr-CH"/>
        </w:rPr>
        <w:t>Le Tableau 13 donne les spécifications de deux systèmes radiométriques à hyperfréquences: MEGHA</w:t>
      </w:r>
      <w:r>
        <w:rPr>
          <w:lang w:val="fr-CH"/>
        </w:rPr>
        <w:noBreakHyphen/>
        <w:t>TROPIC et EOS AMSR-E.</w:t>
      </w:r>
    </w:p>
    <w:p w:rsidR="002B489A" w:rsidRDefault="004F19C4">
      <w:pPr>
        <w:pStyle w:val="TableNo"/>
        <w:rPr>
          <w:lang w:val="fr-CH"/>
        </w:rPr>
      </w:pPr>
      <w:r>
        <w:rPr>
          <w:lang w:val="fr-CH"/>
        </w:rPr>
        <w:t>TABLEAU  13</w:t>
      </w:r>
    </w:p>
    <w:p w:rsidR="002B489A" w:rsidRDefault="004F19C4">
      <w:pPr>
        <w:pStyle w:val="Tabletitle"/>
        <w:rPr>
          <w:lang w:val="fr-CH"/>
        </w:rPr>
      </w:pPr>
      <w:r>
        <w:rPr>
          <w:lang w:val="fr-CH"/>
        </w:rPr>
        <w:t>Spécifications préliminaires pour deux applications radiométriques à hyperfréquences</w:t>
      </w:r>
    </w:p>
    <w:tbl>
      <w:tblPr>
        <w:tblW w:w="0" w:type="auto"/>
        <w:tblBorders>
          <w:top w:val="single" w:sz="6" w:space="0" w:color="auto"/>
          <w:left w:val="single" w:sz="6" w:space="0" w:color="auto"/>
          <w:bottom w:val="single" w:sz="6" w:space="0" w:color="auto"/>
          <w:right w:val="single" w:sz="6" w:space="0" w:color="auto"/>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667"/>
        <w:gridCol w:w="1974"/>
        <w:gridCol w:w="1518"/>
      </w:tblGrid>
      <w:tr w:rsidR="002B489A">
        <w:tc>
          <w:tcPr>
            <w:tcW w:w="5667" w:type="dxa"/>
          </w:tcPr>
          <w:p w:rsidR="002B489A" w:rsidRDefault="004F19C4">
            <w:pPr>
              <w:pStyle w:val="Tablehead"/>
              <w:framePr w:hSpace="181" w:wrap="notBeside" w:vAnchor="text" w:hAnchor="text" w:xAlign="center" w:y="1"/>
              <w:rPr>
                <w:lang w:val="es-ES"/>
              </w:rPr>
            </w:pPr>
            <w:r>
              <w:rPr>
                <w:lang w:val="es-ES"/>
              </w:rPr>
              <w:t>Canal 10,6</w:t>
            </w:r>
            <w:r>
              <w:rPr>
                <w:lang w:val="es-ES"/>
              </w:rPr>
              <w:noBreakHyphen/>
              <w:t>10,7 GHz</w:t>
            </w:r>
          </w:p>
        </w:tc>
        <w:tc>
          <w:tcPr>
            <w:tcW w:w="1974" w:type="dxa"/>
          </w:tcPr>
          <w:p w:rsidR="002B489A" w:rsidRDefault="004F19C4">
            <w:pPr>
              <w:pStyle w:val="Tablehead"/>
              <w:framePr w:hSpace="181" w:wrap="notBeside" w:vAnchor="text" w:hAnchor="text" w:xAlign="center" w:y="1"/>
              <w:rPr>
                <w:lang w:val="es-ES"/>
              </w:rPr>
            </w:pPr>
            <w:r>
              <w:rPr>
                <w:lang w:val="es-ES"/>
              </w:rPr>
              <w:t>MEGHA-TROPIC</w:t>
            </w:r>
          </w:p>
        </w:tc>
        <w:tc>
          <w:tcPr>
            <w:tcW w:w="1518" w:type="dxa"/>
          </w:tcPr>
          <w:p w:rsidR="002B489A" w:rsidRDefault="004F19C4">
            <w:pPr>
              <w:pStyle w:val="Tablehead"/>
              <w:framePr w:hSpace="181" w:wrap="notBeside" w:vAnchor="text" w:hAnchor="text" w:xAlign="center" w:y="1"/>
              <w:rPr>
                <w:lang w:val="es-ES"/>
              </w:rPr>
            </w:pPr>
            <w:r>
              <w:rPr>
                <w:lang w:val="es-ES"/>
              </w:rPr>
              <w:t>EOS AMSR-E</w:t>
            </w:r>
          </w:p>
        </w:tc>
      </w:tr>
      <w:tr w:rsidR="002B489A">
        <w:tc>
          <w:tcPr>
            <w:tcW w:w="5667" w:type="dxa"/>
          </w:tcPr>
          <w:p w:rsidR="002B489A" w:rsidRDefault="004F19C4">
            <w:pPr>
              <w:pStyle w:val="Tabletext"/>
              <w:framePr w:hSpace="181" w:wrap="notBeside" w:vAnchor="text" w:hAnchor="text" w:xAlign="center" w:y="1"/>
              <w:rPr>
                <w:lang w:val="fr-CH"/>
              </w:rPr>
            </w:pPr>
            <w:r>
              <w:rPr>
                <w:lang w:val="fr-CH"/>
              </w:rPr>
              <w:t>Largeur de bande de canal (MHz)</w:t>
            </w:r>
          </w:p>
        </w:tc>
        <w:tc>
          <w:tcPr>
            <w:tcW w:w="1974" w:type="dxa"/>
          </w:tcPr>
          <w:p w:rsidR="002B489A" w:rsidRDefault="004F19C4">
            <w:pPr>
              <w:pStyle w:val="Tabletext"/>
              <w:framePr w:hSpace="181" w:wrap="notBeside" w:vAnchor="text" w:hAnchor="text" w:xAlign="center" w:y="1"/>
              <w:jc w:val="center"/>
              <w:rPr>
                <w:lang w:val="fr-CH"/>
              </w:rPr>
            </w:pPr>
            <w:r>
              <w:rPr>
                <w:lang w:val="fr-CH"/>
              </w:rPr>
              <w:t>100</w:t>
            </w:r>
          </w:p>
        </w:tc>
        <w:tc>
          <w:tcPr>
            <w:tcW w:w="1518" w:type="dxa"/>
          </w:tcPr>
          <w:p w:rsidR="002B489A" w:rsidRDefault="004F19C4">
            <w:pPr>
              <w:pStyle w:val="Tabletext"/>
              <w:framePr w:hSpace="181" w:wrap="notBeside" w:vAnchor="text" w:hAnchor="text" w:xAlign="center" w:y="1"/>
              <w:jc w:val="center"/>
              <w:rPr>
                <w:lang w:val="fr-CH"/>
              </w:rPr>
            </w:pPr>
            <w:r>
              <w:rPr>
                <w:lang w:val="fr-CH"/>
              </w:rPr>
              <w:t>100</w:t>
            </w:r>
          </w:p>
        </w:tc>
      </w:tr>
      <w:tr w:rsidR="002B489A">
        <w:tc>
          <w:tcPr>
            <w:tcW w:w="5667" w:type="dxa"/>
          </w:tcPr>
          <w:p w:rsidR="002B489A" w:rsidRDefault="004F19C4">
            <w:pPr>
              <w:pStyle w:val="Tabletext"/>
              <w:framePr w:hSpace="181" w:wrap="notBeside" w:vAnchor="text" w:hAnchor="text" w:xAlign="center" w:y="1"/>
              <w:rPr>
                <w:lang w:val="fr-CH"/>
              </w:rPr>
            </w:pPr>
            <w:r>
              <w:rPr>
                <w:lang w:val="fr-CH"/>
              </w:rPr>
              <w:t>Taille de pixel sur la piste (km)</w:t>
            </w:r>
          </w:p>
        </w:tc>
        <w:tc>
          <w:tcPr>
            <w:tcW w:w="1974" w:type="dxa"/>
          </w:tcPr>
          <w:p w:rsidR="002B489A" w:rsidRDefault="004F19C4">
            <w:pPr>
              <w:pStyle w:val="Tabletext"/>
              <w:framePr w:hSpace="181" w:wrap="notBeside" w:vAnchor="text" w:hAnchor="text" w:xAlign="center" w:y="1"/>
              <w:jc w:val="center"/>
              <w:rPr>
                <w:lang w:val="fr-CH"/>
              </w:rPr>
            </w:pPr>
            <w:r>
              <w:rPr>
                <w:lang w:val="fr-CH"/>
              </w:rPr>
              <w:t>56,7</w:t>
            </w:r>
          </w:p>
        </w:tc>
        <w:tc>
          <w:tcPr>
            <w:tcW w:w="1518" w:type="dxa"/>
          </w:tcPr>
          <w:p w:rsidR="002B489A" w:rsidRDefault="004F19C4">
            <w:pPr>
              <w:pStyle w:val="Tabletext"/>
              <w:framePr w:hSpace="181" w:wrap="notBeside" w:vAnchor="text" w:hAnchor="text" w:xAlign="center" w:y="1"/>
              <w:jc w:val="center"/>
              <w:rPr>
                <w:lang w:val="fr-CH"/>
              </w:rPr>
            </w:pPr>
            <w:r>
              <w:rPr>
                <w:lang w:val="fr-CH"/>
              </w:rPr>
              <w:t>28</w:t>
            </w:r>
          </w:p>
        </w:tc>
      </w:tr>
      <w:tr w:rsidR="002B489A">
        <w:tc>
          <w:tcPr>
            <w:tcW w:w="5667" w:type="dxa"/>
          </w:tcPr>
          <w:p w:rsidR="002B489A" w:rsidRDefault="004F19C4">
            <w:pPr>
              <w:pStyle w:val="Tabletext"/>
              <w:framePr w:hSpace="181" w:wrap="notBeside" w:vAnchor="text" w:hAnchor="text" w:xAlign="center" w:y="1"/>
              <w:rPr>
                <w:lang w:val="fr-CH"/>
              </w:rPr>
            </w:pPr>
            <w:r>
              <w:rPr>
                <w:lang w:val="fr-CH"/>
              </w:rPr>
              <w:t>Angle d'incidence i au centre de l'empreinte (degrés)</w:t>
            </w:r>
          </w:p>
        </w:tc>
        <w:tc>
          <w:tcPr>
            <w:tcW w:w="1974" w:type="dxa"/>
          </w:tcPr>
          <w:p w:rsidR="002B489A" w:rsidRDefault="004F19C4">
            <w:pPr>
              <w:pStyle w:val="Tabletext"/>
              <w:framePr w:hSpace="181" w:wrap="notBeside" w:vAnchor="text" w:hAnchor="text" w:xAlign="center" w:y="1"/>
              <w:jc w:val="center"/>
              <w:rPr>
                <w:lang w:val="fr-CH"/>
              </w:rPr>
            </w:pPr>
            <w:r>
              <w:rPr>
                <w:lang w:val="fr-CH"/>
              </w:rPr>
              <w:t>52</w:t>
            </w:r>
          </w:p>
        </w:tc>
        <w:tc>
          <w:tcPr>
            <w:tcW w:w="1518" w:type="dxa"/>
          </w:tcPr>
          <w:p w:rsidR="002B489A" w:rsidRDefault="004F19C4">
            <w:pPr>
              <w:pStyle w:val="Tabletext"/>
              <w:framePr w:hSpace="181" w:wrap="notBeside" w:vAnchor="text" w:hAnchor="text" w:xAlign="center" w:y="1"/>
              <w:jc w:val="center"/>
              <w:rPr>
                <w:lang w:val="fr-CH"/>
              </w:rPr>
            </w:pPr>
            <w:r>
              <w:rPr>
                <w:lang w:val="fr-CH"/>
              </w:rPr>
              <w:t>55</w:t>
            </w:r>
          </w:p>
        </w:tc>
      </w:tr>
      <w:tr w:rsidR="002B489A">
        <w:tc>
          <w:tcPr>
            <w:tcW w:w="5667" w:type="dxa"/>
          </w:tcPr>
          <w:p w:rsidR="002B489A" w:rsidRDefault="004F19C4">
            <w:pPr>
              <w:pStyle w:val="Tabletext"/>
              <w:framePr w:hSpace="181" w:wrap="notBeside" w:vAnchor="text" w:hAnchor="text" w:xAlign="center" w:y="1"/>
              <w:rPr>
                <w:lang w:val="fr-CH"/>
              </w:rPr>
            </w:pPr>
            <w:r>
              <w:rPr>
                <w:lang w:val="fr-CH"/>
              </w:rPr>
              <w:t>Polarisation (linéaire)</w:t>
            </w:r>
          </w:p>
        </w:tc>
        <w:tc>
          <w:tcPr>
            <w:tcW w:w="1974" w:type="dxa"/>
          </w:tcPr>
          <w:p w:rsidR="002B489A" w:rsidRDefault="004F19C4">
            <w:pPr>
              <w:pStyle w:val="Tabletext"/>
              <w:framePr w:hSpace="181" w:wrap="notBeside" w:vAnchor="text" w:hAnchor="text" w:xAlign="center" w:y="1"/>
              <w:jc w:val="center"/>
              <w:rPr>
                <w:lang w:val="fr-CH"/>
              </w:rPr>
            </w:pPr>
            <w:r>
              <w:rPr>
                <w:lang w:val="fr-CH"/>
              </w:rPr>
              <w:t>H, V</w:t>
            </w:r>
          </w:p>
        </w:tc>
        <w:tc>
          <w:tcPr>
            <w:tcW w:w="1518" w:type="dxa"/>
          </w:tcPr>
          <w:p w:rsidR="002B489A" w:rsidRDefault="004F19C4">
            <w:pPr>
              <w:pStyle w:val="Tabletext"/>
              <w:framePr w:hSpace="181" w:wrap="notBeside" w:vAnchor="text" w:hAnchor="text" w:xAlign="center" w:y="1"/>
              <w:jc w:val="center"/>
              <w:rPr>
                <w:lang w:val="fr-CH"/>
              </w:rPr>
            </w:pPr>
            <w:r>
              <w:rPr>
                <w:lang w:val="fr-CH"/>
              </w:rPr>
              <w:t>H, V</w:t>
            </w:r>
          </w:p>
        </w:tc>
      </w:tr>
      <w:tr w:rsidR="002B489A">
        <w:tc>
          <w:tcPr>
            <w:tcW w:w="5667" w:type="dxa"/>
          </w:tcPr>
          <w:p w:rsidR="002B489A" w:rsidRDefault="004F19C4">
            <w:pPr>
              <w:pStyle w:val="Tabletext"/>
              <w:framePr w:hSpace="181" w:wrap="notBeside" w:vAnchor="text" w:hAnchor="text" w:xAlign="center" w:y="1"/>
              <w:rPr>
                <w:lang w:val="fr-CH"/>
              </w:rPr>
            </w:pPr>
            <w:r>
              <w:rPr>
                <w:lang w:val="fr-CH"/>
              </w:rPr>
              <w:t>Altitude du satellite (km)</w:t>
            </w:r>
          </w:p>
        </w:tc>
        <w:tc>
          <w:tcPr>
            <w:tcW w:w="1974" w:type="dxa"/>
          </w:tcPr>
          <w:p w:rsidR="002B489A" w:rsidRDefault="004F19C4">
            <w:pPr>
              <w:pStyle w:val="Tabletext"/>
              <w:framePr w:hSpace="181" w:wrap="notBeside" w:vAnchor="text" w:hAnchor="text" w:xAlign="center" w:y="1"/>
              <w:jc w:val="center"/>
              <w:rPr>
                <w:lang w:val="fr-CH"/>
              </w:rPr>
            </w:pPr>
            <w:r>
              <w:rPr>
                <w:lang w:val="fr-CH"/>
              </w:rPr>
              <w:t>817</w:t>
            </w:r>
          </w:p>
        </w:tc>
        <w:tc>
          <w:tcPr>
            <w:tcW w:w="1518" w:type="dxa"/>
          </w:tcPr>
          <w:p w:rsidR="002B489A" w:rsidRDefault="004F19C4">
            <w:pPr>
              <w:pStyle w:val="Tabletext"/>
              <w:framePr w:hSpace="181" w:wrap="notBeside" w:vAnchor="text" w:hAnchor="text" w:xAlign="center" w:y="1"/>
              <w:jc w:val="center"/>
              <w:rPr>
                <w:lang w:val="fr-CH"/>
              </w:rPr>
            </w:pPr>
            <w:r>
              <w:rPr>
                <w:lang w:val="fr-CH"/>
              </w:rPr>
              <w:t>705</w:t>
            </w:r>
          </w:p>
        </w:tc>
      </w:tr>
      <w:tr w:rsidR="002B489A">
        <w:trPr>
          <w:trHeight w:val="306"/>
        </w:trPr>
        <w:tc>
          <w:tcPr>
            <w:tcW w:w="5667" w:type="dxa"/>
          </w:tcPr>
          <w:p w:rsidR="002B489A" w:rsidRDefault="004F19C4">
            <w:pPr>
              <w:pStyle w:val="Tabletext"/>
              <w:framePr w:hSpace="181" w:wrap="notBeside" w:vAnchor="text" w:hAnchor="text" w:xAlign="center" w:y="1"/>
              <w:rPr>
                <w:lang w:val="fr-CH"/>
              </w:rPr>
            </w:pPr>
            <w:r>
              <w:rPr>
                <w:lang w:val="fr-CH"/>
              </w:rPr>
              <w:t>Gain d'antenne maximum (dBi)</w:t>
            </w:r>
          </w:p>
        </w:tc>
        <w:tc>
          <w:tcPr>
            <w:tcW w:w="1974" w:type="dxa"/>
          </w:tcPr>
          <w:p w:rsidR="002B489A" w:rsidRDefault="004F19C4">
            <w:pPr>
              <w:pStyle w:val="Tabletext"/>
              <w:framePr w:hSpace="181" w:wrap="notBeside" w:vAnchor="text" w:hAnchor="text" w:xAlign="center" w:y="1"/>
              <w:jc w:val="center"/>
              <w:rPr>
                <w:lang w:val="fr-CH"/>
              </w:rPr>
            </w:pPr>
            <w:r>
              <w:rPr>
                <w:lang w:val="fr-CH"/>
              </w:rPr>
              <w:t>36</w:t>
            </w:r>
          </w:p>
        </w:tc>
        <w:tc>
          <w:tcPr>
            <w:tcW w:w="1518" w:type="dxa"/>
          </w:tcPr>
          <w:p w:rsidR="002B489A" w:rsidRDefault="004F19C4">
            <w:pPr>
              <w:pStyle w:val="Tabletext"/>
              <w:framePr w:hSpace="181" w:wrap="notBeside" w:vAnchor="text" w:hAnchor="text" w:xAlign="center" w:y="1"/>
              <w:jc w:val="center"/>
              <w:rPr>
                <w:lang w:val="fr-CH"/>
              </w:rPr>
            </w:pPr>
            <w:r>
              <w:rPr>
                <w:lang w:val="fr-CH"/>
              </w:rPr>
              <w:t>37</w:t>
            </w:r>
          </w:p>
        </w:tc>
      </w:tr>
      <w:tr w:rsidR="002B489A">
        <w:tc>
          <w:tcPr>
            <w:tcW w:w="5667" w:type="dxa"/>
          </w:tcPr>
          <w:p w:rsidR="002B489A" w:rsidRDefault="004F19C4">
            <w:pPr>
              <w:pStyle w:val="Tabletext"/>
              <w:framePr w:hSpace="181" w:wrap="notBeside" w:vAnchor="text" w:hAnchor="text" w:xAlign="center" w:y="1"/>
              <w:rPr>
                <w:lang w:val="fr-CH"/>
              </w:rPr>
            </w:pPr>
            <w:r>
              <w:rPr>
                <w:lang w:val="fr-CH"/>
              </w:rPr>
              <w:t xml:space="preserve">Ouverture à mi-puissance du faisceau d'antenne </w:t>
            </w:r>
            <w:r>
              <w:sym w:font="Symbol" w:char="F071"/>
            </w:r>
            <w:r>
              <w:rPr>
                <w:vertAlign w:val="subscript"/>
              </w:rPr>
              <w:t>3 dB</w:t>
            </w:r>
            <w:r>
              <w:rPr>
                <w:lang w:val="fr-CH"/>
              </w:rPr>
              <w:t xml:space="preserve"> (degrés)</w:t>
            </w:r>
          </w:p>
        </w:tc>
        <w:tc>
          <w:tcPr>
            <w:tcW w:w="1974" w:type="dxa"/>
          </w:tcPr>
          <w:p w:rsidR="002B489A" w:rsidRDefault="004F19C4">
            <w:pPr>
              <w:pStyle w:val="Tabletext"/>
              <w:framePr w:hSpace="181" w:wrap="notBeside" w:vAnchor="text" w:hAnchor="text" w:xAlign="center" w:y="1"/>
              <w:jc w:val="center"/>
              <w:rPr>
                <w:lang w:val="fr-CH"/>
              </w:rPr>
            </w:pPr>
            <w:r>
              <w:rPr>
                <w:lang w:val="fr-CH"/>
              </w:rPr>
              <w:t>2,66</w:t>
            </w:r>
          </w:p>
        </w:tc>
        <w:tc>
          <w:tcPr>
            <w:tcW w:w="1518" w:type="dxa"/>
          </w:tcPr>
          <w:p w:rsidR="002B489A" w:rsidRDefault="004F19C4">
            <w:pPr>
              <w:pStyle w:val="Tabletext"/>
              <w:framePr w:hSpace="181" w:wrap="notBeside" w:vAnchor="text" w:hAnchor="text" w:xAlign="center" w:y="1"/>
              <w:jc w:val="center"/>
              <w:rPr>
                <w:lang w:val="fr-CH"/>
              </w:rPr>
            </w:pPr>
            <w:r>
              <w:rPr>
                <w:lang w:val="fr-CH"/>
              </w:rPr>
              <w:t>1,4</w:t>
            </w:r>
          </w:p>
        </w:tc>
      </w:tr>
    </w:tbl>
    <w:p w:rsidR="002B489A" w:rsidRDefault="002B489A">
      <w:pPr>
        <w:pStyle w:val="Tablefin"/>
      </w:pPr>
    </w:p>
    <w:p w:rsidR="002B489A" w:rsidRDefault="004F19C4">
      <w:pPr>
        <w:spacing w:before="240"/>
        <w:rPr>
          <w:lang w:val="fr-CH"/>
        </w:rPr>
      </w:pPr>
      <w:r>
        <w:rPr>
          <w:lang w:val="fr-CH"/>
        </w:rPr>
        <w:t xml:space="preserve">La taille de pixel sur le trajet est calculée à partir du contour à </w:t>
      </w:r>
      <w:r>
        <w:rPr>
          <w:lang w:val="fr-CH"/>
        </w:rPr>
        <w:sym w:font="Symbol" w:char="F02D"/>
      </w:r>
      <w:r>
        <w:rPr>
          <w:lang w:val="fr-CH"/>
        </w:rPr>
        <w:t xml:space="preserve">3 dB du diagramme d'antenne en tenant compte de l'altitude du satellite et de l'angle d'incidence </w:t>
      </w:r>
      <w:r>
        <w:rPr>
          <w:i/>
          <w:iCs/>
          <w:lang w:val="fr-CH"/>
        </w:rPr>
        <w:t>i</w:t>
      </w:r>
      <w:r>
        <w:rPr>
          <w:lang w:val="fr-CH"/>
        </w:rPr>
        <w:t xml:space="preserve"> du point de visée du faisceau.</w:t>
      </w:r>
    </w:p>
    <w:p w:rsidR="002B489A" w:rsidRDefault="004F19C4">
      <w:pPr>
        <w:rPr>
          <w:lang w:val="fr-CH"/>
        </w:rPr>
      </w:pPr>
      <w:r>
        <w:rPr>
          <w:lang w:val="fr-CH"/>
        </w:rPr>
        <w:br w:type="page"/>
        <w:t xml:space="preserve">Les détecteurs SETS ci-dessus ne sont pas des satellites de nadir, mais des détecteurs SETS ayant une configuration de balayage conique centrée autour de la direction du nadir. Il est important pour l'interprétation des mesures de surface de maintenir un angle d'incidence au sol constant tout le long des lignes de balayage. La géométrie des instruments à balayage conique est décrite à la Fig. 12. La vitesse de rotation de l'instrument (et non du satellite) est </w:t>
      </w:r>
      <w:r>
        <w:rPr>
          <w:i/>
          <w:lang w:val="fr-CH"/>
        </w:rPr>
        <w:t>w</w:t>
      </w:r>
      <w:r>
        <w:rPr>
          <w:lang w:val="fr-CH"/>
        </w:rPr>
        <w:t> </w:t>
      </w:r>
      <w:r>
        <w:rPr>
          <w:rFonts w:ascii="Symbol" w:hAnsi="Symbol"/>
          <w:lang w:val="fr-CH"/>
        </w:rPr>
        <w:t></w:t>
      </w:r>
      <w:r>
        <w:rPr>
          <w:lang w:val="fr-CH"/>
        </w:rPr>
        <w:t> 20 tours par minute pour le satellite MEGHA-TROPIC et de 40 tours par minute pour EOS AMSR-E.</w:t>
      </w:r>
    </w:p>
    <w:p w:rsidR="002B489A" w:rsidRDefault="002B489A">
      <w:pPr>
        <w:rPr>
          <w:lang w:val="fr-CH"/>
        </w:rPr>
      </w:pPr>
    </w:p>
    <w:p w:rsidR="002B489A" w:rsidRDefault="0006728D">
      <w:pPr>
        <w:pStyle w:val="FigureNo"/>
        <w:rPr>
          <w:lang w:val="fr-CH"/>
        </w:rPr>
      </w:pPr>
      <w:r>
        <w:rPr>
          <w:noProof/>
          <w:lang w:val="fr-CH" w:eastAsia="fr-CH"/>
        </w:rPr>
        <w:drawing>
          <wp:inline distT="0" distB="0" distL="0" distR="0">
            <wp:extent cx="5000625" cy="44672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00625" cy="4467225"/>
                    </a:xfrm>
                    <a:prstGeom prst="rect">
                      <a:avLst/>
                    </a:prstGeom>
                    <a:noFill/>
                    <a:ln>
                      <a:noFill/>
                    </a:ln>
                  </pic:spPr>
                </pic:pic>
              </a:graphicData>
            </a:graphic>
          </wp:inline>
        </w:drawing>
      </w:r>
    </w:p>
    <w:p w:rsidR="002B489A" w:rsidRDefault="002B489A">
      <w:pPr>
        <w:rPr>
          <w:lang w:val="fr-CH"/>
        </w:rPr>
      </w:pPr>
    </w:p>
    <w:p w:rsidR="002B489A" w:rsidRDefault="002B489A">
      <w:pPr>
        <w:rPr>
          <w:lang w:val="fr-CH"/>
        </w:rPr>
      </w:pPr>
    </w:p>
    <w:p w:rsidR="002B489A" w:rsidRDefault="004F19C4">
      <w:pPr>
        <w:rPr>
          <w:lang w:val="fr-CH"/>
        </w:rPr>
      </w:pPr>
      <w:r>
        <w:rPr>
          <w:lang w:val="fr-CH"/>
        </w:rPr>
        <w:t>Les caractéristiques géométriques typiques de ce type d'instruments sont les suivantes (pour une altitude d'environ 850 km).</w:t>
      </w:r>
    </w:p>
    <w:p w:rsidR="002B489A" w:rsidRDefault="004F19C4">
      <w:pPr>
        <w:pStyle w:val="enumlev1"/>
        <w:rPr>
          <w:lang w:val="fr-CH"/>
        </w:rPr>
      </w:pPr>
      <w:r>
        <w:rPr>
          <w:lang w:val="fr-CH"/>
        </w:rPr>
        <w:t>–</w:t>
      </w:r>
      <w:r>
        <w:rPr>
          <w:lang w:val="fr-CH"/>
        </w:rPr>
        <w:tab/>
        <w:t xml:space="preserve">l'angle </w:t>
      </w:r>
      <w:r>
        <w:rPr>
          <w:i/>
          <w:iCs/>
          <w:lang w:val="fr-CH"/>
        </w:rPr>
        <w:t>i</w:t>
      </w:r>
      <w:r>
        <w:rPr>
          <w:lang w:val="fr-CH"/>
        </w:rPr>
        <w:t xml:space="preserve"> d'incidence au sol au centre de l'empreinte est d'environ 50°;</w:t>
      </w:r>
    </w:p>
    <w:p w:rsidR="002B489A" w:rsidRDefault="004F19C4">
      <w:pPr>
        <w:pStyle w:val="enumlev1"/>
        <w:rPr>
          <w:lang w:val="fr-CH"/>
        </w:rPr>
      </w:pPr>
      <w:r>
        <w:rPr>
          <w:lang w:val="fr-CH"/>
        </w:rPr>
        <w:t>–</w:t>
      </w:r>
      <w:r>
        <w:rPr>
          <w:lang w:val="fr-CH"/>
        </w:rPr>
        <w:tab/>
        <w:t xml:space="preserve">l'angle de décalage SETS avec le nadir ou angle semi-conique </w:t>
      </w:r>
      <w:r>
        <w:rPr>
          <w:rFonts w:ascii="Symbol" w:hAnsi="Symbol"/>
          <w:lang w:val="fr-CH"/>
        </w:rPr>
        <w:sym w:font="Symbol" w:char="F061"/>
      </w:r>
      <w:r>
        <w:rPr>
          <w:lang w:val="fr-CH"/>
        </w:rPr>
        <w:t xml:space="preserve"> avec la direction du nadir est d'environ 44°;</w:t>
      </w:r>
    </w:p>
    <w:p w:rsidR="002B489A" w:rsidRDefault="004F19C4">
      <w:pPr>
        <w:pStyle w:val="enumlev1"/>
        <w:rPr>
          <w:lang w:val="fr-CH"/>
        </w:rPr>
      </w:pPr>
      <w:r>
        <w:rPr>
          <w:lang w:val="fr-CH"/>
        </w:rPr>
        <w:t>–</w:t>
      </w:r>
      <w:r>
        <w:rPr>
          <w:lang w:val="fr-CH"/>
        </w:rPr>
        <w:tab/>
        <w:t>la largeur de couloir utile est d'environ 1</w:t>
      </w:r>
      <w:r>
        <w:rPr>
          <w:rFonts w:ascii="Tms Rmn" w:hAnsi="Tms Rmn"/>
          <w:sz w:val="12"/>
          <w:lang w:val="fr-CH"/>
        </w:rPr>
        <w:t> </w:t>
      </w:r>
      <w:r>
        <w:rPr>
          <w:lang w:val="fr-CH"/>
        </w:rPr>
        <w:t>600 km; et</w:t>
      </w:r>
    </w:p>
    <w:p w:rsidR="002B489A" w:rsidRDefault="004F19C4">
      <w:pPr>
        <w:pStyle w:val="enumlev1"/>
        <w:rPr>
          <w:lang w:val="fr-CH"/>
        </w:rPr>
      </w:pPr>
      <w:r>
        <w:rPr>
          <w:lang w:val="fr-CH"/>
        </w:rPr>
        <w:t>–</w:t>
      </w:r>
      <w:r>
        <w:rPr>
          <w:lang w:val="fr-CH"/>
        </w:rPr>
        <w:tab/>
        <w:t>la période de balayage est choisie de façon à assurer une pleine couverture et un temps d'intégration optimum (résolution radiométrique).</w:t>
      </w:r>
    </w:p>
    <w:p w:rsidR="002B489A" w:rsidRDefault="004F19C4">
      <w:pPr>
        <w:rPr>
          <w:lang w:val="fr-CH"/>
        </w:rPr>
      </w:pPr>
      <w:r>
        <w:rPr>
          <w:lang w:val="fr-CH"/>
        </w:rPr>
        <w:br w:type="page"/>
        <w:t>La Fig. 13 représente le diagramme d'antenne prévu pour le satellite MEGHA-TROPIC: le premier lobe latéral a un niveau d'environ –35 dB en dessous du gain maximum d'antenne, et le niveau de rayonnement du lobe arrière est d'environ –50 dB.</w:t>
      </w:r>
    </w:p>
    <w:p w:rsidR="002B489A" w:rsidRDefault="0006728D">
      <w:pPr>
        <w:pStyle w:val="FigureNo"/>
        <w:rPr>
          <w:lang w:val="fr-CH"/>
        </w:rPr>
      </w:pPr>
      <w:r>
        <w:rPr>
          <w:noProof/>
          <w:lang w:val="fr-CH" w:eastAsia="fr-CH"/>
        </w:rPr>
        <w:drawing>
          <wp:inline distT="0" distB="0" distL="0" distR="0">
            <wp:extent cx="3400425" cy="31718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00425" cy="3171825"/>
                    </a:xfrm>
                    <a:prstGeom prst="rect">
                      <a:avLst/>
                    </a:prstGeom>
                    <a:noFill/>
                    <a:ln>
                      <a:noFill/>
                    </a:ln>
                  </pic:spPr>
                </pic:pic>
              </a:graphicData>
            </a:graphic>
          </wp:inline>
        </w:drawing>
      </w:r>
    </w:p>
    <w:p w:rsidR="002B489A" w:rsidRDefault="004F19C4">
      <w:pPr>
        <w:rPr>
          <w:lang w:val="fr-CH"/>
        </w:rPr>
      </w:pPr>
      <w:r>
        <w:rPr>
          <w:lang w:val="fr-CH"/>
        </w:rPr>
        <w:t>La Fig. 14 montre le diagramme d'antenne prévu pour le satellite EOS AMSR-E: le premier lobe latéral a un niveau d'environ –45 dB au-dessous du gain d'antenne maximum, et le niveau de rayonnement du lobe arrière est d'environ –60 dB.</w:t>
      </w:r>
    </w:p>
    <w:p w:rsidR="002B489A" w:rsidRDefault="0006728D">
      <w:pPr>
        <w:pStyle w:val="FigureNo"/>
        <w:rPr>
          <w:lang w:val="fr-CH"/>
        </w:rPr>
      </w:pPr>
      <w:r>
        <w:rPr>
          <w:noProof/>
          <w:lang w:val="fr-CH" w:eastAsia="fr-CH"/>
        </w:rPr>
        <w:drawing>
          <wp:inline distT="0" distB="0" distL="0" distR="0">
            <wp:extent cx="3400425" cy="3162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00425" cy="3162300"/>
                    </a:xfrm>
                    <a:prstGeom prst="rect">
                      <a:avLst/>
                    </a:prstGeom>
                    <a:noFill/>
                    <a:ln>
                      <a:noFill/>
                    </a:ln>
                  </pic:spPr>
                </pic:pic>
              </a:graphicData>
            </a:graphic>
          </wp:inline>
        </w:drawing>
      </w:r>
    </w:p>
    <w:p w:rsidR="002B489A" w:rsidRDefault="004F19C4">
      <w:pPr>
        <w:pStyle w:val="Heading1"/>
        <w:rPr>
          <w:lang w:val="fr-CH"/>
        </w:rPr>
      </w:pPr>
      <w:r>
        <w:rPr>
          <w:lang w:val="fr-CH"/>
        </w:rPr>
        <w:br w:type="page"/>
        <w:t>2</w:t>
      </w:r>
      <w:r>
        <w:rPr>
          <w:lang w:val="fr-CH"/>
        </w:rPr>
        <w:tab/>
        <w:t>SFS (espace vers Terre)</w:t>
      </w:r>
    </w:p>
    <w:p w:rsidR="002B489A" w:rsidRDefault="004F19C4">
      <w:pPr>
        <w:pStyle w:val="Heading2"/>
        <w:rPr>
          <w:lang w:val="fr-CH"/>
        </w:rPr>
      </w:pPr>
      <w:r>
        <w:rPr>
          <w:lang w:val="fr-CH"/>
        </w:rPr>
        <w:t>2.1</w:t>
      </w:r>
      <w:r>
        <w:rPr>
          <w:lang w:val="fr-CH"/>
        </w:rPr>
        <w:tab/>
        <w:t>Bande d'émission attribuée</w:t>
      </w:r>
    </w:p>
    <w:p w:rsidR="002B489A" w:rsidRDefault="004F19C4">
      <w:pPr>
        <w:rPr>
          <w:lang w:val="fr-CH"/>
        </w:rPr>
      </w:pPr>
      <w:r>
        <w:rPr>
          <w:lang w:val="fr-CH"/>
        </w:rPr>
        <w:t>La bande de service active est la bande 10,7</w:t>
      </w:r>
      <w:r>
        <w:rPr>
          <w:lang w:val="fr-CH"/>
        </w:rPr>
        <w:noBreakHyphen/>
        <w:t>11,7 GHz attribuée au SFS (espace vers Terre).</w:t>
      </w:r>
    </w:p>
    <w:p w:rsidR="002B489A" w:rsidRDefault="004F19C4">
      <w:pPr>
        <w:pStyle w:val="Heading2"/>
        <w:rPr>
          <w:lang w:val="fr-CH"/>
        </w:rPr>
      </w:pPr>
      <w:r>
        <w:rPr>
          <w:lang w:val="fr-CH"/>
        </w:rPr>
        <w:t>2.2</w:t>
      </w:r>
      <w:r>
        <w:rPr>
          <w:lang w:val="fr-CH"/>
        </w:rPr>
        <w:tab/>
        <w:t>Application</w:t>
      </w:r>
    </w:p>
    <w:p w:rsidR="002B489A" w:rsidRDefault="004F19C4">
      <w:pPr>
        <w:rPr>
          <w:lang w:val="fr-CH"/>
        </w:rPr>
      </w:pPr>
      <w:r>
        <w:rPr>
          <w:lang w:val="fr-CH"/>
        </w:rPr>
        <w:t>L'ensemble complet des caractéristiques d'émission qui sont prises en compte dans le présent document est tiré de la Recommandation UIT-R S.1328-3 – Caractéristiques de systèmes à satellites à prendre en compte dans les analyses de partage des fréquences entre systèmes à satellites sur l'orbite des satellites géostationnaires OSG et systèmes à satellites non OSG dans le service fixe par satellite (SFS) y compris les liaisons de connexion du service mobile par satellite (SMS). Cette Recommandation donne quelques informations concernant les systèmes types.</w:t>
      </w:r>
    </w:p>
    <w:p w:rsidR="002B489A" w:rsidRDefault="004F19C4">
      <w:pPr>
        <w:rPr>
          <w:lang w:val="fr-CH"/>
        </w:rPr>
      </w:pPr>
      <w:r>
        <w:rPr>
          <w:lang w:val="fr-CH"/>
        </w:rPr>
        <w:t>Conformément au numéro 5.441 du RR, l'utilisation des bandes 10,7</w:t>
      </w:r>
      <w:r>
        <w:rPr>
          <w:lang w:val="fr-CH"/>
        </w:rPr>
        <w:noBreakHyphen/>
        <w:t>10,95 GHz et 11,2</w:t>
      </w:r>
      <w:r>
        <w:rPr>
          <w:lang w:val="fr-CH"/>
        </w:rPr>
        <w:noBreakHyphen/>
        <w:t>11,45 GHz par des réseaux à satellite OSG du SFS doit être conforme à l'Appendice 30B du RR.</w:t>
      </w:r>
    </w:p>
    <w:p w:rsidR="002B489A" w:rsidRDefault="004F19C4">
      <w:pPr>
        <w:rPr>
          <w:lang w:val="fr-CH"/>
        </w:rPr>
      </w:pPr>
      <w:r>
        <w:rPr>
          <w:lang w:val="fr-CH"/>
        </w:rPr>
        <w:t>Dans la Recommandation ci-dessus n'est mentionnée aucune information concernant des systèmes utilisant dans la Région 1 l'attribution de liaison montante 10,7</w:t>
      </w:r>
      <w:r>
        <w:rPr>
          <w:lang w:val="fr-CH"/>
        </w:rPr>
        <w:noBreakHyphen/>
        <w:t>11,7 GHz (Terre vers espace) à travers le numéro 5.484 du RR (limitée aux liaisons de connexion pour le SRS). Il n'a donc pas été possible de procéder à une analyse des brouillages entre des systèmes SFS et des systèmes SETS dans la bande passive 10,6</w:t>
      </w:r>
      <w:r>
        <w:rPr>
          <w:lang w:val="fr-CH"/>
        </w:rPr>
        <w:noBreakHyphen/>
        <w:t>10,7 GHz.</w:t>
      </w:r>
    </w:p>
    <w:p w:rsidR="002B489A" w:rsidRDefault="004F19C4">
      <w:pPr>
        <w:pStyle w:val="Heading2"/>
        <w:ind w:left="0" w:firstLine="0"/>
        <w:rPr>
          <w:lang w:val="fr-CH"/>
        </w:rPr>
      </w:pPr>
      <w:r>
        <w:rPr>
          <w:lang w:val="fr-CH"/>
        </w:rPr>
        <w:t>2.3</w:t>
      </w:r>
      <w:r>
        <w:rPr>
          <w:lang w:val="fr-CH"/>
        </w:rPr>
        <w:tab/>
        <w:t>Niveaux fondés sur des dispositions et Recommandations UIT-R</w:t>
      </w:r>
    </w:p>
    <w:p w:rsidR="002B489A" w:rsidRDefault="004F19C4">
      <w:pPr>
        <w:pStyle w:val="Heading3"/>
        <w:ind w:left="0" w:firstLine="0"/>
        <w:rPr>
          <w:lang w:val="fr-CH"/>
        </w:rPr>
      </w:pPr>
      <w:r>
        <w:rPr>
          <w:lang w:val="fr-CH"/>
        </w:rPr>
        <w:t>2.3.1</w:t>
      </w:r>
      <w:r>
        <w:rPr>
          <w:lang w:val="fr-CH"/>
        </w:rPr>
        <w:tab/>
        <w:t>Numéro 1.153 du RR</w:t>
      </w:r>
    </w:p>
    <w:p w:rsidR="002B489A" w:rsidRDefault="004F19C4">
      <w:pPr>
        <w:rPr>
          <w:lang w:val="fr-CH"/>
        </w:rPr>
      </w:pPr>
      <w:r>
        <w:rPr>
          <w:lang w:val="fr-CH"/>
        </w:rPr>
        <w:t xml:space="preserve">Le RR définit la </w:t>
      </w:r>
      <w:r>
        <w:rPr>
          <w:i/>
          <w:lang w:val="fr-CH"/>
        </w:rPr>
        <w:t>largeur de bande occupée</w:t>
      </w:r>
      <w:r>
        <w:rPr>
          <w:lang w:val="fr-CH"/>
        </w:rPr>
        <w:t xml:space="preserve"> comme suit:</w:t>
      </w:r>
    </w:p>
    <w:p w:rsidR="002B489A" w:rsidRDefault="004F19C4">
      <w:pPr>
        <w:rPr>
          <w:lang w:val="fr-CH"/>
        </w:rPr>
      </w:pPr>
      <w:r>
        <w:rPr>
          <w:lang w:val="fr-CH"/>
        </w:rPr>
        <w:t>«</w:t>
      </w:r>
      <w:r>
        <w:rPr>
          <w:rStyle w:val="Artdef"/>
          <w:lang w:val="fr-CH"/>
        </w:rPr>
        <w:t>1.153</w:t>
      </w:r>
      <w:r>
        <w:rPr>
          <w:rStyle w:val="Artdef"/>
          <w:lang w:val="fr-CH"/>
        </w:rPr>
        <w:tab/>
      </w:r>
      <w:r>
        <w:rPr>
          <w:lang w:val="fr-CH"/>
        </w:rPr>
        <w:tab/>
      </w:r>
      <w:r>
        <w:rPr>
          <w:i/>
          <w:lang w:val="fr-CH"/>
        </w:rPr>
        <w:t>largeur de bande occupée:  </w:t>
      </w:r>
      <w:r>
        <w:rPr>
          <w:lang w:val="fr-CH"/>
        </w:rPr>
        <w:t xml:space="preserve">Largeur de la bande de fréquences telle que, au-dessous de sa fréquence limite inférieure et au-dessus de sa fréquence limite supérieure, soient émises des </w:t>
      </w:r>
      <w:r>
        <w:rPr>
          <w:i/>
          <w:lang w:val="fr-CH"/>
        </w:rPr>
        <w:t>puissances moyennes</w:t>
      </w:r>
      <w:r>
        <w:rPr>
          <w:lang w:val="fr-CH"/>
        </w:rPr>
        <w:t xml:space="preserve"> égales chacune à un pourcentage donné </w:t>
      </w:r>
      <w:r>
        <w:rPr>
          <w:rFonts w:ascii="Symbol" w:hAnsi="Symbol"/>
        </w:rPr>
        <w:sym w:font="Symbol" w:char="F062"/>
      </w:r>
      <w:r>
        <w:rPr>
          <w:lang w:val="fr-CH"/>
        </w:rPr>
        <w:t xml:space="preserve">/2 de la </w:t>
      </w:r>
      <w:r>
        <w:rPr>
          <w:i/>
          <w:lang w:val="fr-CH"/>
        </w:rPr>
        <w:t>puissance moyenne</w:t>
      </w:r>
      <w:r>
        <w:rPr>
          <w:lang w:val="fr-CH"/>
        </w:rPr>
        <w:t xml:space="preserve"> totale d'une </w:t>
      </w:r>
      <w:r>
        <w:rPr>
          <w:i/>
          <w:lang w:val="fr-CH"/>
        </w:rPr>
        <w:t>émission</w:t>
      </w:r>
      <w:r>
        <w:rPr>
          <w:lang w:val="fr-CH"/>
        </w:rPr>
        <w:t xml:space="preserve"> donnée.</w:t>
      </w:r>
    </w:p>
    <w:p w:rsidR="002B489A" w:rsidRDefault="004F19C4">
      <w:pPr>
        <w:rPr>
          <w:lang w:val="fr-CH"/>
        </w:rPr>
      </w:pPr>
      <w:r>
        <w:rPr>
          <w:lang w:val="fr-CH"/>
        </w:rPr>
        <w:tab/>
      </w:r>
      <w:r>
        <w:rPr>
          <w:lang w:val="fr-CH"/>
        </w:rPr>
        <w:tab/>
        <w:t xml:space="preserve">En l'absence de spécifications dans une Recommandation de l'UIT-R pour la </w:t>
      </w:r>
      <w:r>
        <w:rPr>
          <w:i/>
          <w:lang w:val="fr-CH"/>
        </w:rPr>
        <w:t>classe d'émission</w:t>
      </w:r>
      <w:r>
        <w:rPr>
          <w:lang w:val="fr-CH"/>
        </w:rPr>
        <w:t xml:space="preserve"> considérée, la valeur </w:t>
      </w:r>
      <w:r>
        <w:rPr>
          <w:rFonts w:ascii="Symbol" w:hAnsi="Symbol"/>
        </w:rPr>
        <w:sym w:font="Symbol" w:char="F062"/>
      </w:r>
      <w:r>
        <w:rPr>
          <w:lang w:val="fr-CH"/>
        </w:rPr>
        <w:t>/2 doit être prise égale à 0,5%.»</w:t>
      </w:r>
    </w:p>
    <w:p w:rsidR="002B489A" w:rsidRDefault="004F19C4">
      <w:pPr>
        <w:rPr>
          <w:lang w:val="fr-CH"/>
        </w:rPr>
      </w:pPr>
      <w:r>
        <w:rPr>
          <w:lang w:val="fr-CH"/>
        </w:rPr>
        <w:t>Si le bord supérieur de la largeur de bande occupée était à la limite supérieure ou au</w:t>
      </w:r>
      <w:r>
        <w:rPr>
          <w:lang w:val="fr-CH"/>
        </w:rPr>
        <w:noBreakHyphen/>
        <w:t xml:space="preserve">dessous de l'attribution au SFS, la puissance totale des rayonnements non désirés aux fréquences au-dessus de la largeur de bande attribuée ne serait pas supérieure à 0,5% de </w:t>
      </w:r>
      <w:r>
        <w:rPr>
          <w:i/>
          <w:lang w:val="fr-CH"/>
        </w:rPr>
        <w:t>P</w:t>
      </w:r>
      <w:r>
        <w:rPr>
          <w:lang w:val="fr-CH"/>
        </w:rPr>
        <w:t xml:space="preserve">, où </w:t>
      </w:r>
      <w:r>
        <w:rPr>
          <w:i/>
          <w:lang w:val="fr-CH"/>
        </w:rPr>
        <w:t>P</w:t>
      </w:r>
      <w:r>
        <w:rPr>
          <w:lang w:val="fr-CH"/>
        </w:rPr>
        <w:t xml:space="preserve"> est la puissance dans la bande. Donc, la puissance totale de rayonnement non désiré aux fréquences inférieures à 10,7 GHz dont 10,6</w:t>
      </w:r>
      <w:r>
        <w:rPr>
          <w:lang w:val="fr-CH"/>
        </w:rPr>
        <w:noBreakHyphen/>
        <w:t xml:space="preserve">10,7 GHz de la bande SETS, n'est pas supérieure à </w:t>
      </w:r>
      <w:r>
        <w:rPr>
          <w:i/>
          <w:lang w:val="fr-CH"/>
        </w:rPr>
        <w:t>P</w:t>
      </w:r>
      <w:r>
        <w:rPr>
          <w:lang w:val="fr-CH"/>
        </w:rPr>
        <w:t xml:space="preserve"> – 23 dB.</w:t>
      </w:r>
    </w:p>
    <w:p w:rsidR="002B489A" w:rsidRDefault="004F19C4">
      <w:pPr>
        <w:rPr>
          <w:lang w:val="fr-CH"/>
        </w:rPr>
      </w:pPr>
      <w:r>
        <w:rPr>
          <w:lang w:val="fr-CH"/>
        </w:rPr>
        <w:t>Bien que le maintien de la largeur de bande occupée au sein de la bande attribuée soit souvent un moyen efficace de satisfaire aux critères de brouillage du SETS, il peut être difficile et coûteux de tenir cette hypothèse pour certains systèmes du SFS, car cela exige l'utilisation d'une bande de garde ou de filtres à la station spatiale.</w:t>
      </w:r>
    </w:p>
    <w:p w:rsidR="002B489A" w:rsidRDefault="004F19C4">
      <w:pPr>
        <w:pStyle w:val="Heading3"/>
        <w:ind w:left="0" w:firstLine="0"/>
        <w:rPr>
          <w:lang w:val="fr-CH"/>
        </w:rPr>
      </w:pPr>
      <w:r>
        <w:rPr>
          <w:lang w:val="fr-CH"/>
        </w:rPr>
        <w:br w:type="page"/>
        <w:t>2.3.2</w:t>
      </w:r>
      <w:r>
        <w:rPr>
          <w:lang w:val="fr-CH"/>
        </w:rPr>
        <w:tab/>
        <w:t>Recommandation UIT-R SM.1541</w:t>
      </w:r>
    </w:p>
    <w:p w:rsidR="002B489A" w:rsidRDefault="004F19C4">
      <w:pPr>
        <w:rPr>
          <w:lang w:val="fr-CH"/>
        </w:rPr>
      </w:pPr>
      <w:r>
        <w:rPr>
          <w:lang w:val="fr-CH"/>
        </w:rPr>
        <w:t>Recommandation UIT-R SM.1541 – Rayonnements non désirés dans le domaine des émissions hors bande.</w:t>
      </w:r>
    </w:p>
    <w:p w:rsidR="002B489A" w:rsidRDefault="004F19C4">
      <w:pPr>
        <w:spacing w:before="100"/>
        <w:rPr>
          <w:lang w:val="fr-CH"/>
        </w:rPr>
      </w:pPr>
      <w:r>
        <w:rPr>
          <w:lang w:val="fr-CH"/>
        </w:rPr>
        <w:t>Les émissions dans le domaine des émissions hors bande d'une station fonctionnant dans les bandes attribuées au SFS doivent être affaiblies au-dessous de la densité spectrale de puissance maximale (dans une largeur de bande de référence de 4 kHz pour les systèmes fonctionnant au-dessus de 15 GHz, on peut utiliser une largeur de bande de référence de 1 MHz au lieu de 4 kHz), conformément à l'Annexe 5 de la Recommandation UIT</w:t>
      </w:r>
      <w:r>
        <w:rPr>
          <w:lang w:val="fr-CH"/>
        </w:rPr>
        <w:noBreakHyphen/>
        <w:t>R SM.1541 (voir la Fig. 15). Cette courbe est fondée sur l'expression suivante:</w:t>
      </w:r>
    </w:p>
    <w:p w:rsidR="002B489A" w:rsidRDefault="004F19C4">
      <w:pPr>
        <w:pStyle w:val="Equation"/>
      </w:pPr>
      <w:r>
        <w:tab/>
      </w:r>
      <w:r>
        <w:tab/>
      </w:r>
      <w:r>
        <w:rPr>
          <w:position w:val="-28"/>
          <w:sz w:val="20"/>
          <w:lang w:val="fr-CH"/>
        </w:rPr>
        <w:object w:dxaOrig="1540" w:dyaOrig="680">
          <v:shape id="_x0000_i1038" type="#_x0000_t75" style="width:77pt;height:34pt" o:ole="" fillcolor="window">
            <v:imagedata r:id="rId45" o:title=""/>
          </v:shape>
          <o:OLEObject Type="Embed" ProgID="Equation.3" ShapeID="_x0000_i1038" DrawAspect="Content" ObjectID="_1649163284" r:id="rId46"/>
        </w:object>
      </w:r>
      <w:r>
        <w:rPr>
          <w:lang w:val="es-ES"/>
        </w:rPr>
        <w:t>                </w:t>
      </w:r>
      <w:r>
        <w:t>dBsd</w:t>
      </w:r>
      <w:r>
        <w:tab/>
      </w:r>
    </w:p>
    <w:p w:rsidR="002B489A" w:rsidRDefault="004F19C4">
      <w:pPr>
        <w:rPr>
          <w:lang w:val="fr-CH"/>
        </w:rPr>
      </w:pPr>
      <w:r>
        <w:rPr>
          <w:lang w:val="fr-CH"/>
        </w:rPr>
        <w:t>où:</w:t>
      </w:r>
    </w:p>
    <w:p w:rsidR="002B489A" w:rsidRDefault="004F19C4">
      <w:pPr>
        <w:pStyle w:val="Equationlegend"/>
        <w:rPr>
          <w:lang w:val="fr-CH"/>
        </w:rPr>
      </w:pPr>
      <w:r>
        <w:rPr>
          <w:i/>
          <w:lang w:val="fr-CH"/>
        </w:rPr>
        <w:tab/>
        <w:t>F</w:t>
      </w:r>
      <w:r>
        <w:rPr>
          <w:rFonts w:ascii="Tms Rmn" w:hAnsi="Tms Rmn"/>
          <w:sz w:val="12"/>
          <w:lang w:val="fr-CH"/>
        </w:rPr>
        <w:t> </w:t>
      </w:r>
      <w:r>
        <w:rPr>
          <w:lang w:val="fr-CH"/>
        </w:rPr>
        <w:t>:</w:t>
      </w:r>
      <w:r>
        <w:rPr>
          <w:lang w:val="fr-CH"/>
        </w:rPr>
        <w:tab/>
        <w:t>décalage de fréquence par rapport au bord de la bande assignée totale, exprimé sous la forme d'un pourcentage de la largeur de bande nécessaire. Il est à noter que le domaine des émissions hors bande commence à chaque bord de la bande assignée totale</w:t>
      </w:r>
    </w:p>
    <w:p w:rsidR="002B489A" w:rsidRDefault="004F19C4">
      <w:pPr>
        <w:pStyle w:val="Equationlegend"/>
        <w:rPr>
          <w:lang w:val="fr-CH"/>
        </w:rPr>
      </w:pPr>
      <w:r>
        <w:rPr>
          <w:lang w:val="fr-CH"/>
        </w:rPr>
        <w:tab/>
        <w:t>dBsd</w:t>
      </w:r>
      <w:r>
        <w:rPr>
          <w:rFonts w:ascii="Tms Rmn" w:hAnsi="Tms Rmn"/>
          <w:sz w:val="12"/>
          <w:lang w:val="fr-CH"/>
        </w:rPr>
        <w:t> </w:t>
      </w:r>
      <w:r>
        <w:rPr>
          <w:lang w:val="fr-CH"/>
        </w:rPr>
        <w:t>:</w:t>
      </w:r>
      <w:r>
        <w:rPr>
          <w:lang w:val="fr-CH"/>
        </w:rPr>
        <w:tab/>
        <w:t>dB par rapport à la valeur maximale de la densité spectrale de puissance au sein de la largeur de bande nécessaire.</w:t>
      </w:r>
    </w:p>
    <w:p w:rsidR="002B489A" w:rsidRDefault="002B489A">
      <w:pPr>
        <w:rPr>
          <w:lang w:val="fr-CH"/>
        </w:rPr>
      </w:pPr>
    </w:p>
    <w:p w:rsidR="002B489A" w:rsidRDefault="0006728D">
      <w:pPr>
        <w:pStyle w:val="FigureNo"/>
      </w:pPr>
      <w:r>
        <w:rPr>
          <w:noProof/>
          <w:lang w:val="fr-CH" w:eastAsia="fr-CH"/>
        </w:rPr>
        <w:drawing>
          <wp:inline distT="0" distB="0" distL="0" distR="0">
            <wp:extent cx="3752850" cy="3600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52850" cy="3600450"/>
                    </a:xfrm>
                    <a:prstGeom prst="rect">
                      <a:avLst/>
                    </a:prstGeom>
                    <a:noFill/>
                    <a:ln>
                      <a:noFill/>
                    </a:ln>
                  </pic:spPr>
                </pic:pic>
              </a:graphicData>
            </a:graphic>
          </wp:inline>
        </w:drawing>
      </w:r>
    </w:p>
    <w:p w:rsidR="002B489A" w:rsidRDefault="002B489A">
      <w:pPr>
        <w:rPr>
          <w:lang w:val="fr-CH"/>
        </w:rPr>
      </w:pPr>
    </w:p>
    <w:p w:rsidR="002B489A" w:rsidRDefault="004F19C4">
      <w:pPr>
        <w:pStyle w:val="Heading2"/>
        <w:ind w:left="0" w:firstLine="0"/>
        <w:rPr>
          <w:lang w:val="fr-CH"/>
        </w:rPr>
      </w:pPr>
      <w:r>
        <w:rPr>
          <w:lang w:val="fr-CH"/>
        </w:rPr>
        <w:br w:type="page"/>
        <w:t>2.4</w:t>
      </w:r>
      <w:r>
        <w:rPr>
          <w:lang w:val="fr-CH"/>
        </w:rPr>
        <w:tab/>
        <w:t>Caractéristiques de l'émetteur</w:t>
      </w:r>
    </w:p>
    <w:p w:rsidR="002B489A" w:rsidRDefault="004F19C4">
      <w:pPr>
        <w:pStyle w:val="Heading3"/>
        <w:ind w:left="0" w:firstLine="0"/>
        <w:rPr>
          <w:lang w:val="fr-CH"/>
        </w:rPr>
      </w:pPr>
      <w:r>
        <w:rPr>
          <w:lang w:val="fr-CH"/>
        </w:rPr>
        <w:t>2.4.1</w:t>
      </w:r>
      <w:r>
        <w:rPr>
          <w:lang w:val="fr-CH"/>
        </w:rPr>
        <w:tab/>
        <w:t>Réseaux à satellite OSG</w:t>
      </w:r>
    </w:p>
    <w:p w:rsidR="002B489A" w:rsidRDefault="004F19C4">
      <w:pPr>
        <w:pStyle w:val="TableNo"/>
        <w:rPr>
          <w:lang w:val="fr-CH"/>
        </w:rPr>
      </w:pPr>
      <w:r>
        <w:rPr>
          <w:lang w:val="fr-CH"/>
        </w:rPr>
        <w:t>TABLEAU  14</w:t>
      </w:r>
    </w:p>
    <w:p w:rsidR="002B489A" w:rsidRDefault="004F19C4">
      <w:pPr>
        <w:pStyle w:val="Tabletitle"/>
        <w:rPr>
          <w:lang w:val="fr-CH"/>
        </w:rPr>
      </w:pPr>
      <w:r>
        <w:rPr>
          <w:lang w:val="fr-CH"/>
        </w:rPr>
        <w:t>Caractéristiques du réseau GSO-VX</w:t>
      </w:r>
    </w:p>
    <w:tbl>
      <w:tblPr>
        <w:tblW w:w="9639"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A0" w:firstRow="1" w:lastRow="0" w:firstColumn="1" w:lastColumn="0" w:noHBand="0" w:noVBand="0"/>
      </w:tblPr>
      <w:tblGrid>
        <w:gridCol w:w="5499"/>
        <w:gridCol w:w="4140"/>
      </w:tblGrid>
      <w:tr w:rsidR="002B489A">
        <w:tc>
          <w:tcPr>
            <w:tcW w:w="5261" w:type="dxa"/>
          </w:tcPr>
          <w:p w:rsidR="002B489A" w:rsidRDefault="004F19C4">
            <w:pPr>
              <w:pStyle w:val="Tablehead"/>
              <w:framePr w:hSpace="181" w:wrap="notBeside" w:vAnchor="text" w:hAnchor="text" w:xAlign="center" w:y="1"/>
              <w:rPr>
                <w:lang w:val="fr-CH"/>
              </w:rPr>
            </w:pPr>
            <w:r>
              <w:rPr>
                <w:lang w:val="fr-CH"/>
              </w:rPr>
              <w:t>Paramètres</w:t>
            </w:r>
          </w:p>
        </w:tc>
        <w:tc>
          <w:tcPr>
            <w:tcW w:w="3960" w:type="dxa"/>
          </w:tcPr>
          <w:p w:rsidR="002B489A" w:rsidRDefault="004F19C4">
            <w:pPr>
              <w:pStyle w:val="Tablehead"/>
              <w:framePr w:hSpace="181" w:wrap="notBeside" w:vAnchor="text" w:hAnchor="text" w:xAlign="center" w:y="1"/>
              <w:rPr>
                <w:lang w:val="fr-CH"/>
              </w:rPr>
            </w:pPr>
            <w:r>
              <w:rPr>
                <w:lang w:val="fr-CH"/>
              </w:rPr>
              <w:t>GSO-VX: réseau SFS OSG en projet</w:t>
            </w:r>
          </w:p>
        </w:tc>
      </w:tr>
      <w:tr w:rsidR="002B489A">
        <w:tc>
          <w:tcPr>
            <w:tcW w:w="5261" w:type="dxa"/>
          </w:tcPr>
          <w:p w:rsidR="002B489A" w:rsidRDefault="004F19C4">
            <w:pPr>
              <w:pStyle w:val="Tabletext"/>
              <w:framePr w:hSpace="181" w:wrap="notBeside" w:vAnchor="text" w:hAnchor="text" w:xAlign="center" w:y="1"/>
              <w:rPr>
                <w:lang w:val="fr-CH"/>
              </w:rPr>
            </w:pPr>
            <w:r>
              <w:rPr>
                <w:lang w:val="fr-CH"/>
              </w:rPr>
              <w:t>Gamme de fréquences de la liaison descendante (GHz)</w:t>
            </w:r>
          </w:p>
        </w:tc>
        <w:tc>
          <w:tcPr>
            <w:tcW w:w="3960" w:type="dxa"/>
          </w:tcPr>
          <w:p w:rsidR="002B489A" w:rsidRDefault="004F19C4">
            <w:pPr>
              <w:pStyle w:val="Tabletext"/>
              <w:framePr w:hSpace="181" w:wrap="notBeside" w:vAnchor="text" w:hAnchor="text" w:xAlign="center" w:y="1"/>
              <w:jc w:val="center"/>
              <w:rPr>
                <w:lang w:val="fr-CH"/>
              </w:rPr>
            </w:pPr>
            <w:r>
              <w:rPr>
                <w:lang w:val="fr-CH"/>
              </w:rPr>
              <w:t>10,7</w:t>
            </w:r>
            <w:r>
              <w:rPr>
                <w:lang w:val="fr-CH"/>
              </w:rPr>
              <w:noBreakHyphen/>
              <w:t>10,95</w:t>
            </w:r>
          </w:p>
        </w:tc>
      </w:tr>
      <w:tr w:rsidR="002B489A">
        <w:tc>
          <w:tcPr>
            <w:tcW w:w="5261" w:type="dxa"/>
          </w:tcPr>
          <w:p w:rsidR="002B489A" w:rsidRDefault="004F19C4">
            <w:pPr>
              <w:pStyle w:val="Tabletext"/>
              <w:framePr w:hSpace="181" w:wrap="notBeside" w:vAnchor="text" w:hAnchor="text" w:xAlign="center" w:y="1"/>
              <w:rPr>
                <w:lang w:val="fr-CH"/>
              </w:rPr>
            </w:pPr>
            <w:r>
              <w:rPr>
                <w:lang w:val="fr-CH"/>
              </w:rPr>
              <w:t>Paramètres orbitaux</w:t>
            </w:r>
          </w:p>
        </w:tc>
        <w:tc>
          <w:tcPr>
            <w:tcW w:w="3960" w:type="dxa"/>
          </w:tcPr>
          <w:p w:rsidR="002B489A" w:rsidRDefault="004F19C4">
            <w:pPr>
              <w:pStyle w:val="Tabletext"/>
              <w:framePr w:hSpace="181" w:wrap="notBeside" w:vAnchor="text" w:hAnchor="text" w:xAlign="center" w:y="1"/>
              <w:jc w:val="center"/>
              <w:rPr>
                <w:lang w:val="fr-CH"/>
              </w:rPr>
            </w:pPr>
            <w:r>
              <w:rPr>
                <w:lang w:val="fr-CH"/>
              </w:rPr>
              <w:t>14 OSG avec au moins 2° de séparation</w:t>
            </w:r>
          </w:p>
        </w:tc>
      </w:tr>
      <w:tr w:rsidR="002B489A">
        <w:tc>
          <w:tcPr>
            <w:tcW w:w="5261" w:type="dxa"/>
          </w:tcPr>
          <w:p w:rsidR="002B489A" w:rsidRDefault="004F19C4">
            <w:pPr>
              <w:pStyle w:val="Tabletext"/>
              <w:framePr w:hSpace="181" w:wrap="notBeside" w:vAnchor="text" w:hAnchor="text" w:xAlign="center" w:y="1"/>
              <w:rPr>
                <w:lang w:val="fr-CH"/>
              </w:rPr>
            </w:pPr>
            <w:r>
              <w:rPr>
                <w:lang w:val="fr-CH"/>
              </w:rPr>
              <w:t>Paramètres de transmission de la porteuse</w:t>
            </w:r>
          </w:p>
        </w:tc>
        <w:tc>
          <w:tcPr>
            <w:tcW w:w="3960" w:type="dxa"/>
          </w:tcPr>
          <w:p w:rsidR="002B489A" w:rsidRDefault="002B489A">
            <w:pPr>
              <w:pStyle w:val="Tabletext"/>
              <w:framePr w:hSpace="181" w:wrap="notBeside" w:vAnchor="text" w:hAnchor="text" w:xAlign="center" w:y="1"/>
              <w:jc w:val="center"/>
              <w:rPr>
                <w:lang w:val="fr-CH"/>
              </w:rPr>
            </w:pPr>
          </w:p>
        </w:tc>
      </w:tr>
      <w:tr w:rsidR="002B489A">
        <w:tc>
          <w:tcPr>
            <w:tcW w:w="5261" w:type="dxa"/>
          </w:tcPr>
          <w:p w:rsidR="002B489A" w:rsidRDefault="004F19C4">
            <w:pPr>
              <w:pStyle w:val="Tabletext"/>
              <w:framePr w:hSpace="181" w:wrap="notBeside" w:vAnchor="text" w:hAnchor="text" w:xAlign="center" w:y="1"/>
              <w:rPr>
                <w:lang w:val="fr-CH"/>
              </w:rPr>
            </w:pPr>
            <w:r>
              <w:rPr>
                <w:lang w:val="fr-CH"/>
              </w:rPr>
              <w:t>Largeur de bande (MHz)</w:t>
            </w:r>
          </w:p>
        </w:tc>
        <w:tc>
          <w:tcPr>
            <w:tcW w:w="3960" w:type="dxa"/>
          </w:tcPr>
          <w:p w:rsidR="002B489A" w:rsidRDefault="004F19C4">
            <w:pPr>
              <w:pStyle w:val="Tabletext"/>
              <w:framePr w:hSpace="181" w:wrap="notBeside" w:vAnchor="text" w:hAnchor="text" w:xAlign="center" w:y="1"/>
              <w:jc w:val="center"/>
              <w:rPr>
                <w:lang w:val="fr-CH"/>
              </w:rPr>
            </w:pPr>
            <w:r>
              <w:rPr>
                <w:lang w:val="fr-CH"/>
              </w:rPr>
              <w:t>250: 1 largeur de bande par canal (1 canal/faisceau)</w:t>
            </w:r>
          </w:p>
        </w:tc>
      </w:tr>
      <w:tr w:rsidR="002B489A">
        <w:tc>
          <w:tcPr>
            <w:tcW w:w="5261" w:type="dxa"/>
          </w:tcPr>
          <w:p w:rsidR="002B489A" w:rsidRDefault="004F19C4">
            <w:pPr>
              <w:pStyle w:val="Tabletext"/>
              <w:framePr w:hSpace="181" w:wrap="notBeside" w:vAnchor="text" w:hAnchor="text" w:xAlign="center" w:y="1"/>
              <w:rPr>
                <w:lang w:val="fr-CH"/>
              </w:rPr>
            </w:pPr>
            <w:r>
              <w:rPr>
                <w:lang w:val="fr-CH"/>
              </w:rPr>
              <w:t>p.i.r.e./porteuse de la liaison descendante (dBW)</w:t>
            </w:r>
          </w:p>
        </w:tc>
        <w:tc>
          <w:tcPr>
            <w:tcW w:w="3960" w:type="dxa"/>
          </w:tcPr>
          <w:p w:rsidR="002B489A" w:rsidRDefault="004F19C4">
            <w:pPr>
              <w:pStyle w:val="Tabletext"/>
              <w:framePr w:hSpace="181" w:wrap="notBeside" w:vAnchor="text" w:hAnchor="text" w:xAlign="center" w:y="1"/>
              <w:jc w:val="center"/>
              <w:rPr>
                <w:lang w:val="fr-CH"/>
              </w:rPr>
            </w:pPr>
            <w:r>
              <w:rPr>
                <w:lang w:val="fr-CH"/>
              </w:rPr>
              <w:t>47</w:t>
            </w:r>
          </w:p>
        </w:tc>
      </w:tr>
      <w:tr w:rsidR="002B489A">
        <w:tc>
          <w:tcPr>
            <w:tcW w:w="5261" w:type="dxa"/>
          </w:tcPr>
          <w:p w:rsidR="002B489A" w:rsidRDefault="004F19C4">
            <w:pPr>
              <w:pStyle w:val="Tabletext"/>
              <w:framePr w:hSpace="181" w:wrap="notBeside" w:vAnchor="text" w:hAnchor="text" w:xAlign="center" w:y="1"/>
              <w:rPr>
                <w:lang w:val="fr-CH"/>
              </w:rPr>
            </w:pPr>
            <w:r>
              <w:rPr>
                <w:lang w:val="fr-CH"/>
              </w:rPr>
              <w:t>Paramètres de l'antenne émettrice du satellite</w:t>
            </w:r>
          </w:p>
        </w:tc>
        <w:tc>
          <w:tcPr>
            <w:tcW w:w="3960" w:type="dxa"/>
          </w:tcPr>
          <w:p w:rsidR="002B489A" w:rsidRDefault="002B489A">
            <w:pPr>
              <w:pStyle w:val="Tabletext"/>
              <w:framePr w:hSpace="181" w:wrap="notBeside" w:vAnchor="text" w:hAnchor="text" w:xAlign="center" w:y="1"/>
              <w:jc w:val="center"/>
              <w:rPr>
                <w:lang w:val="fr-CH"/>
              </w:rPr>
            </w:pPr>
          </w:p>
        </w:tc>
      </w:tr>
      <w:tr w:rsidR="002B489A">
        <w:tc>
          <w:tcPr>
            <w:tcW w:w="5261" w:type="dxa"/>
          </w:tcPr>
          <w:p w:rsidR="002B489A" w:rsidRDefault="004F19C4">
            <w:pPr>
              <w:pStyle w:val="Tabletext"/>
              <w:framePr w:hSpace="181" w:wrap="notBeside" w:vAnchor="text" w:hAnchor="text" w:xAlign="center" w:y="1"/>
              <w:rPr>
                <w:lang w:val="en-US"/>
              </w:rPr>
            </w:pPr>
            <w:r>
              <w:rPr>
                <w:lang w:val="en-US"/>
              </w:rPr>
              <w:t>Gain maximal (dBi)</w:t>
            </w:r>
          </w:p>
        </w:tc>
        <w:tc>
          <w:tcPr>
            <w:tcW w:w="3960" w:type="dxa"/>
          </w:tcPr>
          <w:p w:rsidR="002B489A" w:rsidRDefault="004F19C4">
            <w:pPr>
              <w:pStyle w:val="Tabletext"/>
              <w:framePr w:hSpace="181" w:wrap="notBeside" w:vAnchor="text" w:hAnchor="text" w:xAlign="center" w:y="1"/>
              <w:jc w:val="center"/>
              <w:rPr>
                <w:lang w:val="fr-CH"/>
              </w:rPr>
            </w:pPr>
            <w:r>
              <w:rPr>
                <w:lang w:val="fr-CH"/>
              </w:rPr>
              <w:t>33,5</w:t>
            </w:r>
          </w:p>
        </w:tc>
      </w:tr>
      <w:tr w:rsidR="002B489A">
        <w:tc>
          <w:tcPr>
            <w:tcW w:w="5261" w:type="dxa"/>
          </w:tcPr>
          <w:p w:rsidR="002B489A" w:rsidRDefault="004F19C4">
            <w:pPr>
              <w:pStyle w:val="Tabletext"/>
              <w:framePr w:hSpace="181" w:wrap="notBeside" w:vAnchor="text" w:hAnchor="text" w:xAlign="center" w:y="1"/>
              <w:spacing w:before="20"/>
              <w:rPr>
                <w:lang w:val="fr-CH"/>
              </w:rPr>
            </w:pPr>
            <w:r>
              <w:rPr>
                <w:lang w:val="fr-CH"/>
              </w:rPr>
              <w:t>Gain ou diagramme de lobe latéral</w:t>
            </w:r>
          </w:p>
        </w:tc>
        <w:tc>
          <w:tcPr>
            <w:tcW w:w="3960" w:type="dxa"/>
          </w:tcPr>
          <w:p w:rsidR="002B489A" w:rsidRDefault="004F19C4">
            <w:pPr>
              <w:pStyle w:val="Tabletext"/>
              <w:framePr w:hSpace="181" w:wrap="notBeside" w:vAnchor="text" w:hAnchor="text" w:xAlign="center" w:y="1"/>
              <w:spacing w:before="20"/>
              <w:jc w:val="center"/>
              <w:rPr>
                <w:lang w:val="fr-CH"/>
              </w:rPr>
            </w:pPr>
            <w:r>
              <w:rPr>
                <w:lang w:val="fr-CH"/>
              </w:rPr>
              <w:t>18 dB au-dessous de la crête (lobes arrières à 25 dB au-dessous de la crête)</w:t>
            </w:r>
          </w:p>
        </w:tc>
      </w:tr>
    </w:tbl>
    <w:p w:rsidR="002B489A" w:rsidRDefault="002B489A">
      <w:pPr>
        <w:pStyle w:val="Tablefin"/>
      </w:pPr>
    </w:p>
    <w:p w:rsidR="002B489A" w:rsidRDefault="004F19C4">
      <w:pPr>
        <w:pStyle w:val="Heading3"/>
        <w:ind w:left="0" w:firstLine="0"/>
        <w:rPr>
          <w:lang w:val="fr-CH"/>
        </w:rPr>
      </w:pPr>
      <w:r>
        <w:rPr>
          <w:lang w:val="fr-CH"/>
        </w:rPr>
        <w:t>2.4.2</w:t>
      </w:r>
      <w:r>
        <w:rPr>
          <w:lang w:val="fr-CH"/>
        </w:rPr>
        <w:tab/>
        <w:t>Réseaux non OSG</w:t>
      </w:r>
    </w:p>
    <w:p w:rsidR="002B489A" w:rsidRDefault="004F19C4">
      <w:pPr>
        <w:pStyle w:val="TableNo"/>
        <w:rPr>
          <w:lang w:val="fr-CH"/>
        </w:rPr>
      </w:pPr>
      <w:r>
        <w:rPr>
          <w:lang w:val="fr-CH"/>
        </w:rPr>
        <w:t>TABLEAU  15</w:t>
      </w:r>
    </w:p>
    <w:p w:rsidR="002B489A" w:rsidRDefault="004F19C4">
      <w:pPr>
        <w:pStyle w:val="Tabletitle"/>
        <w:rPr>
          <w:lang w:val="fr-CH"/>
        </w:rPr>
      </w:pPr>
      <w:r>
        <w:rPr>
          <w:lang w:val="fr-CH"/>
        </w:rPr>
        <w:t>Caractéristiques techniques d'un réseau SFS non OSG, FSAT-MULTI 1-B</w:t>
      </w:r>
    </w:p>
    <w:tbl>
      <w:tblPr>
        <w:tblW w:w="9639"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A0" w:firstRow="1" w:lastRow="0" w:firstColumn="1" w:lastColumn="0" w:noHBand="0" w:noVBand="0"/>
      </w:tblPr>
      <w:tblGrid>
        <w:gridCol w:w="3415"/>
        <w:gridCol w:w="3530"/>
        <w:gridCol w:w="2694"/>
      </w:tblGrid>
      <w:tr w:rsidR="002B489A">
        <w:trPr>
          <w:cantSplit/>
          <w:trHeight w:val="68"/>
        </w:trPr>
        <w:tc>
          <w:tcPr>
            <w:tcW w:w="3189" w:type="dxa"/>
            <w:vMerge w:val="restart"/>
            <w:vAlign w:val="center"/>
          </w:tcPr>
          <w:p w:rsidR="002B489A" w:rsidRDefault="004F19C4">
            <w:pPr>
              <w:pStyle w:val="Tabletext"/>
              <w:framePr w:hSpace="181" w:wrap="notBeside" w:vAnchor="text" w:hAnchor="text" w:xAlign="center" w:y="1"/>
              <w:jc w:val="left"/>
              <w:rPr>
                <w:caps/>
                <w:lang w:val="fr-CH"/>
              </w:rPr>
            </w:pPr>
            <w:r>
              <w:rPr>
                <w:lang w:val="fr-CH"/>
              </w:rPr>
              <w:t>Paramètres orbitaux</w:t>
            </w:r>
          </w:p>
        </w:tc>
        <w:tc>
          <w:tcPr>
            <w:tcW w:w="3296" w:type="dxa"/>
          </w:tcPr>
          <w:p w:rsidR="002B489A" w:rsidRDefault="004F19C4">
            <w:pPr>
              <w:pStyle w:val="Tabletext"/>
              <w:framePr w:hSpace="181" w:wrap="notBeside" w:vAnchor="text" w:hAnchor="text" w:xAlign="center" w:y="1"/>
              <w:jc w:val="left"/>
              <w:rPr>
                <w:lang w:val="fr-CH"/>
              </w:rPr>
            </w:pPr>
            <w:r>
              <w:rPr>
                <w:lang w:val="fr-CH"/>
              </w:rPr>
              <w:t>Forme de l'orbite</w:t>
            </w:r>
          </w:p>
        </w:tc>
        <w:tc>
          <w:tcPr>
            <w:tcW w:w="2516" w:type="dxa"/>
          </w:tcPr>
          <w:p w:rsidR="002B489A" w:rsidRDefault="004F19C4">
            <w:pPr>
              <w:pStyle w:val="Tabletext"/>
              <w:framePr w:hSpace="181" w:wrap="notBeside" w:vAnchor="text" w:hAnchor="text" w:xAlign="center" w:y="1"/>
              <w:jc w:val="center"/>
              <w:rPr>
                <w:caps/>
                <w:lang w:val="fr-CH"/>
              </w:rPr>
            </w:pPr>
            <w:r>
              <w:rPr>
                <w:lang w:val="fr-CH"/>
              </w:rPr>
              <w:t>Circulaire</w:t>
            </w:r>
          </w:p>
        </w:tc>
      </w:tr>
      <w:tr w:rsidR="002B489A">
        <w:trPr>
          <w:cantSplit/>
          <w:trHeight w:val="68"/>
        </w:trPr>
        <w:tc>
          <w:tcPr>
            <w:tcW w:w="3415" w:type="dxa"/>
            <w:vMerge/>
          </w:tcPr>
          <w:p w:rsidR="002B489A" w:rsidRDefault="002B489A">
            <w:pPr>
              <w:pStyle w:val="Tabletext"/>
              <w:framePr w:hSpace="181" w:wrap="notBeside" w:vAnchor="text" w:hAnchor="text" w:xAlign="center" w:y="1"/>
              <w:jc w:val="left"/>
              <w:rPr>
                <w:lang w:val="fr-CH"/>
              </w:rPr>
            </w:pPr>
          </w:p>
        </w:tc>
        <w:tc>
          <w:tcPr>
            <w:tcW w:w="3296" w:type="dxa"/>
          </w:tcPr>
          <w:p w:rsidR="002B489A" w:rsidRDefault="004F19C4">
            <w:pPr>
              <w:pStyle w:val="Tabletext"/>
              <w:framePr w:hSpace="181" w:wrap="notBeside" w:vAnchor="text" w:hAnchor="text" w:xAlign="center" w:y="1"/>
              <w:jc w:val="left"/>
              <w:rPr>
                <w:caps/>
                <w:lang w:val="fr-CH"/>
              </w:rPr>
            </w:pPr>
            <w:r>
              <w:rPr>
                <w:caps/>
                <w:lang w:val="fr-CH"/>
              </w:rPr>
              <w:t>A</w:t>
            </w:r>
            <w:r>
              <w:rPr>
                <w:lang w:val="fr-CH"/>
              </w:rPr>
              <w:t>ltitude (km)</w:t>
            </w:r>
          </w:p>
        </w:tc>
        <w:tc>
          <w:tcPr>
            <w:tcW w:w="2516" w:type="dxa"/>
          </w:tcPr>
          <w:p w:rsidR="002B489A" w:rsidRDefault="004F19C4">
            <w:pPr>
              <w:pStyle w:val="Tabletext"/>
              <w:framePr w:hSpace="181" w:wrap="notBeside" w:vAnchor="text" w:hAnchor="text" w:xAlign="center" w:y="1"/>
              <w:jc w:val="center"/>
              <w:rPr>
                <w:lang w:val="fr-CH"/>
              </w:rPr>
            </w:pPr>
            <w:r>
              <w:rPr>
                <w:lang w:val="fr-CH"/>
              </w:rPr>
              <w:t>1</w:t>
            </w:r>
            <w:r>
              <w:rPr>
                <w:rFonts w:ascii="Tms Rmn" w:hAnsi="Tms Rmn"/>
                <w:sz w:val="12"/>
                <w:lang w:val="fr-CH"/>
              </w:rPr>
              <w:t> </w:t>
            </w:r>
            <w:r>
              <w:rPr>
                <w:lang w:val="fr-CH"/>
              </w:rPr>
              <w:t>457</w:t>
            </w:r>
          </w:p>
        </w:tc>
      </w:tr>
      <w:tr w:rsidR="002B489A">
        <w:trPr>
          <w:cantSplit/>
          <w:trHeight w:val="68"/>
        </w:trPr>
        <w:tc>
          <w:tcPr>
            <w:tcW w:w="3415" w:type="dxa"/>
            <w:vMerge/>
          </w:tcPr>
          <w:p w:rsidR="002B489A" w:rsidRDefault="002B489A">
            <w:pPr>
              <w:pStyle w:val="Tabletext"/>
              <w:framePr w:hSpace="181" w:wrap="notBeside" w:vAnchor="text" w:hAnchor="text" w:xAlign="center" w:y="1"/>
              <w:jc w:val="left"/>
              <w:rPr>
                <w:lang w:val="fr-CH"/>
              </w:rPr>
            </w:pPr>
          </w:p>
        </w:tc>
        <w:tc>
          <w:tcPr>
            <w:tcW w:w="3296" w:type="dxa"/>
          </w:tcPr>
          <w:p w:rsidR="002B489A" w:rsidRDefault="004F19C4">
            <w:pPr>
              <w:pStyle w:val="Tabletext"/>
              <w:framePr w:hSpace="181" w:wrap="notBeside" w:vAnchor="text" w:hAnchor="text" w:xAlign="center" w:y="1"/>
              <w:jc w:val="left"/>
              <w:rPr>
                <w:lang w:val="fr-CH"/>
              </w:rPr>
            </w:pPr>
            <w:r>
              <w:rPr>
                <w:lang w:val="fr-CH"/>
              </w:rPr>
              <w:t>Angle d'inclinaison (degrés)</w:t>
            </w:r>
          </w:p>
        </w:tc>
        <w:tc>
          <w:tcPr>
            <w:tcW w:w="2516" w:type="dxa"/>
          </w:tcPr>
          <w:p w:rsidR="002B489A" w:rsidRDefault="004F19C4">
            <w:pPr>
              <w:pStyle w:val="Tabletext"/>
              <w:framePr w:hSpace="181" w:wrap="notBeside" w:vAnchor="text" w:hAnchor="text" w:xAlign="center" w:y="1"/>
              <w:jc w:val="center"/>
              <w:rPr>
                <w:lang w:val="fr-CH"/>
              </w:rPr>
            </w:pPr>
            <w:r>
              <w:rPr>
                <w:lang w:val="fr-CH"/>
              </w:rPr>
              <w:t>55</w:t>
            </w:r>
          </w:p>
        </w:tc>
      </w:tr>
      <w:tr w:rsidR="002B489A">
        <w:trPr>
          <w:cantSplit/>
          <w:trHeight w:val="68"/>
        </w:trPr>
        <w:tc>
          <w:tcPr>
            <w:tcW w:w="3415" w:type="dxa"/>
            <w:vMerge/>
          </w:tcPr>
          <w:p w:rsidR="002B489A" w:rsidRDefault="002B489A">
            <w:pPr>
              <w:pStyle w:val="Tabletext"/>
              <w:framePr w:hSpace="181" w:wrap="notBeside" w:vAnchor="text" w:hAnchor="text" w:xAlign="center" w:y="1"/>
              <w:jc w:val="left"/>
              <w:rPr>
                <w:lang w:val="fr-CH"/>
              </w:rPr>
            </w:pPr>
          </w:p>
        </w:tc>
        <w:tc>
          <w:tcPr>
            <w:tcW w:w="3296" w:type="dxa"/>
          </w:tcPr>
          <w:p w:rsidR="002B489A" w:rsidRDefault="004F19C4">
            <w:pPr>
              <w:pStyle w:val="Tabletext"/>
              <w:framePr w:hSpace="181" w:wrap="notBeside" w:vAnchor="text" w:hAnchor="text" w:xAlign="center" w:y="1"/>
              <w:jc w:val="left"/>
              <w:rPr>
                <w:lang w:val="fr-CH"/>
              </w:rPr>
            </w:pPr>
            <w:r>
              <w:rPr>
                <w:lang w:val="fr-CH"/>
              </w:rPr>
              <w:t>Nombre de satellites par plan</w:t>
            </w:r>
          </w:p>
        </w:tc>
        <w:tc>
          <w:tcPr>
            <w:tcW w:w="2516" w:type="dxa"/>
          </w:tcPr>
          <w:p w:rsidR="002B489A" w:rsidRDefault="004F19C4">
            <w:pPr>
              <w:pStyle w:val="Tabletext"/>
              <w:framePr w:hSpace="181" w:wrap="notBeside" w:vAnchor="text" w:hAnchor="text" w:xAlign="center" w:y="1"/>
              <w:jc w:val="center"/>
              <w:rPr>
                <w:lang w:val="fr-CH"/>
              </w:rPr>
            </w:pPr>
            <w:r>
              <w:rPr>
                <w:lang w:val="fr-CH"/>
              </w:rPr>
              <w:t>4</w:t>
            </w:r>
          </w:p>
        </w:tc>
      </w:tr>
      <w:tr w:rsidR="002B489A">
        <w:trPr>
          <w:cantSplit/>
          <w:trHeight w:val="68"/>
        </w:trPr>
        <w:tc>
          <w:tcPr>
            <w:tcW w:w="3415" w:type="dxa"/>
            <w:vMerge/>
          </w:tcPr>
          <w:p w:rsidR="002B489A" w:rsidRDefault="002B489A">
            <w:pPr>
              <w:pStyle w:val="Tabletext"/>
              <w:framePr w:hSpace="181" w:wrap="notBeside" w:vAnchor="text" w:hAnchor="text" w:xAlign="center" w:y="1"/>
              <w:jc w:val="left"/>
              <w:rPr>
                <w:lang w:val="fr-CH"/>
              </w:rPr>
            </w:pPr>
          </w:p>
        </w:tc>
        <w:tc>
          <w:tcPr>
            <w:tcW w:w="3296" w:type="dxa"/>
          </w:tcPr>
          <w:p w:rsidR="002B489A" w:rsidRDefault="004F19C4">
            <w:pPr>
              <w:pStyle w:val="Tabletext"/>
              <w:framePr w:hSpace="181" w:wrap="notBeside" w:vAnchor="text" w:hAnchor="text" w:xAlign="center" w:y="1"/>
              <w:jc w:val="left"/>
              <w:rPr>
                <w:lang w:val="fr-CH"/>
              </w:rPr>
            </w:pPr>
            <w:r>
              <w:rPr>
                <w:lang w:val="fr-CH"/>
              </w:rPr>
              <w:t>Nombre de plans orbitaux</w:t>
            </w:r>
          </w:p>
        </w:tc>
        <w:tc>
          <w:tcPr>
            <w:tcW w:w="2516" w:type="dxa"/>
          </w:tcPr>
          <w:p w:rsidR="002B489A" w:rsidRDefault="004F19C4">
            <w:pPr>
              <w:pStyle w:val="Tabletext"/>
              <w:framePr w:hSpace="181" w:wrap="notBeside" w:vAnchor="text" w:hAnchor="text" w:xAlign="center" w:y="1"/>
              <w:jc w:val="center"/>
              <w:rPr>
                <w:lang w:val="fr-CH"/>
              </w:rPr>
            </w:pPr>
            <w:r>
              <w:rPr>
                <w:lang w:val="fr-CH"/>
              </w:rPr>
              <w:t>16</w:t>
            </w:r>
          </w:p>
        </w:tc>
      </w:tr>
      <w:tr w:rsidR="002B489A">
        <w:trPr>
          <w:cantSplit/>
          <w:trHeight w:val="68"/>
        </w:trPr>
        <w:tc>
          <w:tcPr>
            <w:tcW w:w="3415" w:type="dxa"/>
            <w:vMerge/>
          </w:tcPr>
          <w:p w:rsidR="002B489A" w:rsidRDefault="002B489A">
            <w:pPr>
              <w:pStyle w:val="Tabletext"/>
              <w:framePr w:hSpace="181" w:wrap="notBeside" w:vAnchor="text" w:hAnchor="text" w:xAlign="center" w:y="1"/>
              <w:jc w:val="left"/>
              <w:rPr>
                <w:lang w:val="fr-CH"/>
              </w:rPr>
            </w:pPr>
          </w:p>
        </w:tc>
        <w:tc>
          <w:tcPr>
            <w:tcW w:w="3296" w:type="dxa"/>
          </w:tcPr>
          <w:p w:rsidR="002B489A" w:rsidRDefault="004F19C4">
            <w:pPr>
              <w:pStyle w:val="Tabletext"/>
              <w:framePr w:hSpace="181" w:wrap="notBeside" w:vAnchor="text" w:hAnchor="text" w:xAlign="center" w:y="1"/>
              <w:jc w:val="left"/>
              <w:rPr>
                <w:lang w:val="fr-CH"/>
              </w:rPr>
            </w:pPr>
            <w:r>
              <w:rPr>
                <w:lang w:val="fr-CH"/>
              </w:rPr>
              <w:t>Espacement angulaire des satellites entre plans (degrés)</w:t>
            </w:r>
          </w:p>
        </w:tc>
        <w:tc>
          <w:tcPr>
            <w:tcW w:w="2516" w:type="dxa"/>
          </w:tcPr>
          <w:p w:rsidR="002B489A" w:rsidRDefault="004F19C4">
            <w:pPr>
              <w:pStyle w:val="Tabletext"/>
              <w:framePr w:hSpace="181" w:wrap="notBeside" w:vAnchor="text" w:hAnchor="text" w:xAlign="center" w:y="1"/>
              <w:jc w:val="center"/>
              <w:rPr>
                <w:lang w:val="fr-CH"/>
              </w:rPr>
            </w:pPr>
            <w:r>
              <w:rPr>
                <w:lang w:val="fr-CH"/>
              </w:rPr>
              <w:t>90</w:t>
            </w:r>
          </w:p>
        </w:tc>
      </w:tr>
      <w:tr w:rsidR="002B489A">
        <w:trPr>
          <w:cantSplit/>
        </w:trPr>
        <w:tc>
          <w:tcPr>
            <w:tcW w:w="3189" w:type="dxa"/>
          </w:tcPr>
          <w:p w:rsidR="002B489A" w:rsidRDefault="004F19C4">
            <w:pPr>
              <w:pStyle w:val="Tabletext"/>
              <w:framePr w:hSpace="181" w:wrap="notBeside" w:vAnchor="text" w:hAnchor="text" w:xAlign="center" w:y="1"/>
              <w:jc w:val="left"/>
              <w:rPr>
                <w:lang w:val="fr-CH"/>
              </w:rPr>
            </w:pPr>
            <w:r>
              <w:rPr>
                <w:lang w:val="fr-CH"/>
              </w:rPr>
              <w:t>Fréquence de la liaison descendante (GHz)</w:t>
            </w:r>
          </w:p>
        </w:tc>
        <w:tc>
          <w:tcPr>
            <w:tcW w:w="5812" w:type="dxa"/>
            <w:gridSpan w:val="2"/>
          </w:tcPr>
          <w:p w:rsidR="002B489A" w:rsidRDefault="004F19C4">
            <w:pPr>
              <w:pStyle w:val="Tabletext"/>
              <w:framePr w:hSpace="181" w:wrap="notBeside" w:vAnchor="text" w:hAnchor="text" w:xAlign="center" w:y="1"/>
              <w:jc w:val="center"/>
              <w:rPr>
                <w:lang w:val="fr-CH"/>
              </w:rPr>
            </w:pPr>
            <w:r>
              <w:rPr>
                <w:lang w:val="fr-CH"/>
              </w:rPr>
              <w:t>11</w:t>
            </w:r>
            <w:r>
              <w:rPr>
                <w:lang w:val="fr-CH"/>
              </w:rPr>
              <w:noBreakHyphen/>
              <w:t>12</w:t>
            </w:r>
          </w:p>
        </w:tc>
      </w:tr>
      <w:tr w:rsidR="002B489A">
        <w:trPr>
          <w:cantSplit/>
        </w:trPr>
        <w:tc>
          <w:tcPr>
            <w:tcW w:w="3189" w:type="dxa"/>
          </w:tcPr>
          <w:p w:rsidR="002B489A" w:rsidRDefault="004F19C4">
            <w:pPr>
              <w:pStyle w:val="Tabletext"/>
              <w:framePr w:hSpace="181" w:wrap="notBeside" w:vAnchor="text" w:hAnchor="text" w:xAlign="center" w:y="1"/>
              <w:jc w:val="left"/>
              <w:rPr>
                <w:lang w:val="fr-CH"/>
              </w:rPr>
            </w:pPr>
            <w:r>
              <w:rPr>
                <w:lang w:val="fr-CH"/>
              </w:rPr>
              <w:t>Besoins de spectre (MHz)</w:t>
            </w:r>
          </w:p>
        </w:tc>
        <w:tc>
          <w:tcPr>
            <w:tcW w:w="5812" w:type="dxa"/>
            <w:gridSpan w:val="2"/>
          </w:tcPr>
          <w:p w:rsidR="002B489A" w:rsidRDefault="004F19C4">
            <w:pPr>
              <w:pStyle w:val="Tabletext"/>
              <w:framePr w:hSpace="181" w:wrap="notBeside" w:vAnchor="text" w:hAnchor="text" w:xAlign="center" w:y="1"/>
              <w:jc w:val="center"/>
              <w:rPr>
                <w:lang w:val="fr-CH"/>
              </w:rPr>
            </w:pPr>
            <w:r>
              <w:rPr>
                <w:lang w:val="fr-CH"/>
              </w:rPr>
              <w:t>1</w:t>
            </w:r>
            <w:r>
              <w:rPr>
                <w:rFonts w:ascii="Tms Rmn" w:hAnsi="Tms Rmn"/>
                <w:sz w:val="12"/>
                <w:lang w:val="fr-CH"/>
              </w:rPr>
              <w:t> </w:t>
            </w:r>
            <w:r>
              <w:rPr>
                <w:lang w:val="fr-CH"/>
              </w:rPr>
              <w:t>000</w:t>
            </w:r>
          </w:p>
        </w:tc>
      </w:tr>
      <w:tr w:rsidR="002B489A">
        <w:trPr>
          <w:cantSplit/>
          <w:trHeight w:val="102"/>
        </w:trPr>
        <w:tc>
          <w:tcPr>
            <w:tcW w:w="3189" w:type="dxa"/>
          </w:tcPr>
          <w:p w:rsidR="002B489A" w:rsidRDefault="004F19C4">
            <w:pPr>
              <w:pStyle w:val="Tabletext"/>
              <w:framePr w:hSpace="181" w:wrap="notBeside" w:vAnchor="text" w:hAnchor="text" w:xAlign="center" w:y="1"/>
              <w:jc w:val="left"/>
              <w:rPr>
                <w:lang w:val="fr-CH"/>
              </w:rPr>
            </w:pPr>
            <w:r>
              <w:rPr>
                <w:lang w:val="fr-CH"/>
              </w:rPr>
              <w:t>Paramètres de transmission de la porteuse</w:t>
            </w:r>
          </w:p>
        </w:tc>
        <w:tc>
          <w:tcPr>
            <w:tcW w:w="3296" w:type="dxa"/>
          </w:tcPr>
          <w:p w:rsidR="002B489A" w:rsidRDefault="004F19C4">
            <w:pPr>
              <w:pStyle w:val="Tabletext"/>
              <w:framePr w:hSpace="181" w:wrap="notBeside" w:vAnchor="text" w:hAnchor="text" w:xAlign="center" w:y="1"/>
              <w:jc w:val="left"/>
              <w:rPr>
                <w:lang w:val="fr-CH"/>
              </w:rPr>
            </w:pPr>
            <w:r>
              <w:rPr>
                <w:lang w:val="fr-CH"/>
              </w:rPr>
              <w:t>p.i.r.e./porteuse de la liaison descendante (dBW)</w:t>
            </w:r>
          </w:p>
        </w:tc>
        <w:tc>
          <w:tcPr>
            <w:tcW w:w="2516"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s>
              <w:ind w:left="288"/>
              <w:jc w:val="left"/>
              <w:rPr>
                <w:lang w:val="fr-CH"/>
              </w:rPr>
            </w:pPr>
            <w:r>
              <w:rPr>
                <w:lang w:val="fr-CH"/>
              </w:rPr>
              <w:t>à 90°: 17,5 et 4,8</w:t>
            </w:r>
            <w:r>
              <w:rPr>
                <w:lang w:val="fr-CH"/>
              </w:rPr>
              <w:br/>
              <w:t>à 75°: 19,7 et 7,1</w:t>
            </w:r>
            <w:r>
              <w:rPr>
                <w:lang w:val="fr-CH"/>
              </w:rPr>
              <w:br/>
              <w:t>à 50°: 21,2 et 8,6</w:t>
            </w:r>
            <w:r>
              <w:rPr>
                <w:lang w:val="fr-CH"/>
              </w:rPr>
              <w:br/>
              <w:t>à 32°: 23,1 et 10,2</w:t>
            </w:r>
          </w:p>
        </w:tc>
      </w:tr>
      <w:tr w:rsidR="002B489A">
        <w:trPr>
          <w:cantSplit/>
        </w:trPr>
        <w:tc>
          <w:tcPr>
            <w:tcW w:w="3189" w:type="dxa"/>
            <w:vAlign w:val="center"/>
          </w:tcPr>
          <w:p w:rsidR="002B489A" w:rsidRDefault="004F19C4">
            <w:pPr>
              <w:pStyle w:val="Tabletext"/>
              <w:framePr w:hSpace="181" w:wrap="notBeside" w:vAnchor="text" w:hAnchor="text" w:xAlign="center" w:y="1"/>
              <w:jc w:val="left"/>
              <w:rPr>
                <w:lang w:val="fr-CH"/>
              </w:rPr>
            </w:pPr>
            <w:r>
              <w:rPr>
                <w:lang w:val="fr-CH"/>
              </w:rPr>
              <w:t>Gain de l'antenne du satellite à l'émission (dBi)</w:t>
            </w:r>
          </w:p>
        </w:tc>
        <w:tc>
          <w:tcPr>
            <w:tcW w:w="5812" w:type="dxa"/>
            <w:gridSpan w:val="2"/>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324"/>
              <w:jc w:val="left"/>
              <w:rPr>
                <w:lang w:val="fr-CH"/>
              </w:rPr>
            </w:pPr>
            <w:r>
              <w:rPr>
                <w:lang w:val="fr-CH"/>
              </w:rPr>
              <w:t>A 90°: 17,2</w:t>
            </w:r>
            <w:r>
              <w:rPr>
                <w:lang w:val="fr-CH"/>
              </w:rPr>
              <w:br/>
              <w:t>A 75°: 19,8</w:t>
            </w:r>
            <w:r>
              <w:rPr>
                <w:lang w:val="fr-CH"/>
              </w:rPr>
              <w:br/>
              <w:t>A 50°: 21,7</w:t>
            </w:r>
            <w:r>
              <w:rPr>
                <w:lang w:val="fr-CH"/>
              </w:rPr>
              <w:br/>
              <w:t>A 32°: 23</w:t>
            </w:r>
          </w:p>
        </w:tc>
      </w:tr>
    </w:tbl>
    <w:p w:rsidR="002B489A" w:rsidRDefault="002B489A">
      <w:pPr>
        <w:pStyle w:val="Tablefin"/>
        <w:rPr>
          <w:lang w:val="fr-CH"/>
        </w:rPr>
      </w:pPr>
    </w:p>
    <w:p w:rsidR="002B489A" w:rsidRDefault="004F19C4">
      <w:pPr>
        <w:pStyle w:val="Heading3"/>
        <w:rPr>
          <w:i/>
          <w:iCs/>
          <w:lang w:val="fr-CH"/>
        </w:rPr>
      </w:pPr>
      <w:r>
        <w:rPr>
          <w:lang w:val="fr-CH"/>
        </w:rPr>
        <w:br w:type="page"/>
        <w:t>2.4.3</w:t>
      </w:r>
      <w:r>
        <w:rPr>
          <w:lang w:val="fr-CH"/>
        </w:rPr>
        <w:tab/>
        <w:t xml:space="preserve">Réseaux à orbite fortement elliptique (HEO, </w:t>
      </w:r>
      <w:r>
        <w:rPr>
          <w:i/>
          <w:iCs/>
          <w:lang w:val="fr-CH"/>
        </w:rPr>
        <w:t>highly elliptical orbit</w:t>
      </w:r>
      <w:r>
        <w:rPr>
          <w:lang w:val="fr-CH"/>
        </w:rPr>
        <w:t>)</w:t>
      </w:r>
    </w:p>
    <w:p w:rsidR="002B489A" w:rsidRDefault="004F19C4">
      <w:pPr>
        <w:pStyle w:val="TableNo"/>
        <w:rPr>
          <w:lang w:val="fr-CH"/>
        </w:rPr>
      </w:pPr>
      <w:r>
        <w:rPr>
          <w:lang w:val="fr-CH"/>
        </w:rPr>
        <w:t>TABLEAU  16</w:t>
      </w:r>
    </w:p>
    <w:p w:rsidR="002B489A" w:rsidRDefault="004F19C4">
      <w:pPr>
        <w:pStyle w:val="Tabletitle"/>
        <w:rPr>
          <w:lang w:val="fr-CH"/>
        </w:rPr>
      </w:pPr>
      <w:r>
        <w:rPr>
          <w:lang w:val="fr-CH"/>
        </w:rPr>
        <w:t>Caractéristiques du réseau USAKU-H1</w:t>
      </w:r>
    </w:p>
    <w:tbl>
      <w:tblPr>
        <w:tblW w:w="9639"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A0" w:firstRow="1" w:lastRow="0" w:firstColumn="1" w:lastColumn="0" w:noHBand="0" w:noVBand="0"/>
      </w:tblPr>
      <w:tblGrid>
        <w:gridCol w:w="5617"/>
        <w:gridCol w:w="4022"/>
      </w:tblGrid>
      <w:tr w:rsidR="002B489A">
        <w:tc>
          <w:tcPr>
            <w:tcW w:w="5386" w:type="dxa"/>
          </w:tcPr>
          <w:p w:rsidR="002B489A" w:rsidRDefault="004F19C4">
            <w:pPr>
              <w:pStyle w:val="Tablehead"/>
              <w:framePr w:hSpace="181" w:wrap="notBeside" w:vAnchor="text" w:hAnchor="text" w:xAlign="center" w:y="1"/>
              <w:rPr>
                <w:lang w:val="fr-CH"/>
              </w:rPr>
            </w:pPr>
            <w:r>
              <w:rPr>
                <w:lang w:val="fr-CH"/>
              </w:rPr>
              <w:t>Paramètres</w:t>
            </w:r>
          </w:p>
        </w:tc>
        <w:tc>
          <w:tcPr>
            <w:tcW w:w="3857" w:type="dxa"/>
          </w:tcPr>
          <w:p w:rsidR="002B489A" w:rsidRDefault="004F19C4">
            <w:pPr>
              <w:pStyle w:val="Tablehead"/>
              <w:framePr w:hSpace="181" w:wrap="notBeside" w:vAnchor="text" w:hAnchor="text" w:xAlign="center" w:y="1"/>
              <w:rPr>
                <w:lang w:val="fr-CH"/>
              </w:rPr>
            </w:pPr>
            <w:r>
              <w:rPr>
                <w:lang w:val="fr-CH"/>
              </w:rPr>
              <w:t>USAKU-H1</w:t>
            </w:r>
          </w:p>
        </w:tc>
      </w:tr>
      <w:tr w:rsidR="002B489A">
        <w:tc>
          <w:tcPr>
            <w:tcW w:w="5386" w:type="dxa"/>
          </w:tcPr>
          <w:p w:rsidR="002B489A" w:rsidRDefault="004F19C4">
            <w:pPr>
              <w:pStyle w:val="Tabletext"/>
              <w:framePr w:hSpace="181" w:wrap="notBeside" w:vAnchor="text" w:hAnchor="text" w:xAlign="center" w:y="1"/>
              <w:rPr>
                <w:lang w:val="fr-CH"/>
              </w:rPr>
            </w:pPr>
            <w:r>
              <w:rPr>
                <w:lang w:val="fr-CH"/>
              </w:rPr>
              <w:t>Gamme de fréquences de la liaison descendante (GHz)</w:t>
            </w:r>
          </w:p>
        </w:tc>
        <w:tc>
          <w:tcPr>
            <w:tcW w:w="3857" w:type="dxa"/>
          </w:tcPr>
          <w:p w:rsidR="002B489A" w:rsidRDefault="004F19C4">
            <w:pPr>
              <w:pStyle w:val="Tabletext"/>
              <w:framePr w:hSpace="181" w:wrap="notBeside" w:vAnchor="text" w:hAnchor="text" w:xAlign="center" w:y="1"/>
              <w:jc w:val="center"/>
              <w:rPr>
                <w:lang w:val="fr-CH"/>
              </w:rPr>
            </w:pPr>
            <w:r>
              <w:rPr>
                <w:lang w:val="fr-CH"/>
              </w:rPr>
              <w:t>10,7 à 12,7</w:t>
            </w:r>
          </w:p>
        </w:tc>
      </w:tr>
      <w:tr w:rsidR="002B489A">
        <w:tc>
          <w:tcPr>
            <w:tcW w:w="5386" w:type="dxa"/>
          </w:tcPr>
          <w:p w:rsidR="002B489A" w:rsidRDefault="004F19C4">
            <w:pPr>
              <w:pStyle w:val="Tabletext"/>
              <w:framePr w:hSpace="181" w:wrap="notBeside" w:vAnchor="text" w:hAnchor="text" w:xAlign="center" w:y="1"/>
              <w:rPr>
                <w:lang w:val="fr-CH"/>
              </w:rPr>
            </w:pPr>
            <w:r>
              <w:rPr>
                <w:lang w:val="fr-CH"/>
              </w:rPr>
              <w:t>Paramètres orbitaux</w:t>
            </w:r>
          </w:p>
        </w:tc>
        <w:tc>
          <w:tcPr>
            <w:tcW w:w="3857" w:type="dxa"/>
          </w:tcPr>
          <w:p w:rsidR="002B489A" w:rsidRDefault="004F19C4">
            <w:pPr>
              <w:pStyle w:val="Tabletext"/>
              <w:framePr w:hSpace="181" w:wrap="notBeside" w:vAnchor="text" w:hAnchor="text" w:xAlign="center" w:y="1"/>
              <w:jc w:val="center"/>
              <w:rPr>
                <w:lang w:val="fr-CH"/>
              </w:rPr>
            </w:pPr>
            <w:r>
              <w:rPr>
                <w:lang w:val="fr-CH"/>
              </w:rPr>
              <w:t>Elliptique/HEO: 41 449 km (apogée)/</w:t>
            </w:r>
            <w:r>
              <w:rPr>
                <w:lang w:val="fr-CH"/>
              </w:rPr>
              <w:br/>
              <w:t>4</w:t>
            </w:r>
            <w:r>
              <w:rPr>
                <w:rFonts w:ascii="Tms Rmn" w:hAnsi="Tms Rmn"/>
                <w:sz w:val="12"/>
                <w:lang w:val="fr-CH"/>
              </w:rPr>
              <w:t> </w:t>
            </w:r>
            <w:r>
              <w:rPr>
                <w:lang w:val="fr-CH"/>
              </w:rPr>
              <w:t>100 km (périgée)</w:t>
            </w:r>
          </w:p>
        </w:tc>
      </w:tr>
      <w:tr w:rsidR="002B489A">
        <w:tc>
          <w:tcPr>
            <w:tcW w:w="5386" w:type="dxa"/>
          </w:tcPr>
          <w:p w:rsidR="002B489A" w:rsidRDefault="004F19C4">
            <w:pPr>
              <w:pStyle w:val="Tabletext"/>
              <w:framePr w:hSpace="181" w:wrap="notBeside" w:vAnchor="text" w:hAnchor="text" w:xAlign="center" w:y="1"/>
              <w:rPr>
                <w:lang w:val="fr-CH"/>
              </w:rPr>
            </w:pPr>
            <w:r>
              <w:rPr>
                <w:lang w:val="fr-CH"/>
              </w:rPr>
              <w:t>Besoins de spectre (MHz)</w:t>
            </w:r>
          </w:p>
        </w:tc>
        <w:tc>
          <w:tcPr>
            <w:tcW w:w="3857" w:type="dxa"/>
          </w:tcPr>
          <w:p w:rsidR="002B489A" w:rsidRDefault="002B489A">
            <w:pPr>
              <w:pStyle w:val="Tabletext"/>
              <w:framePr w:hSpace="181" w:wrap="notBeside" w:vAnchor="text" w:hAnchor="text" w:xAlign="center" w:y="1"/>
              <w:jc w:val="center"/>
              <w:rPr>
                <w:lang w:val="fr-CH"/>
              </w:rPr>
            </w:pPr>
          </w:p>
        </w:tc>
      </w:tr>
      <w:tr w:rsidR="002B489A">
        <w:tc>
          <w:tcPr>
            <w:tcW w:w="5386" w:type="dxa"/>
          </w:tcPr>
          <w:p w:rsidR="002B489A" w:rsidRDefault="004F19C4">
            <w:pPr>
              <w:pStyle w:val="Tabletext"/>
              <w:framePr w:hSpace="181" w:wrap="notBeside" w:vAnchor="text" w:hAnchor="text" w:xAlign="center" w:y="1"/>
              <w:rPr>
                <w:lang w:val="fr-CH"/>
              </w:rPr>
            </w:pPr>
            <w:r>
              <w:rPr>
                <w:lang w:val="fr-CH"/>
              </w:rPr>
              <w:t>Technique de modulation de la porteuse</w:t>
            </w:r>
          </w:p>
        </w:tc>
        <w:tc>
          <w:tcPr>
            <w:tcW w:w="3857" w:type="dxa"/>
          </w:tcPr>
          <w:p w:rsidR="002B489A" w:rsidRDefault="004F19C4">
            <w:pPr>
              <w:pStyle w:val="Tabletext"/>
              <w:framePr w:hSpace="181" w:wrap="notBeside" w:vAnchor="text" w:hAnchor="text" w:xAlign="center" w:y="1"/>
              <w:jc w:val="center"/>
              <w:rPr>
                <w:lang w:val="fr-CH"/>
              </w:rPr>
            </w:pPr>
            <w:r>
              <w:rPr>
                <w:lang w:val="fr-CH"/>
              </w:rPr>
              <w:t xml:space="preserve">MDP-4 </w:t>
            </w:r>
          </w:p>
        </w:tc>
      </w:tr>
      <w:tr w:rsidR="002B489A">
        <w:tc>
          <w:tcPr>
            <w:tcW w:w="5386" w:type="dxa"/>
          </w:tcPr>
          <w:p w:rsidR="002B489A" w:rsidRDefault="004F19C4">
            <w:pPr>
              <w:pStyle w:val="Tabletext"/>
              <w:framePr w:hSpace="181" w:wrap="notBeside" w:vAnchor="text" w:hAnchor="text" w:xAlign="center" w:y="1"/>
              <w:rPr>
                <w:lang w:val="fr-CH"/>
              </w:rPr>
            </w:pPr>
            <w:r>
              <w:rPr>
                <w:lang w:val="fr-CH"/>
              </w:rPr>
              <w:t>Largeur de bande (MHz)</w:t>
            </w:r>
          </w:p>
        </w:tc>
        <w:tc>
          <w:tcPr>
            <w:tcW w:w="3857" w:type="dxa"/>
          </w:tcPr>
          <w:p w:rsidR="002B489A" w:rsidRDefault="004F19C4">
            <w:pPr>
              <w:pStyle w:val="Tabletext"/>
              <w:framePr w:hSpace="181" w:wrap="notBeside" w:vAnchor="text" w:hAnchor="text" w:xAlign="center" w:y="1"/>
              <w:jc w:val="center"/>
              <w:rPr>
                <w:lang w:val="fr-CH"/>
              </w:rPr>
            </w:pPr>
            <w:r>
              <w:rPr>
                <w:lang w:val="fr-CH"/>
              </w:rPr>
              <w:t>24</w:t>
            </w:r>
          </w:p>
        </w:tc>
      </w:tr>
      <w:tr w:rsidR="002B489A">
        <w:tc>
          <w:tcPr>
            <w:tcW w:w="5386" w:type="dxa"/>
          </w:tcPr>
          <w:p w:rsidR="002B489A" w:rsidRDefault="004F19C4">
            <w:pPr>
              <w:pStyle w:val="Tabletext"/>
              <w:framePr w:hSpace="181" w:wrap="notBeside" w:vAnchor="text" w:hAnchor="text" w:xAlign="center" w:y="1"/>
              <w:rPr>
                <w:lang w:val="fr-CH"/>
              </w:rPr>
            </w:pPr>
            <w:r>
              <w:rPr>
                <w:lang w:val="fr-CH"/>
              </w:rPr>
              <w:t xml:space="preserve">Rapport </w:t>
            </w:r>
            <w:r>
              <w:rPr>
                <w:i/>
                <w:lang w:val="fr-CH"/>
              </w:rPr>
              <w:t>C</w:t>
            </w:r>
            <w:r>
              <w:rPr>
                <w:lang w:val="fr-CH"/>
              </w:rPr>
              <w:t>/</w:t>
            </w:r>
            <w:r>
              <w:rPr>
                <w:i/>
                <w:lang w:val="fr-CH"/>
              </w:rPr>
              <w:t>N</w:t>
            </w:r>
            <w:r>
              <w:rPr>
                <w:vertAlign w:val="subscript"/>
              </w:rPr>
              <w:t>0</w:t>
            </w:r>
            <w:r>
              <w:rPr>
                <w:i/>
                <w:lang w:val="fr-CH"/>
              </w:rPr>
              <w:t xml:space="preserve"> </w:t>
            </w:r>
            <w:r>
              <w:rPr>
                <w:lang w:val="fr-CH"/>
              </w:rPr>
              <w:t>global (dB/Hz)</w:t>
            </w:r>
          </w:p>
        </w:tc>
        <w:tc>
          <w:tcPr>
            <w:tcW w:w="3857" w:type="dxa"/>
          </w:tcPr>
          <w:p w:rsidR="002B489A" w:rsidRDefault="004F19C4">
            <w:pPr>
              <w:pStyle w:val="Tabletext"/>
              <w:framePr w:hSpace="181" w:wrap="notBeside" w:vAnchor="text" w:hAnchor="text" w:xAlign="center" w:y="1"/>
              <w:jc w:val="center"/>
              <w:rPr>
                <w:lang w:val="fr-CH"/>
              </w:rPr>
            </w:pPr>
            <w:r>
              <w:rPr>
                <w:lang w:val="fr-CH"/>
              </w:rPr>
              <w:t>86</w:t>
            </w:r>
          </w:p>
        </w:tc>
      </w:tr>
      <w:tr w:rsidR="002B489A">
        <w:tc>
          <w:tcPr>
            <w:tcW w:w="5386" w:type="dxa"/>
          </w:tcPr>
          <w:p w:rsidR="002B489A" w:rsidRDefault="004F19C4">
            <w:pPr>
              <w:pStyle w:val="Tabletext"/>
              <w:framePr w:hSpace="181" w:wrap="notBeside" w:vAnchor="text" w:hAnchor="text" w:xAlign="center" w:y="1"/>
              <w:rPr>
                <w:lang w:val="fr-CH"/>
              </w:rPr>
            </w:pPr>
            <w:r>
              <w:rPr>
                <w:lang w:val="fr-CH"/>
              </w:rPr>
              <w:t>p.i.r.e./porteuse de la liaison descendante (dBW)</w:t>
            </w:r>
          </w:p>
        </w:tc>
        <w:tc>
          <w:tcPr>
            <w:tcW w:w="3857" w:type="dxa"/>
          </w:tcPr>
          <w:p w:rsidR="002B489A" w:rsidRDefault="004F19C4">
            <w:pPr>
              <w:pStyle w:val="Tabletext"/>
              <w:framePr w:hSpace="181" w:wrap="notBeside" w:vAnchor="text" w:hAnchor="text" w:xAlign="center" w:y="1"/>
              <w:jc w:val="center"/>
              <w:rPr>
                <w:lang w:val="fr-CH"/>
              </w:rPr>
            </w:pPr>
            <w:r>
              <w:rPr>
                <w:lang w:val="fr-CH"/>
              </w:rPr>
              <w:t>58</w:t>
            </w:r>
          </w:p>
        </w:tc>
      </w:tr>
      <w:tr w:rsidR="002B489A">
        <w:tc>
          <w:tcPr>
            <w:tcW w:w="5386" w:type="dxa"/>
          </w:tcPr>
          <w:p w:rsidR="002B489A" w:rsidRDefault="004F19C4">
            <w:pPr>
              <w:pStyle w:val="Tabletext"/>
              <w:framePr w:hSpace="181" w:wrap="notBeside" w:vAnchor="text" w:hAnchor="text" w:xAlign="center" w:y="1"/>
              <w:rPr>
                <w:lang w:val="fr-CH"/>
              </w:rPr>
            </w:pPr>
            <w:r>
              <w:rPr>
                <w:lang w:val="fr-CH"/>
              </w:rPr>
              <w:t>Paramètres d'émission de l'antenne du satellite</w:t>
            </w:r>
          </w:p>
        </w:tc>
        <w:tc>
          <w:tcPr>
            <w:tcW w:w="3857" w:type="dxa"/>
          </w:tcPr>
          <w:p w:rsidR="002B489A" w:rsidRDefault="002B489A">
            <w:pPr>
              <w:pStyle w:val="Tabletext"/>
              <w:framePr w:hSpace="181" w:wrap="notBeside" w:vAnchor="text" w:hAnchor="text" w:xAlign="center" w:y="1"/>
              <w:jc w:val="center"/>
              <w:rPr>
                <w:lang w:val="fr-CH"/>
              </w:rPr>
            </w:pPr>
          </w:p>
        </w:tc>
      </w:tr>
      <w:tr w:rsidR="002B489A">
        <w:tc>
          <w:tcPr>
            <w:tcW w:w="5386" w:type="dxa"/>
          </w:tcPr>
          <w:p w:rsidR="002B489A" w:rsidRDefault="004F19C4">
            <w:pPr>
              <w:pStyle w:val="Tabletext"/>
              <w:framePr w:hSpace="181" w:wrap="notBeside" w:vAnchor="text" w:hAnchor="text" w:xAlign="center" w:y="1"/>
              <w:rPr>
                <w:lang w:val="en-US"/>
              </w:rPr>
            </w:pPr>
            <w:r>
              <w:rPr>
                <w:lang w:val="en-US"/>
              </w:rPr>
              <w:t>Gain maximal (dBi)</w:t>
            </w:r>
          </w:p>
        </w:tc>
        <w:tc>
          <w:tcPr>
            <w:tcW w:w="3857" w:type="dxa"/>
          </w:tcPr>
          <w:p w:rsidR="002B489A" w:rsidRDefault="004F19C4">
            <w:pPr>
              <w:pStyle w:val="Tabletext"/>
              <w:framePr w:hSpace="181" w:wrap="notBeside" w:vAnchor="text" w:hAnchor="text" w:xAlign="center" w:y="1"/>
              <w:jc w:val="center"/>
              <w:rPr>
                <w:lang w:val="fr-CH"/>
              </w:rPr>
            </w:pPr>
            <w:r>
              <w:rPr>
                <w:lang w:val="fr-CH"/>
              </w:rPr>
              <w:t>38</w:t>
            </w:r>
          </w:p>
        </w:tc>
      </w:tr>
    </w:tbl>
    <w:p w:rsidR="002B489A" w:rsidRDefault="002B489A">
      <w:pPr>
        <w:pStyle w:val="Tablefin"/>
        <w:spacing w:before="0"/>
      </w:pPr>
    </w:p>
    <w:p w:rsidR="002B489A" w:rsidRDefault="004F19C4">
      <w:pPr>
        <w:pStyle w:val="Heading1"/>
        <w:ind w:left="0" w:firstLine="0"/>
        <w:rPr>
          <w:lang w:val="fr-CH"/>
        </w:rPr>
      </w:pPr>
      <w:r>
        <w:rPr>
          <w:lang w:val="fr-CH"/>
        </w:rPr>
        <w:t>3</w:t>
      </w:r>
      <w:r>
        <w:rPr>
          <w:lang w:val="fr-CH"/>
        </w:rPr>
        <w:tab/>
        <w:t>Seuil de compatibilité</w:t>
      </w:r>
    </w:p>
    <w:p w:rsidR="002B489A" w:rsidRDefault="004F19C4">
      <w:pPr>
        <w:rPr>
          <w:lang w:val="fr-CH"/>
        </w:rPr>
      </w:pPr>
      <w:r>
        <w:rPr>
          <w:lang w:val="fr-CH"/>
        </w:rPr>
        <w:t>Le brouillage peut être reçu simultanément de plusieurs sources provenant de multiples services. Les valeurs données dans la Recommandation UIT-R SA.1029 (pour une bande spécifique) sont le niveau maximal admissible de brouillage pour le détecteur passif. Donc, le seuil de compatibilité est de –163 dBW dans une largeur de bande de 20 MHz pendant 99% du temps, comme indiqué au § 1.3.</w:t>
      </w:r>
    </w:p>
    <w:p w:rsidR="002B489A" w:rsidRDefault="004F19C4">
      <w:pPr>
        <w:rPr>
          <w:lang w:val="fr-CH"/>
        </w:rPr>
      </w:pPr>
      <w:r>
        <w:rPr>
          <w:lang w:val="fr-CH"/>
        </w:rPr>
        <w:t>La présente Annexe analyse le brouillage généré par un service actif unique. Des travaux complémentaires seront donc nécessaires pour examiner l'impact de ces multiples services actifs au</w:t>
      </w:r>
      <w:r>
        <w:rPr>
          <w:lang w:val="fr-CH"/>
        </w:rPr>
        <w:noBreakHyphen/>
        <w:t>dessus et au-dessous de la bande passive.</w:t>
      </w:r>
    </w:p>
    <w:p w:rsidR="002B489A" w:rsidRDefault="004F19C4">
      <w:pPr>
        <w:pStyle w:val="Heading1"/>
        <w:spacing w:before="240"/>
        <w:ind w:left="0" w:firstLine="0"/>
        <w:rPr>
          <w:lang w:val="fr-CH"/>
        </w:rPr>
      </w:pPr>
      <w:r>
        <w:rPr>
          <w:lang w:val="fr-CH"/>
        </w:rPr>
        <w:t>4</w:t>
      </w:r>
      <w:r>
        <w:rPr>
          <w:lang w:val="fr-CH"/>
        </w:rPr>
        <w:tab/>
        <w:t>Evaluation du brouillage</w:t>
      </w:r>
    </w:p>
    <w:p w:rsidR="002B489A" w:rsidRDefault="004F19C4">
      <w:pPr>
        <w:pStyle w:val="Heading2"/>
        <w:rPr>
          <w:lang w:val="fr-CH"/>
        </w:rPr>
      </w:pPr>
      <w:r>
        <w:rPr>
          <w:lang w:val="fr-CH"/>
        </w:rPr>
        <w:t>4.1</w:t>
      </w:r>
      <w:r>
        <w:rPr>
          <w:lang w:val="fr-CH"/>
        </w:rPr>
        <w:tab/>
        <w:t>Méthode d'évaluation du niveau de brouillage</w:t>
      </w:r>
    </w:p>
    <w:p w:rsidR="002B489A" w:rsidRDefault="004F19C4">
      <w:pPr>
        <w:rPr>
          <w:lang w:val="fr-CH"/>
        </w:rPr>
      </w:pPr>
      <w:r>
        <w:rPr>
          <w:lang w:val="fr-CH"/>
        </w:rPr>
        <w:t>L'analyse ci-après se fonde sur quelques cas de géométrie statique qui sont assez significatifs.</w:t>
      </w:r>
    </w:p>
    <w:p w:rsidR="002B489A" w:rsidRDefault="004F19C4">
      <w:pPr>
        <w:rPr>
          <w:lang w:val="fr-CH"/>
        </w:rPr>
      </w:pPr>
      <w:r>
        <w:rPr>
          <w:lang w:val="fr-CH"/>
        </w:rPr>
        <w:t>Pour chaque cas, la méthode appliquée est divisée en trois étapes.</w:t>
      </w:r>
    </w:p>
    <w:p w:rsidR="002B489A" w:rsidRDefault="004F19C4">
      <w:pPr>
        <w:rPr>
          <w:lang w:val="fr-CH"/>
        </w:rPr>
      </w:pPr>
      <w:r>
        <w:rPr>
          <w:i/>
          <w:iCs/>
          <w:lang w:val="fr-CH"/>
        </w:rPr>
        <w:t>Etape 1</w:t>
      </w:r>
      <w:r>
        <w:rPr>
          <w:lang w:val="fr-CH"/>
        </w:rPr>
        <w:t>:  consiste à calculer la différence entre la puissance produite par un système SFS et le critère de brouillage du SETS lorsque les liaisons descendantes particulières du SFS sont aux mêmes fréquences que la bande du SETS (passive). Le brouillage reçu d'une porteuse est alors comparé au seuil de brouillage du détecteur. La différence calculée entre ces valeurs est la diminution des émissions hors bande qui doit être effectuée pour protéger le SETS.</w:t>
      </w:r>
    </w:p>
    <w:p w:rsidR="002B489A" w:rsidRDefault="004F19C4">
      <w:pPr>
        <w:rPr>
          <w:lang w:val="fr-CH"/>
        </w:rPr>
      </w:pPr>
      <w:r>
        <w:rPr>
          <w:i/>
          <w:iCs/>
          <w:lang w:val="fr-CH"/>
        </w:rPr>
        <w:t>Etape 2</w:t>
      </w:r>
      <w:r>
        <w:rPr>
          <w:lang w:val="fr-CH"/>
        </w:rPr>
        <w:t>:   consiste à calculer la puissance surfacique produite par le satellite particulier à la surface de la Terre, et à la comparer au niveau maximum de puissance surfacique permis par l'Article 21 du RR dans la bande 10,7</w:t>
      </w:r>
      <w:r>
        <w:rPr>
          <w:lang w:val="fr-CH"/>
        </w:rPr>
        <w:noBreakHyphen/>
        <w:t>10,95 GHz pour déterminer l'accroissement maximum admissible de densité de p.i.r.e. qui se conforme exactement à cette limite. Le brouillage reçu de la porteuse fonctionnant à cette densité maximum admissible de p.i.r.e. est alors comparé aux critères de brouillage du détecteur. La différence entre les deux valeurs indique si le brouillage reçu satisfait aux critères de brouillage du SETS ou les dépasse.</w:t>
      </w:r>
    </w:p>
    <w:p w:rsidR="002B489A" w:rsidRDefault="004F19C4">
      <w:pPr>
        <w:rPr>
          <w:lang w:val="fr-CH"/>
        </w:rPr>
      </w:pPr>
      <w:r>
        <w:rPr>
          <w:i/>
          <w:iCs/>
          <w:lang w:val="fr-CH"/>
        </w:rPr>
        <w:br w:type="page"/>
        <w:t>Etape 3</w:t>
      </w:r>
      <w:r>
        <w:rPr>
          <w:lang w:val="fr-CH"/>
        </w:rPr>
        <w:t>:   consiste à supposer des niveaux de rayonnements non désirés sur la base de la Recommandation UIT-R SM.1541 et du numéro 1.153 du RR, comme décrit ci-dessus. Les niveaux calculés d'émissions SFS hors bande en supposant les caractéristiques de décroissance spectrale indiquées dans ces sources sont alors comparés aux critères de brouillage du SETS pour déterminer si la compatibilité est réalisée dans ces hypothèses.</w:t>
      </w:r>
    </w:p>
    <w:p w:rsidR="002B489A" w:rsidRDefault="004F19C4">
      <w:pPr>
        <w:pStyle w:val="Heading2"/>
        <w:tabs>
          <w:tab w:val="clear" w:pos="794"/>
          <w:tab w:val="left" w:pos="720"/>
        </w:tabs>
        <w:spacing w:before="120"/>
        <w:ind w:left="0" w:firstLine="0"/>
        <w:rPr>
          <w:lang w:val="fr-CH"/>
        </w:rPr>
      </w:pPr>
      <w:r>
        <w:rPr>
          <w:lang w:val="fr-CH"/>
        </w:rPr>
        <w:t>4.2</w:t>
      </w:r>
      <w:r>
        <w:rPr>
          <w:lang w:val="fr-CH"/>
        </w:rPr>
        <w:tab/>
        <w:t>Calcul du niveau de brouillage</w:t>
      </w:r>
    </w:p>
    <w:p w:rsidR="002B489A" w:rsidRDefault="004F19C4">
      <w:pPr>
        <w:pStyle w:val="Heading3"/>
        <w:tabs>
          <w:tab w:val="clear" w:pos="794"/>
          <w:tab w:val="left" w:pos="720"/>
        </w:tabs>
        <w:spacing w:before="120"/>
        <w:ind w:left="0" w:firstLine="0"/>
        <w:rPr>
          <w:lang w:val="fr-CH"/>
        </w:rPr>
      </w:pPr>
      <w:r>
        <w:rPr>
          <w:lang w:val="fr-CH"/>
        </w:rPr>
        <w:t>4.2.1</w:t>
      </w:r>
      <w:r>
        <w:rPr>
          <w:lang w:val="fr-CH"/>
        </w:rPr>
        <w:tab/>
        <w:t>Calculs avec les réseaux OSG (réception du lobe arrière)</w:t>
      </w:r>
    </w:p>
    <w:p w:rsidR="002B489A" w:rsidRDefault="004F19C4">
      <w:pPr>
        <w:rPr>
          <w:lang w:val="fr-CH"/>
        </w:rPr>
      </w:pPr>
      <w:r>
        <w:rPr>
          <w:lang w:val="fr-CH"/>
        </w:rPr>
        <w:t>On a une situation géométrique très simple lorsque le détecteur du SETS est situé directement en dessous du satellite SFS émetteur.</w:t>
      </w:r>
    </w:p>
    <w:p w:rsidR="002B489A" w:rsidRDefault="004F19C4">
      <w:pPr>
        <w:rPr>
          <w:lang w:val="fr-CH"/>
        </w:rPr>
      </w:pPr>
      <w:r>
        <w:rPr>
          <w:lang w:val="fr-CH"/>
        </w:rPr>
        <w:t>La différence entre le niveau de brouillage et les critères du SETS est calculée dans le Tableau 17 lorsque les liaisons descendantes du SFS sont sur les mêmes fréquences que le détecteur du SETS (passive).</w:t>
      </w:r>
    </w:p>
    <w:p w:rsidR="002B489A" w:rsidRDefault="004F19C4">
      <w:pPr>
        <w:pStyle w:val="TableNo"/>
        <w:rPr>
          <w:lang w:val="fr-CH"/>
        </w:rPr>
      </w:pPr>
      <w:r>
        <w:rPr>
          <w:lang w:val="fr-CH"/>
        </w:rPr>
        <w:t>TABLEAU  17</w:t>
      </w:r>
    </w:p>
    <w:p w:rsidR="002B489A" w:rsidRDefault="004F19C4">
      <w:pPr>
        <w:pStyle w:val="Tabletitle"/>
        <w:rPr>
          <w:lang w:val="fr-CH"/>
        </w:rPr>
      </w:pPr>
      <w:r>
        <w:rPr>
          <w:lang w:val="fr-CH"/>
        </w:rPr>
        <w:t>Analyse de compatibilité avec un réseau GSO-VX</w:t>
      </w:r>
    </w:p>
    <w:tbl>
      <w:tblPr>
        <w:tblW w:w="9639"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A0" w:firstRow="1" w:lastRow="0" w:firstColumn="1" w:lastColumn="0" w:noHBand="0" w:noVBand="0"/>
      </w:tblPr>
      <w:tblGrid>
        <w:gridCol w:w="5355"/>
        <w:gridCol w:w="2142"/>
        <w:gridCol w:w="2142"/>
      </w:tblGrid>
      <w:tr w:rsidR="002B489A">
        <w:tc>
          <w:tcPr>
            <w:tcW w:w="5103" w:type="dxa"/>
          </w:tcPr>
          <w:p w:rsidR="002B489A" w:rsidRDefault="004F19C4">
            <w:pPr>
              <w:pStyle w:val="Tablehead"/>
              <w:framePr w:hSpace="181" w:wrap="notBeside" w:vAnchor="text" w:hAnchor="text" w:xAlign="center" w:y="1"/>
              <w:rPr>
                <w:lang w:val="es-ES"/>
              </w:rPr>
            </w:pPr>
            <w:r>
              <w:rPr>
                <w:lang w:val="es-ES"/>
              </w:rPr>
              <w:t>Paramètre</w:t>
            </w:r>
          </w:p>
        </w:tc>
        <w:tc>
          <w:tcPr>
            <w:tcW w:w="2041" w:type="dxa"/>
          </w:tcPr>
          <w:p w:rsidR="002B489A" w:rsidRDefault="004F19C4">
            <w:pPr>
              <w:pStyle w:val="Tablehead"/>
              <w:framePr w:hSpace="181" w:wrap="notBeside" w:vAnchor="text" w:hAnchor="text" w:xAlign="center" w:y="1"/>
              <w:rPr>
                <w:lang w:val="es-ES"/>
              </w:rPr>
            </w:pPr>
            <w:r>
              <w:rPr>
                <w:lang w:val="es-ES"/>
              </w:rPr>
              <w:t>MEGHA-TROPIC</w:t>
            </w:r>
          </w:p>
        </w:tc>
        <w:tc>
          <w:tcPr>
            <w:tcW w:w="2041" w:type="dxa"/>
          </w:tcPr>
          <w:p w:rsidR="002B489A" w:rsidRDefault="004F19C4">
            <w:pPr>
              <w:pStyle w:val="Tablehead"/>
              <w:framePr w:hSpace="181" w:wrap="notBeside" w:vAnchor="text" w:hAnchor="text" w:xAlign="center" w:y="1"/>
              <w:rPr>
                <w:lang w:val="es-ES"/>
              </w:rPr>
            </w:pPr>
            <w:r>
              <w:rPr>
                <w:lang w:val="es-ES"/>
              </w:rPr>
              <w:t>EOS AMSR-E</w:t>
            </w:r>
          </w:p>
        </w:tc>
      </w:tr>
      <w:tr w:rsidR="002B489A">
        <w:tc>
          <w:tcPr>
            <w:tcW w:w="5103" w:type="dxa"/>
          </w:tcPr>
          <w:p w:rsidR="002B489A" w:rsidRDefault="004F19C4">
            <w:pPr>
              <w:pStyle w:val="Tabletext"/>
              <w:framePr w:hSpace="181" w:wrap="notBeside" w:vAnchor="text" w:hAnchor="text" w:xAlign="center" w:y="1"/>
              <w:jc w:val="left"/>
              <w:rPr>
                <w:lang w:val="fr-CH"/>
              </w:rPr>
            </w:pPr>
            <w:r>
              <w:rPr>
                <w:lang w:val="fr-CH"/>
              </w:rPr>
              <w:t>Gamme de fréquences de la liaison descendante (GHz)</w:t>
            </w:r>
          </w:p>
        </w:tc>
        <w:tc>
          <w:tcPr>
            <w:tcW w:w="2041" w:type="dxa"/>
          </w:tcPr>
          <w:p w:rsidR="002B489A" w:rsidRDefault="004F19C4">
            <w:pPr>
              <w:pStyle w:val="Tabletext"/>
              <w:framePr w:hSpace="181" w:wrap="notBeside" w:vAnchor="text" w:hAnchor="text" w:xAlign="center" w:y="1"/>
              <w:jc w:val="center"/>
              <w:rPr>
                <w:caps/>
                <w:lang w:val="fr-CH"/>
              </w:rPr>
            </w:pPr>
            <w:r>
              <w:rPr>
                <w:caps/>
                <w:lang w:val="fr-CH"/>
              </w:rPr>
              <w:t>10,7</w:t>
            </w:r>
            <w:r>
              <w:rPr>
                <w:caps/>
                <w:lang w:val="fr-CH"/>
              </w:rPr>
              <w:noBreakHyphen/>
              <w:t>10,95</w:t>
            </w:r>
          </w:p>
        </w:tc>
        <w:tc>
          <w:tcPr>
            <w:tcW w:w="2041" w:type="dxa"/>
          </w:tcPr>
          <w:p w:rsidR="002B489A" w:rsidRDefault="004F19C4">
            <w:pPr>
              <w:pStyle w:val="Tabletext"/>
              <w:framePr w:hSpace="181" w:wrap="notBeside" w:vAnchor="text" w:hAnchor="text" w:xAlign="center" w:y="1"/>
              <w:jc w:val="center"/>
              <w:rPr>
                <w:caps/>
                <w:lang w:val="fr-CH"/>
              </w:rPr>
            </w:pPr>
            <w:r>
              <w:rPr>
                <w:caps/>
                <w:lang w:val="fr-CH"/>
              </w:rPr>
              <w:t>10,7</w:t>
            </w:r>
            <w:r>
              <w:rPr>
                <w:caps/>
                <w:lang w:val="fr-CH"/>
              </w:rPr>
              <w:noBreakHyphen/>
              <w:t>10,95</w:t>
            </w:r>
          </w:p>
        </w:tc>
      </w:tr>
      <w:tr w:rsidR="002B489A">
        <w:tc>
          <w:tcPr>
            <w:tcW w:w="5103" w:type="dxa"/>
          </w:tcPr>
          <w:p w:rsidR="002B489A" w:rsidRDefault="004F19C4">
            <w:pPr>
              <w:pStyle w:val="Tabletext"/>
              <w:framePr w:hSpace="181" w:wrap="notBeside" w:vAnchor="text" w:hAnchor="text" w:xAlign="center" w:y="1"/>
              <w:jc w:val="left"/>
              <w:rPr>
                <w:lang w:val="fr-CH"/>
              </w:rPr>
            </w:pPr>
            <w:r>
              <w:rPr>
                <w:lang w:val="fr-CH"/>
              </w:rPr>
              <w:t>p.i.r.e./porteuse (dBW)</w:t>
            </w:r>
          </w:p>
        </w:tc>
        <w:tc>
          <w:tcPr>
            <w:tcW w:w="2041" w:type="dxa"/>
          </w:tcPr>
          <w:p w:rsidR="002B489A" w:rsidRDefault="004F19C4">
            <w:pPr>
              <w:pStyle w:val="Tabletext"/>
              <w:framePr w:hSpace="181" w:wrap="notBeside" w:vAnchor="text" w:hAnchor="text" w:xAlign="center" w:y="1"/>
              <w:jc w:val="center"/>
              <w:rPr>
                <w:lang w:val="fr-CH"/>
              </w:rPr>
            </w:pPr>
            <w:r>
              <w:rPr>
                <w:lang w:val="fr-CH"/>
              </w:rPr>
              <w:t>47</w:t>
            </w:r>
          </w:p>
        </w:tc>
        <w:tc>
          <w:tcPr>
            <w:tcW w:w="2041" w:type="dxa"/>
          </w:tcPr>
          <w:p w:rsidR="002B489A" w:rsidRDefault="004F19C4">
            <w:pPr>
              <w:pStyle w:val="Tabletext"/>
              <w:framePr w:hSpace="181" w:wrap="notBeside" w:vAnchor="text" w:hAnchor="text" w:xAlign="center" w:y="1"/>
              <w:jc w:val="center"/>
              <w:rPr>
                <w:lang w:val="fr-CH"/>
              </w:rPr>
            </w:pPr>
            <w:r>
              <w:rPr>
                <w:lang w:val="fr-CH"/>
              </w:rPr>
              <w:t>47</w:t>
            </w:r>
          </w:p>
        </w:tc>
      </w:tr>
      <w:tr w:rsidR="002B489A">
        <w:tc>
          <w:tcPr>
            <w:tcW w:w="5103" w:type="dxa"/>
          </w:tcPr>
          <w:p w:rsidR="002B489A" w:rsidRDefault="004F19C4">
            <w:pPr>
              <w:pStyle w:val="Tabletext"/>
              <w:framePr w:hSpace="181" w:wrap="notBeside" w:vAnchor="text" w:hAnchor="text" w:xAlign="center" w:y="1"/>
              <w:jc w:val="left"/>
              <w:rPr>
                <w:lang w:val="fr-CH"/>
              </w:rPr>
            </w:pPr>
            <w:r>
              <w:rPr>
                <w:lang w:val="fr-CH"/>
              </w:rPr>
              <w:t>Largeur de bande (MHz)</w:t>
            </w:r>
          </w:p>
        </w:tc>
        <w:tc>
          <w:tcPr>
            <w:tcW w:w="2041" w:type="dxa"/>
          </w:tcPr>
          <w:p w:rsidR="002B489A" w:rsidRDefault="004F19C4">
            <w:pPr>
              <w:pStyle w:val="Tabletext"/>
              <w:framePr w:hSpace="181" w:wrap="notBeside" w:vAnchor="text" w:hAnchor="text" w:xAlign="center" w:y="1"/>
              <w:jc w:val="center"/>
              <w:rPr>
                <w:lang w:val="en-US"/>
              </w:rPr>
            </w:pPr>
            <w:r>
              <w:rPr>
                <w:lang w:val="en-US"/>
              </w:rPr>
              <w:t>250</w:t>
            </w:r>
          </w:p>
        </w:tc>
        <w:tc>
          <w:tcPr>
            <w:tcW w:w="2041" w:type="dxa"/>
          </w:tcPr>
          <w:p w:rsidR="002B489A" w:rsidRDefault="004F19C4">
            <w:pPr>
              <w:pStyle w:val="Tabletext"/>
              <w:framePr w:hSpace="181" w:wrap="notBeside" w:vAnchor="text" w:hAnchor="text" w:xAlign="center" w:y="1"/>
              <w:jc w:val="center"/>
              <w:rPr>
                <w:lang w:val="en-US"/>
              </w:rPr>
            </w:pPr>
            <w:r>
              <w:rPr>
                <w:lang w:val="en-US"/>
              </w:rPr>
              <w:t>250</w:t>
            </w:r>
          </w:p>
        </w:tc>
      </w:tr>
      <w:tr w:rsidR="002B489A">
        <w:tc>
          <w:tcPr>
            <w:tcW w:w="5103" w:type="dxa"/>
          </w:tcPr>
          <w:p w:rsidR="002B489A" w:rsidRDefault="004F19C4">
            <w:pPr>
              <w:pStyle w:val="Tabletext"/>
              <w:framePr w:hSpace="181" w:wrap="notBeside" w:vAnchor="text" w:hAnchor="text" w:xAlign="center" w:y="1"/>
              <w:jc w:val="left"/>
              <w:rPr>
                <w:lang w:val="en-US"/>
              </w:rPr>
            </w:pPr>
            <w:r>
              <w:rPr>
                <w:lang w:val="en-US"/>
              </w:rPr>
              <w:t>Distance OSG-SETS (km)</w:t>
            </w:r>
          </w:p>
        </w:tc>
        <w:tc>
          <w:tcPr>
            <w:tcW w:w="2041" w:type="dxa"/>
          </w:tcPr>
          <w:p w:rsidR="002B489A" w:rsidRDefault="004F19C4">
            <w:pPr>
              <w:pStyle w:val="Tabletext"/>
              <w:framePr w:hSpace="181" w:wrap="notBeside" w:vAnchor="text" w:hAnchor="text" w:xAlign="center" w:y="1"/>
              <w:jc w:val="center"/>
              <w:rPr>
                <w:lang w:val="fr-CH"/>
              </w:rPr>
            </w:pPr>
            <w:r>
              <w:rPr>
                <w:lang w:val="fr-CH"/>
              </w:rPr>
              <w:t>34</w:t>
            </w:r>
            <w:r>
              <w:rPr>
                <w:rFonts w:ascii="Tms Rmn" w:hAnsi="Tms Rmn"/>
                <w:sz w:val="12"/>
                <w:lang w:val="fr-CH"/>
              </w:rPr>
              <w:t> </w:t>
            </w:r>
            <w:r>
              <w:rPr>
                <w:lang w:val="fr-CH"/>
              </w:rPr>
              <w:t>969</w:t>
            </w:r>
          </w:p>
        </w:tc>
        <w:tc>
          <w:tcPr>
            <w:tcW w:w="2041" w:type="dxa"/>
          </w:tcPr>
          <w:p w:rsidR="002B489A" w:rsidRDefault="004F19C4">
            <w:pPr>
              <w:pStyle w:val="Tabletext"/>
              <w:framePr w:hSpace="181" w:wrap="notBeside" w:vAnchor="text" w:hAnchor="text" w:xAlign="center" w:y="1"/>
              <w:jc w:val="center"/>
              <w:rPr>
                <w:lang w:val="fr-CH"/>
              </w:rPr>
            </w:pPr>
            <w:r>
              <w:rPr>
                <w:lang w:val="fr-CH"/>
              </w:rPr>
              <w:t>35</w:t>
            </w:r>
            <w:r>
              <w:rPr>
                <w:rFonts w:ascii="Tms Rmn" w:hAnsi="Tms Rmn"/>
                <w:sz w:val="12"/>
                <w:lang w:val="fr-CH"/>
              </w:rPr>
              <w:t> </w:t>
            </w:r>
            <w:r>
              <w:rPr>
                <w:lang w:val="fr-CH"/>
              </w:rPr>
              <w:t>081</w:t>
            </w:r>
          </w:p>
        </w:tc>
      </w:tr>
      <w:tr w:rsidR="002B489A">
        <w:tc>
          <w:tcPr>
            <w:tcW w:w="5103" w:type="dxa"/>
          </w:tcPr>
          <w:p w:rsidR="002B489A" w:rsidRDefault="004F19C4">
            <w:pPr>
              <w:pStyle w:val="Tabletext"/>
              <w:framePr w:hSpace="181" w:wrap="notBeside" w:vAnchor="text" w:hAnchor="text" w:xAlign="center" w:y="1"/>
              <w:jc w:val="left"/>
              <w:rPr>
                <w:lang w:val="fr-CH"/>
              </w:rPr>
            </w:pPr>
            <w:r>
              <w:rPr>
                <w:lang w:val="fr-CH"/>
              </w:rPr>
              <w:t>Affaiblissement en espace libre (dB)</w:t>
            </w:r>
          </w:p>
        </w:tc>
        <w:tc>
          <w:tcPr>
            <w:tcW w:w="2041" w:type="dxa"/>
          </w:tcPr>
          <w:p w:rsidR="002B489A" w:rsidRDefault="004F19C4">
            <w:pPr>
              <w:pStyle w:val="Tabletext"/>
              <w:framePr w:hSpace="181" w:wrap="notBeside" w:vAnchor="text" w:hAnchor="text" w:xAlign="center" w:y="1"/>
              <w:jc w:val="center"/>
              <w:rPr>
                <w:lang w:val="fr-CH"/>
              </w:rPr>
            </w:pPr>
            <w:r>
              <w:rPr>
                <w:lang w:val="fr-CH"/>
              </w:rPr>
              <w:t>204</w:t>
            </w:r>
          </w:p>
        </w:tc>
        <w:tc>
          <w:tcPr>
            <w:tcW w:w="2041" w:type="dxa"/>
          </w:tcPr>
          <w:p w:rsidR="002B489A" w:rsidRDefault="004F19C4">
            <w:pPr>
              <w:pStyle w:val="Tabletext"/>
              <w:framePr w:hSpace="181" w:wrap="notBeside" w:vAnchor="text" w:hAnchor="text" w:xAlign="center" w:y="1"/>
              <w:jc w:val="center"/>
              <w:rPr>
                <w:lang w:val="fr-CH"/>
              </w:rPr>
            </w:pPr>
            <w:r>
              <w:rPr>
                <w:lang w:val="fr-CH"/>
              </w:rPr>
              <w:t>204</w:t>
            </w:r>
          </w:p>
        </w:tc>
      </w:tr>
      <w:tr w:rsidR="002B489A">
        <w:tc>
          <w:tcPr>
            <w:tcW w:w="5103" w:type="dxa"/>
          </w:tcPr>
          <w:p w:rsidR="002B489A" w:rsidRDefault="004F19C4">
            <w:pPr>
              <w:pStyle w:val="Tabletext"/>
              <w:framePr w:hSpace="181" w:wrap="notBeside" w:vAnchor="text" w:hAnchor="text" w:xAlign="center" w:y="1"/>
              <w:jc w:val="left"/>
              <w:rPr>
                <w:lang w:val="fr-CH"/>
              </w:rPr>
            </w:pPr>
            <w:r>
              <w:rPr>
                <w:lang w:val="fr-CH"/>
              </w:rPr>
              <w:t>Angle de décalage paraboloïde du SETS par rapport au nadir (degrés)</w:t>
            </w:r>
          </w:p>
        </w:tc>
        <w:tc>
          <w:tcPr>
            <w:tcW w:w="2041" w:type="dxa"/>
          </w:tcPr>
          <w:p w:rsidR="002B489A" w:rsidRDefault="004F19C4">
            <w:pPr>
              <w:pStyle w:val="Tabletext"/>
              <w:framePr w:hSpace="181" w:wrap="notBeside" w:vAnchor="text" w:hAnchor="text" w:xAlign="center" w:y="1"/>
              <w:jc w:val="center"/>
              <w:rPr>
                <w:lang w:val="fr-CH"/>
              </w:rPr>
            </w:pPr>
            <w:r>
              <w:rPr>
                <w:lang w:val="fr-CH"/>
              </w:rPr>
              <w:t>44</w:t>
            </w:r>
          </w:p>
        </w:tc>
        <w:tc>
          <w:tcPr>
            <w:tcW w:w="2041" w:type="dxa"/>
          </w:tcPr>
          <w:p w:rsidR="002B489A" w:rsidRDefault="004F19C4">
            <w:pPr>
              <w:pStyle w:val="Tabletext"/>
              <w:framePr w:hSpace="181" w:wrap="notBeside" w:vAnchor="text" w:hAnchor="text" w:xAlign="center" w:y="1"/>
              <w:jc w:val="center"/>
              <w:rPr>
                <w:lang w:val="fr-CH"/>
              </w:rPr>
            </w:pPr>
            <w:r>
              <w:rPr>
                <w:lang w:val="fr-CH"/>
              </w:rPr>
              <w:t>47,5</w:t>
            </w:r>
          </w:p>
        </w:tc>
      </w:tr>
      <w:tr w:rsidR="002B489A">
        <w:tc>
          <w:tcPr>
            <w:tcW w:w="5103" w:type="dxa"/>
          </w:tcPr>
          <w:p w:rsidR="002B489A" w:rsidRDefault="004F19C4">
            <w:pPr>
              <w:pStyle w:val="Tabletext"/>
              <w:framePr w:hSpace="181" w:wrap="notBeside" w:vAnchor="text" w:hAnchor="text" w:xAlign="center" w:y="1"/>
              <w:jc w:val="left"/>
              <w:rPr>
                <w:lang w:val="fr-CH"/>
              </w:rPr>
            </w:pPr>
            <w:r>
              <w:rPr>
                <w:lang w:val="fr-CH"/>
              </w:rPr>
              <w:t>Gain de l'antenne SETS (dBi)</w:t>
            </w:r>
          </w:p>
        </w:tc>
        <w:tc>
          <w:tcPr>
            <w:tcW w:w="2041" w:type="dxa"/>
          </w:tcPr>
          <w:p w:rsidR="002B489A" w:rsidRDefault="004F19C4">
            <w:pPr>
              <w:pStyle w:val="Tabletext"/>
              <w:framePr w:hSpace="181" w:wrap="notBeside" w:vAnchor="text" w:hAnchor="text" w:xAlign="center" w:y="1"/>
              <w:jc w:val="center"/>
              <w:rPr>
                <w:lang w:val="fr-CH"/>
              </w:rPr>
            </w:pPr>
            <w:r>
              <w:rPr>
                <w:lang w:val="fr-CH"/>
              </w:rPr>
              <w:sym w:font="Symbol" w:char="F02D"/>
            </w:r>
            <w:r>
              <w:rPr>
                <w:lang w:val="fr-CH"/>
              </w:rPr>
              <w:t>14</w:t>
            </w:r>
          </w:p>
        </w:tc>
        <w:tc>
          <w:tcPr>
            <w:tcW w:w="2041" w:type="dxa"/>
          </w:tcPr>
          <w:p w:rsidR="002B489A" w:rsidRDefault="004F19C4">
            <w:pPr>
              <w:pStyle w:val="Tabletext"/>
              <w:framePr w:hSpace="181" w:wrap="notBeside" w:vAnchor="text" w:hAnchor="text" w:xAlign="center" w:y="1"/>
              <w:jc w:val="center"/>
              <w:rPr>
                <w:lang w:val="fr-CH"/>
              </w:rPr>
            </w:pPr>
            <w:r>
              <w:rPr>
                <w:lang w:val="fr-CH"/>
              </w:rPr>
              <w:sym w:font="Symbol" w:char="F02D"/>
            </w:r>
            <w:r>
              <w:rPr>
                <w:lang w:val="fr-CH"/>
              </w:rPr>
              <w:t>23</w:t>
            </w:r>
          </w:p>
        </w:tc>
      </w:tr>
      <w:tr w:rsidR="002B489A">
        <w:tc>
          <w:tcPr>
            <w:tcW w:w="5103" w:type="dxa"/>
          </w:tcPr>
          <w:p w:rsidR="002B489A" w:rsidRDefault="004F19C4">
            <w:pPr>
              <w:pStyle w:val="Tabletext"/>
              <w:framePr w:hSpace="181" w:wrap="notBeside" w:vAnchor="text" w:hAnchor="text" w:xAlign="center" w:y="1"/>
              <w:jc w:val="left"/>
              <w:rPr>
                <w:lang w:val="fr-CH"/>
              </w:rPr>
            </w:pPr>
            <w:r>
              <w:rPr>
                <w:lang w:val="fr-CH"/>
              </w:rPr>
              <w:t>Puissance reçue au SETS dans la largeur de bande ci</w:t>
            </w:r>
            <w:r>
              <w:rPr>
                <w:lang w:val="fr-CH"/>
              </w:rPr>
              <w:noBreakHyphen/>
              <w:t>dessus (dBW)</w:t>
            </w:r>
          </w:p>
        </w:tc>
        <w:tc>
          <w:tcPr>
            <w:tcW w:w="2041" w:type="dxa"/>
          </w:tcPr>
          <w:p w:rsidR="002B489A" w:rsidRDefault="004F19C4">
            <w:pPr>
              <w:pStyle w:val="Tabletext"/>
              <w:framePr w:hSpace="181" w:wrap="notBeside" w:vAnchor="text" w:hAnchor="text" w:xAlign="center" w:y="1"/>
              <w:jc w:val="center"/>
              <w:rPr>
                <w:lang w:val="fr-CH"/>
              </w:rPr>
            </w:pPr>
            <w:r>
              <w:rPr>
                <w:lang w:val="fr-CH"/>
              </w:rPr>
              <w:t>–171</w:t>
            </w:r>
          </w:p>
        </w:tc>
        <w:tc>
          <w:tcPr>
            <w:tcW w:w="2041" w:type="dxa"/>
          </w:tcPr>
          <w:p w:rsidR="002B489A" w:rsidRDefault="004F19C4">
            <w:pPr>
              <w:pStyle w:val="Tabletext"/>
              <w:framePr w:hSpace="181" w:wrap="notBeside" w:vAnchor="text" w:hAnchor="text" w:xAlign="center" w:y="1"/>
              <w:jc w:val="center"/>
              <w:rPr>
                <w:lang w:val="fr-CH"/>
              </w:rPr>
            </w:pPr>
            <w:r>
              <w:rPr>
                <w:lang w:val="fr-CH"/>
              </w:rPr>
              <w:sym w:font="Symbol" w:char="F02D"/>
            </w:r>
            <w:r>
              <w:rPr>
                <w:lang w:val="fr-CH"/>
              </w:rPr>
              <w:t>180</w:t>
            </w:r>
          </w:p>
        </w:tc>
      </w:tr>
      <w:tr w:rsidR="002B489A">
        <w:tc>
          <w:tcPr>
            <w:tcW w:w="5103" w:type="dxa"/>
          </w:tcPr>
          <w:p w:rsidR="002B489A" w:rsidRDefault="004F19C4">
            <w:pPr>
              <w:pStyle w:val="Tabletext"/>
              <w:framePr w:hSpace="181" w:wrap="notBeside" w:vAnchor="text" w:hAnchor="text" w:xAlign="center" w:y="1"/>
              <w:jc w:val="left"/>
              <w:rPr>
                <w:lang w:val="fr-CH"/>
              </w:rPr>
            </w:pPr>
            <w:r>
              <w:rPr>
                <w:lang w:val="fr-CH"/>
              </w:rPr>
              <w:t>Puissance correspondante reçue au SETS dans une largeur de bande de 20 MHz (dBW)</w:t>
            </w:r>
          </w:p>
        </w:tc>
        <w:tc>
          <w:tcPr>
            <w:tcW w:w="2041" w:type="dxa"/>
          </w:tcPr>
          <w:p w:rsidR="002B489A" w:rsidRDefault="004F19C4">
            <w:pPr>
              <w:pStyle w:val="Tabletext"/>
              <w:framePr w:hSpace="181" w:wrap="notBeside" w:vAnchor="text" w:hAnchor="text" w:xAlign="center" w:y="1"/>
              <w:jc w:val="center"/>
              <w:rPr>
                <w:lang w:val="fr-CH"/>
              </w:rPr>
            </w:pPr>
            <w:r>
              <w:rPr>
                <w:lang w:val="fr-CH"/>
              </w:rPr>
              <w:t>–182</w:t>
            </w:r>
          </w:p>
        </w:tc>
        <w:tc>
          <w:tcPr>
            <w:tcW w:w="2041" w:type="dxa"/>
          </w:tcPr>
          <w:p w:rsidR="002B489A" w:rsidRDefault="004F19C4">
            <w:pPr>
              <w:pStyle w:val="Tabletext"/>
              <w:framePr w:hSpace="181" w:wrap="notBeside" w:vAnchor="text" w:hAnchor="text" w:xAlign="center" w:y="1"/>
              <w:jc w:val="center"/>
              <w:rPr>
                <w:lang w:val="fr-CH"/>
              </w:rPr>
            </w:pPr>
            <w:r>
              <w:rPr>
                <w:lang w:val="fr-CH"/>
              </w:rPr>
              <w:sym w:font="Symbol" w:char="F02D"/>
            </w:r>
            <w:r>
              <w:rPr>
                <w:lang w:val="fr-CH"/>
              </w:rPr>
              <w:t>191</w:t>
            </w:r>
          </w:p>
        </w:tc>
      </w:tr>
      <w:tr w:rsidR="002B489A">
        <w:tc>
          <w:tcPr>
            <w:tcW w:w="5103" w:type="dxa"/>
          </w:tcPr>
          <w:p w:rsidR="002B489A" w:rsidRDefault="004F19C4">
            <w:pPr>
              <w:pStyle w:val="Tabletext"/>
              <w:framePr w:hSpace="181" w:wrap="notBeside" w:vAnchor="text" w:hAnchor="text" w:xAlign="center" w:y="1"/>
              <w:jc w:val="left"/>
              <w:rPr>
                <w:lang w:val="fr-CH"/>
              </w:rPr>
            </w:pPr>
            <w:r>
              <w:rPr>
                <w:lang w:val="fr-CH"/>
              </w:rPr>
              <w:t>Seuil de brouillage dans une largeur de bande de 20 MHz (dBW)</w:t>
            </w:r>
          </w:p>
        </w:tc>
        <w:tc>
          <w:tcPr>
            <w:tcW w:w="2041" w:type="dxa"/>
          </w:tcPr>
          <w:p w:rsidR="002B489A" w:rsidRDefault="004F19C4">
            <w:pPr>
              <w:pStyle w:val="Tabletext"/>
              <w:framePr w:hSpace="181" w:wrap="notBeside" w:vAnchor="text" w:hAnchor="text" w:xAlign="center" w:y="1"/>
              <w:jc w:val="center"/>
              <w:rPr>
                <w:lang w:val="fr-CH"/>
              </w:rPr>
            </w:pPr>
            <w:r>
              <w:rPr>
                <w:lang w:val="fr-CH"/>
              </w:rPr>
              <w:t>–163</w:t>
            </w:r>
          </w:p>
        </w:tc>
        <w:tc>
          <w:tcPr>
            <w:tcW w:w="2041" w:type="dxa"/>
          </w:tcPr>
          <w:p w:rsidR="002B489A" w:rsidRDefault="004F19C4">
            <w:pPr>
              <w:pStyle w:val="Tabletext"/>
              <w:framePr w:hSpace="181" w:wrap="notBeside" w:vAnchor="text" w:hAnchor="text" w:xAlign="center" w:y="1"/>
              <w:jc w:val="center"/>
              <w:rPr>
                <w:lang w:val="fr-CH"/>
              </w:rPr>
            </w:pPr>
            <w:r>
              <w:rPr>
                <w:lang w:val="fr-CH"/>
              </w:rPr>
              <w:sym w:font="Symbol" w:char="F02D"/>
            </w:r>
            <w:r>
              <w:rPr>
                <w:lang w:val="fr-CH"/>
              </w:rPr>
              <w:t>163</w:t>
            </w:r>
          </w:p>
        </w:tc>
      </w:tr>
      <w:tr w:rsidR="002B489A">
        <w:tc>
          <w:tcPr>
            <w:tcW w:w="5103" w:type="dxa"/>
          </w:tcPr>
          <w:p w:rsidR="002B489A" w:rsidRDefault="004F19C4">
            <w:pPr>
              <w:pStyle w:val="Tabletext"/>
              <w:framePr w:hSpace="181" w:wrap="notBeside" w:vAnchor="text" w:hAnchor="text" w:xAlign="center" w:y="1"/>
              <w:jc w:val="left"/>
              <w:rPr>
                <w:lang w:val="fr-CH"/>
              </w:rPr>
            </w:pPr>
            <w:r>
              <w:rPr>
                <w:lang w:val="fr-CH"/>
              </w:rPr>
              <w:t>Différence entre puissance brouilleuse et critère de protection SETS (dB)</w:t>
            </w:r>
          </w:p>
        </w:tc>
        <w:tc>
          <w:tcPr>
            <w:tcW w:w="2041" w:type="dxa"/>
          </w:tcPr>
          <w:p w:rsidR="002B489A" w:rsidRDefault="004F19C4">
            <w:pPr>
              <w:pStyle w:val="Tabletext"/>
              <w:framePr w:hSpace="181" w:wrap="notBeside" w:vAnchor="text" w:hAnchor="text" w:xAlign="center" w:y="1"/>
              <w:jc w:val="center"/>
              <w:rPr>
                <w:lang w:val="fr-CH"/>
              </w:rPr>
            </w:pPr>
            <w:r>
              <w:rPr>
                <w:lang w:val="fr-CH"/>
              </w:rPr>
              <w:t>0</w:t>
            </w:r>
          </w:p>
        </w:tc>
        <w:tc>
          <w:tcPr>
            <w:tcW w:w="2041" w:type="dxa"/>
          </w:tcPr>
          <w:p w:rsidR="002B489A" w:rsidRDefault="004F19C4">
            <w:pPr>
              <w:pStyle w:val="Tabletext"/>
              <w:framePr w:hSpace="181" w:wrap="notBeside" w:vAnchor="text" w:hAnchor="text" w:xAlign="center" w:y="1"/>
              <w:jc w:val="center"/>
              <w:rPr>
                <w:lang w:val="fr-CH"/>
              </w:rPr>
            </w:pPr>
            <w:r>
              <w:rPr>
                <w:lang w:val="fr-CH"/>
              </w:rPr>
              <w:t>0</w:t>
            </w:r>
          </w:p>
        </w:tc>
      </w:tr>
      <w:tr w:rsidR="002B489A">
        <w:tc>
          <w:tcPr>
            <w:tcW w:w="5103" w:type="dxa"/>
          </w:tcPr>
          <w:p w:rsidR="002B489A" w:rsidRDefault="004F19C4">
            <w:pPr>
              <w:pStyle w:val="Tabletext"/>
              <w:framePr w:hSpace="181" w:wrap="notBeside" w:vAnchor="text" w:hAnchor="text" w:xAlign="center" w:y="1"/>
              <w:jc w:val="left"/>
              <w:rPr>
                <w:lang w:val="fr-CH"/>
              </w:rPr>
            </w:pPr>
            <w:r>
              <w:rPr>
                <w:lang w:val="fr-CH"/>
              </w:rPr>
              <w:t>Largeur de bande de référence pour la limite de puissance surfacique (kHz)</w:t>
            </w:r>
          </w:p>
        </w:tc>
        <w:tc>
          <w:tcPr>
            <w:tcW w:w="2041" w:type="dxa"/>
          </w:tcPr>
          <w:p w:rsidR="002B489A" w:rsidRDefault="004F19C4">
            <w:pPr>
              <w:pStyle w:val="Tabletext"/>
              <w:framePr w:hSpace="181" w:wrap="notBeside" w:vAnchor="text" w:hAnchor="text" w:xAlign="center" w:y="1"/>
              <w:jc w:val="center"/>
              <w:rPr>
                <w:lang w:val="fr-CH"/>
              </w:rPr>
            </w:pPr>
            <w:r>
              <w:rPr>
                <w:lang w:val="fr-CH"/>
              </w:rPr>
              <w:t>4</w:t>
            </w:r>
          </w:p>
        </w:tc>
        <w:tc>
          <w:tcPr>
            <w:tcW w:w="2041" w:type="dxa"/>
          </w:tcPr>
          <w:p w:rsidR="002B489A" w:rsidRDefault="004F19C4">
            <w:pPr>
              <w:pStyle w:val="Tabletext"/>
              <w:framePr w:hSpace="181" w:wrap="notBeside" w:vAnchor="text" w:hAnchor="text" w:xAlign="center" w:y="1"/>
              <w:jc w:val="center"/>
              <w:rPr>
                <w:lang w:val="fr-CH"/>
              </w:rPr>
            </w:pPr>
            <w:r>
              <w:rPr>
                <w:lang w:val="fr-CH"/>
              </w:rPr>
              <w:t>4</w:t>
            </w:r>
          </w:p>
        </w:tc>
      </w:tr>
      <w:tr w:rsidR="002B489A">
        <w:tc>
          <w:tcPr>
            <w:tcW w:w="5103" w:type="dxa"/>
          </w:tcPr>
          <w:p w:rsidR="002B489A" w:rsidRDefault="004F19C4">
            <w:pPr>
              <w:pStyle w:val="Tabletext"/>
              <w:framePr w:hSpace="181" w:wrap="notBeside" w:vAnchor="text" w:hAnchor="text" w:xAlign="center" w:y="1"/>
              <w:jc w:val="left"/>
              <w:rPr>
                <w:lang w:val="fr-CH"/>
              </w:rPr>
            </w:pPr>
            <w:r>
              <w:rPr>
                <w:lang w:val="fr-CH"/>
              </w:rPr>
              <w:t>Puissance surfacique maximale permise par l'Article 21</w:t>
            </w:r>
            <w:r>
              <w:t xml:space="preserve"> </w:t>
            </w:r>
            <w:r>
              <w:rPr>
                <w:lang w:val="fr-CH"/>
              </w:rPr>
              <w:t xml:space="preserve">du RR </w:t>
            </w:r>
            <w:r>
              <w:t>(dB(W/(m</w:t>
            </w:r>
            <w:r>
              <w:rPr>
                <w:vertAlign w:val="superscript"/>
              </w:rPr>
              <w:t>2</w:t>
            </w:r>
            <w:r>
              <w:t xml:space="preserve"> · 4 kHz)))</w:t>
            </w:r>
          </w:p>
        </w:tc>
        <w:tc>
          <w:tcPr>
            <w:tcW w:w="2041" w:type="dxa"/>
          </w:tcPr>
          <w:p w:rsidR="002B489A" w:rsidRDefault="004F19C4">
            <w:pPr>
              <w:pStyle w:val="Tabletext"/>
              <w:framePr w:hSpace="181" w:wrap="notBeside" w:vAnchor="text" w:hAnchor="text" w:xAlign="center" w:y="1"/>
              <w:jc w:val="center"/>
              <w:rPr>
                <w:lang w:val="fr-CH"/>
              </w:rPr>
            </w:pPr>
            <w:r>
              <w:rPr>
                <w:lang w:val="fr-CH"/>
              </w:rPr>
              <w:t>–140</w:t>
            </w:r>
          </w:p>
        </w:tc>
        <w:tc>
          <w:tcPr>
            <w:tcW w:w="2041" w:type="dxa"/>
          </w:tcPr>
          <w:p w:rsidR="002B489A" w:rsidRDefault="004F19C4">
            <w:pPr>
              <w:pStyle w:val="Tabletext"/>
              <w:framePr w:hSpace="181" w:wrap="notBeside" w:vAnchor="text" w:hAnchor="text" w:xAlign="center" w:y="1"/>
              <w:jc w:val="center"/>
              <w:rPr>
                <w:lang w:val="fr-CH"/>
              </w:rPr>
            </w:pPr>
            <w:r>
              <w:rPr>
                <w:lang w:val="fr-CH"/>
              </w:rPr>
              <w:t>–140</w:t>
            </w:r>
          </w:p>
        </w:tc>
      </w:tr>
      <w:tr w:rsidR="002B489A">
        <w:tc>
          <w:tcPr>
            <w:tcW w:w="5103" w:type="dxa"/>
          </w:tcPr>
          <w:p w:rsidR="002B489A" w:rsidRDefault="004F19C4">
            <w:pPr>
              <w:pStyle w:val="Tabletext"/>
              <w:framePr w:hSpace="181" w:wrap="notBeside" w:vAnchor="text" w:hAnchor="text" w:xAlign="center" w:y="1"/>
              <w:jc w:val="left"/>
              <w:rPr>
                <w:lang w:val="fr-CH"/>
              </w:rPr>
            </w:pPr>
            <w:r>
              <w:rPr>
                <w:lang w:val="fr-CH"/>
              </w:rPr>
              <w:t xml:space="preserve">Puissance surfacique produite par la densité de p.i.r.e de fonctionnement à la surface de la Terre </w:t>
            </w:r>
            <w:r>
              <w:t>(dB(W/(m</w:t>
            </w:r>
            <w:r>
              <w:rPr>
                <w:vertAlign w:val="superscript"/>
              </w:rPr>
              <w:t>2</w:t>
            </w:r>
            <w:r>
              <w:t> · 4 kHz)))</w:t>
            </w:r>
          </w:p>
        </w:tc>
        <w:tc>
          <w:tcPr>
            <w:tcW w:w="2041" w:type="dxa"/>
          </w:tcPr>
          <w:p w:rsidR="002B489A" w:rsidRDefault="004F19C4">
            <w:pPr>
              <w:pStyle w:val="Tabletext"/>
              <w:framePr w:hSpace="181" w:wrap="notBeside" w:vAnchor="text" w:hAnchor="text" w:xAlign="center" w:y="1"/>
              <w:jc w:val="center"/>
              <w:rPr>
                <w:lang w:val="fr-CH"/>
              </w:rPr>
            </w:pPr>
            <w:r>
              <w:rPr>
                <w:lang w:val="fr-CH"/>
              </w:rPr>
              <w:t>–163</w:t>
            </w:r>
          </w:p>
        </w:tc>
        <w:tc>
          <w:tcPr>
            <w:tcW w:w="2041" w:type="dxa"/>
          </w:tcPr>
          <w:p w:rsidR="002B489A" w:rsidRDefault="004F19C4">
            <w:pPr>
              <w:pStyle w:val="Tabletext"/>
              <w:framePr w:hSpace="181" w:wrap="notBeside" w:vAnchor="text" w:hAnchor="text" w:xAlign="center" w:y="1"/>
              <w:jc w:val="center"/>
              <w:rPr>
                <w:lang w:val="fr-CH"/>
              </w:rPr>
            </w:pPr>
            <w:r>
              <w:rPr>
                <w:lang w:val="fr-CH"/>
              </w:rPr>
              <w:t>–163</w:t>
            </w:r>
          </w:p>
        </w:tc>
      </w:tr>
      <w:tr w:rsidR="002B489A">
        <w:tc>
          <w:tcPr>
            <w:tcW w:w="5103" w:type="dxa"/>
          </w:tcPr>
          <w:p w:rsidR="002B489A" w:rsidRDefault="004F19C4">
            <w:pPr>
              <w:pStyle w:val="Tabletext"/>
              <w:framePr w:hSpace="181" w:wrap="notBeside" w:vAnchor="text" w:hAnchor="text" w:xAlign="center" w:y="1"/>
              <w:jc w:val="left"/>
              <w:rPr>
                <w:lang w:val="fr-CH"/>
              </w:rPr>
            </w:pPr>
            <w:r>
              <w:rPr>
                <w:lang w:val="fr-CH"/>
              </w:rPr>
              <w:t>Augmentation admissible de la densité de p.i.r.e. (dB)</w:t>
            </w:r>
          </w:p>
        </w:tc>
        <w:tc>
          <w:tcPr>
            <w:tcW w:w="2041" w:type="dxa"/>
          </w:tcPr>
          <w:p w:rsidR="002B489A" w:rsidRDefault="004F19C4">
            <w:pPr>
              <w:pStyle w:val="Tabletext"/>
              <w:framePr w:hSpace="181" w:wrap="notBeside" w:vAnchor="text" w:hAnchor="text" w:xAlign="center" w:y="1"/>
              <w:jc w:val="center"/>
              <w:rPr>
                <w:lang w:val="fr-CH"/>
              </w:rPr>
            </w:pPr>
            <w:r>
              <w:rPr>
                <w:lang w:val="fr-CH"/>
              </w:rPr>
              <w:t>23</w:t>
            </w:r>
          </w:p>
        </w:tc>
        <w:tc>
          <w:tcPr>
            <w:tcW w:w="2041" w:type="dxa"/>
          </w:tcPr>
          <w:p w:rsidR="002B489A" w:rsidRDefault="004F19C4">
            <w:pPr>
              <w:pStyle w:val="Tabletext"/>
              <w:framePr w:hSpace="181" w:wrap="notBeside" w:vAnchor="text" w:hAnchor="text" w:xAlign="center" w:y="1"/>
              <w:jc w:val="center"/>
              <w:rPr>
                <w:lang w:val="fr-CH"/>
              </w:rPr>
            </w:pPr>
            <w:r>
              <w:rPr>
                <w:lang w:val="fr-CH"/>
              </w:rPr>
              <w:t>23</w:t>
            </w:r>
          </w:p>
        </w:tc>
      </w:tr>
      <w:tr w:rsidR="002B489A">
        <w:tc>
          <w:tcPr>
            <w:tcW w:w="5103" w:type="dxa"/>
          </w:tcPr>
          <w:p w:rsidR="002B489A" w:rsidRDefault="004F19C4">
            <w:pPr>
              <w:pStyle w:val="Tabletext"/>
              <w:framePr w:hSpace="181" w:wrap="notBeside" w:vAnchor="text" w:hAnchor="text" w:xAlign="center" w:y="1"/>
              <w:jc w:val="left"/>
              <w:rPr>
                <w:lang w:val="fr-CH"/>
              </w:rPr>
            </w:pPr>
            <w:r>
              <w:rPr>
                <w:lang w:val="fr-CH"/>
              </w:rPr>
              <w:t>Différence entre la puissance brouilleuse et le critère de protection SETS à la p.i.r.e. maximum permise (dB)</w:t>
            </w:r>
          </w:p>
        </w:tc>
        <w:tc>
          <w:tcPr>
            <w:tcW w:w="2041" w:type="dxa"/>
          </w:tcPr>
          <w:p w:rsidR="002B489A" w:rsidRDefault="004F19C4">
            <w:pPr>
              <w:pStyle w:val="Tabletext"/>
              <w:framePr w:hSpace="181" w:wrap="notBeside" w:vAnchor="text" w:hAnchor="text" w:xAlign="center" w:y="1"/>
              <w:jc w:val="center"/>
              <w:rPr>
                <w:lang w:val="fr-CH"/>
              </w:rPr>
            </w:pPr>
            <w:r>
              <w:rPr>
                <w:lang w:val="fr-CH"/>
              </w:rPr>
              <w:t>4</w:t>
            </w:r>
          </w:p>
        </w:tc>
        <w:tc>
          <w:tcPr>
            <w:tcW w:w="2041" w:type="dxa"/>
          </w:tcPr>
          <w:p w:rsidR="002B489A" w:rsidRDefault="004F19C4">
            <w:pPr>
              <w:pStyle w:val="Tabletext"/>
              <w:framePr w:hSpace="181" w:wrap="notBeside" w:vAnchor="text" w:hAnchor="text" w:xAlign="center" w:y="1"/>
              <w:jc w:val="center"/>
              <w:rPr>
                <w:lang w:val="fr-CH"/>
              </w:rPr>
            </w:pPr>
            <w:r>
              <w:rPr>
                <w:lang w:val="fr-CH"/>
              </w:rPr>
              <w:t>0</w:t>
            </w:r>
          </w:p>
        </w:tc>
      </w:tr>
    </w:tbl>
    <w:p w:rsidR="002B489A" w:rsidRDefault="002B489A">
      <w:pPr>
        <w:pStyle w:val="Tablefin"/>
        <w:spacing w:before="0"/>
      </w:pPr>
    </w:p>
    <w:p w:rsidR="002B489A" w:rsidRDefault="004F19C4">
      <w:pPr>
        <w:spacing w:line="280" w:lineRule="exact"/>
        <w:rPr>
          <w:lang w:val="fr-CH"/>
        </w:rPr>
      </w:pPr>
      <w:r>
        <w:rPr>
          <w:lang w:val="fr-CH"/>
        </w:rPr>
        <w:br w:type="page"/>
        <w:t>Conformément à la Recommandation UIT-R S.1328-3</w:t>
      </w:r>
      <w:r>
        <w:rPr>
          <w:rStyle w:val="FootnoteReference"/>
          <w:lang w:val="fr-CH"/>
        </w:rPr>
        <w:footnoteReference w:id="2"/>
      </w:r>
      <w:r>
        <w:rPr>
          <w:lang w:val="fr-CH"/>
        </w:rPr>
        <w:t>, le système GSO-VX</w:t>
      </w:r>
      <w:r>
        <w:rPr>
          <w:rStyle w:val="FootnoteReference"/>
          <w:lang w:val="fr-CH"/>
        </w:rPr>
        <w:footnoteReference w:id="3"/>
      </w:r>
      <w:r>
        <w:rPr>
          <w:lang w:val="fr-CH"/>
        </w:rPr>
        <w:t xml:space="preserve"> propose de faire fonctionner six satellites situés aux trois positions orbitales adjacentes de 99º O, 101º O et 103º O, en supposant qu'un accord puisse être obtenu avec les autres administrations sur les modifications qu'il faut apporter au Plan de l'Appendice 30B du RR. Donc, en supposant que les satellites ayant la même position n'aient pas de zones de service qui se chevauchent et que la puissance individuelle reçue au SETS soit plus ou moins la même (c'est-à-dire </w:t>
      </w:r>
      <w:r>
        <w:rPr>
          <w:lang w:val="fr-CH"/>
        </w:rPr>
        <w:sym w:font="Symbol" w:char="F02D"/>
      </w:r>
      <w:r>
        <w:rPr>
          <w:lang w:val="fr-CH"/>
        </w:rPr>
        <w:t>182 dBW pour une largeur de bande de 20 MHz pour MEGHA-TROPIC ou –191 dBW pour EOS AMSR-E), la puissance calculée produite par trois satellites SFS de même couverture et de même fréquence est égale à 10 log</w:t>
      </w:r>
      <w:r>
        <w:rPr>
          <w:vertAlign w:val="subscript"/>
          <w:lang w:val="fr-CH"/>
        </w:rPr>
        <w:t>10</w:t>
      </w:r>
      <w:r>
        <w:rPr>
          <w:lang w:val="fr-CH"/>
        </w:rPr>
        <w:t> (3 </w:t>
      </w:r>
      <w:r>
        <w:rPr>
          <w:rFonts w:ascii="Symbol" w:hAnsi="Symbol"/>
          <w:lang w:val="fr-CH"/>
        </w:rPr>
        <w:t></w:t>
      </w:r>
      <w:r>
        <w:rPr>
          <w:lang w:val="fr-CH"/>
        </w:rPr>
        <w:t> 10</w:t>
      </w:r>
      <w:r>
        <w:rPr>
          <w:rFonts w:ascii="Symbol" w:hAnsi="Symbol"/>
          <w:vertAlign w:val="superscript"/>
          <w:lang w:val="fr-CH"/>
        </w:rPr>
        <w:noBreakHyphen/>
      </w:r>
      <w:r>
        <w:rPr>
          <w:vertAlign w:val="superscript"/>
          <w:lang w:val="fr-CH"/>
        </w:rPr>
        <w:t>18,2</w:t>
      </w:r>
      <w:r>
        <w:rPr>
          <w:lang w:val="fr-CH"/>
        </w:rPr>
        <w:t>) </w:t>
      </w:r>
      <w:r>
        <w:rPr>
          <w:rFonts w:ascii="Symbol" w:hAnsi="Symbol"/>
          <w:lang w:val="fr-CH"/>
        </w:rPr>
        <w:t></w:t>
      </w:r>
      <w:r>
        <w:rPr>
          <w:lang w:val="fr-CH"/>
        </w:rPr>
        <w:t> </w:t>
      </w:r>
      <w:r>
        <w:rPr>
          <w:lang w:val="fr-CH"/>
        </w:rPr>
        <w:sym w:font="Symbol" w:char="F02D"/>
      </w:r>
      <w:r>
        <w:rPr>
          <w:lang w:val="fr-CH"/>
        </w:rPr>
        <w:t>177 dBW dans MEGHA-TROPIC et 10 log</w:t>
      </w:r>
      <w:r>
        <w:rPr>
          <w:vertAlign w:val="subscript"/>
        </w:rPr>
        <w:t>10</w:t>
      </w:r>
      <w:r>
        <w:rPr>
          <w:lang w:val="fr-CH"/>
        </w:rPr>
        <w:t> (3 </w:t>
      </w:r>
      <w:r>
        <w:rPr>
          <w:rFonts w:ascii="Symbol" w:hAnsi="Symbol"/>
          <w:lang w:val="fr-CH"/>
        </w:rPr>
        <w:t></w:t>
      </w:r>
      <w:r>
        <w:rPr>
          <w:lang w:val="fr-CH"/>
        </w:rPr>
        <w:t> 10</w:t>
      </w:r>
      <w:r>
        <w:rPr>
          <w:vertAlign w:val="superscript"/>
        </w:rPr>
        <w:t>–19,1</w:t>
      </w:r>
      <w:r>
        <w:rPr>
          <w:lang w:val="fr-CH"/>
        </w:rPr>
        <w:t>) </w:t>
      </w:r>
      <w:r>
        <w:rPr>
          <w:rFonts w:ascii="Symbol" w:hAnsi="Symbol"/>
          <w:lang w:val="fr-CH"/>
        </w:rPr>
        <w:t></w:t>
      </w:r>
      <w:r>
        <w:rPr>
          <w:lang w:val="fr-CH"/>
        </w:rPr>
        <w:t> </w:t>
      </w:r>
      <w:r>
        <w:rPr>
          <w:lang w:val="fr-CH"/>
        </w:rPr>
        <w:sym w:font="Symbol" w:char="F02D"/>
      </w:r>
      <w:r>
        <w:rPr>
          <w:lang w:val="fr-CH"/>
        </w:rPr>
        <w:t>186 dBW dans EOS AMSR-E. Dans les deux cas, le critère de brouillage du service passif est satisfait.</w:t>
      </w:r>
    </w:p>
    <w:p w:rsidR="002B489A" w:rsidRDefault="004F19C4">
      <w:pPr>
        <w:rPr>
          <w:lang w:val="fr-CH"/>
        </w:rPr>
      </w:pPr>
      <w:r>
        <w:rPr>
          <w:lang w:val="fr-CH"/>
        </w:rPr>
        <w:t>Dans l'hypothèse la plus défavorable où un satellite OSG du SFS, fonctionnant avec une densité de p.i.r.e. qui produirait à la surface de la Terre la puissance surfacique maximum permise par l'Article</w:t>
      </w:r>
      <w:r>
        <w:t> </w:t>
      </w:r>
      <w:r>
        <w:rPr>
          <w:lang w:val="fr-CH"/>
        </w:rPr>
        <w:t>21 du RR, pourrait être incorporé dans le Plan de l'Appendice 30B du RR, le niveau de puissance calculée au satellite MEGHA-TROPIC dépasserait les critères de brouillage du SETS de 4 dB. Par rapport au détecteur passif de plus basse altitude d'EOS AMSR-E, le critère de brouillage du SETS n'est pas dépassé.</w:t>
      </w:r>
      <w:r>
        <w:rPr>
          <w:rStyle w:val="FootnoteReference"/>
          <w:lang w:val="fr-CH"/>
        </w:rPr>
        <w:footnoteReference w:id="4"/>
      </w:r>
    </w:p>
    <w:p w:rsidR="002B489A" w:rsidRDefault="004F19C4">
      <w:pPr>
        <w:pStyle w:val="Heading3"/>
        <w:tabs>
          <w:tab w:val="clear" w:pos="794"/>
          <w:tab w:val="left" w:pos="900"/>
        </w:tabs>
        <w:spacing w:before="120"/>
        <w:ind w:left="0" w:firstLine="0"/>
        <w:rPr>
          <w:lang w:val="fr-CH"/>
        </w:rPr>
      </w:pPr>
      <w:r>
        <w:rPr>
          <w:lang w:val="fr-CH"/>
        </w:rPr>
        <w:t>4.2.2</w:t>
      </w:r>
      <w:r>
        <w:rPr>
          <w:lang w:val="fr-CH"/>
        </w:rPr>
        <w:tab/>
        <w:t>Calculs avec les réseaux non OSG</w:t>
      </w:r>
    </w:p>
    <w:p w:rsidR="002B489A" w:rsidRDefault="004F19C4">
      <w:pPr>
        <w:rPr>
          <w:lang w:val="fr-CH"/>
        </w:rPr>
      </w:pPr>
      <w:r>
        <w:rPr>
          <w:lang w:val="fr-CH"/>
        </w:rPr>
        <w:t>On devrait noter que ces résultats sont fondés sur des analyses simples, qui ne prennent pas en compte le pourcentage du temps pendant lequel les critères de brouillage du SETS sont dépassés. Une simulation plus complexe serait nécessaire pour savoir si un système SFS non OSG qui dépasse les critères du SETS pour la configuration géométrique particulière considérée dans ces analyses en fait autant pour la valeur de 99% du temps indiquée dans la Recommandation UIT</w:t>
      </w:r>
      <w:r>
        <w:rPr>
          <w:lang w:val="fr-CH"/>
        </w:rPr>
        <w:noBreakHyphen/>
        <w:t>R SA.1029.</w:t>
      </w:r>
    </w:p>
    <w:p w:rsidR="002B489A" w:rsidRDefault="002B489A">
      <w:pPr>
        <w:rPr>
          <w:lang w:val="fr-CH"/>
        </w:rPr>
      </w:pPr>
    </w:p>
    <w:p w:rsidR="002B489A" w:rsidRDefault="002B489A">
      <w:pPr>
        <w:rPr>
          <w:lang w:val="fr-CH"/>
        </w:rPr>
      </w:pPr>
    </w:p>
    <w:p w:rsidR="002B489A" w:rsidRDefault="004F19C4">
      <w:pPr>
        <w:pStyle w:val="Heading4"/>
        <w:rPr>
          <w:lang w:val="fr-CH"/>
        </w:rPr>
      </w:pPr>
      <w:r>
        <w:rPr>
          <w:lang w:val="fr-CH"/>
        </w:rPr>
        <w:br w:type="page"/>
        <w:t>4.2.2.1</w:t>
      </w:r>
      <w:r>
        <w:rPr>
          <w:lang w:val="fr-CH"/>
        </w:rPr>
        <w:tab/>
        <w:t>Cas 1 – réseaux non OSG (réception du lobe arrière)</w:t>
      </w:r>
    </w:p>
    <w:p w:rsidR="002B489A" w:rsidRDefault="004F19C4">
      <w:pPr>
        <w:rPr>
          <w:lang w:val="fr-CH"/>
        </w:rPr>
      </w:pPr>
      <w:r>
        <w:rPr>
          <w:lang w:val="fr-CH"/>
        </w:rPr>
        <w:t>Pour le cas 1, la situation géométrique est telle que le détecteur du SETS est situé directement au</w:t>
      </w:r>
      <w:r>
        <w:rPr>
          <w:lang w:val="fr-CH"/>
        </w:rPr>
        <w:noBreakHyphen/>
        <w:t>dessous du satellite SFS émetteur.</w:t>
      </w:r>
    </w:p>
    <w:p w:rsidR="002B489A" w:rsidRDefault="004F19C4">
      <w:pPr>
        <w:rPr>
          <w:lang w:val="fr-CH"/>
        </w:rPr>
      </w:pPr>
      <w:r>
        <w:rPr>
          <w:lang w:val="fr-CH"/>
        </w:rPr>
        <w:t>La différence entre le niveau de brouillage et les critères du SETS est calculée dans le Tableau 18 lorsque les liaisons descendantes du SFS sont sur la même fréquence que les détecteurs du SETS (passive).</w:t>
      </w:r>
    </w:p>
    <w:p w:rsidR="002B489A" w:rsidRDefault="004F19C4">
      <w:pPr>
        <w:pStyle w:val="TableNo"/>
        <w:rPr>
          <w:lang w:val="fr-CH"/>
        </w:rPr>
      </w:pPr>
      <w:r>
        <w:rPr>
          <w:lang w:val="fr-CH"/>
        </w:rPr>
        <w:t>TABLEAU  18</w:t>
      </w:r>
    </w:p>
    <w:p w:rsidR="002B489A" w:rsidRDefault="004F19C4">
      <w:pPr>
        <w:pStyle w:val="Tabletitle"/>
      </w:pPr>
      <w:r>
        <w:t>Analyse de compatibilité avec FSAT-MULTI 1-B</w:t>
      </w:r>
    </w:p>
    <w:tbl>
      <w:tblPr>
        <w:tblW w:w="9639"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A0" w:firstRow="1" w:lastRow="0" w:firstColumn="1" w:lastColumn="0" w:noHBand="0" w:noVBand="0"/>
      </w:tblPr>
      <w:tblGrid>
        <w:gridCol w:w="5652"/>
        <w:gridCol w:w="2033"/>
        <w:gridCol w:w="1954"/>
      </w:tblGrid>
      <w:tr w:rsidR="002B489A">
        <w:tc>
          <w:tcPr>
            <w:tcW w:w="5581" w:type="dxa"/>
          </w:tcPr>
          <w:p w:rsidR="002B489A" w:rsidRDefault="004F19C4">
            <w:pPr>
              <w:pStyle w:val="Tablehead"/>
              <w:framePr w:hSpace="181" w:wrap="notBeside" w:vAnchor="text" w:hAnchor="text" w:xAlign="center" w:y="1"/>
              <w:rPr>
                <w:lang w:val="es-ES"/>
              </w:rPr>
            </w:pPr>
            <w:r>
              <w:rPr>
                <w:lang w:val="es-ES"/>
              </w:rPr>
              <w:t>Paramètre</w:t>
            </w:r>
          </w:p>
        </w:tc>
        <w:tc>
          <w:tcPr>
            <w:tcW w:w="2007" w:type="dxa"/>
          </w:tcPr>
          <w:p w:rsidR="002B489A" w:rsidRDefault="004F19C4">
            <w:pPr>
              <w:pStyle w:val="Tablehead"/>
              <w:framePr w:hSpace="181" w:wrap="notBeside" w:vAnchor="text" w:hAnchor="text" w:xAlign="center" w:y="1"/>
              <w:rPr>
                <w:lang w:val="es-ES"/>
              </w:rPr>
            </w:pPr>
            <w:r>
              <w:rPr>
                <w:lang w:val="es-ES"/>
              </w:rPr>
              <w:t>MEGHA-TROPIC</w:t>
            </w:r>
          </w:p>
        </w:tc>
        <w:tc>
          <w:tcPr>
            <w:tcW w:w="1929" w:type="dxa"/>
          </w:tcPr>
          <w:p w:rsidR="002B489A" w:rsidRDefault="004F19C4">
            <w:pPr>
              <w:pStyle w:val="Tablehead"/>
              <w:framePr w:hSpace="181" w:wrap="notBeside" w:vAnchor="text" w:hAnchor="text" w:xAlign="center" w:y="1"/>
              <w:rPr>
                <w:lang w:val="es-ES"/>
              </w:rPr>
            </w:pPr>
            <w:r>
              <w:rPr>
                <w:lang w:val="es-ES"/>
              </w:rPr>
              <w:t>EOS AMSR-E</w:t>
            </w:r>
          </w:p>
        </w:tc>
      </w:tr>
      <w:tr w:rsidR="002B489A">
        <w:tc>
          <w:tcPr>
            <w:tcW w:w="5581" w:type="dxa"/>
          </w:tcPr>
          <w:p w:rsidR="002B489A" w:rsidRDefault="004F19C4">
            <w:pPr>
              <w:pStyle w:val="Tabletext"/>
              <w:framePr w:hSpace="181" w:wrap="notBeside" w:vAnchor="text" w:hAnchor="text" w:xAlign="center" w:y="1"/>
              <w:jc w:val="left"/>
              <w:rPr>
                <w:lang w:val="fr-CH"/>
              </w:rPr>
            </w:pPr>
            <w:r>
              <w:rPr>
                <w:lang w:val="fr-CH"/>
              </w:rPr>
              <w:t>Gamme de fréquences sur la liaison descendante (GHz)</w:t>
            </w:r>
          </w:p>
        </w:tc>
        <w:tc>
          <w:tcPr>
            <w:tcW w:w="2007" w:type="dxa"/>
          </w:tcPr>
          <w:p w:rsidR="002B489A" w:rsidRDefault="004F19C4">
            <w:pPr>
              <w:pStyle w:val="Tabletext"/>
              <w:framePr w:hSpace="181" w:wrap="notBeside" w:vAnchor="text" w:hAnchor="text" w:xAlign="center" w:y="1"/>
              <w:jc w:val="center"/>
              <w:rPr>
                <w:lang w:val="fr-CH"/>
              </w:rPr>
            </w:pPr>
            <w:r>
              <w:rPr>
                <w:lang w:val="fr-CH"/>
              </w:rPr>
              <w:t>11</w:t>
            </w:r>
            <w:r>
              <w:rPr>
                <w:lang w:val="fr-CH"/>
              </w:rPr>
              <w:noBreakHyphen/>
              <w:t>12</w:t>
            </w:r>
          </w:p>
        </w:tc>
        <w:tc>
          <w:tcPr>
            <w:tcW w:w="1929" w:type="dxa"/>
          </w:tcPr>
          <w:p w:rsidR="002B489A" w:rsidRDefault="004F19C4">
            <w:pPr>
              <w:pStyle w:val="Tabletext"/>
              <w:framePr w:hSpace="181" w:wrap="notBeside" w:vAnchor="text" w:hAnchor="text" w:xAlign="center" w:y="1"/>
              <w:jc w:val="center"/>
              <w:rPr>
                <w:lang w:val="fr-CH"/>
              </w:rPr>
            </w:pPr>
            <w:r>
              <w:rPr>
                <w:lang w:val="fr-CH"/>
              </w:rPr>
              <w:t>11</w:t>
            </w:r>
            <w:r>
              <w:rPr>
                <w:lang w:val="fr-CH"/>
              </w:rPr>
              <w:noBreakHyphen/>
              <w:t>12</w:t>
            </w:r>
          </w:p>
        </w:tc>
      </w:tr>
      <w:tr w:rsidR="002B489A">
        <w:tc>
          <w:tcPr>
            <w:tcW w:w="5581" w:type="dxa"/>
          </w:tcPr>
          <w:p w:rsidR="002B489A" w:rsidRDefault="004F19C4">
            <w:pPr>
              <w:pStyle w:val="Tabletext"/>
              <w:framePr w:hSpace="181" w:wrap="notBeside" w:vAnchor="text" w:hAnchor="text" w:xAlign="center" w:y="1"/>
              <w:jc w:val="left"/>
              <w:rPr>
                <w:lang w:val="fr-CH"/>
              </w:rPr>
            </w:pPr>
            <w:r>
              <w:rPr>
                <w:lang w:val="fr-CH"/>
              </w:rPr>
              <w:t>p.i.r.e./porteuse pour un faisceau (dBW)</w:t>
            </w:r>
          </w:p>
        </w:tc>
        <w:tc>
          <w:tcPr>
            <w:tcW w:w="2007" w:type="dxa"/>
          </w:tcPr>
          <w:p w:rsidR="002B489A" w:rsidRDefault="004F19C4">
            <w:pPr>
              <w:pStyle w:val="Tabletext"/>
              <w:framePr w:hSpace="181" w:wrap="notBeside" w:vAnchor="text" w:hAnchor="text" w:xAlign="center" w:y="1"/>
              <w:jc w:val="center"/>
              <w:rPr>
                <w:lang w:val="fr-CH"/>
              </w:rPr>
            </w:pPr>
            <w:r>
              <w:rPr>
                <w:lang w:val="fr-CH"/>
              </w:rPr>
              <w:t>17,5</w:t>
            </w:r>
          </w:p>
        </w:tc>
        <w:tc>
          <w:tcPr>
            <w:tcW w:w="1929" w:type="dxa"/>
          </w:tcPr>
          <w:p w:rsidR="002B489A" w:rsidRDefault="004F19C4">
            <w:pPr>
              <w:pStyle w:val="Tabletext"/>
              <w:framePr w:hSpace="181" w:wrap="notBeside" w:vAnchor="text" w:hAnchor="text" w:xAlign="center" w:y="1"/>
              <w:jc w:val="center"/>
              <w:rPr>
                <w:lang w:val="fr-CH"/>
              </w:rPr>
            </w:pPr>
            <w:r>
              <w:rPr>
                <w:lang w:val="fr-CH"/>
              </w:rPr>
              <w:t>17,5</w:t>
            </w:r>
          </w:p>
        </w:tc>
      </w:tr>
      <w:tr w:rsidR="002B489A">
        <w:tc>
          <w:tcPr>
            <w:tcW w:w="5581" w:type="dxa"/>
          </w:tcPr>
          <w:p w:rsidR="002B489A" w:rsidRDefault="004F19C4">
            <w:pPr>
              <w:pStyle w:val="Tabletext"/>
              <w:framePr w:hSpace="181" w:wrap="notBeside" w:vAnchor="text" w:hAnchor="text" w:xAlign="center" w:y="1"/>
              <w:jc w:val="left"/>
              <w:rPr>
                <w:lang w:val="fr-CH"/>
              </w:rPr>
            </w:pPr>
            <w:r>
              <w:rPr>
                <w:lang w:val="fr-CH"/>
              </w:rPr>
              <w:t>Largeur de bande (MHz)</w:t>
            </w:r>
          </w:p>
        </w:tc>
        <w:tc>
          <w:tcPr>
            <w:tcW w:w="2007" w:type="dxa"/>
          </w:tcPr>
          <w:p w:rsidR="002B489A" w:rsidRDefault="004F19C4">
            <w:pPr>
              <w:pStyle w:val="Tabletext"/>
              <w:framePr w:hSpace="181" w:wrap="notBeside" w:vAnchor="text" w:hAnchor="text" w:xAlign="center" w:y="1"/>
              <w:jc w:val="center"/>
              <w:rPr>
                <w:lang w:val="en-US"/>
              </w:rPr>
            </w:pPr>
            <w:r>
              <w:rPr>
                <w:lang w:val="en-US"/>
              </w:rPr>
              <w:t>41</w:t>
            </w:r>
          </w:p>
        </w:tc>
        <w:tc>
          <w:tcPr>
            <w:tcW w:w="1929" w:type="dxa"/>
          </w:tcPr>
          <w:p w:rsidR="002B489A" w:rsidRDefault="004F19C4">
            <w:pPr>
              <w:pStyle w:val="Tabletext"/>
              <w:framePr w:hSpace="181" w:wrap="notBeside" w:vAnchor="text" w:hAnchor="text" w:xAlign="center" w:y="1"/>
              <w:jc w:val="center"/>
              <w:rPr>
                <w:lang w:val="en-US"/>
              </w:rPr>
            </w:pPr>
            <w:r>
              <w:rPr>
                <w:lang w:val="en-US"/>
              </w:rPr>
              <w:t>41</w:t>
            </w:r>
          </w:p>
        </w:tc>
      </w:tr>
      <w:tr w:rsidR="002B489A">
        <w:tc>
          <w:tcPr>
            <w:tcW w:w="5581" w:type="dxa"/>
          </w:tcPr>
          <w:p w:rsidR="002B489A" w:rsidRDefault="004F19C4">
            <w:pPr>
              <w:pStyle w:val="Tabletext"/>
              <w:framePr w:hSpace="181" w:wrap="notBeside" w:vAnchor="text" w:hAnchor="text" w:xAlign="center" w:y="1"/>
              <w:jc w:val="left"/>
              <w:rPr>
                <w:lang w:val="en-US"/>
              </w:rPr>
            </w:pPr>
            <w:r>
              <w:rPr>
                <w:lang w:val="en-US"/>
              </w:rPr>
              <w:t>Distance FSAT-SETS (km)</w:t>
            </w:r>
          </w:p>
        </w:tc>
        <w:tc>
          <w:tcPr>
            <w:tcW w:w="2007" w:type="dxa"/>
          </w:tcPr>
          <w:p w:rsidR="002B489A" w:rsidRDefault="004F19C4">
            <w:pPr>
              <w:pStyle w:val="Tabletext"/>
              <w:framePr w:hSpace="181" w:wrap="notBeside" w:vAnchor="text" w:hAnchor="text" w:xAlign="center" w:y="1"/>
              <w:jc w:val="center"/>
              <w:rPr>
                <w:lang w:val="fr-CH"/>
              </w:rPr>
            </w:pPr>
            <w:r>
              <w:rPr>
                <w:lang w:val="fr-CH"/>
              </w:rPr>
              <w:t>640</w:t>
            </w:r>
          </w:p>
        </w:tc>
        <w:tc>
          <w:tcPr>
            <w:tcW w:w="1929" w:type="dxa"/>
          </w:tcPr>
          <w:p w:rsidR="002B489A" w:rsidRDefault="004F19C4">
            <w:pPr>
              <w:pStyle w:val="Tabletext"/>
              <w:framePr w:hSpace="181" w:wrap="notBeside" w:vAnchor="text" w:hAnchor="text" w:xAlign="center" w:y="1"/>
              <w:jc w:val="center"/>
              <w:rPr>
                <w:lang w:val="fr-CH"/>
              </w:rPr>
            </w:pPr>
            <w:r>
              <w:rPr>
                <w:lang w:val="fr-CH"/>
              </w:rPr>
              <w:t>752</w:t>
            </w:r>
          </w:p>
        </w:tc>
      </w:tr>
      <w:tr w:rsidR="002B489A">
        <w:tc>
          <w:tcPr>
            <w:tcW w:w="5581" w:type="dxa"/>
          </w:tcPr>
          <w:p w:rsidR="002B489A" w:rsidRDefault="004F19C4">
            <w:pPr>
              <w:pStyle w:val="Tabletext"/>
              <w:framePr w:hSpace="181" w:wrap="notBeside" w:vAnchor="text" w:hAnchor="text" w:xAlign="center" w:y="1"/>
              <w:jc w:val="left"/>
              <w:rPr>
                <w:lang w:val="fr-CH"/>
              </w:rPr>
            </w:pPr>
            <w:r>
              <w:rPr>
                <w:lang w:val="fr-CH"/>
              </w:rPr>
              <w:t>Affaiblissement en espace libre (dB)</w:t>
            </w:r>
          </w:p>
        </w:tc>
        <w:tc>
          <w:tcPr>
            <w:tcW w:w="2007" w:type="dxa"/>
          </w:tcPr>
          <w:p w:rsidR="002B489A" w:rsidRDefault="004F19C4">
            <w:pPr>
              <w:pStyle w:val="Tabletext"/>
              <w:framePr w:hSpace="181" w:wrap="notBeside" w:vAnchor="text" w:hAnchor="text" w:xAlign="center" w:y="1"/>
              <w:jc w:val="center"/>
              <w:rPr>
                <w:lang w:val="fr-CH"/>
              </w:rPr>
            </w:pPr>
            <w:r>
              <w:rPr>
                <w:lang w:val="fr-CH"/>
              </w:rPr>
              <w:t>169</w:t>
            </w:r>
          </w:p>
        </w:tc>
        <w:tc>
          <w:tcPr>
            <w:tcW w:w="1929" w:type="dxa"/>
          </w:tcPr>
          <w:p w:rsidR="002B489A" w:rsidRDefault="004F19C4">
            <w:pPr>
              <w:pStyle w:val="Tabletext"/>
              <w:framePr w:hSpace="181" w:wrap="notBeside" w:vAnchor="text" w:hAnchor="text" w:xAlign="center" w:y="1"/>
              <w:jc w:val="center"/>
              <w:rPr>
                <w:lang w:val="fr-CH"/>
              </w:rPr>
            </w:pPr>
            <w:r>
              <w:rPr>
                <w:lang w:val="fr-CH"/>
              </w:rPr>
              <w:t>170,5</w:t>
            </w:r>
          </w:p>
        </w:tc>
      </w:tr>
      <w:tr w:rsidR="002B489A">
        <w:tc>
          <w:tcPr>
            <w:tcW w:w="5581" w:type="dxa"/>
          </w:tcPr>
          <w:p w:rsidR="002B489A" w:rsidRDefault="004F19C4">
            <w:pPr>
              <w:pStyle w:val="Tabletext"/>
              <w:framePr w:hSpace="181" w:wrap="notBeside" w:vAnchor="text" w:hAnchor="text" w:xAlign="center" w:y="1"/>
              <w:jc w:val="left"/>
              <w:rPr>
                <w:lang w:val="fr-CH"/>
              </w:rPr>
            </w:pPr>
            <w:r>
              <w:rPr>
                <w:lang w:val="fr-CH"/>
              </w:rPr>
              <w:t>Angle de décalage paraboloïde du SETS au nadir (degrés)</w:t>
            </w:r>
          </w:p>
        </w:tc>
        <w:tc>
          <w:tcPr>
            <w:tcW w:w="2007" w:type="dxa"/>
          </w:tcPr>
          <w:p w:rsidR="002B489A" w:rsidRDefault="004F19C4">
            <w:pPr>
              <w:pStyle w:val="Tabletext"/>
              <w:framePr w:hSpace="181" w:wrap="notBeside" w:vAnchor="text" w:hAnchor="text" w:xAlign="center" w:y="1"/>
              <w:jc w:val="center"/>
              <w:rPr>
                <w:lang w:val="fr-CH"/>
              </w:rPr>
            </w:pPr>
            <w:r>
              <w:rPr>
                <w:lang w:val="fr-CH"/>
              </w:rPr>
              <w:t>44</w:t>
            </w:r>
          </w:p>
        </w:tc>
        <w:tc>
          <w:tcPr>
            <w:tcW w:w="1929" w:type="dxa"/>
          </w:tcPr>
          <w:p w:rsidR="002B489A" w:rsidRDefault="004F19C4">
            <w:pPr>
              <w:pStyle w:val="Tabletext"/>
              <w:framePr w:hSpace="181" w:wrap="notBeside" w:vAnchor="text" w:hAnchor="text" w:xAlign="center" w:y="1"/>
              <w:jc w:val="center"/>
              <w:rPr>
                <w:lang w:val="fr-CH"/>
              </w:rPr>
            </w:pPr>
            <w:r>
              <w:rPr>
                <w:lang w:val="fr-CH"/>
              </w:rPr>
              <w:t>47,5</w:t>
            </w:r>
          </w:p>
        </w:tc>
      </w:tr>
      <w:tr w:rsidR="002B489A">
        <w:tc>
          <w:tcPr>
            <w:tcW w:w="5581" w:type="dxa"/>
          </w:tcPr>
          <w:p w:rsidR="002B489A" w:rsidRDefault="004F19C4">
            <w:pPr>
              <w:pStyle w:val="Tabletext"/>
              <w:framePr w:hSpace="181" w:wrap="notBeside" w:vAnchor="text" w:hAnchor="text" w:xAlign="center" w:y="1"/>
              <w:jc w:val="left"/>
              <w:rPr>
                <w:lang w:val="fr-CH"/>
              </w:rPr>
            </w:pPr>
            <w:r>
              <w:rPr>
                <w:lang w:val="fr-CH"/>
              </w:rPr>
              <w:t>Gain d'antenne SETS (dBi)</w:t>
            </w:r>
          </w:p>
        </w:tc>
        <w:tc>
          <w:tcPr>
            <w:tcW w:w="2007" w:type="dxa"/>
          </w:tcPr>
          <w:p w:rsidR="002B489A" w:rsidRDefault="004F19C4">
            <w:pPr>
              <w:pStyle w:val="Tabletext"/>
              <w:framePr w:hSpace="181" w:wrap="notBeside" w:vAnchor="text" w:hAnchor="text" w:xAlign="center" w:y="1"/>
              <w:jc w:val="center"/>
              <w:rPr>
                <w:lang w:val="fr-CH"/>
              </w:rPr>
            </w:pPr>
            <w:r>
              <w:rPr>
                <w:lang w:val="fr-CH"/>
              </w:rPr>
              <w:sym w:font="Symbol" w:char="F02D"/>
            </w:r>
            <w:r>
              <w:rPr>
                <w:lang w:val="fr-CH"/>
              </w:rPr>
              <w:t>14</w:t>
            </w:r>
          </w:p>
        </w:tc>
        <w:tc>
          <w:tcPr>
            <w:tcW w:w="1929" w:type="dxa"/>
          </w:tcPr>
          <w:p w:rsidR="002B489A" w:rsidRDefault="004F19C4">
            <w:pPr>
              <w:pStyle w:val="Tabletext"/>
              <w:framePr w:hSpace="181" w:wrap="notBeside" w:vAnchor="text" w:hAnchor="text" w:xAlign="center" w:y="1"/>
              <w:jc w:val="center"/>
              <w:rPr>
                <w:lang w:val="fr-CH"/>
              </w:rPr>
            </w:pPr>
            <w:r>
              <w:rPr>
                <w:lang w:val="fr-CH"/>
              </w:rPr>
              <w:sym w:font="Symbol" w:char="F02D"/>
            </w:r>
            <w:r>
              <w:rPr>
                <w:lang w:val="fr-CH"/>
              </w:rPr>
              <w:t>23</w:t>
            </w:r>
          </w:p>
        </w:tc>
      </w:tr>
      <w:tr w:rsidR="002B489A">
        <w:tc>
          <w:tcPr>
            <w:tcW w:w="5581" w:type="dxa"/>
          </w:tcPr>
          <w:p w:rsidR="002B489A" w:rsidRDefault="004F19C4">
            <w:pPr>
              <w:pStyle w:val="Tabletext"/>
              <w:framePr w:hSpace="181" w:wrap="notBeside" w:vAnchor="text" w:hAnchor="text" w:xAlign="center" w:y="1"/>
              <w:jc w:val="left"/>
              <w:rPr>
                <w:lang w:val="fr-CH"/>
              </w:rPr>
            </w:pPr>
            <w:r>
              <w:rPr>
                <w:lang w:val="fr-CH"/>
              </w:rPr>
              <w:t>Puissance reçue au SETS dans la largeur de bande ci-dessus (dBW)</w:t>
            </w:r>
          </w:p>
        </w:tc>
        <w:tc>
          <w:tcPr>
            <w:tcW w:w="2007" w:type="dxa"/>
          </w:tcPr>
          <w:p w:rsidR="002B489A" w:rsidRDefault="004F19C4">
            <w:pPr>
              <w:pStyle w:val="Tabletext"/>
              <w:framePr w:hSpace="181" w:wrap="notBeside" w:vAnchor="text" w:hAnchor="text" w:xAlign="center" w:y="1"/>
              <w:jc w:val="center"/>
              <w:rPr>
                <w:lang w:val="fr-CH"/>
              </w:rPr>
            </w:pPr>
            <w:r>
              <w:rPr>
                <w:lang w:val="fr-CH"/>
              </w:rPr>
              <w:t>–166</w:t>
            </w:r>
          </w:p>
        </w:tc>
        <w:tc>
          <w:tcPr>
            <w:tcW w:w="1929" w:type="dxa"/>
          </w:tcPr>
          <w:p w:rsidR="002B489A" w:rsidRDefault="004F19C4">
            <w:pPr>
              <w:pStyle w:val="Tabletext"/>
              <w:framePr w:hSpace="181" w:wrap="notBeside" w:vAnchor="text" w:hAnchor="text" w:xAlign="center" w:y="1"/>
              <w:jc w:val="center"/>
              <w:rPr>
                <w:lang w:val="fr-CH"/>
              </w:rPr>
            </w:pPr>
            <w:r>
              <w:rPr>
                <w:lang w:val="fr-CH"/>
              </w:rPr>
              <w:sym w:font="Symbol" w:char="F02D"/>
            </w:r>
            <w:r>
              <w:rPr>
                <w:lang w:val="fr-CH"/>
              </w:rPr>
              <w:t>176</w:t>
            </w:r>
          </w:p>
        </w:tc>
      </w:tr>
      <w:tr w:rsidR="002B489A">
        <w:tc>
          <w:tcPr>
            <w:tcW w:w="5581" w:type="dxa"/>
          </w:tcPr>
          <w:p w:rsidR="002B489A" w:rsidRDefault="004F19C4">
            <w:pPr>
              <w:pStyle w:val="Tabletext"/>
              <w:framePr w:hSpace="181" w:wrap="notBeside" w:vAnchor="text" w:hAnchor="text" w:xAlign="center" w:y="1"/>
              <w:jc w:val="left"/>
              <w:rPr>
                <w:lang w:val="fr-CH"/>
              </w:rPr>
            </w:pPr>
            <w:r>
              <w:rPr>
                <w:lang w:val="fr-CH"/>
              </w:rPr>
              <w:t>Puissance reçue correspondante au SETS dans une largeur de bande de 20 MHz (dBW)</w:t>
            </w:r>
          </w:p>
        </w:tc>
        <w:tc>
          <w:tcPr>
            <w:tcW w:w="2007" w:type="dxa"/>
          </w:tcPr>
          <w:p w:rsidR="002B489A" w:rsidRDefault="004F19C4">
            <w:pPr>
              <w:pStyle w:val="Tabletext"/>
              <w:framePr w:hSpace="181" w:wrap="notBeside" w:vAnchor="text" w:hAnchor="text" w:xAlign="center" w:y="1"/>
              <w:jc w:val="center"/>
              <w:rPr>
                <w:lang w:val="fr-CH"/>
              </w:rPr>
            </w:pPr>
            <w:r>
              <w:rPr>
                <w:lang w:val="fr-CH"/>
              </w:rPr>
              <w:t>–169</w:t>
            </w:r>
          </w:p>
        </w:tc>
        <w:tc>
          <w:tcPr>
            <w:tcW w:w="1929" w:type="dxa"/>
          </w:tcPr>
          <w:p w:rsidR="002B489A" w:rsidRDefault="004F19C4">
            <w:pPr>
              <w:pStyle w:val="Tabletext"/>
              <w:framePr w:hSpace="181" w:wrap="notBeside" w:vAnchor="text" w:hAnchor="text" w:xAlign="center" w:y="1"/>
              <w:jc w:val="center"/>
              <w:rPr>
                <w:lang w:val="fr-CH"/>
              </w:rPr>
            </w:pPr>
            <w:r>
              <w:rPr>
                <w:lang w:val="fr-CH"/>
              </w:rPr>
              <w:sym w:font="Symbol" w:char="F02D"/>
            </w:r>
            <w:r>
              <w:rPr>
                <w:lang w:val="fr-CH"/>
              </w:rPr>
              <w:t>179</w:t>
            </w:r>
          </w:p>
        </w:tc>
      </w:tr>
      <w:tr w:rsidR="002B489A">
        <w:trPr>
          <w:trHeight w:val="65"/>
        </w:trPr>
        <w:tc>
          <w:tcPr>
            <w:tcW w:w="5581" w:type="dxa"/>
          </w:tcPr>
          <w:p w:rsidR="002B489A" w:rsidRDefault="004F19C4">
            <w:pPr>
              <w:pStyle w:val="Tabletext"/>
              <w:framePr w:hSpace="181" w:wrap="notBeside" w:vAnchor="text" w:hAnchor="text" w:xAlign="center" w:y="1"/>
              <w:jc w:val="left"/>
              <w:rPr>
                <w:lang w:val="fr-CH"/>
              </w:rPr>
            </w:pPr>
            <w:r>
              <w:rPr>
                <w:lang w:val="fr-CH"/>
              </w:rPr>
              <w:t>Seuil de brouillage dans une largeur de bande de 20 MHz (dBW)</w:t>
            </w:r>
          </w:p>
        </w:tc>
        <w:tc>
          <w:tcPr>
            <w:tcW w:w="2007" w:type="dxa"/>
          </w:tcPr>
          <w:p w:rsidR="002B489A" w:rsidRDefault="004F19C4">
            <w:pPr>
              <w:pStyle w:val="Tabletext"/>
              <w:framePr w:hSpace="181" w:wrap="notBeside" w:vAnchor="text" w:hAnchor="text" w:xAlign="center" w:y="1"/>
              <w:jc w:val="center"/>
              <w:rPr>
                <w:lang w:val="fr-CH"/>
              </w:rPr>
            </w:pPr>
            <w:r>
              <w:rPr>
                <w:lang w:val="fr-CH"/>
              </w:rPr>
              <w:t>–163</w:t>
            </w:r>
          </w:p>
        </w:tc>
        <w:tc>
          <w:tcPr>
            <w:tcW w:w="1929" w:type="dxa"/>
          </w:tcPr>
          <w:p w:rsidR="002B489A" w:rsidRDefault="004F19C4">
            <w:pPr>
              <w:pStyle w:val="Tabletext"/>
              <w:framePr w:hSpace="181" w:wrap="notBeside" w:vAnchor="text" w:hAnchor="text" w:xAlign="center" w:y="1"/>
              <w:jc w:val="center"/>
              <w:rPr>
                <w:lang w:val="fr-CH"/>
              </w:rPr>
            </w:pPr>
            <w:r>
              <w:rPr>
                <w:lang w:val="fr-CH"/>
              </w:rPr>
              <w:sym w:font="Symbol" w:char="F02D"/>
            </w:r>
            <w:r>
              <w:rPr>
                <w:lang w:val="fr-CH"/>
              </w:rPr>
              <w:t>163</w:t>
            </w:r>
          </w:p>
        </w:tc>
      </w:tr>
      <w:tr w:rsidR="002B489A">
        <w:tc>
          <w:tcPr>
            <w:tcW w:w="5581" w:type="dxa"/>
          </w:tcPr>
          <w:p w:rsidR="002B489A" w:rsidRDefault="004F19C4">
            <w:pPr>
              <w:pStyle w:val="Tabletext"/>
              <w:framePr w:hSpace="181" w:wrap="notBeside" w:vAnchor="text" w:hAnchor="text" w:xAlign="center" w:y="1"/>
              <w:jc w:val="left"/>
              <w:rPr>
                <w:lang w:val="fr-CH"/>
              </w:rPr>
            </w:pPr>
            <w:r>
              <w:rPr>
                <w:lang w:val="fr-CH"/>
              </w:rPr>
              <w:t>Différence entre puissance brouilleuse et critère de protection SETS à la p.i.r.e. de fonctionnement proposée (dB)</w:t>
            </w:r>
          </w:p>
        </w:tc>
        <w:tc>
          <w:tcPr>
            <w:tcW w:w="2007" w:type="dxa"/>
          </w:tcPr>
          <w:p w:rsidR="002B489A" w:rsidRDefault="004F19C4">
            <w:pPr>
              <w:pStyle w:val="Tabletext"/>
              <w:framePr w:hSpace="181" w:wrap="notBeside" w:vAnchor="text" w:hAnchor="text" w:xAlign="center" w:y="1"/>
              <w:jc w:val="center"/>
              <w:rPr>
                <w:lang w:val="fr-CH"/>
              </w:rPr>
            </w:pPr>
            <w:r>
              <w:rPr>
                <w:lang w:val="fr-CH"/>
              </w:rPr>
              <w:t>0</w:t>
            </w:r>
          </w:p>
        </w:tc>
        <w:tc>
          <w:tcPr>
            <w:tcW w:w="1929" w:type="dxa"/>
          </w:tcPr>
          <w:p w:rsidR="002B489A" w:rsidRDefault="004F19C4">
            <w:pPr>
              <w:pStyle w:val="Tabletext"/>
              <w:framePr w:hSpace="181" w:wrap="notBeside" w:vAnchor="text" w:hAnchor="text" w:xAlign="center" w:y="1"/>
              <w:jc w:val="center"/>
              <w:rPr>
                <w:lang w:val="fr-CH"/>
              </w:rPr>
            </w:pPr>
            <w:r>
              <w:rPr>
                <w:lang w:val="fr-CH"/>
              </w:rPr>
              <w:t>0</w:t>
            </w:r>
          </w:p>
        </w:tc>
      </w:tr>
      <w:tr w:rsidR="002B489A">
        <w:tc>
          <w:tcPr>
            <w:tcW w:w="5581" w:type="dxa"/>
          </w:tcPr>
          <w:p w:rsidR="002B489A" w:rsidRDefault="004F19C4">
            <w:pPr>
              <w:pStyle w:val="Tabletext"/>
              <w:framePr w:hSpace="181" w:wrap="notBeside" w:vAnchor="text" w:hAnchor="text" w:xAlign="center" w:y="1"/>
              <w:jc w:val="left"/>
              <w:rPr>
                <w:lang w:val="fr-CH"/>
              </w:rPr>
            </w:pPr>
            <w:r>
              <w:rPr>
                <w:lang w:val="fr-CH"/>
              </w:rPr>
              <w:t>Largeur de bande de référence pour la limite de puissance surfacique (kHz)</w:t>
            </w:r>
          </w:p>
        </w:tc>
        <w:tc>
          <w:tcPr>
            <w:tcW w:w="2007" w:type="dxa"/>
          </w:tcPr>
          <w:p w:rsidR="002B489A" w:rsidRDefault="004F19C4">
            <w:pPr>
              <w:pStyle w:val="Tabletext"/>
              <w:framePr w:hSpace="181" w:wrap="notBeside" w:vAnchor="text" w:hAnchor="text" w:xAlign="center" w:y="1"/>
              <w:jc w:val="center"/>
              <w:rPr>
                <w:lang w:val="fr-CH"/>
              </w:rPr>
            </w:pPr>
            <w:r>
              <w:rPr>
                <w:lang w:val="fr-CH"/>
              </w:rPr>
              <w:t>1</w:t>
            </w:r>
            <w:r>
              <w:rPr>
                <w:rFonts w:ascii="Tms Rmn" w:hAnsi="Tms Rmn"/>
                <w:sz w:val="12"/>
                <w:lang w:val="fr-CH"/>
              </w:rPr>
              <w:t> </w:t>
            </w:r>
            <w:r>
              <w:rPr>
                <w:lang w:val="fr-CH"/>
              </w:rPr>
              <w:t>000</w:t>
            </w:r>
          </w:p>
        </w:tc>
        <w:tc>
          <w:tcPr>
            <w:tcW w:w="1929" w:type="dxa"/>
          </w:tcPr>
          <w:p w:rsidR="002B489A" w:rsidRDefault="004F19C4">
            <w:pPr>
              <w:pStyle w:val="Tabletext"/>
              <w:framePr w:hSpace="181" w:wrap="notBeside" w:vAnchor="text" w:hAnchor="text" w:xAlign="center" w:y="1"/>
              <w:jc w:val="center"/>
              <w:rPr>
                <w:lang w:val="fr-CH"/>
              </w:rPr>
            </w:pPr>
            <w:r>
              <w:rPr>
                <w:lang w:val="fr-CH"/>
              </w:rPr>
              <w:t>1</w:t>
            </w:r>
            <w:r>
              <w:rPr>
                <w:rFonts w:ascii="Tms Rmn" w:hAnsi="Tms Rmn"/>
                <w:sz w:val="12"/>
                <w:lang w:val="fr-CH"/>
              </w:rPr>
              <w:t> </w:t>
            </w:r>
            <w:r>
              <w:rPr>
                <w:lang w:val="fr-CH"/>
              </w:rPr>
              <w:t>000</w:t>
            </w:r>
          </w:p>
        </w:tc>
      </w:tr>
      <w:tr w:rsidR="002B489A">
        <w:tc>
          <w:tcPr>
            <w:tcW w:w="5581" w:type="dxa"/>
          </w:tcPr>
          <w:p w:rsidR="002B489A" w:rsidRDefault="004F19C4">
            <w:pPr>
              <w:pStyle w:val="Tabletext"/>
              <w:framePr w:hSpace="181" w:wrap="notBeside" w:vAnchor="text" w:hAnchor="text" w:xAlign="center" w:y="1"/>
              <w:jc w:val="left"/>
              <w:rPr>
                <w:lang w:val="fr-CH"/>
              </w:rPr>
            </w:pPr>
            <w:r>
              <w:rPr>
                <w:lang w:val="fr-CH"/>
              </w:rPr>
              <w:t xml:space="preserve">Puissance surfacique maximale permise par l'Article 21 du RR </w:t>
            </w:r>
            <w:r>
              <w:t>(dB(W/(m</w:t>
            </w:r>
            <w:r>
              <w:rPr>
                <w:vertAlign w:val="superscript"/>
              </w:rPr>
              <w:t>2</w:t>
            </w:r>
            <w:r>
              <w:t> </w:t>
            </w:r>
            <w:r>
              <w:rPr>
                <w:rFonts w:ascii="Symbol" w:hAnsi="Symbol"/>
              </w:rPr>
              <w:t></w:t>
            </w:r>
            <w:r>
              <w:t> MHz)))</w:t>
            </w:r>
          </w:p>
        </w:tc>
        <w:tc>
          <w:tcPr>
            <w:tcW w:w="2007" w:type="dxa"/>
          </w:tcPr>
          <w:p w:rsidR="002B489A" w:rsidRDefault="004F19C4">
            <w:pPr>
              <w:pStyle w:val="Tabletext"/>
              <w:framePr w:hSpace="181" w:wrap="notBeside" w:vAnchor="text" w:hAnchor="text" w:xAlign="center" w:y="1"/>
              <w:jc w:val="center"/>
              <w:rPr>
                <w:lang w:val="fr-CH"/>
              </w:rPr>
            </w:pPr>
            <w:r>
              <w:rPr>
                <w:lang w:val="fr-CH"/>
              </w:rPr>
              <w:t>–116</w:t>
            </w:r>
          </w:p>
        </w:tc>
        <w:tc>
          <w:tcPr>
            <w:tcW w:w="1929" w:type="dxa"/>
          </w:tcPr>
          <w:p w:rsidR="002B489A" w:rsidRDefault="004F19C4">
            <w:pPr>
              <w:pStyle w:val="Tabletext"/>
              <w:framePr w:hSpace="181" w:wrap="notBeside" w:vAnchor="text" w:hAnchor="text" w:xAlign="center" w:y="1"/>
              <w:jc w:val="center"/>
              <w:rPr>
                <w:lang w:val="fr-CH"/>
              </w:rPr>
            </w:pPr>
            <w:r>
              <w:rPr>
                <w:lang w:val="fr-CH"/>
              </w:rPr>
              <w:t>–116</w:t>
            </w:r>
          </w:p>
        </w:tc>
      </w:tr>
      <w:tr w:rsidR="002B489A">
        <w:tc>
          <w:tcPr>
            <w:tcW w:w="5581" w:type="dxa"/>
          </w:tcPr>
          <w:p w:rsidR="002B489A" w:rsidRDefault="004F19C4">
            <w:pPr>
              <w:pStyle w:val="Tabletext"/>
              <w:framePr w:hSpace="181" w:wrap="notBeside" w:vAnchor="text" w:hAnchor="text" w:xAlign="center" w:y="1"/>
              <w:jc w:val="left"/>
              <w:rPr>
                <w:lang w:val="fr-CH"/>
              </w:rPr>
            </w:pPr>
            <w:r>
              <w:rPr>
                <w:lang w:val="fr-CH"/>
              </w:rPr>
              <w:t xml:space="preserve">Puissance surfacique produite par la densité de p.i.r.e. de fonctionnement à la surface de la Terre </w:t>
            </w:r>
            <w:r>
              <w:t>(dB(W/(m</w:t>
            </w:r>
            <w:r>
              <w:rPr>
                <w:vertAlign w:val="superscript"/>
              </w:rPr>
              <w:t>2</w:t>
            </w:r>
            <w:r>
              <w:t> </w:t>
            </w:r>
            <w:r>
              <w:rPr>
                <w:rFonts w:ascii="Symbol" w:hAnsi="Symbol"/>
              </w:rPr>
              <w:t></w:t>
            </w:r>
            <w:r>
              <w:t> MHz)))</w:t>
            </w:r>
          </w:p>
        </w:tc>
        <w:tc>
          <w:tcPr>
            <w:tcW w:w="2007" w:type="dxa"/>
          </w:tcPr>
          <w:p w:rsidR="002B489A" w:rsidRDefault="004F19C4">
            <w:pPr>
              <w:pStyle w:val="Tabletext"/>
              <w:framePr w:hSpace="181" w:wrap="notBeside" w:vAnchor="text" w:hAnchor="text" w:xAlign="center" w:y="1"/>
              <w:jc w:val="center"/>
              <w:rPr>
                <w:lang w:val="fr-CH"/>
              </w:rPr>
            </w:pPr>
            <w:r>
              <w:rPr>
                <w:lang w:val="fr-CH"/>
              </w:rPr>
              <w:t>–133</w:t>
            </w:r>
          </w:p>
        </w:tc>
        <w:tc>
          <w:tcPr>
            <w:tcW w:w="1929" w:type="dxa"/>
          </w:tcPr>
          <w:p w:rsidR="002B489A" w:rsidRDefault="004F19C4">
            <w:pPr>
              <w:pStyle w:val="Tabletext"/>
              <w:framePr w:hSpace="181" w:wrap="notBeside" w:vAnchor="text" w:hAnchor="text" w:xAlign="center" w:y="1"/>
              <w:jc w:val="center"/>
              <w:rPr>
                <w:lang w:val="fr-CH"/>
              </w:rPr>
            </w:pPr>
            <w:r>
              <w:rPr>
                <w:lang w:val="fr-CH"/>
              </w:rPr>
              <w:t>–133</w:t>
            </w:r>
          </w:p>
        </w:tc>
      </w:tr>
      <w:tr w:rsidR="002B489A">
        <w:tc>
          <w:tcPr>
            <w:tcW w:w="5581" w:type="dxa"/>
          </w:tcPr>
          <w:p w:rsidR="002B489A" w:rsidRDefault="004F19C4">
            <w:pPr>
              <w:pStyle w:val="Tabletext"/>
              <w:framePr w:hSpace="181" w:wrap="notBeside" w:vAnchor="text" w:hAnchor="text" w:xAlign="center" w:y="1"/>
              <w:jc w:val="left"/>
              <w:rPr>
                <w:lang w:val="fr-CH"/>
              </w:rPr>
            </w:pPr>
            <w:r>
              <w:rPr>
                <w:lang w:val="fr-CH"/>
              </w:rPr>
              <w:t>Augmentation admissible de la densité de p.i.r.e. (dB)</w:t>
            </w:r>
          </w:p>
        </w:tc>
        <w:tc>
          <w:tcPr>
            <w:tcW w:w="2007" w:type="dxa"/>
          </w:tcPr>
          <w:p w:rsidR="002B489A" w:rsidRDefault="004F19C4">
            <w:pPr>
              <w:pStyle w:val="Tabletext"/>
              <w:framePr w:hSpace="181" w:wrap="notBeside" w:vAnchor="text" w:hAnchor="text" w:xAlign="center" w:y="1"/>
              <w:jc w:val="center"/>
              <w:rPr>
                <w:lang w:val="fr-CH"/>
              </w:rPr>
            </w:pPr>
            <w:r>
              <w:rPr>
                <w:lang w:val="fr-CH"/>
              </w:rPr>
              <w:t>17</w:t>
            </w:r>
          </w:p>
        </w:tc>
        <w:tc>
          <w:tcPr>
            <w:tcW w:w="1929" w:type="dxa"/>
          </w:tcPr>
          <w:p w:rsidR="002B489A" w:rsidRDefault="004F19C4">
            <w:pPr>
              <w:pStyle w:val="Tabletext"/>
              <w:framePr w:hSpace="181" w:wrap="notBeside" w:vAnchor="text" w:hAnchor="text" w:xAlign="center" w:y="1"/>
              <w:jc w:val="center"/>
              <w:rPr>
                <w:lang w:val="fr-CH"/>
              </w:rPr>
            </w:pPr>
            <w:r>
              <w:rPr>
                <w:lang w:val="fr-CH"/>
              </w:rPr>
              <w:t>17</w:t>
            </w:r>
          </w:p>
        </w:tc>
      </w:tr>
      <w:tr w:rsidR="002B489A">
        <w:tc>
          <w:tcPr>
            <w:tcW w:w="5581" w:type="dxa"/>
          </w:tcPr>
          <w:p w:rsidR="002B489A" w:rsidRDefault="004F19C4">
            <w:pPr>
              <w:pStyle w:val="Tabletext"/>
              <w:framePr w:hSpace="181" w:wrap="notBeside" w:vAnchor="text" w:hAnchor="text" w:xAlign="center" w:y="1"/>
              <w:jc w:val="left"/>
              <w:rPr>
                <w:lang w:val="fr-CH"/>
              </w:rPr>
            </w:pPr>
            <w:r>
              <w:rPr>
                <w:lang w:val="fr-CH"/>
              </w:rPr>
              <w:t>Différence entre puissance brouilleuse et critère de protection SETS à la p.i.r.e. maximale admissible (dB)</w:t>
            </w:r>
          </w:p>
        </w:tc>
        <w:tc>
          <w:tcPr>
            <w:tcW w:w="2007" w:type="dxa"/>
          </w:tcPr>
          <w:p w:rsidR="002B489A" w:rsidRDefault="004F19C4">
            <w:pPr>
              <w:pStyle w:val="Tabletext"/>
              <w:framePr w:hSpace="181" w:wrap="notBeside" w:vAnchor="text" w:hAnchor="text" w:xAlign="center" w:y="1"/>
              <w:jc w:val="center"/>
              <w:rPr>
                <w:lang w:val="fr-CH"/>
              </w:rPr>
            </w:pPr>
            <w:r>
              <w:rPr>
                <w:lang w:val="fr-CH"/>
              </w:rPr>
              <w:t>11</w:t>
            </w:r>
          </w:p>
        </w:tc>
        <w:tc>
          <w:tcPr>
            <w:tcW w:w="1929" w:type="dxa"/>
          </w:tcPr>
          <w:p w:rsidR="002B489A" w:rsidRDefault="004F19C4">
            <w:pPr>
              <w:pStyle w:val="Tabletext"/>
              <w:framePr w:hSpace="181" w:wrap="notBeside" w:vAnchor="text" w:hAnchor="text" w:xAlign="center" w:y="1"/>
              <w:jc w:val="center"/>
              <w:rPr>
                <w:lang w:val="fr-CH"/>
              </w:rPr>
            </w:pPr>
            <w:r>
              <w:rPr>
                <w:lang w:val="fr-CH"/>
              </w:rPr>
              <w:t>1</w:t>
            </w:r>
          </w:p>
        </w:tc>
      </w:tr>
    </w:tbl>
    <w:p w:rsidR="002B489A" w:rsidRDefault="002B489A">
      <w:pPr>
        <w:pStyle w:val="Tablefin"/>
      </w:pPr>
    </w:p>
    <w:p w:rsidR="002B489A" w:rsidRDefault="004F19C4">
      <w:pPr>
        <w:rPr>
          <w:lang w:val="fr-CH"/>
        </w:rPr>
      </w:pPr>
      <w:r>
        <w:rPr>
          <w:lang w:val="fr-CH"/>
        </w:rPr>
        <w:t>Pour un satellite FSAT-MULTI-1B, le niveau de brouillage calculé n'excède pas le critère de brouillage du SETS. La constellation totale du réseau FSAT-MULTI-1B est composée de 64 satellites.</w:t>
      </w:r>
    </w:p>
    <w:p w:rsidR="002B489A" w:rsidRDefault="004F19C4">
      <w:pPr>
        <w:rPr>
          <w:lang w:val="fr-CH"/>
        </w:rPr>
      </w:pPr>
      <w:r>
        <w:rPr>
          <w:lang w:val="fr-CH"/>
        </w:rPr>
        <w:t>En supposant:</w:t>
      </w:r>
    </w:p>
    <w:p w:rsidR="002B489A" w:rsidRDefault="004F19C4">
      <w:pPr>
        <w:pStyle w:val="enumlev1"/>
        <w:rPr>
          <w:lang w:val="fr-CH"/>
        </w:rPr>
      </w:pPr>
      <w:r>
        <w:rPr>
          <w:lang w:val="fr-CH"/>
        </w:rPr>
        <w:t>–</w:t>
      </w:r>
      <w:r>
        <w:rPr>
          <w:lang w:val="fr-CH"/>
        </w:rPr>
        <w:tab/>
        <w:t>qu'il soit possible d'avoir jusqu'à deux satellites en visibilité du détecteur SETS; et</w:t>
      </w:r>
    </w:p>
    <w:p w:rsidR="002B489A" w:rsidRDefault="004F19C4">
      <w:pPr>
        <w:pStyle w:val="enumlev1"/>
        <w:rPr>
          <w:lang w:val="fr-CH"/>
        </w:rPr>
      </w:pPr>
      <w:r>
        <w:rPr>
          <w:lang w:val="fr-CH"/>
        </w:rPr>
        <w:t>–</w:t>
      </w:r>
      <w:r>
        <w:rPr>
          <w:lang w:val="fr-CH"/>
        </w:rPr>
        <w:tab/>
        <w:t xml:space="preserve">que la puissance individuelle reçue au SETS soit plus ou moins la même (c'est-à-dire </w:t>
      </w:r>
      <w:r>
        <w:rPr>
          <w:lang w:val="fr-CH"/>
        </w:rPr>
        <w:sym w:font="Symbol" w:char="F02D"/>
      </w:r>
      <w:r>
        <w:rPr>
          <w:lang w:val="fr-CH"/>
        </w:rPr>
        <w:t xml:space="preserve">169 dBW pour une largeur de bande de 20 MHz pour MEGHA-TROPIC et </w:t>
      </w:r>
      <w:r>
        <w:rPr>
          <w:lang w:val="fr-CH"/>
        </w:rPr>
        <w:sym w:font="Symbol" w:char="F02D"/>
      </w:r>
      <w:r>
        <w:rPr>
          <w:lang w:val="fr-CH"/>
        </w:rPr>
        <w:t>179 dBW pour EOS AMSR-E),</w:t>
      </w:r>
    </w:p>
    <w:p w:rsidR="002B489A" w:rsidRDefault="004F19C4">
      <w:pPr>
        <w:rPr>
          <w:lang w:val="fr-CH"/>
        </w:rPr>
      </w:pPr>
      <w:r>
        <w:rPr>
          <w:lang w:val="fr-CH"/>
        </w:rPr>
        <w:br w:type="page"/>
        <w:t>la puissance résultante valable pour deux satellites est égale à 10 log</w:t>
      </w:r>
      <w:r>
        <w:rPr>
          <w:vertAlign w:val="subscript"/>
        </w:rPr>
        <w:t>10</w:t>
      </w:r>
      <w:r>
        <w:t> </w:t>
      </w:r>
      <w:r>
        <w:rPr>
          <w:lang w:val="fr-CH"/>
        </w:rPr>
        <w:t>(2 </w:t>
      </w:r>
      <w:r>
        <w:rPr>
          <w:rFonts w:ascii="Symbol" w:hAnsi="Symbol"/>
          <w:lang w:val="fr-CH"/>
        </w:rPr>
        <w:t></w:t>
      </w:r>
      <w:r>
        <w:rPr>
          <w:lang w:val="fr-CH"/>
        </w:rPr>
        <w:t> 10</w:t>
      </w:r>
      <w:r>
        <w:rPr>
          <w:vertAlign w:val="superscript"/>
        </w:rPr>
        <w:t>–16,9</w:t>
      </w:r>
      <w:r>
        <w:rPr>
          <w:lang w:val="fr-CH"/>
        </w:rPr>
        <w:t>) </w:t>
      </w:r>
      <w:r>
        <w:rPr>
          <w:rFonts w:ascii="Symbol" w:hAnsi="Symbol"/>
          <w:lang w:val="fr-CH"/>
        </w:rPr>
        <w:t></w:t>
      </w:r>
      <w:r>
        <w:rPr>
          <w:lang w:val="fr-CH"/>
        </w:rPr>
        <w:t> –166 dBW pour MEGHA</w:t>
      </w:r>
      <w:r>
        <w:rPr>
          <w:lang w:val="fr-CH"/>
        </w:rPr>
        <w:noBreakHyphen/>
        <w:t>TROPIC et 10 log</w:t>
      </w:r>
      <w:r>
        <w:rPr>
          <w:vertAlign w:val="subscript"/>
        </w:rPr>
        <w:t>10</w:t>
      </w:r>
      <w:r>
        <w:t> </w:t>
      </w:r>
      <w:r>
        <w:rPr>
          <w:lang w:val="fr-CH"/>
        </w:rPr>
        <w:t>(2 </w:t>
      </w:r>
      <w:r>
        <w:rPr>
          <w:rFonts w:ascii="Symbol" w:hAnsi="Symbol"/>
          <w:lang w:val="fr-CH"/>
        </w:rPr>
        <w:t></w:t>
      </w:r>
      <w:r>
        <w:rPr>
          <w:lang w:val="fr-CH"/>
        </w:rPr>
        <w:t> 10</w:t>
      </w:r>
      <w:r>
        <w:rPr>
          <w:vertAlign w:val="superscript"/>
        </w:rPr>
        <w:t>–17,9</w:t>
      </w:r>
      <w:r>
        <w:rPr>
          <w:lang w:val="fr-CH"/>
        </w:rPr>
        <w:t>) </w:t>
      </w:r>
      <w:r>
        <w:rPr>
          <w:rFonts w:ascii="Symbol" w:hAnsi="Symbol"/>
          <w:lang w:val="fr-CH"/>
        </w:rPr>
        <w:t></w:t>
      </w:r>
      <w:r>
        <w:rPr>
          <w:lang w:val="fr-CH"/>
        </w:rPr>
        <w:t> –176 dBW pour EOS AMSR-E. Dans les deux cas, la puissance brouilleuse est également au-dessous du seuil de brouillage requis.</w:t>
      </w:r>
    </w:p>
    <w:p w:rsidR="002B489A" w:rsidRDefault="004F19C4">
      <w:pPr>
        <w:rPr>
          <w:lang w:val="fr-CH"/>
        </w:rPr>
      </w:pPr>
      <w:r>
        <w:rPr>
          <w:lang w:val="fr-CH"/>
        </w:rPr>
        <w:t>Dans le cas le plus défavorable d'un satellite SFS non OSG similaire fonctionnant avec une densité de p.i.r.e. qui produit la puissance surfacique maximale admissible à la surface de la Terre, le niveau de puissance calculée au satellite MEGHA-TROPIC excède le critère de brouillage SETS de 11 dB. Dans la même hypothèse où deux satellites de la sorte sont simultanément visibles, le niveau de brouillage calculé excède les critères SETS de (11 </w:t>
      </w:r>
      <w:r>
        <w:rPr>
          <w:rFonts w:ascii="Symbol" w:hAnsi="Symbol"/>
          <w:lang w:val="fr-CH"/>
        </w:rPr>
        <w:t></w:t>
      </w:r>
      <w:r>
        <w:rPr>
          <w:lang w:val="fr-CH"/>
        </w:rPr>
        <w:t> 10 log</w:t>
      </w:r>
      <w:r>
        <w:rPr>
          <w:vertAlign w:val="subscript"/>
          <w:lang w:val="fr-CH"/>
        </w:rPr>
        <w:t>10</w:t>
      </w:r>
      <w:r>
        <w:rPr>
          <w:lang w:val="fr-CH"/>
        </w:rPr>
        <w:t xml:space="preserve"> 2) </w:t>
      </w:r>
      <w:r>
        <w:rPr>
          <w:rFonts w:ascii="Symbol" w:hAnsi="Symbol"/>
          <w:lang w:val="fr-CH"/>
        </w:rPr>
        <w:t></w:t>
      </w:r>
      <w:r>
        <w:rPr>
          <w:lang w:val="fr-CH"/>
        </w:rPr>
        <w:t> 14 dB si chaque satellite fonctionne au niveau de puissance surfacique maximum permis. Pour le détecteur passif EOS AMSR-E de plus faible altitude, le niveau de brouillage calculé excède les critères SETS de (1 </w:t>
      </w:r>
      <w:r>
        <w:rPr>
          <w:rFonts w:ascii="Symbol" w:hAnsi="Symbol"/>
          <w:lang w:val="fr-CH"/>
        </w:rPr>
        <w:t></w:t>
      </w:r>
      <w:r>
        <w:rPr>
          <w:lang w:val="fr-CH"/>
        </w:rPr>
        <w:t> 10 log</w:t>
      </w:r>
      <w:r>
        <w:rPr>
          <w:vertAlign w:val="subscript"/>
          <w:lang w:val="fr-CH"/>
        </w:rPr>
        <w:t>10</w:t>
      </w:r>
      <w:r>
        <w:rPr>
          <w:lang w:val="fr-CH"/>
        </w:rPr>
        <w:t> 2) </w:t>
      </w:r>
      <w:r>
        <w:rPr>
          <w:rFonts w:ascii="Symbol" w:hAnsi="Symbol"/>
          <w:lang w:val="fr-CH"/>
        </w:rPr>
        <w:t></w:t>
      </w:r>
      <w:r>
        <w:rPr>
          <w:lang w:val="fr-CH"/>
        </w:rPr>
        <w:t> 4 dB pour le cas à deux satellites.</w:t>
      </w:r>
    </w:p>
    <w:p w:rsidR="002B489A" w:rsidRDefault="004F19C4">
      <w:pPr>
        <w:pStyle w:val="Heading4"/>
        <w:rPr>
          <w:lang w:val="fr-CH"/>
        </w:rPr>
      </w:pPr>
      <w:r>
        <w:rPr>
          <w:lang w:val="fr-CH"/>
        </w:rPr>
        <w:t>4.2.2.2</w:t>
      </w:r>
      <w:r>
        <w:rPr>
          <w:lang w:val="fr-CH"/>
        </w:rPr>
        <w:tab/>
        <w:t>Cas 2 – réseaux non OSG (trajet quasiment rasant)</w:t>
      </w:r>
    </w:p>
    <w:p w:rsidR="002B489A" w:rsidRDefault="004F19C4">
      <w:pPr>
        <w:rPr>
          <w:lang w:val="fr-CH"/>
        </w:rPr>
      </w:pPr>
      <w:r>
        <w:rPr>
          <w:lang w:val="fr-CH"/>
        </w:rPr>
        <w:t>Pour le cas 2, la situation géographique est telle que le satellite du SFS est dans la direction du gain d'antenne maximum du détecteur SETS. Ce cas n'existe pas parce que:</w:t>
      </w:r>
    </w:p>
    <w:p w:rsidR="002B489A" w:rsidRDefault="004F19C4">
      <w:pPr>
        <w:pStyle w:val="enumlev1"/>
        <w:rPr>
          <w:lang w:val="fr-CH"/>
        </w:rPr>
      </w:pPr>
      <w:r>
        <w:rPr>
          <w:lang w:val="fr-CH"/>
        </w:rPr>
        <w:t>–</w:t>
      </w:r>
      <w:r>
        <w:rPr>
          <w:lang w:val="fr-CH"/>
        </w:rPr>
        <w:tab/>
        <w:t>l'ouverture de faisceau complète de l'antenne du faisceau principal est égale à 6,7º et concentre plus de 90% de l'énergie;</w:t>
      </w:r>
    </w:p>
    <w:p w:rsidR="002B489A" w:rsidRDefault="004F19C4">
      <w:pPr>
        <w:pStyle w:val="enumlev1"/>
        <w:rPr>
          <w:lang w:val="fr-CH"/>
        </w:rPr>
      </w:pPr>
      <w:r>
        <w:rPr>
          <w:lang w:val="fr-CH"/>
        </w:rPr>
        <w:t>–</w:t>
      </w:r>
      <w:r>
        <w:rPr>
          <w:lang w:val="fr-CH"/>
        </w:rPr>
        <w:tab/>
        <w:t>l'angle réel et opérationnel hors nadir du détecteur SETS est de 44º;</w:t>
      </w:r>
    </w:p>
    <w:p w:rsidR="002B489A" w:rsidRDefault="004F19C4">
      <w:pPr>
        <w:pStyle w:val="enumlev1"/>
        <w:rPr>
          <w:lang w:val="fr-CH"/>
        </w:rPr>
      </w:pPr>
      <w:r>
        <w:rPr>
          <w:lang w:val="fr-CH"/>
        </w:rPr>
        <w:t>–</w:t>
      </w:r>
      <w:r>
        <w:rPr>
          <w:lang w:val="fr-CH"/>
        </w:rPr>
        <w:tab/>
        <w:t>l'écartement minimum hors nadir du satellite SETS où le ciel est vu est d'environ 60º; et</w:t>
      </w:r>
    </w:p>
    <w:p w:rsidR="002B489A" w:rsidRDefault="004F19C4">
      <w:pPr>
        <w:pStyle w:val="enumlev1"/>
        <w:rPr>
          <w:lang w:val="fr-CH"/>
        </w:rPr>
      </w:pPr>
      <w:r>
        <w:rPr>
          <w:lang w:val="fr-CH"/>
        </w:rPr>
        <w:t>–</w:t>
      </w:r>
      <w:r>
        <w:rPr>
          <w:lang w:val="fr-CH"/>
        </w:rPr>
        <w:tab/>
        <w:t xml:space="preserve">les lobes latéraux de l'antenne SETS au-dessus de cet angle minimum hors nadir sont déjà au-dessous de </w:t>
      </w:r>
      <w:r>
        <w:rPr>
          <w:lang w:val="fr-CH"/>
        </w:rPr>
        <w:sym w:font="Symbol" w:char="F02D"/>
      </w:r>
      <w:r>
        <w:rPr>
          <w:lang w:val="fr-CH"/>
        </w:rPr>
        <w:t>30 dB.</w:t>
      </w:r>
    </w:p>
    <w:p w:rsidR="002B489A" w:rsidRDefault="004F19C4">
      <w:pPr>
        <w:pStyle w:val="Heading3"/>
        <w:rPr>
          <w:lang w:val="fr-CH"/>
        </w:rPr>
      </w:pPr>
      <w:r>
        <w:rPr>
          <w:lang w:val="fr-CH"/>
        </w:rPr>
        <w:t>4.2.3</w:t>
      </w:r>
      <w:r>
        <w:rPr>
          <w:lang w:val="fr-CH"/>
        </w:rPr>
        <w:tab/>
        <w:t>Calculs avec les réseaux elliptiques/HEO (réception du lobe arrière)</w:t>
      </w:r>
    </w:p>
    <w:p w:rsidR="002B489A" w:rsidRDefault="004F19C4">
      <w:pPr>
        <w:rPr>
          <w:lang w:val="fr-CH"/>
        </w:rPr>
      </w:pPr>
      <w:r>
        <w:rPr>
          <w:lang w:val="fr-CH"/>
        </w:rPr>
        <w:t>La situation géométrique considérée est telle que le détecteur SETS est situé directement au</w:t>
      </w:r>
      <w:r>
        <w:rPr>
          <w:lang w:val="fr-CH"/>
        </w:rPr>
        <w:noBreakHyphen/>
        <w:t>dessous du satellite SFS émetteur.</w:t>
      </w:r>
    </w:p>
    <w:p w:rsidR="002B489A" w:rsidRDefault="004F19C4">
      <w:pPr>
        <w:rPr>
          <w:lang w:val="fr-CH"/>
        </w:rPr>
      </w:pPr>
      <w:r>
        <w:rPr>
          <w:lang w:val="fr-CH"/>
        </w:rPr>
        <w:t>La différence entre le niveau de brouillage et les critères SETS est calculée dans le Tableau 19 lorsque les liaisons descendantes du SFS sont sur la même fréquence que les détecteurs du SETS (passive). Dans le cas d'opérations au périgée, la p.i.r.e./porteuse a été ajustée au niveau qui produirait juste la puissance surfacique maximale admissible à la surface de la Terre.</w:t>
      </w:r>
    </w:p>
    <w:p w:rsidR="002B489A" w:rsidRDefault="004F19C4">
      <w:pPr>
        <w:pStyle w:val="TableNo"/>
        <w:rPr>
          <w:lang w:val="fr-CH"/>
        </w:rPr>
      </w:pPr>
      <w:r>
        <w:rPr>
          <w:lang w:val="fr-CH"/>
        </w:rPr>
        <w:t>TABLEAU  19</w:t>
      </w:r>
    </w:p>
    <w:p w:rsidR="002B489A" w:rsidRDefault="004F19C4">
      <w:pPr>
        <w:pStyle w:val="Tabletitle"/>
        <w:rPr>
          <w:lang w:val="fr-CH"/>
        </w:rPr>
      </w:pPr>
      <w:r>
        <w:rPr>
          <w:lang w:val="fr-CH"/>
        </w:rPr>
        <w:t>Analyse de compatibilité avec des réseaux elliptiques</w:t>
      </w:r>
    </w:p>
    <w:tbl>
      <w:tblPr>
        <w:tblW w:w="963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5645"/>
        <w:gridCol w:w="998"/>
        <w:gridCol w:w="999"/>
        <w:gridCol w:w="998"/>
        <w:gridCol w:w="999"/>
      </w:tblGrid>
      <w:tr w:rsidR="002B489A">
        <w:trPr>
          <w:tblHeader/>
        </w:trPr>
        <w:tc>
          <w:tcPr>
            <w:tcW w:w="5645" w:type="dxa"/>
            <w:tcBorders>
              <w:top w:val="single" w:sz="4" w:space="0" w:color="auto"/>
              <w:left w:val="single" w:sz="4" w:space="0" w:color="auto"/>
              <w:bottom w:val="single" w:sz="6" w:space="0" w:color="000000"/>
            </w:tcBorders>
          </w:tcPr>
          <w:p w:rsidR="002B489A" w:rsidRDefault="004F19C4">
            <w:pPr>
              <w:pStyle w:val="Tablehead"/>
              <w:framePr w:hSpace="181" w:wrap="notBeside" w:vAnchor="text" w:hAnchor="text" w:xAlign="center" w:y="1"/>
              <w:ind w:left="-57" w:right="-57"/>
              <w:rPr>
                <w:lang w:val="es-ES"/>
              </w:rPr>
            </w:pPr>
            <w:r>
              <w:rPr>
                <w:lang w:val="es-ES"/>
              </w:rPr>
              <w:t>Paramètre</w:t>
            </w:r>
          </w:p>
        </w:tc>
        <w:tc>
          <w:tcPr>
            <w:tcW w:w="1997" w:type="dxa"/>
            <w:gridSpan w:val="2"/>
            <w:tcBorders>
              <w:top w:val="single" w:sz="4" w:space="0" w:color="auto"/>
              <w:bottom w:val="single" w:sz="6" w:space="0" w:color="000000"/>
            </w:tcBorders>
          </w:tcPr>
          <w:p w:rsidR="002B489A" w:rsidRDefault="004F19C4">
            <w:pPr>
              <w:pStyle w:val="Tablehead"/>
              <w:framePr w:hSpace="181" w:wrap="notBeside" w:vAnchor="text" w:hAnchor="text" w:xAlign="center" w:y="1"/>
              <w:ind w:left="-57" w:right="-57"/>
              <w:rPr>
                <w:lang w:val="es-ES"/>
              </w:rPr>
            </w:pPr>
            <w:r>
              <w:rPr>
                <w:lang w:val="es-ES"/>
              </w:rPr>
              <w:t>MEGHA-TROPIC</w:t>
            </w:r>
          </w:p>
        </w:tc>
        <w:tc>
          <w:tcPr>
            <w:tcW w:w="1997" w:type="dxa"/>
            <w:gridSpan w:val="2"/>
            <w:tcBorders>
              <w:top w:val="single" w:sz="4" w:space="0" w:color="auto"/>
              <w:bottom w:val="single" w:sz="6" w:space="0" w:color="000000"/>
              <w:right w:val="single" w:sz="4" w:space="0" w:color="auto"/>
            </w:tcBorders>
          </w:tcPr>
          <w:p w:rsidR="002B489A" w:rsidRDefault="004F19C4">
            <w:pPr>
              <w:pStyle w:val="Tablehead"/>
              <w:framePr w:hSpace="181" w:wrap="notBeside" w:vAnchor="text" w:hAnchor="text" w:xAlign="center" w:y="1"/>
              <w:ind w:left="-57" w:right="-57"/>
              <w:rPr>
                <w:lang w:val="es-ES"/>
              </w:rPr>
            </w:pPr>
            <w:r>
              <w:rPr>
                <w:lang w:val="es-ES"/>
              </w:rPr>
              <w:t>EOS AMSR-E</w:t>
            </w:r>
          </w:p>
        </w:tc>
      </w:tr>
      <w:tr w:rsidR="002B489A">
        <w:tc>
          <w:tcPr>
            <w:tcW w:w="5645" w:type="dxa"/>
            <w:tcBorders>
              <w:top w:val="single" w:sz="6" w:space="0" w:color="000000"/>
              <w:left w:val="single" w:sz="4" w:space="0" w:color="auto"/>
              <w:bottom w:val="single" w:sz="6" w:space="0" w:color="000000"/>
            </w:tcBorders>
          </w:tcPr>
          <w:p w:rsidR="002B489A" w:rsidRDefault="004F19C4">
            <w:pPr>
              <w:pStyle w:val="Tabletext"/>
              <w:framePr w:hSpace="181" w:wrap="notBeside" w:vAnchor="text" w:hAnchor="text" w:xAlign="center" w:y="1"/>
              <w:jc w:val="left"/>
              <w:rPr>
                <w:lang w:val="fr-CH"/>
              </w:rPr>
            </w:pPr>
            <w:r>
              <w:rPr>
                <w:lang w:val="fr-CH"/>
              </w:rPr>
              <w:t>Gamme de fréquences de la liaison descendante (GHz)</w:t>
            </w:r>
          </w:p>
        </w:tc>
        <w:tc>
          <w:tcPr>
            <w:tcW w:w="1997" w:type="dxa"/>
            <w:gridSpan w:val="2"/>
            <w:tcBorders>
              <w:top w:val="single" w:sz="6" w:space="0" w:color="000000"/>
              <w:bottom w:val="single" w:sz="6" w:space="0" w:color="000000"/>
            </w:tcBorders>
          </w:tcPr>
          <w:p w:rsidR="002B489A" w:rsidRDefault="004F19C4">
            <w:pPr>
              <w:pStyle w:val="Tabletext"/>
              <w:framePr w:hSpace="181" w:wrap="notBeside" w:vAnchor="text" w:hAnchor="text" w:xAlign="center" w:y="1"/>
              <w:jc w:val="center"/>
              <w:rPr>
                <w:lang w:val="fr-CH"/>
              </w:rPr>
            </w:pPr>
            <w:r>
              <w:rPr>
                <w:lang w:val="fr-CH"/>
              </w:rPr>
              <w:t>10,7</w:t>
            </w:r>
            <w:r>
              <w:rPr>
                <w:lang w:val="fr-CH"/>
              </w:rPr>
              <w:noBreakHyphen/>
              <w:t>11,7</w:t>
            </w:r>
          </w:p>
        </w:tc>
        <w:tc>
          <w:tcPr>
            <w:tcW w:w="1997" w:type="dxa"/>
            <w:gridSpan w:val="2"/>
            <w:tcBorders>
              <w:top w:val="single" w:sz="6" w:space="0" w:color="000000"/>
              <w:bottom w:val="single" w:sz="6" w:space="0" w:color="000000"/>
              <w:right w:val="single" w:sz="4" w:space="0" w:color="auto"/>
            </w:tcBorders>
          </w:tcPr>
          <w:p w:rsidR="002B489A" w:rsidRDefault="004F19C4">
            <w:pPr>
              <w:pStyle w:val="Tabletext"/>
              <w:framePr w:hSpace="181" w:wrap="notBeside" w:vAnchor="text" w:hAnchor="text" w:xAlign="center" w:y="1"/>
              <w:jc w:val="center"/>
              <w:rPr>
                <w:lang w:val="fr-CH"/>
              </w:rPr>
            </w:pPr>
            <w:r>
              <w:rPr>
                <w:lang w:val="fr-CH"/>
              </w:rPr>
              <w:t>10,7</w:t>
            </w:r>
            <w:r>
              <w:rPr>
                <w:lang w:val="fr-CH"/>
              </w:rPr>
              <w:noBreakHyphen/>
              <w:t>11,7</w:t>
            </w:r>
          </w:p>
        </w:tc>
      </w:tr>
      <w:tr w:rsidR="002B489A">
        <w:tc>
          <w:tcPr>
            <w:tcW w:w="5645" w:type="dxa"/>
            <w:tcBorders>
              <w:top w:val="single" w:sz="6" w:space="0" w:color="000000"/>
              <w:left w:val="single" w:sz="4" w:space="0" w:color="auto"/>
              <w:bottom w:val="single" w:sz="6" w:space="0" w:color="000000"/>
            </w:tcBorders>
          </w:tcPr>
          <w:p w:rsidR="002B489A" w:rsidRDefault="004F19C4">
            <w:pPr>
              <w:pStyle w:val="Tabletext"/>
              <w:framePr w:hSpace="181" w:wrap="notBeside" w:vAnchor="text" w:hAnchor="text" w:xAlign="center" w:y="1"/>
              <w:jc w:val="left"/>
              <w:rPr>
                <w:lang w:val="fr-CH"/>
              </w:rPr>
            </w:pPr>
            <w:r>
              <w:rPr>
                <w:lang w:val="fr-CH"/>
              </w:rPr>
              <w:t>p.i.r.e./porteuse pour un faisceau (dBW)</w:t>
            </w:r>
          </w:p>
        </w:tc>
        <w:tc>
          <w:tcPr>
            <w:tcW w:w="1997" w:type="dxa"/>
            <w:gridSpan w:val="2"/>
            <w:tcBorders>
              <w:top w:val="single" w:sz="6" w:space="0" w:color="000000"/>
              <w:bottom w:val="single" w:sz="6" w:space="0" w:color="000000"/>
            </w:tcBorders>
          </w:tcPr>
          <w:p w:rsidR="002B489A" w:rsidRDefault="004F19C4">
            <w:pPr>
              <w:pStyle w:val="Tabletext"/>
              <w:framePr w:hSpace="181" w:wrap="notBeside" w:vAnchor="text" w:hAnchor="text" w:xAlign="center" w:y="1"/>
              <w:jc w:val="center"/>
              <w:rPr>
                <w:lang w:val="fr-CH"/>
              </w:rPr>
            </w:pPr>
            <w:r>
              <w:rPr>
                <w:lang w:val="fr-CH"/>
              </w:rPr>
              <w:t>58</w:t>
            </w:r>
          </w:p>
        </w:tc>
        <w:tc>
          <w:tcPr>
            <w:tcW w:w="1997" w:type="dxa"/>
            <w:gridSpan w:val="2"/>
            <w:tcBorders>
              <w:top w:val="single" w:sz="6" w:space="0" w:color="000000"/>
              <w:bottom w:val="single" w:sz="6" w:space="0" w:color="000000"/>
              <w:right w:val="single" w:sz="4" w:space="0" w:color="auto"/>
            </w:tcBorders>
          </w:tcPr>
          <w:p w:rsidR="002B489A" w:rsidRDefault="004F19C4">
            <w:pPr>
              <w:pStyle w:val="Tabletext"/>
              <w:framePr w:hSpace="181" w:wrap="notBeside" w:vAnchor="text" w:hAnchor="text" w:xAlign="center" w:y="1"/>
              <w:jc w:val="center"/>
              <w:rPr>
                <w:lang w:val="fr-CH"/>
              </w:rPr>
            </w:pPr>
            <w:r>
              <w:rPr>
                <w:lang w:val="fr-CH"/>
              </w:rPr>
              <w:t>58</w:t>
            </w:r>
          </w:p>
        </w:tc>
      </w:tr>
      <w:tr w:rsidR="002B489A">
        <w:tc>
          <w:tcPr>
            <w:tcW w:w="5645" w:type="dxa"/>
            <w:tcBorders>
              <w:top w:val="single" w:sz="6" w:space="0" w:color="000000"/>
              <w:left w:val="single" w:sz="4" w:space="0" w:color="auto"/>
              <w:bottom w:val="single" w:sz="6" w:space="0" w:color="000000"/>
            </w:tcBorders>
          </w:tcPr>
          <w:p w:rsidR="002B489A" w:rsidRDefault="004F19C4">
            <w:pPr>
              <w:pStyle w:val="Tabletext"/>
              <w:framePr w:hSpace="181" w:wrap="notBeside" w:vAnchor="text" w:hAnchor="text" w:xAlign="center" w:y="1"/>
              <w:jc w:val="left"/>
              <w:rPr>
                <w:lang w:val="fr-CH"/>
              </w:rPr>
            </w:pPr>
            <w:r>
              <w:rPr>
                <w:lang w:val="fr-CH"/>
              </w:rPr>
              <w:t>Largeur de bande (MHz)</w:t>
            </w:r>
          </w:p>
        </w:tc>
        <w:tc>
          <w:tcPr>
            <w:tcW w:w="1997" w:type="dxa"/>
            <w:gridSpan w:val="2"/>
            <w:tcBorders>
              <w:top w:val="single" w:sz="6" w:space="0" w:color="000000"/>
              <w:bottom w:val="single" w:sz="6" w:space="0" w:color="000000"/>
            </w:tcBorders>
          </w:tcPr>
          <w:p w:rsidR="002B489A" w:rsidRDefault="004F19C4">
            <w:pPr>
              <w:pStyle w:val="Tabletext"/>
              <w:framePr w:hSpace="181" w:wrap="notBeside" w:vAnchor="text" w:hAnchor="text" w:xAlign="center" w:y="1"/>
              <w:jc w:val="center"/>
              <w:rPr>
                <w:lang w:val="en-US"/>
              </w:rPr>
            </w:pPr>
            <w:r>
              <w:rPr>
                <w:lang w:val="en-US"/>
              </w:rPr>
              <w:t>24</w:t>
            </w:r>
          </w:p>
        </w:tc>
        <w:tc>
          <w:tcPr>
            <w:tcW w:w="1997" w:type="dxa"/>
            <w:gridSpan w:val="2"/>
            <w:tcBorders>
              <w:top w:val="single" w:sz="6" w:space="0" w:color="000000"/>
              <w:bottom w:val="single" w:sz="6" w:space="0" w:color="000000"/>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24</w:t>
            </w:r>
          </w:p>
        </w:tc>
      </w:tr>
      <w:tr w:rsidR="002B489A">
        <w:tc>
          <w:tcPr>
            <w:tcW w:w="5645" w:type="dxa"/>
            <w:tcBorders>
              <w:top w:val="single" w:sz="6" w:space="0" w:color="000000"/>
              <w:left w:val="single" w:sz="4" w:space="0" w:color="auto"/>
              <w:bottom w:val="single" w:sz="6" w:space="0" w:color="000000"/>
            </w:tcBorders>
          </w:tcPr>
          <w:p w:rsidR="002B489A" w:rsidRDefault="004F19C4">
            <w:pPr>
              <w:pStyle w:val="Tabletext"/>
              <w:framePr w:hSpace="181" w:wrap="notBeside" w:vAnchor="text" w:hAnchor="text" w:xAlign="center" w:y="1"/>
              <w:jc w:val="left"/>
              <w:rPr>
                <w:lang w:val="en-US"/>
              </w:rPr>
            </w:pPr>
            <w:r>
              <w:rPr>
                <w:lang w:val="en-US"/>
              </w:rPr>
              <w:t>Distance FSAT-SETS (km)</w:t>
            </w:r>
          </w:p>
        </w:tc>
        <w:tc>
          <w:tcPr>
            <w:tcW w:w="998" w:type="dxa"/>
            <w:tcBorders>
              <w:top w:val="single" w:sz="6" w:space="0" w:color="000000"/>
              <w:bottom w:val="single" w:sz="6" w:space="0" w:color="000000"/>
            </w:tcBorders>
          </w:tcPr>
          <w:p w:rsidR="002B489A" w:rsidRDefault="004F19C4">
            <w:pPr>
              <w:pStyle w:val="Tabletext"/>
              <w:framePr w:hSpace="181" w:wrap="notBeside" w:vAnchor="text" w:hAnchor="text" w:xAlign="center" w:y="1"/>
              <w:ind w:left="-57" w:right="-57"/>
              <w:jc w:val="center"/>
              <w:rPr>
                <w:lang w:val="fr-CH"/>
              </w:rPr>
            </w:pPr>
            <w:r>
              <w:rPr>
                <w:lang w:val="fr-CH"/>
              </w:rPr>
              <w:t>40 632 (apogée)</w:t>
            </w:r>
          </w:p>
        </w:tc>
        <w:tc>
          <w:tcPr>
            <w:tcW w:w="999" w:type="dxa"/>
            <w:tcBorders>
              <w:top w:val="single" w:sz="6" w:space="0" w:color="000000"/>
              <w:bottom w:val="single" w:sz="6" w:space="0" w:color="000000"/>
            </w:tcBorders>
          </w:tcPr>
          <w:p w:rsidR="002B489A" w:rsidRDefault="004F19C4">
            <w:pPr>
              <w:pStyle w:val="Tabletext"/>
              <w:framePr w:hSpace="181" w:wrap="notBeside" w:vAnchor="text" w:hAnchor="text" w:xAlign="center" w:y="1"/>
              <w:ind w:left="-57" w:right="-57"/>
              <w:jc w:val="center"/>
              <w:rPr>
                <w:lang w:val="fr-CH"/>
              </w:rPr>
            </w:pPr>
            <w:r>
              <w:rPr>
                <w:lang w:val="fr-CH"/>
              </w:rPr>
              <w:t>3 283 (périgée)</w:t>
            </w:r>
          </w:p>
        </w:tc>
        <w:tc>
          <w:tcPr>
            <w:tcW w:w="998" w:type="dxa"/>
            <w:tcBorders>
              <w:top w:val="single" w:sz="6" w:space="0" w:color="000000"/>
              <w:bottom w:val="single" w:sz="6" w:space="0" w:color="000000"/>
            </w:tcBorders>
          </w:tcPr>
          <w:p w:rsidR="002B489A" w:rsidRDefault="004F19C4">
            <w:pPr>
              <w:pStyle w:val="Tabletext"/>
              <w:framePr w:hSpace="181" w:wrap="notBeside" w:vAnchor="text" w:hAnchor="text" w:xAlign="center" w:y="1"/>
              <w:ind w:left="-57" w:right="-57"/>
              <w:jc w:val="center"/>
              <w:rPr>
                <w:lang w:val="fr-CH"/>
              </w:rPr>
            </w:pPr>
            <w:r>
              <w:rPr>
                <w:lang w:val="fr-CH"/>
              </w:rPr>
              <w:t>40 744 (apogée)</w:t>
            </w:r>
          </w:p>
        </w:tc>
        <w:tc>
          <w:tcPr>
            <w:tcW w:w="999" w:type="dxa"/>
            <w:tcBorders>
              <w:top w:val="single" w:sz="6" w:space="0" w:color="000000"/>
              <w:bottom w:val="single" w:sz="6" w:space="0" w:color="000000"/>
              <w:right w:val="single" w:sz="4" w:space="0" w:color="auto"/>
            </w:tcBorders>
          </w:tcPr>
          <w:p w:rsidR="002B489A" w:rsidRDefault="004F19C4">
            <w:pPr>
              <w:pStyle w:val="Tabletext"/>
              <w:framePr w:hSpace="181" w:wrap="notBeside" w:vAnchor="text" w:hAnchor="text" w:xAlign="center" w:y="1"/>
              <w:ind w:left="-57" w:right="-57"/>
              <w:jc w:val="center"/>
              <w:rPr>
                <w:lang w:val="fr-CH"/>
              </w:rPr>
            </w:pPr>
            <w:r>
              <w:rPr>
                <w:lang w:val="fr-CH"/>
              </w:rPr>
              <w:t>3 395 (périgée)</w:t>
            </w:r>
          </w:p>
        </w:tc>
      </w:tr>
      <w:tr w:rsidR="002B489A">
        <w:tc>
          <w:tcPr>
            <w:tcW w:w="5645" w:type="dxa"/>
            <w:tcBorders>
              <w:top w:val="single" w:sz="6" w:space="0" w:color="000000"/>
              <w:left w:val="single" w:sz="4" w:space="0" w:color="auto"/>
              <w:bottom w:val="single" w:sz="6" w:space="0" w:color="000000"/>
            </w:tcBorders>
          </w:tcPr>
          <w:p w:rsidR="002B489A" w:rsidRDefault="004F19C4">
            <w:pPr>
              <w:pStyle w:val="Tabletext"/>
              <w:framePr w:hSpace="181" w:wrap="notBeside" w:vAnchor="text" w:hAnchor="text" w:xAlign="center" w:y="1"/>
              <w:jc w:val="left"/>
              <w:rPr>
                <w:lang w:val="fr-CH"/>
              </w:rPr>
            </w:pPr>
            <w:r>
              <w:rPr>
                <w:lang w:val="fr-CH"/>
              </w:rPr>
              <w:t>Limite de puissance surfacique ajustée de la p.i.r.e./porteuse au périgée pour un faisceau (dBW)</w:t>
            </w:r>
          </w:p>
        </w:tc>
        <w:tc>
          <w:tcPr>
            <w:tcW w:w="998" w:type="dxa"/>
            <w:tcBorders>
              <w:top w:val="single" w:sz="6" w:space="0" w:color="000000"/>
              <w:bottom w:val="single" w:sz="6" w:space="0" w:color="000000"/>
            </w:tcBorders>
          </w:tcPr>
          <w:p w:rsidR="002B489A" w:rsidRDefault="004F19C4">
            <w:pPr>
              <w:pStyle w:val="Tabletext"/>
              <w:framePr w:hSpace="181" w:wrap="notBeside" w:vAnchor="text" w:hAnchor="text" w:xAlign="center" w:y="1"/>
              <w:ind w:left="-57" w:right="-57"/>
              <w:jc w:val="center"/>
              <w:rPr>
                <w:lang w:val="fr-CH"/>
              </w:rPr>
            </w:pPr>
            <w:r>
              <w:rPr>
                <w:lang w:val="fr-CH"/>
              </w:rPr>
              <w:t>58</w:t>
            </w:r>
          </w:p>
        </w:tc>
        <w:tc>
          <w:tcPr>
            <w:tcW w:w="999" w:type="dxa"/>
            <w:tcBorders>
              <w:top w:val="single" w:sz="6" w:space="0" w:color="000000"/>
              <w:bottom w:val="single" w:sz="6" w:space="0" w:color="000000"/>
            </w:tcBorders>
          </w:tcPr>
          <w:p w:rsidR="002B489A" w:rsidRDefault="004F19C4">
            <w:pPr>
              <w:pStyle w:val="Tabletext"/>
              <w:framePr w:hSpace="181" w:wrap="notBeside" w:vAnchor="text" w:hAnchor="text" w:xAlign="center" w:y="1"/>
              <w:ind w:left="-57" w:right="-57"/>
              <w:jc w:val="center"/>
              <w:rPr>
                <w:lang w:val="fr-CH"/>
              </w:rPr>
            </w:pPr>
            <w:r>
              <w:rPr>
                <w:lang w:val="fr-CH"/>
              </w:rPr>
              <w:t>41</w:t>
            </w:r>
          </w:p>
        </w:tc>
        <w:tc>
          <w:tcPr>
            <w:tcW w:w="998" w:type="dxa"/>
            <w:tcBorders>
              <w:top w:val="single" w:sz="6" w:space="0" w:color="000000"/>
              <w:bottom w:val="single" w:sz="6" w:space="0" w:color="000000"/>
            </w:tcBorders>
          </w:tcPr>
          <w:p w:rsidR="002B489A" w:rsidRDefault="004F19C4">
            <w:pPr>
              <w:pStyle w:val="Tabletext"/>
              <w:framePr w:hSpace="181" w:wrap="notBeside" w:vAnchor="text" w:hAnchor="text" w:xAlign="center" w:y="1"/>
              <w:ind w:left="-57" w:right="-57"/>
              <w:jc w:val="center"/>
              <w:rPr>
                <w:lang w:val="fr-CH"/>
              </w:rPr>
            </w:pPr>
            <w:r>
              <w:rPr>
                <w:lang w:val="fr-CH"/>
              </w:rPr>
              <w:t>58</w:t>
            </w:r>
          </w:p>
        </w:tc>
        <w:tc>
          <w:tcPr>
            <w:tcW w:w="999" w:type="dxa"/>
            <w:tcBorders>
              <w:top w:val="single" w:sz="6" w:space="0" w:color="000000"/>
              <w:bottom w:val="single" w:sz="6" w:space="0" w:color="000000"/>
              <w:right w:val="single" w:sz="4" w:space="0" w:color="auto"/>
            </w:tcBorders>
          </w:tcPr>
          <w:p w:rsidR="002B489A" w:rsidRDefault="004F19C4">
            <w:pPr>
              <w:pStyle w:val="Tabletext"/>
              <w:framePr w:hSpace="181" w:wrap="notBeside" w:vAnchor="text" w:hAnchor="text" w:xAlign="center" w:y="1"/>
              <w:ind w:left="-57" w:right="-57"/>
              <w:jc w:val="center"/>
              <w:rPr>
                <w:lang w:val="fr-CH"/>
              </w:rPr>
            </w:pPr>
            <w:r>
              <w:rPr>
                <w:lang w:val="fr-CH"/>
              </w:rPr>
              <w:t>41</w:t>
            </w:r>
          </w:p>
        </w:tc>
      </w:tr>
      <w:tr w:rsidR="002B489A">
        <w:tc>
          <w:tcPr>
            <w:tcW w:w="5645" w:type="dxa"/>
            <w:tcBorders>
              <w:top w:val="single" w:sz="6" w:space="0" w:color="000000"/>
              <w:left w:val="single" w:sz="4" w:space="0" w:color="auto"/>
              <w:bottom w:val="single" w:sz="6" w:space="0" w:color="000000"/>
            </w:tcBorders>
          </w:tcPr>
          <w:p w:rsidR="002B489A" w:rsidRDefault="004F19C4">
            <w:pPr>
              <w:pStyle w:val="Tabletext"/>
              <w:framePr w:hSpace="181" w:wrap="notBeside" w:vAnchor="text" w:hAnchor="text" w:xAlign="center" w:y="1"/>
              <w:jc w:val="left"/>
              <w:rPr>
                <w:lang w:val="fr-CH"/>
              </w:rPr>
            </w:pPr>
            <w:r>
              <w:rPr>
                <w:lang w:val="fr-CH"/>
              </w:rPr>
              <w:t>Affaiblissement en espace libre (dB)</w:t>
            </w:r>
          </w:p>
        </w:tc>
        <w:tc>
          <w:tcPr>
            <w:tcW w:w="998" w:type="dxa"/>
            <w:tcBorders>
              <w:top w:val="single" w:sz="6" w:space="0" w:color="000000"/>
              <w:bottom w:val="single" w:sz="6" w:space="0" w:color="000000"/>
            </w:tcBorders>
          </w:tcPr>
          <w:p w:rsidR="002B489A" w:rsidRDefault="004F19C4">
            <w:pPr>
              <w:pStyle w:val="Tabletext"/>
              <w:framePr w:hSpace="181" w:wrap="notBeside" w:vAnchor="text" w:hAnchor="text" w:xAlign="center" w:y="1"/>
              <w:ind w:left="-57" w:right="-57"/>
              <w:jc w:val="center"/>
              <w:rPr>
                <w:lang w:val="fr-CH"/>
              </w:rPr>
            </w:pPr>
            <w:r>
              <w:rPr>
                <w:lang w:val="fr-CH"/>
              </w:rPr>
              <w:t>205</w:t>
            </w:r>
          </w:p>
        </w:tc>
        <w:tc>
          <w:tcPr>
            <w:tcW w:w="999" w:type="dxa"/>
            <w:tcBorders>
              <w:top w:val="single" w:sz="6" w:space="0" w:color="000000"/>
              <w:bottom w:val="single" w:sz="6" w:space="0" w:color="000000"/>
            </w:tcBorders>
          </w:tcPr>
          <w:p w:rsidR="002B489A" w:rsidRDefault="004F19C4">
            <w:pPr>
              <w:pStyle w:val="Tabletext"/>
              <w:framePr w:hSpace="181" w:wrap="notBeside" w:vAnchor="text" w:hAnchor="text" w:xAlign="center" w:y="1"/>
              <w:ind w:left="-57" w:right="-57"/>
              <w:jc w:val="center"/>
              <w:rPr>
                <w:lang w:val="fr-CH"/>
              </w:rPr>
            </w:pPr>
            <w:r>
              <w:rPr>
                <w:lang w:val="fr-CH"/>
              </w:rPr>
              <w:t>183</w:t>
            </w:r>
          </w:p>
        </w:tc>
        <w:tc>
          <w:tcPr>
            <w:tcW w:w="998" w:type="dxa"/>
            <w:tcBorders>
              <w:top w:val="single" w:sz="6" w:space="0" w:color="000000"/>
              <w:bottom w:val="single" w:sz="6" w:space="0" w:color="000000"/>
            </w:tcBorders>
          </w:tcPr>
          <w:p w:rsidR="002B489A" w:rsidRDefault="004F19C4">
            <w:pPr>
              <w:pStyle w:val="Tabletext"/>
              <w:framePr w:hSpace="181" w:wrap="notBeside" w:vAnchor="text" w:hAnchor="text" w:xAlign="center" w:y="1"/>
              <w:ind w:left="-57" w:right="-57"/>
              <w:jc w:val="center"/>
              <w:rPr>
                <w:lang w:val="fr-CH"/>
              </w:rPr>
            </w:pPr>
            <w:r>
              <w:rPr>
                <w:lang w:val="fr-CH"/>
              </w:rPr>
              <w:t>205</w:t>
            </w:r>
          </w:p>
        </w:tc>
        <w:tc>
          <w:tcPr>
            <w:tcW w:w="999" w:type="dxa"/>
            <w:tcBorders>
              <w:top w:val="single" w:sz="6" w:space="0" w:color="000000"/>
              <w:bottom w:val="single" w:sz="6" w:space="0" w:color="000000"/>
              <w:right w:val="single" w:sz="4" w:space="0" w:color="auto"/>
            </w:tcBorders>
          </w:tcPr>
          <w:p w:rsidR="002B489A" w:rsidRDefault="004F19C4">
            <w:pPr>
              <w:pStyle w:val="Tabletext"/>
              <w:framePr w:hSpace="181" w:wrap="notBeside" w:vAnchor="text" w:hAnchor="text" w:xAlign="center" w:y="1"/>
              <w:ind w:left="-57" w:right="-57"/>
              <w:jc w:val="center"/>
              <w:rPr>
                <w:lang w:val="fr-CH"/>
              </w:rPr>
            </w:pPr>
            <w:r>
              <w:rPr>
                <w:lang w:val="fr-CH"/>
              </w:rPr>
              <w:t>184</w:t>
            </w:r>
          </w:p>
        </w:tc>
      </w:tr>
      <w:tr w:rsidR="002B489A">
        <w:tc>
          <w:tcPr>
            <w:tcW w:w="5645" w:type="dxa"/>
            <w:tcBorders>
              <w:top w:val="single" w:sz="6" w:space="0" w:color="000000"/>
              <w:left w:val="single" w:sz="4" w:space="0" w:color="auto"/>
              <w:bottom w:val="single" w:sz="6" w:space="0" w:color="000000"/>
            </w:tcBorders>
          </w:tcPr>
          <w:p w:rsidR="002B489A" w:rsidRDefault="004F19C4">
            <w:pPr>
              <w:pStyle w:val="Tabletext"/>
              <w:framePr w:hSpace="181" w:wrap="notBeside" w:vAnchor="text" w:hAnchor="text" w:xAlign="center" w:y="1"/>
              <w:jc w:val="left"/>
              <w:rPr>
                <w:lang w:val="fr-CH"/>
              </w:rPr>
            </w:pPr>
            <w:r>
              <w:rPr>
                <w:lang w:val="fr-CH"/>
              </w:rPr>
              <w:t>Angle de décalage paraboloïde du SETS avec le nadir (degrés)</w:t>
            </w:r>
          </w:p>
        </w:tc>
        <w:tc>
          <w:tcPr>
            <w:tcW w:w="998" w:type="dxa"/>
            <w:tcBorders>
              <w:top w:val="single" w:sz="6" w:space="0" w:color="000000"/>
              <w:bottom w:val="single" w:sz="6" w:space="0" w:color="000000"/>
            </w:tcBorders>
          </w:tcPr>
          <w:p w:rsidR="002B489A" w:rsidRDefault="004F19C4">
            <w:pPr>
              <w:pStyle w:val="Tabletext"/>
              <w:framePr w:hSpace="181" w:wrap="notBeside" w:vAnchor="text" w:hAnchor="text" w:xAlign="center" w:y="1"/>
              <w:ind w:left="-57" w:right="-57"/>
              <w:jc w:val="center"/>
              <w:rPr>
                <w:lang w:val="fr-CH"/>
              </w:rPr>
            </w:pPr>
            <w:r>
              <w:rPr>
                <w:lang w:val="fr-CH"/>
              </w:rPr>
              <w:t>44</w:t>
            </w:r>
          </w:p>
        </w:tc>
        <w:tc>
          <w:tcPr>
            <w:tcW w:w="999" w:type="dxa"/>
            <w:tcBorders>
              <w:top w:val="single" w:sz="6" w:space="0" w:color="000000"/>
              <w:bottom w:val="single" w:sz="6" w:space="0" w:color="000000"/>
            </w:tcBorders>
          </w:tcPr>
          <w:p w:rsidR="002B489A" w:rsidRDefault="004F19C4">
            <w:pPr>
              <w:pStyle w:val="Tabletext"/>
              <w:framePr w:hSpace="181" w:wrap="notBeside" w:vAnchor="text" w:hAnchor="text" w:xAlign="center" w:y="1"/>
              <w:ind w:left="-57" w:right="-57"/>
              <w:jc w:val="center"/>
              <w:rPr>
                <w:lang w:val="fr-CH"/>
              </w:rPr>
            </w:pPr>
            <w:r>
              <w:rPr>
                <w:lang w:val="fr-CH"/>
              </w:rPr>
              <w:t>44</w:t>
            </w:r>
          </w:p>
        </w:tc>
        <w:tc>
          <w:tcPr>
            <w:tcW w:w="998" w:type="dxa"/>
            <w:tcBorders>
              <w:top w:val="single" w:sz="6" w:space="0" w:color="000000"/>
              <w:bottom w:val="single" w:sz="6" w:space="0" w:color="000000"/>
            </w:tcBorders>
          </w:tcPr>
          <w:p w:rsidR="002B489A" w:rsidRDefault="004F19C4">
            <w:pPr>
              <w:pStyle w:val="Tabletext"/>
              <w:framePr w:hSpace="181" w:wrap="notBeside" w:vAnchor="text" w:hAnchor="text" w:xAlign="center" w:y="1"/>
              <w:ind w:left="-57" w:right="-57"/>
              <w:jc w:val="center"/>
              <w:rPr>
                <w:lang w:val="fr-CH"/>
              </w:rPr>
            </w:pPr>
            <w:r>
              <w:rPr>
                <w:lang w:val="fr-CH"/>
              </w:rPr>
              <w:t>47,5</w:t>
            </w:r>
          </w:p>
        </w:tc>
        <w:tc>
          <w:tcPr>
            <w:tcW w:w="999" w:type="dxa"/>
            <w:tcBorders>
              <w:top w:val="single" w:sz="6" w:space="0" w:color="000000"/>
              <w:bottom w:val="single" w:sz="6" w:space="0" w:color="000000"/>
              <w:right w:val="single" w:sz="4" w:space="0" w:color="auto"/>
            </w:tcBorders>
          </w:tcPr>
          <w:p w:rsidR="002B489A" w:rsidRDefault="004F19C4">
            <w:pPr>
              <w:pStyle w:val="Tabletext"/>
              <w:framePr w:hSpace="181" w:wrap="notBeside" w:vAnchor="text" w:hAnchor="text" w:xAlign="center" w:y="1"/>
              <w:ind w:left="-57" w:right="-57"/>
              <w:jc w:val="center"/>
              <w:rPr>
                <w:lang w:val="fr-CH"/>
              </w:rPr>
            </w:pPr>
            <w:r>
              <w:rPr>
                <w:lang w:val="fr-CH"/>
              </w:rPr>
              <w:t>47,5</w:t>
            </w:r>
          </w:p>
        </w:tc>
      </w:tr>
    </w:tbl>
    <w:p w:rsidR="002B489A" w:rsidRDefault="002B489A">
      <w:pPr>
        <w:pStyle w:val="Tablefin"/>
      </w:pPr>
    </w:p>
    <w:p w:rsidR="002B489A" w:rsidRDefault="004F19C4">
      <w:pPr>
        <w:pStyle w:val="TableNo"/>
      </w:pPr>
      <w:r>
        <w:rPr>
          <w:lang w:val="fr-CH"/>
        </w:rPr>
        <w:br w:type="page"/>
        <w:t>TABLEAU  19 (</w:t>
      </w:r>
      <w:r>
        <w:rPr>
          <w:i/>
          <w:iCs/>
          <w:lang w:val="fr-CH"/>
        </w:rPr>
        <w:t>suite</w:t>
      </w:r>
      <w:r>
        <w:rPr>
          <w:lang w:val="fr-CH"/>
        </w:rPr>
        <w:t>)</w:t>
      </w:r>
    </w:p>
    <w:tbl>
      <w:tblPr>
        <w:tblW w:w="963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5645"/>
        <w:gridCol w:w="998"/>
        <w:gridCol w:w="999"/>
        <w:gridCol w:w="998"/>
        <w:gridCol w:w="999"/>
      </w:tblGrid>
      <w:tr w:rsidR="002B489A">
        <w:trPr>
          <w:tblHeader/>
        </w:trPr>
        <w:tc>
          <w:tcPr>
            <w:tcW w:w="5645" w:type="dxa"/>
            <w:tcBorders>
              <w:top w:val="single" w:sz="4" w:space="0" w:color="auto"/>
              <w:left w:val="single" w:sz="4" w:space="0" w:color="auto"/>
              <w:bottom w:val="single" w:sz="6" w:space="0" w:color="000000"/>
            </w:tcBorders>
          </w:tcPr>
          <w:p w:rsidR="002B489A" w:rsidRDefault="004F19C4">
            <w:pPr>
              <w:pStyle w:val="Tablehead"/>
              <w:framePr w:hSpace="181" w:wrap="notBeside" w:vAnchor="text" w:hAnchor="text" w:xAlign="center" w:y="1"/>
              <w:ind w:left="-57" w:right="-57"/>
              <w:rPr>
                <w:lang w:val="fr-CH"/>
              </w:rPr>
            </w:pPr>
            <w:r>
              <w:rPr>
                <w:lang w:val="fr-CH"/>
              </w:rPr>
              <w:t>Paramètre</w:t>
            </w:r>
          </w:p>
        </w:tc>
        <w:tc>
          <w:tcPr>
            <w:tcW w:w="1997" w:type="dxa"/>
            <w:gridSpan w:val="2"/>
            <w:tcBorders>
              <w:top w:val="single" w:sz="4" w:space="0" w:color="auto"/>
              <w:bottom w:val="single" w:sz="6" w:space="0" w:color="000000"/>
            </w:tcBorders>
          </w:tcPr>
          <w:p w:rsidR="002B489A" w:rsidRDefault="004F19C4">
            <w:pPr>
              <w:pStyle w:val="Tablehead"/>
              <w:framePr w:hSpace="181" w:wrap="notBeside" w:vAnchor="text" w:hAnchor="text" w:xAlign="center" w:y="1"/>
              <w:ind w:left="-57" w:right="-57"/>
              <w:rPr>
                <w:lang w:val="es-ES"/>
              </w:rPr>
            </w:pPr>
            <w:r>
              <w:rPr>
                <w:lang w:val="es-ES"/>
              </w:rPr>
              <w:t>MEGHA-TROPIC</w:t>
            </w:r>
          </w:p>
        </w:tc>
        <w:tc>
          <w:tcPr>
            <w:tcW w:w="1997" w:type="dxa"/>
            <w:gridSpan w:val="2"/>
            <w:tcBorders>
              <w:top w:val="single" w:sz="4" w:space="0" w:color="auto"/>
              <w:bottom w:val="single" w:sz="6" w:space="0" w:color="000000"/>
              <w:right w:val="single" w:sz="4" w:space="0" w:color="auto"/>
            </w:tcBorders>
          </w:tcPr>
          <w:p w:rsidR="002B489A" w:rsidRDefault="004F19C4">
            <w:pPr>
              <w:pStyle w:val="Tablehead"/>
              <w:framePr w:hSpace="181" w:wrap="notBeside" w:vAnchor="text" w:hAnchor="text" w:xAlign="center" w:y="1"/>
              <w:ind w:left="-57" w:right="-57"/>
              <w:rPr>
                <w:lang w:val="es-ES"/>
              </w:rPr>
            </w:pPr>
            <w:r>
              <w:rPr>
                <w:lang w:val="es-ES"/>
              </w:rPr>
              <w:t>EOS AMSR-E</w:t>
            </w:r>
          </w:p>
        </w:tc>
      </w:tr>
      <w:tr w:rsidR="002B489A">
        <w:tc>
          <w:tcPr>
            <w:tcW w:w="5645" w:type="dxa"/>
            <w:tcBorders>
              <w:top w:val="single" w:sz="6" w:space="0" w:color="000000"/>
              <w:left w:val="single" w:sz="4" w:space="0" w:color="auto"/>
              <w:bottom w:val="single" w:sz="6" w:space="0" w:color="000000"/>
            </w:tcBorders>
          </w:tcPr>
          <w:p w:rsidR="002B489A" w:rsidRDefault="004F19C4">
            <w:pPr>
              <w:pStyle w:val="Tabletext"/>
              <w:framePr w:hSpace="181" w:wrap="notBeside" w:vAnchor="text" w:hAnchor="text" w:xAlign="center" w:y="1"/>
              <w:jc w:val="left"/>
              <w:rPr>
                <w:lang w:val="fr-CH"/>
              </w:rPr>
            </w:pPr>
            <w:r>
              <w:rPr>
                <w:lang w:val="fr-CH"/>
              </w:rPr>
              <w:t>Gain de l'antenne SETS (dBi)</w:t>
            </w:r>
          </w:p>
        </w:tc>
        <w:tc>
          <w:tcPr>
            <w:tcW w:w="998" w:type="dxa"/>
            <w:tcBorders>
              <w:top w:val="single" w:sz="6" w:space="0" w:color="000000"/>
              <w:bottom w:val="single" w:sz="6" w:space="0" w:color="000000"/>
            </w:tcBorders>
          </w:tcPr>
          <w:p w:rsidR="002B489A" w:rsidRDefault="004F19C4">
            <w:pPr>
              <w:pStyle w:val="Tabletext"/>
              <w:framePr w:hSpace="181" w:wrap="notBeside" w:vAnchor="text" w:hAnchor="text" w:xAlign="center" w:y="1"/>
              <w:ind w:left="-57" w:right="-57"/>
              <w:jc w:val="center"/>
              <w:rPr>
                <w:lang w:val="fr-CH"/>
              </w:rPr>
            </w:pPr>
            <w:r>
              <w:rPr>
                <w:lang w:val="fr-CH"/>
              </w:rPr>
              <w:sym w:font="Symbol" w:char="F02D"/>
            </w:r>
            <w:r>
              <w:rPr>
                <w:lang w:val="fr-CH"/>
              </w:rPr>
              <w:t>14</w:t>
            </w:r>
          </w:p>
        </w:tc>
        <w:tc>
          <w:tcPr>
            <w:tcW w:w="999" w:type="dxa"/>
            <w:tcBorders>
              <w:top w:val="single" w:sz="6" w:space="0" w:color="000000"/>
              <w:bottom w:val="single" w:sz="6" w:space="0" w:color="000000"/>
            </w:tcBorders>
          </w:tcPr>
          <w:p w:rsidR="002B489A" w:rsidRDefault="004F19C4">
            <w:pPr>
              <w:pStyle w:val="Tabletext"/>
              <w:framePr w:hSpace="181" w:wrap="notBeside" w:vAnchor="text" w:hAnchor="text" w:xAlign="center" w:y="1"/>
              <w:ind w:left="-57" w:right="-57"/>
              <w:jc w:val="center"/>
              <w:rPr>
                <w:lang w:val="fr-CH"/>
              </w:rPr>
            </w:pPr>
            <w:r>
              <w:rPr>
                <w:lang w:val="fr-CH"/>
              </w:rPr>
              <w:sym w:font="Symbol" w:char="F02D"/>
            </w:r>
            <w:r>
              <w:rPr>
                <w:lang w:val="fr-CH"/>
              </w:rPr>
              <w:t>14</w:t>
            </w:r>
          </w:p>
        </w:tc>
        <w:tc>
          <w:tcPr>
            <w:tcW w:w="998" w:type="dxa"/>
            <w:tcBorders>
              <w:top w:val="single" w:sz="6" w:space="0" w:color="000000"/>
              <w:bottom w:val="single" w:sz="6" w:space="0" w:color="000000"/>
            </w:tcBorders>
          </w:tcPr>
          <w:p w:rsidR="002B489A" w:rsidRDefault="004F19C4">
            <w:pPr>
              <w:pStyle w:val="Tabletext"/>
              <w:framePr w:hSpace="181" w:wrap="notBeside" w:vAnchor="text" w:hAnchor="text" w:xAlign="center" w:y="1"/>
              <w:ind w:left="-57" w:right="-57"/>
              <w:jc w:val="center"/>
              <w:rPr>
                <w:lang w:val="fr-CH"/>
              </w:rPr>
            </w:pPr>
            <w:r>
              <w:rPr>
                <w:lang w:val="fr-CH"/>
              </w:rPr>
              <w:sym w:font="Symbol" w:char="F02D"/>
            </w:r>
            <w:r>
              <w:rPr>
                <w:lang w:val="fr-CH"/>
              </w:rPr>
              <w:t>23</w:t>
            </w:r>
          </w:p>
        </w:tc>
        <w:tc>
          <w:tcPr>
            <w:tcW w:w="999" w:type="dxa"/>
            <w:tcBorders>
              <w:top w:val="single" w:sz="6" w:space="0" w:color="000000"/>
              <w:bottom w:val="single" w:sz="6" w:space="0" w:color="000000"/>
              <w:right w:val="single" w:sz="4" w:space="0" w:color="auto"/>
            </w:tcBorders>
          </w:tcPr>
          <w:p w:rsidR="002B489A" w:rsidRDefault="004F19C4">
            <w:pPr>
              <w:pStyle w:val="Tabletext"/>
              <w:framePr w:hSpace="181" w:wrap="notBeside" w:vAnchor="text" w:hAnchor="text" w:xAlign="center" w:y="1"/>
              <w:ind w:left="-57" w:right="-57"/>
              <w:jc w:val="center"/>
              <w:rPr>
                <w:lang w:val="fr-CH"/>
              </w:rPr>
            </w:pPr>
            <w:r>
              <w:rPr>
                <w:lang w:val="fr-CH"/>
              </w:rPr>
              <w:sym w:font="Symbol" w:char="F02D"/>
            </w:r>
            <w:r>
              <w:rPr>
                <w:lang w:val="fr-CH"/>
              </w:rPr>
              <w:t>23</w:t>
            </w:r>
          </w:p>
        </w:tc>
      </w:tr>
      <w:tr w:rsidR="002B489A">
        <w:tc>
          <w:tcPr>
            <w:tcW w:w="5645" w:type="dxa"/>
            <w:tcBorders>
              <w:top w:val="single" w:sz="6" w:space="0" w:color="000000"/>
              <w:left w:val="single" w:sz="4" w:space="0" w:color="auto"/>
              <w:bottom w:val="single" w:sz="6" w:space="0" w:color="000000"/>
            </w:tcBorders>
          </w:tcPr>
          <w:p w:rsidR="002B489A" w:rsidRDefault="004F19C4">
            <w:pPr>
              <w:pStyle w:val="Tabletext"/>
              <w:framePr w:hSpace="181" w:wrap="notBeside" w:vAnchor="text" w:hAnchor="text" w:xAlign="center" w:y="1"/>
              <w:jc w:val="left"/>
              <w:rPr>
                <w:lang w:val="fr-CH"/>
              </w:rPr>
            </w:pPr>
            <w:r>
              <w:rPr>
                <w:lang w:val="fr-CH"/>
              </w:rPr>
              <w:t>Puissance reçue au SETS dans la largeur de bande ci</w:t>
            </w:r>
            <w:r>
              <w:rPr>
                <w:lang w:val="fr-CH"/>
              </w:rPr>
              <w:noBreakHyphen/>
              <w:t>dessus (dBW)</w:t>
            </w:r>
          </w:p>
        </w:tc>
        <w:tc>
          <w:tcPr>
            <w:tcW w:w="998" w:type="dxa"/>
            <w:tcBorders>
              <w:top w:val="single" w:sz="6" w:space="0" w:color="000000"/>
              <w:bottom w:val="single" w:sz="6" w:space="0" w:color="000000"/>
            </w:tcBorders>
          </w:tcPr>
          <w:p w:rsidR="002B489A" w:rsidRDefault="004F19C4">
            <w:pPr>
              <w:pStyle w:val="Tabletext"/>
              <w:framePr w:hSpace="181" w:wrap="notBeside" w:vAnchor="text" w:hAnchor="text" w:xAlign="center" w:y="1"/>
              <w:ind w:left="-57" w:right="-57"/>
              <w:jc w:val="center"/>
              <w:rPr>
                <w:lang w:val="fr-CH"/>
              </w:rPr>
            </w:pPr>
            <w:r>
              <w:rPr>
                <w:lang w:val="fr-CH"/>
              </w:rPr>
              <w:sym w:font="Symbol" w:char="F02D"/>
            </w:r>
            <w:r>
              <w:rPr>
                <w:lang w:val="fr-CH"/>
              </w:rPr>
              <w:t>161</w:t>
            </w:r>
          </w:p>
        </w:tc>
        <w:tc>
          <w:tcPr>
            <w:tcW w:w="999" w:type="dxa"/>
            <w:tcBorders>
              <w:top w:val="single" w:sz="6" w:space="0" w:color="000000"/>
              <w:bottom w:val="single" w:sz="6" w:space="0" w:color="000000"/>
            </w:tcBorders>
          </w:tcPr>
          <w:p w:rsidR="002B489A" w:rsidRDefault="004F19C4">
            <w:pPr>
              <w:pStyle w:val="Tabletext"/>
              <w:framePr w:hSpace="181" w:wrap="notBeside" w:vAnchor="text" w:hAnchor="text" w:xAlign="center" w:y="1"/>
              <w:ind w:left="-57" w:right="-57"/>
              <w:jc w:val="center"/>
              <w:rPr>
                <w:lang w:val="fr-CH"/>
              </w:rPr>
            </w:pPr>
            <w:r>
              <w:rPr>
                <w:lang w:val="fr-CH"/>
              </w:rPr>
              <w:sym w:font="Symbol" w:char="F02D"/>
            </w:r>
            <w:r>
              <w:rPr>
                <w:lang w:val="fr-CH"/>
              </w:rPr>
              <w:t>156</w:t>
            </w:r>
          </w:p>
        </w:tc>
        <w:tc>
          <w:tcPr>
            <w:tcW w:w="998" w:type="dxa"/>
            <w:tcBorders>
              <w:top w:val="single" w:sz="6" w:space="0" w:color="000000"/>
              <w:bottom w:val="single" w:sz="6" w:space="0" w:color="000000"/>
            </w:tcBorders>
          </w:tcPr>
          <w:p w:rsidR="002B489A" w:rsidRDefault="004F19C4">
            <w:pPr>
              <w:pStyle w:val="Tabletext"/>
              <w:framePr w:hSpace="181" w:wrap="notBeside" w:vAnchor="text" w:hAnchor="text" w:xAlign="center" w:y="1"/>
              <w:ind w:left="-57" w:right="-57"/>
              <w:jc w:val="center"/>
              <w:rPr>
                <w:lang w:val="fr-CH"/>
              </w:rPr>
            </w:pPr>
            <w:r>
              <w:rPr>
                <w:lang w:val="fr-CH"/>
              </w:rPr>
              <w:sym w:font="Symbol" w:char="F02D"/>
            </w:r>
            <w:r>
              <w:rPr>
                <w:lang w:val="fr-CH"/>
              </w:rPr>
              <w:t>170</w:t>
            </w:r>
          </w:p>
        </w:tc>
        <w:tc>
          <w:tcPr>
            <w:tcW w:w="999" w:type="dxa"/>
            <w:tcBorders>
              <w:top w:val="single" w:sz="6" w:space="0" w:color="000000"/>
              <w:bottom w:val="single" w:sz="6" w:space="0" w:color="000000"/>
              <w:right w:val="single" w:sz="4" w:space="0" w:color="auto"/>
            </w:tcBorders>
          </w:tcPr>
          <w:p w:rsidR="002B489A" w:rsidRDefault="004F19C4">
            <w:pPr>
              <w:pStyle w:val="Tabletext"/>
              <w:framePr w:hSpace="181" w:wrap="notBeside" w:vAnchor="text" w:hAnchor="text" w:xAlign="center" w:y="1"/>
              <w:ind w:left="-57" w:right="-57"/>
              <w:jc w:val="center"/>
              <w:rPr>
                <w:lang w:val="fr-CH"/>
              </w:rPr>
            </w:pPr>
            <w:r>
              <w:rPr>
                <w:lang w:val="fr-CH"/>
              </w:rPr>
              <w:sym w:font="Symbol" w:char="F02D"/>
            </w:r>
            <w:r>
              <w:rPr>
                <w:lang w:val="fr-CH"/>
              </w:rPr>
              <w:t>166</w:t>
            </w:r>
          </w:p>
        </w:tc>
      </w:tr>
      <w:tr w:rsidR="002B489A">
        <w:tc>
          <w:tcPr>
            <w:tcW w:w="5645" w:type="dxa"/>
            <w:tcBorders>
              <w:top w:val="single" w:sz="6" w:space="0" w:color="000000"/>
              <w:left w:val="single" w:sz="4" w:space="0" w:color="auto"/>
              <w:bottom w:val="single" w:sz="6" w:space="0" w:color="000000"/>
            </w:tcBorders>
          </w:tcPr>
          <w:p w:rsidR="002B489A" w:rsidRDefault="004F19C4">
            <w:pPr>
              <w:pStyle w:val="Tabletext"/>
              <w:framePr w:hSpace="181" w:wrap="notBeside" w:vAnchor="text" w:hAnchor="text" w:xAlign="center" w:y="1"/>
              <w:jc w:val="left"/>
              <w:rPr>
                <w:lang w:val="fr-CH"/>
              </w:rPr>
            </w:pPr>
            <w:r>
              <w:rPr>
                <w:lang w:val="fr-CH"/>
              </w:rPr>
              <w:t>Puissance correspondante reçue au SETS dans une largeur de bande de 20 MHz (dBW)</w:t>
            </w:r>
          </w:p>
        </w:tc>
        <w:tc>
          <w:tcPr>
            <w:tcW w:w="998" w:type="dxa"/>
            <w:tcBorders>
              <w:top w:val="single" w:sz="6" w:space="0" w:color="000000"/>
              <w:bottom w:val="single" w:sz="6" w:space="0" w:color="000000"/>
            </w:tcBorders>
          </w:tcPr>
          <w:p w:rsidR="002B489A" w:rsidRDefault="004F19C4">
            <w:pPr>
              <w:pStyle w:val="Tabletext"/>
              <w:framePr w:hSpace="181" w:wrap="notBeside" w:vAnchor="text" w:hAnchor="text" w:xAlign="center" w:y="1"/>
              <w:ind w:left="-57" w:right="-57"/>
              <w:jc w:val="center"/>
              <w:rPr>
                <w:lang w:val="fr-CH"/>
              </w:rPr>
            </w:pPr>
            <w:r>
              <w:rPr>
                <w:lang w:val="fr-CH"/>
              </w:rPr>
              <w:sym w:font="Symbol" w:char="F02D"/>
            </w:r>
            <w:r>
              <w:rPr>
                <w:lang w:val="fr-CH"/>
              </w:rPr>
              <w:t>162</w:t>
            </w:r>
          </w:p>
        </w:tc>
        <w:tc>
          <w:tcPr>
            <w:tcW w:w="999" w:type="dxa"/>
            <w:tcBorders>
              <w:top w:val="single" w:sz="6" w:space="0" w:color="000000"/>
              <w:bottom w:val="single" w:sz="6" w:space="0" w:color="000000"/>
            </w:tcBorders>
          </w:tcPr>
          <w:p w:rsidR="002B489A" w:rsidRDefault="004F19C4">
            <w:pPr>
              <w:pStyle w:val="Tabletext"/>
              <w:framePr w:hSpace="181" w:wrap="notBeside" w:vAnchor="text" w:hAnchor="text" w:xAlign="center" w:y="1"/>
              <w:ind w:left="-57" w:right="-57"/>
              <w:jc w:val="center"/>
              <w:rPr>
                <w:lang w:val="fr-CH"/>
              </w:rPr>
            </w:pPr>
            <w:r>
              <w:rPr>
                <w:lang w:val="fr-CH"/>
              </w:rPr>
              <w:sym w:font="Symbol" w:char="F02D"/>
            </w:r>
            <w:r>
              <w:rPr>
                <w:lang w:val="fr-CH"/>
              </w:rPr>
              <w:t>157</w:t>
            </w:r>
          </w:p>
        </w:tc>
        <w:tc>
          <w:tcPr>
            <w:tcW w:w="998" w:type="dxa"/>
            <w:tcBorders>
              <w:top w:val="single" w:sz="6" w:space="0" w:color="000000"/>
              <w:bottom w:val="single" w:sz="6" w:space="0" w:color="000000"/>
            </w:tcBorders>
          </w:tcPr>
          <w:p w:rsidR="002B489A" w:rsidRDefault="004F19C4">
            <w:pPr>
              <w:pStyle w:val="Tabletext"/>
              <w:framePr w:hSpace="181" w:wrap="notBeside" w:vAnchor="text" w:hAnchor="text" w:xAlign="center" w:y="1"/>
              <w:ind w:left="-57" w:right="-57"/>
              <w:jc w:val="center"/>
              <w:rPr>
                <w:lang w:val="fr-CH"/>
              </w:rPr>
            </w:pPr>
            <w:r>
              <w:rPr>
                <w:lang w:val="fr-CH"/>
              </w:rPr>
              <w:sym w:font="Symbol" w:char="F02D"/>
            </w:r>
            <w:r>
              <w:rPr>
                <w:lang w:val="fr-CH"/>
              </w:rPr>
              <w:t>171</w:t>
            </w:r>
          </w:p>
        </w:tc>
        <w:tc>
          <w:tcPr>
            <w:tcW w:w="999" w:type="dxa"/>
            <w:tcBorders>
              <w:top w:val="single" w:sz="6" w:space="0" w:color="000000"/>
              <w:bottom w:val="single" w:sz="6" w:space="0" w:color="000000"/>
              <w:right w:val="single" w:sz="4" w:space="0" w:color="auto"/>
            </w:tcBorders>
          </w:tcPr>
          <w:p w:rsidR="002B489A" w:rsidRDefault="004F19C4">
            <w:pPr>
              <w:pStyle w:val="Tabletext"/>
              <w:framePr w:hSpace="181" w:wrap="notBeside" w:vAnchor="text" w:hAnchor="text" w:xAlign="center" w:y="1"/>
              <w:ind w:left="-57" w:right="-57"/>
              <w:jc w:val="center"/>
              <w:rPr>
                <w:lang w:val="fr-CH"/>
              </w:rPr>
            </w:pPr>
            <w:r>
              <w:rPr>
                <w:lang w:val="fr-CH"/>
              </w:rPr>
              <w:sym w:font="Symbol" w:char="F02D"/>
            </w:r>
            <w:r>
              <w:rPr>
                <w:lang w:val="fr-CH"/>
              </w:rPr>
              <w:t>167</w:t>
            </w:r>
          </w:p>
        </w:tc>
      </w:tr>
      <w:tr w:rsidR="002B489A">
        <w:trPr>
          <w:trHeight w:val="580"/>
        </w:trPr>
        <w:tc>
          <w:tcPr>
            <w:tcW w:w="5645" w:type="dxa"/>
            <w:tcBorders>
              <w:top w:val="single" w:sz="6" w:space="0" w:color="000000"/>
              <w:left w:val="single" w:sz="4" w:space="0" w:color="auto"/>
              <w:bottom w:val="single" w:sz="6" w:space="0" w:color="000000"/>
            </w:tcBorders>
          </w:tcPr>
          <w:p w:rsidR="002B489A" w:rsidRDefault="004F19C4">
            <w:pPr>
              <w:pStyle w:val="Tabletext"/>
              <w:framePr w:hSpace="181" w:wrap="notBeside" w:vAnchor="text" w:hAnchor="text" w:xAlign="center" w:y="1"/>
              <w:jc w:val="left"/>
              <w:rPr>
                <w:lang w:val="fr-CH"/>
              </w:rPr>
            </w:pPr>
            <w:r>
              <w:rPr>
                <w:lang w:val="fr-CH"/>
              </w:rPr>
              <w:t>Seuil de brouillage dans une largeur de bande de 20 MHz (dBW)</w:t>
            </w:r>
          </w:p>
        </w:tc>
        <w:tc>
          <w:tcPr>
            <w:tcW w:w="998" w:type="dxa"/>
            <w:tcBorders>
              <w:top w:val="single" w:sz="6" w:space="0" w:color="000000"/>
              <w:bottom w:val="single" w:sz="6" w:space="0" w:color="000000"/>
            </w:tcBorders>
          </w:tcPr>
          <w:p w:rsidR="002B489A" w:rsidRDefault="004F19C4">
            <w:pPr>
              <w:pStyle w:val="Tabletext"/>
              <w:framePr w:hSpace="181" w:wrap="notBeside" w:vAnchor="text" w:hAnchor="text" w:xAlign="center" w:y="1"/>
              <w:ind w:left="-57" w:right="-57"/>
              <w:jc w:val="center"/>
              <w:rPr>
                <w:lang w:val="fr-CH"/>
              </w:rPr>
            </w:pPr>
            <w:r>
              <w:rPr>
                <w:lang w:val="fr-CH"/>
              </w:rPr>
              <w:sym w:font="Symbol" w:char="F02D"/>
            </w:r>
            <w:r>
              <w:rPr>
                <w:lang w:val="fr-CH"/>
              </w:rPr>
              <w:t>163</w:t>
            </w:r>
          </w:p>
        </w:tc>
        <w:tc>
          <w:tcPr>
            <w:tcW w:w="999" w:type="dxa"/>
            <w:tcBorders>
              <w:top w:val="single" w:sz="6" w:space="0" w:color="000000"/>
              <w:bottom w:val="single" w:sz="6" w:space="0" w:color="000000"/>
            </w:tcBorders>
          </w:tcPr>
          <w:p w:rsidR="002B489A" w:rsidRDefault="004F19C4">
            <w:pPr>
              <w:pStyle w:val="Tabletext"/>
              <w:framePr w:hSpace="181" w:wrap="notBeside" w:vAnchor="text" w:hAnchor="text" w:xAlign="center" w:y="1"/>
              <w:ind w:left="-57" w:right="-57"/>
              <w:jc w:val="center"/>
              <w:rPr>
                <w:lang w:val="fr-CH"/>
              </w:rPr>
            </w:pPr>
            <w:r>
              <w:rPr>
                <w:lang w:val="fr-CH"/>
              </w:rPr>
              <w:sym w:font="Symbol" w:char="F02D"/>
            </w:r>
            <w:r>
              <w:rPr>
                <w:lang w:val="fr-CH"/>
              </w:rPr>
              <w:t>163</w:t>
            </w:r>
          </w:p>
        </w:tc>
        <w:tc>
          <w:tcPr>
            <w:tcW w:w="998" w:type="dxa"/>
            <w:tcBorders>
              <w:top w:val="single" w:sz="6" w:space="0" w:color="000000"/>
              <w:bottom w:val="single" w:sz="6" w:space="0" w:color="000000"/>
            </w:tcBorders>
          </w:tcPr>
          <w:p w:rsidR="002B489A" w:rsidRDefault="004F19C4">
            <w:pPr>
              <w:pStyle w:val="Tabletext"/>
              <w:framePr w:hSpace="181" w:wrap="notBeside" w:vAnchor="text" w:hAnchor="text" w:xAlign="center" w:y="1"/>
              <w:ind w:left="-57" w:right="-57"/>
              <w:jc w:val="center"/>
              <w:rPr>
                <w:lang w:val="fr-CH"/>
              </w:rPr>
            </w:pPr>
            <w:r>
              <w:rPr>
                <w:lang w:val="fr-CH"/>
              </w:rPr>
              <w:sym w:font="Symbol" w:char="F02D"/>
            </w:r>
            <w:r>
              <w:rPr>
                <w:lang w:val="fr-CH"/>
              </w:rPr>
              <w:t>163</w:t>
            </w:r>
          </w:p>
        </w:tc>
        <w:tc>
          <w:tcPr>
            <w:tcW w:w="999" w:type="dxa"/>
            <w:tcBorders>
              <w:top w:val="single" w:sz="6" w:space="0" w:color="000000"/>
              <w:bottom w:val="single" w:sz="6" w:space="0" w:color="000000"/>
              <w:right w:val="single" w:sz="4" w:space="0" w:color="auto"/>
            </w:tcBorders>
          </w:tcPr>
          <w:p w:rsidR="002B489A" w:rsidRDefault="004F19C4">
            <w:pPr>
              <w:pStyle w:val="Tabletext"/>
              <w:framePr w:hSpace="181" w:wrap="notBeside" w:vAnchor="text" w:hAnchor="text" w:xAlign="center" w:y="1"/>
              <w:ind w:left="-57" w:right="-57"/>
              <w:jc w:val="center"/>
              <w:rPr>
                <w:lang w:val="fr-CH"/>
              </w:rPr>
            </w:pPr>
            <w:r>
              <w:rPr>
                <w:lang w:val="fr-CH"/>
              </w:rPr>
              <w:sym w:font="Symbol" w:char="F02D"/>
            </w:r>
            <w:r>
              <w:rPr>
                <w:lang w:val="fr-CH"/>
              </w:rPr>
              <w:t>163</w:t>
            </w:r>
          </w:p>
        </w:tc>
      </w:tr>
      <w:tr w:rsidR="002B489A">
        <w:tc>
          <w:tcPr>
            <w:tcW w:w="5645" w:type="dxa"/>
            <w:tcBorders>
              <w:top w:val="single" w:sz="6" w:space="0" w:color="000000"/>
              <w:left w:val="single" w:sz="4" w:space="0" w:color="auto"/>
              <w:bottom w:val="single" w:sz="6" w:space="0" w:color="000000"/>
            </w:tcBorders>
          </w:tcPr>
          <w:p w:rsidR="002B489A" w:rsidRDefault="004F19C4">
            <w:pPr>
              <w:pStyle w:val="Tabletext"/>
              <w:framePr w:hSpace="181" w:wrap="notBeside" w:vAnchor="text" w:hAnchor="text" w:xAlign="center" w:y="1"/>
              <w:jc w:val="left"/>
              <w:rPr>
                <w:lang w:val="fr-CH"/>
              </w:rPr>
            </w:pPr>
            <w:r>
              <w:rPr>
                <w:lang w:val="fr-CH"/>
              </w:rPr>
              <w:t>Différence entre la puissance brouilleuse et le critère de protection SETS à la p.i.r.e. de fonctionnement proposée (dB)</w:t>
            </w:r>
          </w:p>
        </w:tc>
        <w:tc>
          <w:tcPr>
            <w:tcW w:w="998" w:type="dxa"/>
            <w:tcBorders>
              <w:top w:val="single" w:sz="6" w:space="0" w:color="000000"/>
              <w:bottom w:val="single" w:sz="6" w:space="0" w:color="000000"/>
            </w:tcBorders>
          </w:tcPr>
          <w:p w:rsidR="002B489A" w:rsidRDefault="004F19C4">
            <w:pPr>
              <w:pStyle w:val="Tabletext"/>
              <w:framePr w:hSpace="181" w:wrap="notBeside" w:vAnchor="text" w:hAnchor="text" w:xAlign="center" w:y="1"/>
              <w:ind w:left="-57" w:right="-57"/>
              <w:jc w:val="center"/>
              <w:rPr>
                <w:lang w:val="fr-CH"/>
              </w:rPr>
            </w:pPr>
            <w:r>
              <w:rPr>
                <w:lang w:val="fr-CH"/>
              </w:rPr>
              <w:t>1</w:t>
            </w:r>
          </w:p>
        </w:tc>
        <w:tc>
          <w:tcPr>
            <w:tcW w:w="999" w:type="dxa"/>
            <w:tcBorders>
              <w:top w:val="single" w:sz="6" w:space="0" w:color="000000"/>
              <w:bottom w:val="single" w:sz="6" w:space="0" w:color="000000"/>
            </w:tcBorders>
          </w:tcPr>
          <w:p w:rsidR="002B489A" w:rsidRDefault="004F19C4">
            <w:pPr>
              <w:pStyle w:val="Tabletext"/>
              <w:framePr w:hSpace="181" w:wrap="notBeside" w:vAnchor="text" w:hAnchor="text" w:xAlign="center" w:y="1"/>
              <w:ind w:left="-57" w:right="-57"/>
              <w:jc w:val="center"/>
              <w:rPr>
                <w:lang w:val="fr-CH"/>
              </w:rPr>
            </w:pPr>
            <w:r>
              <w:rPr>
                <w:lang w:val="fr-CH"/>
              </w:rPr>
              <w:t>6</w:t>
            </w:r>
          </w:p>
        </w:tc>
        <w:tc>
          <w:tcPr>
            <w:tcW w:w="998" w:type="dxa"/>
            <w:tcBorders>
              <w:top w:val="single" w:sz="6" w:space="0" w:color="000000"/>
              <w:bottom w:val="single" w:sz="6" w:space="0" w:color="000000"/>
            </w:tcBorders>
          </w:tcPr>
          <w:p w:rsidR="002B489A" w:rsidRDefault="004F19C4">
            <w:pPr>
              <w:pStyle w:val="Tabletext"/>
              <w:framePr w:hSpace="181" w:wrap="notBeside" w:vAnchor="text" w:hAnchor="text" w:xAlign="center" w:y="1"/>
              <w:ind w:left="-57" w:right="-57"/>
              <w:jc w:val="center"/>
              <w:rPr>
                <w:lang w:val="fr-CH"/>
              </w:rPr>
            </w:pPr>
            <w:r>
              <w:rPr>
                <w:lang w:val="fr-CH"/>
              </w:rPr>
              <w:t>0</w:t>
            </w:r>
          </w:p>
        </w:tc>
        <w:tc>
          <w:tcPr>
            <w:tcW w:w="999" w:type="dxa"/>
            <w:tcBorders>
              <w:top w:val="single" w:sz="6" w:space="0" w:color="000000"/>
              <w:bottom w:val="single" w:sz="6" w:space="0" w:color="000000"/>
              <w:right w:val="single" w:sz="4" w:space="0" w:color="auto"/>
            </w:tcBorders>
          </w:tcPr>
          <w:p w:rsidR="002B489A" w:rsidRDefault="004F19C4">
            <w:pPr>
              <w:pStyle w:val="Tabletext"/>
              <w:framePr w:hSpace="181" w:wrap="notBeside" w:vAnchor="text" w:hAnchor="text" w:xAlign="center" w:y="1"/>
              <w:ind w:left="-57" w:right="-57"/>
              <w:jc w:val="center"/>
              <w:rPr>
                <w:lang w:val="fr-CH"/>
              </w:rPr>
            </w:pPr>
            <w:r>
              <w:rPr>
                <w:lang w:val="fr-CH"/>
              </w:rPr>
              <w:t>0</w:t>
            </w:r>
          </w:p>
        </w:tc>
      </w:tr>
      <w:tr w:rsidR="002B489A">
        <w:tc>
          <w:tcPr>
            <w:tcW w:w="5645" w:type="dxa"/>
            <w:tcBorders>
              <w:top w:val="single" w:sz="6" w:space="0" w:color="000000"/>
              <w:left w:val="single" w:sz="4" w:space="0" w:color="auto"/>
              <w:bottom w:val="single" w:sz="6" w:space="0" w:color="000000"/>
            </w:tcBorders>
          </w:tcPr>
          <w:p w:rsidR="002B489A" w:rsidRDefault="004F19C4">
            <w:pPr>
              <w:pStyle w:val="Tabletext"/>
              <w:framePr w:hSpace="181" w:wrap="notBeside" w:vAnchor="text" w:hAnchor="text" w:xAlign="center" w:y="1"/>
              <w:jc w:val="left"/>
              <w:rPr>
                <w:lang w:val="fr-CH"/>
              </w:rPr>
            </w:pPr>
            <w:r>
              <w:rPr>
                <w:lang w:val="fr-CH"/>
              </w:rPr>
              <w:t>Largeur de bande de référence pour la limite de puissance surfacique (kHz)</w:t>
            </w:r>
          </w:p>
        </w:tc>
        <w:tc>
          <w:tcPr>
            <w:tcW w:w="998" w:type="dxa"/>
            <w:tcBorders>
              <w:top w:val="single" w:sz="6" w:space="0" w:color="000000"/>
              <w:bottom w:val="single" w:sz="6" w:space="0" w:color="000000"/>
            </w:tcBorders>
          </w:tcPr>
          <w:p w:rsidR="002B489A" w:rsidRDefault="004F19C4">
            <w:pPr>
              <w:pStyle w:val="Tabletext"/>
              <w:framePr w:hSpace="181" w:wrap="notBeside" w:vAnchor="text" w:hAnchor="text" w:xAlign="center" w:y="1"/>
              <w:ind w:left="-57" w:right="-57"/>
              <w:jc w:val="center"/>
              <w:rPr>
                <w:lang w:val="fr-CH"/>
              </w:rPr>
            </w:pPr>
            <w:r>
              <w:rPr>
                <w:lang w:val="fr-CH"/>
              </w:rPr>
              <w:t>1</w:t>
            </w:r>
            <w:r>
              <w:rPr>
                <w:rFonts w:ascii="Tms Rmn" w:hAnsi="Tms Rmn"/>
                <w:sz w:val="12"/>
                <w:lang w:val="fr-CH"/>
              </w:rPr>
              <w:t> </w:t>
            </w:r>
            <w:r>
              <w:rPr>
                <w:lang w:val="fr-CH"/>
              </w:rPr>
              <w:t>000</w:t>
            </w:r>
          </w:p>
        </w:tc>
        <w:tc>
          <w:tcPr>
            <w:tcW w:w="999" w:type="dxa"/>
            <w:tcBorders>
              <w:top w:val="single" w:sz="6" w:space="0" w:color="000000"/>
              <w:bottom w:val="single" w:sz="6" w:space="0" w:color="000000"/>
            </w:tcBorders>
          </w:tcPr>
          <w:p w:rsidR="002B489A" w:rsidRDefault="004F19C4">
            <w:pPr>
              <w:pStyle w:val="Tabletext"/>
              <w:framePr w:hSpace="181" w:wrap="notBeside" w:vAnchor="text" w:hAnchor="text" w:xAlign="center" w:y="1"/>
              <w:ind w:left="-57" w:right="-57"/>
              <w:jc w:val="center"/>
              <w:rPr>
                <w:lang w:val="fr-CH"/>
              </w:rPr>
            </w:pPr>
            <w:r>
              <w:rPr>
                <w:lang w:val="fr-CH"/>
              </w:rPr>
              <w:t>1</w:t>
            </w:r>
            <w:r>
              <w:rPr>
                <w:rFonts w:ascii="Tms Rmn" w:hAnsi="Tms Rmn"/>
                <w:sz w:val="12"/>
                <w:lang w:val="fr-CH"/>
              </w:rPr>
              <w:t> </w:t>
            </w:r>
            <w:r>
              <w:rPr>
                <w:lang w:val="fr-CH"/>
              </w:rPr>
              <w:t>000</w:t>
            </w:r>
          </w:p>
        </w:tc>
        <w:tc>
          <w:tcPr>
            <w:tcW w:w="998" w:type="dxa"/>
            <w:tcBorders>
              <w:top w:val="single" w:sz="6" w:space="0" w:color="000000"/>
              <w:bottom w:val="single" w:sz="6" w:space="0" w:color="000000"/>
            </w:tcBorders>
          </w:tcPr>
          <w:p w:rsidR="002B489A" w:rsidRDefault="004F19C4">
            <w:pPr>
              <w:pStyle w:val="Tabletext"/>
              <w:framePr w:hSpace="181" w:wrap="notBeside" w:vAnchor="text" w:hAnchor="text" w:xAlign="center" w:y="1"/>
              <w:ind w:left="-57" w:right="-57"/>
              <w:jc w:val="center"/>
              <w:rPr>
                <w:lang w:val="fr-CH"/>
              </w:rPr>
            </w:pPr>
            <w:r>
              <w:rPr>
                <w:lang w:val="fr-CH"/>
              </w:rPr>
              <w:t>1</w:t>
            </w:r>
            <w:r>
              <w:rPr>
                <w:rFonts w:ascii="Tms Rmn" w:hAnsi="Tms Rmn"/>
                <w:sz w:val="12"/>
                <w:lang w:val="fr-CH"/>
              </w:rPr>
              <w:t> </w:t>
            </w:r>
            <w:r>
              <w:rPr>
                <w:lang w:val="fr-CH"/>
              </w:rPr>
              <w:t>000</w:t>
            </w:r>
          </w:p>
        </w:tc>
        <w:tc>
          <w:tcPr>
            <w:tcW w:w="999" w:type="dxa"/>
            <w:tcBorders>
              <w:top w:val="single" w:sz="6" w:space="0" w:color="000000"/>
              <w:bottom w:val="single" w:sz="6" w:space="0" w:color="000000"/>
              <w:right w:val="single" w:sz="4" w:space="0" w:color="auto"/>
            </w:tcBorders>
          </w:tcPr>
          <w:p w:rsidR="002B489A" w:rsidRDefault="004F19C4">
            <w:pPr>
              <w:pStyle w:val="Tabletext"/>
              <w:framePr w:hSpace="181" w:wrap="notBeside" w:vAnchor="text" w:hAnchor="text" w:xAlign="center" w:y="1"/>
              <w:ind w:left="-57" w:right="-57"/>
              <w:jc w:val="center"/>
              <w:rPr>
                <w:lang w:val="fr-CH"/>
              </w:rPr>
            </w:pPr>
            <w:r>
              <w:rPr>
                <w:lang w:val="fr-CH"/>
              </w:rPr>
              <w:t>1</w:t>
            </w:r>
            <w:r>
              <w:rPr>
                <w:rFonts w:ascii="Tms Rmn" w:hAnsi="Tms Rmn"/>
                <w:sz w:val="12"/>
                <w:lang w:val="fr-CH"/>
              </w:rPr>
              <w:t> </w:t>
            </w:r>
            <w:r>
              <w:rPr>
                <w:lang w:val="fr-CH"/>
              </w:rPr>
              <w:t>000</w:t>
            </w:r>
          </w:p>
        </w:tc>
      </w:tr>
      <w:tr w:rsidR="002B489A">
        <w:tc>
          <w:tcPr>
            <w:tcW w:w="5645" w:type="dxa"/>
            <w:tcBorders>
              <w:top w:val="single" w:sz="6" w:space="0" w:color="000000"/>
              <w:left w:val="single" w:sz="4" w:space="0" w:color="auto"/>
              <w:bottom w:val="single" w:sz="6" w:space="0" w:color="000000"/>
            </w:tcBorders>
          </w:tcPr>
          <w:p w:rsidR="002B489A" w:rsidRDefault="004F19C4">
            <w:pPr>
              <w:pStyle w:val="Tabletext"/>
              <w:framePr w:hSpace="181" w:wrap="notBeside" w:vAnchor="text" w:hAnchor="text" w:xAlign="center" w:y="1"/>
              <w:jc w:val="left"/>
              <w:rPr>
                <w:lang w:val="fr-CH"/>
              </w:rPr>
            </w:pPr>
            <w:r>
              <w:rPr>
                <w:lang w:val="fr-CH"/>
              </w:rPr>
              <w:t>Puissance surfacique maximum permise par l'Article 21 du RR (dB(W/(</w:t>
            </w:r>
            <w:r>
              <w:t xml:space="preserve"> m</w:t>
            </w:r>
            <w:r>
              <w:rPr>
                <w:vertAlign w:val="superscript"/>
              </w:rPr>
              <w:t>2</w:t>
            </w:r>
            <w:r>
              <w:t> </w:t>
            </w:r>
            <w:r>
              <w:rPr>
                <w:rFonts w:ascii="Symbol" w:hAnsi="Symbol"/>
              </w:rPr>
              <w:t></w:t>
            </w:r>
            <w:r>
              <w:t> MHz</w:t>
            </w:r>
            <w:r>
              <w:rPr>
                <w:lang w:val="fr-CH"/>
              </w:rPr>
              <w:t>)))</w:t>
            </w:r>
          </w:p>
        </w:tc>
        <w:tc>
          <w:tcPr>
            <w:tcW w:w="998" w:type="dxa"/>
            <w:tcBorders>
              <w:top w:val="single" w:sz="6" w:space="0" w:color="000000"/>
              <w:bottom w:val="single" w:sz="6" w:space="0" w:color="000000"/>
            </w:tcBorders>
          </w:tcPr>
          <w:p w:rsidR="002B489A" w:rsidRDefault="004F19C4">
            <w:pPr>
              <w:pStyle w:val="Tabletext"/>
              <w:framePr w:hSpace="181" w:wrap="notBeside" w:vAnchor="text" w:hAnchor="text" w:xAlign="center" w:y="1"/>
              <w:ind w:left="-57" w:right="-57"/>
              <w:jc w:val="center"/>
              <w:rPr>
                <w:lang w:val="fr-CH"/>
              </w:rPr>
            </w:pPr>
            <w:r>
              <w:rPr>
                <w:lang w:val="fr-CH"/>
              </w:rPr>
              <w:sym w:font="Symbol" w:char="F02D"/>
            </w:r>
            <w:r>
              <w:rPr>
                <w:lang w:val="fr-CH"/>
              </w:rPr>
              <w:t>116</w:t>
            </w:r>
          </w:p>
        </w:tc>
        <w:tc>
          <w:tcPr>
            <w:tcW w:w="999" w:type="dxa"/>
            <w:tcBorders>
              <w:top w:val="single" w:sz="6" w:space="0" w:color="000000"/>
              <w:bottom w:val="single" w:sz="6" w:space="0" w:color="000000"/>
            </w:tcBorders>
          </w:tcPr>
          <w:p w:rsidR="002B489A" w:rsidRDefault="004F19C4">
            <w:pPr>
              <w:pStyle w:val="Tabletext"/>
              <w:framePr w:hSpace="181" w:wrap="notBeside" w:vAnchor="text" w:hAnchor="text" w:xAlign="center" w:y="1"/>
              <w:ind w:left="-57" w:right="-57"/>
              <w:jc w:val="center"/>
              <w:rPr>
                <w:lang w:val="fr-CH"/>
              </w:rPr>
            </w:pPr>
            <w:r>
              <w:rPr>
                <w:lang w:val="fr-CH"/>
              </w:rPr>
              <w:sym w:font="Symbol" w:char="F02D"/>
            </w:r>
            <w:r>
              <w:rPr>
                <w:lang w:val="fr-CH"/>
              </w:rPr>
              <w:t>116</w:t>
            </w:r>
          </w:p>
        </w:tc>
        <w:tc>
          <w:tcPr>
            <w:tcW w:w="998" w:type="dxa"/>
            <w:tcBorders>
              <w:top w:val="single" w:sz="6" w:space="0" w:color="000000"/>
              <w:bottom w:val="single" w:sz="6" w:space="0" w:color="000000"/>
            </w:tcBorders>
          </w:tcPr>
          <w:p w:rsidR="002B489A" w:rsidRDefault="004F19C4">
            <w:pPr>
              <w:pStyle w:val="Tabletext"/>
              <w:framePr w:hSpace="181" w:wrap="notBeside" w:vAnchor="text" w:hAnchor="text" w:xAlign="center" w:y="1"/>
              <w:ind w:left="-57" w:right="-57"/>
              <w:jc w:val="center"/>
              <w:rPr>
                <w:lang w:val="fr-CH"/>
              </w:rPr>
            </w:pPr>
            <w:r>
              <w:rPr>
                <w:lang w:val="fr-CH"/>
              </w:rPr>
              <w:sym w:font="Symbol" w:char="F02D"/>
            </w:r>
            <w:r>
              <w:rPr>
                <w:lang w:val="fr-CH"/>
              </w:rPr>
              <w:t>116</w:t>
            </w:r>
          </w:p>
        </w:tc>
        <w:tc>
          <w:tcPr>
            <w:tcW w:w="999" w:type="dxa"/>
            <w:tcBorders>
              <w:top w:val="single" w:sz="6" w:space="0" w:color="000000"/>
              <w:bottom w:val="single" w:sz="6" w:space="0" w:color="000000"/>
              <w:right w:val="single" w:sz="4" w:space="0" w:color="auto"/>
            </w:tcBorders>
          </w:tcPr>
          <w:p w:rsidR="002B489A" w:rsidRDefault="004F19C4">
            <w:pPr>
              <w:pStyle w:val="Tabletext"/>
              <w:framePr w:hSpace="181" w:wrap="notBeside" w:vAnchor="text" w:hAnchor="text" w:xAlign="center" w:y="1"/>
              <w:ind w:left="-57" w:right="-57"/>
              <w:jc w:val="center"/>
              <w:rPr>
                <w:lang w:val="fr-CH"/>
              </w:rPr>
            </w:pPr>
            <w:r>
              <w:rPr>
                <w:lang w:val="fr-CH"/>
              </w:rPr>
              <w:sym w:font="Symbol" w:char="F02D"/>
            </w:r>
            <w:r>
              <w:rPr>
                <w:lang w:val="fr-CH"/>
              </w:rPr>
              <w:t>116</w:t>
            </w:r>
          </w:p>
        </w:tc>
      </w:tr>
      <w:tr w:rsidR="002B489A">
        <w:tc>
          <w:tcPr>
            <w:tcW w:w="5645" w:type="dxa"/>
            <w:tcBorders>
              <w:top w:val="single" w:sz="6" w:space="0" w:color="000000"/>
              <w:left w:val="single" w:sz="4" w:space="0" w:color="auto"/>
              <w:bottom w:val="single" w:sz="6" w:space="0" w:color="000000"/>
            </w:tcBorders>
          </w:tcPr>
          <w:p w:rsidR="002B489A" w:rsidRDefault="004F19C4">
            <w:pPr>
              <w:pStyle w:val="Tabletext"/>
              <w:framePr w:hSpace="181" w:wrap="notBeside" w:vAnchor="text" w:hAnchor="text" w:xAlign="center" w:y="1"/>
              <w:jc w:val="left"/>
              <w:rPr>
                <w:lang w:val="fr-CH"/>
              </w:rPr>
            </w:pPr>
            <w:r>
              <w:rPr>
                <w:lang w:val="fr-CH"/>
              </w:rPr>
              <w:t>Puissance surfacique produite par la densité de p.i.r.e. de fonctionnement à la surface de la Terre (dB(W/(</w:t>
            </w:r>
            <w:r>
              <w:t xml:space="preserve"> m</w:t>
            </w:r>
            <w:r>
              <w:rPr>
                <w:vertAlign w:val="superscript"/>
              </w:rPr>
              <w:t>2</w:t>
            </w:r>
            <w:r>
              <w:t> </w:t>
            </w:r>
            <w:r>
              <w:rPr>
                <w:rFonts w:ascii="Symbol" w:hAnsi="Symbol"/>
              </w:rPr>
              <w:t></w:t>
            </w:r>
            <w:r>
              <w:t> MHz</w:t>
            </w:r>
            <w:r>
              <w:rPr>
                <w:lang w:val="fr-CH"/>
              </w:rPr>
              <w:t>)))</w:t>
            </w:r>
          </w:p>
        </w:tc>
        <w:tc>
          <w:tcPr>
            <w:tcW w:w="998" w:type="dxa"/>
            <w:tcBorders>
              <w:top w:val="single" w:sz="6" w:space="0" w:color="000000"/>
              <w:bottom w:val="single" w:sz="6" w:space="0" w:color="000000"/>
            </w:tcBorders>
          </w:tcPr>
          <w:p w:rsidR="002B489A" w:rsidRDefault="004F19C4">
            <w:pPr>
              <w:pStyle w:val="Tabletext"/>
              <w:framePr w:hSpace="181" w:wrap="notBeside" w:vAnchor="text" w:hAnchor="text" w:xAlign="center" w:y="1"/>
              <w:ind w:left="-57" w:right="-57"/>
              <w:jc w:val="center"/>
              <w:rPr>
                <w:lang w:val="fr-CH"/>
              </w:rPr>
            </w:pPr>
            <w:r>
              <w:rPr>
                <w:lang w:val="fr-CH"/>
              </w:rPr>
              <w:sym w:font="Symbol" w:char="F02D"/>
            </w:r>
            <w:r>
              <w:rPr>
                <w:lang w:val="fr-CH"/>
              </w:rPr>
              <w:t>119</w:t>
            </w:r>
          </w:p>
        </w:tc>
        <w:tc>
          <w:tcPr>
            <w:tcW w:w="999" w:type="dxa"/>
            <w:tcBorders>
              <w:top w:val="single" w:sz="6" w:space="0" w:color="000000"/>
              <w:bottom w:val="single" w:sz="6" w:space="0" w:color="000000"/>
            </w:tcBorders>
          </w:tcPr>
          <w:p w:rsidR="002B489A" w:rsidRDefault="004F19C4">
            <w:pPr>
              <w:pStyle w:val="Tabletext"/>
              <w:framePr w:hSpace="181" w:wrap="notBeside" w:vAnchor="text" w:hAnchor="text" w:xAlign="center" w:y="1"/>
              <w:ind w:left="-57" w:right="-57"/>
              <w:jc w:val="center"/>
              <w:rPr>
                <w:lang w:val="fr-CH"/>
              </w:rPr>
            </w:pPr>
            <w:r>
              <w:rPr>
                <w:lang w:val="fr-CH"/>
              </w:rPr>
              <w:sym w:font="Symbol" w:char="F02D"/>
            </w:r>
            <w:r>
              <w:rPr>
                <w:lang w:val="fr-CH"/>
              </w:rPr>
              <w:t>116</w:t>
            </w:r>
          </w:p>
        </w:tc>
        <w:tc>
          <w:tcPr>
            <w:tcW w:w="998" w:type="dxa"/>
            <w:tcBorders>
              <w:top w:val="single" w:sz="6" w:space="0" w:color="000000"/>
              <w:bottom w:val="single" w:sz="6" w:space="0" w:color="000000"/>
            </w:tcBorders>
          </w:tcPr>
          <w:p w:rsidR="002B489A" w:rsidRDefault="004F19C4">
            <w:pPr>
              <w:pStyle w:val="Tabletext"/>
              <w:framePr w:hSpace="181" w:wrap="notBeside" w:vAnchor="text" w:hAnchor="text" w:xAlign="center" w:y="1"/>
              <w:ind w:left="-57" w:right="-57"/>
              <w:jc w:val="center"/>
              <w:rPr>
                <w:lang w:val="fr-CH"/>
              </w:rPr>
            </w:pPr>
            <w:r>
              <w:rPr>
                <w:lang w:val="fr-CH"/>
              </w:rPr>
              <w:sym w:font="Symbol" w:char="F02D"/>
            </w:r>
            <w:r>
              <w:rPr>
                <w:lang w:val="fr-CH"/>
              </w:rPr>
              <w:t>119</w:t>
            </w:r>
          </w:p>
        </w:tc>
        <w:tc>
          <w:tcPr>
            <w:tcW w:w="999" w:type="dxa"/>
            <w:tcBorders>
              <w:top w:val="single" w:sz="6" w:space="0" w:color="000000"/>
              <w:bottom w:val="single" w:sz="6" w:space="0" w:color="000000"/>
              <w:right w:val="single" w:sz="4" w:space="0" w:color="auto"/>
            </w:tcBorders>
          </w:tcPr>
          <w:p w:rsidR="002B489A" w:rsidRDefault="004F19C4">
            <w:pPr>
              <w:pStyle w:val="Tabletext"/>
              <w:framePr w:hSpace="181" w:wrap="notBeside" w:vAnchor="text" w:hAnchor="text" w:xAlign="center" w:y="1"/>
              <w:ind w:left="-57" w:right="-57"/>
              <w:jc w:val="center"/>
              <w:rPr>
                <w:lang w:val="fr-CH"/>
              </w:rPr>
            </w:pPr>
            <w:r>
              <w:rPr>
                <w:lang w:val="fr-CH"/>
              </w:rPr>
              <w:sym w:font="Symbol" w:char="F02D"/>
            </w:r>
            <w:r>
              <w:rPr>
                <w:lang w:val="fr-CH"/>
              </w:rPr>
              <w:t>116</w:t>
            </w:r>
          </w:p>
        </w:tc>
      </w:tr>
      <w:tr w:rsidR="002B489A">
        <w:tc>
          <w:tcPr>
            <w:tcW w:w="5645" w:type="dxa"/>
            <w:tcBorders>
              <w:top w:val="single" w:sz="6" w:space="0" w:color="000000"/>
              <w:left w:val="single" w:sz="4" w:space="0" w:color="auto"/>
              <w:bottom w:val="single" w:sz="6" w:space="0" w:color="000000"/>
            </w:tcBorders>
          </w:tcPr>
          <w:p w:rsidR="002B489A" w:rsidRDefault="004F19C4">
            <w:pPr>
              <w:pStyle w:val="Tabletext"/>
              <w:framePr w:hSpace="181" w:wrap="notBeside" w:vAnchor="text" w:hAnchor="text" w:xAlign="center" w:y="1"/>
              <w:jc w:val="left"/>
              <w:rPr>
                <w:lang w:val="fr-CH"/>
              </w:rPr>
            </w:pPr>
            <w:r>
              <w:rPr>
                <w:lang w:val="fr-CH"/>
              </w:rPr>
              <w:t>Augmentation admissible de densité de p.i.r.e. (dB)</w:t>
            </w:r>
          </w:p>
        </w:tc>
        <w:tc>
          <w:tcPr>
            <w:tcW w:w="998" w:type="dxa"/>
            <w:tcBorders>
              <w:top w:val="single" w:sz="6" w:space="0" w:color="000000"/>
              <w:bottom w:val="single" w:sz="6" w:space="0" w:color="000000"/>
            </w:tcBorders>
          </w:tcPr>
          <w:p w:rsidR="002B489A" w:rsidRDefault="004F19C4">
            <w:pPr>
              <w:pStyle w:val="Tabletext"/>
              <w:framePr w:hSpace="181" w:wrap="notBeside" w:vAnchor="text" w:hAnchor="text" w:xAlign="center" w:y="1"/>
              <w:ind w:left="-57" w:right="-57"/>
              <w:jc w:val="center"/>
              <w:rPr>
                <w:lang w:val="fr-CH"/>
              </w:rPr>
            </w:pPr>
            <w:r>
              <w:rPr>
                <w:lang w:val="fr-CH"/>
              </w:rPr>
              <w:t>3</w:t>
            </w:r>
          </w:p>
        </w:tc>
        <w:tc>
          <w:tcPr>
            <w:tcW w:w="999" w:type="dxa"/>
            <w:tcBorders>
              <w:top w:val="single" w:sz="6" w:space="0" w:color="000000"/>
              <w:bottom w:val="single" w:sz="6" w:space="0" w:color="000000"/>
            </w:tcBorders>
          </w:tcPr>
          <w:p w:rsidR="002B489A" w:rsidRDefault="004F19C4">
            <w:pPr>
              <w:pStyle w:val="Tabletext"/>
              <w:framePr w:hSpace="181" w:wrap="notBeside" w:vAnchor="text" w:hAnchor="text" w:xAlign="center" w:y="1"/>
              <w:ind w:left="-57" w:right="-57"/>
              <w:jc w:val="center"/>
              <w:rPr>
                <w:lang w:val="fr-CH"/>
              </w:rPr>
            </w:pPr>
            <w:r>
              <w:rPr>
                <w:lang w:val="fr-CH"/>
              </w:rPr>
              <w:t>0,0</w:t>
            </w:r>
          </w:p>
        </w:tc>
        <w:tc>
          <w:tcPr>
            <w:tcW w:w="998" w:type="dxa"/>
            <w:tcBorders>
              <w:top w:val="single" w:sz="6" w:space="0" w:color="000000"/>
              <w:bottom w:val="single" w:sz="6" w:space="0" w:color="000000"/>
            </w:tcBorders>
          </w:tcPr>
          <w:p w:rsidR="002B489A" w:rsidRDefault="004F19C4">
            <w:pPr>
              <w:pStyle w:val="Tabletext"/>
              <w:framePr w:hSpace="181" w:wrap="notBeside" w:vAnchor="text" w:hAnchor="text" w:xAlign="center" w:y="1"/>
              <w:ind w:left="-57" w:right="-57"/>
              <w:jc w:val="center"/>
              <w:rPr>
                <w:lang w:val="fr-CH"/>
              </w:rPr>
            </w:pPr>
            <w:r>
              <w:rPr>
                <w:lang w:val="fr-CH"/>
              </w:rPr>
              <w:t>3</w:t>
            </w:r>
          </w:p>
        </w:tc>
        <w:tc>
          <w:tcPr>
            <w:tcW w:w="999" w:type="dxa"/>
            <w:tcBorders>
              <w:top w:val="single" w:sz="6" w:space="0" w:color="000000"/>
              <w:bottom w:val="single" w:sz="6" w:space="0" w:color="000000"/>
              <w:right w:val="single" w:sz="4" w:space="0" w:color="auto"/>
            </w:tcBorders>
          </w:tcPr>
          <w:p w:rsidR="002B489A" w:rsidRDefault="004F19C4">
            <w:pPr>
              <w:pStyle w:val="Tabletext"/>
              <w:framePr w:hSpace="181" w:wrap="notBeside" w:vAnchor="text" w:hAnchor="text" w:xAlign="center" w:y="1"/>
              <w:ind w:left="-57" w:right="-57"/>
              <w:jc w:val="center"/>
              <w:rPr>
                <w:lang w:val="fr-CH"/>
              </w:rPr>
            </w:pPr>
            <w:r>
              <w:rPr>
                <w:lang w:val="fr-CH"/>
              </w:rPr>
              <w:t>0,0</w:t>
            </w:r>
          </w:p>
        </w:tc>
      </w:tr>
      <w:tr w:rsidR="002B489A">
        <w:tc>
          <w:tcPr>
            <w:tcW w:w="5645" w:type="dxa"/>
            <w:tcBorders>
              <w:top w:val="single" w:sz="6" w:space="0" w:color="000000"/>
              <w:left w:val="single" w:sz="4" w:space="0" w:color="auto"/>
              <w:bottom w:val="single" w:sz="4" w:space="0" w:color="auto"/>
            </w:tcBorders>
          </w:tcPr>
          <w:p w:rsidR="002B489A" w:rsidRDefault="004F19C4">
            <w:pPr>
              <w:pStyle w:val="Tabletext"/>
              <w:framePr w:hSpace="181" w:wrap="notBeside" w:vAnchor="text" w:hAnchor="text" w:xAlign="center" w:y="1"/>
              <w:jc w:val="left"/>
              <w:rPr>
                <w:lang w:val="fr-CH"/>
              </w:rPr>
            </w:pPr>
            <w:r>
              <w:rPr>
                <w:lang w:val="fr-CH"/>
              </w:rPr>
              <w:t>Différence entre la puissance brouilleuse et le critère de protection SETS à la p.i.r.e. maximum permise (dB)</w:t>
            </w:r>
          </w:p>
        </w:tc>
        <w:tc>
          <w:tcPr>
            <w:tcW w:w="998" w:type="dxa"/>
            <w:tcBorders>
              <w:top w:val="single" w:sz="6" w:space="0" w:color="000000"/>
              <w:bottom w:val="single" w:sz="4" w:space="0" w:color="auto"/>
            </w:tcBorders>
          </w:tcPr>
          <w:p w:rsidR="002B489A" w:rsidRDefault="004F19C4">
            <w:pPr>
              <w:pStyle w:val="Tabletext"/>
              <w:framePr w:hSpace="181" w:wrap="notBeside" w:vAnchor="text" w:hAnchor="text" w:xAlign="center" w:y="1"/>
              <w:ind w:left="-57" w:right="-57"/>
              <w:jc w:val="center"/>
              <w:rPr>
                <w:lang w:val="fr-CH"/>
              </w:rPr>
            </w:pPr>
            <w:r>
              <w:rPr>
                <w:lang w:val="fr-CH"/>
              </w:rPr>
              <w:t>4</w:t>
            </w:r>
          </w:p>
        </w:tc>
        <w:tc>
          <w:tcPr>
            <w:tcW w:w="999" w:type="dxa"/>
            <w:tcBorders>
              <w:top w:val="single" w:sz="6" w:space="0" w:color="000000"/>
              <w:bottom w:val="single" w:sz="4" w:space="0" w:color="auto"/>
            </w:tcBorders>
          </w:tcPr>
          <w:p w:rsidR="002B489A" w:rsidRDefault="004F19C4">
            <w:pPr>
              <w:pStyle w:val="Tabletext"/>
              <w:framePr w:hSpace="181" w:wrap="notBeside" w:vAnchor="text" w:hAnchor="text" w:xAlign="center" w:y="1"/>
              <w:ind w:left="-57" w:right="-57"/>
              <w:jc w:val="center"/>
              <w:rPr>
                <w:lang w:val="fr-CH"/>
              </w:rPr>
            </w:pPr>
            <w:r>
              <w:rPr>
                <w:lang w:val="fr-CH"/>
              </w:rPr>
              <w:t>6</w:t>
            </w:r>
          </w:p>
        </w:tc>
        <w:tc>
          <w:tcPr>
            <w:tcW w:w="998" w:type="dxa"/>
            <w:tcBorders>
              <w:top w:val="single" w:sz="6" w:space="0" w:color="000000"/>
              <w:bottom w:val="single" w:sz="4" w:space="0" w:color="auto"/>
            </w:tcBorders>
          </w:tcPr>
          <w:p w:rsidR="002B489A" w:rsidRDefault="004F19C4">
            <w:pPr>
              <w:pStyle w:val="Tabletext"/>
              <w:framePr w:hSpace="181" w:wrap="notBeside" w:vAnchor="text" w:hAnchor="text" w:xAlign="center" w:y="1"/>
              <w:ind w:left="-57" w:right="-57"/>
              <w:jc w:val="center"/>
              <w:rPr>
                <w:lang w:val="fr-CH"/>
              </w:rPr>
            </w:pPr>
            <w:r>
              <w:rPr>
                <w:lang w:val="fr-CH"/>
              </w:rPr>
              <w:t>0</w:t>
            </w:r>
          </w:p>
        </w:tc>
        <w:tc>
          <w:tcPr>
            <w:tcW w:w="999" w:type="dxa"/>
            <w:tcBorders>
              <w:top w:val="single" w:sz="6" w:space="0" w:color="000000"/>
              <w:bottom w:val="single" w:sz="4" w:space="0" w:color="auto"/>
              <w:right w:val="single" w:sz="4" w:space="0" w:color="auto"/>
            </w:tcBorders>
          </w:tcPr>
          <w:p w:rsidR="002B489A" w:rsidRDefault="004F19C4">
            <w:pPr>
              <w:pStyle w:val="Tabletext"/>
              <w:framePr w:hSpace="181" w:wrap="notBeside" w:vAnchor="text" w:hAnchor="text" w:xAlign="center" w:y="1"/>
              <w:ind w:left="-57" w:right="-57"/>
              <w:jc w:val="center"/>
              <w:rPr>
                <w:lang w:val="fr-CH"/>
              </w:rPr>
            </w:pPr>
            <w:r>
              <w:rPr>
                <w:lang w:val="fr-CH"/>
              </w:rPr>
              <w:t>0</w:t>
            </w:r>
          </w:p>
        </w:tc>
      </w:tr>
    </w:tbl>
    <w:p w:rsidR="002B489A" w:rsidRDefault="002B489A">
      <w:pPr>
        <w:pStyle w:val="Tablefin"/>
      </w:pPr>
    </w:p>
    <w:p w:rsidR="002B489A" w:rsidRDefault="004F19C4">
      <w:pPr>
        <w:rPr>
          <w:lang w:val="fr-CH"/>
        </w:rPr>
      </w:pPr>
      <w:r>
        <w:rPr>
          <w:lang w:val="fr-CH"/>
        </w:rPr>
        <w:t>Dans le cas d'un détecteur passif MEGHA-TROPIC, les critères de brouillage SETS sont dépassés de 1 dB pour le satellite USAKU-H1 lorsqu'il est à son apogée et le seuil est dépassé de 6 dB lorsqu'il est à l'apogée et fonctionne à la puissance surfacique maximum permise. Si la densité de p.i.r.e. du satellite à l'apogée est augmentée jusqu'au maximum admissible selon l'Article 21 du RR, les critères de brouillage sont dépassés de 4 dB.</w:t>
      </w:r>
    </w:p>
    <w:p w:rsidR="002B489A" w:rsidRDefault="004F19C4">
      <w:pPr>
        <w:pStyle w:val="Heading3"/>
        <w:rPr>
          <w:lang w:val="fr-CH"/>
        </w:rPr>
      </w:pPr>
      <w:r>
        <w:rPr>
          <w:lang w:val="fr-CH"/>
        </w:rPr>
        <w:t>4.2.4</w:t>
      </w:r>
      <w:r>
        <w:rPr>
          <w:lang w:val="fr-CH"/>
        </w:rPr>
        <w:tab/>
        <w:t>Calculs à la fois pour des réseaux OSG et pour des réseaux non OSG dans le cas de dispersion</w:t>
      </w:r>
    </w:p>
    <w:p w:rsidR="002B489A" w:rsidRDefault="004F19C4">
      <w:pPr>
        <w:rPr>
          <w:lang w:val="fr-CH"/>
        </w:rPr>
      </w:pPr>
      <w:r>
        <w:rPr>
          <w:lang w:val="fr-CH"/>
        </w:rPr>
        <w:t>Une forme de puissance brouilleuse sur le service passif vient des rayonnements non désirés du SFS qui sont dispersés vers le haut à partir de la surface de la Terre vers un détecteur SETS voisin.</w:t>
      </w:r>
    </w:p>
    <w:p w:rsidR="002B489A" w:rsidRDefault="004F19C4">
      <w:pPr>
        <w:rPr>
          <w:lang w:val="fr-CH"/>
        </w:rPr>
      </w:pPr>
      <w:r>
        <w:rPr>
          <w:lang w:val="fr-CH"/>
        </w:rPr>
        <w:t>Pour les fréquences autour de 10</w:t>
      </w:r>
      <w:r>
        <w:rPr>
          <w:lang w:val="fr-CH"/>
        </w:rPr>
        <w:noBreakHyphen/>
        <w:t xml:space="preserve">20 GHz, l'énergie dispersée a une composante spéculaire significative. La dispersion par ce mode constituerait le cas le plus défavorable de brouillage. Et donc, le brouillage maximum surviendrait lorsque: </w:t>
      </w:r>
    </w:p>
    <w:p w:rsidR="002B489A" w:rsidRDefault="004F19C4">
      <w:pPr>
        <w:pStyle w:val="enumlev1"/>
        <w:rPr>
          <w:lang w:val="fr-CH"/>
        </w:rPr>
      </w:pPr>
      <w:r>
        <w:rPr>
          <w:lang w:val="fr-CH"/>
        </w:rPr>
        <w:t>–</w:t>
      </w:r>
      <w:r>
        <w:rPr>
          <w:lang w:val="fr-CH"/>
        </w:rPr>
        <w:tab/>
        <w:t xml:space="preserve">le détecteur est en vue d'une zone de couverture du SFS; </w:t>
      </w:r>
    </w:p>
    <w:p w:rsidR="002B489A" w:rsidRDefault="004F19C4">
      <w:pPr>
        <w:pStyle w:val="enumlev1"/>
        <w:rPr>
          <w:lang w:val="fr-CH"/>
        </w:rPr>
      </w:pPr>
      <w:r>
        <w:rPr>
          <w:lang w:val="fr-CH"/>
        </w:rPr>
        <w:t>–</w:t>
      </w:r>
      <w:r>
        <w:rPr>
          <w:lang w:val="fr-CH"/>
        </w:rPr>
        <w:tab/>
        <w:t xml:space="preserve">le satellite SFS, le détecteur, le centre de la Terre, et l'intersection des faisceaux SFS et du détecteur se trouvent tous dans le même plan; </w:t>
      </w:r>
    </w:p>
    <w:p w:rsidR="002B489A" w:rsidRDefault="004F19C4">
      <w:pPr>
        <w:pStyle w:val="enumlev1"/>
        <w:rPr>
          <w:lang w:val="fr-CH"/>
        </w:rPr>
      </w:pPr>
      <w:r>
        <w:rPr>
          <w:lang w:val="fr-CH"/>
        </w:rPr>
        <w:t>–</w:t>
      </w:r>
      <w:r>
        <w:rPr>
          <w:lang w:val="fr-CH"/>
        </w:rPr>
        <w:tab/>
        <w:t xml:space="preserve">l'intersection des faisceaux du satellite SFS et du détecteur se trouve entre les nadirs du satellite SFS et du détecteur; et </w:t>
      </w:r>
    </w:p>
    <w:p w:rsidR="002B489A" w:rsidRDefault="004F19C4">
      <w:pPr>
        <w:pStyle w:val="enumlev1"/>
        <w:rPr>
          <w:lang w:val="fr-CH"/>
        </w:rPr>
      </w:pPr>
      <w:r>
        <w:rPr>
          <w:lang w:val="fr-CH"/>
        </w:rPr>
        <w:t>–</w:t>
      </w:r>
      <w:r>
        <w:rPr>
          <w:lang w:val="fr-CH"/>
        </w:rPr>
        <w:tab/>
        <w:t>l'axe du faisceau du satellite SFS et l'axe du faisceau du détecteur coupent la Terre au même angle.</w:t>
      </w:r>
    </w:p>
    <w:p w:rsidR="002B489A" w:rsidRDefault="004F19C4">
      <w:pPr>
        <w:rPr>
          <w:lang w:val="fr-CH"/>
        </w:rPr>
      </w:pPr>
      <w:r>
        <w:rPr>
          <w:lang w:val="fr-CH"/>
        </w:rPr>
        <w:t>D'autres modes de dispersion existent. Ils pourraient survenir plus fréquemment mais à un niveau moindre.</w:t>
      </w:r>
    </w:p>
    <w:p w:rsidR="002B489A" w:rsidRDefault="004F19C4">
      <w:pPr>
        <w:pStyle w:val="Heading4"/>
        <w:ind w:left="0" w:firstLine="0"/>
        <w:rPr>
          <w:b w:val="0"/>
          <w:lang w:val="fr-CH"/>
        </w:rPr>
      </w:pPr>
      <w:r>
        <w:rPr>
          <w:lang w:val="fr-CH"/>
        </w:rPr>
        <w:br w:type="page"/>
        <w:t>4.2.4.1</w:t>
      </w:r>
      <w:r>
        <w:rPr>
          <w:lang w:val="fr-CH"/>
        </w:rPr>
        <w:tab/>
        <w:t>Coefficient de diffusion</w:t>
      </w:r>
    </w:p>
    <w:p w:rsidR="002B489A" w:rsidRDefault="004F19C4">
      <w:pPr>
        <w:rPr>
          <w:lang w:val="fr-CH"/>
        </w:rPr>
      </w:pPr>
      <w:r>
        <w:rPr>
          <w:lang w:val="fr-CH"/>
        </w:rPr>
        <w:t xml:space="preserve">L'Annexe 1 de la Recommandation UIT-R </w:t>
      </w:r>
      <w:r>
        <w:rPr>
          <w:bCs/>
          <w:lang w:val="fr-CH"/>
        </w:rPr>
        <w:t>SA.1449</w:t>
      </w:r>
      <w:r>
        <w:rPr>
          <w:lang w:val="fr-CH"/>
        </w:rPr>
        <w:t xml:space="preserve"> décrit un modèle de coefficient de diffusion qui permet d'estimer la direction et l'intensité de la diffusion par la surface de la Terre. Des expériences sur Skylab ont déterminé un coefficient de diffusion radar à la surface de la Terre à 13,9 GHz sur le </w:t>
      </w:r>
      <w:r>
        <w:rPr>
          <w:i/>
          <w:iCs/>
          <w:lang w:val="fr-CH"/>
        </w:rPr>
        <w:t xml:space="preserve">Conterminous United </w:t>
      </w:r>
      <w:r>
        <w:rPr>
          <w:i/>
          <w:iCs/>
        </w:rPr>
        <w:t xml:space="preserve">States </w:t>
      </w:r>
      <w:r>
        <w:t>(CONUS), incluant les 48 Etats contigus et le District de Columbia</w:t>
      </w:r>
      <w:r>
        <w:rPr>
          <w:lang w:val="fr-CH"/>
        </w:rPr>
        <w:t>. En utilisant de telles procédures d'extrapolation de la fréquence à d'autres bandes, et en supposant que la densité de probabilité du coefficient de diffusion a une forme log-normale, on estime que le coefficient de diffusion, pour le cas le plus défavorable de géométrie décrit ci-dessus, a une valeur moyenne d'environ 2 dB. Cependant, pendant 10% du temps, ce coefficient peut dépasser 5,2 dB et pendant 1% du temps, il peut dépasser 9,4 dB à 10,65 GHz (voir la Fig. 16). Des travaux complémentaires sont prévus au sein de l'UIT-R pour développer un modèle bistatique de diffusion des hyperfréquences pour l'évaluation du brouillage en utilisant cette approche.</w:t>
      </w:r>
    </w:p>
    <w:p w:rsidR="002B489A" w:rsidRDefault="0006728D">
      <w:pPr>
        <w:pStyle w:val="FigureNo"/>
        <w:rPr>
          <w:lang w:val="fr-CH"/>
        </w:rPr>
      </w:pPr>
      <w:r>
        <w:rPr>
          <w:noProof/>
          <w:lang w:val="fr-CH" w:eastAsia="fr-CH"/>
        </w:rPr>
        <w:drawing>
          <wp:inline distT="0" distB="0" distL="0" distR="0">
            <wp:extent cx="4838700" cy="35528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38700" cy="3552825"/>
                    </a:xfrm>
                    <a:prstGeom prst="rect">
                      <a:avLst/>
                    </a:prstGeom>
                    <a:noFill/>
                    <a:ln>
                      <a:noFill/>
                    </a:ln>
                  </pic:spPr>
                </pic:pic>
              </a:graphicData>
            </a:graphic>
          </wp:inline>
        </w:drawing>
      </w:r>
    </w:p>
    <w:p w:rsidR="002B489A" w:rsidRDefault="004F19C4">
      <w:pPr>
        <w:rPr>
          <w:lang w:val="fr-CH"/>
        </w:rPr>
      </w:pPr>
      <w:r>
        <w:rPr>
          <w:lang w:val="fr-CH"/>
        </w:rPr>
        <w:t xml:space="preserve">Cependant, la plupart du temps, la diffusion se fera selon un mode moins directionnel avec une gamme de coefficients de diffusion de </w:t>
      </w:r>
      <w:r>
        <w:rPr>
          <w:lang w:val="fr-CH"/>
        </w:rPr>
        <w:sym w:font="Symbol" w:char="F02D"/>
      </w:r>
      <w:r>
        <w:rPr>
          <w:lang w:val="fr-CH"/>
        </w:rPr>
        <w:t xml:space="preserve">12,8 à </w:t>
      </w:r>
      <w:r>
        <w:rPr>
          <w:lang w:val="fr-CH"/>
        </w:rPr>
        <w:sym w:font="Symbol" w:char="F02D"/>
      </w:r>
      <w:r>
        <w:rPr>
          <w:lang w:val="fr-CH"/>
        </w:rPr>
        <w:t>5,7 dB selon l'angle d'incidence (valeur plus petite pour 50° d'incidence/40° d'élévation). Rappel du § 3.2.2, le seuil de brouillage est couplé avec une fréquence d'occurrence. Ce facteur est une combinaison des statistiques du coefficient de diffusion et de la dynamique du mouvement relatif du satellite SFS et du satellite SETS. Le couplage de ces deux facteurs exige des études plus approfondies. Ici, nous examinerons seulement le scénario le plus défavorable de l'interception d'une réflexion spéculaire au niveau d'occurrence de 1%.</w:t>
      </w:r>
    </w:p>
    <w:p w:rsidR="002B489A" w:rsidRDefault="004F19C4">
      <w:pPr>
        <w:pStyle w:val="Heading4"/>
        <w:rPr>
          <w:lang w:val="fr-CH"/>
        </w:rPr>
      </w:pPr>
      <w:r>
        <w:rPr>
          <w:lang w:val="fr-CH"/>
        </w:rPr>
        <w:t>4.2.4.2</w:t>
      </w:r>
      <w:r>
        <w:rPr>
          <w:lang w:val="fr-CH"/>
        </w:rPr>
        <w:tab/>
        <w:t>Brouillage hors bande en utilisant le gabarit hors bande de la Recomman</w:t>
      </w:r>
      <w:r>
        <w:rPr>
          <w:lang w:val="fr-CH"/>
        </w:rPr>
        <w:softHyphen/>
        <w:t>dation UIT</w:t>
      </w:r>
      <w:r>
        <w:rPr>
          <w:lang w:val="fr-CH"/>
        </w:rPr>
        <w:noBreakHyphen/>
        <w:t>R SM.1541</w:t>
      </w:r>
    </w:p>
    <w:p w:rsidR="002B489A" w:rsidRDefault="004F19C4">
      <w:pPr>
        <w:rPr>
          <w:lang w:val="fr-CH"/>
        </w:rPr>
      </w:pPr>
      <w:r>
        <w:rPr>
          <w:lang w:val="fr-CH"/>
        </w:rPr>
        <w:t xml:space="preserve">L'Appendice 1 de l'Annexe 1 de la Recommandation UIT-R SM.1541 décrit les procédures de calcul de la puissance des rayonnements non désirés entre deux fréquences quelconques dans le domaine des émissions hors bande. </w:t>
      </w:r>
    </w:p>
    <w:p w:rsidR="002B489A" w:rsidRDefault="004F19C4">
      <w:pPr>
        <w:rPr>
          <w:lang w:val="fr-CH"/>
        </w:rPr>
      </w:pPr>
      <w:r>
        <w:rPr>
          <w:lang w:val="fr-CH"/>
        </w:rPr>
        <w:br w:type="page"/>
        <w:t>Deux méthodes équivalentes sont données et consistent essentiellement à estimer l'intégrale du gabarit spectral sur une plage de fréquences donnée par les deux fréquences. Par conséquent, afin de déterminer l'impact de ce gabarit, il est intégré pour donner les résultats de la Fig. 17.</w:t>
      </w:r>
    </w:p>
    <w:p w:rsidR="002B489A" w:rsidRDefault="0006728D">
      <w:pPr>
        <w:pStyle w:val="FigureNo"/>
        <w:rPr>
          <w:lang w:val="fr-CH"/>
        </w:rPr>
      </w:pPr>
      <w:r>
        <w:rPr>
          <w:noProof/>
          <w:lang w:val="fr-CH" w:eastAsia="fr-CH"/>
        </w:rPr>
        <w:drawing>
          <wp:inline distT="0" distB="0" distL="0" distR="0">
            <wp:extent cx="4276725" cy="29432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76725" cy="2943225"/>
                    </a:xfrm>
                    <a:prstGeom prst="rect">
                      <a:avLst/>
                    </a:prstGeom>
                    <a:noFill/>
                    <a:ln>
                      <a:noFill/>
                    </a:ln>
                  </pic:spPr>
                </pic:pic>
              </a:graphicData>
            </a:graphic>
          </wp:inline>
        </w:drawing>
      </w:r>
    </w:p>
    <w:p w:rsidR="002B489A" w:rsidRDefault="004F19C4">
      <w:pPr>
        <w:rPr>
          <w:lang w:val="fr-CH"/>
        </w:rPr>
      </w:pPr>
      <w:r>
        <w:rPr>
          <w:lang w:val="fr-CH"/>
        </w:rPr>
        <w:t>Si on avait supposé que la puissance totale au sein d'un service de bande adjacente incluait les émissions hors bande de chaque côté de la largeur de bande nécessaire, l'intégration de la relation ci-dessus indiquerait qu'environ 12,5% (</w:t>
      </w:r>
      <w:r>
        <w:rPr>
          <w:lang w:val="fr-CH"/>
        </w:rPr>
        <w:sym w:font="Symbol" w:char="F02D"/>
      </w:r>
      <w:r>
        <w:rPr>
          <w:lang w:val="fr-CH"/>
        </w:rPr>
        <w:t>9 dB) de l'énergie serait émise dans le domaine hors bande de chaque côté de la largeur de bande nécessaire. Donc, si aucune tolérance n'est faite pour une bande de garde entre deux bandes attribuées adjacentes (les deux services fonctionnent en bordure de bande), un service actif dans la bande 10,7</w:t>
      </w:r>
      <w:r>
        <w:rPr>
          <w:lang w:val="fr-CH"/>
        </w:rPr>
        <w:noBreakHyphen/>
        <w:t xml:space="preserve">11,7 GHz pourrait contribuer à des rayonnements non désirés brouillant le service passif allant jusqu'à 12,5% de la puissance émise totale </w:t>
      </w:r>
      <w:r>
        <w:rPr>
          <w:lang w:val="fr-CH"/>
        </w:rPr>
        <w:fldChar w:fldCharType="begin"/>
      </w:r>
      <w:r>
        <w:rPr>
          <w:lang w:val="fr-CH"/>
        </w:rPr>
        <w:instrText xml:space="preserve"> EQ  (</w:instrText>
      </w:r>
      <w:r>
        <w:rPr>
          <w:i/>
          <w:lang w:val="fr-CH"/>
        </w:rPr>
        <w:instrText>P</w:instrText>
      </w:r>
      <w:r>
        <w:rPr>
          <w:lang w:val="fr-CH"/>
        </w:rPr>
        <w:instrText> – 9,0 dB).</w:instrText>
      </w:r>
      <w:r>
        <w:rPr>
          <w:lang w:val="fr-CH"/>
        </w:rPr>
        <w:fldChar w:fldCharType="end"/>
      </w:r>
      <w:r>
        <w:rPr>
          <w:lang w:val="fr-CH"/>
        </w:rPr>
        <w:t xml:space="preserve"> Bien sûr, l'utilisation de bandes de garde avec l'un ou l'autre des deux services pourrait réduire considérablement ce brouillage. Cependant, pour cette évaluation initiale, on supposera qu'on n'utilise pas de bande de garde.</w:t>
      </w:r>
    </w:p>
    <w:p w:rsidR="002B489A" w:rsidRDefault="004F19C4">
      <w:pPr>
        <w:rPr>
          <w:lang w:val="fr-CH"/>
        </w:rPr>
      </w:pPr>
      <w:r>
        <w:rPr>
          <w:lang w:val="fr-CH"/>
        </w:rPr>
        <w:t>Le Tableau 20 indique les bilans de puissance pour les trois systèmes à satellites représentatifs qui montrent les marges de seuil de brouillage pour chacun d'eux. Avec le gabarit hors bande de la Recommandation UIT-R SM.1541, le niveau des rayonnements non désirés dans la bande passive est obtenu par intégration sur le gabarit hors bande entre les deux bords de la bande passive. Pour le cas OSG avec 250 MHz de largeur de bande et le détecteur ayant une largeur de bande de 100 MHz, les limites d'intégration appropriées vont de 0 à 40% de la largeur de bande nécessaire du service actif. Une opération équivalente prendrait simplement la différence de l'antilog à 0 et 40% tirés de la Fig. 17, et convertirait cela en dB. Procéder ainsi indiquerait un niveau de rayonnements non désirés d'environ 9,8 dB au-dessous de la puissance dans la bande moyenne du service actif. Ce résultat est indiqué au Tableau 20 comme facteur hors bande. Aussi bien pour le système LEO</w:t>
      </w:r>
      <w:r>
        <w:rPr>
          <w:lang w:val="fr-CH"/>
        </w:rPr>
        <w:noBreakHyphen/>
        <w:t>N que pour le système USAKU-H1, la limite supérieure du pourcentage d'intégration s'étend au-delà du gabarit de la Recommandation UIT-R SM.1541 (qui se termine à la limite des rayonnements non essentiels de 200% de la largeur de bande nécessaire). Pour cela, nous ne prenons en compte que les rayonnements non désirés définis par le gabarit hors bande et excluons ceux qui sont dus aux rayonnements non essentiels. La contribution totale provenant du domaine des émissions hors bande est de 9 dB au-dessous de la puissance moyenne dans le service actif. Les systèmes GSO</w:t>
      </w:r>
      <w:r>
        <w:rPr>
          <w:lang w:val="fr-CH"/>
        </w:rPr>
        <w:noBreakHyphen/>
        <w:t xml:space="preserve">VX </w:t>
      </w:r>
      <w:r>
        <w:rPr>
          <w:lang w:val="fr-CH"/>
        </w:rPr>
        <w:br w:type="page"/>
        <w:t>et LEO-N peuvent tous deux satisfaire aux conditions d'alignement d'une réflexion spéculaire le long de l'axe de l'antenne du détecteur (angle d'élévation </w:t>
      </w:r>
      <w:r>
        <w:rPr>
          <w:rFonts w:ascii="Symbol" w:hAnsi="Symbol"/>
          <w:lang w:val="fr-CH"/>
        </w:rPr>
        <w:t></w:t>
      </w:r>
      <w:r>
        <w:rPr>
          <w:lang w:val="fr-CH"/>
        </w:rPr>
        <w:t> 35°). Cependant, le système USAKU</w:t>
      </w:r>
      <w:r>
        <w:rPr>
          <w:lang w:val="fr-CH"/>
        </w:rPr>
        <w:noBreakHyphen/>
        <w:t xml:space="preserve">H1 est conçu pour un fonctionnement à de forts angles d'élévation, de l'ordre de 70°. Par conséquent, il ne devrait jamais y avoir un tel alignement avec ce système. Au point de la Terre où l'axe du détecteur coupe l'axe de l'antenne du service actif, il y aura un décalage de </w:t>
      </w:r>
      <w:r>
        <w:rPr>
          <w:rFonts w:ascii="Symbol" w:hAnsi="Symbol"/>
          <w:lang w:val="fr-CH"/>
        </w:rPr>
        <w:sym w:font="Symbol" w:char="F065"/>
      </w:r>
      <w:r>
        <w:rPr>
          <w:lang w:val="fr-CH"/>
        </w:rPr>
        <w:t> – </w:t>
      </w:r>
      <w:r>
        <w:rPr>
          <w:rFonts w:ascii="Symbol" w:hAnsi="Symbol"/>
          <w:lang w:val="fr-CH"/>
        </w:rPr>
        <w:sym w:font="Symbol" w:char="F06A"/>
      </w:r>
      <w:r>
        <w:rPr>
          <w:lang w:val="fr-CH"/>
        </w:rPr>
        <w:t> </w:t>
      </w:r>
      <w:r>
        <w:rPr>
          <w:rFonts w:ascii="Symbol" w:hAnsi="Symbol"/>
          <w:lang w:val="fr-CH"/>
        </w:rPr>
        <w:t></w:t>
      </w:r>
      <w:r>
        <w:rPr>
          <w:lang w:val="fr-CH"/>
        </w:rPr>
        <w:t> 35° comme indiqué à la Fig. 18.</w:t>
      </w:r>
    </w:p>
    <w:p w:rsidR="002B489A" w:rsidRDefault="004F19C4">
      <w:pPr>
        <w:pStyle w:val="TableNo"/>
        <w:spacing w:before="0"/>
      </w:pPr>
      <w:r>
        <w:t>TABLEAU  20</w:t>
      </w:r>
    </w:p>
    <w:p w:rsidR="002B489A" w:rsidRDefault="004F19C4">
      <w:pPr>
        <w:pStyle w:val="Tabletitle"/>
      </w:pPr>
      <w:r>
        <w:t xml:space="preserve">Estimation des marges de brouillage pour des systèmes SFS typiques en utilisant </w:t>
      </w:r>
      <w:r>
        <w:br/>
        <w:t>le gabarit hors bande de la Recommandation UIT-R SM.1541</w:t>
      </w:r>
    </w:p>
    <w:tbl>
      <w:tblPr>
        <w:tblW w:w="963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981"/>
        <w:gridCol w:w="1153"/>
        <w:gridCol w:w="987"/>
        <w:gridCol w:w="1518"/>
      </w:tblGrid>
      <w:tr w:rsidR="002B489A">
        <w:trPr>
          <w:cantSplit/>
        </w:trPr>
        <w:tc>
          <w:tcPr>
            <w:tcW w:w="5981" w:type="dxa"/>
            <w:vMerge w:val="restart"/>
            <w:tcBorders>
              <w:top w:val="single" w:sz="4" w:space="0" w:color="auto"/>
              <w:left w:val="single" w:sz="4" w:space="0" w:color="auto"/>
              <w:right w:val="single" w:sz="4" w:space="0" w:color="auto"/>
            </w:tcBorders>
            <w:shd w:val="clear" w:color="auto" w:fill="FFFFFF"/>
          </w:tcPr>
          <w:p w:rsidR="002B489A" w:rsidRDefault="002B489A">
            <w:pPr>
              <w:pStyle w:val="Tablehead"/>
              <w:framePr w:hSpace="181" w:wrap="notBeside" w:vAnchor="text" w:hAnchor="text" w:xAlign="center" w:y="1"/>
            </w:pPr>
          </w:p>
        </w:tc>
        <w:tc>
          <w:tcPr>
            <w:tcW w:w="3658" w:type="dxa"/>
            <w:gridSpan w:val="3"/>
            <w:tcBorders>
              <w:top w:val="single" w:sz="4" w:space="0" w:color="auto"/>
              <w:left w:val="single" w:sz="4" w:space="0" w:color="auto"/>
              <w:bottom w:val="single" w:sz="4" w:space="0" w:color="auto"/>
              <w:right w:val="single" w:sz="4" w:space="0" w:color="auto"/>
            </w:tcBorders>
            <w:shd w:val="clear" w:color="auto" w:fill="FFFFFF"/>
          </w:tcPr>
          <w:p w:rsidR="002B489A" w:rsidRDefault="004F19C4">
            <w:pPr>
              <w:pStyle w:val="Tablehead"/>
              <w:framePr w:hSpace="181" w:wrap="notBeside" w:vAnchor="text" w:hAnchor="text" w:xAlign="center" w:y="1"/>
            </w:pPr>
            <w:r>
              <w:t>Système SFS</w:t>
            </w:r>
          </w:p>
        </w:tc>
      </w:tr>
      <w:tr w:rsidR="002B489A">
        <w:trPr>
          <w:cantSplit/>
        </w:trPr>
        <w:tc>
          <w:tcPr>
            <w:tcW w:w="5981" w:type="dxa"/>
            <w:vMerge/>
            <w:tcBorders>
              <w:left w:val="single" w:sz="4" w:space="0" w:color="auto"/>
              <w:bottom w:val="single" w:sz="4" w:space="0" w:color="auto"/>
              <w:right w:val="single" w:sz="4" w:space="0" w:color="auto"/>
            </w:tcBorders>
            <w:shd w:val="clear" w:color="auto" w:fill="FFFFFF"/>
          </w:tcPr>
          <w:p w:rsidR="002B489A" w:rsidRDefault="002B489A">
            <w:pPr>
              <w:pStyle w:val="Tablehead"/>
              <w:framePr w:hSpace="181" w:wrap="notBeside" w:vAnchor="text" w:hAnchor="text" w:xAlign="center" w:y="1"/>
            </w:pPr>
          </w:p>
        </w:tc>
        <w:tc>
          <w:tcPr>
            <w:tcW w:w="1153" w:type="dxa"/>
            <w:tcBorders>
              <w:top w:val="single" w:sz="4" w:space="0" w:color="auto"/>
              <w:left w:val="single" w:sz="4" w:space="0" w:color="auto"/>
              <w:bottom w:val="single" w:sz="4" w:space="0" w:color="auto"/>
              <w:right w:val="single" w:sz="4" w:space="0" w:color="auto"/>
            </w:tcBorders>
            <w:shd w:val="clear" w:color="auto" w:fill="FFFFFF"/>
          </w:tcPr>
          <w:p w:rsidR="002B489A" w:rsidRDefault="004F19C4">
            <w:pPr>
              <w:pStyle w:val="Tablehead"/>
              <w:framePr w:hSpace="181" w:wrap="notBeside" w:vAnchor="text" w:hAnchor="text" w:xAlign="center" w:y="1"/>
            </w:pPr>
            <w:r>
              <w:t>GSO-VX</w:t>
            </w:r>
          </w:p>
        </w:tc>
        <w:tc>
          <w:tcPr>
            <w:tcW w:w="987" w:type="dxa"/>
            <w:tcBorders>
              <w:top w:val="single" w:sz="4" w:space="0" w:color="auto"/>
              <w:left w:val="single" w:sz="4" w:space="0" w:color="auto"/>
              <w:bottom w:val="single" w:sz="4" w:space="0" w:color="auto"/>
              <w:right w:val="single" w:sz="4" w:space="0" w:color="auto"/>
            </w:tcBorders>
            <w:shd w:val="clear" w:color="auto" w:fill="FFFFFF"/>
          </w:tcPr>
          <w:p w:rsidR="002B489A" w:rsidRDefault="004F19C4">
            <w:pPr>
              <w:pStyle w:val="Tablehead"/>
              <w:framePr w:hSpace="181" w:wrap="notBeside" w:vAnchor="text" w:hAnchor="text" w:xAlign="center" w:y="1"/>
              <w:rPr>
                <w:lang w:val="es-ES"/>
              </w:rPr>
            </w:pPr>
            <w:r>
              <w:rPr>
                <w:lang w:val="es-ES"/>
              </w:rPr>
              <w:t>LEO-N</w:t>
            </w:r>
          </w:p>
        </w:tc>
        <w:tc>
          <w:tcPr>
            <w:tcW w:w="1518" w:type="dxa"/>
            <w:tcBorders>
              <w:top w:val="single" w:sz="4" w:space="0" w:color="auto"/>
              <w:left w:val="single" w:sz="4" w:space="0" w:color="auto"/>
              <w:bottom w:val="single" w:sz="4" w:space="0" w:color="auto"/>
              <w:right w:val="single" w:sz="4" w:space="0" w:color="auto"/>
            </w:tcBorders>
            <w:shd w:val="clear" w:color="auto" w:fill="FFFFFF"/>
          </w:tcPr>
          <w:p w:rsidR="002B489A" w:rsidRDefault="004F19C4">
            <w:pPr>
              <w:pStyle w:val="Tablehead"/>
              <w:framePr w:hSpace="181" w:wrap="notBeside" w:vAnchor="text" w:hAnchor="text" w:xAlign="center" w:y="1"/>
              <w:rPr>
                <w:lang w:val="es-ES"/>
              </w:rPr>
            </w:pPr>
            <w:r>
              <w:rPr>
                <w:lang w:val="es-ES"/>
              </w:rPr>
              <w:t>USAKU-H1</w:t>
            </w:r>
          </w:p>
        </w:tc>
      </w:tr>
      <w:tr w:rsidR="002B489A">
        <w:tc>
          <w:tcPr>
            <w:tcW w:w="5981"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left"/>
              <w:rPr>
                <w:lang w:val="es-ES"/>
              </w:rPr>
            </w:pPr>
            <w:r>
              <w:rPr>
                <w:lang w:val="es-ES"/>
              </w:rPr>
              <w:t>p.i.r.e. (dBW)</w:t>
            </w:r>
          </w:p>
        </w:tc>
        <w:tc>
          <w:tcPr>
            <w:tcW w:w="1153"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47,0</w:t>
            </w:r>
          </w:p>
        </w:tc>
        <w:tc>
          <w:tcPr>
            <w:tcW w:w="987"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17,6</w:t>
            </w:r>
          </w:p>
        </w:tc>
        <w:tc>
          <w:tcPr>
            <w:tcW w:w="1518"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58,0</w:t>
            </w:r>
          </w:p>
        </w:tc>
      </w:tr>
      <w:tr w:rsidR="002B489A">
        <w:tc>
          <w:tcPr>
            <w:tcW w:w="5981"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left"/>
            </w:pPr>
            <w:r>
              <w:t>Largeur de bande du répéteur SFS (MHz)</w:t>
            </w:r>
          </w:p>
        </w:tc>
        <w:tc>
          <w:tcPr>
            <w:tcW w:w="1153"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250,0</w:t>
            </w:r>
          </w:p>
        </w:tc>
        <w:tc>
          <w:tcPr>
            <w:tcW w:w="987"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4,9</w:t>
            </w:r>
          </w:p>
        </w:tc>
        <w:tc>
          <w:tcPr>
            <w:tcW w:w="1518"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24,0</w:t>
            </w:r>
          </w:p>
        </w:tc>
      </w:tr>
      <w:tr w:rsidR="002B489A">
        <w:tc>
          <w:tcPr>
            <w:tcW w:w="5981"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left"/>
            </w:pPr>
            <w:r>
              <w:t>Largeur de bande du détecteur (MHz)</w:t>
            </w:r>
          </w:p>
        </w:tc>
        <w:tc>
          <w:tcPr>
            <w:tcW w:w="1153"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100</w:t>
            </w:r>
          </w:p>
        </w:tc>
        <w:tc>
          <w:tcPr>
            <w:tcW w:w="987"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100</w:t>
            </w:r>
          </w:p>
        </w:tc>
        <w:tc>
          <w:tcPr>
            <w:tcW w:w="1518"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100</w:t>
            </w:r>
          </w:p>
        </w:tc>
      </w:tr>
      <w:tr w:rsidR="002B489A">
        <w:tc>
          <w:tcPr>
            <w:tcW w:w="5981"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left"/>
            </w:pPr>
            <w:r>
              <w:t>Pourcentage de décalage de fréquence par rapport au bord de la bande</w:t>
            </w:r>
          </w:p>
        </w:tc>
        <w:tc>
          <w:tcPr>
            <w:tcW w:w="1153"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0-40</w:t>
            </w:r>
          </w:p>
        </w:tc>
        <w:tc>
          <w:tcPr>
            <w:tcW w:w="987"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w:t>
            </w:r>
            <w:r>
              <w:rPr>
                <w:vertAlign w:val="superscript"/>
              </w:rPr>
              <w:t>(1)</w:t>
            </w:r>
          </w:p>
        </w:tc>
        <w:tc>
          <w:tcPr>
            <w:tcW w:w="1518"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w:t>
            </w:r>
            <w:r>
              <w:rPr>
                <w:vertAlign w:val="superscript"/>
              </w:rPr>
              <w:t>(1)</w:t>
            </w:r>
          </w:p>
        </w:tc>
      </w:tr>
      <w:tr w:rsidR="002B489A">
        <w:tc>
          <w:tcPr>
            <w:tcW w:w="5981"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left"/>
            </w:pPr>
            <w:r>
              <w:t>Facteur de puissance hors bande</w:t>
            </w:r>
          </w:p>
        </w:tc>
        <w:tc>
          <w:tcPr>
            <w:tcW w:w="1153"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–9,8</w:t>
            </w:r>
          </w:p>
        </w:tc>
        <w:tc>
          <w:tcPr>
            <w:tcW w:w="987"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–9,0</w:t>
            </w:r>
          </w:p>
        </w:tc>
        <w:tc>
          <w:tcPr>
            <w:tcW w:w="1518"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–9,0</w:t>
            </w:r>
          </w:p>
        </w:tc>
      </w:tr>
      <w:tr w:rsidR="002B489A">
        <w:tc>
          <w:tcPr>
            <w:tcW w:w="5981"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left"/>
            </w:pPr>
            <w:r>
              <w:t>Puissance brouilleuse dans la bande du détecteur (dBW)</w:t>
            </w:r>
          </w:p>
        </w:tc>
        <w:tc>
          <w:tcPr>
            <w:tcW w:w="1153"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37,2</w:t>
            </w:r>
          </w:p>
        </w:tc>
        <w:tc>
          <w:tcPr>
            <w:tcW w:w="987"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8,6</w:t>
            </w:r>
          </w:p>
        </w:tc>
        <w:tc>
          <w:tcPr>
            <w:tcW w:w="1518"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49,0</w:t>
            </w:r>
          </w:p>
        </w:tc>
      </w:tr>
      <w:tr w:rsidR="002B489A">
        <w:tc>
          <w:tcPr>
            <w:tcW w:w="5981"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left"/>
              <w:rPr>
                <w:vertAlign w:val="superscript"/>
              </w:rPr>
            </w:pPr>
            <w:r>
              <w:t>Réglage de largeur de bande de seuil (dB)</w:t>
            </w:r>
            <w:r>
              <w:rPr>
                <w:vertAlign w:val="superscript"/>
              </w:rPr>
              <w:t>(2)</w:t>
            </w:r>
          </w:p>
        </w:tc>
        <w:tc>
          <w:tcPr>
            <w:tcW w:w="1153"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–7,0</w:t>
            </w:r>
          </w:p>
        </w:tc>
        <w:tc>
          <w:tcPr>
            <w:tcW w:w="987"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–7,0</w:t>
            </w:r>
          </w:p>
        </w:tc>
        <w:tc>
          <w:tcPr>
            <w:tcW w:w="1518"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–7,0</w:t>
            </w:r>
          </w:p>
        </w:tc>
      </w:tr>
      <w:tr w:rsidR="002B489A">
        <w:tc>
          <w:tcPr>
            <w:tcW w:w="5981"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left"/>
            </w:pPr>
            <w:r>
              <w:t>DSP à l'émission (dB(W/20 MHz))</w:t>
            </w:r>
          </w:p>
        </w:tc>
        <w:tc>
          <w:tcPr>
            <w:tcW w:w="1153"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30,2</w:t>
            </w:r>
          </w:p>
        </w:tc>
        <w:tc>
          <w:tcPr>
            <w:tcW w:w="987"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1,6</w:t>
            </w:r>
          </w:p>
        </w:tc>
        <w:tc>
          <w:tcPr>
            <w:tcW w:w="1518"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42,0</w:t>
            </w:r>
          </w:p>
        </w:tc>
      </w:tr>
      <w:tr w:rsidR="002B489A">
        <w:tc>
          <w:tcPr>
            <w:tcW w:w="5981"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left"/>
            </w:pPr>
            <w:r>
              <w:t>Elévation du satellite du service actif (degrés)</w:t>
            </w:r>
          </w:p>
        </w:tc>
        <w:tc>
          <w:tcPr>
            <w:tcW w:w="1153"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35,0</w:t>
            </w:r>
          </w:p>
        </w:tc>
        <w:tc>
          <w:tcPr>
            <w:tcW w:w="987"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35,0</w:t>
            </w:r>
          </w:p>
        </w:tc>
        <w:tc>
          <w:tcPr>
            <w:tcW w:w="1518"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vertAlign w:val="superscript"/>
              </w:rPr>
            </w:pPr>
            <w:r>
              <w:t>70,0</w:t>
            </w:r>
            <w:r>
              <w:rPr>
                <w:vertAlign w:val="superscript"/>
              </w:rPr>
              <w:t>(3)</w:t>
            </w:r>
          </w:p>
        </w:tc>
      </w:tr>
      <w:tr w:rsidR="002B489A">
        <w:tc>
          <w:tcPr>
            <w:tcW w:w="5981"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left"/>
            </w:pPr>
            <w:r>
              <w:t>Portée SFS (km)</w:t>
            </w:r>
          </w:p>
        </w:tc>
        <w:tc>
          <w:tcPr>
            <w:tcW w:w="1153"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38</w:t>
            </w:r>
            <w:r>
              <w:rPr>
                <w:rFonts w:ascii="Tms Rmn" w:hAnsi="Tms Rmn"/>
                <w:sz w:val="12"/>
              </w:rPr>
              <w:t> </w:t>
            </w:r>
            <w:r>
              <w:t>180</w:t>
            </w:r>
          </w:p>
        </w:tc>
        <w:tc>
          <w:tcPr>
            <w:tcW w:w="987"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1</w:t>
            </w:r>
            <w:r>
              <w:rPr>
                <w:rFonts w:ascii="Tms Rmn" w:hAnsi="Tms Rmn"/>
                <w:sz w:val="12"/>
              </w:rPr>
              <w:t> </w:t>
            </w:r>
            <w:r>
              <w:t>117</w:t>
            </w:r>
          </w:p>
        </w:tc>
        <w:tc>
          <w:tcPr>
            <w:tcW w:w="1518"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41</w:t>
            </w:r>
            <w:r>
              <w:rPr>
                <w:rFonts w:ascii="Tms Rmn" w:hAnsi="Tms Rmn"/>
                <w:sz w:val="12"/>
              </w:rPr>
              <w:t> </w:t>
            </w:r>
            <w:r>
              <w:t>784</w:t>
            </w:r>
          </w:p>
        </w:tc>
      </w:tr>
      <w:tr w:rsidR="002B489A">
        <w:tc>
          <w:tcPr>
            <w:tcW w:w="5981"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left"/>
            </w:pPr>
            <w:r>
              <w:t>Affaiblissement dû à l'étalement du faisceau (dB)</w:t>
            </w:r>
          </w:p>
        </w:tc>
        <w:tc>
          <w:tcPr>
            <w:tcW w:w="1153"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162,5</w:t>
            </w:r>
          </w:p>
        </w:tc>
        <w:tc>
          <w:tcPr>
            <w:tcW w:w="987"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132,0</w:t>
            </w:r>
          </w:p>
        </w:tc>
        <w:tc>
          <w:tcPr>
            <w:tcW w:w="1518"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163,4</w:t>
            </w:r>
          </w:p>
        </w:tc>
      </w:tr>
      <w:tr w:rsidR="002B489A">
        <w:tc>
          <w:tcPr>
            <w:tcW w:w="5981"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left"/>
            </w:pPr>
            <w:r>
              <w:t>Centre de puissance surfacique hors bande de la zone projetée (dB(W/(m</w:t>
            </w:r>
            <w:r>
              <w:rPr>
                <w:vertAlign w:val="superscript"/>
              </w:rPr>
              <w:t>2</w:t>
            </w:r>
            <w:r>
              <w:t xml:space="preserve"> · 20 MHz)))</w:t>
            </w:r>
          </w:p>
        </w:tc>
        <w:tc>
          <w:tcPr>
            <w:tcW w:w="1153"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–134,7</w:t>
            </w:r>
          </w:p>
        </w:tc>
        <w:tc>
          <w:tcPr>
            <w:tcW w:w="987"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–131,4</w:t>
            </w:r>
          </w:p>
        </w:tc>
        <w:tc>
          <w:tcPr>
            <w:tcW w:w="1518"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–123,8</w:t>
            </w:r>
          </w:p>
        </w:tc>
      </w:tr>
      <w:tr w:rsidR="002B489A">
        <w:tc>
          <w:tcPr>
            <w:tcW w:w="5981"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left"/>
            </w:pPr>
            <w:r>
              <w:t>Coefficient de diffusion (dB)</w:t>
            </w:r>
          </w:p>
        </w:tc>
        <w:tc>
          <w:tcPr>
            <w:tcW w:w="1153"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9,4</w:t>
            </w:r>
          </w:p>
        </w:tc>
        <w:tc>
          <w:tcPr>
            <w:tcW w:w="987"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9,4</w:t>
            </w:r>
          </w:p>
        </w:tc>
        <w:tc>
          <w:tcPr>
            <w:tcW w:w="1518"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vertAlign w:val="superscript"/>
              </w:rPr>
            </w:pPr>
            <w:r>
              <w:t>–5,5</w:t>
            </w:r>
            <w:r>
              <w:rPr>
                <w:vertAlign w:val="superscript"/>
              </w:rPr>
              <w:t>(4)</w:t>
            </w:r>
          </w:p>
        </w:tc>
      </w:tr>
      <w:tr w:rsidR="002B489A">
        <w:tc>
          <w:tcPr>
            <w:tcW w:w="5981"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left"/>
            </w:pPr>
            <w:r>
              <w:t>Ouverture de faisceau du détecteur (degrés)</w:t>
            </w:r>
          </w:p>
        </w:tc>
        <w:tc>
          <w:tcPr>
            <w:tcW w:w="1153"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1,4</w:t>
            </w:r>
          </w:p>
        </w:tc>
        <w:tc>
          <w:tcPr>
            <w:tcW w:w="987"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1,4</w:t>
            </w:r>
          </w:p>
        </w:tc>
        <w:tc>
          <w:tcPr>
            <w:tcW w:w="1518"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1,4</w:t>
            </w:r>
          </w:p>
        </w:tc>
      </w:tr>
      <w:tr w:rsidR="002B489A">
        <w:tc>
          <w:tcPr>
            <w:tcW w:w="5981"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left"/>
            </w:pPr>
            <w:r>
              <w:t>Portée du détecteur (km)</w:t>
            </w:r>
          </w:p>
        </w:tc>
        <w:tc>
          <w:tcPr>
            <w:tcW w:w="1153"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1</w:t>
            </w:r>
            <w:r>
              <w:rPr>
                <w:rFonts w:ascii="Tms Rmn" w:hAnsi="Tms Rmn"/>
                <w:sz w:val="12"/>
              </w:rPr>
              <w:t> </w:t>
            </w:r>
            <w:r>
              <w:t>124</w:t>
            </w:r>
          </w:p>
        </w:tc>
        <w:tc>
          <w:tcPr>
            <w:tcW w:w="987"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1</w:t>
            </w:r>
            <w:r>
              <w:rPr>
                <w:rFonts w:ascii="Tms Rmn" w:hAnsi="Tms Rmn"/>
                <w:sz w:val="12"/>
              </w:rPr>
              <w:t> </w:t>
            </w:r>
            <w:r>
              <w:t>124</w:t>
            </w:r>
          </w:p>
        </w:tc>
        <w:tc>
          <w:tcPr>
            <w:tcW w:w="1518"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1</w:t>
            </w:r>
            <w:r>
              <w:rPr>
                <w:rFonts w:ascii="Tms Rmn" w:hAnsi="Tms Rmn"/>
                <w:sz w:val="12"/>
              </w:rPr>
              <w:t> </w:t>
            </w:r>
            <w:r>
              <w:t>124</w:t>
            </w:r>
          </w:p>
        </w:tc>
      </w:tr>
      <w:tr w:rsidR="002B489A">
        <w:tc>
          <w:tcPr>
            <w:tcW w:w="5981"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left"/>
            </w:pPr>
            <w:r>
              <w:t>Zone du faisceau du détecteur (millions de m</w:t>
            </w:r>
            <w:r>
              <w:rPr>
                <w:vertAlign w:val="superscript"/>
              </w:rPr>
              <w:t>2</w:t>
            </w:r>
            <w:r>
              <w:t>)</w:t>
            </w:r>
          </w:p>
        </w:tc>
        <w:tc>
          <w:tcPr>
            <w:tcW w:w="1153"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592</w:t>
            </w:r>
          </w:p>
        </w:tc>
        <w:tc>
          <w:tcPr>
            <w:tcW w:w="987"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592</w:t>
            </w:r>
          </w:p>
        </w:tc>
        <w:tc>
          <w:tcPr>
            <w:tcW w:w="1518"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592</w:t>
            </w:r>
          </w:p>
        </w:tc>
      </w:tr>
      <w:tr w:rsidR="002B489A">
        <w:tc>
          <w:tcPr>
            <w:tcW w:w="5981"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left"/>
            </w:pPr>
            <w:r>
              <w:t>Elévation du détecteur (degrés)</w:t>
            </w:r>
          </w:p>
        </w:tc>
        <w:tc>
          <w:tcPr>
            <w:tcW w:w="1153"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35</w:t>
            </w:r>
          </w:p>
        </w:tc>
        <w:tc>
          <w:tcPr>
            <w:tcW w:w="987"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35</w:t>
            </w:r>
          </w:p>
        </w:tc>
        <w:tc>
          <w:tcPr>
            <w:tcW w:w="1518"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35</w:t>
            </w:r>
          </w:p>
        </w:tc>
      </w:tr>
      <w:tr w:rsidR="002B489A">
        <w:tc>
          <w:tcPr>
            <w:tcW w:w="5981"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left"/>
            </w:pPr>
            <w:r>
              <w:t>Zone du faisceau projeté (millions de m</w:t>
            </w:r>
            <w:r>
              <w:rPr>
                <w:vertAlign w:val="superscript"/>
              </w:rPr>
              <w:t>2</w:t>
            </w:r>
            <w:r>
              <w:t>)</w:t>
            </w:r>
          </w:p>
        </w:tc>
        <w:tc>
          <w:tcPr>
            <w:tcW w:w="1153"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1</w:t>
            </w:r>
            <w:r>
              <w:rPr>
                <w:rFonts w:ascii="Tms Rmn" w:hAnsi="Tms Rmn"/>
                <w:sz w:val="12"/>
              </w:rPr>
              <w:t> </w:t>
            </w:r>
            <w:r>
              <w:t>033</w:t>
            </w:r>
          </w:p>
        </w:tc>
        <w:tc>
          <w:tcPr>
            <w:tcW w:w="987"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1</w:t>
            </w:r>
            <w:r>
              <w:rPr>
                <w:rFonts w:ascii="Tms Rmn" w:hAnsi="Tms Rmn"/>
                <w:sz w:val="12"/>
              </w:rPr>
              <w:t> </w:t>
            </w:r>
            <w:r>
              <w:t>033</w:t>
            </w:r>
          </w:p>
        </w:tc>
        <w:tc>
          <w:tcPr>
            <w:tcW w:w="1518"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1</w:t>
            </w:r>
            <w:r>
              <w:rPr>
                <w:rFonts w:ascii="Tms Rmn" w:hAnsi="Tms Rmn"/>
                <w:sz w:val="12"/>
              </w:rPr>
              <w:t> </w:t>
            </w:r>
            <w:r>
              <w:t>033</w:t>
            </w:r>
          </w:p>
        </w:tc>
      </w:tr>
      <w:tr w:rsidR="002B489A">
        <w:tc>
          <w:tcPr>
            <w:tcW w:w="5981"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left"/>
            </w:pPr>
            <w:r>
              <w:t>Puissance dispersée (dB(W/20 MHz))</w:t>
            </w:r>
          </w:p>
        </w:tc>
        <w:tc>
          <w:tcPr>
            <w:tcW w:w="1153"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–35,3</w:t>
            </w:r>
          </w:p>
        </w:tc>
        <w:tc>
          <w:tcPr>
            <w:tcW w:w="987"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–33,2</w:t>
            </w:r>
          </w:p>
        </w:tc>
        <w:tc>
          <w:tcPr>
            <w:tcW w:w="1518"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–37,0</w:t>
            </w:r>
          </w:p>
        </w:tc>
      </w:tr>
      <w:tr w:rsidR="002B489A">
        <w:tc>
          <w:tcPr>
            <w:tcW w:w="5981"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left"/>
            </w:pPr>
            <w:r>
              <w:t>Voie d'accès au détecteur (dB)</w:t>
            </w:r>
          </w:p>
        </w:tc>
        <w:tc>
          <w:tcPr>
            <w:tcW w:w="1153"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–174</w:t>
            </w:r>
          </w:p>
        </w:tc>
        <w:tc>
          <w:tcPr>
            <w:tcW w:w="987"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–174</w:t>
            </w:r>
          </w:p>
        </w:tc>
        <w:tc>
          <w:tcPr>
            <w:tcW w:w="1518"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–174</w:t>
            </w:r>
          </w:p>
        </w:tc>
      </w:tr>
      <w:tr w:rsidR="002B489A">
        <w:tc>
          <w:tcPr>
            <w:tcW w:w="5981"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left"/>
            </w:pPr>
            <w:r>
              <w:t>Gain d'antenne du détecteur (dBi)</w:t>
            </w:r>
          </w:p>
        </w:tc>
        <w:tc>
          <w:tcPr>
            <w:tcW w:w="1153"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41</w:t>
            </w:r>
          </w:p>
        </w:tc>
        <w:tc>
          <w:tcPr>
            <w:tcW w:w="987"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41</w:t>
            </w:r>
          </w:p>
        </w:tc>
        <w:tc>
          <w:tcPr>
            <w:tcW w:w="1518"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41</w:t>
            </w:r>
          </w:p>
        </w:tc>
      </w:tr>
      <w:tr w:rsidR="002B489A">
        <w:tc>
          <w:tcPr>
            <w:tcW w:w="5981"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left"/>
            </w:pPr>
            <w:r>
              <w:t>DSP reçue (dB(W/(m</w:t>
            </w:r>
            <w:r>
              <w:rPr>
                <w:vertAlign w:val="superscript"/>
              </w:rPr>
              <w:t>2</w:t>
            </w:r>
            <w:r>
              <w:t xml:space="preserve"> · 20 MHz)))</w:t>
            </w:r>
          </w:p>
        </w:tc>
        <w:tc>
          <w:tcPr>
            <w:tcW w:w="1153"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–168,3</w:t>
            </w:r>
          </w:p>
        </w:tc>
        <w:tc>
          <w:tcPr>
            <w:tcW w:w="987"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–166,2</w:t>
            </w:r>
          </w:p>
        </w:tc>
        <w:tc>
          <w:tcPr>
            <w:tcW w:w="1518"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–170,0</w:t>
            </w:r>
          </w:p>
        </w:tc>
      </w:tr>
      <w:tr w:rsidR="002B489A">
        <w:trPr>
          <w:trHeight w:val="260"/>
        </w:trPr>
        <w:tc>
          <w:tcPr>
            <w:tcW w:w="5981"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left"/>
            </w:pPr>
            <w:r>
              <w:t>Seuil de brouillage (dB(W/20 MHz))</w:t>
            </w:r>
          </w:p>
        </w:tc>
        <w:tc>
          <w:tcPr>
            <w:tcW w:w="1153"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–163</w:t>
            </w:r>
          </w:p>
        </w:tc>
        <w:tc>
          <w:tcPr>
            <w:tcW w:w="987"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–163</w:t>
            </w:r>
          </w:p>
        </w:tc>
        <w:tc>
          <w:tcPr>
            <w:tcW w:w="1518"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–163</w:t>
            </w:r>
          </w:p>
        </w:tc>
      </w:tr>
      <w:tr w:rsidR="002B489A">
        <w:tc>
          <w:tcPr>
            <w:tcW w:w="5981"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left"/>
            </w:pPr>
            <w:r>
              <w:t>Marge (dB)</w:t>
            </w:r>
          </w:p>
        </w:tc>
        <w:tc>
          <w:tcPr>
            <w:tcW w:w="1153"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5,3</w:t>
            </w:r>
          </w:p>
        </w:tc>
        <w:tc>
          <w:tcPr>
            <w:tcW w:w="987"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3,2</w:t>
            </w:r>
          </w:p>
        </w:tc>
        <w:tc>
          <w:tcPr>
            <w:tcW w:w="1518"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7,0</w:t>
            </w:r>
          </w:p>
        </w:tc>
      </w:tr>
      <w:tr w:rsidR="002B489A">
        <w:tc>
          <w:tcPr>
            <w:tcW w:w="9639" w:type="dxa"/>
            <w:gridSpan w:val="4"/>
            <w:tcBorders>
              <w:top w:val="single" w:sz="4" w:space="0" w:color="auto"/>
              <w:left w:val="nil"/>
              <w:bottom w:val="nil"/>
              <w:right w:val="nil"/>
            </w:tcBorders>
          </w:tcPr>
          <w:p w:rsidR="002B489A" w:rsidRDefault="004F19C4">
            <w:pPr>
              <w:pStyle w:val="Tablelegend"/>
              <w:framePr w:hSpace="181" w:wrap="notBeside" w:vAnchor="text" w:hAnchor="text" w:xAlign="center" w:y="1"/>
              <w:spacing w:before="40" w:after="0"/>
            </w:pPr>
            <w:r>
              <w:rPr>
                <w:vertAlign w:val="superscript"/>
              </w:rPr>
              <w:t>(1)</w:t>
            </w:r>
            <w:r>
              <w:tab/>
              <w:t>Comme expliqué dans le texte, la gamme de pourcentage excède la gamme de validité du gabarit hors bande, et l'intégration du gabarit hors bande ignore la contribution de brouillage provenant de la région au-delà des frontières des rayonnements non essentiels à 200% de la largeur de bande nécessaire.</w:t>
            </w:r>
          </w:p>
          <w:p w:rsidR="002B489A" w:rsidRDefault="004F19C4">
            <w:pPr>
              <w:pStyle w:val="Tablelegend"/>
              <w:framePr w:hSpace="181" w:wrap="notBeside" w:vAnchor="text" w:hAnchor="text" w:xAlign="center" w:y="1"/>
              <w:spacing w:before="40" w:after="0"/>
            </w:pPr>
            <w:r>
              <w:rPr>
                <w:vertAlign w:val="superscript"/>
              </w:rPr>
              <w:t>(2)</w:t>
            </w:r>
            <w:r>
              <w:rPr>
                <w:vertAlign w:val="superscript"/>
              </w:rPr>
              <w:tab/>
            </w:r>
            <w:r>
              <w:t>Le seuil de largeur de bande de référence est 1/5 de la largeur de bande du détecteur.</w:t>
            </w:r>
          </w:p>
          <w:p w:rsidR="002B489A" w:rsidRDefault="004F19C4">
            <w:pPr>
              <w:pStyle w:val="Tablelegend"/>
              <w:framePr w:hSpace="181" w:wrap="notBeside" w:vAnchor="text" w:hAnchor="text" w:xAlign="center" w:y="1"/>
              <w:spacing w:before="40" w:after="0"/>
            </w:pPr>
            <w:r>
              <w:rPr>
                <w:vertAlign w:val="superscript"/>
              </w:rPr>
              <w:t>(3)</w:t>
            </w:r>
            <w:r>
              <w:rPr>
                <w:vertAlign w:val="superscript"/>
              </w:rPr>
              <w:tab/>
            </w:r>
            <w:r>
              <w:t>Les systèmes HEO sont habituellement conçus pour de forts angles d'élévation, on suppose 70°.</w:t>
            </w:r>
          </w:p>
          <w:p w:rsidR="002B489A" w:rsidRDefault="004F19C4">
            <w:pPr>
              <w:pStyle w:val="Tablelegend"/>
              <w:framePr w:hSpace="181" w:wrap="notBeside" w:vAnchor="text" w:hAnchor="text" w:xAlign="center" w:y="1"/>
              <w:spacing w:before="40" w:after="0"/>
            </w:pPr>
            <w:r>
              <w:rPr>
                <w:vertAlign w:val="superscript"/>
              </w:rPr>
              <w:t>(4)</w:t>
            </w:r>
            <w:r>
              <w:rPr>
                <w:vertAlign w:val="superscript"/>
              </w:rPr>
              <w:tab/>
            </w:r>
            <w:r>
              <w:t>La meilleure approche du spéculaire est un décalage de 12,5°, ce qui donne le plus petit coefficient.</w:t>
            </w:r>
          </w:p>
        </w:tc>
      </w:tr>
    </w:tbl>
    <w:p w:rsidR="002B489A" w:rsidRDefault="002B489A">
      <w:pPr>
        <w:pStyle w:val="Tablefin"/>
        <w:spacing w:before="0"/>
        <w:rPr>
          <w:sz w:val="2"/>
          <w:lang w:val="fr-CH"/>
        </w:rPr>
      </w:pPr>
    </w:p>
    <w:p w:rsidR="002B489A" w:rsidRDefault="004F19C4">
      <w:pPr>
        <w:pStyle w:val="FigureNo"/>
        <w:rPr>
          <w:lang w:val="fr-CH"/>
        </w:rPr>
      </w:pPr>
      <w:r>
        <w:rPr>
          <w:lang w:val="fr-CH"/>
        </w:rPr>
        <w:br w:type="page"/>
      </w:r>
      <w:r w:rsidR="0006728D">
        <w:rPr>
          <w:noProof/>
          <w:lang w:val="fr-CH" w:eastAsia="fr-CH"/>
        </w:rPr>
        <w:drawing>
          <wp:inline distT="0" distB="0" distL="0" distR="0">
            <wp:extent cx="3429000" cy="2324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9000" cy="2324100"/>
                    </a:xfrm>
                    <a:prstGeom prst="rect">
                      <a:avLst/>
                    </a:prstGeom>
                    <a:noFill/>
                    <a:ln>
                      <a:noFill/>
                    </a:ln>
                  </pic:spPr>
                </pic:pic>
              </a:graphicData>
            </a:graphic>
          </wp:inline>
        </w:drawing>
      </w:r>
    </w:p>
    <w:p w:rsidR="002B489A" w:rsidRDefault="002B489A">
      <w:pPr>
        <w:rPr>
          <w:lang w:val="fr-CH"/>
        </w:rPr>
      </w:pPr>
    </w:p>
    <w:p w:rsidR="002B489A" w:rsidRDefault="004F19C4">
      <w:pPr>
        <w:rPr>
          <w:lang w:val="fr-CH"/>
        </w:rPr>
      </w:pPr>
      <w:r>
        <w:rPr>
          <w:lang w:val="fr-CH"/>
        </w:rPr>
        <w:t>D'après le § 3.2 de l'Annexe 1 de la Recommandation UIT-R SA.1449, le coefficient de dispersion approprié pour ce décalage serait la valeur correspondant à la moitié de ce décalage tiré de la Fig. 12 à la fréquence d'occurrence qui nous intéresse. Avec une élévation de satellite SFS de 70° et une élévation de satellite SETS de 35°, la moitié du décalage serait 17,5° et le coefficient de dispersion à 1% de la fréquence d'occurrence d'après la Fig. 16 serait d'environ –5,5 dB.</w:t>
      </w:r>
    </w:p>
    <w:p w:rsidR="002B489A" w:rsidRDefault="004F19C4">
      <w:pPr>
        <w:rPr>
          <w:lang w:val="fr-CH"/>
        </w:rPr>
      </w:pPr>
      <w:r>
        <w:rPr>
          <w:lang w:val="fr-CH"/>
        </w:rPr>
        <w:t>La densité spectrale de la puissance diffusée a une variation d'environ 4 dB dans les trois systèmes. La marge nette par rapport au brouillage est positive dans chaque cas, le système LEO-N ayant la plus faible marge.</w:t>
      </w:r>
    </w:p>
    <w:p w:rsidR="002B489A" w:rsidRDefault="004F19C4">
      <w:pPr>
        <w:pStyle w:val="Heading4"/>
      </w:pPr>
      <w:r>
        <w:t>4.2.4.3</w:t>
      </w:r>
      <w:r>
        <w:tab/>
        <w:t>Brouillage hors bande en utilisant le numéro 1.153 du RR</w:t>
      </w:r>
    </w:p>
    <w:p w:rsidR="002B489A" w:rsidRDefault="004F19C4">
      <w:r>
        <w:t>Le but de cette disposition est de donner dans le RR une définition de la largeur de bande occupée fondée sur la puissance d'une émission. Dans la présente étude, on suppose que la largeur de bande occupée est entièrement à l'intérieur de la bande attribuée et que pas plus de 0,5% de la puissance ne tombe au-dessus ou au-dessous de la bande attribuée. Si tel était le cas, la puissance moyenne soit au-dessus, soit au-dessous de la bande attribuée, ne serait pas supérieure à –23 dB par rapport à la puissance totale de l'émission. Ici, nous supposons que la distribution de cette puissance de rayonnement non désiré est uniforme sur une largeur de bande égale à la largeur de bande du service actif. Par conséquent, les rayonnements non désirés en dehors de la bande attribuée subis par la bande passive provenant du cas GSO-VX seraient réajustés par le ratio 10 log(100/250). Dans la mesure où LEO-N et USAKU-H1 ont des largeurs de bande inférieures à la bande passive, la bande passive est soumise à l'allocation entière des rayonnements non désirés.</w:t>
      </w:r>
    </w:p>
    <w:p w:rsidR="002B489A" w:rsidRDefault="004F19C4">
      <w:r>
        <w:t>Dans la mesure où le seuil de brouillage est référencé à 20 MHz, nous faisons un nouvel ajustement de largeur de bande de 10 log(20/100) </w:t>
      </w:r>
      <w:r>
        <w:rPr>
          <w:rFonts w:ascii="Symbol" w:hAnsi="Symbol"/>
        </w:rPr>
        <w:t></w:t>
      </w:r>
      <w:r>
        <w:t> –7 dB.</w:t>
      </w:r>
    </w:p>
    <w:p w:rsidR="002B489A" w:rsidRDefault="004F19C4">
      <w:r>
        <w:t>Avec ces considérations, un bilan de puissance montrant les marges contre les brouillages est donné au Tableau 21.</w:t>
      </w:r>
    </w:p>
    <w:p w:rsidR="002B489A" w:rsidRDefault="004F19C4">
      <w:pPr>
        <w:pStyle w:val="Heading2"/>
      </w:pPr>
      <w:r>
        <w:t>4.3</w:t>
      </w:r>
      <w:r>
        <w:tab/>
        <w:t>Valeurs obtenues</w:t>
      </w:r>
    </w:p>
    <w:p w:rsidR="002B489A" w:rsidRDefault="004F19C4">
      <w:r>
        <w:t>Le critère de brouillage est satisfait pour les cas des systèmes OSG et non OSG étudiés qui fonctionnent à leurs niveaux de p.i.r.e. proposés. Pour les cas où les systèmes SFS fonctionnent aux limites maximales de puissance surfacique permises au titre de l'</w:t>
      </w:r>
      <w:r>
        <w:rPr>
          <w:bCs/>
        </w:rPr>
        <w:t>Article 21 du RR</w:t>
      </w:r>
      <w:r>
        <w:t>, les calculs présentés au § 4.2.2.1 indiquent que les critères de brouillage SETS sont dépassés d'une valeur pouvant aller jusqu'à 14 dB quand on considère l'impact de deux satellites non OSG.</w:t>
      </w:r>
    </w:p>
    <w:p w:rsidR="002B489A" w:rsidRDefault="004F19C4">
      <w:pPr>
        <w:pStyle w:val="TableNo"/>
      </w:pPr>
      <w:r>
        <w:br w:type="page"/>
        <w:t>TABLEAU  21</w:t>
      </w:r>
    </w:p>
    <w:p w:rsidR="002B489A" w:rsidRDefault="004F19C4">
      <w:pPr>
        <w:pStyle w:val="Tabletitle"/>
      </w:pPr>
      <w:r>
        <w:t>Marges de brouillage estimées pour des systèmes SFS typiques</w:t>
      </w:r>
      <w:r>
        <w:br/>
        <w:t>en utilisant le numéro 1.153 du RR</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88"/>
        <w:gridCol w:w="1161"/>
        <w:gridCol w:w="979"/>
        <w:gridCol w:w="1511"/>
      </w:tblGrid>
      <w:tr w:rsidR="002B489A">
        <w:trPr>
          <w:cantSplit/>
        </w:trPr>
        <w:tc>
          <w:tcPr>
            <w:tcW w:w="5988" w:type="dxa"/>
            <w:vMerge w:val="restart"/>
            <w:shd w:val="clear" w:color="auto" w:fill="FFFFFF"/>
          </w:tcPr>
          <w:p w:rsidR="002B489A" w:rsidRDefault="002B489A">
            <w:pPr>
              <w:pStyle w:val="Tablehead"/>
              <w:framePr w:hSpace="181" w:wrap="notBeside" w:vAnchor="text" w:hAnchor="text" w:xAlign="center" w:y="1"/>
            </w:pPr>
          </w:p>
        </w:tc>
        <w:tc>
          <w:tcPr>
            <w:tcW w:w="3651" w:type="dxa"/>
            <w:gridSpan w:val="3"/>
            <w:shd w:val="clear" w:color="auto" w:fill="FFFFFF"/>
          </w:tcPr>
          <w:p w:rsidR="002B489A" w:rsidRDefault="004F19C4">
            <w:pPr>
              <w:pStyle w:val="Tablehead"/>
              <w:framePr w:hSpace="181" w:wrap="notBeside" w:vAnchor="text" w:hAnchor="text" w:xAlign="center" w:y="1"/>
            </w:pPr>
            <w:r>
              <w:t>Système SFS</w:t>
            </w:r>
          </w:p>
        </w:tc>
      </w:tr>
      <w:tr w:rsidR="002B489A">
        <w:trPr>
          <w:cantSplit/>
        </w:trPr>
        <w:tc>
          <w:tcPr>
            <w:tcW w:w="5988" w:type="dxa"/>
            <w:vMerge/>
            <w:shd w:val="clear" w:color="auto" w:fill="FFFFFF"/>
          </w:tcPr>
          <w:p w:rsidR="002B489A" w:rsidRDefault="002B489A">
            <w:pPr>
              <w:pStyle w:val="Tablehead"/>
              <w:framePr w:hSpace="181" w:wrap="notBeside" w:vAnchor="text" w:hAnchor="text" w:xAlign="center" w:y="1"/>
            </w:pPr>
          </w:p>
        </w:tc>
        <w:tc>
          <w:tcPr>
            <w:tcW w:w="1161" w:type="dxa"/>
            <w:shd w:val="clear" w:color="auto" w:fill="FFFFFF"/>
          </w:tcPr>
          <w:p w:rsidR="002B489A" w:rsidRDefault="004F19C4">
            <w:pPr>
              <w:pStyle w:val="Tablehead"/>
              <w:framePr w:hSpace="181" w:wrap="notBeside" w:vAnchor="text" w:hAnchor="text" w:xAlign="center" w:y="1"/>
              <w:rPr>
                <w:vertAlign w:val="superscript"/>
              </w:rPr>
            </w:pPr>
            <w:r>
              <w:t>GSO-VX</w:t>
            </w:r>
          </w:p>
        </w:tc>
        <w:tc>
          <w:tcPr>
            <w:tcW w:w="979" w:type="dxa"/>
            <w:shd w:val="clear" w:color="auto" w:fill="FFFFFF"/>
          </w:tcPr>
          <w:p w:rsidR="002B489A" w:rsidRDefault="004F19C4">
            <w:pPr>
              <w:pStyle w:val="Tablehead"/>
              <w:framePr w:hSpace="181" w:wrap="notBeside" w:vAnchor="text" w:hAnchor="text" w:xAlign="center" w:y="1"/>
              <w:rPr>
                <w:lang w:val="es-ES"/>
              </w:rPr>
            </w:pPr>
            <w:r>
              <w:rPr>
                <w:lang w:val="es-ES"/>
              </w:rPr>
              <w:t>LEO-N</w:t>
            </w:r>
          </w:p>
        </w:tc>
        <w:tc>
          <w:tcPr>
            <w:tcW w:w="1511" w:type="dxa"/>
            <w:shd w:val="clear" w:color="auto" w:fill="FFFFFF"/>
          </w:tcPr>
          <w:p w:rsidR="002B489A" w:rsidRDefault="004F19C4">
            <w:pPr>
              <w:pStyle w:val="Tablehead"/>
              <w:framePr w:hSpace="181" w:wrap="notBeside" w:vAnchor="text" w:hAnchor="text" w:xAlign="center" w:y="1"/>
              <w:rPr>
                <w:vertAlign w:val="superscript"/>
                <w:lang w:val="es-ES"/>
              </w:rPr>
            </w:pPr>
            <w:r>
              <w:rPr>
                <w:lang w:val="es-ES"/>
              </w:rPr>
              <w:t>USAKU-H1</w:t>
            </w:r>
          </w:p>
        </w:tc>
      </w:tr>
      <w:tr w:rsidR="002B489A">
        <w:tc>
          <w:tcPr>
            <w:tcW w:w="5988" w:type="dxa"/>
          </w:tcPr>
          <w:p w:rsidR="002B489A" w:rsidRDefault="004F19C4">
            <w:pPr>
              <w:pStyle w:val="Tabletext"/>
              <w:framePr w:hSpace="181" w:wrap="notBeside" w:vAnchor="text" w:hAnchor="text" w:xAlign="center" w:y="1"/>
              <w:jc w:val="left"/>
              <w:rPr>
                <w:lang w:val="es-ES"/>
              </w:rPr>
            </w:pPr>
            <w:r>
              <w:rPr>
                <w:lang w:val="es-ES"/>
              </w:rPr>
              <w:t>p.i.r.e. (dBW)</w:t>
            </w:r>
          </w:p>
        </w:tc>
        <w:tc>
          <w:tcPr>
            <w:tcW w:w="1161" w:type="dxa"/>
          </w:tcPr>
          <w:p w:rsidR="002B489A" w:rsidRDefault="004F19C4">
            <w:pPr>
              <w:pStyle w:val="Tabletext"/>
              <w:framePr w:hSpace="181" w:wrap="notBeside" w:vAnchor="text" w:hAnchor="text" w:xAlign="center" w:y="1"/>
              <w:jc w:val="center"/>
            </w:pPr>
            <w:r>
              <w:t>47,0</w:t>
            </w:r>
          </w:p>
        </w:tc>
        <w:tc>
          <w:tcPr>
            <w:tcW w:w="979" w:type="dxa"/>
          </w:tcPr>
          <w:p w:rsidR="002B489A" w:rsidRDefault="004F19C4">
            <w:pPr>
              <w:pStyle w:val="Tabletext"/>
              <w:framePr w:hSpace="181" w:wrap="notBeside" w:vAnchor="text" w:hAnchor="text" w:xAlign="center" w:y="1"/>
              <w:jc w:val="center"/>
            </w:pPr>
            <w:r>
              <w:t>17,6</w:t>
            </w:r>
          </w:p>
        </w:tc>
        <w:tc>
          <w:tcPr>
            <w:tcW w:w="1511" w:type="dxa"/>
          </w:tcPr>
          <w:p w:rsidR="002B489A" w:rsidRDefault="004F19C4">
            <w:pPr>
              <w:pStyle w:val="Tabletext"/>
              <w:framePr w:hSpace="181" w:wrap="notBeside" w:vAnchor="text" w:hAnchor="text" w:xAlign="center" w:y="1"/>
              <w:jc w:val="center"/>
            </w:pPr>
            <w:r>
              <w:t>58,0</w:t>
            </w:r>
          </w:p>
        </w:tc>
      </w:tr>
      <w:tr w:rsidR="002B489A">
        <w:tc>
          <w:tcPr>
            <w:tcW w:w="5988" w:type="dxa"/>
          </w:tcPr>
          <w:p w:rsidR="002B489A" w:rsidRDefault="004F19C4">
            <w:pPr>
              <w:pStyle w:val="Tabletext"/>
              <w:framePr w:hSpace="181" w:wrap="notBeside" w:vAnchor="text" w:hAnchor="text" w:xAlign="center" w:y="1"/>
              <w:jc w:val="left"/>
              <w:rPr>
                <w:vertAlign w:val="superscript"/>
              </w:rPr>
            </w:pPr>
            <w:r>
              <w:t>Facteur hors bande attribuée (dB)</w:t>
            </w:r>
            <w:r>
              <w:rPr>
                <w:vertAlign w:val="superscript"/>
              </w:rPr>
              <w:t>(1)</w:t>
            </w:r>
          </w:p>
        </w:tc>
        <w:tc>
          <w:tcPr>
            <w:tcW w:w="1161" w:type="dxa"/>
          </w:tcPr>
          <w:p w:rsidR="002B489A" w:rsidRDefault="004F19C4">
            <w:pPr>
              <w:pStyle w:val="Tabletext"/>
              <w:framePr w:hSpace="181" w:wrap="notBeside" w:vAnchor="text" w:hAnchor="text" w:xAlign="center" w:y="1"/>
              <w:jc w:val="center"/>
            </w:pPr>
            <w:r>
              <w:t>–23,0</w:t>
            </w:r>
          </w:p>
        </w:tc>
        <w:tc>
          <w:tcPr>
            <w:tcW w:w="979" w:type="dxa"/>
          </w:tcPr>
          <w:p w:rsidR="002B489A" w:rsidRDefault="004F19C4">
            <w:pPr>
              <w:pStyle w:val="Tabletext"/>
              <w:framePr w:hSpace="181" w:wrap="notBeside" w:vAnchor="text" w:hAnchor="text" w:xAlign="center" w:y="1"/>
              <w:jc w:val="center"/>
            </w:pPr>
            <w:r>
              <w:t>–23,0</w:t>
            </w:r>
          </w:p>
        </w:tc>
        <w:tc>
          <w:tcPr>
            <w:tcW w:w="1511" w:type="dxa"/>
          </w:tcPr>
          <w:p w:rsidR="002B489A" w:rsidRDefault="004F19C4">
            <w:pPr>
              <w:pStyle w:val="Tabletext"/>
              <w:framePr w:hSpace="181" w:wrap="notBeside" w:vAnchor="text" w:hAnchor="text" w:xAlign="center" w:y="1"/>
              <w:jc w:val="center"/>
            </w:pPr>
            <w:r>
              <w:t>–23,0</w:t>
            </w:r>
          </w:p>
        </w:tc>
      </w:tr>
      <w:tr w:rsidR="002B489A">
        <w:tc>
          <w:tcPr>
            <w:tcW w:w="5988" w:type="dxa"/>
          </w:tcPr>
          <w:p w:rsidR="002B489A" w:rsidRDefault="004F19C4">
            <w:pPr>
              <w:pStyle w:val="Tabletext"/>
              <w:framePr w:hSpace="181" w:wrap="notBeside" w:vAnchor="text" w:hAnchor="text" w:xAlign="center" w:y="1"/>
              <w:jc w:val="left"/>
            </w:pPr>
            <w:r>
              <w:t>Largeur de bande du répéteur SFS (MHz)</w:t>
            </w:r>
          </w:p>
        </w:tc>
        <w:tc>
          <w:tcPr>
            <w:tcW w:w="1161" w:type="dxa"/>
          </w:tcPr>
          <w:p w:rsidR="002B489A" w:rsidRDefault="004F19C4">
            <w:pPr>
              <w:pStyle w:val="Tabletext"/>
              <w:framePr w:hSpace="181" w:wrap="notBeside" w:vAnchor="text" w:hAnchor="text" w:xAlign="center" w:y="1"/>
              <w:jc w:val="center"/>
            </w:pPr>
            <w:r>
              <w:t>250,0</w:t>
            </w:r>
          </w:p>
        </w:tc>
        <w:tc>
          <w:tcPr>
            <w:tcW w:w="979" w:type="dxa"/>
          </w:tcPr>
          <w:p w:rsidR="002B489A" w:rsidRDefault="004F19C4">
            <w:pPr>
              <w:pStyle w:val="Tabletext"/>
              <w:framePr w:hSpace="181" w:wrap="notBeside" w:vAnchor="text" w:hAnchor="text" w:xAlign="center" w:y="1"/>
              <w:jc w:val="center"/>
            </w:pPr>
            <w:r>
              <w:t>4,9</w:t>
            </w:r>
          </w:p>
        </w:tc>
        <w:tc>
          <w:tcPr>
            <w:tcW w:w="1511" w:type="dxa"/>
          </w:tcPr>
          <w:p w:rsidR="002B489A" w:rsidRDefault="004F19C4">
            <w:pPr>
              <w:pStyle w:val="Tabletext"/>
              <w:framePr w:hSpace="181" w:wrap="notBeside" w:vAnchor="text" w:hAnchor="text" w:xAlign="center" w:y="1"/>
              <w:jc w:val="center"/>
            </w:pPr>
            <w:r>
              <w:t>24,0</w:t>
            </w:r>
          </w:p>
        </w:tc>
      </w:tr>
      <w:tr w:rsidR="002B489A">
        <w:tc>
          <w:tcPr>
            <w:tcW w:w="5988" w:type="dxa"/>
          </w:tcPr>
          <w:p w:rsidR="002B489A" w:rsidRDefault="004F19C4">
            <w:pPr>
              <w:pStyle w:val="Tabletext"/>
              <w:framePr w:hSpace="181" w:wrap="notBeside" w:vAnchor="text" w:hAnchor="text" w:xAlign="center" w:y="1"/>
              <w:jc w:val="left"/>
            </w:pPr>
            <w:r>
              <w:t>Largeur de bande du détecteur (MHz)</w:t>
            </w:r>
          </w:p>
        </w:tc>
        <w:tc>
          <w:tcPr>
            <w:tcW w:w="1161" w:type="dxa"/>
          </w:tcPr>
          <w:p w:rsidR="002B489A" w:rsidRDefault="004F19C4">
            <w:pPr>
              <w:pStyle w:val="Tabletext"/>
              <w:framePr w:hSpace="181" w:wrap="notBeside" w:vAnchor="text" w:hAnchor="text" w:xAlign="center" w:y="1"/>
              <w:jc w:val="center"/>
            </w:pPr>
            <w:r>
              <w:t>100</w:t>
            </w:r>
          </w:p>
        </w:tc>
        <w:tc>
          <w:tcPr>
            <w:tcW w:w="979" w:type="dxa"/>
          </w:tcPr>
          <w:p w:rsidR="002B489A" w:rsidRDefault="004F19C4">
            <w:pPr>
              <w:pStyle w:val="Tabletext"/>
              <w:framePr w:hSpace="181" w:wrap="notBeside" w:vAnchor="text" w:hAnchor="text" w:xAlign="center" w:y="1"/>
              <w:jc w:val="center"/>
            </w:pPr>
            <w:r>
              <w:t>100</w:t>
            </w:r>
          </w:p>
        </w:tc>
        <w:tc>
          <w:tcPr>
            <w:tcW w:w="1511" w:type="dxa"/>
          </w:tcPr>
          <w:p w:rsidR="002B489A" w:rsidRDefault="004F19C4">
            <w:pPr>
              <w:pStyle w:val="Tabletext"/>
              <w:framePr w:hSpace="181" w:wrap="notBeside" w:vAnchor="text" w:hAnchor="text" w:xAlign="center" w:y="1"/>
              <w:jc w:val="center"/>
            </w:pPr>
            <w:r>
              <w:t>100</w:t>
            </w:r>
          </w:p>
        </w:tc>
      </w:tr>
      <w:tr w:rsidR="002B489A">
        <w:tc>
          <w:tcPr>
            <w:tcW w:w="5988" w:type="dxa"/>
          </w:tcPr>
          <w:p w:rsidR="002B489A" w:rsidRDefault="004F19C4">
            <w:pPr>
              <w:pStyle w:val="Tabletext"/>
              <w:framePr w:hSpace="181" w:wrap="notBeside" w:vAnchor="text" w:hAnchor="text" w:xAlign="center" w:y="1"/>
              <w:jc w:val="left"/>
              <w:rPr>
                <w:vertAlign w:val="superscript"/>
              </w:rPr>
            </w:pPr>
            <w:r>
              <w:t>Réglage de largeur de bande hors bande attribuée (dB)</w:t>
            </w:r>
            <w:r>
              <w:rPr>
                <w:vertAlign w:val="superscript"/>
              </w:rPr>
              <w:t>(2)</w:t>
            </w:r>
          </w:p>
        </w:tc>
        <w:tc>
          <w:tcPr>
            <w:tcW w:w="1161" w:type="dxa"/>
          </w:tcPr>
          <w:p w:rsidR="002B489A" w:rsidRDefault="004F19C4">
            <w:pPr>
              <w:pStyle w:val="Tabletext"/>
              <w:framePr w:hSpace="181" w:wrap="notBeside" w:vAnchor="text" w:hAnchor="text" w:xAlign="center" w:y="1"/>
              <w:jc w:val="center"/>
            </w:pPr>
            <w:r>
              <w:t>–4,0</w:t>
            </w:r>
          </w:p>
        </w:tc>
        <w:tc>
          <w:tcPr>
            <w:tcW w:w="979" w:type="dxa"/>
          </w:tcPr>
          <w:p w:rsidR="002B489A" w:rsidRDefault="004F19C4">
            <w:pPr>
              <w:pStyle w:val="Tabletext"/>
              <w:framePr w:hSpace="181" w:wrap="notBeside" w:vAnchor="text" w:hAnchor="text" w:xAlign="center" w:y="1"/>
              <w:jc w:val="center"/>
            </w:pPr>
            <w:r>
              <w:t>0,0</w:t>
            </w:r>
          </w:p>
        </w:tc>
        <w:tc>
          <w:tcPr>
            <w:tcW w:w="1511" w:type="dxa"/>
          </w:tcPr>
          <w:p w:rsidR="002B489A" w:rsidRDefault="004F19C4">
            <w:pPr>
              <w:pStyle w:val="Tabletext"/>
              <w:framePr w:hSpace="181" w:wrap="notBeside" w:vAnchor="text" w:hAnchor="text" w:xAlign="center" w:y="1"/>
              <w:jc w:val="center"/>
            </w:pPr>
            <w:r>
              <w:t>0,0</w:t>
            </w:r>
          </w:p>
        </w:tc>
      </w:tr>
      <w:tr w:rsidR="002B489A">
        <w:tc>
          <w:tcPr>
            <w:tcW w:w="5988" w:type="dxa"/>
          </w:tcPr>
          <w:p w:rsidR="002B489A" w:rsidRDefault="004F19C4">
            <w:pPr>
              <w:pStyle w:val="Tabletext"/>
              <w:framePr w:hSpace="181" w:wrap="notBeside" w:vAnchor="text" w:hAnchor="text" w:xAlign="center" w:y="1"/>
              <w:jc w:val="left"/>
            </w:pPr>
            <w:r>
              <w:t>Réglage de largeur de bande de seuil (dB)</w:t>
            </w:r>
          </w:p>
        </w:tc>
        <w:tc>
          <w:tcPr>
            <w:tcW w:w="1161" w:type="dxa"/>
          </w:tcPr>
          <w:p w:rsidR="002B489A" w:rsidRDefault="004F19C4">
            <w:pPr>
              <w:pStyle w:val="Tabletext"/>
              <w:framePr w:hSpace="181" w:wrap="notBeside" w:vAnchor="text" w:hAnchor="text" w:xAlign="center" w:y="1"/>
              <w:jc w:val="center"/>
            </w:pPr>
            <w:r>
              <w:t>–7,0</w:t>
            </w:r>
          </w:p>
        </w:tc>
        <w:tc>
          <w:tcPr>
            <w:tcW w:w="979" w:type="dxa"/>
          </w:tcPr>
          <w:p w:rsidR="002B489A" w:rsidRDefault="004F19C4">
            <w:pPr>
              <w:pStyle w:val="Tabletext"/>
              <w:framePr w:hSpace="181" w:wrap="notBeside" w:vAnchor="text" w:hAnchor="text" w:xAlign="center" w:y="1"/>
              <w:jc w:val="center"/>
            </w:pPr>
            <w:r>
              <w:t>–7,0</w:t>
            </w:r>
          </w:p>
        </w:tc>
        <w:tc>
          <w:tcPr>
            <w:tcW w:w="1511" w:type="dxa"/>
          </w:tcPr>
          <w:p w:rsidR="002B489A" w:rsidRDefault="004F19C4">
            <w:pPr>
              <w:pStyle w:val="Tabletext"/>
              <w:framePr w:hSpace="181" w:wrap="notBeside" w:vAnchor="text" w:hAnchor="text" w:xAlign="center" w:y="1"/>
              <w:jc w:val="center"/>
            </w:pPr>
            <w:r>
              <w:t>–7,0</w:t>
            </w:r>
          </w:p>
        </w:tc>
      </w:tr>
      <w:tr w:rsidR="002B489A">
        <w:tc>
          <w:tcPr>
            <w:tcW w:w="5988" w:type="dxa"/>
          </w:tcPr>
          <w:p w:rsidR="002B489A" w:rsidRDefault="004F19C4">
            <w:pPr>
              <w:pStyle w:val="Tabletext"/>
              <w:framePr w:hSpace="181" w:wrap="notBeside" w:vAnchor="text" w:hAnchor="text" w:xAlign="center" w:y="1"/>
              <w:jc w:val="left"/>
            </w:pPr>
            <w:r>
              <w:t>p.i.r.e. équivalente en hors bande attribuée (dB(W/20 MHz))</w:t>
            </w:r>
          </w:p>
        </w:tc>
        <w:tc>
          <w:tcPr>
            <w:tcW w:w="1161" w:type="dxa"/>
          </w:tcPr>
          <w:p w:rsidR="002B489A" w:rsidRDefault="004F19C4">
            <w:pPr>
              <w:pStyle w:val="Tabletext"/>
              <w:framePr w:hSpace="181" w:wrap="notBeside" w:vAnchor="text" w:hAnchor="text" w:xAlign="center" w:y="1"/>
              <w:jc w:val="center"/>
            </w:pPr>
            <w:r>
              <w:t>13,0</w:t>
            </w:r>
          </w:p>
        </w:tc>
        <w:tc>
          <w:tcPr>
            <w:tcW w:w="979" w:type="dxa"/>
          </w:tcPr>
          <w:p w:rsidR="002B489A" w:rsidRDefault="004F19C4">
            <w:pPr>
              <w:pStyle w:val="Tabletext"/>
              <w:framePr w:hSpace="181" w:wrap="notBeside" w:vAnchor="text" w:hAnchor="text" w:xAlign="center" w:y="1"/>
              <w:jc w:val="center"/>
            </w:pPr>
            <w:r>
              <w:t>–12,4</w:t>
            </w:r>
          </w:p>
        </w:tc>
        <w:tc>
          <w:tcPr>
            <w:tcW w:w="1511" w:type="dxa"/>
          </w:tcPr>
          <w:p w:rsidR="002B489A" w:rsidRDefault="004F19C4">
            <w:pPr>
              <w:pStyle w:val="Tabletext"/>
              <w:framePr w:hSpace="181" w:wrap="notBeside" w:vAnchor="text" w:hAnchor="text" w:xAlign="center" w:y="1"/>
              <w:jc w:val="center"/>
            </w:pPr>
            <w:r>
              <w:t>28,0</w:t>
            </w:r>
          </w:p>
        </w:tc>
      </w:tr>
      <w:tr w:rsidR="002B489A">
        <w:tc>
          <w:tcPr>
            <w:tcW w:w="5988" w:type="dxa"/>
          </w:tcPr>
          <w:p w:rsidR="002B489A" w:rsidRDefault="004F19C4">
            <w:pPr>
              <w:pStyle w:val="Tabletext"/>
              <w:framePr w:hSpace="181" w:wrap="notBeside" w:vAnchor="text" w:hAnchor="text" w:xAlign="center" w:y="1"/>
              <w:jc w:val="left"/>
            </w:pPr>
            <w:r>
              <w:t>Portée du SFS (km)</w:t>
            </w:r>
          </w:p>
        </w:tc>
        <w:tc>
          <w:tcPr>
            <w:tcW w:w="1161" w:type="dxa"/>
          </w:tcPr>
          <w:p w:rsidR="002B489A" w:rsidRDefault="004F19C4">
            <w:pPr>
              <w:pStyle w:val="Tabletext"/>
              <w:framePr w:hSpace="181" w:wrap="notBeside" w:vAnchor="text" w:hAnchor="text" w:xAlign="center" w:y="1"/>
              <w:jc w:val="center"/>
            </w:pPr>
            <w:r>
              <w:t>38 180</w:t>
            </w:r>
          </w:p>
        </w:tc>
        <w:tc>
          <w:tcPr>
            <w:tcW w:w="979" w:type="dxa"/>
          </w:tcPr>
          <w:p w:rsidR="002B489A" w:rsidRDefault="004F19C4">
            <w:pPr>
              <w:pStyle w:val="Tabletext"/>
              <w:framePr w:hSpace="181" w:wrap="notBeside" w:vAnchor="text" w:hAnchor="text" w:xAlign="center" w:y="1"/>
              <w:jc w:val="center"/>
            </w:pPr>
            <w:r>
              <w:t>1 117</w:t>
            </w:r>
          </w:p>
        </w:tc>
        <w:tc>
          <w:tcPr>
            <w:tcW w:w="1511" w:type="dxa"/>
          </w:tcPr>
          <w:p w:rsidR="002B489A" w:rsidRDefault="004F19C4">
            <w:pPr>
              <w:pStyle w:val="Tabletext"/>
              <w:framePr w:hSpace="181" w:wrap="notBeside" w:vAnchor="text" w:hAnchor="text" w:xAlign="center" w:y="1"/>
              <w:jc w:val="center"/>
            </w:pPr>
            <w:r>
              <w:t>41 784</w:t>
            </w:r>
          </w:p>
        </w:tc>
      </w:tr>
      <w:tr w:rsidR="002B489A">
        <w:tc>
          <w:tcPr>
            <w:tcW w:w="5988" w:type="dxa"/>
          </w:tcPr>
          <w:p w:rsidR="002B489A" w:rsidRDefault="004F19C4">
            <w:pPr>
              <w:pStyle w:val="Tabletext"/>
              <w:framePr w:hSpace="181" w:wrap="notBeside" w:vAnchor="text" w:hAnchor="text" w:xAlign="center" w:y="1"/>
              <w:jc w:val="left"/>
            </w:pPr>
            <w:r>
              <w:t>Affaiblissement dû à l'étalement du faisceau (dB)</w:t>
            </w:r>
          </w:p>
        </w:tc>
        <w:tc>
          <w:tcPr>
            <w:tcW w:w="1161" w:type="dxa"/>
          </w:tcPr>
          <w:p w:rsidR="002B489A" w:rsidRDefault="004F19C4">
            <w:pPr>
              <w:pStyle w:val="Tabletext"/>
              <w:framePr w:hSpace="181" w:wrap="notBeside" w:vAnchor="text" w:hAnchor="text" w:xAlign="center" w:y="1"/>
              <w:jc w:val="center"/>
            </w:pPr>
            <w:r>
              <w:t>162,5</w:t>
            </w:r>
          </w:p>
        </w:tc>
        <w:tc>
          <w:tcPr>
            <w:tcW w:w="979" w:type="dxa"/>
          </w:tcPr>
          <w:p w:rsidR="002B489A" w:rsidRDefault="004F19C4">
            <w:pPr>
              <w:pStyle w:val="Tabletext"/>
              <w:framePr w:hSpace="181" w:wrap="notBeside" w:vAnchor="text" w:hAnchor="text" w:xAlign="center" w:y="1"/>
              <w:jc w:val="center"/>
            </w:pPr>
            <w:r>
              <w:t>132,0</w:t>
            </w:r>
          </w:p>
        </w:tc>
        <w:tc>
          <w:tcPr>
            <w:tcW w:w="1511" w:type="dxa"/>
          </w:tcPr>
          <w:p w:rsidR="002B489A" w:rsidRDefault="004F19C4">
            <w:pPr>
              <w:pStyle w:val="Tabletext"/>
              <w:framePr w:hSpace="181" w:wrap="notBeside" w:vAnchor="text" w:hAnchor="text" w:xAlign="center" w:y="1"/>
              <w:jc w:val="center"/>
            </w:pPr>
            <w:r>
              <w:t>163,4</w:t>
            </w:r>
          </w:p>
        </w:tc>
      </w:tr>
      <w:tr w:rsidR="002B489A">
        <w:tc>
          <w:tcPr>
            <w:tcW w:w="5988" w:type="dxa"/>
          </w:tcPr>
          <w:p w:rsidR="002B489A" w:rsidRDefault="004F19C4">
            <w:pPr>
              <w:pStyle w:val="Tabletext"/>
              <w:framePr w:hSpace="181" w:wrap="notBeside" w:vAnchor="text" w:hAnchor="text" w:xAlign="center" w:y="1"/>
              <w:jc w:val="left"/>
            </w:pPr>
            <w:r>
              <w:t>Angle d'incidence de référence (degrés)</w:t>
            </w:r>
          </w:p>
        </w:tc>
        <w:tc>
          <w:tcPr>
            <w:tcW w:w="1161" w:type="dxa"/>
          </w:tcPr>
          <w:p w:rsidR="002B489A" w:rsidRDefault="004F19C4">
            <w:pPr>
              <w:pStyle w:val="Tabletext"/>
              <w:framePr w:hSpace="181" w:wrap="notBeside" w:vAnchor="text" w:hAnchor="text" w:xAlign="center" w:y="1"/>
              <w:jc w:val="center"/>
            </w:pPr>
            <w:r>
              <w:t>55,0</w:t>
            </w:r>
          </w:p>
        </w:tc>
        <w:tc>
          <w:tcPr>
            <w:tcW w:w="979" w:type="dxa"/>
          </w:tcPr>
          <w:p w:rsidR="002B489A" w:rsidRDefault="004F19C4">
            <w:pPr>
              <w:pStyle w:val="Tabletext"/>
              <w:framePr w:hSpace="181" w:wrap="notBeside" w:vAnchor="text" w:hAnchor="text" w:xAlign="center" w:y="1"/>
              <w:jc w:val="center"/>
            </w:pPr>
            <w:r>
              <w:t>55,0</w:t>
            </w:r>
          </w:p>
        </w:tc>
        <w:tc>
          <w:tcPr>
            <w:tcW w:w="1511" w:type="dxa"/>
          </w:tcPr>
          <w:p w:rsidR="002B489A" w:rsidRDefault="004F19C4">
            <w:pPr>
              <w:pStyle w:val="Tabletext"/>
              <w:framePr w:hSpace="181" w:wrap="notBeside" w:vAnchor="text" w:hAnchor="text" w:xAlign="center" w:y="1"/>
              <w:jc w:val="center"/>
            </w:pPr>
            <w:r>
              <w:t>20,0</w:t>
            </w:r>
          </w:p>
        </w:tc>
      </w:tr>
      <w:tr w:rsidR="002B489A">
        <w:tc>
          <w:tcPr>
            <w:tcW w:w="5988" w:type="dxa"/>
          </w:tcPr>
          <w:p w:rsidR="002B489A" w:rsidRDefault="004F19C4">
            <w:pPr>
              <w:pStyle w:val="Tabletext"/>
              <w:framePr w:hSpace="181" w:wrap="notBeside" w:vAnchor="text" w:hAnchor="text" w:xAlign="center" w:y="1"/>
              <w:jc w:val="left"/>
            </w:pPr>
            <w:r>
              <w:t>Puissance surfacique hors bande au point de diffusion (dB(W/m</w:t>
            </w:r>
            <w:r>
              <w:rPr>
                <w:vertAlign w:val="superscript"/>
              </w:rPr>
              <w:t>2</w:t>
            </w:r>
            <w:r>
              <w:t>))</w:t>
            </w:r>
          </w:p>
        </w:tc>
        <w:tc>
          <w:tcPr>
            <w:tcW w:w="1161" w:type="dxa"/>
          </w:tcPr>
          <w:p w:rsidR="002B489A" w:rsidRDefault="004F19C4">
            <w:pPr>
              <w:pStyle w:val="Tabletext"/>
              <w:framePr w:hSpace="181" w:wrap="notBeside" w:vAnchor="text" w:hAnchor="text" w:xAlign="center" w:y="1"/>
              <w:jc w:val="center"/>
            </w:pPr>
            <w:r>
              <w:t>–149,9</w:t>
            </w:r>
          </w:p>
        </w:tc>
        <w:tc>
          <w:tcPr>
            <w:tcW w:w="979" w:type="dxa"/>
          </w:tcPr>
          <w:p w:rsidR="002B489A" w:rsidRDefault="004F19C4">
            <w:pPr>
              <w:pStyle w:val="Tabletext"/>
              <w:framePr w:hSpace="181" w:wrap="notBeside" w:vAnchor="text" w:hAnchor="text" w:xAlign="center" w:y="1"/>
              <w:jc w:val="center"/>
            </w:pPr>
            <w:r>
              <w:t>–136,0</w:t>
            </w:r>
          </w:p>
        </w:tc>
        <w:tc>
          <w:tcPr>
            <w:tcW w:w="1511" w:type="dxa"/>
          </w:tcPr>
          <w:p w:rsidR="002B489A" w:rsidRDefault="004F19C4">
            <w:pPr>
              <w:pStyle w:val="Tabletext"/>
              <w:framePr w:hSpace="181" w:wrap="notBeside" w:vAnchor="text" w:hAnchor="text" w:xAlign="center" w:y="1"/>
              <w:jc w:val="center"/>
            </w:pPr>
            <w:r>
              <w:t>–129,2</w:t>
            </w:r>
          </w:p>
        </w:tc>
      </w:tr>
      <w:tr w:rsidR="002B489A">
        <w:tc>
          <w:tcPr>
            <w:tcW w:w="5988" w:type="dxa"/>
          </w:tcPr>
          <w:p w:rsidR="002B489A" w:rsidRDefault="004F19C4">
            <w:pPr>
              <w:pStyle w:val="Tabletext"/>
              <w:framePr w:hSpace="181" w:wrap="notBeside" w:vAnchor="text" w:hAnchor="text" w:xAlign="center" w:y="1"/>
              <w:jc w:val="left"/>
            </w:pPr>
            <w:r>
              <w:t>Coefficient de dispersion (dB)</w:t>
            </w:r>
          </w:p>
        </w:tc>
        <w:tc>
          <w:tcPr>
            <w:tcW w:w="1161" w:type="dxa"/>
          </w:tcPr>
          <w:p w:rsidR="002B489A" w:rsidRDefault="004F19C4">
            <w:pPr>
              <w:pStyle w:val="Tabletext"/>
              <w:framePr w:hSpace="181" w:wrap="notBeside" w:vAnchor="text" w:hAnchor="text" w:xAlign="center" w:y="1"/>
              <w:jc w:val="center"/>
            </w:pPr>
            <w:r>
              <w:t>9,4</w:t>
            </w:r>
          </w:p>
        </w:tc>
        <w:tc>
          <w:tcPr>
            <w:tcW w:w="979" w:type="dxa"/>
          </w:tcPr>
          <w:p w:rsidR="002B489A" w:rsidRDefault="004F19C4">
            <w:pPr>
              <w:pStyle w:val="Tabletext"/>
              <w:framePr w:hSpace="181" w:wrap="notBeside" w:vAnchor="text" w:hAnchor="text" w:xAlign="center" w:y="1"/>
              <w:jc w:val="center"/>
            </w:pPr>
            <w:r>
              <w:t>9,4</w:t>
            </w:r>
          </w:p>
        </w:tc>
        <w:tc>
          <w:tcPr>
            <w:tcW w:w="1511" w:type="dxa"/>
          </w:tcPr>
          <w:p w:rsidR="002B489A" w:rsidRDefault="004F19C4">
            <w:pPr>
              <w:pStyle w:val="Tabletext"/>
              <w:framePr w:hSpace="181" w:wrap="notBeside" w:vAnchor="text" w:hAnchor="text" w:xAlign="center" w:y="1"/>
              <w:jc w:val="center"/>
            </w:pPr>
            <w:r>
              <w:t>–5,5</w:t>
            </w:r>
          </w:p>
        </w:tc>
      </w:tr>
      <w:tr w:rsidR="002B489A">
        <w:tc>
          <w:tcPr>
            <w:tcW w:w="5988" w:type="dxa"/>
          </w:tcPr>
          <w:p w:rsidR="002B489A" w:rsidRDefault="004F19C4">
            <w:pPr>
              <w:pStyle w:val="Tabletext"/>
              <w:framePr w:hSpace="181" w:wrap="notBeside" w:vAnchor="text" w:hAnchor="text" w:xAlign="center" w:y="1"/>
              <w:jc w:val="left"/>
            </w:pPr>
            <w:r>
              <w:t>Ouverture de faisceau du détecteur (degrés)</w:t>
            </w:r>
          </w:p>
        </w:tc>
        <w:tc>
          <w:tcPr>
            <w:tcW w:w="1161" w:type="dxa"/>
          </w:tcPr>
          <w:p w:rsidR="002B489A" w:rsidRDefault="004F19C4">
            <w:pPr>
              <w:pStyle w:val="Tabletext"/>
              <w:framePr w:hSpace="181" w:wrap="notBeside" w:vAnchor="text" w:hAnchor="text" w:xAlign="center" w:y="1"/>
              <w:jc w:val="center"/>
            </w:pPr>
            <w:r>
              <w:t>1,4</w:t>
            </w:r>
          </w:p>
        </w:tc>
        <w:tc>
          <w:tcPr>
            <w:tcW w:w="979" w:type="dxa"/>
          </w:tcPr>
          <w:p w:rsidR="002B489A" w:rsidRDefault="004F19C4">
            <w:pPr>
              <w:pStyle w:val="Tabletext"/>
              <w:framePr w:hSpace="181" w:wrap="notBeside" w:vAnchor="text" w:hAnchor="text" w:xAlign="center" w:y="1"/>
              <w:jc w:val="center"/>
            </w:pPr>
            <w:r>
              <w:t>1,4</w:t>
            </w:r>
          </w:p>
        </w:tc>
        <w:tc>
          <w:tcPr>
            <w:tcW w:w="1511" w:type="dxa"/>
          </w:tcPr>
          <w:p w:rsidR="002B489A" w:rsidRDefault="004F19C4">
            <w:pPr>
              <w:pStyle w:val="Tabletext"/>
              <w:framePr w:hSpace="181" w:wrap="notBeside" w:vAnchor="text" w:hAnchor="text" w:xAlign="center" w:y="1"/>
              <w:jc w:val="center"/>
            </w:pPr>
            <w:r>
              <w:t>1,4</w:t>
            </w:r>
          </w:p>
        </w:tc>
      </w:tr>
      <w:tr w:rsidR="002B489A">
        <w:tc>
          <w:tcPr>
            <w:tcW w:w="5988" w:type="dxa"/>
          </w:tcPr>
          <w:p w:rsidR="002B489A" w:rsidRDefault="004F19C4">
            <w:pPr>
              <w:pStyle w:val="Tabletext"/>
              <w:framePr w:hSpace="181" w:wrap="notBeside" w:vAnchor="text" w:hAnchor="text" w:xAlign="center" w:y="1"/>
              <w:jc w:val="left"/>
            </w:pPr>
            <w:r>
              <w:t>Portée du détecteur (km)</w:t>
            </w:r>
          </w:p>
        </w:tc>
        <w:tc>
          <w:tcPr>
            <w:tcW w:w="1161" w:type="dxa"/>
          </w:tcPr>
          <w:p w:rsidR="002B489A" w:rsidRDefault="004F19C4">
            <w:pPr>
              <w:pStyle w:val="Tabletext"/>
              <w:framePr w:hSpace="181" w:wrap="notBeside" w:vAnchor="text" w:hAnchor="text" w:xAlign="center" w:y="1"/>
              <w:jc w:val="center"/>
            </w:pPr>
            <w:r>
              <w:t>1</w:t>
            </w:r>
            <w:r>
              <w:rPr>
                <w:rFonts w:ascii="Tms Rmn" w:hAnsi="Tms Rmn"/>
                <w:sz w:val="12"/>
              </w:rPr>
              <w:t> </w:t>
            </w:r>
            <w:r>
              <w:t>124</w:t>
            </w:r>
          </w:p>
        </w:tc>
        <w:tc>
          <w:tcPr>
            <w:tcW w:w="979" w:type="dxa"/>
          </w:tcPr>
          <w:p w:rsidR="002B489A" w:rsidRDefault="004F19C4">
            <w:pPr>
              <w:pStyle w:val="Tabletext"/>
              <w:framePr w:hSpace="181" w:wrap="notBeside" w:vAnchor="text" w:hAnchor="text" w:xAlign="center" w:y="1"/>
              <w:jc w:val="center"/>
            </w:pPr>
            <w:r>
              <w:t>1</w:t>
            </w:r>
            <w:r>
              <w:rPr>
                <w:rFonts w:ascii="Tms Rmn" w:hAnsi="Tms Rmn"/>
                <w:sz w:val="12"/>
              </w:rPr>
              <w:t> </w:t>
            </w:r>
            <w:r>
              <w:t>124</w:t>
            </w:r>
          </w:p>
        </w:tc>
        <w:tc>
          <w:tcPr>
            <w:tcW w:w="1511" w:type="dxa"/>
          </w:tcPr>
          <w:p w:rsidR="002B489A" w:rsidRDefault="004F19C4">
            <w:pPr>
              <w:pStyle w:val="Tabletext"/>
              <w:framePr w:hSpace="181" w:wrap="notBeside" w:vAnchor="text" w:hAnchor="text" w:xAlign="center" w:y="1"/>
              <w:jc w:val="center"/>
            </w:pPr>
            <w:r>
              <w:t>1</w:t>
            </w:r>
            <w:r>
              <w:rPr>
                <w:rFonts w:ascii="Tms Rmn" w:hAnsi="Tms Rmn"/>
                <w:sz w:val="12"/>
              </w:rPr>
              <w:t> </w:t>
            </w:r>
            <w:r>
              <w:t>124</w:t>
            </w:r>
          </w:p>
        </w:tc>
      </w:tr>
      <w:tr w:rsidR="002B489A">
        <w:tc>
          <w:tcPr>
            <w:tcW w:w="5988" w:type="dxa"/>
          </w:tcPr>
          <w:p w:rsidR="002B489A" w:rsidRDefault="004F19C4">
            <w:pPr>
              <w:pStyle w:val="Tabletext"/>
              <w:framePr w:hSpace="181" w:wrap="notBeside" w:vAnchor="text" w:hAnchor="text" w:xAlign="center" w:y="1"/>
              <w:jc w:val="left"/>
            </w:pPr>
            <w:r>
              <w:t>Zone du faisceau du détecteur (millions de m</w:t>
            </w:r>
            <w:r>
              <w:rPr>
                <w:vertAlign w:val="superscript"/>
              </w:rPr>
              <w:t>2</w:t>
            </w:r>
            <w:r>
              <w:t>)</w:t>
            </w:r>
          </w:p>
        </w:tc>
        <w:tc>
          <w:tcPr>
            <w:tcW w:w="1161" w:type="dxa"/>
          </w:tcPr>
          <w:p w:rsidR="002B489A" w:rsidRDefault="004F19C4">
            <w:pPr>
              <w:pStyle w:val="Tabletext"/>
              <w:framePr w:hSpace="181" w:wrap="notBeside" w:vAnchor="text" w:hAnchor="text" w:xAlign="center" w:y="1"/>
              <w:jc w:val="center"/>
            </w:pPr>
            <w:r>
              <w:t>592,5</w:t>
            </w:r>
          </w:p>
        </w:tc>
        <w:tc>
          <w:tcPr>
            <w:tcW w:w="979" w:type="dxa"/>
          </w:tcPr>
          <w:p w:rsidR="002B489A" w:rsidRDefault="004F19C4">
            <w:pPr>
              <w:pStyle w:val="Tabletext"/>
              <w:framePr w:hSpace="181" w:wrap="notBeside" w:vAnchor="text" w:hAnchor="text" w:xAlign="center" w:y="1"/>
              <w:jc w:val="center"/>
            </w:pPr>
            <w:r>
              <w:t>592,5</w:t>
            </w:r>
          </w:p>
        </w:tc>
        <w:tc>
          <w:tcPr>
            <w:tcW w:w="1511" w:type="dxa"/>
          </w:tcPr>
          <w:p w:rsidR="002B489A" w:rsidRDefault="004F19C4">
            <w:pPr>
              <w:pStyle w:val="Tabletext"/>
              <w:framePr w:hSpace="181" w:wrap="notBeside" w:vAnchor="text" w:hAnchor="text" w:xAlign="center" w:y="1"/>
              <w:jc w:val="center"/>
            </w:pPr>
            <w:r>
              <w:t>592,5</w:t>
            </w:r>
          </w:p>
        </w:tc>
      </w:tr>
      <w:tr w:rsidR="002B489A">
        <w:tc>
          <w:tcPr>
            <w:tcW w:w="5988" w:type="dxa"/>
          </w:tcPr>
          <w:p w:rsidR="002B489A" w:rsidRDefault="004F19C4">
            <w:pPr>
              <w:pStyle w:val="Tabletext"/>
              <w:framePr w:hSpace="181" w:wrap="notBeside" w:vAnchor="text" w:hAnchor="text" w:xAlign="center" w:y="1"/>
              <w:jc w:val="left"/>
            </w:pPr>
            <w:r>
              <w:t>Elévation du détecteur (degrés)</w:t>
            </w:r>
          </w:p>
        </w:tc>
        <w:tc>
          <w:tcPr>
            <w:tcW w:w="1161" w:type="dxa"/>
          </w:tcPr>
          <w:p w:rsidR="002B489A" w:rsidRDefault="004F19C4">
            <w:pPr>
              <w:pStyle w:val="Tabletext"/>
              <w:framePr w:hSpace="181" w:wrap="notBeside" w:vAnchor="text" w:hAnchor="text" w:xAlign="center" w:y="1"/>
              <w:jc w:val="center"/>
            </w:pPr>
            <w:r>
              <w:t>35,0</w:t>
            </w:r>
          </w:p>
        </w:tc>
        <w:tc>
          <w:tcPr>
            <w:tcW w:w="979" w:type="dxa"/>
          </w:tcPr>
          <w:p w:rsidR="002B489A" w:rsidRDefault="004F19C4">
            <w:pPr>
              <w:pStyle w:val="Tabletext"/>
              <w:framePr w:hSpace="181" w:wrap="notBeside" w:vAnchor="text" w:hAnchor="text" w:xAlign="center" w:y="1"/>
              <w:jc w:val="center"/>
            </w:pPr>
            <w:r>
              <w:t>35,0</w:t>
            </w:r>
          </w:p>
        </w:tc>
        <w:tc>
          <w:tcPr>
            <w:tcW w:w="1511" w:type="dxa"/>
          </w:tcPr>
          <w:p w:rsidR="002B489A" w:rsidRDefault="004F19C4">
            <w:pPr>
              <w:pStyle w:val="Tabletext"/>
              <w:framePr w:hSpace="181" w:wrap="notBeside" w:vAnchor="text" w:hAnchor="text" w:xAlign="center" w:y="1"/>
              <w:jc w:val="center"/>
            </w:pPr>
            <w:r>
              <w:t>35,0</w:t>
            </w:r>
          </w:p>
        </w:tc>
      </w:tr>
      <w:tr w:rsidR="002B489A">
        <w:tc>
          <w:tcPr>
            <w:tcW w:w="5988" w:type="dxa"/>
          </w:tcPr>
          <w:p w:rsidR="002B489A" w:rsidRDefault="004F19C4">
            <w:pPr>
              <w:pStyle w:val="Tabletext"/>
              <w:framePr w:hSpace="181" w:wrap="notBeside" w:vAnchor="text" w:hAnchor="text" w:xAlign="center" w:y="1"/>
              <w:jc w:val="left"/>
            </w:pPr>
            <w:r>
              <w:t>Zone du faisceau projeté (millions de m</w:t>
            </w:r>
            <w:r>
              <w:rPr>
                <w:vertAlign w:val="superscript"/>
              </w:rPr>
              <w:t>2</w:t>
            </w:r>
            <w:r>
              <w:t>)</w:t>
            </w:r>
          </w:p>
        </w:tc>
        <w:tc>
          <w:tcPr>
            <w:tcW w:w="1161" w:type="dxa"/>
          </w:tcPr>
          <w:p w:rsidR="002B489A" w:rsidRDefault="004F19C4">
            <w:pPr>
              <w:pStyle w:val="Tabletext"/>
              <w:framePr w:hSpace="181" w:wrap="notBeside" w:vAnchor="text" w:hAnchor="text" w:xAlign="center" w:y="1"/>
              <w:jc w:val="center"/>
            </w:pPr>
            <w:r>
              <w:t>1</w:t>
            </w:r>
            <w:r>
              <w:rPr>
                <w:rFonts w:ascii="Tms Rmn" w:hAnsi="Tms Rmn"/>
                <w:sz w:val="12"/>
              </w:rPr>
              <w:t> </w:t>
            </w:r>
            <w:r>
              <w:t>033</w:t>
            </w:r>
          </w:p>
        </w:tc>
        <w:tc>
          <w:tcPr>
            <w:tcW w:w="979" w:type="dxa"/>
          </w:tcPr>
          <w:p w:rsidR="002B489A" w:rsidRDefault="004F19C4">
            <w:pPr>
              <w:pStyle w:val="Tabletext"/>
              <w:framePr w:hSpace="181" w:wrap="notBeside" w:vAnchor="text" w:hAnchor="text" w:xAlign="center" w:y="1"/>
              <w:jc w:val="center"/>
            </w:pPr>
            <w:r>
              <w:t>1</w:t>
            </w:r>
            <w:r>
              <w:rPr>
                <w:rFonts w:ascii="Tms Rmn" w:hAnsi="Tms Rmn"/>
                <w:sz w:val="12"/>
              </w:rPr>
              <w:t> </w:t>
            </w:r>
            <w:r>
              <w:t>033</w:t>
            </w:r>
          </w:p>
        </w:tc>
        <w:tc>
          <w:tcPr>
            <w:tcW w:w="1511" w:type="dxa"/>
          </w:tcPr>
          <w:p w:rsidR="002B489A" w:rsidRDefault="004F19C4">
            <w:pPr>
              <w:pStyle w:val="Tabletext"/>
              <w:framePr w:hSpace="181" w:wrap="notBeside" w:vAnchor="text" w:hAnchor="text" w:xAlign="center" w:y="1"/>
              <w:jc w:val="center"/>
            </w:pPr>
            <w:r>
              <w:t>1</w:t>
            </w:r>
            <w:r>
              <w:rPr>
                <w:rFonts w:ascii="Tms Rmn" w:hAnsi="Tms Rmn"/>
                <w:sz w:val="12"/>
              </w:rPr>
              <w:t> </w:t>
            </w:r>
            <w:r>
              <w:t>033</w:t>
            </w:r>
          </w:p>
        </w:tc>
      </w:tr>
      <w:tr w:rsidR="002B489A">
        <w:tc>
          <w:tcPr>
            <w:tcW w:w="5988" w:type="dxa"/>
          </w:tcPr>
          <w:p w:rsidR="002B489A" w:rsidRDefault="004F19C4">
            <w:pPr>
              <w:pStyle w:val="Tabletext"/>
              <w:framePr w:hSpace="181" w:wrap="notBeside" w:vAnchor="text" w:hAnchor="text" w:xAlign="center" w:y="1"/>
              <w:jc w:val="left"/>
            </w:pPr>
            <w:r>
              <w:t>Puissance diffusée (dB(W/20 MHz))</w:t>
            </w:r>
          </w:p>
        </w:tc>
        <w:tc>
          <w:tcPr>
            <w:tcW w:w="1161" w:type="dxa"/>
          </w:tcPr>
          <w:p w:rsidR="002B489A" w:rsidRDefault="004F19C4">
            <w:pPr>
              <w:pStyle w:val="Tabletext"/>
              <w:framePr w:hSpace="181" w:wrap="notBeside" w:vAnchor="text" w:hAnchor="text" w:xAlign="center" w:y="1"/>
              <w:jc w:val="center"/>
            </w:pPr>
            <w:r>
              <w:t>–52,5</w:t>
            </w:r>
          </w:p>
        </w:tc>
        <w:tc>
          <w:tcPr>
            <w:tcW w:w="979" w:type="dxa"/>
          </w:tcPr>
          <w:p w:rsidR="002B489A" w:rsidRDefault="004F19C4">
            <w:pPr>
              <w:pStyle w:val="Tabletext"/>
              <w:framePr w:hSpace="181" w:wrap="notBeside" w:vAnchor="text" w:hAnchor="text" w:xAlign="center" w:y="1"/>
              <w:jc w:val="center"/>
            </w:pPr>
            <w:r>
              <w:t>–47,2</w:t>
            </w:r>
          </w:p>
        </w:tc>
        <w:tc>
          <w:tcPr>
            <w:tcW w:w="1511" w:type="dxa"/>
          </w:tcPr>
          <w:p w:rsidR="002B489A" w:rsidRDefault="004F19C4">
            <w:pPr>
              <w:pStyle w:val="Tabletext"/>
              <w:framePr w:hSpace="181" w:wrap="notBeside" w:vAnchor="text" w:hAnchor="text" w:xAlign="center" w:y="1"/>
              <w:jc w:val="center"/>
            </w:pPr>
            <w:r>
              <w:t>–51,0</w:t>
            </w:r>
          </w:p>
        </w:tc>
      </w:tr>
      <w:tr w:rsidR="002B489A">
        <w:tc>
          <w:tcPr>
            <w:tcW w:w="5988" w:type="dxa"/>
          </w:tcPr>
          <w:p w:rsidR="002B489A" w:rsidRDefault="004F19C4">
            <w:pPr>
              <w:pStyle w:val="Tabletext"/>
              <w:framePr w:hSpace="181" w:wrap="notBeside" w:vAnchor="text" w:hAnchor="text" w:xAlign="center" w:y="1"/>
              <w:jc w:val="left"/>
            </w:pPr>
            <w:r>
              <w:t>Trajet au détecteur (dB)</w:t>
            </w:r>
          </w:p>
        </w:tc>
        <w:tc>
          <w:tcPr>
            <w:tcW w:w="1161" w:type="dxa"/>
          </w:tcPr>
          <w:p w:rsidR="002B489A" w:rsidRDefault="004F19C4">
            <w:pPr>
              <w:pStyle w:val="Tabletext"/>
              <w:framePr w:hSpace="181" w:wrap="notBeside" w:vAnchor="text" w:hAnchor="text" w:xAlign="center" w:y="1"/>
              <w:jc w:val="center"/>
            </w:pPr>
            <w:r>
              <w:t>–172,6</w:t>
            </w:r>
          </w:p>
        </w:tc>
        <w:tc>
          <w:tcPr>
            <w:tcW w:w="979" w:type="dxa"/>
          </w:tcPr>
          <w:p w:rsidR="002B489A" w:rsidRDefault="004F19C4">
            <w:pPr>
              <w:pStyle w:val="Tabletext"/>
              <w:framePr w:hSpace="181" w:wrap="notBeside" w:vAnchor="text" w:hAnchor="text" w:xAlign="center" w:y="1"/>
              <w:jc w:val="center"/>
            </w:pPr>
            <w:r>
              <w:t>–172,6</w:t>
            </w:r>
          </w:p>
        </w:tc>
        <w:tc>
          <w:tcPr>
            <w:tcW w:w="1511" w:type="dxa"/>
          </w:tcPr>
          <w:p w:rsidR="002B489A" w:rsidRDefault="004F19C4">
            <w:pPr>
              <w:pStyle w:val="Tabletext"/>
              <w:framePr w:hSpace="181" w:wrap="notBeside" w:vAnchor="text" w:hAnchor="text" w:xAlign="center" w:y="1"/>
              <w:jc w:val="center"/>
            </w:pPr>
            <w:r>
              <w:t>–172,6</w:t>
            </w:r>
          </w:p>
        </w:tc>
      </w:tr>
      <w:tr w:rsidR="002B489A">
        <w:tc>
          <w:tcPr>
            <w:tcW w:w="5988" w:type="dxa"/>
          </w:tcPr>
          <w:p w:rsidR="002B489A" w:rsidRDefault="004F19C4">
            <w:pPr>
              <w:pStyle w:val="Tabletext"/>
              <w:framePr w:hSpace="181" w:wrap="notBeside" w:vAnchor="text" w:hAnchor="text" w:xAlign="center" w:y="1"/>
              <w:jc w:val="left"/>
            </w:pPr>
            <w:r>
              <w:t>Gain d'antenne du détecteur (dBi)</w:t>
            </w:r>
          </w:p>
        </w:tc>
        <w:tc>
          <w:tcPr>
            <w:tcW w:w="1161" w:type="dxa"/>
          </w:tcPr>
          <w:p w:rsidR="002B489A" w:rsidRDefault="004F19C4">
            <w:pPr>
              <w:pStyle w:val="Tabletext"/>
              <w:framePr w:hSpace="181" w:wrap="notBeside" w:vAnchor="text" w:hAnchor="text" w:xAlign="center" w:y="1"/>
              <w:jc w:val="center"/>
            </w:pPr>
            <w:r>
              <w:t>41,0</w:t>
            </w:r>
          </w:p>
        </w:tc>
        <w:tc>
          <w:tcPr>
            <w:tcW w:w="979" w:type="dxa"/>
          </w:tcPr>
          <w:p w:rsidR="002B489A" w:rsidRDefault="004F19C4">
            <w:pPr>
              <w:pStyle w:val="Tabletext"/>
              <w:framePr w:hSpace="181" w:wrap="notBeside" w:vAnchor="text" w:hAnchor="text" w:xAlign="center" w:y="1"/>
              <w:jc w:val="center"/>
            </w:pPr>
            <w:r>
              <w:t>41,0</w:t>
            </w:r>
          </w:p>
        </w:tc>
        <w:tc>
          <w:tcPr>
            <w:tcW w:w="1511" w:type="dxa"/>
          </w:tcPr>
          <w:p w:rsidR="002B489A" w:rsidRDefault="004F19C4">
            <w:pPr>
              <w:pStyle w:val="Tabletext"/>
              <w:framePr w:hSpace="181" w:wrap="notBeside" w:vAnchor="text" w:hAnchor="text" w:xAlign="center" w:y="1"/>
              <w:jc w:val="center"/>
            </w:pPr>
            <w:r>
              <w:t>41,0</w:t>
            </w:r>
          </w:p>
        </w:tc>
      </w:tr>
      <w:tr w:rsidR="002B489A">
        <w:tc>
          <w:tcPr>
            <w:tcW w:w="5988" w:type="dxa"/>
          </w:tcPr>
          <w:p w:rsidR="002B489A" w:rsidRDefault="004F19C4">
            <w:pPr>
              <w:pStyle w:val="Tabletext"/>
              <w:framePr w:hSpace="181" w:wrap="notBeside" w:vAnchor="text" w:hAnchor="text" w:xAlign="center" w:y="1"/>
              <w:jc w:val="left"/>
            </w:pPr>
            <w:r>
              <w:t>DSP reçue (dB(W/(m</w:t>
            </w:r>
            <w:r>
              <w:rPr>
                <w:vertAlign w:val="superscript"/>
              </w:rPr>
              <w:t>2</w:t>
            </w:r>
            <w:r>
              <w:t xml:space="preserve"> · 20 MHz)))</w:t>
            </w:r>
          </w:p>
        </w:tc>
        <w:tc>
          <w:tcPr>
            <w:tcW w:w="1161" w:type="dxa"/>
          </w:tcPr>
          <w:p w:rsidR="002B489A" w:rsidRDefault="004F19C4">
            <w:pPr>
              <w:pStyle w:val="Tabletext"/>
              <w:framePr w:hSpace="181" w:wrap="notBeside" w:vAnchor="text" w:hAnchor="text" w:xAlign="center" w:y="1"/>
              <w:jc w:val="center"/>
            </w:pPr>
            <w:r>
              <w:t>–185,5</w:t>
            </w:r>
          </w:p>
        </w:tc>
        <w:tc>
          <w:tcPr>
            <w:tcW w:w="979" w:type="dxa"/>
          </w:tcPr>
          <w:p w:rsidR="002B489A" w:rsidRDefault="004F19C4">
            <w:pPr>
              <w:pStyle w:val="Tabletext"/>
              <w:framePr w:hSpace="181" w:wrap="notBeside" w:vAnchor="text" w:hAnchor="text" w:xAlign="center" w:y="1"/>
              <w:jc w:val="center"/>
            </w:pPr>
            <w:r>
              <w:t>–180,2</w:t>
            </w:r>
          </w:p>
        </w:tc>
        <w:tc>
          <w:tcPr>
            <w:tcW w:w="1511" w:type="dxa"/>
          </w:tcPr>
          <w:p w:rsidR="002B489A" w:rsidRDefault="004F19C4">
            <w:pPr>
              <w:pStyle w:val="Tabletext"/>
              <w:framePr w:hSpace="181" w:wrap="notBeside" w:vAnchor="text" w:hAnchor="text" w:xAlign="center" w:y="1"/>
              <w:jc w:val="center"/>
            </w:pPr>
            <w:r>
              <w:t>–184,0</w:t>
            </w:r>
          </w:p>
        </w:tc>
      </w:tr>
      <w:tr w:rsidR="002B489A">
        <w:trPr>
          <w:trHeight w:val="260"/>
        </w:trPr>
        <w:tc>
          <w:tcPr>
            <w:tcW w:w="5988" w:type="dxa"/>
          </w:tcPr>
          <w:p w:rsidR="002B489A" w:rsidRDefault="004F19C4">
            <w:pPr>
              <w:pStyle w:val="Tabletext"/>
              <w:framePr w:hSpace="181" w:wrap="notBeside" w:vAnchor="text" w:hAnchor="text" w:xAlign="center" w:y="1"/>
              <w:jc w:val="left"/>
            </w:pPr>
            <w:r>
              <w:t>Seuil de brouillage (dB(W/20 MHz))</w:t>
            </w:r>
          </w:p>
        </w:tc>
        <w:tc>
          <w:tcPr>
            <w:tcW w:w="1161" w:type="dxa"/>
          </w:tcPr>
          <w:p w:rsidR="002B489A" w:rsidRDefault="004F19C4">
            <w:pPr>
              <w:pStyle w:val="Tabletext"/>
              <w:framePr w:hSpace="181" w:wrap="notBeside" w:vAnchor="text" w:hAnchor="text" w:xAlign="center" w:y="1"/>
              <w:jc w:val="center"/>
            </w:pPr>
            <w:r>
              <w:t>–163,0</w:t>
            </w:r>
          </w:p>
        </w:tc>
        <w:tc>
          <w:tcPr>
            <w:tcW w:w="979" w:type="dxa"/>
          </w:tcPr>
          <w:p w:rsidR="002B489A" w:rsidRDefault="004F19C4">
            <w:pPr>
              <w:pStyle w:val="Tabletext"/>
              <w:framePr w:hSpace="181" w:wrap="notBeside" w:vAnchor="text" w:hAnchor="text" w:xAlign="center" w:y="1"/>
              <w:jc w:val="center"/>
            </w:pPr>
            <w:r>
              <w:t>–163,0</w:t>
            </w:r>
          </w:p>
        </w:tc>
        <w:tc>
          <w:tcPr>
            <w:tcW w:w="1511" w:type="dxa"/>
          </w:tcPr>
          <w:p w:rsidR="002B489A" w:rsidRDefault="004F19C4">
            <w:pPr>
              <w:pStyle w:val="Tabletext"/>
              <w:framePr w:hSpace="181" w:wrap="notBeside" w:vAnchor="text" w:hAnchor="text" w:xAlign="center" w:y="1"/>
              <w:jc w:val="center"/>
            </w:pPr>
            <w:r>
              <w:t>–163,0</w:t>
            </w:r>
          </w:p>
        </w:tc>
      </w:tr>
      <w:tr w:rsidR="002B489A">
        <w:tc>
          <w:tcPr>
            <w:tcW w:w="5988" w:type="dxa"/>
            <w:tcBorders>
              <w:bottom w:val="single" w:sz="4" w:space="0" w:color="auto"/>
            </w:tcBorders>
          </w:tcPr>
          <w:p w:rsidR="002B489A" w:rsidRDefault="004F19C4">
            <w:pPr>
              <w:pStyle w:val="Tabletext"/>
              <w:framePr w:hSpace="181" w:wrap="notBeside" w:vAnchor="text" w:hAnchor="text" w:xAlign="center" w:y="1"/>
              <w:jc w:val="left"/>
            </w:pPr>
            <w:r>
              <w:t>Marge (dB)</w:t>
            </w:r>
          </w:p>
        </w:tc>
        <w:tc>
          <w:tcPr>
            <w:tcW w:w="1161" w:type="dxa"/>
            <w:tcBorders>
              <w:bottom w:val="single" w:sz="4" w:space="0" w:color="auto"/>
            </w:tcBorders>
          </w:tcPr>
          <w:p w:rsidR="002B489A" w:rsidRDefault="004F19C4">
            <w:pPr>
              <w:pStyle w:val="Tabletext"/>
              <w:framePr w:hSpace="181" w:wrap="notBeside" w:vAnchor="text" w:hAnchor="text" w:xAlign="center" w:y="1"/>
              <w:jc w:val="center"/>
            </w:pPr>
            <w:r>
              <w:t>22,5</w:t>
            </w:r>
          </w:p>
        </w:tc>
        <w:tc>
          <w:tcPr>
            <w:tcW w:w="979" w:type="dxa"/>
            <w:tcBorders>
              <w:bottom w:val="single" w:sz="4" w:space="0" w:color="auto"/>
            </w:tcBorders>
          </w:tcPr>
          <w:p w:rsidR="002B489A" w:rsidRDefault="004F19C4">
            <w:pPr>
              <w:pStyle w:val="Tabletext"/>
              <w:framePr w:hSpace="181" w:wrap="notBeside" w:vAnchor="text" w:hAnchor="text" w:xAlign="center" w:y="1"/>
              <w:jc w:val="center"/>
            </w:pPr>
            <w:r>
              <w:t>17,2</w:t>
            </w:r>
          </w:p>
        </w:tc>
        <w:tc>
          <w:tcPr>
            <w:tcW w:w="1511" w:type="dxa"/>
            <w:tcBorders>
              <w:bottom w:val="single" w:sz="4" w:space="0" w:color="auto"/>
            </w:tcBorders>
          </w:tcPr>
          <w:p w:rsidR="002B489A" w:rsidRDefault="004F19C4">
            <w:pPr>
              <w:pStyle w:val="Tabletext"/>
              <w:framePr w:hSpace="181" w:wrap="notBeside" w:vAnchor="text" w:hAnchor="text" w:xAlign="center" w:y="1"/>
              <w:jc w:val="center"/>
            </w:pPr>
            <w:r>
              <w:t>20,4</w:t>
            </w:r>
          </w:p>
        </w:tc>
      </w:tr>
      <w:tr w:rsidR="002B489A">
        <w:trPr>
          <w:cantSplit/>
        </w:trPr>
        <w:tc>
          <w:tcPr>
            <w:tcW w:w="9639" w:type="dxa"/>
            <w:gridSpan w:val="4"/>
            <w:tcBorders>
              <w:left w:val="nil"/>
              <w:bottom w:val="nil"/>
              <w:right w:val="nil"/>
            </w:tcBorders>
          </w:tcPr>
          <w:p w:rsidR="002B489A" w:rsidRDefault="004F19C4">
            <w:pPr>
              <w:pStyle w:val="Tablelegend"/>
              <w:framePr w:hSpace="181" w:wrap="notBeside" w:vAnchor="text" w:hAnchor="text" w:xAlign="center" w:y="1"/>
              <w:spacing w:before="40" w:after="0"/>
            </w:pPr>
            <w:r>
              <w:rPr>
                <w:vertAlign w:val="superscript"/>
              </w:rPr>
              <w:t>(1)</w:t>
            </w:r>
            <w:r>
              <w:tab/>
              <w:t>Suppose 0,5% d'attribution extérieure de chaque côté.</w:t>
            </w:r>
          </w:p>
          <w:p w:rsidR="002B489A" w:rsidRDefault="004F19C4">
            <w:pPr>
              <w:pStyle w:val="Tablelegend"/>
              <w:framePr w:hSpace="181" w:wrap="notBeside" w:vAnchor="text" w:hAnchor="text" w:xAlign="center" w:y="1"/>
              <w:spacing w:before="40" w:after="0"/>
            </w:pPr>
            <w:r>
              <w:rPr>
                <w:vertAlign w:val="superscript"/>
              </w:rPr>
              <w:t>(2)</w:t>
            </w:r>
            <w:r>
              <w:tab/>
              <w:t>Suppose une puissance hors bande attribuée uniformément distribuée sur la largeur de bande égale à la largeur de bande du service actif.</w:t>
            </w:r>
          </w:p>
        </w:tc>
      </w:tr>
    </w:tbl>
    <w:p w:rsidR="002B489A" w:rsidRDefault="002B489A">
      <w:pPr>
        <w:pStyle w:val="Tablefin"/>
      </w:pPr>
    </w:p>
    <w:p w:rsidR="002B489A" w:rsidRDefault="002B489A">
      <w:pPr>
        <w:rPr>
          <w:lang w:val="en-GB"/>
        </w:rPr>
      </w:pPr>
    </w:p>
    <w:p w:rsidR="002B489A" w:rsidRDefault="002B489A">
      <w:pPr>
        <w:rPr>
          <w:lang w:val="en-GB"/>
        </w:rPr>
      </w:pPr>
    </w:p>
    <w:p w:rsidR="002B489A" w:rsidRDefault="004F19C4">
      <w:r>
        <w:t>On obtiendra la compatibilité dans tous les cas considérés ci-dessus si la largeur de bande occupée de l'émission SFS tient entièrement dans la bande attribuée. Cependant, cela peut n'être pas possible pour le service actif, on peut exiger que le service SFS supporte la charge de l'utilisation de méthodes de réduction des brouillages telles que le filtrage ou la bande de garde.</w:t>
      </w:r>
    </w:p>
    <w:p w:rsidR="002B489A" w:rsidRDefault="004F19C4">
      <w:r>
        <w:br w:type="page"/>
        <w:t xml:space="preserve">Pour ce qui concerne l'application de la Recommandation UIT-R </w:t>
      </w:r>
      <w:r>
        <w:rPr>
          <w:bCs/>
        </w:rPr>
        <w:t>SM.1541</w:t>
      </w:r>
      <w:r>
        <w:t>, le Tableau 22 résume le dépassement des critères de brouillage calculés pour chacun des cas visés dans les § 4.2.1, 4.2.2 et 4.2.3 ci-dessus et les séparations de fréquence impliquées par la Fig. 15 pour les largeurs de bande nécessaires spécifiées considérées.</w:t>
      </w:r>
    </w:p>
    <w:p w:rsidR="002B489A" w:rsidRDefault="004F19C4">
      <w:pPr>
        <w:pStyle w:val="TableNo"/>
      </w:pPr>
      <w:r>
        <w:t>TABLEAU  22</w:t>
      </w:r>
    </w:p>
    <w:p w:rsidR="002B489A" w:rsidRDefault="004F19C4">
      <w:pPr>
        <w:pStyle w:val="Tabletitle"/>
      </w:pPr>
      <w:r>
        <w:t>Résumé des calculs de seuil de dépassement de brouillage et de séparation de fréquence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1477"/>
        <w:gridCol w:w="1583"/>
        <w:gridCol w:w="1440"/>
        <w:gridCol w:w="1440"/>
      </w:tblGrid>
      <w:tr w:rsidR="002B489A">
        <w:tc>
          <w:tcPr>
            <w:tcW w:w="2988" w:type="dxa"/>
          </w:tcPr>
          <w:p w:rsidR="002B489A" w:rsidRDefault="002B489A">
            <w:pPr>
              <w:pStyle w:val="Tablehead"/>
              <w:framePr w:hSpace="181" w:wrap="notBeside" w:vAnchor="text" w:hAnchor="text" w:xAlign="center" w:y="1"/>
            </w:pPr>
          </w:p>
        </w:tc>
        <w:tc>
          <w:tcPr>
            <w:tcW w:w="1477" w:type="dxa"/>
          </w:tcPr>
          <w:p w:rsidR="002B489A" w:rsidRDefault="004F19C4">
            <w:pPr>
              <w:pStyle w:val="Tablehead"/>
              <w:framePr w:hSpace="181" w:wrap="notBeside" w:vAnchor="text" w:hAnchor="text" w:xAlign="center" w:y="1"/>
            </w:pPr>
            <w:r>
              <w:t>Dépassement de seuil de brouillage (dB)</w:t>
            </w:r>
          </w:p>
        </w:tc>
        <w:tc>
          <w:tcPr>
            <w:tcW w:w="1583" w:type="dxa"/>
          </w:tcPr>
          <w:p w:rsidR="002B489A" w:rsidRDefault="004F19C4">
            <w:pPr>
              <w:pStyle w:val="Tablehead"/>
              <w:framePr w:hSpace="181" w:wrap="notBeside" w:vAnchor="text" w:hAnchor="text" w:xAlign="center" w:y="1"/>
            </w:pPr>
            <w:r>
              <w:t>Décalage de fréquence calculé</w:t>
            </w:r>
            <w:r>
              <w:br/>
              <w:t>(%)</w:t>
            </w:r>
          </w:p>
        </w:tc>
        <w:tc>
          <w:tcPr>
            <w:tcW w:w="1440" w:type="dxa"/>
          </w:tcPr>
          <w:p w:rsidR="002B489A" w:rsidRDefault="004F19C4">
            <w:pPr>
              <w:pStyle w:val="Tablehead"/>
              <w:framePr w:hSpace="181" w:wrap="notBeside" w:vAnchor="text" w:hAnchor="text" w:xAlign="center" w:y="1"/>
            </w:pPr>
            <w:r>
              <w:t>Largeur de bande de la porteuse (MHz)</w:t>
            </w:r>
          </w:p>
        </w:tc>
        <w:tc>
          <w:tcPr>
            <w:tcW w:w="1440" w:type="dxa"/>
          </w:tcPr>
          <w:p w:rsidR="002B489A" w:rsidRDefault="004F19C4">
            <w:pPr>
              <w:pStyle w:val="Tablehead"/>
              <w:framePr w:hSpace="181" w:wrap="notBeside" w:vAnchor="text" w:hAnchor="text" w:xAlign="center" w:y="1"/>
            </w:pPr>
            <w:r>
              <w:t>Bande de garde calculée (MHz)</w:t>
            </w:r>
          </w:p>
        </w:tc>
      </w:tr>
      <w:tr w:rsidR="002B489A">
        <w:tc>
          <w:tcPr>
            <w:tcW w:w="2988" w:type="dxa"/>
          </w:tcPr>
          <w:p w:rsidR="002B489A" w:rsidRDefault="004F19C4">
            <w:pPr>
              <w:pStyle w:val="Tabletext"/>
              <w:framePr w:hSpace="181" w:wrap="notBeside" w:vAnchor="text" w:hAnchor="text" w:xAlign="center" w:y="1"/>
              <w:jc w:val="left"/>
            </w:pPr>
            <w:r>
              <w:t>GSO-VX</w:t>
            </w:r>
          </w:p>
        </w:tc>
        <w:tc>
          <w:tcPr>
            <w:tcW w:w="1477" w:type="dxa"/>
          </w:tcPr>
          <w:p w:rsidR="002B489A" w:rsidRDefault="004F19C4">
            <w:pPr>
              <w:pStyle w:val="Tabletext"/>
              <w:framePr w:hSpace="181" w:wrap="notBeside" w:vAnchor="text" w:hAnchor="text" w:xAlign="center" w:y="1"/>
              <w:jc w:val="center"/>
            </w:pPr>
            <w:r>
              <w:t>0</w:t>
            </w:r>
          </w:p>
        </w:tc>
        <w:tc>
          <w:tcPr>
            <w:tcW w:w="1583" w:type="dxa"/>
          </w:tcPr>
          <w:p w:rsidR="002B489A" w:rsidRDefault="004F19C4">
            <w:pPr>
              <w:pStyle w:val="Tabletext"/>
              <w:framePr w:hSpace="181" w:wrap="notBeside" w:vAnchor="text" w:hAnchor="text" w:xAlign="center" w:y="1"/>
              <w:jc w:val="center"/>
            </w:pPr>
            <w:r>
              <w:t>–</w:t>
            </w:r>
          </w:p>
        </w:tc>
        <w:tc>
          <w:tcPr>
            <w:tcW w:w="1440" w:type="dxa"/>
          </w:tcPr>
          <w:p w:rsidR="002B489A" w:rsidRDefault="004F19C4">
            <w:pPr>
              <w:pStyle w:val="Tabletext"/>
              <w:framePr w:hSpace="181" w:wrap="notBeside" w:vAnchor="text" w:hAnchor="text" w:xAlign="center" w:y="1"/>
              <w:jc w:val="center"/>
            </w:pPr>
            <w:r>
              <w:t>–</w:t>
            </w:r>
          </w:p>
        </w:tc>
        <w:tc>
          <w:tcPr>
            <w:tcW w:w="1440" w:type="dxa"/>
          </w:tcPr>
          <w:p w:rsidR="002B489A" w:rsidRDefault="004F19C4">
            <w:pPr>
              <w:pStyle w:val="Tabletext"/>
              <w:framePr w:hSpace="181" w:wrap="notBeside" w:vAnchor="text" w:hAnchor="text" w:xAlign="center" w:y="1"/>
              <w:jc w:val="center"/>
            </w:pPr>
            <w:r>
              <w:t>–</w:t>
            </w:r>
          </w:p>
        </w:tc>
      </w:tr>
      <w:tr w:rsidR="002B489A">
        <w:tc>
          <w:tcPr>
            <w:tcW w:w="2988" w:type="dxa"/>
          </w:tcPr>
          <w:p w:rsidR="002B489A" w:rsidRDefault="004F19C4">
            <w:pPr>
              <w:pStyle w:val="Tabletext"/>
              <w:framePr w:hSpace="181" w:wrap="notBeside" w:vAnchor="text" w:hAnchor="text" w:xAlign="center" w:y="1"/>
              <w:jc w:val="left"/>
            </w:pPr>
            <w:r>
              <w:t>Puissance surfacique maximum pour le SFS OSG</w:t>
            </w:r>
          </w:p>
        </w:tc>
        <w:tc>
          <w:tcPr>
            <w:tcW w:w="1477" w:type="dxa"/>
          </w:tcPr>
          <w:p w:rsidR="002B489A" w:rsidRDefault="004F19C4">
            <w:pPr>
              <w:pStyle w:val="Tabletext"/>
              <w:framePr w:hSpace="181" w:wrap="notBeside" w:vAnchor="text" w:hAnchor="text" w:xAlign="center" w:y="1"/>
              <w:jc w:val="center"/>
            </w:pPr>
            <w:r>
              <w:t>4</w:t>
            </w:r>
          </w:p>
        </w:tc>
        <w:tc>
          <w:tcPr>
            <w:tcW w:w="1583" w:type="dxa"/>
          </w:tcPr>
          <w:p w:rsidR="002B489A" w:rsidRDefault="004F19C4">
            <w:pPr>
              <w:pStyle w:val="Tabletext"/>
              <w:framePr w:hSpace="181" w:wrap="notBeside" w:vAnchor="text" w:hAnchor="text" w:xAlign="center" w:y="1"/>
              <w:jc w:val="center"/>
            </w:pPr>
            <w:r>
              <w:t>34</w:t>
            </w:r>
          </w:p>
        </w:tc>
        <w:tc>
          <w:tcPr>
            <w:tcW w:w="1440" w:type="dxa"/>
          </w:tcPr>
          <w:p w:rsidR="002B489A" w:rsidRDefault="004F19C4">
            <w:pPr>
              <w:pStyle w:val="Tabletext"/>
              <w:framePr w:hSpace="181" w:wrap="notBeside" w:vAnchor="text" w:hAnchor="text" w:xAlign="center" w:y="1"/>
              <w:jc w:val="center"/>
            </w:pPr>
            <w:r>
              <w:t>36</w:t>
            </w:r>
            <w:r>
              <w:rPr>
                <w:vertAlign w:val="superscript"/>
              </w:rPr>
              <w:t>(1)</w:t>
            </w:r>
          </w:p>
        </w:tc>
        <w:tc>
          <w:tcPr>
            <w:tcW w:w="1440" w:type="dxa"/>
          </w:tcPr>
          <w:p w:rsidR="002B489A" w:rsidRDefault="004F19C4">
            <w:pPr>
              <w:pStyle w:val="Tabletext"/>
              <w:framePr w:hSpace="181" w:wrap="notBeside" w:vAnchor="text" w:hAnchor="text" w:xAlign="center" w:y="1"/>
              <w:jc w:val="center"/>
            </w:pPr>
            <w:r>
              <w:t>5</w:t>
            </w:r>
          </w:p>
        </w:tc>
      </w:tr>
      <w:tr w:rsidR="002B489A">
        <w:tc>
          <w:tcPr>
            <w:tcW w:w="2988" w:type="dxa"/>
          </w:tcPr>
          <w:p w:rsidR="002B489A" w:rsidRDefault="004F19C4">
            <w:pPr>
              <w:pStyle w:val="Tabletext"/>
              <w:framePr w:hSpace="181" w:wrap="notBeside" w:vAnchor="text" w:hAnchor="text" w:xAlign="center" w:y="1"/>
              <w:jc w:val="left"/>
            </w:pPr>
            <w:r>
              <w:t>FSAT-MULTI 1-B</w:t>
            </w:r>
          </w:p>
        </w:tc>
        <w:tc>
          <w:tcPr>
            <w:tcW w:w="1477" w:type="dxa"/>
          </w:tcPr>
          <w:p w:rsidR="002B489A" w:rsidRDefault="004F19C4">
            <w:pPr>
              <w:pStyle w:val="Tabletext"/>
              <w:framePr w:hSpace="181" w:wrap="notBeside" w:vAnchor="text" w:hAnchor="text" w:xAlign="center" w:y="1"/>
              <w:jc w:val="center"/>
            </w:pPr>
            <w:r>
              <w:t>0</w:t>
            </w:r>
          </w:p>
        </w:tc>
        <w:tc>
          <w:tcPr>
            <w:tcW w:w="1583" w:type="dxa"/>
          </w:tcPr>
          <w:p w:rsidR="002B489A" w:rsidRDefault="004F19C4">
            <w:pPr>
              <w:pStyle w:val="Tabletext"/>
              <w:framePr w:hSpace="181" w:wrap="notBeside" w:vAnchor="text" w:hAnchor="text" w:xAlign="center" w:y="1"/>
              <w:jc w:val="center"/>
            </w:pPr>
            <w:r>
              <w:t>–</w:t>
            </w:r>
          </w:p>
        </w:tc>
        <w:tc>
          <w:tcPr>
            <w:tcW w:w="1440" w:type="dxa"/>
          </w:tcPr>
          <w:p w:rsidR="002B489A" w:rsidRDefault="004F19C4">
            <w:pPr>
              <w:pStyle w:val="Tabletext"/>
              <w:framePr w:hSpace="181" w:wrap="notBeside" w:vAnchor="text" w:hAnchor="text" w:xAlign="center" w:y="1"/>
              <w:jc w:val="center"/>
            </w:pPr>
            <w:r>
              <w:t>–</w:t>
            </w:r>
          </w:p>
        </w:tc>
        <w:tc>
          <w:tcPr>
            <w:tcW w:w="1440" w:type="dxa"/>
          </w:tcPr>
          <w:p w:rsidR="002B489A" w:rsidRDefault="004F19C4">
            <w:pPr>
              <w:pStyle w:val="Tabletext"/>
              <w:framePr w:hSpace="181" w:wrap="notBeside" w:vAnchor="text" w:hAnchor="text" w:xAlign="center" w:y="1"/>
              <w:jc w:val="center"/>
            </w:pPr>
            <w:r>
              <w:t>–</w:t>
            </w:r>
          </w:p>
        </w:tc>
      </w:tr>
      <w:tr w:rsidR="002B489A">
        <w:tc>
          <w:tcPr>
            <w:tcW w:w="2988" w:type="dxa"/>
          </w:tcPr>
          <w:p w:rsidR="002B489A" w:rsidRDefault="004F19C4">
            <w:pPr>
              <w:pStyle w:val="Tabletext"/>
              <w:framePr w:hSpace="181" w:wrap="notBeside" w:vAnchor="text" w:hAnchor="text" w:xAlign="center" w:y="1"/>
              <w:jc w:val="left"/>
            </w:pPr>
            <w:r>
              <w:t>Puissance surfacique maximale pour le SFS non OSG</w:t>
            </w:r>
          </w:p>
        </w:tc>
        <w:tc>
          <w:tcPr>
            <w:tcW w:w="1477" w:type="dxa"/>
          </w:tcPr>
          <w:p w:rsidR="002B489A" w:rsidRDefault="004F19C4">
            <w:pPr>
              <w:pStyle w:val="Tabletext"/>
              <w:framePr w:hSpace="181" w:wrap="notBeside" w:vAnchor="text" w:hAnchor="text" w:xAlign="center" w:y="1"/>
              <w:jc w:val="center"/>
            </w:pPr>
            <w:r>
              <w:t>14</w:t>
            </w:r>
          </w:p>
        </w:tc>
        <w:tc>
          <w:tcPr>
            <w:tcW w:w="1583" w:type="dxa"/>
          </w:tcPr>
          <w:p w:rsidR="002B489A" w:rsidRDefault="004F19C4">
            <w:pPr>
              <w:pStyle w:val="Tabletext"/>
              <w:framePr w:hSpace="181" w:wrap="notBeside" w:vAnchor="text" w:hAnchor="text" w:xAlign="center" w:y="1"/>
              <w:jc w:val="center"/>
            </w:pPr>
            <w:r>
              <w:t>63</w:t>
            </w:r>
          </w:p>
        </w:tc>
        <w:tc>
          <w:tcPr>
            <w:tcW w:w="1440" w:type="dxa"/>
          </w:tcPr>
          <w:p w:rsidR="002B489A" w:rsidRDefault="004F19C4">
            <w:pPr>
              <w:pStyle w:val="Tabletext"/>
              <w:framePr w:hSpace="181" w:wrap="notBeside" w:vAnchor="text" w:hAnchor="text" w:xAlign="center" w:y="1"/>
              <w:jc w:val="center"/>
            </w:pPr>
            <w:r>
              <w:t>41</w:t>
            </w:r>
          </w:p>
        </w:tc>
        <w:tc>
          <w:tcPr>
            <w:tcW w:w="1440" w:type="dxa"/>
          </w:tcPr>
          <w:p w:rsidR="002B489A" w:rsidRDefault="004F19C4">
            <w:pPr>
              <w:pStyle w:val="Tabletext"/>
              <w:framePr w:hSpace="181" w:wrap="notBeside" w:vAnchor="text" w:hAnchor="text" w:xAlign="center" w:y="1"/>
              <w:jc w:val="center"/>
            </w:pPr>
            <w:r>
              <w:t>26</w:t>
            </w:r>
          </w:p>
        </w:tc>
      </w:tr>
      <w:tr w:rsidR="002B489A">
        <w:tc>
          <w:tcPr>
            <w:tcW w:w="2988" w:type="dxa"/>
          </w:tcPr>
          <w:p w:rsidR="002B489A" w:rsidRDefault="004F19C4">
            <w:pPr>
              <w:pStyle w:val="Tabletext"/>
              <w:framePr w:hSpace="181" w:wrap="notBeside" w:vAnchor="text" w:hAnchor="text" w:xAlign="center" w:y="1"/>
              <w:jc w:val="left"/>
            </w:pPr>
            <w:r>
              <w:t>USAKU-H1</w:t>
            </w:r>
          </w:p>
        </w:tc>
        <w:tc>
          <w:tcPr>
            <w:tcW w:w="1477" w:type="dxa"/>
          </w:tcPr>
          <w:p w:rsidR="002B489A" w:rsidRDefault="004F19C4">
            <w:pPr>
              <w:pStyle w:val="Tabletext"/>
              <w:framePr w:hSpace="181" w:wrap="notBeside" w:vAnchor="text" w:hAnchor="text" w:xAlign="center" w:y="1"/>
              <w:jc w:val="center"/>
            </w:pPr>
            <w:r>
              <w:t>1 (apogée)</w:t>
            </w:r>
            <w:r>
              <w:br/>
              <w:t>6 (périgée)</w:t>
            </w:r>
          </w:p>
        </w:tc>
        <w:tc>
          <w:tcPr>
            <w:tcW w:w="1583" w:type="dxa"/>
          </w:tcPr>
          <w:p w:rsidR="002B489A" w:rsidRDefault="004F19C4">
            <w:pPr>
              <w:pStyle w:val="Tabletext"/>
              <w:framePr w:hSpace="181" w:wrap="notBeside" w:vAnchor="text" w:hAnchor="text" w:xAlign="center" w:y="1"/>
              <w:jc w:val="center"/>
            </w:pPr>
            <w:r>
              <w:t>3 (apogée)</w:t>
            </w:r>
            <w:r>
              <w:br/>
              <w:t>20 (périgée)</w:t>
            </w:r>
          </w:p>
        </w:tc>
        <w:tc>
          <w:tcPr>
            <w:tcW w:w="1440" w:type="dxa"/>
          </w:tcPr>
          <w:p w:rsidR="002B489A" w:rsidRDefault="004F19C4">
            <w:pPr>
              <w:pStyle w:val="Tabletext"/>
              <w:framePr w:hSpace="181" w:wrap="notBeside" w:vAnchor="text" w:hAnchor="text" w:xAlign="center" w:y="1"/>
              <w:jc w:val="center"/>
            </w:pPr>
            <w:r>
              <w:t>24</w:t>
            </w:r>
          </w:p>
        </w:tc>
        <w:tc>
          <w:tcPr>
            <w:tcW w:w="1440" w:type="dxa"/>
          </w:tcPr>
          <w:p w:rsidR="002B489A" w:rsidRDefault="004F19C4">
            <w:pPr>
              <w:pStyle w:val="Tabletext"/>
              <w:framePr w:hSpace="181" w:wrap="notBeside" w:vAnchor="text" w:hAnchor="text" w:xAlign="center" w:y="1"/>
              <w:jc w:val="center"/>
            </w:pPr>
            <w:r>
              <w:t>1 (apogée)</w:t>
            </w:r>
            <w:r>
              <w:br/>
              <w:t>5 (périgée)</w:t>
            </w:r>
          </w:p>
        </w:tc>
      </w:tr>
      <w:tr w:rsidR="002B489A">
        <w:tc>
          <w:tcPr>
            <w:tcW w:w="2988" w:type="dxa"/>
            <w:tcBorders>
              <w:bottom w:val="single" w:sz="4" w:space="0" w:color="auto"/>
            </w:tcBorders>
          </w:tcPr>
          <w:p w:rsidR="002B489A" w:rsidRDefault="004F19C4">
            <w:pPr>
              <w:pStyle w:val="Tabletext"/>
              <w:framePr w:hSpace="181" w:wrap="notBeside" w:vAnchor="text" w:hAnchor="text" w:xAlign="center" w:y="1"/>
              <w:jc w:val="left"/>
            </w:pPr>
            <w:r>
              <w:t>Puissance surfacique maximale pour le SFS HEO</w:t>
            </w:r>
          </w:p>
        </w:tc>
        <w:tc>
          <w:tcPr>
            <w:tcW w:w="1477" w:type="dxa"/>
            <w:tcBorders>
              <w:bottom w:val="single" w:sz="4" w:space="0" w:color="auto"/>
            </w:tcBorders>
          </w:tcPr>
          <w:p w:rsidR="002B489A" w:rsidRDefault="004F19C4">
            <w:pPr>
              <w:pStyle w:val="Tabletext"/>
              <w:framePr w:hSpace="181" w:wrap="notBeside" w:vAnchor="text" w:hAnchor="text" w:xAlign="center" w:y="1"/>
              <w:jc w:val="center"/>
            </w:pPr>
            <w:r>
              <w:t>4 (apogée)</w:t>
            </w:r>
            <w:r>
              <w:br/>
              <w:t>6 (périgée)</w:t>
            </w:r>
          </w:p>
        </w:tc>
        <w:tc>
          <w:tcPr>
            <w:tcW w:w="1583" w:type="dxa"/>
            <w:tcBorders>
              <w:bottom w:val="single" w:sz="4" w:space="0" w:color="auto"/>
            </w:tcBorders>
          </w:tcPr>
          <w:p w:rsidR="002B489A" w:rsidRDefault="004F19C4">
            <w:pPr>
              <w:pStyle w:val="Tabletext"/>
              <w:framePr w:hSpace="181" w:wrap="notBeside" w:vAnchor="text" w:hAnchor="text" w:xAlign="center" w:y="1"/>
              <w:jc w:val="center"/>
            </w:pPr>
            <w:r>
              <w:t>13 (apogée)</w:t>
            </w:r>
            <w:r>
              <w:br/>
              <w:t>20 (périgée)</w:t>
            </w:r>
          </w:p>
        </w:tc>
        <w:tc>
          <w:tcPr>
            <w:tcW w:w="1440" w:type="dxa"/>
            <w:tcBorders>
              <w:bottom w:val="single" w:sz="4" w:space="0" w:color="auto"/>
            </w:tcBorders>
          </w:tcPr>
          <w:p w:rsidR="002B489A" w:rsidRDefault="004F19C4">
            <w:pPr>
              <w:pStyle w:val="Tabletext"/>
              <w:framePr w:hSpace="181" w:wrap="notBeside" w:vAnchor="text" w:hAnchor="text" w:xAlign="center" w:y="1"/>
              <w:jc w:val="center"/>
            </w:pPr>
            <w:r>
              <w:t>24</w:t>
            </w:r>
          </w:p>
        </w:tc>
        <w:tc>
          <w:tcPr>
            <w:tcW w:w="1440" w:type="dxa"/>
            <w:tcBorders>
              <w:bottom w:val="single" w:sz="4" w:space="0" w:color="auto"/>
            </w:tcBorders>
          </w:tcPr>
          <w:p w:rsidR="002B489A" w:rsidRDefault="004F19C4">
            <w:pPr>
              <w:pStyle w:val="Tabletext"/>
              <w:framePr w:hSpace="181" w:wrap="notBeside" w:vAnchor="text" w:hAnchor="text" w:xAlign="center" w:y="1"/>
              <w:jc w:val="center"/>
            </w:pPr>
            <w:r>
              <w:t>3 (apogée)</w:t>
            </w:r>
            <w:r>
              <w:br/>
              <w:t>5 (périgée)</w:t>
            </w:r>
          </w:p>
        </w:tc>
      </w:tr>
      <w:tr w:rsidR="002B489A">
        <w:trPr>
          <w:cantSplit/>
        </w:trPr>
        <w:tc>
          <w:tcPr>
            <w:tcW w:w="8928" w:type="dxa"/>
            <w:gridSpan w:val="5"/>
            <w:tcBorders>
              <w:left w:val="nil"/>
              <w:bottom w:val="nil"/>
              <w:right w:val="nil"/>
            </w:tcBorders>
          </w:tcPr>
          <w:p w:rsidR="002B489A" w:rsidRDefault="004F19C4">
            <w:pPr>
              <w:pStyle w:val="Tablelegend"/>
              <w:framePr w:hSpace="181" w:wrap="notBeside" w:vAnchor="text" w:hAnchor="text" w:xAlign="center" w:y="1"/>
            </w:pPr>
            <w:r>
              <w:rPr>
                <w:vertAlign w:val="superscript"/>
              </w:rPr>
              <w:t>(1)</w:t>
            </w:r>
            <w:r>
              <w:rPr>
                <w:vertAlign w:val="superscript"/>
              </w:rPr>
              <w:tab/>
            </w:r>
            <w:r>
              <w:t>Largeur de bande type d'un répéteur du service SFS.</w:t>
            </w:r>
          </w:p>
        </w:tc>
      </w:tr>
    </w:tbl>
    <w:p w:rsidR="002B489A" w:rsidRDefault="002B489A">
      <w:pPr>
        <w:pStyle w:val="Tablefin"/>
      </w:pPr>
    </w:p>
    <w:p w:rsidR="002B489A" w:rsidRDefault="004F19C4">
      <w:pPr>
        <w:pStyle w:val="Heading1"/>
      </w:pPr>
      <w:r>
        <w:t>5</w:t>
      </w:r>
      <w:r>
        <w:tab/>
        <w:t>Techniques de réduction des brouillages</w:t>
      </w:r>
    </w:p>
    <w:p w:rsidR="002B489A" w:rsidRDefault="004F19C4">
      <w:r>
        <w:t>Les types proposés de satellites OSG et non OSG considérés ci-dessus qui fonctionnent à des niveaux de densité de p.i.r.e. substantiellement inférieurs aux niveaux maximaux permis par l'</w:t>
      </w:r>
      <w:r>
        <w:rPr>
          <w:bCs/>
        </w:rPr>
        <w:t>Article 21</w:t>
      </w:r>
      <w:r>
        <w:t xml:space="preserve"> du RR n'exigent pas de techniques de réduction des brouillages. Cependant, des techniques de réduction des brouillages peuvent être nécessaires dans le cas des systèmes SFS à orbite elliptique HEO proposés, ainsi que pour tous les types de systèmes SFS fonctionnant avec des densités de p.i.r.e. plus élevées que celles des réseaux SFS particuliers considérés ci-dessus s'ils produisent des niveaux de puissance surfacique à la surface de la Terre qui approchent des limites du Tableau </w:t>
      </w:r>
      <w:r>
        <w:rPr>
          <w:bCs/>
        </w:rPr>
        <w:t xml:space="preserve">21-4 </w:t>
      </w:r>
      <w:r>
        <w:t>du RR.</w:t>
      </w:r>
    </w:p>
    <w:p w:rsidR="002B489A" w:rsidRDefault="004F19C4">
      <w:r>
        <w:t xml:space="preserve">Dans de tels cas, avoir la largeur de bande occupée entièrement contenue dans la bande attribuée au service SFS conduirait à la compatibilité entre les deux services. Cependant, l'impact de cette obligation sur le service SFS pourrait être significatif, soit en perte de capacité à cause de l'application d'une bande de garde dans la bande de l'Appendice </w:t>
      </w:r>
      <w:r>
        <w:rPr>
          <w:bCs/>
        </w:rPr>
        <w:t xml:space="preserve">30B </w:t>
      </w:r>
      <w:r>
        <w:rPr>
          <w:bCs/>
          <w:snapToGrid w:val="0"/>
        </w:rPr>
        <w:t>du RR</w:t>
      </w:r>
      <w:r>
        <w:t>, soit dans la mise en œuvre de filtrages supplémentaires.</w:t>
      </w:r>
    </w:p>
    <w:p w:rsidR="002B489A" w:rsidRDefault="004F19C4">
      <w:r>
        <w:t xml:space="preserve">Cela parce que l'ajout d'un filtre de sortie à une station spatiale conduirait à des coûts de construction supplémentaires et à des retards résultants de la conception, de la construction et des essais du filtre. De plus, les filtres causent un affaiblissement d'insertion après l'amplificateur de forte puissance, ce qui implique le choix d'un plus gros amplificateur de puissance pour conserver </w:t>
      </w:r>
      <w:r>
        <w:br w:type="page"/>
        <w:t>les mêmes capacités du réseau. Un plus gros amplificateur de puissance a un impact sur le poids et sur les besoins de puissance du lanceur de la station spatiale, ce qui a un impact sur le coût de la station spatiale. De plus, l'insertion d'un filtre augmente le temps de propagation de phase, ce qui a pour résultat un besoin d'égalisation au terminal et augmente le coût du terminal.</w:t>
      </w:r>
    </w:p>
    <w:p w:rsidR="002B489A" w:rsidRDefault="004F19C4">
      <w:r>
        <w:t xml:space="preserve">On peut aussi en pareil cas réaliser la compatibilité par des moyens moins onéreux que la conformité complète au </w:t>
      </w:r>
      <w:r>
        <w:rPr>
          <w:bCs/>
        </w:rPr>
        <w:t>numéro 1.153 du RR</w:t>
      </w:r>
      <w:r>
        <w:t xml:space="preserve">. Par exemple, contrôler que le pourcentage de la puissance hors bande totale reste en dessous de 4% semble suffisant pour satisfaire aux critères de brouillage du SETS dans les hypothèses les plus défavorables, dans les calculs présentés ci-dessus. Employer dans le service SFS des rayonnements dont le spectre hors bande déclinerait plus vite que selon le gabarit de la Recommandation UIT-R </w:t>
      </w:r>
      <w:r>
        <w:rPr>
          <w:bCs/>
        </w:rPr>
        <w:t xml:space="preserve">SM.1541 </w:t>
      </w:r>
      <w:r>
        <w:t>produirait un plus petit décalage de fréquence en pourcentage de la largeur de bande nécessaire qu'il ne faut pour satisfaire aux critères du service passif. A noter que les valeurs de bande de garde calculées dans le Tableau 20 se fondent sur les largeurs de bande de porteuse spécifiées pour les systèmes spécifiques considérés et que de plus faibles largeurs de bande de porteuse peuvent exiger de plus petites bandes de garde pour réaliser le critère de protection du SETS. Des études complémentaires sont nécessaires pour établir si les systèmes SFS peuvent raisonnablement employer les méthodes de réduction des brouillages mentionnées ci-dessus.</w:t>
      </w:r>
    </w:p>
    <w:p w:rsidR="002B489A" w:rsidRDefault="004F19C4">
      <w:pPr>
        <w:pStyle w:val="Heading1"/>
        <w:spacing w:before="400"/>
      </w:pPr>
      <w:r>
        <w:t>6</w:t>
      </w:r>
      <w:r>
        <w:tab/>
        <w:t>Résultats des études</w:t>
      </w:r>
    </w:p>
    <w:p w:rsidR="002B489A" w:rsidRDefault="004F19C4">
      <w:pPr>
        <w:pStyle w:val="Heading2"/>
      </w:pPr>
      <w:r>
        <w:t>6.1</w:t>
      </w:r>
      <w:r>
        <w:tab/>
        <w:t>Résumé</w:t>
      </w:r>
    </w:p>
    <w:p w:rsidR="002B489A" w:rsidRDefault="004F19C4">
      <w:r>
        <w:t>La présente étude vise à une analyse de compatibilité entre le service SETS (passive) dans la bande 10,6-10,7 GHz et le SFS (espace vers Terre) dans la bande 10,7</w:t>
      </w:r>
      <w:r>
        <w:noBreakHyphen/>
        <w:t>10,95 GHz.</w:t>
      </w:r>
    </w:p>
    <w:p w:rsidR="002B489A" w:rsidRDefault="004F19C4">
      <w:r>
        <w:t>Deux radiomètres hyperfréquences différents du service SETS (passive) ont été pris en compte et trois différents types de réseaux à satellite du SFS ont été examinés dans la présente étude, c'est-à-dire des réseaux à satellite OSG et non OSG (y compris HEO/elliptique). Les calculs ont été effectués en utilisant les niveaux de p.i.r.e./porteuse spécifiés pour les systèmes proposés ainsi que pour le cas le plus défavorable de niveau p.i.r.e./porteuse qui produisent le niveau maximum de puissance surfacique à la surface de la Terre permis par l'</w:t>
      </w:r>
      <w:r>
        <w:rPr>
          <w:bCs/>
        </w:rPr>
        <w:t>Article 21</w:t>
      </w:r>
      <w:r>
        <w:t xml:space="preserve"> du RR.</w:t>
      </w:r>
    </w:p>
    <w:p w:rsidR="002B489A" w:rsidRDefault="004F19C4">
      <w:r>
        <w:t>Des techniques de réduction des brouillages produisant une réduction des rayonnements non désirés jusqu'à 14 dB pour les systèmes non OSG et 4 dB pour les systèmes OSG seraient nécessaires pour certains systèmes SFS fonctionnant aux niveaux maximaux de densité de p.i.r.e. conformes aux limites de puissance surfacique de l'</w:t>
      </w:r>
      <w:r>
        <w:rPr>
          <w:bCs/>
        </w:rPr>
        <w:t xml:space="preserve">Article 21 du RR </w:t>
      </w:r>
      <w:r>
        <w:t xml:space="preserve">afin de satisfaire au critère de protection SETS pendant 100% du temps. Cette réduction pourrait peut-être être réalisée conformément au </w:t>
      </w:r>
      <w:r>
        <w:rPr>
          <w:bCs/>
        </w:rPr>
        <w:t>numéro 1.153</w:t>
      </w:r>
      <w:r>
        <w:t xml:space="preserve"> du RR (en supposant que la largeur de bande occupée totale soit comprise dans la bande attribuée au SFS et qu'il n'y ait pas plus de 0,5% de la puissance qui tombe au-dessus ou au-dessous de la bande attribuée), ou par une combinaison de la commande de la puissance hors bande totale de l'émission SFS qui tombe dans la bande attribuée au SETS (passive), et/ou de l'emploi des décalages de fréquence au sein de la bande attribuée au SFS. Il reste à étudier si tous les systèmes SFS peuvent satisfaire à cette contrainte. Pour les cas particuliers considérés dans la présente analyse, des décalages de fréquence allant jusqu'à 63% de la largeur de bande nécessaire ont été calculés sur la base du gabarit des émissions hors bande de la Recommandation UIT-R </w:t>
      </w:r>
      <w:r>
        <w:rPr>
          <w:bCs/>
        </w:rPr>
        <w:t>SM.1541</w:t>
      </w:r>
      <w:r>
        <w:t>.</w:t>
      </w:r>
    </w:p>
    <w:p w:rsidR="002B489A" w:rsidRDefault="004F19C4">
      <w:pPr>
        <w:spacing w:before="60"/>
      </w:pPr>
      <w:r>
        <w:t>Comme indiqué au § 2.2, il n'a pas été possible d'entreprendre une analyse du brouillage traitant des systèmes SFS qui utiliseraient en Région 1 l'attribution de liaison descendante de 10,7</w:t>
      </w:r>
      <w:r>
        <w:noBreakHyphen/>
        <w:t xml:space="preserve">11,7 GHz en application du </w:t>
      </w:r>
      <w:r>
        <w:rPr>
          <w:bCs/>
        </w:rPr>
        <w:t>numéro 5.484</w:t>
      </w:r>
      <w:r>
        <w:t xml:space="preserve"> du RR (limitée aux liaisons de connexion du service de radiodiffusion), parce qu'il n'existe actuellement pas d'informations disponibles sur de tels systèmes. </w:t>
      </w:r>
      <w:r>
        <w:br w:type="page"/>
        <w:t>Si de tels systèmes devaient être déployés, ce serait un souci majeur pour les détecteurs SETS (passive) dans la mesure où ces liaisons sont prévues dans le sens Terre vers espace. Il pourrait s'écouler un laps de temps significatif pendant lequel le signal envoyé par de telles stations terriennes SFS serait dans le faisceau principal ou le premier lobe latéral de l'antenne SETS.</w:t>
      </w:r>
    </w:p>
    <w:p w:rsidR="002B489A" w:rsidRDefault="004F19C4">
      <w:pPr>
        <w:pStyle w:val="Heading2"/>
      </w:pPr>
      <w:r>
        <w:t>6.2</w:t>
      </w:r>
      <w:r>
        <w:tab/>
        <w:t>Conclusions</w:t>
      </w:r>
    </w:p>
    <w:p w:rsidR="002B489A" w:rsidRDefault="004F19C4">
      <w:r>
        <w:t>Les critères de brouillage du service SETS sont satisfaits pour les cas de systèmes OSG ou non OSG fonctionnant aux niveaux proposés de p.i.r.e./porteuse. Une réduction supplémentaire de 14 dB de la puissance des rayonnements non désirés peut être demandée par certains systèmes SFS fonctionnant aux niveaux maximaux de densité de p.i.r.e. qui soient conformes aux limites de puissance surfacique de l'</w:t>
      </w:r>
      <w:r>
        <w:rPr>
          <w:bCs/>
        </w:rPr>
        <w:t>Article 21 du RR</w:t>
      </w:r>
      <w:r>
        <w:t>. Dans tous ces cas, le fait d'avoir la largeur de bande occupée contenue entièrement à l'intérieur de la bande attribuée au service SFS conduirait à la compatibilité entre les deux services. Dans le cas spécial des satellites HEO, dans la mesure où ils émettent principalement dans la position d'apogée et ne fonctionnent pas dans la position du périgée, il est peu vraisemblable que survienne cet événement de brouillage. L'application des critères d'indisponibilité de la Recommandation UIT-R SA.1029 pourrait modifier cette diffusion.</w:t>
      </w:r>
    </w:p>
    <w:p w:rsidR="002B489A" w:rsidRDefault="002B489A"/>
    <w:p w:rsidR="002B489A" w:rsidRDefault="002B489A"/>
    <w:p w:rsidR="002B489A" w:rsidRDefault="004F19C4">
      <w:pPr>
        <w:pStyle w:val="AnnexNoTitle"/>
      </w:pPr>
      <w:r>
        <w:t>Annexe 10</w:t>
      </w:r>
      <w:r>
        <w:br/>
      </w:r>
      <w:r>
        <w:br/>
        <w:t>Analyse de compatibilité entre systèmes du SRA fonctionnant dans</w:t>
      </w:r>
      <w:r>
        <w:br/>
        <w:t>la bande 10,6</w:t>
      </w:r>
      <w:r>
        <w:noBreakHyphen/>
        <w:t>10,7 GHz et systèmes du SFS (espace vers Terre)</w:t>
      </w:r>
      <w:r>
        <w:br/>
        <w:t>fonctionnant dans la bande 10,7</w:t>
      </w:r>
      <w:r>
        <w:noBreakHyphen/>
        <w:t>10,95 GHz</w:t>
      </w:r>
    </w:p>
    <w:p w:rsidR="002B489A" w:rsidRDefault="004F19C4">
      <w:pPr>
        <w:pStyle w:val="Heading1"/>
      </w:pPr>
      <w:r>
        <w:t>1</w:t>
      </w:r>
      <w:r>
        <w:tab/>
        <w:t>SRA</w:t>
      </w:r>
    </w:p>
    <w:p w:rsidR="002B489A" w:rsidRDefault="004F19C4">
      <w:pPr>
        <w:pStyle w:val="Heading2"/>
      </w:pPr>
      <w:r>
        <w:t>1.1</w:t>
      </w:r>
      <w:r>
        <w:tab/>
        <w:t>Bande attribuée</w:t>
      </w:r>
    </w:p>
    <w:p w:rsidR="002B489A" w:rsidRDefault="004F19C4">
      <w:r>
        <w:t>La bande 10,6</w:t>
      </w:r>
      <w:r>
        <w:noBreakHyphen/>
        <w:t>10,7 GHz est attribuée à titre primaire aux SRA, SETS (passive) et service de recherche spatiale (passive); la sous-bande 10,68</w:t>
      </w:r>
      <w:r>
        <w:noBreakHyphen/>
        <w:t>10,7 GHz est attribuée en exclusivité à ces services, dans le monde entier.</w:t>
      </w:r>
    </w:p>
    <w:p w:rsidR="002B489A" w:rsidRDefault="004F19C4">
      <w:r>
        <w:t xml:space="preserve">Les renvois suivants concernent ces bandes: </w:t>
      </w:r>
      <w:r>
        <w:rPr>
          <w:bCs/>
        </w:rPr>
        <w:t>numéro 5.149</w:t>
      </w:r>
      <w:r>
        <w:t xml:space="preserve"> du RR pour la bande 10,6</w:t>
      </w:r>
      <w:r>
        <w:noBreakHyphen/>
        <w:t xml:space="preserve">10,68 GHz et </w:t>
      </w:r>
      <w:r>
        <w:rPr>
          <w:bCs/>
        </w:rPr>
        <w:t xml:space="preserve">numéro 5.340 </w:t>
      </w:r>
      <w:r>
        <w:t>du RR pour la bande 10,68</w:t>
      </w:r>
      <w:r>
        <w:noBreakHyphen/>
        <w:t>10,7 GHz.</w:t>
      </w:r>
    </w:p>
    <w:p w:rsidR="002B489A" w:rsidRDefault="004F19C4">
      <w:pPr>
        <w:pStyle w:val="Heading2"/>
      </w:pPr>
      <w:r>
        <w:t>1.2</w:t>
      </w:r>
      <w:r>
        <w:tab/>
        <w:t>Type d'observations</w:t>
      </w:r>
    </w:p>
    <w:p w:rsidR="002B489A" w:rsidRDefault="004F19C4">
      <w:pPr>
        <w:pStyle w:val="Heading3"/>
      </w:pPr>
      <w:r>
        <w:t>1.2.1</w:t>
      </w:r>
      <w:r>
        <w:tab/>
        <w:t>Observations à antenne unique</w:t>
      </w:r>
    </w:p>
    <w:p w:rsidR="002B489A" w:rsidRDefault="004F19C4">
      <w:r>
        <w:t xml:space="preserve">L'utilisation astronomique de la bande inclut l'observation de sources synchrotron non thermiques qui ne sont détectables qu'à cette gamme de fréquences. Ces observations donnent des informations aux plus hautes fréquences auxquelles de telles sources peuvent être facilement détectées, et cela permet de déterminer certains paramètres physiques de ces sources. La bande 10,6 GHz est aussi extrêmement importante pour la surveillance de la variabilité de l'intensité des radiogalaxies, y compris les quasars. Ces objets, dont on pense qu'ils sont les objets célestes les plus éloignés que </w:t>
      </w:r>
      <w:r>
        <w:br w:type="page"/>
        <w:t>puissent détecter les astronomes, se sont révélés varier en intensité selon des périodes allant de l'heure à l'année, et produire des quantités d'énergie étonnamment grandes. L'énergie émise durant une de ces explosions de quasar est équivalente à la destruction complète de plusieurs centaines de millions d'étoiles sur une période de quelques semaines ou mois. La physique fondamentale qui peut produire de tels phénomènes n'est pas encore complètement comprise et les observations de la taille et de la variabilité de ces sources sont cruciales pour la résolution de ces énigmes. Pour faire de telles observations, la meilleure gamme de fréquences est 10</w:t>
      </w:r>
      <w:r>
        <w:noBreakHyphen/>
        <w:t>15 GHz.</w:t>
      </w:r>
    </w:p>
    <w:p w:rsidR="002B489A" w:rsidRDefault="004F19C4">
      <w:r>
        <w:t>La variabilité des quasars est prononcée à ces fréquences, et leur observation facilite la découverte et la surveillance de tels phénomènes, dont la physique est jusqu'à présent si mal comprise des astronomes. Les observations nous conduisent à estimer les tailles de ces sources, qui se révèlent très petites par rapport à la quantité d'énergie qu'elles dégagent. La bande des 10,6 GHz donne une des meilleures résolutions angulaires (~2 min d'arc) pour de nombreux grands radiotélescopes à antenne unique.</w:t>
      </w:r>
    </w:p>
    <w:p w:rsidR="002B489A" w:rsidRDefault="004F19C4">
      <w:pPr>
        <w:pStyle w:val="Heading3"/>
      </w:pPr>
      <w:r>
        <w:t>1.2.2</w:t>
      </w:r>
      <w:r>
        <w:tab/>
        <w:t>Observations VLBI</w:t>
      </w:r>
    </w:p>
    <w:p w:rsidR="002B489A" w:rsidRDefault="004F19C4">
      <w:r>
        <w:t>Les tailles extrêmement petites des quasars (de l'ordre de la milliseconde d'arc) sont révélées par les observations VLBI. De telles observations sont aussi effectuées dans la bande de fréquences 10,6</w:t>
      </w:r>
      <w:r>
        <w:noBreakHyphen/>
        <w:t>10,7 GHz, bien qu'à présent la bande des 8,4 GHz soit la plus fréquemment utilisée. La gamme 8</w:t>
      </w:r>
      <w:r>
        <w:noBreakHyphen/>
        <w:t>10 GHz donne une meilleure résolution angulaire que les observations faites à de plus basses fréquences et permet aux scientifiques de déterminer plus précisément les tailles et les structures à petite échelle des radiogalaxies.</w:t>
      </w:r>
    </w:p>
    <w:p w:rsidR="002B489A" w:rsidRDefault="004F19C4">
      <w:pPr>
        <w:pStyle w:val="Heading2"/>
      </w:pPr>
      <w:r>
        <w:t>1.3</w:t>
      </w:r>
      <w:r>
        <w:tab/>
        <w:t>Critères de protection requis</w:t>
      </w:r>
    </w:p>
    <w:p w:rsidR="002B489A" w:rsidRDefault="004F19C4">
      <w:pPr>
        <w:rPr>
          <w:snapToGrid w:val="0"/>
        </w:rPr>
      </w:pPr>
      <w:r>
        <w:t>La Recommandation UIT-R</w:t>
      </w:r>
      <w:r>
        <w:rPr>
          <w:b/>
        </w:rPr>
        <w:t xml:space="preserve"> </w:t>
      </w:r>
      <w:r>
        <w:rPr>
          <w:bCs/>
        </w:rPr>
        <w:t xml:space="preserve">RA.769 </w:t>
      </w:r>
      <w:r>
        <w:t>spécifie les critères de protection pour les observations de radioastronomie et donne les niveaux de seuil de brouillage nuisible pour les bandes attribuées à titre primaire à la radioastronomie. Dans la bande 10,6</w:t>
      </w:r>
      <w:r>
        <w:noBreakHyphen/>
        <w:t xml:space="preserve">10,7 GHz, pour les observations du continuum à antenne unique utilisant la totalité de la largeur de bande de 100 MHz, la limite du seuil de puissance surfacique est de –160 </w:t>
      </w:r>
      <w:r>
        <w:rPr>
          <w:snapToGrid w:val="0"/>
        </w:rPr>
        <w:t>dB(W/m</w:t>
      </w:r>
      <w:r>
        <w:rPr>
          <w:vertAlign w:val="superscript"/>
        </w:rPr>
        <w:t>2</w:t>
      </w:r>
      <w:r>
        <w:rPr>
          <w:rFonts w:ascii="Times" w:hAnsi="Times"/>
          <w:spacing w:val="-2"/>
        </w:rPr>
        <w:t>).</w:t>
      </w:r>
      <w:r>
        <w:rPr>
          <w:snapToGrid w:val="0"/>
        </w:rPr>
        <w:t xml:space="preserve"> Cette</w:t>
      </w:r>
      <w:r>
        <w:t xml:space="preserve"> bande n'est utilisée que pour les observations du continuum et pas pour l'observation de raies radioélectriques.</w:t>
      </w:r>
    </w:p>
    <w:p w:rsidR="002B489A" w:rsidRDefault="004F19C4">
      <w:r>
        <w:t xml:space="preserve">Les observations VLBI, où des signaux d'antennes largement séparées sont enregistrés et corrélés après les observations, sont beaucoup moins vulnérables au brouillage. Ceci est reflété dans le niveau de seuil de puissance surfacique pour les observations VLBI dans cette bande, </w:t>
      </w:r>
      <w:r>
        <w:rPr>
          <w:rFonts w:ascii="Symbol" w:hAnsi="Symbol"/>
        </w:rPr>
        <w:noBreakHyphen/>
      </w:r>
      <w:r>
        <w:t>145 </w:t>
      </w:r>
      <w:r>
        <w:rPr>
          <w:snapToGrid w:val="0"/>
        </w:rPr>
        <w:t>dB(W/m</w:t>
      </w:r>
      <w:r>
        <w:rPr>
          <w:rFonts w:ascii="Times" w:hAnsi="Times"/>
          <w:spacing w:val="-2"/>
          <w:vertAlign w:val="superscript"/>
        </w:rPr>
        <w:t>2</w:t>
      </w:r>
      <w:r>
        <w:rPr>
          <w:rFonts w:ascii="Times" w:hAnsi="Times"/>
          <w:spacing w:val="-2"/>
        </w:rPr>
        <w:t>), pour une largeur de bande de 50 kHz.</w:t>
      </w:r>
    </w:p>
    <w:p w:rsidR="002B489A" w:rsidRDefault="004F19C4">
      <w:r>
        <w:t xml:space="preserve">Pour les brouillages gênants provenant de systèmes non OSG, les critères de protection et les méthodes pertinentes sont décrits dans les Recommandations UIT-R </w:t>
      </w:r>
      <w:r>
        <w:rPr>
          <w:bCs/>
        </w:rPr>
        <w:t>RA.769</w:t>
      </w:r>
      <w:r>
        <w:t xml:space="preserve"> et UIT-R </w:t>
      </w:r>
      <w:r>
        <w:rPr>
          <w:bCs/>
        </w:rPr>
        <w:t>RA.1513</w:t>
      </w:r>
      <w:r>
        <w:t xml:space="preserve">, ainsi que dans la Recommandation UIT-R </w:t>
      </w:r>
      <w:r>
        <w:rPr>
          <w:bCs/>
        </w:rPr>
        <w:t xml:space="preserve">S.1586 </w:t>
      </w:r>
      <w:r>
        <w:t xml:space="preserve">pour les systèmes SFS et dans la Recommandation UIT-R </w:t>
      </w:r>
      <w:r>
        <w:rPr>
          <w:bCs/>
        </w:rPr>
        <w:t>M.1583</w:t>
      </w:r>
      <w:r>
        <w:t xml:space="preserve"> pour les systèmes SMS et SRNS.</w:t>
      </w:r>
    </w:p>
    <w:p w:rsidR="002B489A" w:rsidRDefault="004F19C4">
      <w:r>
        <w:t xml:space="preserve">Les seuils des niveaux de brouillage nuisible pour le SRA, tels que définis et calculés dans la Recommandation UIT-R </w:t>
      </w:r>
      <w:r>
        <w:rPr>
          <w:bCs/>
        </w:rPr>
        <w:t>RA.769</w:t>
      </w:r>
      <w:r>
        <w:rPr>
          <w:b/>
        </w:rPr>
        <w:t>,</w:t>
      </w:r>
      <w:r>
        <w:t xml:space="preserve"> sont des critères de protection au-dessus desquels les données de radioastronomie sont dégradées et peuvent même finalement être détruites. En principe, dans des circonstances idéales, si ces niveaux sont très légèrement dépassés, l'observatoire de radio</w:t>
      </w:r>
      <w:r>
        <w:softHyphen/>
        <w:t>astronomie peut compenser en accroissant le temps d'observation. Ce faisant, la capacité de canal du télescope est réduite, avec une réduction correspondante du débit des données scientifiques. Si le niveau de brouillage, avec les hypothèses de la Recommandation UIT-R </w:t>
      </w:r>
      <w:r>
        <w:rPr>
          <w:bCs/>
        </w:rPr>
        <w:t>RA.769</w:t>
      </w:r>
      <w:r>
        <w:t xml:space="preserve"> (par exemple, les performances d'antenne, etc.), passe à 10 dB ou plus au-dessus de la définition de la Recomman</w:t>
      </w:r>
      <w:r>
        <w:softHyphen/>
        <w:t xml:space="preserve">dation UIT-R </w:t>
      </w:r>
      <w:r>
        <w:rPr>
          <w:bCs/>
        </w:rPr>
        <w:t>RA.769</w:t>
      </w:r>
      <w:r>
        <w:t xml:space="preserve">, l'augmentation du temps d'observation ne permettra alors plus de garantir </w:t>
      </w:r>
      <w:r>
        <w:br w:type="page"/>
        <w:t>que des données scientifiques valables sont fournies aux scientifiques. La station de radioastro</w:t>
      </w:r>
      <w:r>
        <w:softHyphen/>
        <w:t>nomie sera incapable de fonctionner dans la bande de fréquences affectée, et sa capacité à fournir le service aura été perdue si des techniques de réduction des brouillages ne peuvent être appliquées.</w:t>
      </w:r>
    </w:p>
    <w:p w:rsidR="002B489A" w:rsidRDefault="004F19C4">
      <w:pPr>
        <w:pStyle w:val="Heading2"/>
        <w:rPr>
          <w:snapToGrid w:val="0"/>
        </w:rPr>
      </w:pPr>
      <w:r>
        <w:rPr>
          <w:snapToGrid w:val="0"/>
        </w:rPr>
        <w:t>1.4</w:t>
      </w:r>
      <w:r>
        <w:rPr>
          <w:snapToGrid w:val="0"/>
        </w:rPr>
        <w:tab/>
      </w:r>
      <w:r>
        <w:t>Caractéristiques de fonctionnement</w:t>
      </w:r>
    </w:p>
    <w:p w:rsidR="002B489A" w:rsidRDefault="004F19C4">
      <w:pPr>
        <w:rPr>
          <w:snapToGrid w:val="0"/>
        </w:rPr>
      </w:pPr>
      <w:r>
        <w:rPr>
          <w:snapToGrid w:val="0"/>
        </w:rPr>
        <w:t>Les observations dans la bande 10,6</w:t>
      </w:r>
      <w:r>
        <w:rPr>
          <w:snapToGrid w:val="0"/>
        </w:rPr>
        <w:noBreakHyphen/>
        <w:t>10,7 GHz sont effectuées dans un certain nombre de sites de radioastronomie dans le monde entier; elles sont faites à l'aide de radiotélescopes à antenne unique et en réseau.</w:t>
      </w:r>
    </w:p>
    <w:p w:rsidR="002B489A" w:rsidRDefault="004F19C4">
      <w:r>
        <w:t>En général, les observations sont faites de façon différentielle. Dans le cas d'émissions du continuum, la zone du ciel contenant la source peut être cartographiée et les émissions d'arrière-plan soustraites, ou alors on fait des mesures de la puissance venant de la direction de la source (de source) et à une ou plusieurs positions proches dans le ciel (hors source). En soustrayant les valeurs hors source des valeurs de source, les émissions provenant de la source sont séparées des autres contributions à la sortie du récepteur.</w:t>
      </w:r>
    </w:p>
    <w:p w:rsidR="002B489A" w:rsidRDefault="004F19C4">
      <w:r>
        <w:t>On peut effectuer la cartographie de larges zones de radioémission en enregistrant les émissions d'une grille de points couvrant la région intéressée. Dans le cas de radiotélescopes à antenne unique, chaque observation d'un point de la grille est une indication de la puissance totale provenant de cette position dans le ciel; l'espacement entre les points de la grille ne devrait pas être supérieur à l'ouverture à mi-puissance du faisceau de l'antenne. Lorsque des observations sont effectuées à l'aide d'un radiotélescope de synthèse, si la zone à cartographier dépasse le champ de cartographie instantanée, les points du quadrillage ne devraient pas être séparés de plus de la moitié de l'ouverture de faisceau de l'une des antennes du radiotélescope.</w:t>
      </w:r>
    </w:p>
    <w:p w:rsidR="002B489A" w:rsidRDefault="004F19C4">
      <w:r>
        <w:t>Les observations VLBI se font par conversion des signaux en bande de base; on les numérise sans démodulation, et on les enregistre sur une bande magnétique ou un autre support avec des signaux de synchronisation temporelle précis. Les données sont alors transmises à un centre de traitement des données VLBI où les signaux sont synchronisés et corrélés. Par conséquent, le plein effet des brouillages peut n'être pas découvert avant la fin de la période d'observation et le traitement des données.</w:t>
      </w:r>
    </w:p>
    <w:p w:rsidR="002B489A" w:rsidRDefault="004F19C4">
      <w:pPr>
        <w:pStyle w:val="Heading1"/>
      </w:pPr>
      <w:r>
        <w:t>2</w:t>
      </w:r>
      <w:r>
        <w:tab/>
        <w:t>SFS</w:t>
      </w:r>
    </w:p>
    <w:p w:rsidR="002B489A" w:rsidRDefault="004F19C4">
      <w:pPr>
        <w:pStyle w:val="Heading2"/>
      </w:pPr>
      <w:r>
        <w:t>2.1</w:t>
      </w:r>
      <w:r>
        <w:tab/>
        <w:t xml:space="preserve">Bande d'émission attribuée </w:t>
      </w:r>
    </w:p>
    <w:p w:rsidR="002B489A" w:rsidRDefault="004F19C4">
      <w:r>
        <w:t>La bande de service active considérée est 10,7</w:t>
      </w:r>
      <w:r>
        <w:noBreakHyphen/>
        <w:t>10,95 GHz.</w:t>
      </w:r>
    </w:p>
    <w:p w:rsidR="002B489A" w:rsidRDefault="004F19C4">
      <w:pPr>
        <w:pStyle w:val="Heading2"/>
      </w:pPr>
      <w:r>
        <w:t>2.2</w:t>
      </w:r>
      <w:r>
        <w:tab/>
        <w:t>Application</w:t>
      </w:r>
    </w:p>
    <w:p w:rsidR="002B489A" w:rsidRDefault="004F19C4">
      <w:r>
        <w:t>La bande 10,7</w:t>
      </w:r>
      <w:r>
        <w:noBreakHyphen/>
        <w:t xml:space="preserve">10,95 GHz est attribuée à titre primaire au SFS. Cette attribution est régie par l'Appendice </w:t>
      </w:r>
      <w:r>
        <w:rPr>
          <w:bCs/>
        </w:rPr>
        <w:t xml:space="preserve">30B </w:t>
      </w:r>
      <w:r>
        <w:t xml:space="preserve">du RR, qui utilise un plan d'allotissement et de garantie de capacités pour tous les Etats Membres. Etant donné que la politique générale est celle du premier arrivé, premier servi, dans les bandes non planifiées, la création du Plan de l'Appendice </w:t>
      </w:r>
      <w:r>
        <w:rPr>
          <w:bCs/>
        </w:rPr>
        <w:t>30B</w:t>
      </w:r>
      <w:r>
        <w:t xml:space="preserve"> du RR a permis aux pays en développement de préserver leur accès à l'arc OSG pour l'avenir. Toute imposition de contraintes comme des bandes de garde ou de filtrages sur le service SFS aurait un impact sur le Plan d'allotissement de l'Appendice </w:t>
      </w:r>
      <w:r>
        <w:rPr>
          <w:bCs/>
        </w:rPr>
        <w:t>30B du RR</w:t>
      </w:r>
      <w:r>
        <w:t>.</w:t>
      </w:r>
    </w:p>
    <w:p w:rsidR="002B489A" w:rsidRDefault="004F19C4">
      <w:pPr>
        <w:pStyle w:val="Heading2"/>
      </w:pPr>
      <w:r>
        <w:br w:type="page"/>
        <w:t>2.3</w:t>
      </w:r>
      <w:r>
        <w:tab/>
        <w:t>Niveaux fondés sur des dispositions réglementaires</w:t>
      </w:r>
    </w:p>
    <w:p w:rsidR="002B489A" w:rsidRDefault="004F19C4">
      <w:r>
        <w:t>Les niveaux de rayonnements non désirés dans la bande 10,6</w:t>
      </w:r>
      <w:r>
        <w:noBreakHyphen/>
        <w:t xml:space="preserve">10,7 GHz provenant du service SFS sont fondés sur les limites réglementaires de puissance surfacique dans la bande. La conversion de la puissance dans la bande à la puissance hors bande est faite en utilisant les niveaux de rayonnements non essentiels de l'Appendice </w:t>
      </w:r>
      <w:r>
        <w:rPr>
          <w:bCs/>
        </w:rPr>
        <w:t>3</w:t>
      </w:r>
      <w:r>
        <w:t xml:space="preserve"> du RR et les niveaux d'émission hors bande de la Recommandation UIT-R </w:t>
      </w:r>
      <w:r>
        <w:rPr>
          <w:bCs/>
        </w:rPr>
        <w:t>SM.1541</w:t>
      </w:r>
      <w:r>
        <w:t>. Le niveau de –154 dB(W/(m</w:t>
      </w:r>
      <w:r>
        <w:rPr>
          <w:vertAlign w:val="superscript"/>
        </w:rPr>
        <w:t>2</w:t>
      </w:r>
      <w:r>
        <w:t> </w:t>
      </w:r>
      <w:r>
        <w:rPr>
          <w:rFonts w:ascii="Symbol" w:hAnsi="Symbol"/>
        </w:rPr>
        <w:t></w:t>
      </w:r>
      <w:r>
        <w:t> 4 kHz)) est le niveau des rayon</w:t>
      </w:r>
      <w:r>
        <w:softHyphen/>
        <w:t>nements non désirés qui seraient reçus dans la bande de 10,6 à 10,7 GHz sur la base des niveaux réglementaires. Un niveau de –166 dB(W/(m</w:t>
      </w:r>
      <w:r>
        <w:rPr>
          <w:vertAlign w:val="superscript"/>
        </w:rPr>
        <w:t>2</w:t>
      </w:r>
      <w:r>
        <w:t> </w:t>
      </w:r>
      <w:r>
        <w:rPr>
          <w:rFonts w:ascii="Symbol" w:hAnsi="Symbol"/>
        </w:rPr>
        <w:t></w:t>
      </w:r>
      <w:r>
        <w:t> 4 kHz)) a été fourni, fondé sur l'expérience pratique.</w:t>
      </w:r>
    </w:p>
    <w:p w:rsidR="002B489A" w:rsidRDefault="004F19C4">
      <w:pPr>
        <w:pStyle w:val="Heading2"/>
      </w:pPr>
      <w:r>
        <w:t>2.4</w:t>
      </w:r>
      <w:r>
        <w:tab/>
        <w:t>Caractéristiques de l'émetteur</w:t>
      </w:r>
    </w:p>
    <w:p w:rsidR="002B489A" w:rsidRDefault="004F19C4">
      <w:r>
        <w:t xml:space="preserve">Les systèmes OSG du SFS fonctionnant dans cette bande sont régis par l'Appendice </w:t>
      </w:r>
      <w:r>
        <w:rPr>
          <w:bCs/>
        </w:rPr>
        <w:t>30B</w:t>
      </w:r>
      <w:r>
        <w:t xml:space="preserve"> du RR. Les systèmes non OSG du SFS fonctionnant dans cette bande sont régis par l'Article </w:t>
      </w:r>
      <w:r>
        <w:rPr>
          <w:bCs/>
        </w:rPr>
        <w:t>22</w:t>
      </w:r>
      <w:r>
        <w:t xml:space="preserve"> du RR.</w:t>
      </w:r>
    </w:p>
    <w:p w:rsidR="002B489A" w:rsidRDefault="004F19C4">
      <w:pPr>
        <w:pStyle w:val="Heading2"/>
      </w:pPr>
      <w:r>
        <w:t>2.5</w:t>
      </w:r>
      <w:r>
        <w:tab/>
        <w:t>Caractéristiques de fonctionnement</w:t>
      </w:r>
    </w:p>
    <w:p w:rsidR="002B489A" w:rsidRDefault="004F19C4">
      <w:pPr>
        <w:spacing w:line="270" w:lineRule="exact"/>
      </w:pPr>
      <w:r>
        <w:t xml:space="preserve">Afin d'effectuer le partage avec le service fixe de Terre, la limite de puissance surfacique dans la bande tirée du Tableau </w:t>
      </w:r>
      <w:r>
        <w:rPr>
          <w:bCs/>
        </w:rPr>
        <w:t xml:space="preserve">21-4 </w:t>
      </w:r>
      <w:r>
        <w:t xml:space="preserve">du RR pour le SFS donne une gamme de </w:t>
      </w:r>
      <w:r>
        <w:sym w:font="Symbol" w:char="F02D"/>
      </w:r>
      <w:r>
        <w:t xml:space="preserve">116 à </w:t>
      </w:r>
      <w:r>
        <w:rPr>
          <w:rFonts w:ascii="Symbol" w:hAnsi="Symbol"/>
        </w:rPr>
        <w:noBreakHyphen/>
      </w:r>
      <w:r>
        <w:t>126 </w:t>
      </w:r>
      <w:r>
        <w:rPr>
          <w:snapToGrid w:val="0"/>
        </w:rPr>
        <w:t>dB(W/(</w:t>
      </w:r>
      <w:r>
        <w:t>m</w:t>
      </w:r>
      <w:r>
        <w:rPr>
          <w:vertAlign w:val="superscript"/>
        </w:rPr>
        <w:t>2</w:t>
      </w:r>
      <w:r>
        <w:t> </w:t>
      </w:r>
      <w:r>
        <w:rPr>
          <w:rFonts w:ascii="Symbol" w:hAnsi="Symbol"/>
        </w:rPr>
        <w:t></w:t>
      </w:r>
      <w:r>
        <w:t xml:space="preserve"> MHz)) ce qui représente une gamme de </w:t>
      </w:r>
      <w:r>
        <w:sym w:font="Symbol" w:char="F02D"/>
      </w:r>
      <w:r>
        <w:t xml:space="preserve">176 à </w:t>
      </w:r>
      <w:r>
        <w:sym w:font="Symbol" w:char="F02D"/>
      </w:r>
      <w:r>
        <w:t>186 dB(W/(m</w:t>
      </w:r>
      <w:r>
        <w:rPr>
          <w:vertAlign w:val="superscript"/>
        </w:rPr>
        <w:t>2</w:t>
      </w:r>
      <w:r>
        <w:t> </w:t>
      </w:r>
      <w:r>
        <w:rPr>
          <w:rFonts w:ascii="Symbol" w:hAnsi="Symbol"/>
        </w:rPr>
        <w:t></w:t>
      </w:r>
      <w:r>
        <w:t> Hz)) entre 0° et 90°</w:t>
      </w:r>
      <w:r>
        <w:rPr>
          <w:vertAlign w:val="superscript"/>
        </w:rPr>
        <w:t xml:space="preserve"> </w:t>
      </w:r>
      <w:r>
        <w:t>au-dessus du plan horizontal.</w:t>
      </w:r>
    </w:p>
    <w:p w:rsidR="002B489A" w:rsidRDefault="004F19C4">
      <w:pPr>
        <w:pStyle w:val="Heading1"/>
      </w:pPr>
      <w:r>
        <w:t>3</w:t>
      </w:r>
      <w:r>
        <w:tab/>
        <w:t>Seuil de compatibilité</w:t>
      </w:r>
    </w:p>
    <w:p w:rsidR="002B489A" w:rsidRDefault="004F19C4">
      <w:r>
        <w:t>Voir le § 1.3.</w:t>
      </w:r>
    </w:p>
    <w:p w:rsidR="002B489A" w:rsidRDefault="004F19C4">
      <w:pPr>
        <w:pStyle w:val="Heading1"/>
      </w:pPr>
      <w:r>
        <w:t>4</w:t>
      </w:r>
      <w:r>
        <w:tab/>
        <w:t>Evaluation du brouillage</w:t>
      </w:r>
    </w:p>
    <w:p w:rsidR="002B489A" w:rsidRDefault="004F19C4">
      <w:pPr>
        <w:pStyle w:val="Heading2"/>
      </w:pPr>
      <w:r>
        <w:t>4.1</w:t>
      </w:r>
      <w:r>
        <w:tab/>
        <w:t>Méthode d'évaluation du niveau de brouillage</w:t>
      </w:r>
    </w:p>
    <w:p w:rsidR="002B489A" w:rsidRDefault="004F19C4">
      <w:r>
        <w:t>Sur la base de l'expérience acquise avec certains sites de radioastronomie et certains systèmes à satellites dans ces bandes, des informations ont été fournies par la communauté de la radioastronomie et des exploitants de satellites sur les niveaux de rayonnements non désirés qu'on peut escompter dans la bande 10,6</w:t>
      </w:r>
      <w:r>
        <w:noBreakHyphen/>
        <w:t>10,7 GHz.</w:t>
      </w:r>
    </w:p>
    <w:p w:rsidR="002B489A" w:rsidRDefault="004F19C4">
      <w:pPr>
        <w:pStyle w:val="Heading2"/>
      </w:pPr>
      <w:r>
        <w:t>4.2</w:t>
      </w:r>
      <w:r>
        <w:tab/>
        <w:t>Calcul du niveau de brouillage</w:t>
      </w:r>
    </w:p>
    <w:p w:rsidR="002B489A" w:rsidRDefault="004F19C4">
      <w:r>
        <w:t>Les calculs effectués sont fondés sur des informations fournies au § 4.3, comme indiqué au § 4.1.</w:t>
      </w:r>
    </w:p>
    <w:p w:rsidR="002B489A" w:rsidRDefault="004F19C4">
      <w:pPr>
        <w:pStyle w:val="Heading2"/>
      </w:pPr>
      <w:r>
        <w:t>4.3</w:t>
      </w:r>
      <w:r>
        <w:tab/>
        <w:t>Valeurs obtenues</w:t>
      </w:r>
    </w:p>
    <w:p w:rsidR="002B489A" w:rsidRDefault="004F19C4">
      <w:pPr>
        <w:pStyle w:val="Heading3"/>
      </w:pPr>
      <w:r>
        <w:t>4.3.1</w:t>
      </w:r>
      <w:r>
        <w:tab/>
        <w:t>Exemple européen pour les systèmes à satellites OSG</w:t>
      </w:r>
    </w:p>
    <w:p w:rsidR="002B489A" w:rsidRDefault="004F19C4">
      <w:r>
        <w:t>En Europe, le SRA subit dans la bande de fréquences 10,6</w:t>
      </w:r>
      <w:r>
        <w:noBreakHyphen/>
        <w:t>10,7 GHz des brouillages préjudiciables sévères par les émissions hors bande d'un système du SFS. Spécifiquement, ces brouillages préjudiciables ont effectivement rendu complètement impossibles les observations dans cette bande à l'observatoire radio de Effelsberg (Allemagne). Le problème a été signalé à l'Administration allemande, qui a confirmé les brouillages observés par des observations à sa station de surveillance des satellites de Leeheim et, forte de cette preuve, en a fait part à l'exploitant.</w:t>
      </w:r>
    </w:p>
    <w:p w:rsidR="002B489A" w:rsidRDefault="004F19C4">
      <w:r>
        <w:t>Par exemple, un cas réel de brouillages causés aux opérations du SRA est décrit ci</w:t>
      </w:r>
      <w:r>
        <w:noBreakHyphen/>
        <w:t>dessous, avec un satellite OSG du SFS particulier fonctionnant à une fréquence centrale nominale inférieure de 10,714 MHz avec une largeur de bande de répéteur de 26 MHz.</w:t>
      </w:r>
    </w:p>
    <w:p w:rsidR="002B489A" w:rsidRDefault="004F19C4">
      <w:r>
        <w:br w:type="page"/>
        <w:t xml:space="preserve">La Fig. 19 montre les résultats de la mesure du SRA à 10,6 GHz par le radiotélescope de 100 m d'Effelsberg, observant le point 3C84, une des plus fortes radiosources cosmiques ponctuelles. Cette mesure a été faite avant 1995. La taille du champ est 30' </w:t>
      </w:r>
      <w:r>
        <w:rPr>
          <w:rFonts w:ascii="Symbol" w:hAnsi="Symbol"/>
        </w:rPr>
        <w:t></w:t>
      </w:r>
      <w:r>
        <w:t xml:space="preserve"> 12', le flux provenant de la source est de 20,5 Jy (</w:t>
      </w:r>
      <w:r>
        <w:rPr>
          <w:rFonts w:ascii="Symbol" w:hAnsi="Symbol"/>
        </w:rPr>
        <w:t></w:t>
      </w:r>
      <w:r>
        <w:t xml:space="preserve"> –247 dB(W/(m</w:t>
      </w:r>
      <w:r>
        <w:rPr>
          <w:vertAlign w:val="superscript"/>
        </w:rPr>
        <w:t>2</w:t>
      </w:r>
      <w:r>
        <w:t> </w:t>
      </w:r>
      <w:r>
        <w:rPr>
          <w:rFonts w:ascii="Symbol" w:hAnsi="Symbol"/>
        </w:rPr>
        <w:t></w:t>
      </w:r>
      <w:r>
        <w:t> Hz</w:t>
      </w:r>
      <w:r>
        <w:rPr>
          <w:vertAlign w:val="superscript"/>
        </w:rPr>
        <w:t>–1</w:t>
      </w:r>
      <w:r>
        <w:t>))).</w:t>
      </w:r>
    </w:p>
    <w:p w:rsidR="002B489A" w:rsidRDefault="002B489A"/>
    <w:p w:rsidR="002B489A" w:rsidRDefault="0006728D">
      <w:pPr>
        <w:pStyle w:val="FigureNo"/>
      </w:pPr>
      <w:r>
        <w:rPr>
          <w:noProof/>
          <w:lang w:val="fr-CH" w:eastAsia="fr-CH"/>
        </w:rPr>
        <w:drawing>
          <wp:inline distT="0" distB="0" distL="0" distR="0">
            <wp:extent cx="5200650" cy="2914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00650" cy="2914650"/>
                    </a:xfrm>
                    <a:prstGeom prst="rect">
                      <a:avLst/>
                    </a:prstGeom>
                    <a:noFill/>
                    <a:ln>
                      <a:noFill/>
                    </a:ln>
                  </pic:spPr>
                </pic:pic>
              </a:graphicData>
            </a:graphic>
          </wp:inline>
        </w:drawing>
      </w:r>
    </w:p>
    <w:tbl>
      <w:tblPr>
        <w:tblW w:w="0" w:type="auto"/>
        <w:tblInd w:w="612" w:type="dxa"/>
        <w:tblBorders>
          <w:insideH w:val="single" w:sz="4" w:space="0" w:color="auto"/>
          <w:insideV w:val="single" w:sz="4" w:space="0" w:color="auto"/>
        </w:tblBorders>
        <w:tblLook w:val="0000" w:firstRow="0" w:lastRow="0" w:firstColumn="0" w:lastColumn="0" w:noHBand="0" w:noVBand="0"/>
      </w:tblPr>
      <w:tblGrid>
        <w:gridCol w:w="8581"/>
      </w:tblGrid>
      <w:tr w:rsidR="002B489A">
        <w:tc>
          <w:tcPr>
            <w:tcW w:w="8581" w:type="dxa"/>
          </w:tcPr>
          <w:p w:rsidR="002B489A" w:rsidRDefault="004F19C4">
            <w:pPr>
              <w:pStyle w:val="Note"/>
              <w:tabs>
                <w:tab w:val="left" w:pos="540"/>
                <w:tab w:val="left" w:pos="966"/>
                <w:tab w:val="right" w:pos="9000"/>
              </w:tabs>
              <w:spacing w:before="0"/>
              <w:ind w:left="539" w:hanging="539"/>
            </w:pPr>
            <w:r>
              <w:t>*</w:t>
            </w:r>
            <w:r>
              <w:tab/>
              <w:t>La source 3C84 a un diamètre angulaire beaucoup plus petit que l'ouverture de faisceau de l'antenne, et donc l'image ci-dessus montre le profil du faisceau de l'antenne, y compris les lobes latéraux. Dans la mesure où la carte a été faite pour mesurer la brillance de la source et non sa structure, cela ne pose pas de problème.</w:t>
            </w:r>
          </w:p>
        </w:tc>
      </w:tr>
    </w:tbl>
    <w:p w:rsidR="002B489A" w:rsidRDefault="002B489A"/>
    <w:p w:rsidR="002B489A" w:rsidRDefault="004F19C4">
      <w:r>
        <w:t>Puis, pendant l'année 1995, un satellite OSG du SFS a été mis en service sur une position orbitale donnée, alors que d'autres satellites y fonctionnaient déjà depuis un certain temps. Le satellite a une fréquence centrale inférieure d'émission de 10,714 GHz et une largeur de bande de répéteur de 26 MHz. La fluctuation de bruit résultante générée par les rayonnements non désirés du SFS à partir de cette position orbitale dans la bande adjacente du SRA à 10,6</w:t>
      </w:r>
      <w:r>
        <w:noBreakHyphen/>
        <w:t>10,7 GHz a été tellement forte qu'elle a complètement masqué tous les signaux astronomiques.</w:t>
      </w:r>
    </w:p>
    <w:p w:rsidR="002B489A" w:rsidRDefault="004F19C4">
      <w:r>
        <w:t xml:space="preserve">Ainsi, la Fig. 20 montre la carte qui en résulte dans le même champ de 30' </w:t>
      </w:r>
      <w:r>
        <w:rPr>
          <w:rFonts w:ascii="Symbol" w:hAnsi="Symbol"/>
        </w:rPr>
        <w:t></w:t>
      </w:r>
      <w:r>
        <w:t xml:space="preserve"> 12' du ciel que celui montré par la Fig. 19, mais après que le satellite a été mis en service en 1995, sa position orbitale étant espacée de 10° du champ cartographié dans le ciel. Par comparaison, l'image de 3C84 tirée de la Fig. 19 a été ajoutée sur la carte de la Fig. 20. Le très fort point source n'est plus visible par rapport au flux causé par les émissions du satellite.</w:t>
      </w:r>
    </w:p>
    <w:p w:rsidR="002B489A" w:rsidRDefault="004F19C4">
      <w:r>
        <w:t xml:space="preserve">Pour étudier ce cas de brouillage, la station de surveillance des satellites de l'Autorité réglementaire allemande, située à Leeheim, a mesuré un spectre des émissions du service SFS à partir de la position orbitale donnée du satellite (voir la Fig. 21), afin de déterminer le niveau des rayonnements non désirés dans la bande du SRA. Cependant, on devrait noter que la sensibilité et la portée dynamique de la station de contrôle ne sont pas suffisantes pour vérifier les brouillages aux niveaux donnés comme critères de protection pour le SRA dans la Recommandation UIT-R </w:t>
      </w:r>
      <w:r>
        <w:rPr>
          <w:bCs/>
        </w:rPr>
        <w:t>RA.769</w:t>
      </w:r>
      <w:r>
        <w:t>.</w:t>
      </w:r>
    </w:p>
    <w:p w:rsidR="002B489A" w:rsidRDefault="004F19C4">
      <w:pPr>
        <w:pStyle w:val="Note"/>
      </w:pPr>
      <w:r>
        <w:t>NOTE – Sur la Fig. 20, l'objet galactique n'est plus visible à cause du brouillage reçu.</w:t>
      </w:r>
    </w:p>
    <w:p w:rsidR="002B489A" w:rsidRDefault="004F19C4">
      <w:pPr>
        <w:pStyle w:val="FigureNo"/>
      </w:pPr>
      <w:r>
        <w:br w:type="page"/>
      </w:r>
      <w:r w:rsidR="0006728D">
        <w:rPr>
          <w:noProof/>
          <w:lang w:val="fr-CH" w:eastAsia="fr-CH"/>
        </w:rPr>
        <w:drawing>
          <wp:inline distT="0" distB="0" distL="0" distR="0">
            <wp:extent cx="5200650" cy="29432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00650" cy="2943225"/>
                    </a:xfrm>
                    <a:prstGeom prst="rect">
                      <a:avLst/>
                    </a:prstGeom>
                    <a:noFill/>
                    <a:ln>
                      <a:noFill/>
                    </a:ln>
                  </pic:spPr>
                </pic:pic>
              </a:graphicData>
            </a:graphic>
          </wp:inline>
        </w:drawing>
      </w:r>
    </w:p>
    <w:p w:rsidR="002B489A" w:rsidRDefault="004F19C4">
      <w:pPr>
        <w:pStyle w:val="FigureNo"/>
      </w:pPr>
      <w:r>
        <w:object w:dxaOrig="5751" w:dyaOrig="5084">
          <v:shape id="_x0000_i1039" type="#_x0000_t75" style="width:287.5pt;height:254pt" o:ole="">
            <v:imagedata r:id="rId53" o:title=""/>
          </v:shape>
          <o:OLEObject Type="Embed" ProgID="Designer.Drawing.7" ShapeID="_x0000_i1039" DrawAspect="Content" ObjectID="_1649163285" r:id="rId54"/>
        </w:object>
      </w:r>
    </w:p>
    <w:p w:rsidR="002B489A" w:rsidRDefault="004F19C4">
      <w:r>
        <w:t>On peut voir d'après la Fig. 21 qu'au bord à 10,7 GHz de la bande attribuée au SRA, dans la bande passive exclusive, le niveau des rayonnements non désirés mesurés est de –151 dB(W/m</w:t>
      </w:r>
      <w:r>
        <w:rPr>
          <w:vertAlign w:val="superscript"/>
        </w:rPr>
        <w:t>2</w:t>
      </w:r>
      <w:r>
        <w:t>) dans une largeur de bande de référence de 100 kHz. Ceci correspond à –201 dB(W/m</w:t>
      </w:r>
      <w:r>
        <w:rPr>
          <w:vertAlign w:val="superscript"/>
        </w:rPr>
        <w:t>2</w:t>
      </w:r>
      <w:r>
        <w:t xml:space="preserve"> · Hz), tandis que la Recommandation UIT-R </w:t>
      </w:r>
      <w:r>
        <w:rPr>
          <w:bCs/>
        </w:rPr>
        <w:t>RA.769</w:t>
      </w:r>
      <w:r>
        <w:t xml:space="preserve"> donne comme seuil de brouillage un chiffre inférieur de 39 dB, </w:t>
      </w:r>
      <w:r>
        <w:br w:type="page"/>
      </w:r>
      <w:r>
        <w:rPr>
          <w:rFonts w:ascii="Symbol" w:hAnsi="Symbol"/>
        </w:rPr>
        <w:noBreakHyphen/>
      </w:r>
      <w:r>
        <w:t>240 dB(W/(m</w:t>
      </w:r>
      <w:r>
        <w:rPr>
          <w:vertAlign w:val="superscript"/>
        </w:rPr>
        <w:t>2</w:t>
      </w:r>
      <w:r>
        <w:t xml:space="preserve"> · Hz)), et de plus considère qu'il serait désirable qu'une limite plus contraignante de 15 dB soit appliquée dans le cas des satellites OSG. Cette différence considérable se produit au bord supérieur de la bande 10,6</w:t>
      </w:r>
      <w:r>
        <w:noBreakHyphen/>
        <w:t>10,7 GHz, et est inférieure dans le reste de la bande.</w:t>
      </w:r>
    </w:p>
    <w:p w:rsidR="002B489A" w:rsidRDefault="004F19C4">
      <w:r>
        <w:t xml:space="preserve">En descendant de la bordure de 10,7 GHz jusqu'à environ 10,69 GHz, où le signal brouilleur atteint le bruit plancher de la station de surveillance de Leeheim (puissance surfacique d'environ </w:t>
      </w:r>
      <w:r>
        <w:sym w:font="Symbol" w:char="F02D"/>
      </w:r>
      <w:r>
        <w:t>160 dB(W/m</w:t>
      </w:r>
      <w:r>
        <w:rPr>
          <w:vertAlign w:val="superscript"/>
        </w:rPr>
        <w:t>2</w:t>
      </w:r>
      <w:r>
        <w:t>), sa décroissance est d'environ 10 dB pour 4 MHz. Si on suppose que ce taux de décroissance continue jusqu'à 10,6 GHz, la puissance totale émise estimée à partir de cette position orbitale dans la bande 10,6</w:t>
      </w:r>
      <w:r>
        <w:noBreakHyphen/>
        <w:t xml:space="preserve">10,7 GHz serait de </w:t>
      </w:r>
      <w:r>
        <w:sym w:font="Symbol" w:char="F02D"/>
      </w:r>
      <w:r>
        <w:t>145,6 dB(W/m</w:t>
      </w:r>
      <w:r>
        <w:rPr>
          <w:vertAlign w:val="superscript"/>
        </w:rPr>
        <w:t>2</w:t>
      </w:r>
      <w:r>
        <w:t>), ce qui est à 14,4 dB au-dessus du seuil de –160 dB(W/m</w:t>
      </w:r>
      <w:r>
        <w:rPr>
          <w:vertAlign w:val="superscript"/>
        </w:rPr>
        <w:t>2</w:t>
      </w:r>
      <w:r>
        <w:t xml:space="preserve">) donné dans la Recommandation UIT-R </w:t>
      </w:r>
      <w:r>
        <w:rPr>
          <w:bCs/>
        </w:rPr>
        <w:t>RA.769</w:t>
      </w:r>
      <w:r>
        <w:t xml:space="preserve"> pour la bande 10,6</w:t>
      </w:r>
      <w:r>
        <w:noBreakHyphen/>
        <w:t>10,7 GHz, et qui rend donc la totalité de la bande 10,6</w:t>
      </w:r>
      <w:r>
        <w:noBreakHyphen/>
        <w:t>10,7 GHz complètement inutilisable pour les observations de radioastronomie, comme l'indique la Fig. 20.</w:t>
      </w:r>
    </w:p>
    <w:p w:rsidR="002B489A" w:rsidRDefault="004F19C4">
      <w:r>
        <w:t>Bien que l'exploitant du système à satellites ait amélioré dans une certaine mesure le système et que des filtres aient été installés au radiotélescope d'Effelsberg, il n'a pas encore été possible de trouver de solution efficace à ce problème.</w:t>
      </w:r>
    </w:p>
    <w:p w:rsidR="002B489A" w:rsidRDefault="004F19C4">
      <w:pPr>
        <w:rPr>
          <w:snapToGrid w:val="0"/>
        </w:rPr>
      </w:pPr>
      <w:r>
        <w:t xml:space="preserve">Les valeurs suivantes ont été fournies pour les niveaux des rayonnements non désirés de systèmes SFS typiques tombant dans la bande SRA. Deux </w:t>
      </w:r>
      <w:r>
        <w:rPr>
          <w:snapToGrid w:val="0"/>
        </w:rPr>
        <w:t>exploitants ont mis en évidence que toute limite inférieure aux niveaux du Tableau 23 imposerait des contraintes insupportables aux systèmes SFS fonctionnant actuellement dans la bande de fréquences 10,7</w:t>
      </w:r>
      <w:r>
        <w:rPr>
          <w:snapToGrid w:val="0"/>
        </w:rPr>
        <w:noBreakHyphen/>
        <w:t>10,95 GHz.</w:t>
      </w:r>
    </w:p>
    <w:p w:rsidR="002B489A" w:rsidRDefault="004F19C4">
      <w:pPr>
        <w:pStyle w:val="TableNo"/>
      </w:pPr>
      <w:r>
        <w:t>TABLEAU  23</w:t>
      </w:r>
    </w:p>
    <w:p w:rsidR="002B489A" w:rsidRDefault="004F19C4">
      <w:pPr>
        <w:pStyle w:val="Tabletitle"/>
      </w:pPr>
      <w:r>
        <w:t>Niveaux de rayonnements non désirés tombant dans la bande de</w:t>
      </w:r>
      <w:r>
        <w:br/>
        <w:t>fréquences 10,57</w:t>
      </w:r>
      <w:r>
        <w:noBreakHyphen/>
        <w:t>10,7 GHz à des points spécifiques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4"/>
        <w:gridCol w:w="5220"/>
      </w:tblGrid>
      <w:tr w:rsidR="002B489A">
        <w:tc>
          <w:tcPr>
            <w:tcW w:w="2144" w:type="dxa"/>
            <w:vAlign w:val="center"/>
          </w:tcPr>
          <w:p w:rsidR="002B489A" w:rsidRDefault="004F19C4">
            <w:pPr>
              <w:pStyle w:val="Tablehead"/>
              <w:framePr w:hSpace="181" w:wrap="notBeside" w:vAnchor="text" w:hAnchor="text" w:xAlign="center" w:y="1"/>
            </w:pPr>
            <w:r>
              <w:t xml:space="preserve">Frontière </w:t>
            </w:r>
            <w:r>
              <w:br/>
              <w:t>(GHz)</w:t>
            </w:r>
          </w:p>
        </w:tc>
        <w:tc>
          <w:tcPr>
            <w:tcW w:w="5220" w:type="dxa"/>
            <w:vAlign w:val="center"/>
          </w:tcPr>
          <w:p w:rsidR="002B489A" w:rsidRDefault="004F19C4">
            <w:pPr>
              <w:pStyle w:val="Tablehead"/>
              <w:framePr w:hSpace="181" w:wrap="notBeside" w:vAnchor="text" w:hAnchor="text" w:xAlign="center" w:y="1"/>
            </w:pPr>
            <w:r>
              <w:t>Niveau de densité spectrale de puissance surfacique de rayonnement non désiré (dB(W/(m</w:t>
            </w:r>
            <w:r>
              <w:rPr>
                <w:vertAlign w:val="superscript"/>
              </w:rPr>
              <w:t>2</w:t>
            </w:r>
            <w:r>
              <w:t xml:space="preserve"> · Hz)))</w:t>
            </w:r>
          </w:p>
        </w:tc>
      </w:tr>
      <w:tr w:rsidR="002B489A">
        <w:tc>
          <w:tcPr>
            <w:tcW w:w="2144" w:type="dxa"/>
            <w:vAlign w:val="center"/>
          </w:tcPr>
          <w:p w:rsidR="002B489A" w:rsidRDefault="004F19C4">
            <w:pPr>
              <w:pStyle w:val="Tabletext"/>
              <w:framePr w:hSpace="181" w:wrap="notBeside" w:vAnchor="text" w:hAnchor="text" w:xAlign="center" w:y="1"/>
              <w:jc w:val="center"/>
            </w:pPr>
            <w:r>
              <w:t>10,570</w:t>
            </w:r>
          </w:p>
        </w:tc>
        <w:tc>
          <w:tcPr>
            <w:tcW w:w="5220" w:type="dxa"/>
            <w:vAlign w:val="center"/>
          </w:tcPr>
          <w:p w:rsidR="002B489A" w:rsidRDefault="004F19C4">
            <w:pPr>
              <w:pStyle w:val="Tabletext"/>
              <w:framePr w:hSpace="181" w:wrap="notBeside" w:vAnchor="text" w:hAnchor="text" w:xAlign="center" w:y="1"/>
              <w:jc w:val="center"/>
            </w:pPr>
            <w:r>
              <w:t>–285</w:t>
            </w:r>
          </w:p>
        </w:tc>
      </w:tr>
      <w:tr w:rsidR="002B489A">
        <w:tc>
          <w:tcPr>
            <w:tcW w:w="2144" w:type="dxa"/>
            <w:vAlign w:val="center"/>
          </w:tcPr>
          <w:p w:rsidR="002B489A" w:rsidRDefault="004F19C4">
            <w:pPr>
              <w:pStyle w:val="Tabletext"/>
              <w:framePr w:hSpace="181" w:wrap="notBeside" w:vAnchor="text" w:hAnchor="text" w:xAlign="center" w:y="1"/>
              <w:jc w:val="center"/>
            </w:pPr>
            <w:r>
              <w:t>10,656</w:t>
            </w:r>
          </w:p>
        </w:tc>
        <w:tc>
          <w:tcPr>
            <w:tcW w:w="5220" w:type="dxa"/>
            <w:vAlign w:val="center"/>
          </w:tcPr>
          <w:p w:rsidR="002B489A" w:rsidRDefault="004F19C4">
            <w:pPr>
              <w:pStyle w:val="Tabletext"/>
              <w:framePr w:hSpace="181" w:wrap="notBeside" w:vAnchor="text" w:hAnchor="text" w:xAlign="center" w:y="1"/>
              <w:jc w:val="center"/>
            </w:pPr>
            <w:r>
              <w:t>–256</w:t>
            </w:r>
          </w:p>
        </w:tc>
      </w:tr>
      <w:tr w:rsidR="002B489A">
        <w:tc>
          <w:tcPr>
            <w:tcW w:w="2144" w:type="dxa"/>
            <w:vAlign w:val="center"/>
          </w:tcPr>
          <w:p w:rsidR="002B489A" w:rsidRDefault="004F19C4">
            <w:pPr>
              <w:pStyle w:val="Tabletext"/>
              <w:framePr w:hSpace="181" w:wrap="notBeside" w:vAnchor="text" w:hAnchor="text" w:xAlign="center" w:y="1"/>
              <w:jc w:val="center"/>
            </w:pPr>
            <w:r>
              <w:t>10,662</w:t>
            </w:r>
          </w:p>
        </w:tc>
        <w:tc>
          <w:tcPr>
            <w:tcW w:w="5220" w:type="dxa"/>
            <w:vAlign w:val="center"/>
          </w:tcPr>
          <w:p w:rsidR="002B489A" w:rsidRDefault="004F19C4">
            <w:pPr>
              <w:pStyle w:val="Tabletext"/>
              <w:framePr w:hSpace="181" w:wrap="notBeside" w:vAnchor="text" w:hAnchor="text" w:xAlign="center" w:y="1"/>
              <w:jc w:val="center"/>
            </w:pPr>
            <w:r>
              <w:t>–237</w:t>
            </w:r>
          </w:p>
        </w:tc>
      </w:tr>
      <w:tr w:rsidR="002B489A">
        <w:tc>
          <w:tcPr>
            <w:tcW w:w="2144" w:type="dxa"/>
            <w:vAlign w:val="center"/>
          </w:tcPr>
          <w:p w:rsidR="002B489A" w:rsidRDefault="004F19C4">
            <w:pPr>
              <w:pStyle w:val="Tabletext"/>
              <w:framePr w:hSpace="181" w:wrap="notBeside" w:vAnchor="text" w:hAnchor="text" w:xAlign="center" w:y="1"/>
              <w:jc w:val="center"/>
            </w:pPr>
            <w:r>
              <w:t>10,680</w:t>
            </w:r>
          </w:p>
        </w:tc>
        <w:tc>
          <w:tcPr>
            <w:tcW w:w="5220" w:type="dxa"/>
            <w:vAlign w:val="center"/>
          </w:tcPr>
          <w:p w:rsidR="002B489A" w:rsidRDefault="004F19C4">
            <w:pPr>
              <w:pStyle w:val="Tabletext"/>
              <w:framePr w:hSpace="181" w:wrap="notBeside" w:vAnchor="text" w:hAnchor="text" w:xAlign="center" w:y="1"/>
              <w:jc w:val="center"/>
            </w:pPr>
            <w:r>
              <w:t>–237</w:t>
            </w:r>
          </w:p>
        </w:tc>
      </w:tr>
      <w:tr w:rsidR="002B489A">
        <w:tc>
          <w:tcPr>
            <w:tcW w:w="2144" w:type="dxa"/>
            <w:vAlign w:val="center"/>
          </w:tcPr>
          <w:p w:rsidR="002B489A" w:rsidRDefault="004F19C4">
            <w:pPr>
              <w:pStyle w:val="Tabletext"/>
              <w:framePr w:hSpace="181" w:wrap="notBeside" w:vAnchor="text" w:hAnchor="text" w:xAlign="center" w:y="1"/>
              <w:jc w:val="center"/>
            </w:pPr>
            <w:r>
              <w:t>10,700</w:t>
            </w:r>
          </w:p>
        </w:tc>
        <w:tc>
          <w:tcPr>
            <w:tcW w:w="5220" w:type="dxa"/>
            <w:vAlign w:val="center"/>
          </w:tcPr>
          <w:p w:rsidR="002B489A" w:rsidRDefault="004F19C4">
            <w:pPr>
              <w:pStyle w:val="Tabletext"/>
              <w:framePr w:hSpace="181" w:wrap="notBeside" w:vAnchor="text" w:hAnchor="text" w:xAlign="center" w:y="1"/>
              <w:jc w:val="center"/>
            </w:pPr>
            <w:r>
              <w:t>–195</w:t>
            </w:r>
          </w:p>
        </w:tc>
      </w:tr>
    </w:tbl>
    <w:p w:rsidR="002B489A" w:rsidRDefault="002B489A">
      <w:pPr>
        <w:pStyle w:val="Tablefin"/>
      </w:pPr>
    </w:p>
    <w:p w:rsidR="002B489A" w:rsidRDefault="004F19C4">
      <w:r>
        <w:t>La Fig. 22 montre les niveaux de densité spectrale de puissance surfacique d'une modulation numérique avec un débit de symboles de 22 Msymboles/s, une décroissance de 35% et une largeur de bande de répéteur de 26 MHz fonctionnant à 10</w:t>
      </w:r>
      <w:r>
        <w:rPr>
          <w:rFonts w:ascii="Tms Rmn" w:hAnsi="Tms Rmn"/>
          <w:sz w:val="12"/>
        </w:rPr>
        <w:t> </w:t>
      </w:r>
      <w:r>
        <w:t>714 MHz. Pour des raisons pratiques, la décroissance réelle de la puissance a été extrapolée par une décroissance linéaire de la puissance afin d'estimer la puissance tombant dans la bande entière de radioastronomie de 100 MHz selon le décalage de fréquence.</w:t>
      </w:r>
    </w:p>
    <w:p w:rsidR="002B489A" w:rsidRDefault="004F19C4">
      <w:r>
        <w:t>Du fait de la nature même de la modulation numérique, la largeur de bande nécessaire d'une modulation numérique est très proche de la largeur de bande du répéteur. Donc, les niveaux de densité spectrale de puissance surfacique tombant dans la partie supérieure de la bande de fréquences attribuée au SRA sont beaucoup plus élevés que ceux observés pour une modulation analogique (voir la Fig. 23).</w:t>
      </w:r>
    </w:p>
    <w:p w:rsidR="002B489A" w:rsidRDefault="004F19C4">
      <w:pPr>
        <w:pStyle w:val="FigureNo"/>
      </w:pPr>
      <w:r>
        <w:br w:type="page"/>
      </w:r>
      <w:r w:rsidR="0006728D">
        <w:rPr>
          <w:noProof/>
          <w:lang w:val="fr-CH" w:eastAsia="fr-CH"/>
        </w:rPr>
        <w:drawing>
          <wp:inline distT="0" distB="0" distL="0" distR="0">
            <wp:extent cx="4714875" cy="43148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14875" cy="4314825"/>
                    </a:xfrm>
                    <a:prstGeom prst="rect">
                      <a:avLst/>
                    </a:prstGeom>
                    <a:noFill/>
                    <a:ln>
                      <a:noFill/>
                    </a:ln>
                  </pic:spPr>
                </pic:pic>
              </a:graphicData>
            </a:graphic>
          </wp:inline>
        </w:drawing>
      </w:r>
    </w:p>
    <w:p w:rsidR="002B489A" w:rsidRDefault="004F19C4">
      <w:pPr>
        <w:pStyle w:val="FigureNo"/>
      </w:pPr>
      <w:r>
        <w:object w:dxaOrig="8535" w:dyaOrig="6380">
          <v:shape id="_x0000_i1040" type="#_x0000_t75" style="width:427pt;height:318.5pt" o:ole="">
            <v:imagedata r:id="rId56" o:title=""/>
          </v:shape>
          <o:OLEObject Type="Embed" ProgID="Designer.Drawing.7" ShapeID="_x0000_i1040" DrawAspect="Content" ObjectID="_1649163286" r:id="rId57"/>
        </w:object>
      </w:r>
    </w:p>
    <w:p w:rsidR="002B489A" w:rsidRDefault="004F19C4">
      <w:r>
        <w:br w:type="page"/>
        <w:t>D'après la Fig. 23, il est possible de calculer la puissance tombant dans une largeur de bande de référence de 100 MHz selon la fréquence où commence l'intégration (voir la Fig. 24).</w:t>
      </w:r>
    </w:p>
    <w:p w:rsidR="002B489A" w:rsidRDefault="002B489A"/>
    <w:p w:rsidR="002B489A" w:rsidRDefault="002B489A"/>
    <w:p w:rsidR="002B489A" w:rsidRDefault="004F19C4">
      <w:pPr>
        <w:pStyle w:val="FigureNo"/>
      </w:pPr>
      <w:r>
        <w:object w:dxaOrig="9461" w:dyaOrig="7321">
          <v:shape id="_x0000_i1041" type="#_x0000_t75" style="width:473pt;height:366pt" o:ole="">
            <v:imagedata r:id="rId58" o:title=""/>
          </v:shape>
          <o:OLEObject Type="Embed" ProgID="Designer.Drawing.7" ShapeID="_x0000_i1041" DrawAspect="Content" ObjectID="_1649163287" r:id="rId59"/>
        </w:object>
      </w:r>
    </w:p>
    <w:p w:rsidR="002B489A" w:rsidRDefault="002B489A"/>
    <w:p w:rsidR="002B489A" w:rsidRDefault="002B489A"/>
    <w:p w:rsidR="002B489A" w:rsidRDefault="004F19C4">
      <w:r>
        <w:t>Sur la Fig. 24, un décalage de fréquence de 0 MHz signifie que l'intégration sur 100 MHz part de 10,7 GHz (et donc se termine à 10,6 GHz), et de même un décalage de fréquence de 30 MHz signifie que l'intégration sur 100 MHz part de 10,67 GHz (et donc se termine à 10,57 GHz).</w:t>
      </w:r>
    </w:p>
    <w:p w:rsidR="002B489A" w:rsidRDefault="004F19C4">
      <w:r>
        <w:t xml:space="preserve">D'après la Fig. 24, avec les hypothèses formulées sur la décroissance du signal, le niveau de seuil pour des observations du continuum, c'est-à-dire –160 </w:t>
      </w:r>
      <w:r>
        <w:rPr>
          <w:snapToGrid w:val="0"/>
        </w:rPr>
        <w:t>dB(W/(m</w:t>
      </w:r>
      <w:r>
        <w:rPr>
          <w:vertAlign w:val="superscript"/>
        </w:rPr>
        <w:t>2</w:t>
      </w:r>
      <w:r>
        <w:t xml:space="preserve"> · </w:t>
      </w:r>
      <w:r>
        <w:rPr>
          <w:rFonts w:ascii="Times" w:hAnsi="Times"/>
          <w:spacing w:val="-2"/>
        </w:rPr>
        <w:t>100 MHz)), devrait être satisfait avec la mise en oeuvre d'une bande de garde d'au moins 15 MHz entre les deux services. Une hypothèse différente sur la décroissance du signal pourrait avoir pour résultat l'exigence d'une bande de garde plus grande.</w:t>
      </w:r>
    </w:p>
    <w:p w:rsidR="002B489A" w:rsidRDefault="004F19C4">
      <w:r>
        <w:t>Donc, pour conclure sur une possible séparation de fréquence qui rendrait les deux services compatibles dans cet exemple, il faudrait valider les hypothèses sur la décroissance du signal.</w:t>
      </w:r>
    </w:p>
    <w:p w:rsidR="002B489A" w:rsidRDefault="004F19C4">
      <w:pPr>
        <w:pStyle w:val="Heading3"/>
      </w:pPr>
      <w:r>
        <w:br w:type="page"/>
        <w:t>4.3.2</w:t>
      </w:r>
      <w:r>
        <w:tab/>
        <w:t>Exemple de la Région 2 pour les systèmes à satellites OSG</w:t>
      </w:r>
    </w:p>
    <w:p w:rsidR="002B489A" w:rsidRDefault="004F19C4">
      <w:pPr>
        <w:rPr>
          <w:snapToGrid w:val="0"/>
        </w:rPr>
      </w:pPr>
      <w:r>
        <w:rPr>
          <w:snapToGrid w:val="0"/>
        </w:rPr>
        <w:t xml:space="preserve">En novembre 1993, l'Observatoire national américain de radioastronomie (NRAO, </w:t>
      </w:r>
      <w:r>
        <w:rPr>
          <w:i/>
          <w:iCs/>
          <w:snapToGrid w:val="0"/>
        </w:rPr>
        <w:t>United States National Radio Astronomy Observatory</w:t>
      </w:r>
      <w:r>
        <w:rPr>
          <w:snapToGrid w:val="0"/>
        </w:rPr>
        <w:t>) a effectué une enquête sur la ceinture géostationnaire entre 152° O et 7° O dans la bande 10,68</w:t>
      </w:r>
      <w:r>
        <w:rPr>
          <w:snapToGrid w:val="0"/>
        </w:rPr>
        <w:noBreakHyphen/>
        <w:t xml:space="preserve">10,7 GHz, en utilisant son télescope de 43 m de Green Bank, Ouest Virginie (désaffecté depuis), pour déterminer les niveaux d'émission qui pourraient être présents, et déterminer si cette portion du ciel était libre d'émissions au moins au niveau de </w:t>
      </w:r>
      <w:r>
        <w:rPr>
          <w:rFonts w:ascii="Symbol" w:hAnsi="Symbol"/>
          <w:snapToGrid w:val="0"/>
        </w:rPr>
        <w:noBreakHyphen/>
      </w:r>
      <w:r>
        <w:rPr>
          <w:snapToGrid w:val="0"/>
        </w:rPr>
        <w:t>250 dB(W/(m</w:t>
      </w:r>
      <w:r>
        <w:rPr>
          <w:vertAlign w:val="superscript"/>
        </w:rPr>
        <w:t>2</w:t>
      </w:r>
      <w:r>
        <w:t xml:space="preserve"> · Hz))</w:t>
      </w:r>
      <w:r>
        <w:rPr>
          <w:snapToGrid w:val="0"/>
        </w:rPr>
        <w:t>.</w:t>
      </w:r>
    </w:p>
    <w:p w:rsidR="002B489A" w:rsidRDefault="004F19C4">
      <w:pPr>
        <w:spacing w:before="80"/>
      </w:pPr>
      <w:r>
        <w:t>Dans la Région 2, un cas concerne deux satellites OSG identiques fonctionnant dans la bande 10,75</w:t>
      </w:r>
      <w:r>
        <w:noBreakHyphen/>
        <w:t>10,95 GHz, et utilisant la bande 10,75</w:t>
      </w:r>
      <w:r>
        <w:noBreakHyphen/>
        <w:t xml:space="preserve">10,95 GHz conformément à l'Appendice </w:t>
      </w:r>
      <w:r>
        <w:rPr>
          <w:bCs/>
        </w:rPr>
        <w:t>30B</w:t>
      </w:r>
      <w:r>
        <w:t xml:space="preserve"> du RR pour fournir des liaisons de connexion pour une application SMS. Dans un autre cas, un exploitant a fourni des données sur les performances espérées de sa station spatiale dans la bande 10,6</w:t>
      </w:r>
      <w:r>
        <w:noBreakHyphen/>
        <w:t>10,7 GHz.</w:t>
      </w:r>
    </w:p>
    <w:p w:rsidR="002B489A" w:rsidRDefault="004F19C4">
      <w:pPr>
        <w:spacing w:before="80"/>
      </w:pPr>
      <w:r>
        <w:t>Dans le cas des deux satellites OSG identiques mentionnés ci-dessus, des filtres spéciaux procurant un affaiblissement juste au-dessus de 40 dB dans la bande 10,6</w:t>
      </w:r>
      <w:r>
        <w:noBreakHyphen/>
        <w:t>10,7 GHz ont été installés pour un coût significatif pour les exploitants, pour satisfaire des préoccupations nationales de protection des services passifs. Les satellites génèrent des brouillages dans la bande 10,68</w:t>
      </w:r>
      <w:r>
        <w:noBreakHyphen/>
        <w:t xml:space="preserve">10,7 GHz à partir de deux sources indépendantes: </w:t>
      </w:r>
    </w:p>
    <w:p w:rsidR="002B489A" w:rsidRDefault="004F19C4">
      <w:pPr>
        <w:pStyle w:val="enumlev1"/>
        <w:spacing w:before="60" w:line="270" w:lineRule="exact"/>
        <w:rPr>
          <w:snapToGrid w:val="0"/>
        </w:rPr>
      </w:pPr>
      <w:r>
        <w:t>–</w:t>
      </w:r>
      <w:r>
        <w:tab/>
        <w:t xml:space="preserve">Un bruit thermique rayonné généré dans un amplificateur à tube à ondes progressives (ATOP). Le cas le plus défavorable de p.i.r.e. de bruit de tube thermique qui a été mesuré était de </w:t>
      </w:r>
      <w:r>
        <w:sym w:font="Symbol" w:char="F02D"/>
      </w:r>
      <w:r>
        <w:t>27 dB(W/4 kHz) à la crête du diagramme d'antenne dans la bande 10,68</w:t>
      </w:r>
      <w:r>
        <w:noBreakHyphen/>
        <w:t xml:space="preserve">10,7 GHz, résultant en une densité spectrale de puissance surfacique de </w:t>
      </w:r>
      <w:r>
        <w:rPr>
          <w:rFonts w:ascii="Symbol" w:hAnsi="Symbol"/>
        </w:rPr>
        <w:noBreakHyphen/>
      </w:r>
      <w:r>
        <w:t>226,2 dB</w:t>
      </w:r>
      <w:r>
        <w:rPr>
          <w:snapToGrid w:val="0"/>
        </w:rPr>
        <w:t>(W/(m</w:t>
      </w:r>
      <w:r>
        <w:rPr>
          <w:snapToGrid w:val="0"/>
          <w:vertAlign w:val="superscript"/>
        </w:rPr>
        <w:t>2</w:t>
      </w:r>
      <w:r>
        <w:t> </w:t>
      </w:r>
      <w:r>
        <w:rPr>
          <w:rFonts w:ascii="Symbol" w:hAnsi="Symbol"/>
        </w:rPr>
        <w:t></w:t>
      </w:r>
      <w:r>
        <w:rPr>
          <w:rFonts w:hint="eastAsia"/>
        </w:rPr>
        <w:t> </w:t>
      </w:r>
      <w:r>
        <w:t>Hz))</w:t>
      </w:r>
      <w:r>
        <w:rPr>
          <w:snapToGrid w:val="0"/>
        </w:rPr>
        <w:t xml:space="preserve">, après soustraction d'un affaiblissement géométrique de </w:t>
      </w:r>
      <w:r>
        <w:sym w:font="Symbol" w:char="F02D"/>
      </w:r>
      <w:r>
        <w:t>163,2 dB(W/m</w:t>
      </w:r>
      <w:r>
        <w:rPr>
          <w:vertAlign w:val="superscript"/>
        </w:rPr>
        <w:t>2</w:t>
      </w:r>
      <w:r>
        <w:t>)</w:t>
      </w:r>
      <w:r>
        <w:rPr>
          <w:snapToGrid w:val="0"/>
        </w:rPr>
        <w:t>;</w:t>
      </w:r>
    </w:p>
    <w:p w:rsidR="002B489A" w:rsidRDefault="004F19C4">
      <w:pPr>
        <w:pStyle w:val="enumlev1"/>
        <w:spacing w:before="60" w:line="270" w:lineRule="exact"/>
      </w:pPr>
      <w:r>
        <w:rPr>
          <w:snapToGrid w:val="0"/>
        </w:rPr>
        <w:t>–</w:t>
      </w:r>
      <w:r>
        <w:rPr>
          <w:snapToGrid w:val="0"/>
        </w:rPr>
        <w:tab/>
      </w:r>
      <w:r>
        <w:t>des produits d'intermodulation dans les porteuses générés par des non-linéarités dans l'ATOP. La bande 10,75</w:t>
      </w:r>
      <w:r>
        <w:noBreakHyphen/>
        <w:t>10,95 GHz de liaison descendante est subdivisée en 27 sous</w:t>
      </w:r>
      <w:r>
        <w:noBreakHyphen/>
        <w:t>bandes, chacune d'elles transportant un nombre variable de porteuses radioélectriques. Dans des conditions de charge de pointe, approximativement 600 porteuses seront activées simultanément et distribuées sur les sous-bandes. Pour estimer le niveau d'intermodulation tombant dans la bande attribuée au SRA, une simulation du cas le plus défavorable a été faite dans des sous-bandes qui étaient remplies d'un bruit gaussien pour simuler la présence de nombreuses porteuses, et l'amplificateur ATOP a été mis en fonctionnement au niveau maximum de charge. La simulation utilisée mesurait les caractéristiques de transfert d'entrée-sortie de l'amplificateur ATOP et il en résultait un niveau de crête de densité spectrale de puissance surfacique de produits d'intermodulation (comprenant tous les ordres de produits d'intermodulation) dans la bande 10,69</w:t>
      </w:r>
      <w:r>
        <w:noBreakHyphen/>
        <w:t xml:space="preserve">10,70 GHz de </w:t>
      </w:r>
      <w:r>
        <w:sym w:font="Symbol" w:char="F02D"/>
      </w:r>
      <w:r>
        <w:t xml:space="preserve">223,0 </w:t>
      </w:r>
      <w:r>
        <w:rPr>
          <w:snapToGrid w:val="0"/>
        </w:rPr>
        <w:t>dB(W/(m</w:t>
      </w:r>
      <w:r>
        <w:rPr>
          <w:vertAlign w:val="superscript"/>
        </w:rPr>
        <w:t>2</w:t>
      </w:r>
      <w:r>
        <w:t xml:space="preserve"> · Hz)). Le cas le plus défavorable moyen de densité spectrale de puissance surfacique d'intermodulation sur cette bande est de </w:t>
      </w:r>
      <w:r>
        <w:rPr>
          <w:rFonts w:ascii="Symbol" w:hAnsi="Symbol"/>
        </w:rPr>
        <w:noBreakHyphen/>
      </w:r>
      <w:r>
        <w:t>231 </w:t>
      </w:r>
      <w:r>
        <w:rPr>
          <w:snapToGrid w:val="0"/>
        </w:rPr>
        <w:t>dB(W/(m</w:t>
      </w:r>
      <w:r>
        <w:rPr>
          <w:vertAlign w:val="superscript"/>
        </w:rPr>
        <w:t>2</w:t>
      </w:r>
      <w:r>
        <w:t xml:space="preserve"> · Hz)). Les valeurs pour le reste de la bande du SRA sont inférieures d'environ 5 dB (c'est-à-dire une crête de </w:t>
      </w:r>
      <w:r>
        <w:sym w:font="Symbol" w:char="F02D"/>
      </w:r>
      <w:r>
        <w:t xml:space="preserve">228,0 et une moyenne de </w:t>
      </w:r>
      <w:r>
        <w:rPr>
          <w:rFonts w:ascii="Symbol" w:hAnsi="Symbol"/>
        </w:rPr>
        <w:noBreakHyphen/>
      </w:r>
      <w:r>
        <w:t>236,0 </w:t>
      </w:r>
      <w:r>
        <w:rPr>
          <w:snapToGrid w:val="0"/>
        </w:rPr>
        <w:t>dB(W/(m</w:t>
      </w:r>
      <w:r>
        <w:rPr>
          <w:vertAlign w:val="superscript"/>
        </w:rPr>
        <w:t>2</w:t>
      </w:r>
      <w:r>
        <w:t> · Hz)).</w:t>
      </w:r>
    </w:p>
    <w:p w:rsidR="002B489A" w:rsidRDefault="004F19C4">
      <w:pPr>
        <w:spacing w:before="80"/>
      </w:pPr>
      <w:r>
        <w:t>L'intermodulation est générée par des centaines de porteuses radioélectriques indépendantes modulées par des flux binaires aléatoires indépendants. Chaque modulateur applique une séquence maximale de 24 bits de bruit pseudo aléatoire au sommet du flux d'informations, assurant une intercorrélation minimale entre les porteuses. Il y a des milliers de produits indépendants individuels distribués tout le long de la bande attribuée à la radioastronomie. Les porteuses radioélectriques elles-mêmes ne sont activées que lorsque de la parole est présente, ce qui ajoute encore au caractère aléatoire du signal d'intermodulation composite. Il apparaît donc que les produits d'intermodulation se comporteront tout à fait comme un bruit gaussien à large bande.</w:t>
      </w:r>
    </w:p>
    <w:p w:rsidR="002B489A" w:rsidRDefault="004F19C4">
      <w:pPr>
        <w:spacing w:before="80"/>
      </w:pPr>
      <w:r>
        <w:br w:type="page"/>
        <w:t>Les porteuses radioélectriques sont assignées en fonction de la demande en cas de besoin, et sont inactivées autrement. Il en résulte que le cas le plus défavorable va se présenter pendant les heures ouvrables d'un jour de travail normal, ce qui survient typiquement douze heures par jour. La  nuit,  les week</w:t>
      </w:r>
      <w:r>
        <w:noBreakHyphen/>
        <w:t xml:space="preserve">ends et pendant les vacances, la charge de pointe sera largement réduite. Cette  réduction de charge fait passer le fonctionnement de l'amplificateur ATOP dans une région  plus linéaire en réduisant le niveau d'intermodulation. Moins de porteuses radioélectriques réduit le nombre de produits d'intermodulation. Pendant ces périodes creuses, la densité spectrale de  puissance surfacique d'intermodulation est réduite d'au moins 40 dB, ou aux environs de </w:t>
      </w:r>
      <w:r>
        <w:rPr>
          <w:rFonts w:ascii="Symbol" w:hAnsi="Symbol"/>
        </w:rPr>
        <w:noBreakHyphen/>
      </w:r>
      <w:r>
        <w:t>260 </w:t>
      </w:r>
      <w:r>
        <w:rPr>
          <w:snapToGrid w:val="0"/>
        </w:rPr>
        <w:t>dB(W/(m</w:t>
      </w:r>
      <w:r>
        <w:rPr>
          <w:vertAlign w:val="superscript"/>
        </w:rPr>
        <w:t>2</w:t>
      </w:r>
      <w:r>
        <w:t> · Hz)).</w:t>
      </w:r>
    </w:p>
    <w:p w:rsidR="002B489A" w:rsidRDefault="004F19C4">
      <w:pPr>
        <w:rPr>
          <w:snapToGrid w:val="0"/>
        </w:rPr>
      </w:pPr>
      <w:r>
        <w:rPr>
          <w:i/>
          <w:iCs/>
        </w:rPr>
        <w:t>Estimation du brouillage total</w:t>
      </w:r>
      <w:r>
        <w:t>: le bruit du tube et le bruit d'intermodulation combinés ont une distribution gaussienne de large bande. Le cas le plus défavorable de moyenne de densité spectrale de puissance surfacique à travers la bande 10,6</w:t>
      </w:r>
      <w:r>
        <w:noBreakHyphen/>
        <w:t xml:space="preserve">10,69 GHz est estimé à </w:t>
      </w:r>
      <w:r>
        <w:sym w:font="Symbol" w:char="F02D"/>
      </w:r>
      <w:r>
        <w:t xml:space="preserve">225,6 </w:t>
      </w:r>
      <w:r>
        <w:rPr>
          <w:snapToGrid w:val="0"/>
        </w:rPr>
        <w:t>dB(W/(m</w:t>
      </w:r>
      <w:r>
        <w:rPr>
          <w:vertAlign w:val="superscript"/>
        </w:rPr>
        <w:t>2</w:t>
      </w:r>
      <w:r>
        <w:t xml:space="preserve"> · Hz)), et atteint </w:t>
      </w:r>
      <w:r>
        <w:sym w:font="Symbol" w:char="F02D"/>
      </w:r>
      <w:r>
        <w:t xml:space="preserve">221,3 </w:t>
      </w:r>
      <w:r>
        <w:rPr>
          <w:snapToGrid w:val="0"/>
        </w:rPr>
        <w:t>dB(W/(m</w:t>
      </w:r>
      <w:r>
        <w:rPr>
          <w:vertAlign w:val="superscript"/>
        </w:rPr>
        <w:t>2</w:t>
      </w:r>
      <w:r>
        <w:t xml:space="preserve"> · Hz)) à 10,7 GHz. Pendant les périodes de charge de trafic légère, la densité spectrale de puissance surfacique moyenne sur la totalité de la bande est estimée à </w:t>
      </w:r>
      <w:r>
        <w:rPr>
          <w:rFonts w:ascii="Symbol" w:hAnsi="Symbol"/>
        </w:rPr>
        <w:noBreakHyphen/>
      </w:r>
      <w:r>
        <w:t>226,2 </w:t>
      </w:r>
      <w:r>
        <w:rPr>
          <w:snapToGrid w:val="0"/>
        </w:rPr>
        <w:t>dB(W/(m</w:t>
      </w:r>
      <w:r>
        <w:rPr>
          <w:vertAlign w:val="superscript"/>
        </w:rPr>
        <w:t>2</w:t>
      </w:r>
      <w:r>
        <w:t xml:space="preserve"> · Hz))</w:t>
      </w:r>
      <w:r>
        <w:rPr>
          <w:snapToGrid w:val="0"/>
        </w:rPr>
        <w:t>.</w:t>
      </w:r>
    </w:p>
    <w:p w:rsidR="002B489A" w:rsidRDefault="004F19C4">
      <w:pPr>
        <w:pStyle w:val="Heading4"/>
        <w:rPr>
          <w:snapToGrid w:val="0"/>
        </w:rPr>
      </w:pPr>
      <w:r>
        <w:rPr>
          <w:snapToGrid w:val="0"/>
        </w:rPr>
        <w:t>4.3.2.1</w:t>
      </w:r>
      <w:r>
        <w:rPr>
          <w:snapToGrid w:val="0"/>
        </w:rPr>
        <w:tab/>
        <w:t>Simulation par ordinateur</w:t>
      </w:r>
    </w:p>
    <w:p w:rsidR="002B489A" w:rsidRDefault="004F19C4">
      <w:pPr>
        <w:rPr>
          <w:snapToGrid w:val="0"/>
        </w:rPr>
      </w:pPr>
      <w:r>
        <w:rPr>
          <w:snapToGrid w:val="0"/>
        </w:rPr>
        <w:t>Une étude fondée sur une simulation par ordinateur a démontré que la mise en vigueur de tout allotissement de l'Appendice </w:t>
      </w:r>
      <w:r>
        <w:rPr>
          <w:bCs/>
          <w:snapToGrid w:val="0"/>
        </w:rPr>
        <w:t xml:space="preserve">30B du RR </w:t>
      </w:r>
      <w:r>
        <w:rPr>
          <w:snapToGrid w:val="0"/>
        </w:rPr>
        <w:t>causerait des brouillages au-dessus du niveau de seuil de puissance surfacique du continuum (voir liste au § 1.3) pour tous les radiotélescopes se trouvant dans la visibilité de la station spatiale. L'étude a mis en évidence que la plus grosse portion de la puissance des rayonnements non désirés tombant dans la bande 10,6</w:t>
      </w:r>
      <w:r>
        <w:noBreakHyphen/>
      </w:r>
      <w:r>
        <w:rPr>
          <w:snapToGrid w:val="0"/>
        </w:rPr>
        <w:t xml:space="preserve">10,7 GHz survient au bord de la bande. Il faut souligner que l'utilisation de la Recommandation UIT-R </w:t>
      </w:r>
      <w:r>
        <w:rPr>
          <w:bCs/>
          <w:snapToGrid w:val="0"/>
        </w:rPr>
        <w:t>SM.1541</w:t>
      </w:r>
      <w:r>
        <w:rPr>
          <w:snapToGrid w:val="0"/>
        </w:rPr>
        <w:t xml:space="preserve"> pour établir le niveau des émissions hors bande surestime le niveau des rayonnement non désirés, car cela représente l'intégration sur un gabarit de cas le plus défavorable. Des études supplémentaires sont nécessaires sur la base d'un gabarit représentant les performances typiques des rayonnements non désirés.</w:t>
      </w:r>
    </w:p>
    <w:p w:rsidR="002B489A" w:rsidRDefault="004F19C4">
      <w:pPr>
        <w:pStyle w:val="Heading2"/>
        <w:rPr>
          <w:snapToGrid w:val="0"/>
        </w:rPr>
      </w:pPr>
      <w:r>
        <w:rPr>
          <w:snapToGrid w:val="0"/>
        </w:rPr>
        <w:t>4.3.3</w:t>
      </w:r>
      <w:r>
        <w:rPr>
          <w:snapToGrid w:val="0"/>
        </w:rPr>
        <w:tab/>
        <w:t xml:space="preserve">Systèmes à satellites non </w:t>
      </w:r>
      <w:r>
        <w:t>OSG</w:t>
      </w:r>
    </w:p>
    <w:p w:rsidR="002B489A" w:rsidRDefault="004F19C4">
      <w:pPr>
        <w:spacing w:line="280" w:lineRule="exact"/>
      </w:pPr>
      <w:r>
        <w:t>Jusqu'à présent, aucun système à satellites non OSG ne fonctionne dans la bande 10,7</w:t>
      </w:r>
      <w:r>
        <w:noBreakHyphen/>
        <w:t>10,95 GHz, mais plusieurs sont en projet et devraient commencer à fonctionner dans un proche avenir. Des calculs préliminaires ont été effectués pour un de ces systèmes (F</w:t>
      </w:r>
      <w:r>
        <w:noBreakHyphen/>
        <w:t>SATMULTI1 B), en utilisant la méthode de la puissance surfacique équivalente (epfd) (voir les Recommandations UIT-R </w:t>
      </w:r>
      <w:r>
        <w:rPr>
          <w:bCs/>
        </w:rPr>
        <w:t xml:space="preserve">RA.1513 </w:t>
      </w:r>
      <w:r>
        <w:t>et UIT</w:t>
      </w:r>
      <w:r>
        <w:noBreakHyphen/>
        <w:t>R </w:t>
      </w:r>
      <w:r>
        <w:rPr>
          <w:bCs/>
        </w:rPr>
        <w:t>S.1586).</w:t>
      </w:r>
      <w:r>
        <w:t xml:space="preserve"> Ces calculs montrent qu'en utilisant les hypothèses de la Recommandation UIT</w:t>
      </w:r>
      <w:r>
        <w:noBreakHyphen/>
        <w:t>R </w:t>
      </w:r>
      <w:r>
        <w:rPr>
          <w:bCs/>
        </w:rPr>
        <w:t>RA.769</w:t>
      </w:r>
      <w:r>
        <w:t xml:space="preserve">, des valeurs de filtrage entre 30 dB et 40 dB seraient nécessaires pour protéger le SRA dans la bande 10,7 GHz contre les rayonnements non essentiels de ce système au niveau de </w:t>
      </w:r>
      <w:r>
        <w:sym w:font="Symbol" w:char="F02D"/>
      </w:r>
      <w:r>
        <w:t>240 dB(W/(m</w:t>
      </w:r>
      <w:r>
        <w:rPr>
          <w:vertAlign w:val="superscript"/>
        </w:rPr>
        <w:t>2</w:t>
      </w:r>
      <w:r>
        <w:rPr>
          <w:sz w:val="28"/>
        </w:rPr>
        <w:t> </w:t>
      </w:r>
      <w:r>
        <w:rPr>
          <w:rFonts w:ascii="Symbol" w:hAnsi="Symbol"/>
        </w:rPr>
        <w:t></w:t>
      </w:r>
      <w:r>
        <w:rPr>
          <w:sz w:val="28"/>
        </w:rPr>
        <w:t> </w:t>
      </w:r>
      <w:r>
        <w:t>Hz)) dans une largeur de bande de 100 MHz. Ce résultat est cohérent avec le premier exemple de système OSG décrit plus haut.</w:t>
      </w:r>
    </w:p>
    <w:p w:rsidR="002B489A" w:rsidRDefault="004F19C4">
      <w:pPr>
        <w:pStyle w:val="Heading1"/>
      </w:pPr>
      <w:r>
        <w:t>5</w:t>
      </w:r>
      <w:r>
        <w:tab/>
        <w:t>Techniques de réduction des brouillages</w:t>
      </w:r>
    </w:p>
    <w:p w:rsidR="002B489A" w:rsidRDefault="004F19C4">
      <w:pPr>
        <w:pStyle w:val="Heading2"/>
      </w:pPr>
      <w:r>
        <w:t>5.1</w:t>
      </w:r>
      <w:r>
        <w:tab/>
        <w:t>SRA</w:t>
      </w:r>
    </w:p>
    <w:p w:rsidR="002B489A" w:rsidRDefault="004F19C4">
      <w:r>
        <w:t>Afin de continuer les observations du SRA dans la situation de brouillage décrite au § 4.3.1, un filtre a été introduit à l'extrémité avant du récepteur du radiotélescope. Les spécifications du filtre ont été conçues de façon à diminuer l'émission principale provenant de la source du brouillage de 70 dB, tout en laissant une bande passante suffisante avec l'affaiblissement d'insertion minimal.</w:t>
      </w:r>
    </w:p>
    <w:p w:rsidR="002B489A" w:rsidRDefault="004F19C4">
      <w:r>
        <w:br w:type="page"/>
        <w:t>Les amplificateurs fondés sur des transistors à effet de champ pourraient être reréglés à une fréquence légèrement inférieure sans perte de gain ou augmentation du facteur de bruit. Un bon filtre disponible sur le marché pourrait être trouvé. La Fig. 25 montre la fonction de transfert du filtre, telle que fournie par le fabricant.</w:t>
      </w:r>
    </w:p>
    <w:p w:rsidR="002B489A" w:rsidRDefault="002B489A"/>
    <w:p w:rsidR="002B489A" w:rsidRDefault="002B489A"/>
    <w:p w:rsidR="002B489A" w:rsidRDefault="004F19C4">
      <w:pPr>
        <w:pStyle w:val="FigureNo"/>
      </w:pPr>
      <w:r>
        <w:object w:dxaOrig="6610" w:dyaOrig="5962">
          <v:shape id="_x0000_i1042" type="#_x0000_t75" style="width:331pt;height:298pt" o:ole="">
            <v:imagedata r:id="rId60" o:title=""/>
          </v:shape>
          <o:OLEObject Type="Embed" ProgID="Designer.Drawing.7" ShapeID="_x0000_i1042" DrawAspect="Content" ObjectID="_1649163288" r:id="rId61"/>
        </w:object>
      </w:r>
    </w:p>
    <w:p w:rsidR="002B489A" w:rsidRDefault="002B489A"/>
    <w:p w:rsidR="002B489A" w:rsidRDefault="002B489A"/>
    <w:p w:rsidR="002B489A" w:rsidRDefault="004F19C4">
      <w:r>
        <w:t>Le marqueur 3 de la Fig. 25 est réglé à la fréquence centrale nominale de l'émission brouilleuse du satellite, qui est 10,714 GHz. A noter que l'attribution au SRA de la bande 10,6</w:t>
      </w:r>
      <w:r>
        <w:noBreakHyphen/>
        <w:t>10,7 GHz est marquée par des lignes en tirets.</w:t>
      </w:r>
    </w:p>
    <w:p w:rsidR="002B489A" w:rsidRDefault="004F19C4">
      <w:r>
        <w:t>On peut noter que le filtre décrit ci-dessus, qui a été conçu pour protéger le récepteur de radioastronomie, donne un affaiblissement d'insertion minimal à une séparation de fréquence d'environ 200 MHz de la fréquence centrale d'un signal supprimé. Avec les progrès technologiques des filtres, de meilleurs chiffres pourraient être obtenus, mais les instruments actuellement disponibles exigent que soit fait un glissement de fréquence d'au moins 100 MHz.</w:t>
      </w:r>
    </w:p>
    <w:p w:rsidR="002B489A" w:rsidRDefault="004F19C4">
      <w:r>
        <w:t>On notera aussi que des observations du SRA utilisables pourraient être effectuées à Effelsberg dans une bande de fréquences d'environ 10,5 GHz, qui est attribuée au service fixe de Terre, et dans laquelle des brouillages ne sont signalés qu'occasionnellement. Ceci ne peut pas s'appliquer à d'autres pays à cause de leur utilisation particulière du service fixe dans cette bande.</w:t>
      </w:r>
    </w:p>
    <w:p w:rsidR="002B489A" w:rsidRDefault="004F19C4">
      <w:pPr>
        <w:pStyle w:val="Heading2"/>
      </w:pPr>
      <w:r>
        <w:br w:type="page"/>
        <w:t>5.2</w:t>
      </w:r>
      <w:r>
        <w:tab/>
        <w:t>Le service actif</w:t>
      </w:r>
    </w:p>
    <w:p w:rsidR="002B489A" w:rsidRDefault="004F19C4">
      <w:pPr>
        <w:rPr>
          <w:bCs/>
        </w:rPr>
      </w:pPr>
      <w:r>
        <w:t>Un certain nombre de méthodes de réduction des brouillages possibles peuvent être mises en œuvre pour minimiser l'impact sur le service passif. Elles sont énumérées dans la Recommandation UIT</w:t>
      </w:r>
      <w:r>
        <w:noBreakHyphen/>
        <w:t>R </w:t>
      </w:r>
      <w:r>
        <w:rPr>
          <w:bCs/>
        </w:rPr>
        <w:t>SM.1542. Certains cas spécifiques qui ont été appliqués pour protéger les services passifs fonctionnant dans la bande 10,6</w:t>
      </w:r>
      <w:r>
        <w:rPr>
          <w:bCs/>
        </w:rPr>
        <w:noBreakHyphen/>
        <w:t>10,7 GHz sont donnés ci-dessous:</w:t>
      </w:r>
    </w:p>
    <w:p w:rsidR="002B489A" w:rsidRDefault="004F19C4">
      <w:pPr>
        <w:pStyle w:val="enumlev1"/>
      </w:pPr>
      <w:r>
        <w:rPr>
          <w:bCs/>
        </w:rPr>
        <w:t>–</w:t>
      </w:r>
      <w:r>
        <w:rPr>
          <w:bCs/>
        </w:rPr>
        <w:tab/>
        <w:t>Une administration a trouvé que, alors que les limites de brouillage de la Recommandation UIT-R RA.769 o</w:t>
      </w:r>
      <w:r>
        <w:t>nt fourni une protection contre le brouillage du fonctionnement du SRA, on pourrait obtenir plus de souplesse en exigeant que les fournisseurs de SFS non OSG se coordonnent et réalisent un accord mutuellement acceptable avec les installations du SRA qui utilisent la bande 10,6</w:t>
      </w:r>
      <w:r>
        <w:noBreakHyphen/>
        <w:t>10,7 GHz, garantissant que ces installations soient adéquatement protégées contre les brouillages. A cet effet, un renvoi a été ajouté au Tableau national d'attribution des bandes de fréquences pertinent. Le texte est le suivant:</w:t>
      </w:r>
    </w:p>
    <w:p w:rsidR="002B489A" w:rsidRDefault="004F19C4">
      <w:pPr>
        <w:pStyle w:val="enumlev1"/>
      </w:pPr>
      <w:r>
        <w:tab/>
        <w:t>«Dans la bande 10,7</w:t>
      </w:r>
      <w:r>
        <w:noBreakHyphen/>
        <w:t>11,7 GHz, les détenteurs de licences d'utilisation d'orbites non géostationnaires dans le service fixe par satellite (espace vers Terre) doivent avant de commencer leurs opérations, se coordonner avec les observatoires de radioastronomie suivants pour réaliser un accord mutuellement acceptable au sujet de la protection des installations de radiotélescope fonctionnant dans la bande 10,6</w:t>
      </w:r>
      <w:r>
        <w:noBreakHyphen/>
        <w:t>10,7 GHz» (NOTE 1 – A cet endroit du renvoi figure un tableau des sites de radioastronomie)</w:t>
      </w:r>
    </w:p>
    <w:p w:rsidR="002B489A" w:rsidRDefault="004F19C4">
      <w:pPr>
        <w:pStyle w:val="enumlev1"/>
      </w:pPr>
      <w:r>
        <w:t>–</w:t>
      </w:r>
      <w:r>
        <w:tab/>
        <w:t>Une contribution suggère d'envisager l'établissement d'une bande de garde entre la bande SFS et la bande SRA (voir les considérations sur ce problème au § 4.3.1). Les résultats de l'examen bande par bande peuvent conclure que la seule option est de chercher à mettre en œuvre une bande de garde entre le SFS et le SRA. Cependant, la répartition de la charge de la bande de garde entre les services doit être étudiée.</w:t>
      </w:r>
    </w:p>
    <w:p w:rsidR="002B489A" w:rsidRDefault="004F19C4">
      <w:pPr>
        <w:pStyle w:val="enumlev1"/>
      </w:pPr>
      <w:r>
        <w:tab/>
        <w:t xml:space="preserve">Il faut garder présent à l'esprit que toute bande de garde imposée au SFS aurait un impact sur le Plan de l’Appendice </w:t>
      </w:r>
      <w:r>
        <w:rPr>
          <w:bCs/>
        </w:rPr>
        <w:t>30B du RR</w:t>
      </w:r>
      <w:r>
        <w:t>. De même, toute bande de garde imposée au SRA aurait pour résultat une augmentation des temps de mesure, réduisant ainsi l'utilisation des stations du SRA.</w:t>
      </w:r>
    </w:p>
    <w:p w:rsidR="002B489A" w:rsidRDefault="004F19C4">
      <w:pPr>
        <w:pStyle w:val="enumlev1"/>
      </w:pPr>
      <w:r>
        <w:tab/>
        <w:t>De même, si l'on étend l'attribution au SRA au-dessous de 10,6 GHz, ce qui devrait permettre au service au SRA de fonctionner correctement dans une largeur de bande de 100 MHz, cela peut avoir un impact sur les services fonctionnant au-dessous de 10,6 GHz.</w:t>
      </w:r>
    </w:p>
    <w:p w:rsidR="002B489A" w:rsidRDefault="004F19C4">
      <w:pPr>
        <w:pStyle w:val="Heading2"/>
      </w:pPr>
      <w:r>
        <w:t>5.3</w:t>
      </w:r>
      <w:r>
        <w:tab/>
        <w:t>Impact potentiel</w:t>
      </w:r>
    </w:p>
    <w:p w:rsidR="002B489A" w:rsidRDefault="004F19C4">
      <w:pPr>
        <w:pStyle w:val="Heading3"/>
      </w:pPr>
      <w:r>
        <w:t>5.3.1</w:t>
      </w:r>
      <w:r>
        <w:tab/>
        <w:t>SRA</w:t>
      </w:r>
    </w:p>
    <w:p w:rsidR="002B489A" w:rsidRDefault="004F19C4">
      <w:r>
        <w:t xml:space="preserve">Du point de vue de la radioastronomie, il est techniquement impossible de filtrer les brouillages dont il est question au § 4.3.1. Même un système SRS/SFS bien conçu forcerait les observatoires de radioastronomie à insérer des filtres aux extrémités avant des récepteurs. Celles qui sont utilisées aujourd'hui dans les observatoires radio contiennent normalement des amplificateurs </w:t>
      </w:r>
      <w:r>
        <w:rPr>
          <w:iCs/>
        </w:rPr>
        <w:t>transistors à mobilité électronique élevé</w:t>
      </w:r>
      <w:r>
        <w:t xml:space="preserve"> (HEMT</w:t>
      </w:r>
      <w:r>
        <w:rPr>
          <w:iCs/>
        </w:rPr>
        <w:t xml:space="preserve">, </w:t>
      </w:r>
      <w:r>
        <w:rPr>
          <w:i/>
          <w:iCs/>
        </w:rPr>
        <w:t>high electron mobility transistors</w:t>
      </w:r>
      <w:r>
        <w:t>) refroidis, qui sont large bande par nature. La bande passante de l'amplificateur de premier étage glisse lentement hors de la bordure de la largeur de bande nominale. Les émetteurs de satellite en particulier, qui viennent assez près de la direction d'observation, risquent de causer des non-linéarités du système récepteur; le filtrage peut donc être nécessaire avant le premier étage d'amplification de l'extrémité avant du récepteur. Dans la conception des récepteurs de radioastronomie, cependant, on peut toujours essayer d'éviter l'affaiblissement de transmission, ce qui élève la température de bruit du récepteur. Cet affaiblissement devrait survenir lorsqu'une bande de garde insuffisante est prise en compte pour protéger les observations de radioastronomie, et aussi parce qu'aux fréquences considérées, la technologie des filtres n'est pas suffisamment développée.</w:t>
      </w:r>
    </w:p>
    <w:p w:rsidR="002B489A" w:rsidRDefault="004F19C4">
      <w:pPr>
        <w:pStyle w:val="Heading3"/>
      </w:pPr>
      <w:r>
        <w:br w:type="page"/>
        <w:t>5.3.2</w:t>
      </w:r>
      <w:r>
        <w:tab/>
        <w:t>SFS</w:t>
      </w:r>
    </w:p>
    <w:p w:rsidR="002B489A" w:rsidRDefault="004F19C4">
      <w:r>
        <w:t>On peut utiliser des filtres pour supprimer les rayonnements non désirés, mais la conception du satellite s'en trouve sensiblement modifiée:</w:t>
      </w:r>
    </w:p>
    <w:p w:rsidR="002B489A" w:rsidRDefault="004F19C4">
      <w:pPr>
        <w:pStyle w:val="enumlev1"/>
      </w:pPr>
      <w:r>
        <w:t>–</w:t>
      </w:r>
      <w:r>
        <w:tab/>
        <w:t>L'affaiblissement d'insertion introduit par le filtre peut provoquer une perte de capacité. Compenser cette perte exige une augmentation de la taille de l'amplificateur à forte puissance, avec les conséquences que cela a sur la conception de la station spatiale (coût, poids, puissance, fiabilité).</w:t>
      </w:r>
    </w:p>
    <w:p w:rsidR="002B489A" w:rsidRDefault="004F19C4">
      <w:pPr>
        <w:pStyle w:val="enumlev1"/>
      </w:pPr>
      <w:r>
        <w:t>–</w:t>
      </w:r>
      <w:r>
        <w:tab/>
        <w:t>L'insertion d'un filtre a un impact sur la réponse de phase du signal dans la bande. Si les niveaux de tolérance de phase du récepteur sont dépassés, les performances de la liaison en seront affectées même s'il y a une puissance suffisante au récepteur.</w:t>
      </w:r>
    </w:p>
    <w:p w:rsidR="002B489A" w:rsidRDefault="004F19C4">
      <w:pPr>
        <w:pStyle w:val="enumlev1"/>
      </w:pPr>
      <w:r>
        <w:t>–</w:t>
      </w:r>
      <w:r>
        <w:tab/>
        <w:t>L'ajout d'un filtre augmente la complexité de la conception de la station spatiale et du programme d'essai.</w:t>
      </w:r>
    </w:p>
    <w:p w:rsidR="002B489A" w:rsidRDefault="004F19C4">
      <w:r>
        <w:t>De plus, si on utilise une antenne active en réseau à commande de phase, des filtres peuvent être nécessaires pour chaque élément d'antenne.</w:t>
      </w:r>
    </w:p>
    <w:p w:rsidR="002B489A" w:rsidRDefault="004F19C4">
      <w:r>
        <w:t>Pour les systèmes à satellites multifaisceaux dont le fonctionnement est prévu dans les gammes de fréquences qui nous intéressent, le nombre de faisceaux ou le nombre d'éléments dans le système d'antenne en réseau à commande de phase multiplie les conséquences en termes de coût et de poids des filtrages RF supplémentaires. Ceci est dû au fait que dans un système multifaisceaux, les amplificateurs de sortie ne sont généralement pas partagés entre les faisceaux, et devront donc être filtrés séparément. Dans un système du type réseau à commande de phase, le dernier étage d'amplification a lieu dans les divers éléments du réseau, et chacun d'eux devra être filtré séparément. De cette façon, le nombre de faisceaux accentue l'impact en poids d'un filtre individuel dans le système, ou du nombre d'éléments dans un réseau à commande de phase. L'affaiblissement d'insertion du filtre peut affecter la capacité du système.</w:t>
      </w:r>
    </w:p>
    <w:p w:rsidR="002B489A" w:rsidRDefault="004F19C4">
      <w:r>
        <w:t>L'isolement géographique impliquerait l'utilisation d'une décroissance rapide du diagramme d'antenne du satellite pour assurer que l'isolement requis satisfait à un critère de partage approuvé sur un site particulier de récepteur de radioastronomie. Cette technique suppose tacitement qu'un système SFS n'aura pas une zone de couverture mondiale, ou même régionale, ce qui en soi est une hypothèse restrictive. De nombreux systèmes à 10</w:t>
      </w:r>
      <w:r>
        <w:noBreakHyphen/>
        <w:t>14 GHz ont des faisceaux régionaux ou sous</w:t>
      </w:r>
      <w:r>
        <w:noBreakHyphen/>
        <w:t>régionaux pour lesquels l'isolement géographique n'est pas réalisable. D'autres systèmes à faisceau ponctuel peuvent être capables d'utiliser l'isolement géographique; cependant, dans la perspective des systèmes à satellites, ce n'est pas une solution séduisante car certaines zones de la Terre n'auraient pas accès au service par satellite. De telles limitations des zones du SFS pourraient avoir des implications sérieuses en termes de revenu. Cependant, cette solution a l'avantage de tenir compte des exigences réelles de protection des sites spécifiques de radioastronomie, sans qu'il soit besoin de se référer aux critères de cas le plus défavorable à chacun de ces sites.</w:t>
      </w:r>
    </w:p>
    <w:p w:rsidR="002B489A" w:rsidRDefault="004F19C4">
      <w:pPr>
        <w:pStyle w:val="Heading1"/>
        <w:ind w:left="0" w:firstLine="0"/>
      </w:pPr>
      <w:r>
        <w:t>6</w:t>
      </w:r>
      <w:r>
        <w:tab/>
        <w:t>Résultats des études</w:t>
      </w:r>
    </w:p>
    <w:p w:rsidR="002B489A" w:rsidRDefault="004F19C4">
      <w:pPr>
        <w:pStyle w:val="Heading2"/>
      </w:pPr>
      <w:r>
        <w:t>6.1</w:t>
      </w:r>
      <w:r>
        <w:tab/>
        <w:t>Résumé</w:t>
      </w:r>
    </w:p>
    <w:p w:rsidR="002B489A" w:rsidRDefault="004F19C4">
      <w:r>
        <w:t>Dans la Région 2, les procédés de conception et les méthodes de réduction des brouillages actuellement disponibles ont protégé le SRA dans la bande 10,6</w:t>
      </w:r>
      <w:r>
        <w:noBreakHyphen/>
        <w:t xml:space="preserve">10,7 GHz contre le nombre limité de stations spatiales SFS déployées actuellement. Dans les cas où l'utilisation du Plan de l'Appendice </w:t>
      </w:r>
      <w:r>
        <w:rPr>
          <w:bCs/>
        </w:rPr>
        <w:t xml:space="preserve">30B du RR </w:t>
      </w:r>
      <w:r>
        <w:t>peut avoir créé des brouillages sur les observations de radioastronomie, les pressions exercées par d'autres pays ont amené à corriger la situation. Cependant, le développement de futures stations spatiales qui ne chercheraient pas systématiquement à protéger les radiotélescopes pourrait avoir un effet négatif sur leur fonctionnement.</w:t>
      </w:r>
    </w:p>
    <w:p w:rsidR="002B489A" w:rsidRDefault="004F19C4">
      <w:r>
        <w:br w:type="page"/>
        <w:t>Dans la Région 1, la juxtaposition de bandes attribuées au SRA et au SFS ou au SRS, pour être utilisées à l'émission de signaux dans le sens espace vers Terre, a donné lieu à une situation de brouillage difficile dans certains pays – de celles qui ne peuvent se résoudre que par la mise en place d'une bande de garde entre les deux services. Dans cette bande, les critères de protection dont la liste figure au § 1.3 sont satisfaits par le service actif pour le cas VLBI, mais pas pour le cas du continuum à antenne unique. Des méthodes de réduction des brouillages ont été utilisées dans la Région 2 pour satisfaire au niveau du continuum à antenne unique. Cependant, il y a actuellement dans la Région 1 des cas persistants de brouillage nuisible.</w:t>
      </w:r>
    </w:p>
    <w:p w:rsidR="002B489A" w:rsidRDefault="004F19C4">
      <w:r>
        <w:t>Aucune donnée n'a été reçue et aucune étude n'a été faite pour la Région 3.</w:t>
      </w:r>
    </w:p>
    <w:p w:rsidR="002B489A" w:rsidRDefault="004F19C4">
      <w:pPr>
        <w:pStyle w:val="Heading2"/>
      </w:pPr>
      <w:r>
        <w:t>6.2</w:t>
      </w:r>
      <w:r>
        <w:tab/>
        <w:t>Conclusions</w:t>
      </w:r>
    </w:p>
    <w:p w:rsidR="002B489A" w:rsidRDefault="004F19C4">
      <w:r>
        <w:t>Dans la Région 1, les critères de protection sont satisfaits pour le cas VLBI, mais pas pour les observations du continuum ou de raies spectrales à antenne unique. Dans la Région 2, les critères de protection sont satisfaits pour le cas VLBI.</w:t>
      </w:r>
    </w:p>
    <w:p w:rsidR="002B489A" w:rsidRDefault="002B489A"/>
    <w:p w:rsidR="002B489A" w:rsidRDefault="004F19C4">
      <w:pPr>
        <w:pStyle w:val="AnnexNoTitle"/>
      </w:pPr>
      <w:r>
        <w:t>Annexe 11</w:t>
      </w:r>
      <w:r>
        <w:br/>
      </w:r>
      <w:r>
        <w:br/>
        <w:t>Analyse de compatibilité entre le SETS (passive) dans la bande 21,2-21,4 GHz</w:t>
      </w:r>
      <w:r>
        <w:br/>
        <w:t>et les systèmes du SFS (espace vers Terre) et du SMS</w:t>
      </w:r>
      <w:r>
        <w:br/>
        <w:t>(espace vers Terre) dans la bande 20,2-21,2 GHz</w:t>
      </w:r>
    </w:p>
    <w:p w:rsidR="002B489A" w:rsidRDefault="004F19C4">
      <w:pPr>
        <w:pStyle w:val="Heading1"/>
      </w:pPr>
      <w:r>
        <w:t>1</w:t>
      </w:r>
      <w:r>
        <w:tab/>
        <w:t>SETS (passive)</w:t>
      </w:r>
    </w:p>
    <w:p w:rsidR="002B489A" w:rsidRDefault="004F19C4">
      <w:pPr>
        <w:pStyle w:val="Heading2"/>
      </w:pPr>
      <w:r>
        <w:t>1.1</w:t>
      </w:r>
      <w:r>
        <w:tab/>
        <w:t>Bande attribuée</w:t>
      </w:r>
    </w:p>
    <w:p w:rsidR="002B489A" w:rsidRDefault="004F19C4">
      <w:r>
        <w:t>Le Tableau 24 donne une liste des attributions dans la bande 21,2</w:t>
      </w:r>
      <w:r>
        <w:noBreakHyphen/>
        <w:t>21,4 GHz et dans les bandes adjacentes.</w:t>
      </w:r>
    </w:p>
    <w:p w:rsidR="002B489A" w:rsidRDefault="004F19C4">
      <w:pPr>
        <w:pStyle w:val="TableNo"/>
      </w:pPr>
      <w:r>
        <w:t>TABLEAU  24</w:t>
      </w:r>
    </w:p>
    <w:p w:rsidR="002B489A" w:rsidRDefault="004F19C4">
      <w:pPr>
        <w:pStyle w:val="Tabletitle"/>
      </w:pPr>
      <w:r>
        <w:t>Attributions dans les bandes adjacentes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93"/>
        <w:gridCol w:w="3704"/>
        <w:gridCol w:w="2942"/>
      </w:tblGrid>
      <w:tr w:rsidR="002B489A">
        <w:tc>
          <w:tcPr>
            <w:tcW w:w="3003" w:type="dxa"/>
            <w:shd w:val="clear" w:color="auto" w:fill="FFFFFF"/>
          </w:tcPr>
          <w:p w:rsidR="002B489A" w:rsidRDefault="004F19C4">
            <w:pPr>
              <w:pStyle w:val="Tablehead"/>
              <w:framePr w:hSpace="181" w:wrap="notBeside" w:vAnchor="text" w:hAnchor="text" w:xAlign="center" w:y="1"/>
            </w:pPr>
            <w:r>
              <w:t>Services dans la bande attribuée inférieure</w:t>
            </w:r>
          </w:p>
        </w:tc>
        <w:tc>
          <w:tcPr>
            <w:tcW w:w="3717" w:type="dxa"/>
            <w:shd w:val="clear" w:color="auto" w:fill="FFFFFF"/>
          </w:tcPr>
          <w:p w:rsidR="002B489A" w:rsidRDefault="004F19C4">
            <w:pPr>
              <w:pStyle w:val="Tablehead"/>
              <w:framePr w:hSpace="181" w:wrap="notBeside" w:vAnchor="text" w:hAnchor="text" w:xAlign="center" w:y="1"/>
            </w:pPr>
            <w:r>
              <w:t>Bande passive</w:t>
            </w:r>
          </w:p>
        </w:tc>
        <w:tc>
          <w:tcPr>
            <w:tcW w:w="2952" w:type="dxa"/>
            <w:shd w:val="clear" w:color="auto" w:fill="FFFFFF"/>
          </w:tcPr>
          <w:p w:rsidR="002B489A" w:rsidRDefault="004F19C4">
            <w:pPr>
              <w:pStyle w:val="Tablehead"/>
              <w:framePr w:hSpace="181" w:wrap="notBeside" w:vAnchor="text" w:hAnchor="text" w:xAlign="center" w:y="1"/>
            </w:pPr>
            <w:r>
              <w:t>Service dans la bande attribuée supérieure</w:t>
            </w:r>
          </w:p>
        </w:tc>
      </w:tr>
      <w:tr w:rsidR="002B489A">
        <w:tc>
          <w:tcPr>
            <w:tcW w:w="3003" w:type="dxa"/>
            <w:shd w:val="clear" w:color="auto" w:fill="FFFFFF"/>
          </w:tcPr>
          <w:p w:rsidR="002B489A" w:rsidRDefault="004F19C4">
            <w:pPr>
              <w:pStyle w:val="Tablehead"/>
              <w:framePr w:hSpace="181" w:wrap="notBeside" w:vAnchor="text" w:hAnchor="text" w:xAlign="center" w:y="1"/>
              <w:rPr>
                <w:b w:val="0"/>
                <w:bCs/>
              </w:rPr>
            </w:pPr>
            <w:r>
              <w:rPr>
                <w:b w:val="0"/>
                <w:bCs/>
              </w:rPr>
              <w:t>20,2</w:t>
            </w:r>
            <w:r>
              <w:rPr>
                <w:b w:val="0"/>
                <w:bCs/>
              </w:rPr>
              <w:noBreakHyphen/>
              <w:t>21,2 GHz</w:t>
            </w:r>
          </w:p>
        </w:tc>
        <w:tc>
          <w:tcPr>
            <w:tcW w:w="3717" w:type="dxa"/>
            <w:shd w:val="clear" w:color="auto" w:fill="FFFFFF"/>
          </w:tcPr>
          <w:p w:rsidR="002B489A" w:rsidRDefault="004F19C4">
            <w:pPr>
              <w:pStyle w:val="Tablehead"/>
              <w:framePr w:hSpace="181" w:wrap="notBeside" w:vAnchor="text" w:hAnchor="text" w:xAlign="center" w:y="1"/>
              <w:rPr>
                <w:b w:val="0"/>
                <w:bCs/>
              </w:rPr>
            </w:pPr>
            <w:r>
              <w:rPr>
                <w:b w:val="0"/>
                <w:bCs/>
              </w:rPr>
              <w:t>21,2</w:t>
            </w:r>
            <w:r>
              <w:rPr>
                <w:b w:val="0"/>
                <w:bCs/>
              </w:rPr>
              <w:noBreakHyphen/>
              <w:t>21,4 GHz</w:t>
            </w:r>
          </w:p>
        </w:tc>
        <w:tc>
          <w:tcPr>
            <w:tcW w:w="2952" w:type="dxa"/>
            <w:shd w:val="clear" w:color="auto" w:fill="FFFFFF"/>
          </w:tcPr>
          <w:p w:rsidR="002B489A" w:rsidRDefault="004F19C4">
            <w:pPr>
              <w:pStyle w:val="Tablehead"/>
              <w:framePr w:hSpace="181" w:wrap="notBeside" w:vAnchor="text" w:hAnchor="text" w:xAlign="center" w:y="1"/>
              <w:rPr>
                <w:b w:val="0"/>
                <w:bCs/>
              </w:rPr>
            </w:pPr>
            <w:r>
              <w:rPr>
                <w:b w:val="0"/>
                <w:bCs/>
              </w:rPr>
              <w:t>21,4</w:t>
            </w:r>
            <w:r>
              <w:rPr>
                <w:b w:val="0"/>
                <w:bCs/>
              </w:rPr>
              <w:noBreakHyphen/>
              <w:t>22 GHz</w:t>
            </w:r>
          </w:p>
        </w:tc>
      </w:tr>
      <w:tr w:rsidR="002B489A">
        <w:tc>
          <w:tcPr>
            <w:tcW w:w="3003" w:type="dxa"/>
            <w:tcBorders>
              <w:bottom w:val="single" w:sz="4" w:space="0" w:color="auto"/>
            </w:tcBorders>
          </w:tcPr>
          <w:p w:rsidR="002B489A" w:rsidRDefault="004F19C4">
            <w:pPr>
              <w:pStyle w:val="Tabletext"/>
              <w:framePr w:hSpace="181" w:wrap="notBeside" w:vAnchor="text" w:hAnchor="text" w:xAlign="center" w:y="1"/>
              <w:jc w:val="left"/>
            </w:pPr>
            <w:r>
              <w:t>FIXE par SATELLITE (espace vers Terre)</w:t>
            </w:r>
          </w:p>
          <w:p w:rsidR="002B489A" w:rsidRDefault="004F19C4">
            <w:pPr>
              <w:pStyle w:val="Tabletext"/>
              <w:framePr w:hSpace="181" w:wrap="notBeside" w:vAnchor="text" w:hAnchor="text" w:xAlign="center" w:y="1"/>
              <w:jc w:val="left"/>
            </w:pPr>
            <w:r>
              <w:t>MOBILE par SATELLITE (espace vers Terre)</w:t>
            </w:r>
          </w:p>
          <w:p w:rsidR="002B489A" w:rsidRDefault="004F19C4">
            <w:pPr>
              <w:pStyle w:val="Tabletext"/>
              <w:framePr w:hSpace="181" w:wrap="notBeside" w:vAnchor="text" w:hAnchor="text" w:xAlign="center" w:y="1"/>
              <w:jc w:val="left"/>
            </w:pPr>
            <w:r>
              <w:t>Fréquences étalon et signaux horaires par satellite (espace vers Terre)</w:t>
            </w:r>
          </w:p>
          <w:p w:rsidR="002B489A" w:rsidRDefault="004F19C4">
            <w:pPr>
              <w:pStyle w:val="Tabletext"/>
              <w:framePr w:hSpace="181" w:wrap="notBeside" w:vAnchor="text" w:hAnchor="text" w:xAlign="center" w:y="1"/>
              <w:jc w:val="left"/>
            </w:pPr>
            <w:r>
              <w:t>5.524</w:t>
            </w:r>
          </w:p>
        </w:tc>
        <w:tc>
          <w:tcPr>
            <w:tcW w:w="3717" w:type="dxa"/>
            <w:tcBorders>
              <w:bottom w:val="single" w:sz="4" w:space="0" w:color="auto"/>
            </w:tcBorders>
          </w:tcPr>
          <w:p w:rsidR="002B489A" w:rsidRDefault="004F19C4">
            <w:pPr>
              <w:pStyle w:val="Tabletext"/>
              <w:framePr w:hSpace="181" w:wrap="notBeside" w:vAnchor="text" w:hAnchor="text" w:xAlign="center" w:y="1"/>
              <w:jc w:val="left"/>
            </w:pPr>
            <w:r>
              <w:t>EXPLORATION DE LA TERRE PAR SATELLITE (passive)</w:t>
            </w:r>
          </w:p>
          <w:p w:rsidR="002B489A" w:rsidRDefault="004F19C4">
            <w:pPr>
              <w:pStyle w:val="Tabletext"/>
              <w:framePr w:hSpace="181" w:wrap="notBeside" w:vAnchor="text" w:hAnchor="text" w:xAlign="center" w:y="1"/>
              <w:jc w:val="left"/>
            </w:pPr>
            <w:r>
              <w:t>FIXE</w:t>
            </w:r>
            <w:r>
              <w:br/>
              <w:t xml:space="preserve">MOBILE </w:t>
            </w:r>
          </w:p>
          <w:p w:rsidR="002B489A" w:rsidRDefault="004F19C4">
            <w:pPr>
              <w:pStyle w:val="Tabletext"/>
              <w:framePr w:hSpace="181" w:wrap="notBeside" w:vAnchor="text" w:hAnchor="text" w:xAlign="center" w:y="1"/>
              <w:jc w:val="left"/>
            </w:pPr>
            <w:r>
              <w:t>RECHERCHE SPATIALE (passive)</w:t>
            </w:r>
          </w:p>
        </w:tc>
        <w:tc>
          <w:tcPr>
            <w:tcW w:w="2952" w:type="dxa"/>
            <w:tcBorders>
              <w:bottom w:val="single" w:sz="4" w:space="0" w:color="auto"/>
            </w:tcBorders>
          </w:tcPr>
          <w:p w:rsidR="002B489A" w:rsidRDefault="004F19C4">
            <w:pPr>
              <w:pStyle w:val="Tabletext"/>
              <w:framePr w:hSpace="181" w:wrap="notBeside" w:vAnchor="text" w:hAnchor="text" w:xAlign="center" w:y="1"/>
              <w:jc w:val="left"/>
            </w:pPr>
            <w:r>
              <w:t>FIXE</w:t>
            </w:r>
          </w:p>
          <w:p w:rsidR="002B489A" w:rsidRDefault="004F19C4">
            <w:pPr>
              <w:pStyle w:val="Tabletext"/>
              <w:framePr w:hSpace="181" w:wrap="notBeside" w:vAnchor="text" w:hAnchor="text" w:xAlign="center" w:y="1"/>
              <w:jc w:val="left"/>
            </w:pPr>
            <w:r>
              <w:t>MOBILE</w:t>
            </w:r>
          </w:p>
          <w:p w:rsidR="002B489A" w:rsidRDefault="004F19C4">
            <w:pPr>
              <w:pStyle w:val="Tabletext"/>
              <w:framePr w:hSpace="181" w:wrap="notBeside" w:vAnchor="text" w:hAnchor="text" w:xAlign="center" w:y="1"/>
              <w:jc w:val="left"/>
            </w:pPr>
            <w:r>
              <w:t>RADIODIFFUSION PAR SATELLITE (Régions 1 et 3)</w:t>
            </w:r>
            <w:r>
              <w:br/>
              <w:t>5.530</w:t>
            </w:r>
            <w:r>
              <w:br/>
            </w:r>
            <w:r>
              <w:br/>
            </w:r>
          </w:p>
          <w:p w:rsidR="002B489A" w:rsidRDefault="004F19C4">
            <w:pPr>
              <w:pStyle w:val="Tabletext"/>
              <w:framePr w:hSpace="181" w:wrap="notBeside" w:vAnchor="text" w:hAnchor="text" w:xAlign="center" w:y="1"/>
              <w:jc w:val="left"/>
            </w:pPr>
            <w:r>
              <w:t>5.531</w:t>
            </w:r>
          </w:p>
        </w:tc>
      </w:tr>
    </w:tbl>
    <w:p w:rsidR="002B489A" w:rsidRDefault="002B489A">
      <w:pPr>
        <w:pStyle w:val="Tablefin"/>
        <w:spacing w:before="0"/>
      </w:pPr>
    </w:p>
    <w:p w:rsidR="002B489A" w:rsidRDefault="004F19C4">
      <w:pPr>
        <w:pStyle w:val="Note"/>
      </w:pPr>
      <w:r>
        <w:t>NOTE 1 – A la différence des autres bandes, cette attribution n'est pas exclusive. L'attribution au SRS par satellite ne prendra pas effet avant le 1er</w:t>
      </w:r>
      <w:r>
        <w:rPr>
          <w:sz w:val="24"/>
        </w:rPr>
        <w:t xml:space="preserve"> </w:t>
      </w:r>
      <w:r>
        <w:t>avril 2007.</w:t>
      </w:r>
    </w:p>
    <w:p w:rsidR="002B489A" w:rsidRDefault="004F19C4">
      <w:pPr>
        <w:pStyle w:val="Heading2"/>
      </w:pPr>
      <w:r>
        <w:br w:type="page"/>
        <w:t>1.2</w:t>
      </w:r>
      <w:r>
        <w:tab/>
        <w:t>Application (type d'observation)</w:t>
      </w:r>
    </w:p>
    <w:p w:rsidR="002B489A" w:rsidRDefault="004F19C4">
      <w:r>
        <w:t>Cette bande était utilisée sur le satellite expérimental Nimbus-7. La bande 23,6</w:t>
      </w:r>
      <w:r>
        <w:noBreakHyphen/>
        <w:t xml:space="preserve">24 GHz est utilisée sur le </w:t>
      </w:r>
      <w:r>
        <w:rPr>
          <w:iCs/>
        </w:rPr>
        <w:t xml:space="preserve">sondeur </w:t>
      </w:r>
      <w:r>
        <w:t>hyperfréquences perfectionné (SHP). Les caractéristiques de l'antenne du SHP seront supposées pour cette bande parce qu'elle devrait être utilisée pour d'autres mesures sur cet instrument et parce que c'est une bande de remplacement de la bande 23,6</w:t>
      </w:r>
      <w:r>
        <w:noBreakHyphen/>
        <w:t>24 GHz.</w:t>
      </w:r>
    </w:p>
    <w:p w:rsidR="002B489A" w:rsidRDefault="004F19C4">
      <w:r>
        <w:t>Cette bande et la bande 23,6</w:t>
      </w:r>
      <w:r>
        <w:noBreakHyphen/>
        <w:t>24 GHz sont utilisées pour des mesures de la vapeur d'eau et de l'eau liquide. Elles sont donc utilisées à la fois pour des mesures de surface et des mesures atmosphériques. Elles sont de part et d'autre de la raie spectrale de vapeur d'eau à 22,235 GHz. Les mesures atmosphériques sont utilisées avec les mesures de température de l'oxygène, O</w:t>
      </w:r>
      <w:r>
        <w:rPr>
          <w:vertAlign w:val="subscript"/>
        </w:rPr>
        <w:t>2</w:t>
      </w:r>
      <w:r>
        <w:t>, pour l'effet de la vapeur d'eau sur les profils de température.</w:t>
      </w:r>
    </w:p>
    <w:p w:rsidR="002B489A" w:rsidRDefault="004F19C4">
      <w:pPr>
        <w:pStyle w:val="Heading2"/>
      </w:pPr>
      <w:r>
        <w:t>1.3</w:t>
      </w:r>
      <w:r>
        <w:tab/>
        <w:t>Critères de protection requis</w:t>
      </w:r>
    </w:p>
    <w:p w:rsidR="002B489A" w:rsidRDefault="004F19C4">
      <w:r>
        <w:t>Trois Recommandations établissent les critères de brouillage pour les détecteurs passifs; à savoir:</w:t>
      </w:r>
    </w:p>
    <w:p w:rsidR="002B489A" w:rsidRDefault="004F19C4">
      <w:pPr>
        <w:pStyle w:val="enumlev1"/>
        <w:tabs>
          <w:tab w:val="clear" w:pos="794"/>
          <w:tab w:val="clear" w:pos="1191"/>
          <w:tab w:val="clear" w:pos="1588"/>
          <w:tab w:val="clear" w:pos="1985"/>
          <w:tab w:val="left" w:pos="3515"/>
        </w:tabs>
        <w:ind w:left="3515" w:hanging="3515"/>
      </w:pPr>
      <w:r>
        <w:t>Recommandation UIT-R SA.515 –</w:t>
      </w:r>
      <w:r>
        <w:tab/>
        <w:t xml:space="preserve">Bandes de fréquences et largeurs de bande utilisées pour la télédétection passive par satellite. </w:t>
      </w:r>
    </w:p>
    <w:p w:rsidR="002B489A" w:rsidRDefault="004F19C4">
      <w:pPr>
        <w:pStyle w:val="enumlev1"/>
        <w:tabs>
          <w:tab w:val="clear" w:pos="794"/>
          <w:tab w:val="clear" w:pos="1191"/>
          <w:tab w:val="clear" w:pos="1588"/>
          <w:tab w:val="clear" w:pos="1985"/>
          <w:tab w:val="left" w:pos="3515"/>
        </w:tabs>
        <w:spacing w:before="60"/>
        <w:ind w:left="3515" w:hanging="3515"/>
      </w:pPr>
      <w:r>
        <w:t>Recommandation UIT-R SA.1028 –</w:t>
      </w:r>
      <w:r>
        <w:tab/>
        <w:t>Critères de qualité de fonctionnement pour la télédétection passive par satellite.</w:t>
      </w:r>
    </w:p>
    <w:p w:rsidR="002B489A" w:rsidRDefault="004F19C4">
      <w:pPr>
        <w:pStyle w:val="enumlev1"/>
        <w:tabs>
          <w:tab w:val="clear" w:pos="794"/>
          <w:tab w:val="clear" w:pos="1191"/>
          <w:tab w:val="clear" w:pos="1588"/>
          <w:tab w:val="clear" w:pos="1985"/>
          <w:tab w:val="left" w:pos="3515"/>
        </w:tabs>
        <w:spacing w:before="60"/>
        <w:ind w:left="3515" w:hanging="3515"/>
      </w:pPr>
      <w:r>
        <w:t>Recommandation UIT-R SA.1029 –</w:t>
      </w:r>
      <w:r>
        <w:tab/>
        <w:t>Critères de brouillage dans la télédétection passive par satellite.</w:t>
      </w:r>
    </w:p>
    <w:p w:rsidR="002B489A" w:rsidRDefault="004F19C4">
      <w:pPr>
        <w:pStyle w:val="Heading2"/>
      </w:pPr>
      <w:r>
        <w:t>1.4</w:t>
      </w:r>
      <w:r>
        <w:tab/>
        <w:t>Caractéristiques de fonctionnement</w:t>
      </w:r>
    </w:p>
    <w:p w:rsidR="002B489A" w:rsidRDefault="004F19C4">
      <w:r>
        <w:t>Le Tableau 25 donne les caractéristiques de fonctionnement du détecteur à l'étude.</w:t>
      </w:r>
    </w:p>
    <w:p w:rsidR="002B489A" w:rsidRDefault="004F19C4">
      <w:pPr>
        <w:pStyle w:val="TableNo"/>
      </w:pPr>
      <w:r>
        <w:t>TABLEAU  25</w:t>
      </w:r>
    </w:p>
    <w:p w:rsidR="002B489A" w:rsidRDefault="004F19C4">
      <w:pPr>
        <w:pStyle w:val="Tabletitle"/>
      </w:pPr>
      <w:r>
        <w:t>Paramètres du détecteur de balayage du sondeur hyperfréquences perfectionné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20"/>
      </w:tblGrid>
      <w:tr w:rsidR="002B489A">
        <w:tc>
          <w:tcPr>
            <w:tcW w:w="4820" w:type="dxa"/>
          </w:tcPr>
          <w:p w:rsidR="002B489A" w:rsidRDefault="004F19C4">
            <w:pPr>
              <w:pStyle w:val="Tablehead"/>
              <w:framePr w:hSpace="181" w:wrap="notBeside" w:vAnchor="text" w:hAnchor="text" w:xAlign="center" w:y="1"/>
            </w:pPr>
            <w:r>
              <w:t>Paramètre</w:t>
            </w:r>
          </w:p>
        </w:tc>
        <w:tc>
          <w:tcPr>
            <w:tcW w:w="4820" w:type="dxa"/>
          </w:tcPr>
          <w:p w:rsidR="002B489A" w:rsidRDefault="004F19C4">
            <w:pPr>
              <w:pStyle w:val="Tablehead"/>
              <w:framePr w:hSpace="181" w:wrap="notBeside" w:vAnchor="text" w:hAnchor="text" w:xAlign="center" w:y="1"/>
            </w:pPr>
            <w:r>
              <w:t>Valeur</w:t>
            </w:r>
          </w:p>
        </w:tc>
      </w:tr>
      <w:tr w:rsidR="002B489A">
        <w:tc>
          <w:tcPr>
            <w:tcW w:w="4820" w:type="dxa"/>
          </w:tcPr>
          <w:p w:rsidR="002B489A" w:rsidRDefault="004F19C4">
            <w:pPr>
              <w:pStyle w:val="Tabletext"/>
              <w:framePr w:hSpace="181" w:wrap="notBeside" w:vAnchor="text" w:hAnchor="text" w:xAlign="center" w:y="1"/>
              <w:jc w:val="left"/>
            </w:pPr>
            <w:r>
              <w:t>Altitude (km)</w:t>
            </w:r>
          </w:p>
        </w:tc>
        <w:tc>
          <w:tcPr>
            <w:tcW w:w="4820" w:type="dxa"/>
          </w:tcPr>
          <w:p w:rsidR="002B489A" w:rsidRDefault="004F19C4">
            <w:pPr>
              <w:pStyle w:val="Tabletext"/>
              <w:framePr w:hSpace="181" w:wrap="notBeside" w:vAnchor="text" w:hAnchor="text" w:xAlign="center" w:y="1"/>
              <w:jc w:val="center"/>
            </w:pPr>
            <w:r>
              <w:t>850</w:t>
            </w:r>
          </w:p>
        </w:tc>
      </w:tr>
      <w:tr w:rsidR="002B489A">
        <w:tc>
          <w:tcPr>
            <w:tcW w:w="4820" w:type="dxa"/>
          </w:tcPr>
          <w:p w:rsidR="002B489A" w:rsidRDefault="004F19C4">
            <w:pPr>
              <w:pStyle w:val="Tabletext"/>
              <w:framePr w:hSpace="181" w:wrap="notBeside" w:vAnchor="text" w:hAnchor="text" w:xAlign="center" w:y="1"/>
              <w:jc w:val="left"/>
            </w:pPr>
            <w:r>
              <w:t>Orbite</w:t>
            </w:r>
          </w:p>
        </w:tc>
        <w:tc>
          <w:tcPr>
            <w:tcW w:w="4820" w:type="dxa"/>
          </w:tcPr>
          <w:p w:rsidR="002B489A" w:rsidRDefault="004F19C4">
            <w:pPr>
              <w:pStyle w:val="Tabletext"/>
              <w:framePr w:hSpace="181" w:wrap="notBeside" w:vAnchor="text" w:hAnchor="text" w:xAlign="center" w:y="1"/>
              <w:jc w:val="center"/>
            </w:pPr>
            <w:r>
              <w:t>Polarisation synchrone au soleil</w:t>
            </w:r>
          </w:p>
        </w:tc>
      </w:tr>
      <w:tr w:rsidR="002B489A">
        <w:tc>
          <w:tcPr>
            <w:tcW w:w="4820" w:type="dxa"/>
          </w:tcPr>
          <w:p w:rsidR="002B489A" w:rsidRDefault="004F19C4">
            <w:pPr>
              <w:pStyle w:val="Tabletext"/>
              <w:framePr w:hSpace="181" w:wrap="notBeside" w:vAnchor="text" w:hAnchor="text" w:xAlign="center" w:y="1"/>
              <w:jc w:val="left"/>
            </w:pPr>
            <w:r>
              <w:t>Gain d'antenne du lobe principal (dBi)</w:t>
            </w:r>
          </w:p>
        </w:tc>
        <w:tc>
          <w:tcPr>
            <w:tcW w:w="4820" w:type="dxa"/>
          </w:tcPr>
          <w:p w:rsidR="002B489A" w:rsidRDefault="004F19C4">
            <w:pPr>
              <w:pStyle w:val="Tabletext"/>
              <w:framePr w:hSpace="181" w:wrap="notBeside" w:vAnchor="text" w:hAnchor="text" w:xAlign="center" w:y="1"/>
              <w:jc w:val="center"/>
            </w:pPr>
            <w:r>
              <w:t>36</w:t>
            </w:r>
          </w:p>
        </w:tc>
      </w:tr>
      <w:tr w:rsidR="002B489A">
        <w:tc>
          <w:tcPr>
            <w:tcW w:w="4820" w:type="dxa"/>
          </w:tcPr>
          <w:p w:rsidR="002B489A" w:rsidRDefault="004F19C4">
            <w:pPr>
              <w:pStyle w:val="Tabletext"/>
              <w:framePr w:hSpace="181" w:wrap="notBeside" w:vAnchor="text" w:hAnchor="text" w:xAlign="center" w:y="1"/>
              <w:jc w:val="left"/>
            </w:pPr>
            <w:r>
              <w:t>Ouverture de faisceau d'antenne à 3 dB (degrés)</w:t>
            </w:r>
          </w:p>
        </w:tc>
        <w:tc>
          <w:tcPr>
            <w:tcW w:w="4820" w:type="dxa"/>
          </w:tcPr>
          <w:p w:rsidR="002B489A" w:rsidRDefault="004F19C4">
            <w:pPr>
              <w:pStyle w:val="Tabletext"/>
              <w:framePr w:hSpace="181" w:wrap="notBeside" w:vAnchor="text" w:hAnchor="text" w:xAlign="center" w:y="1"/>
              <w:jc w:val="center"/>
            </w:pPr>
            <w:r>
              <w:t>3,3</w:t>
            </w:r>
          </w:p>
        </w:tc>
      </w:tr>
      <w:tr w:rsidR="002B489A">
        <w:tc>
          <w:tcPr>
            <w:tcW w:w="4820" w:type="dxa"/>
          </w:tcPr>
          <w:p w:rsidR="002B489A" w:rsidRDefault="004F19C4">
            <w:pPr>
              <w:pStyle w:val="Tabletext"/>
              <w:framePr w:hSpace="181" w:wrap="notBeside" w:vAnchor="text" w:hAnchor="text" w:xAlign="center" w:y="1"/>
              <w:jc w:val="left"/>
            </w:pPr>
            <w:r>
              <w:t>Gain de lobe arrière et de lobe latéral (dBi)</w:t>
            </w:r>
          </w:p>
        </w:tc>
        <w:tc>
          <w:tcPr>
            <w:tcW w:w="4820" w:type="dxa"/>
          </w:tcPr>
          <w:p w:rsidR="002B489A" w:rsidRDefault="004F19C4">
            <w:pPr>
              <w:pStyle w:val="Tabletext"/>
              <w:framePr w:hSpace="181" w:wrap="notBeside" w:vAnchor="text" w:hAnchor="text" w:xAlign="center" w:y="1"/>
              <w:jc w:val="center"/>
            </w:pPr>
            <w:r>
              <w:t>–10</w:t>
            </w:r>
          </w:p>
        </w:tc>
      </w:tr>
      <w:tr w:rsidR="002B489A">
        <w:tc>
          <w:tcPr>
            <w:tcW w:w="4820" w:type="dxa"/>
          </w:tcPr>
          <w:p w:rsidR="002B489A" w:rsidRDefault="004F19C4">
            <w:pPr>
              <w:pStyle w:val="Tabletext"/>
              <w:framePr w:hSpace="181" w:wrap="notBeside" w:vAnchor="text" w:hAnchor="text" w:xAlign="center" w:y="1"/>
              <w:jc w:val="left"/>
            </w:pPr>
            <w:r>
              <w:t>Diamètre de pixel au nadir (km)</w:t>
            </w:r>
          </w:p>
        </w:tc>
        <w:tc>
          <w:tcPr>
            <w:tcW w:w="4820" w:type="dxa"/>
          </w:tcPr>
          <w:p w:rsidR="002B489A" w:rsidRDefault="004F19C4">
            <w:pPr>
              <w:pStyle w:val="Tabletext"/>
              <w:framePr w:hSpace="181" w:wrap="notBeside" w:vAnchor="text" w:hAnchor="text" w:xAlign="center" w:y="1"/>
              <w:jc w:val="center"/>
            </w:pPr>
            <w:r>
              <w:t>49</w:t>
            </w:r>
          </w:p>
        </w:tc>
      </w:tr>
      <w:tr w:rsidR="002B489A">
        <w:tc>
          <w:tcPr>
            <w:tcW w:w="4820" w:type="dxa"/>
          </w:tcPr>
          <w:p w:rsidR="002B489A" w:rsidRDefault="004F19C4">
            <w:pPr>
              <w:pStyle w:val="Tabletext"/>
              <w:framePr w:hSpace="181" w:wrap="notBeside" w:vAnchor="text" w:hAnchor="text" w:xAlign="center" w:y="1"/>
              <w:jc w:val="left"/>
            </w:pPr>
            <w:r>
              <w:t>Pixels par balayage</w:t>
            </w:r>
          </w:p>
        </w:tc>
        <w:tc>
          <w:tcPr>
            <w:tcW w:w="4820" w:type="dxa"/>
          </w:tcPr>
          <w:p w:rsidR="002B489A" w:rsidRDefault="004F19C4">
            <w:pPr>
              <w:pStyle w:val="Tabletext"/>
              <w:framePr w:hSpace="181" w:wrap="notBeside" w:vAnchor="text" w:hAnchor="text" w:xAlign="center" w:y="1"/>
              <w:jc w:val="center"/>
            </w:pPr>
            <w:r>
              <w:t>90</w:t>
            </w:r>
          </w:p>
        </w:tc>
      </w:tr>
      <w:tr w:rsidR="002B489A">
        <w:tc>
          <w:tcPr>
            <w:tcW w:w="4820" w:type="dxa"/>
          </w:tcPr>
          <w:p w:rsidR="002B489A" w:rsidRDefault="004F19C4">
            <w:pPr>
              <w:pStyle w:val="Tabletext"/>
              <w:framePr w:hSpace="181" w:wrap="notBeside" w:vAnchor="text" w:hAnchor="text" w:xAlign="center" w:y="1"/>
              <w:jc w:val="left"/>
            </w:pPr>
            <w:r>
              <w:t>Largeur de balayage (km)</w:t>
            </w:r>
          </w:p>
        </w:tc>
        <w:tc>
          <w:tcPr>
            <w:tcW w:w="4820" w:type="dxa"/>
          </w:tcPr>
          <w:p w:rsidR="002B489A" w:rsidRDefault="004F19C4">
            <w:pPr>
              <w:pStyle w:val="Tabletext"/>
              <w:framePr w:hSpace="181" w:wrap="notBeside" w:vAnchor="text" w:hAnchor="text" w:xAlign="center" w:y="1"/>
              <w:jc w:val="center"/>
            </w:pPr>
            <w:r>
              <w:t>2</w:t>
            </w:r>
            <w:r>
              <w:rPr>
                <w:rFonts w:ascii="Tms Rmn" w:hAnsi="Tms Rmn"/>
                <w:sz w:val="12"/>
              </w:rPr>
              <w:t> </w:t>
            </w:r>
            <w:r>
              <w:t>300</w:t>
            </w:r>
          </w:p>
        </w:tc>
      </w:tr>
    </w:tbl>
    <w:p w:rsidR="002B489A" w:rsidRDefault="002B489A">
      <w:pPr>
        <w:pStyle w:val="Tablefin"/>
      </w:pPr>
    </w:p>
    <w:p w:rsidR="002B489A" w:rsidRDefault="004F19C4">
      <w:pPr>
        <w:pStyle w:val="Heading1"/>
      </w:pPr>
      <w:r>
        <w:t>2</w:t>
      </w:r>
      <w:r>
        <w:tab/>
        <w:t>SFS (espace vers Terre) et SMS (espace vers Terre)</w:t>
      </w:r>
    </w:p>
    <w:p w:rsidR="002B489A" w:rsidRDefault="004F19C4">
      <w:pPr>
        <w:pStyle w:val="Heading2"/>
      </w:pPr>
      <w:r>
        <w:t>2.1</w:t>
      </w:r>
      <w:r>
        <w:tab/>
        <w:t>Bande d'émission attribuée</w:t>
      </w:r>
    </w:p>
    <w:p w:rsidR="002B489A" w:rsidRDefault="004F19C4">
      <w:r>
        <w:t>Voir le Tableau 24.</w:t>
      </w:r>
    </w:p>
    <w:p w:rsidR="002B489A" w:rsidRDefault="004F19C4">
      <w:pPr>
        <w:pStyle w:val="Heading2"/>
      </w:pPr>
      <w:r>
        <w:br w:type="page"/>
        <w:t>2.2</w:t>
      </w:r>
      <w:r>
        <w:tab/>
        <w:t>Application</w:t>
      </w:r>
    </w:p>
    <w:p w:rsidR="002B489A" w:rsidRDefault="004F19C4">
      <w:r>
        <w:t>Les services actifs considérés dans la présente Annexe sont le SFS (espace vers Terre) et le SMS (espace vers Terre) dans la bande 20,2</w:t>
      </w:r>
      <w:r>
        <w:noBreakHyphen/>
        <w:t>21,2 GHz.</w:t>
      </w:r>
    </w:p>
    <w:p w:rsidR="002B489A" w:rsidRDefault="004F19C4">
      <w:pPr>
        <w:pStyle w:val="Heading2"/>
      </w:pPr>
      <w:r>
        <w:t>2.3</w:t>
      </w:r>
      <w:r>
        <w:tab/>
        <w:t xml:space="preserve">Niveaux fondés sur des dispositions du RR et Recommandations de l'UIT-R </w:t>
      </w:r>
    </w:p>
    <w:p w:rsidR="002B489A" w:rsidRDefault="004F19C4">
      <w:pPr>
        <w:pStyle w:val="Heading3"/>
      </w:pPr>
      <w:r>
        <w:t>2.3.1</w:t>
      </w:r>
      <w:r>
        <w:tab/>
        <w:t>Numéro 1.153 du RR</w:t>
      </w:r>
    </w:p>
    <w:p w:rsidR="002B489A" w:rsidRDefault="004F19C4">
      <w:pPr>
        <w:rPr>
          <w:rStyle w:val="Artdef"/>
        </w:rPr>
      </w:pPr>
      <w:r>
        <w:t xml:space="preserve">Le RR définit la </w:t>
      </w:r>
      <w:r>
        <w:rPr>
          <w:i/>
        </w:rPr>
        <w:t>largeur de bande occupée</w:t>
      </w:r>
      <w:r>
        <w:t xml:space="preserve"> comme suit:</w:t>
      </w:r>
      <w:r>
        <w:rPr>
          <w:rStyle w:val="Artdef"/>
        </w:rPr>
        <w:t xml:space="preserve"> </w:t>
      </w:r>
    </w:p>
    <w:p w:rsidR="002B489A" w:rsidRDefault="004F19C4">
      <w:r>
        <w:rPr>
          <w:rStyle w:val="Artdef"/>
          <w:b w:val="0"/>
          <w:bCs/>
        </w:rPr>
        <w:t>«</w:t>
      </w:r>
      <w:r>
        <w:rPr>
          <w:rStyle w:val="Artdef"/>
        </w:rPr>
        <w:t>1.153</w:t>
      </w:r>
      <w:r>
        <w:rPr>
          <w:rStyle w:val="Artdef"/>
        </w:rPr>
        <w:tab/>
      </w:r>
      <w:r>
        <w:rPr>
          <w:rStyle w:val="Artdef"/>
        </w:rPr>
        <w:tab/>
      </w:r>
      <w:r>
        <w:rPr>
          <w:i/>
        </w:rPr>
        <w:t>largeur de bande occupée:  </w:t>
      </w:r>
      <w:r>
        <w:t>Largeur de la bande de fréquences telle que, au</w:t>
      </w:r>
      <w:r>
        <w:noBreakHyphen/>
        <w:t xml:space="preserve">dessous de sa fréquence limite inférieure et au-dessus de sa fréquence limite supérieure, soient émises des </w:t>
      </w:r>
      <w:r>
        <w:rPr>
          <w:i/>
        </w:rPr>
        <w:t>puissances moyennes</w:t>
      </w:r>
      <w:r>
        <w:t xml:space="preserve"> égales chacune à un pourcentage donné </w:t>
      </w:r>
      <w:r>
        <w:rPr>
          <w:rFonts w:ascii="Symbol" w:hAnsi="Symbol"/>
        </w:rPr>
        <w:t></w:t>
      </w:r>
      <w:r>
        <w:t xml:space="preserve">/2 de la </w:t>
      </w:r>
      <w:r>
        <w:rPr>
          <w:i/>
        </w:rPr>
        <w:t>puissance moyenne</w:t>
      </w:r>
      <w:r>
        <w:t xml:space="preserve"> totale d'une </w:t>
      </w:r>
      <w:r>
        <w:rPr>
          <w:i/>
        </w:rPr>
        <w:t>émission</w:t>
      </w:r>
      <w:r>
        <w:t xml:space="preserve"> donnée.</w:t>
      </w:r>
    </w:p>
    <w:p w:rsidR="002B489A" w:rsidRDefault="004F19C4">
      <w:r>
        <w:tab/>
      </w:r>
      <w:r>
        <w:tab/>
        <w:t xml:space="preserve">En l'absence de spécifications dans une Recommandation de l'UIT-R pour la </w:t>
      </w:r>
      <w:r>
        <w:rPr>
          <w:i/>
        </w:rPr>
        <w:t>classe d'émission</w:t>
      </w:r>
      <w:r>
        <w:t xml:space="preserve"> considérée, la valeur </w:t>
      </w:r>
      <w:r>
        <w:rPr>
          <w:rFonts w:ascii="Symbol" w:hAnsi="Symbol"/>
        </w:rPr>
        <w:t></w:t>
      </w:r>
      <w:r>
        <w:t>/2 doit être prise égale à 0,5%».</w:t>
      </w:r>
    </w:p>
    <w:p w:rsidR="002B489A" w:rsidRDefault="004F19C4">
      <w:r>
        <w:t>Si le bord supérieur de la largeur de bande occupée était à la limite supérieure ou au</w:t>
      </w:r>
      <w:r>
        <w:noBreakHyphen/>
        <w:t xml:space="preserve">dessous de l'attribution au service de radiolocalisation, la puissance totale des rayonnements non désirés aux fréquences au-dessus de la largeur de bande attribuée ne serait pas supérieure à 0,5% de </w:t>
      </w:r>
      <w:r>
        <w:rPr>
          <w:i/>
        </w:rPr>
        <w:t>P</w:t>
      </w:r>
      <w:r>
        <w:t xml:space="preserve">, où </w:t>
      </w:r>
      <w:r>
        <w:rPr>
          <w:i/>
        </w:rPr>
        <w:t>P</w:t>
      </w:r>
      <w:r>
        <w:t xml:space="preserve"> est la puissance dans la bande. Donc, la puissance totale de rayonnement non désiré aux fréquences de la bande SETS et au-dessus n'est pas supérieure à </w:t>
      </w:r>
      <w:r>
        <w:rPr>
          <w:i/>
        </w:rPr>
        <w:t>P</w:t>
      </w:r>
      <w:r>
        <w:t xml:space="preserve"> – 23 dB.</w:t>
      </w:r>
    </w:p>
    <w:p w:rsidR="002B489A" w:rsidRDefault="004F19C4">
      <w:pPr>
        <w:pStyle w:val="Heading3"/>
      </w:pPr>
      <w:r>
        <w:t>2.3.2</w:t>
      </w:r>
      <w:r>
        <w:tab/>
        <w:t>Recommandation UIT-R SM.1541</w:t>
      </w:r>
    </w:p>
    <w:p w:rsidR="002B489A" w:rsidRDefault="004F19C4">
      <w:pPr>
        <w:rPr>
          <w:b/>
        </w:rPr>
      </w:pPr>
      <w:r>
        <w:t xml:space="preserve">La Recommandation UIT-R </w:t>
      </w:r>
      <w:r>
        <w:rPr>
          <w:bCs/>
        </w:rPr>
        <w:t>SM.1541</w:t>
      </w:r>
      <w:r>
        <w:t xml:space="preserve"> donne des indications sur les rayonnements non désirés tombant en dehors de la largeur de bande attribuée.</w:t>
      </w:r>
    </w:p>
    <w:p w:rsidR="002B489A" w:rsidRDefault="004F19C4">
      <w:pPr>
        <w:pStyle w:val="Heading3"/>
      </w:pPr>
      <w:r>
        <w:t>2.3.3</w:t>
      </w:r>
      <w:r>
        <w:tab/>
        <w:t>Recommandation UIT-R SM.329</w:t>
      </w:r>
    </w:p>
    <w:p w:rsidR="002B489A" w:rsidRDefault="004F19C4">
      <w:r>
        <w:t>La Recommandation UIT-R</w:t>
      </w:r>
      <w:r>
        <w:rPr>
          <w:bCs/>
        </w:rPr>
        <w:t xml:space="preserve"> SM.329 </w:t>
      </w:r>
      <w:r>
        <w:t>donne des informations sur les rayonnements non désirés tombant dans le domaine des rayonnements non essentiels.</w:t>
      </w:r>
    </w:p>
    <w:p w:rsidR="002B489A" w:rsidRDefault="004F19C4">
      <w:r>
        <w:t>Même si des niveaux sont donnés pour les rayonnements non essentiels à bande étroite ou à large bande, on notera que, sauf pour les composants non essentiels, les rayonnements décroissent au-delà du domaine des émissions hors bande. Pour les besoins de la présente analyse, nous considérerons que les émissions décroissent de 40 dB par décade. L'impact des rayonnements non essentiels sera traité comme celui de composants accumulés de plusieurs émetteurs.</w:t>
      </w:r>
    </w:p>
    <w:p w:rsidR="002B489A" w:rsidRDefault="004F19C4">
      <w:pPr>
        <w:pStyle w:val="Heading2"/>
      </w:pPr>
      <w:r>
        <w:t>2.4</w:t>
      </w:r>
      <w:r>
        <w:tab/>
        <w:t>Caractéristiques de l'émetteur</w:t>
      </w:r>
    </w:p>
    <w:p w:rsidR="002B489A" w:rsidRDefault="004F19C4">
      <w:r>
        <w:t xml:space="preserve">Les caractéristiques de l'émetteur sont tirées de la Recommandation UIT-R </w:t>
      </w:r>
      <w:r>
        <w:rPr>
          <w:bCs/>
        </w:rPr>
        <w:t>S.1328 –</w:t>
      </w:r>
      <w:r>
        <w:t>Caractéristiques de systèmes à satellites à prendre en compte dans les analyses de partage des fréquences entre systèmes à satellites sur l'orbite des satellites géostationnaires (OSG) et systèmes à satellites non OSG dans le service fixe par satellite (SFS), y compris les liaisons de connexion du service mobile par satellite (SMS). Cette Recommandation récapitule une série de systèmes à satellites qui sont représentatifs des systèmes dont on prévoit le déploiement dans diverses bandes.</w:t>
      </w:r>
    </w:p>
    <w:p w:rsidR="002B489A" w:rsidRDefault="004F19C4">
      <w:pPr>
        <w:pStyle w:val="Heading2"/>
      </w:pPr>
      <w:r>
        <w:t>2.5</w:t>
      </w:r>
      <w:r>
        <w:tab/>
        <w:t>Caractéristiques de fonctionnement</w:t>
      </w:r>
    </w:p>
    <w:p w:rsidR="002B489A" w:rsidRDefault="004F19C4">
      <w:r>
        <w:t>Vingt</w:t>
      </w:r>
      <w:r>
        <w:noBreakHyphen/>
        <w:t>six systèmes du SFS ou du SMS ont été spécifiés dans la référence pour une utilisation dans la bande 20,2</w:t>
      </w:r>
      <w:r>
        <w:noBreakHyphen/>
        <w:t>20,4 GHz. Sont inclus aussi bien des systèmes OSG que non OSG.</w:t>
      </w:r>
    </w:p>
    <w:p w:rsidR="002B489A" w:rsidRDefault="004F19C4">
      <w:r>
        <w:br w:type="page"/>
        <w:t>Aucun des systèmes non OSG indiqués ne fonctionne entre 19,7 et 20,3 GHz. La liste ci-dessous donne les caractéristiques des systèmes qui fonctionnent au-dessous de 19,7 GHz. En dépit de l'absence de système répertorié, le fonctionnement de systèmes non OSG n'est pas interdit dans cette bande.</w:t>
      </w:r>
    </w:p>
    <w:p w:rsidR="002B489A" w:rsidRDefault="004F19C4">
      <w:pPr>
        <w:pStyle w:val="Heading2"/>
      </w:pPr>
      <w:r>
        <w:t>2.6</w:t>
      </w:r>
      <w:r>
        <w:tab/>
        <w:t>Niveau d'émission dans la bande</w:t>
      </w:r>
    </w:p>
    <w:p w:rsidR="002B489A" w:rsidRDefault="004F19C4">
      <w:r>
        <w:t>Voir les Tableaux 26 et 27.</w:t>
      </w:r>
    </w:p>
    <w:p w:rsidR="002B489A" w:rsidRDefault="004F19C4">
      <w:pPr>
        <w:pStyle w:val="TableNo"/>
      </w:pPr>
      <w:r>
        <w:t>TABLEAU  26</w:t>
      </w:r>
    </w:p>
    <w:p w:rsidR="002B489A" w:rsidRDefault="004F19C4">
      <w:pPr>
        <w:pStyle w:val="Tabletitle"/>
      </w:pPr>
      <w:r>
        <w:t>Caractéristiques des liaisons descendantes de stations spatiales OSG</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1"/>
        <w:gridCol w:w="1792"/>
        <w:gridCol w:w="1792"/>
        <w:gridCol w:w="1792"/>
        <w:gridCol w:w="1792"/>
      </w:tblGrid>
      <w:tr w:rsidR="002B489A">
        <w:tc>
          <w:tcPr>
            <w:tcW w:w="2504" w:type="dxa"/>
          </w:tcPr>
          <w:p w:rsidR="002B489A" w:rsidRDefault="004F19C4">
            <w:pPr>
              <w:pStyle w:val="Tablehead"/>
              <w:framePr w:hSpace="181" w:wrap="notBeside" w:vAnchor="text" w:hAnchor="text" w:xAlign="center" w:y="1"/>
              <w:jc w:val="left"/>
            </w:pPr>
            <w:r>
              <w:t>Système</w:t>
            </w:r>
          </w:p>
        </w:tc>
        <w:tc>
          <w:tcPr>
            <w:tcW w:w="1814" w:type="dxa"/>
          </w:tcPr>
          <w:p w:rsidR="002B489A" w:rsidRDefault="004F19C4">
            <w:pPr>
              <w:pStyle w:val="Tablehead"/>
              <w:framePr w:hSpace="181" w:wrap="notBeside" w:vAnchor="text" w:hAnchor="text" w:xAlign="center" w:y="1"/>
            </w:pPr>
            <w:r>
              <w:t>GSO-20</w:t>
            </w:r>
          </w:p>
        </w:tc>
        <w:tc>
          <w:tcPr>
            <w:tcW w:w="1814" w:type="dxa"/>
          </w:tcPr>
          <w:p w:rsidR="002B489A" w:rsidRDefault="004F19C4">
            <w:pPr>
              <w:pStyle w:val="Tablehead"/>
              <w:framePr w:hSpace="181" w:wrap="notBeside" w:vAnchor="text" w:hAnchor="text" w:xAlign="center" w:y="1"/>
            </w:pPr>
            <w:r>
              <w:t>GSO-30</w:t>
            </w:r>
          </w:p>
        </w:tc>
        <w:tc>
          <w:tcPr>
            <w:tcW w:w="1814" w:type="dxa"/>
          </w:tcPr>
          <w:p w:rsidR="002B489A" w:rsidRDefault="004F19C4">
            <w:pPr>
              <w:pStyle w:val="Tablehead"/>
              <w:framePr w:hSpace="181" w:wrap="notBeside" w:vAnchor="text" w:hAnchor="text" w:xAlign="center" w:y="1"/>
              <w:rPr>
                <w:lang w:val="en-GB"/>
              </w:rPr>
            </w:pPr>
            <w:r>
              <w:rPr>
                <w:lang w:val="en-GB"/>
              </w:rPr>
              <w:t>GSO-F</w:t>
            </w:r>
          </w:p>
        </w:tc>
        <w:tc>
          <w:tcPr>
            <w:tcW w:w="1814" w:type="dxa"/>
          </w:tcPr>
          <w:p w:rsidR="002B489A" w:rsidRDefault="004F19C4">
            <w:pPr>
              <w:pStyle w:val="Tablehead"/>
              <w:framePr w:hSpace="181" w:wrap="notBeside" w:vAnchor="text" w:hAnchor="text" w:xAlign="center" w:y="1"/>
              <w:rPr>
                <w:lang w:val="en-GB"/>
              </w:rPr>
            </w:pPr>
            <w:r>
              <w:rPr>
                <w:lang w:val="en-GB"/>
              </w:rPr>
              <w:t>GSO-13</w:t>
            </w:r>
          </w:p>
        </w:tc>
      </w:tr>
      <w:tr w:rsidR="002B489A">
        <w:tc>
          <w:tcPr>
            <w:tcW w:w="2504" w:type="dxa"/>
          </w:tcPr>
          <w:p w:rsidR="002B489A" w:rsidRDefault="004F19C4">
            <w:pPr>
              <w:pStyle w:val="Tabletext"/>
              <w:framePr w:hSpace="181" w:wrap="notBeside" w:vAnchor="text" w:hAnchor="text" w:xAlign="center" w:y="1"/>
              <w:jc w:val="left"/>
              <w:rPr>
                <w:lang w:val="en-GB"/>
              </w:rPr>
            </w:pPr>
            <w:r>
              <w:rPr>
                <w:lang w:val="en-GB"/>
              </w:rPr>
              <w:t>Service</w:t>
            </w:r>
          </w:p>
        </w:tc>
        <w:tc>
          <w:tcPr>
            <w:tcW w:w="1814" w:type="dxa"/>
          </w:tcPr>
          <w:p w:rsidR="002B489A" w:rsidRDefault="004F19C4">
            <w:pPr>
              <w:pStyle w:val="Tabletext"/>
              <w:framePr w:hSpace="181" w:wrap="notBeside" w:vAnchor="text" w:hAnchor="text" w:xAlign="center" w:y="1"/>
              <w:jc w:val="center"/>
              <w:rPr>
                <w:lang w:val="en-GB"/>
              </w:rPr>
            </w:pPr>
            <w:r>
              <w:rPr>
                <w:lang w:val="en-GB"/>
              </w:rPr>
              <w:t>SFS/SMS</w:t>
            </w:r>
          </w:p>
        </w:tc>
        <w:tc>
          <w:tcPr>
            <w:tcW w:w="1814" w:type="dxa"/>
          </w:tcPr>
          <w:p w:rsidR="002B489A" w:rsidRDefault="004F19C4">
            <w:pPr>
              <w:pStyle w:val="Tabletext"/>
              <w:framePr w:hSpace="181" w:wrap="notBeside" w:vAnchor="text" w:hAnchor="text" w:xAlign="center" w:y="1"/>
              <w:jc w:val="center"/>
              <w:rPr>
                <w:lang w:val="en-GB"/>
              </w:rPr>
            </w:pPr>
            <w:r>
              <w:rPr>
                <w:lang w:val="en-GB"/>
              </w:rPr>
              <w:t>SFS</w:t>
            </w:r>
          </w:p>
        </w:tc>
        <w:tc>
          <w:tcPr>
            <w:tcW w:w="1814" w:type="dxa"/>
          </w:tcPr>
          <w:p w:rsidR="002B489A" w:rsidRDefault="004F19C4">
            <w:pPr>
              <w:pStyle w:val="Tabletext"/>
              <w:framePr w:hSpace="181" w:wrap="notBeside" w:vAnchor="text" w:hAnchor="text" w:xAlign="center" w:y="1"/>
              <w:jc w:val="center"/>
              <w:rPr>
                <w:lang w:val="en-GB"/>
              </w:rPr>
            </w:pPr>
            <w:r>
              <w:rPr>
                <w:lang w:val="en-GB"/>
              </w:rPr>
              <w:t>SMS</w:t>
            </w:r>
          </w:p>
        </w:tc>
        <w:tc>
          <w:tcPr>
            <w:tcW w:w="1814" w:type="dxa"/>
          </w:tcPr>
          <w:p w:rsidR="002B489A" w:rsidRDefault="004F19C4">
            <w:pPr>
              <w:pStyle w:val="Tabletext"/>
              <w:framePr w:hSpace="181" w:wrap="notBeside" w:vAnchor="text" w:hAnchor="text" w:xAlign="center" w:y="1"/>
              <w:jc w:val="center"/>
              <w:rPr>
                <w:lang w:val="en-GB"/>
              </w:rPr>
            </w:pPr>
            <w:r>
              <w:rPr>
                <w:lang w:val="en-GB"/>
              </w:rPr>
              <w:t>SFS</w:t>
            </w:r>
          </w:p>
        </w:tc>
      </w:tr>
      <w:tr w:rsidR="002B489A">
        <w:tc>
          <w:tcPr>
            <w:tcW w:w="2504" w:type="dxa"/>
          </w:tcPr>
          <w:p w:rsidR="002B489A" w:rsidRDefault="004F19C4">
            <w:pPr>
              <w:pStyle w:val="Tabletext"/>
              <w:framePr w:hSpace="181" w:wrap="notBeside" w:vAnchor="text" w:hAnchor="text" w:xAlign="center" w:y="1"/>
              <w:jc w:val="left"/>
            </w:pPr>
            <w:r>
              <w:t>Polarisation</w:t>
            </w:r>
          </w:p>
        </w:tc>
        <w:tc>
          <w:tcPr>
            <w:tcW w:w="1814" w:type="dxa"/>
          </w:tcPr>
          <w:p w:rsidR="002B489A" w:rsidRDefault="004F19C4">
            <w:pPr>
              <w:pStyle w:val="Tabletext"/>
              <w:framePr w:hSpace="181" w:wrap="notBeside" w:vAnchor="text" w:hAnchor="text" w:xAlign="center" w:y="1"/>
              <w:jc w:val="center"/>
            </w:pPr>
            <w:r>
              <w:t>Circulaire gauche/droite</w:t>
            </w:r>
          </w:p>
        </w:tc>
        <w:tc>
          <w:tcPr>
            <w:tcW w:w="1814" w:type="dxa"/>
          </w:tcPr>
          <w:p w:rsidR="002B489A" w:rsidRDefault="004F19C4">
            <w:pPr>
              <w:pStyle w:val="Tabletext"/>
              <w:framePr w:hSpace="181" w:wrap="notBeside" w:vAnchor="text" w:hAnchor="text" w:xAlign="center" w:y="1"/>
              <w:jc w:val="center"/>
            </w:pPr>
            <w:r>
              <w:t>Circulaire gauche/droite</w:t>
            </w:r>
          </w:p>
        </w:tc>
        <w:tc>
          <w:tcPr>
            <w:tcW w:w="1814" w:type="dxa"/>
          </w:tcPr>
          <w:p w:rsidR="002B489A" w:rsidRDefault="002B489A">
            <w:pPr>
              <w:pStyle w:val="Tabletext"/>
              <w:framePr w:hSpace="181" w:wrap="notBeside" w:vAnchor="text" w:hAnchor="text" w:xAlign="center" w:y="1"/>
              <w:jc w:val="center"/>
            </w:pPr>
          </w:p>
        </w:tc>
        <w:tc>
          <w:tcPr>
            <w:tcW w:w="1814" w:type="dxa"/>
          </w:tcPr>
          <w:p w:rsidR="002B489A" w:rsidRDefault="004F19C4">
            <w:pPr>
              <w:pStyle w:val="Tabletext"/>
              <w:framePr w:hSpace="181" w:wrap="notBeside" w:vAnchor="text" w:hAnchor="text" w:xAlign="center" w:y="1"/>
              <w:jc w:val="center"/>
            </w:pPr>
            <w:r>
              <w:t>Circulaire droite/gauche</w:t>
            </w:r>
          </w:p>
        </w:tc>
      </w:tr>
      <w:tr w:rsidR="002B489A">
        <w:tc>
          <w:tcPr>
            <w:tcW w:w="2504" w:type="dxa"/>
          </w:tcPr>
          <w:p w:rsidR="002B489A" w:rsidRDefault="004F19C4">
            <w:pPr>
              <w:pStyle w:val="Tabletext"/>
              <w:framePr w:hSpace="181" w:wrap="notBeside" w:vAnchor="text" w:hAnchor="text" w:xAlign="center" w:y="1"/>
              <w:jc w:val="left"/>
              <w:rPr>
                <w:lang w:val="en-GB"/>
              </w:rPr>
            </w:pPr>
            <w:r>
              <w:rPr>
                <w:lang w:val="en-GB"/>
              </w:rPr>
              <w:t>Modulation</w:t>
            </w:r>
          </w:p>
        </w:tc>
        <w:tc>
          <w:tcPr>
            <w:tcW w:w="1814" w:type="dxa"/>
          </w:tcPr>
          <w:p w:rsidR="002B489A" w:rsidRDefault="004F19C4">
            <w:pPr>
              <w:pStyle w:val="Tabletext"/>
              <w:framePr w:hSpace="181" w:wrap="notBeside" w:vAnchor="text" w:hAnchor="text" w:xAlign="center" w:y="1"/>
              <w:jc w:val="center"/>
              <w:rPr>
                <w:lang w:val="en-GB"/>
              </w:rPr>
            </w:pPr>
            <w:r>
              <w:rPr>
                <w:lang w:val="en-GB"/>
              </w:rPr>
              <w:t>AMRF/MDP-4</w:t>
            </w:r>
          </w:p>
        </w:tc>
        <w:tc>
          <w:tcPr>
            <w:tcW w:w="1814" w:type="dxa"/>
          </w:tcPr>
          <w:p w:rsidR="002B489A" w:rsidRDefault="004F19C4">
            <w:pPr>
              <w:pStyle w:val="Tabletext"/>
              <w:framePr w:hSpace="181" w:wrap="notBeside" w:vAnchor="text" w:hAnchor="text" w:xAlign="center" w:y="1"/>
              <w:jc w:val="center"/>
              <w:rPr>
                <w:lang w:val="en-GB"/>
              </w:rPr>
            </w:pPr>
            <w:r>
              <w:rPr>
                <w:lang w:val="en-GB"/>
              </w:rPr>
              <w:t>Phase</w:t>
            </w:r>
          </w:p>
        </w:tc>
        <w:tc>
          <w:tcPr>
            <w:tcW w:w="1814" w:type="dxa"/>
          </w:tcPr>
          <w:p w:rsidR="002B489A" w:rsidRDefault="004F19C4">
            <w:pPr>
              <w:pStyle w:val="Tabletext"/>
              <w:framePr w:hSpace="181" w:wrap="notBeside" w:vAnchor="text" w:hAnchor="text" w:xAlign="center" w:y="1"/>
              <w:jc w:val="center"/>
              <w:rPr>
                <w:lang w:val="en-GB"/>
              </w:rPr>
            </w:pPr>
            <w:r>
              <w:rPr>
                <w:lang w:val="en-GB"/>
              </w:rPr>
              <w:t>MRF/MRT/</w:t>
            </w:r>
            <w:r>
              <w:rPr>
                <w:lang w:val="en-GB"/>
              </w:rPr>
              <w:br/>
              <w:t>MDP-4</w:t>
            </w:r>
          </w:p>
        </w:tc>
        <w:tc>
          <w:tcPr>
            <w:tcW w:w="1814" w:type="dxa"/>
          </w:tcPr>
          <w:p w:rsidR="002B489A" w:rsidRDefault="002B489A">
            <w:pPr>
              <w:pStyle w:val="Tabletext"/>
              <w:framePr w:hSpace="181" w:wrap="notBeside" w:vAnchor="text" w:hAnchor="text" w:xAlign="center" w:y="1"/>
              <w:jc w:val="center"/>
              <w:rPr>
                <w:lang w:val="en-GB"/>
              </w:rPr>
            </w:pPr>
          </w:p>
        </w:tc>
      </w:tr>
      <w:tr w:rsidR="002B489A">
        <w:tc>
          <w:tcPr>
            <w:tcW w:w="2504" w:type="dxa"/>
          </w:tcPr>
          <w:p w:rsidR="002B489A" w:rsidRDefault="004F19C4">
            <w:pPr>
              <w:pStyle w:val="Tabletext"/>
              <w:framePr w:hSpace="181" w:wrap="notBeside" w:vAnchor="text" w:hAnchor="text" w:xAlign="center" w:y="1"/>
              <w:jc w:val="left"/>
            </w:pPr>
            <w:r>
              <w:t>Largeur de bande (MHz)</w:t>
            </w:r>
          </w:p>
        </w:tc>
        <w:tc>
          <w:tcPr>
            <w:tcW w:w="1814" w:type="dxa"/>
          </w:tcPr>
          <w:p w:rsidR="002B489A" w:rsidRDefault="004F19C4">
            <w:pPr>
              <w:pStyle w:val="Tabletext"/>
              <w:framePr w:hSpace="181" w:wrap="notBeside" w:vAnchor="text" w:hAnchor="text" w:xAlign="center" w:y="1"/>
              <w:jc w:val="center"/>
            </w:pPr>
            <w:r>
              <w:t>1,8</w:t>
            </w:r>
          </w:p>
        </w:tc>
        <w:tc>
          <w:tcPr>
            <w:tcW w:w="1814" w:type="dxa"/>
          </w:tcPr>
          <w:p w:rsidR="002B489A" w:rsidRDefault="004F19C4">
            <w:pPr>
              <w:pStyle w:val="Tabletext"/>
              <w:framePr w:hSpace="181" w:wrap="notBeside" w:vAnchor="text" w:hAnchor="text" w:xAlign="center" w:y="1"/>
              <w:jc w:val="center"/>
            </w:pPr>
            <w:r>
              <w:t>3 200</w:t>
            </w:r>
          </w:p>
        </w:tc>
        <w:tc>
          <w:tcPr>
            <w:tcW w:w="1814" w:type="dxa"/>
          </w:tcPr>
          <w:p w:rsidR="002B489A" w:rsidRDefault="004F19C4">
            <w:pPr>
              <w:pStyle w:val="Tabletext"/>
              <w:framePr w:hSpace="181" w:wrap="notBeside" w:vAnchor="text" w:hAnchor="text" w:xAlign="center" w:y="1"/>
              <w:jc w:val="center"/>
            </w:pPr>
            <w:r>
              <w:t>125</w:t>
            </w:r>
          </w:p>
        </w:tc>
        <w:tc>
          <w:tcPr>
            <w:tcW w:w="1814" w:type="dxa"/>
          </w:tcPr>
          <w:p w:rsidR="002B489A" w:rsidRDefault="004F19C4">
            <w:pPr>
              <w:pStyle w:val="Tabletext"/>
              <w:framePr w:hSpace="181" w:wrap="notBeside" w:vAnchor="text" w:hAnchor="text" w:xAlign="center" w:y="1"/>
              <w:jc w:val="center"/>
            </w:pPr>
            <w:r>
              <w:t>81</w:t>
            </w:r>
          </w:p>
        </w:tc>
      </w:tr>
      <w:tr w:rsidR="002B489A">
        <w:tc>
          <w:tcPr>
            <w:tcW w:w="2504" w:type="dxa"/>
          </w:tcPr>
          <w:p w:rsidR="002B489A" w:rsidRDefault="004F19C4">
            <w:pPr>
              <w:pStyle w:val="Tabletext"/>
              <w:framePr w:hSpace="181" w:wrap="notBeside" w:vAnchor="text" w:hAnchor="text" w:xAlign="center" w:y="1"/>
              <w:jc w:val="left"/>
            </w:pPr>
            <w:r>
              <w:t>p.i.r.e. (dBW)</w:t>
            </w:r>
          </w:p>
        </w:tc>
        <w:tc>
          <w:tcPr>
            <w:tcW w:w="1814" w:type="dxa"/>
          </w:tcPr>
          <w:p w:rsidR="002B489A" w:rsidRDefault="004F19C4">
            <w:pPr>
              <w:pStyle w:val="Tabletext"/>
              <w:framePr w:hSpace="181" w:wrap="notBeside" w:vAnchor="text" w:hAnchor="text" w:xAlign="center" w:y="1"/>
              <w:jc w:val="center"/>
            </w:pPr>
            <w:r>
              <w:t>57</w:t>
            </w:r>
          </w:p>
        </w:tc>
        <w:tc>
          <w:tcPr>
            <w:tcW w:w="1814" w:type="dxa"/>
          </w:tcPr>
          <w:p w:rsidR="002B489A" w:rsidRDefault="004F19C4">
            <w:pPr>
              <w:pStyle w:val="Tabletext"/>
              <w:framePr w:hSpace="181" w:wrap="notBeside" w:vAnchor="text" w:hAnchor="text" w:xAlign="center" w:y="1"/>
              <w:jc w:val="center"/>
            </w:pPr>
            <w:r>
              <w:t>74</w:t>
            </w:r>
          </w:p>
        </w:tc>
        <w:tc>
          <w:tcPr>
            <w:tcW w:w="1814" w:type="dxa"/>
          </w:tcPr>
          <w:p w:rsidR="002B489A" w:rsidRDefault="004F19C4">
            <w:pPr>
              <w:pStyle w:val="Tabletext"/>
              <w:framePr w:hSpace="181" w:wrap="notBeside" w:vAnchor="text" w:hAnchor="text" w:xAlign="center" w:y="1"/>
              <w:jc w:val="center"/>
            </w:pPr>
            <w:r>
              <w:t>61,8</w:t>
            </w:r>
          </w:p>
        </w:tc>
        <w:tc>
          <w:tcPr>
            <w:tcW w:w="1814" w:type="dxa"/>
          </w:tcPr>
          <w:p w:rsidR="002B489A" w:rsidRDefault="004F19C4">
            <w:pPr>
              <w:pStyle w:val="Tabletext"/>
              <w:framePr w:hSpace="181" w:wrap="notBeside" w:vAnchor="text" w:hAnchor="text" w:xAlign="center" w:y="1"/>
              <w:jc w:val="center"/>
            </w:pPr>
            <w:r>
              <w:t>59,5</w:t>
            </w:r>
          </w:p>
        </w:tc>
      </w:tr>
      <w:tr w:rsidR="002B489A">
        <w:tc>
          <w:tcPr>
            <w:tcW w:w="2504" w:type="dxa"/>
          </w:tcPr>
          <w:p w:rsidR="002B489A" w:rsidRDefault="004F19C4">
            <w:pPr>
              <w:pStyle w:val="Tabletext"/>
              <w:framePr w:hSpace="181" w:wrap="notBeside" w:vAnchor="text" w:hAnchor="text" w:xAlign="center" w:y="1"/>
              <w:jc w:val="left"/>
            </w:pPr>
            <w:r>
              <w:t>Gain d'antenne (dBW)</w:t>
            </w:r>
          </w:p>
        </w:tc>
        <w:tc>
          <w:tcPr>
            <w:tcW w:w="1814" w:type="dxa"/>
          </w:tcPr>
          <w:p w:rsidR="002B489A" w:rsidRDefault="004F19C4">
            <w:pPr>
              <w:pStyle w:val="Tabletext"/>
              <w:framePr w:hSpace="181" w:wrap="notBeside" w:vAnchor="text" w:hAnchor="text" w:xAlign="center" w:y="1"/>
              <w:jc w:val="center"/>
            </w:pPr>
            <w:r>
              <w:t>40,9</w:t>
            </w:r>
          </w:p>
        </w:tc>
        <w:tc>
          <w:tcPr>
            <w:tcW w:w="1814" w:type="dxa"/>
          </w:tcPr>
          <w:p w:rsidR="002B489A" w:rsidRDefault="004F19C4">
            <w:pPr>
              <w:pStyle w:val="Tabletext"/>
              <w:framePr w:hSpace="181" w:wrap="notBeside" w:vAnchor="text" w:hAnchor="text" w:xAlign="center" w:y="1"/>
              <w:jc w:val="center"/>
            </w:pPr>
            <w:r>
              <w:t>55</w:t>
            </w:r>
          </w:p>
        </w:tc>
        <w:tc>
          <w:tcPr>
            <w:tcW w:w="1814" w:type="dxa"/>
          </w:tcPr>
          <w:p w:rsidR="002B489A" w:rsidRDefault="004F19C4">
            <w:pPr>
              <w:pStyle w:val="Tabletext"/>
              <w:framePr w:hSpace="181" w:wrap="notBeside" w:vAnchor="text" w:hAnchor="text" w:xAlign="center" w:y="1"/>
              <w:jc w:val="center"/>
            </w:pPr>
            <w:r>
              <w:t>49,0</w:t>
            </w:r>
          </w:p>
        </w:tc>
        <w:tc>
          <w:tcPr>
            <w:tcW w:w="1814" w:type="dxa"/>
          </w:tcPr>
          <w:p w:rsidR="002B489A" w:rsidRDefault="004F19C4">
            <w:pPr>
              <w:pStyle w:val="Tabletext"/>
              <w:framePr w:hSpace="181" w:wrap="notBeside" w:vAnchor="text" w:hAnchor="text" w:xAlign="center" w:y="1"/>
              <w:jc w:val="center"/>
            </w:pPr>
            <w:r>
              <w:t>46,5</w:t>
            </w:r>
          </w:p>
        </w:tc>
      </w:tr>
      <w:tr w:rsidR="002B489A">
        <w:tc>
          <w:tcPr>
            <w:tcW w:w="2504" w:type="dxa"/>
          </w:tcPr>
          <w:p w:rsidR="002B489A" w:rsidRDefault="004F19C4">
            <w:pPr>
              <w:pStyle w:val="Tabletext"/>
              <w:framePr w:hSpace="181" w:wrap="notBeside" w:vAnchor="text" w:hAnchor="text" w:xAlign="center" w:y="1"/>
              <w:jc w:val="left"/>
            </w:pPr>
            <w:r>
              <w:t>Nombre de satellites</w:t>
            </w:r>
          </w:p>
        </w:tc>
        <w:tc>
          <w:tcPr>
            <w:tcW w:w="1814" w:type="dxa"/>
          </w:tcPr>
          <w:p w:rsidR="002B489A" w:rsidRDefault="004F19C4">
            <w:pPr>
              <w:pStyle w:val="Tabletext"/>
              <w:framePr w:hSpace="181" w:wrap="notBeside" w:vAnchor="text" w:hAnchor="text" w:xAlign="center" w:y="1"/>
              <w:jc w:val="center"/>
            </w:pPr>
            <w:r>
              <w:t>Inconnu</w:t>
            </w:r>
          </w:p>
        </w:tc>
        <w:tc>
          <w:tcPr>
            <w:tcW w:w="1814" w:type="dxa"/>
          </w:tcPr>
          <w:p w:rsidR="002B489A" w:rsidRDefault="004F19C4">
            <w:pPr>
              <w:pStyle w:val="Tabletext"/>
              <w:framePr w:hSpace="181" w:wrap="notBeside" w:vAnchor="text" w:hAnchor="text" w:xAlign="center" w:y="1"/>
              <w:jc w:val="center"/>
            </w:pPr>
            <w:r>
              <w:t>12</w:t>
            </w:r>
          </w:p>
        </w:tc>
        <w:tc>
          <w:tcPr>
            <w:tcW w:w="1814" w:type="dxa"/>
          </w:tcPr>
          <w:p w:rsidR="002B489A" w:rsidRDefault="004F19C4">
            <w:pPr>
              <w:pStyle w:val="Tabletext"/>
              <w:framePr w:hSpace="181" w:wrap="notBeside" w:vAnchor="text" w:hAnchor="text" w:xAlign="center" w:y="1"/>
              <w:jc w:val="center"/>
            </w:pPr>
            <w:r>
              <w:t>Inconnu</w:t>
            </w:r>
          </w:p>
        </w:tc>
        <w:tc>
          <w:tcPr>
            <w:tcW w:w="1814" w:type="dxa"/>
          </w:tcPr>
          <w:p w:rsidR="002B489A" w:rsidRDefault="004F19C4">
            <w:pPr>
              <w:pStyle w:val="Tabletext"/>
              <w:framePr w:hSpace="181" w:wrap="notBeside" w:vAnchor="text" w:hAnchor="text" w:xAlign="center" w:y="1"/>
              <w:jc w:val="center"/>
            </w:pPr>
            <w:r>
              <w:t>17</w:t>
            </w:r>
          </w:p>
        </w:tc>
      </w:tr>
    </w:tbl>
    <w:p w:rsidR="002B489A" w:rsidRDefault="002B489A">
      <w:pPr>
        <w:pStyle w:val="Tablefin"/>
      </w:pPr>
    </w:p>
    <w:p w:rsidR="002B489A" w:rsidRDefault="004F19C4">
      <w:pPr>
        <w:pStyle w:val="TableNo"/>
      </w:pPr>
      <w:r>
        <w:t>TABLEAU  27</w:t>
      </w:r>
    </w:p>
    <w:p w:rsidR="002B489A" w:rsidRDefault="004F19C4">
      <w:pPr>
        <w:pStyle w:val="Tabletitle"/>
      </w:pPr>
      <w:r>
        <w:t>Caractéristiques des liaisons descendantes de stations spatiales non OSG</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3"/>
        <w:gridCol w:w="1744"/>
        <w:gridCol w:w="1744"/>
        <w:gridCol w:w="1744"/>
        <w:gridCol w:w="1744"/>
      </w:tblGrid>
      <w:tr w:rsidR="002B489A">
        <w:tc>
          <w:tcPr>
            <w:tcW w:w="2596" w:type="dxa"/>
          </w:tcPr>
          <w:p w:rsidR="002B489A" w:rsidRDefault="004F19C4">
            <w:pPr>
              <w:pStyle w:val="Tablehead"/>
              <w:framePr w:hSpace="181" w:wrap="notBeside" w:vAnchor="text" w:hAnchor="text" w:xAlign="center" w:y="1"/>
              <w:jc w:val="left"/>
            </w:pPr>
            <w:r>
              <w:t>Système</w:t>
            </w:r>
          </w:p>
        </w:tc>
        <w:tc>
          <w:tcPr>
            <w:tcW w:w="1701" w:type="dxa"/>
          </w:tcPr>
          <w:p w:rsidR="002B489A" w:rsidRDefault="004F19C4">
            <w:pPr>
              <w:pStyle w:val="Tablehead"/>
              <w:framePr w:hSpace="181" w:wrap="notBeside" w:vAnchor="text" w:hAnchor="text" w:xAlign="center" w:y="1"/>
            </w:pPr>
            <w:r>
              <w:t>LEO A</w:t>
            </w:r>
          </w:p>
        </w:tc>
        <w:tc>
          <w:tcPr>
            <w:tcW w:w="1701" w:type="dxa"/>
          </w:tcPr>
          <w:p w:rsidR="002B489A" w:rsidRDefault="004F19C4">
            <w:pPr>
              <w:pStyle w:val="Tablehead"/>
              <w:framePr w:hSpace="181" w:wrap="notBeside" w:vAnchor="text" w:hAnchor="text" w:xAlign="center" w:y="1"/>
              <w:rPr>
                <w:lang w:val="es-ES"/>
              </w:rPr>
            </w:pPr>
            <w:r>
              <w:rPr>
                <w:lang w:val="es-ES"/>
              </w:rPr>
              <w:t>LEO B</w:t>
            </w:r>
          </w:p>
        </w:tc>
        <w:tc>
          <w:tcPr>
            <w:tcW w:w="1701" w:type="dxa"/>
          </w:tcPr>
          <w:p w:rsidR="002B489A" w:rsidRDefault="004F19C4">
            <w:pPr>
              <w:pStyle w:val="Tablehead"/>
              <w:framePr w:hSpace="181" w:wrap="notBeside" w:vAnchor="text" w:hAnchor="text" w:xAlign="center" w:y="1"/>
              <w:rPr>
                <w:lang w:val="es-ES"/>
              </w:rPr>
            </w:pPr>
            <w:r>
              <w:rPr>
                <w:lang w:val="es-ES"/>
              </w:rPr>
              <w:t>LEO SAT-1</w:t>
            </w:r>
          </w:p>
        </w:tc>
        <w:tc>
          <w:tcPr>
            <w:tcW w:w="1701" w:type="dxa"/>
          </w:tcPr>
          <w:p w:rsidR="002B489A" w:rsidRDefault="004F19C4">
            <w:pPr>
              <w:pStyle w:val="Tablehead"/>
              <w:framePr w:hSpace="181" w:wrap="notBeside" w:vAnchor="text" w:hAnchor="text" w:xAlign="center" w:y="1"/>
              <w:rPr>
                <w:lang w:val="en-GB"/>
              </w:rPr>
            </w:pPr>
            <w:r>
              <w:rPr>
                <w:lang w:val="en-GB"/>
              </w:rPr>
              <w:t>Quasi-GSO 31</w:t>
            </w:r>
          </w:p>
        </w:tc>
      </w:tr>
      <w:tr w:rsidR="002B489A">
        <w:tc>
          <w:tcPr>
            <w:tcW w:w="2596" w:type="dxa"/>
          </w:tcPr>
          <w:p w:rsidR="002B489A" w:rsidRDefault="004F19C4">
            <w:pPr>
              <w:pStyle w:val="Tabletext"/>
              <w:framePr w:hSpace="181" w:wrap="notBeside" w:vAnchor="text" w:hAnchor="text" w:xAlign="center" w:y="1"/>
              <w:jc w:val="left"/>
              <w:rPr>
                <w:lang w:val="en-GB"/>
              </w:rPr>
            </w:pPr>
            <w:r>
              <w:rPr>
                <w:lang w:val="en-GB"/>
              </w:rPr>
              <w:t>Service</w:t>
            </w:r>
          </w:p>
        </w:tc>
        <w:tc>
          <w:tcPr>
            <w:tcW w:w="1701" w:type="dxa"/>
          </w:tcPr>
          <w:p w:rsidR="002B489A" w:rsidRDefault="004F19C4">
            <w:pPr>
              <w:pStyle w:val="Tabletext"/>
              <w:framePr w:hSpace="181" w:wrap="notBeside" w:vAnchor="text" w:hAnchor="text" w:xAlign="center" w:y="1"/>
              <w:jc w:val="center"/>
              <w:rPr>
                <w:lang w:val="en-GB"/>
              </w:rPr>
            </w:pPr>
            <w:r>
              <w:rPr>
                <w:lang w:val="en-GB"/>
              </w:rPr>
              <w:t>SMS</w:t>
            </w:r>
          </w:p>
        </w:tc>
        <w:tc>
          <w:tcPr>
            <w:tcW w:w="1701" w:type="dxa"/>
          </w:tcPr>
          <w:p w:rsidR="002B489A" w:rsidRDefault="004F19C4">
            <w:pPr>
              <w:pStyle w:val="Tabletext"/>
              <w:framePr w:hSpace="181" w:wrap="notBeside" w:vAnchor="text" w:hAnchor="text" w:xAlign="center" w:y="1"/>
              <w:jc w:val="center"/>
              <w:rPr>
                <w:lang w:val="en-GB"/>
              </w:rPr>
            </w:pPr>
            <w:r>
              <w:rPr>
                <w:lang w:val="en-GB"/>
              </w:rPr>
              <w:t>SMS</w:t>
            </w:r>
          </w:p>
        </w:tc>
        <w:tc>
          <w:tcPr>
            <w:tcW w:w="1701" w:type="dxa"/>
          </w:tcPr>
          <w:p w:rsidR="002B489A" w:rsidRDefault="004F19C4">
            <w:pPr>
              <w:pStyle w:val="Tabletext"/>
              <w:framePr w:hSpace="181" w:wrap="notBeside" w:vAnchor="text" w:hAnchor="text" w:xAlign="center" w:y="1"/>
              <w:jc w:val="center"/>
              <w:rPr>
                <w:lang w:val="en-GB"/>
              </w:rPr>
            </w:pPr>
            <w:r>
              <w:rPr>
                <w:lang w:val="en-GB"/>
              </w:rPr>
              <w:t>SFS</w:t>
            </w:r>
          </w:p>
        </w:tc>
        <w:tc>
          <w:tcPr>
            <w:tcW w:w="1701" w:type="dxa"/>
          </w:tcPr>
          <w:p w:rsidR="002B489A" w:rsidRDefault="004F19C4">
            <w:pPr>
              <w:pStyle w:val="Tabletext"/>
              <w:framePr w:hSpace="181" w:wrap="notBeside" w:vAnchor="text" w:hAnchor="text" w:xAlign="center" w:y="1"/>
              <w:jc w:val="center"/>
              <w:rPr>
                <w:lang w:val="en-GB"/>
              </w:rPr>
            </w:pPr>
            <w:r>
              <w:rPr>
                <w:lang w:val="en-GB"/>
              </w:rPr>
              <w:t>SFS</w:t>
            </w:r>
          </w:p>
        </w:tc>
      </w:tr>
      <w:tr w:rsidR="002B489A">
        <w:tc>
          <w:tcPr>
            <w:tcW w:w="2596" w:type="dxa"/>
          </w:tcPr>
          <w:p w:rsidR="002B489A" w:rsidRDefault="004F19C4">
            <w:pPr>
              <w:pStyle w:val="Tabletext"/>
              <w:framePr w:hSpace="181" w:wrap="notBeside" w:vAnchor="text" w:hAnchor="text" w:xAlign="center" w:y="1"/>
              <w:jc w:val="left"/>
            </w:pPr>
            <w:r>
              <w:t>Orbite</w:t>
            </w:r>
          </w:p>
        </w:tc>
        <w:tc>
          <w:tcPr>
            <w:tcW w:w="1701" w:type="dxa"/>
          </w:tcPr>
          <w:p w:rsidR="002B489A" w:rsidRDefault="004F19C4">
            <w:pPr>
              <w:pStyle w:val="Tabletext"/>
              <w:framePr w:hSpace="181" w:wrap="notBeside" w:vAnchor="text" w:hAnchor="text" w:xAlign="center" w:y="1"/>
              <w:jc w:val="center"/>
            </w:pPr>
            <w:r>
              <w:t>Circulaire</w:t>
            </w:r>
          </w:p>
        </w:tc>
        <w:tc>
          <w:tcPr>
            <w:tcW w:w="1701" w:type="dxa"/>
          </w:tcPr>
          <w:p w:rsidR="002B489A" w:rsidRDefault="004F19C4">
            <w:pPr>
              <w:pStyle w:val="Tabletext"/>
              <w:framePr w:hSpace="181" w:wrap="notBeside" w:vAnchor="text" w:hAnchor="text" w:xAlign="center" w:y="1"/>
              <w:jc w:val="center"/>
            </w:pPr>
            <w:r>
              <w:t>Circulaire</w:t>
            </w:r>
          </w:p>
        </w:tc>
        <w:tc>
          <w:tcPr>
            <w:tcW w:w="1701" w:type="dxa"/>
          </w:tcPr>
          <w:p w:rsidR="002B489A" w:rsidRDefault="004F19C4">
            <w:pPr>
              <w:pStyle w:val="Tabletext"/>
              <w:framePr w:hSpace="181" w:wrap="notBeside" w:vAnchor="text" w:hAnchor="text" w:xAlign="center" w:y="1"/>
              <w:jc w:val="center"/>
            </w:pPr>
            <w:r>
              <w:t>Circulaire</w:t>
            </w:r>
          </w:p>
        </w:tc>
        <w:tc>
          <w:tcPr>
            <w:tcW w:w="1701" w:type="dxa"/>
          </w:tcPr>
          <w:p w:rsidR="002B489A" w:rsidRDefault="004F19C4">
            <w:pPr>
              <w:pStyle w:val="Tabletext"/>
              <w:framePr w:hSpace="181" w:wrap="notBeside" w:vAnchor="text" w:hAnchor="text" w:xAlign="center" w:y="1"/>
              <w:jc w:val="center"/>
            </w:pPr>
            <w:r>
              <w:t>Elliptique</w:t>
            </w:r>
          </w:p>
        </w:tc>
      </w:tr>
      <w:tr w:rsidR="002B489A">
        <w:tc>
          <w:tcPr>
            <w:tcW w:w="2596" w:type="dxa"/>
          </w:tcPr>
          <w:p w:rsidR="002B489A" w:rsidRDefault="004F19C4">
            <w:pPr>
              <w:pStyle w:val="Tabletext"/>
              <w:framePr w:hSpace="181" w:wrap="notBeside" w:vAnchor="text" w:hAnchor="text" w:xAlign="center" w:y="1"/>
              <w:jc w:val="left"/>
            </w:pPr>
            <w:r>
              <w:t>Altitude (km)</w:t>
            </w:r>
          </w:p>
        </w:tc>
        <w:tc>
          <w:tcPr>
            <w:tcW w:w="1701" w:type="dxa"/>
          </w:tcPr>
          <w:p w:rsidR="002B489A" w:rsidRDefault="004F19C4">
            <w:pPr>
              <w:pStyle w:val="Tabletext"/>
              <w:framePr w:hSpace="181" w:wrap="notBeside" w:vAnchor="text" w:hAnchor="text" w:xAlign="center" w:y="1"/>
              <w:jc w:val="center"/>
            </w:pPr>
            <w:r>
              <w:t>780</w:t>
            </w:r>
          </w:p>
        </w:tc>
        <w:tc>
          <w:tcPr>
            <w:tcW w:w="1701" w:type="dxa"/>
          </w:tcPr>
          <w:p w:rsidR="002B489A" w:rsidRDefault="004F19C4">
            <w:pPr>
              <w:pStyle w:val="Tabletext"/>
              <w:framePr w:hSpace="181" w:wrap="notBeside" w:vAnchor="text" w:hAnchor="text" w:xAlign="center" w:y="1"/>
              <w:jc w:val="center"/>
            </w:pPr>
            <w:r>
              <w:t>10 355</w:t>
            </w:r>
          </w:p>
        </w:tc>
        <w:tc>
          <w:tcPr>
            <w:tcW w:w="1701" w:type="dxa"/>
          </w:tcPr>
          <w:p w:rsidR="002B489A" w:rsidRDefault="004F19C4">
            <w:pPr>
              <w:pStyle w:val="Tabletext"/>
              <w:framePr w:hSpace="181" w:wrap="notBeside" w:vAnchor="text" w:hAnchor="text" w:xAlign="center" w:y="1"/>
              <w:jc w:val="center"/>
            </w:pPr>
            <w:r>
              <w:t>700</w:t>
            </w:r>
          </w:p>
        </w:tc>
        <w:tc>
          <w:tcPr>
            <w:tcW w:w="1701" w:type="dxa"/>
          </w:tcPr>
          <w:p w:rsidR="002B489A" w:rsidRDefault="004F19C4">
            <w:pPr>
              <w:pStyle w:val="Tabletext"/>
              <w:framePr w:hSpace="181" w:wrap="notBeside" w:vAnchor="text" w:hAnchor="text" w:xAlign="center" w:y="1"/>
              <w:jc w:val="center"/>
            </w:pPr>
            <w:r>
              <w:t>1</w:t>
            </w:r>
            <w:r>
              <w:rPr>
                <w:rFonts w:ascii="Tms Rmn" w:hAnsi="Tms Rmn"/>
                <w:sz w:val="12"/>
              </w:rPr>
              <w:t> </w:t>
            </w:r>
            <w:r>
              <w:t>000-43</w:t>
            </w:r>
            <w:r>
              <w:rPr>
                <w:rFonts w:ascii="Tms Rmn" w:hAnsi="Tms Rmn"/>
                <w:sz w:val="12"/>
              </w:rPr>
              <w:t> </w:t>
            </w:r>
            <w:r>
              <w:t>000</w:t>
            </w:r>
          </w:p>
        </w:tc>
      </w:tr>
      <w:tr w:rsidR="002B489A">
        <w:tc>
          <w:tcPr>
            <w:tcW w:w="2596" w:type="dxa"/>
          </w:tcPr>
          <w:p w:rsidR="002B489A" w:rsidRDefault="004F19C4">
            <w:pPr>
              <w:pStyle w:val="Tabletext"/>
              <w:framePr w:hSpace="181" w:wrap="notBeside" w:vAnchor="text" w:hAnchor="text" w:xAlign="center" w:y="1"/>
              <w:jc w:val="left"/>
            </w:pPr>
            <w:r>
              <w:t>Inclinaison (degrés)</w:t>
            </w:r>
          </w:p>
        </w:tc>
        <w:tc>
          <w:tcPr>
            <w:tcW w:w="1701" w:type="dxa"/>
          </w:tcPr>
          <w:p w:rsidR="002B489A" w:rsidRDefault="004F19C4">
            <w:pPr>
              <w:pStyle w:val="Tabletext"/>
              <w:framePr w:hSpace="181" w:wrap="notBeside" w:vAnchor="text" w:hAnchor="text" w:xAlign="center" w:y="1"/>
              <w:jc w:val="center"/>
            </w:pPr>
            <w:r>
              <w:t>86</w:t>
            </w:r>
          </w:p>
        </w:tc>
        <w:tc>
          <w:tcPr>
            <w:tcW w:w="1701" w:type="dxa"/>
          </w:tcPr>
          <w:p w:rsidR="002B489A" w:rsidRDefault="004F19C4">
            <w:pPr>
              <w:pStyle w:val="Tabletext"/>
              <w:framePr w:hSpace="181" w:wrap="notBeside" w:vAnchor="text" w:hAnchor="text" w:xAlign="center" w:y="1"/>
              <w:jc w:val="center"/>
            </w:pPr>
            <w:r>
              <w:t>50</w:t>
            </w:r>
          </w:p>
        </w:tc>
        <w:tc>
          <w:tcPr>
            <w:tcW w:w="1701" w:type="dxa"/>
          </w:tcPr>
          <w:p w:rsidR="002B489A" w:rsidRDefault="004F19C4">
            <w:pPr>
              <w:pStyle w:val="Tabletext"/>
              <w:framePr w:hSpace="181" w:wrap="notBeside" w:vAnchor="text" w:hAnchor="text" w:xAlign="center" w:y="1"/>
              <w:jc w:val="center"/>
            </w:pPr>
            <w:r>
              <w:t>98,2</w:t>
            </w:r>
          </w:p>
        </w:tc>
        <w:tc>
          <w:tcPr>
            <w:tcW w:w="1701" w:type="dxa"/>
          </w:tcPr>
          <w:p w:rsidR="002B489A" w:rsidRDefault="004F19C4">
            <w:pPr>
              <w:pStyle w:val="Tabletext"/>
              <w:framePr w:hSpace="181" w:wrap="notBeside" w:vAnchor="text" w:hAnchor="text" w:xAlign="center" w:y="1"/>
              <w:jc w:val="center"/>
            </w:pPr>
            <w:r>
              <w:t>63</w:t>
            </w:r>
          </w:p>
        </w:tc>
      </w:tr>
      <w:tr w:rsidR="002B489A">
        <w:tc>
          <w:tcPr>
            <w:tcW w:w="2596" w:type="dxa"/>
          </w:tcPr>
          <w:p w:rsidR="002B489A" w:rsidRDefault="004F19C4">
            <w:pPr>
              <w:pStyle w:val="Tabletext"/>
              <w:framePr w:hSpace="181" w:wrap="notBeside" w:vAnchor="text" w:hAnchor="text" w:xAlign="center" w:y="1"/>
              <w:jc w:val="left"/>
            </w:pPr>
            <w:r>
              <w:t>Satellites dans le plan</w:t>
            </w:r>
          </w:p>
        </w:tc>
        <w:tc>
          <w:tcPr>
            <w:tcW w:w="1701" w:type="dxa"/>
          </w:tcPr>
          <w:p w:rsidR="002B489A" w:rsidRDefault="004F19C4">
            <w:pPr>
              <w:pStyle w:val="Tabletext"/>
              <w:framePr w:hSpace="181" w:wrap="notBeside" w:vAnchor="text" w:hAnchor="text" w:xAlign="center" w:y="1"/>
              <w:jc w:val="center"/>
            </w:pPr>
            <w:r>
              <w:t>11</w:t>
            </w:r>
          </w:p>
        </w:tc>
        <w:tc>
          <w:tcPr>
            <w:tcW w:w="1701" w:type="dxa"/>
          </w:tcPr>
          <w:p w:rsidR="002B489A" w:rsidRDefault="004F19C4">
            <w:pPr>
              <w:pStyle w:val="Tabletext"/>
              <w:framePr w:hSpace="181" w:wrap="notBeside" w:vAnchor="text" w:hAnchor="text" w:xAlign="center" w:y="1"/>
              <w:jc w:val="center"/>
            </w:pPr>
            <w:r>
              <w:t>4</w:t>
            </w:r>
          </w:p>
        </w:tc>
        <w:tc>
          <w:tcPr>
            <w:tcW w:w="1701" w:type="dxa"/>
          </w:tcPr>
          <w:p w:rsidR="002B489A" w:rsidRDefault="004F19C4">
            <w:pPr>
              <w:pStyle w:val="Tabletext"/>
              <w:framePr w:hSpace="181" w:wrap="notBeside" w:vAnchor="text" w:hAnchor="text" w:xAlign="center" w:y="1"/>
              <w:jc w:val="center"/>
            </w:pPr>
            <w:r>
              <w:t>40</w:t>
            </w:r>
          </w:p>
        </w:tc>
        <w:tc>
          <w:tcPr>
            <w:tcW w:w="1701" w:type="dxa"/>
          </w:tcPr>
          <w:p w:rsidR="002B489A" w:rsidRDefault="004F19C4">
            <w:pPr>
              <w:pStyle w:val="Tabletext"/>
              <w:framePr w:hSpace="181" w:wrap="notBeside" w:vAnchor="text" w:hAnchor="text" w:xAlign="center" w:y="1"/>
              <w:jc w:val="center"/>
            </w:pPr>
            <w:r>
              <w:t>1</w:t>
            </w:r>
          </w:p>
        </w:tc>
      </w:tr>
      <w:tr w:rsidR="002B489A">
        <w:tc>
          <w:tcPr>
            <w:tcW w:w="2596" w:type="dxa"/>
          </w:tcPr>
          <w:p w:rsidR="002B489A" w:rsidRDefault="004F19C4">
            <w:pPr>
              <w:pStyle w:val="Tabletext"/>
              <w:framePr w:hSpace="181" w:wrap="notBeside" w:vAnchor="text" w:hAnchor="text" w:xAlign="center" w:y="1"/>
              <w:jc w:val="left"/>
            </w:pPr>
            <w:r>
              <w:t>Plans</w:t>
            </w:r>
          </w:p>
        </w:tc>
        <w:tc>
          <w:tcPr>
            <w:tcW w:w="1701" w:type="dxa"/>
          </w:tcPr>
          <w:p w:rsidR="002B489A" w:rsidRDefault="004F19C4">
            <w:pPr>
              <w:pStyle w:val="Tabletext"/>
              <w:framePr w:hSpace="181" w:wrap="notBeside" w:vAnchor="text" w:hAnchor="text" w:xAlign="center" w:y="1"/>
              <w:jc w:val="center"/>
            </w:pPr>
            <w:r>
              <w:t>6</w:t>
            </w:r>
          </w:p>
        </w:tc>
        <w:tc>
          <w:tcPr>
            <w:tcW w:w="1701" w:type="dxa"/>
          </w:tcPr>
          <w:p w:rsidR="002B489A" w:rsidRDefault="004F19C4">
            <w:pPr>
              <w:pStyle w:val="Tabletext"/>
              <w:framePr w:hSpace="181" w:wrap="notBeside" w:vAnchor="text" w:hAnchor="text" w:xAlign="center" w:y="1"/>
              <w:jc w:val="center"/>
            </w:pPr>
            <w:r>
              <w:t>3</w:t>
            </w:r>
          </w:p>
        </w:tc>
        <w:tc>
          <w:tcPr>
            <w:tcW w:w="1701" w:type="dxa"/>
          </w:tcPr>
          <w:p w:rsidR="002B489A" w:rsidRDefault="004F19C4">
            <w:pPr>
              <w:pStyle w:val="Tabletext"/>
              <w:framePr w:hSpace="181" w:wrap="notBeside" w:vAnchor="text" w:hAnchor="text" w:xAlign="center" w:y="1"/>
              <w:jc w:val="center"/>
            </w:pPr>
            <w:r>
              <w:t>21</w:t>
            </w:r>
          </w:p>
        </w:tc>
        <w:tc>
          <w:tcPr>
            <w:tcW w:w="1701" w:type="dxa"/>
          </w:tcPr>
          <w:p w:rsidR="002B489A" w:rsidRDefault="004F19C4">
            <w:pPr>
              <w:pStyle w:val="Tabletext"/>
              <w:framePr w:hSpace="181" w:wrap="notBeside" w:vAnchor="text" w:hAnchor="text" w:xAlign="center" w:y="1"/>
              <w:jc w:val="center"/>
            </w:pPr>
            <w:r>
              <w:t>8</w:t>
            </w:r>
          </w:p>
        </w:tc>
      </w:tr>
      <w:tr w:rsidR="002B489A">
        <w:tc>
          <w:tcPr>
            <w:tcW w:w="2596" w:type="dxa"/>
          </w:tcPr>
          <w:p w:rsidR="002B489A" w:rsidRDefault="004F19C4">
            <w:pPr>
              <w:pStyle w:val="Tabletext"/>
              <w:framePr w:hSpace="181" w:wrap="notBeside" w:vAnchor="text" w:hAnchor="text" w:xAlign="center" w:y="1"/>
              <w:jc w:val="left"/>
            </w:pPr>
            <w:r>
              <w:t>Séparation dans le plan (degrés)</w:t>
            </w:r>
          </w:p>
        </w:tc>
        <w:tc>
          <w:tcPr>
            <w:tcW w:w="1701" w:type="dxa"/>
          </w:tcPr>
          <w:p w:rsidR="002B489A" w:rsidRDefault="004F19C4">
            <w:pPr>
              <w:pStyle w:val="Tabletext"/>
              <w:framePr w:hSpace="181" w:wrap="notBeside" w:vAnchor="text" w:hAnchor="text" w:xAlign="center" w:y="1"/>
              <w:jc w:val="center"/>
            </w:pPr>
            <w:r>
              <w:t>32,7</w:t>
            </w:r>
          </w:p>
        </w:tc>
        <w:tc>
          <w:tcPr>
            <w:tcW w:w="1701" w:type="dxa"/>
          </w:tcPr>
          <w:p w:rsidR="002B489A" w:rsidRDefault="004F19C4">
            <w:pPr>
              <w:pStyle w:val="Tabletext"/>
              <w:framePr w:hSpace="181" w:wrap="notBeside" w:vAnchor="text" w:hAnchor="text" w:xAlign="center" w:y="1"/>
              <w:jc w:val="center"/>
            </w:pPr>
            <w:r>
              <w:t>90</w:t>
            </w:r>
          </w:p>
        </w:tc>
        <w:tc>
          <w:tcPr>
            <w:tcW w:w="1701" w:type="dxa"/>
          </w:tcPr>
          <w:p w:rsidR="002B489A" w:rsidRDefault="004F19C4">
            <w:pPr>
              <w:pStyle w:val="Tabletext"/>
              <w:framePr w:hSpace="181" w:wrap="notBeside" w:vAnchor="text" w:hAnchor="text" w:xAlign="center" w:y="1"/>
              <w:jc w:val="center"/>
            </w:pPr>
            <w:r>
              <w:t>9</w:t>
            </w:r>
          </w:p>
        </w:tc>
        <w:tc>
          <w:tcPr>
            <w:tcW w:w="1701" w:type="dxa"/>
          </w:tcPr>
          <w:p w:rsidR="002B489A" w:rsidRDefault="004F19C4">
            <w:pPr>
              <w:pStyle w:val="Tabletext"/>
              <w:framePr w:hSpace="181" w:wrap="notBeside" w:vAnchor="text" w:hAnchor="text" w:xAlign="center" w:y="1"/>
              <w:jc w:val="center"/>
            </w:pPr>
            <w:r>
              <w:t>–</w:t>
            </w:r>
          </w:p>
        </w:tc>
      </w:tr>
      <w:tr w:rsidR="002B489A">
        <w:tc>
          <w:tcPr>
            <w:tcW w:w="2596" w:type="dxa"/>
          </w:tcPr>
          <w:p w:rsidR="002B489A" w:rsidRDefault="004F19C4">
            <w:pPr>
              <w:pStyle w:val="Tabletext"/>
              <w:framePr w:hSpace="181" w:wrap="notBeside" w:vAnchor="text" w:hAnchor="text" w:xAlign="center" w:y="1"/>
              <w:jc w:val="left"/>
            </w:pPr>
            <w:r>
              <w:t>Phasage de plan (degrés)</w:t>
            </w:r>
          </w:p>
        </w:tc>
        <w:tc>
          <w:tcPr>
            <w:tcW w:w="1701" w:type="dxa"/>
          </w:tcPr>
          <w:p w:rsidR="002B489A" w:rsidRDefault="004F19C4">
            <w:pPr>
              <w:pStyle w:val="Tabletext"/>
              <w:framePr w:hSpace="181" w:wrap="notBeside" w:vAnchor="text" w:hAnchor="text" w:xAlign="center" w:y="1"/>
              <w:jc w:val="center"/>
            </w:pPr>
            <w:r>
              <w:t>31,6</w:t>
            </w:r>
          </w:p>
        </w:tc>
        <w:tc>
          <w:tcPr>
            <w:tcW w:w="1701" w:type="dxa"/>
          </w:tcPr>
          <w:p w:rsidR="002B489A" w:rsidRDefault="004F19C4">
            <w:pPr>
              <w:pStyle w:val="Tabletext"/>
              <w:framePr w:hSpace="181" w:wrap="notBeside" w:vAnchor="text" w:hAnchor="text" w:xAlign="center" w:y="1"/>
              <w:jc w:val="center"/>
            </w:pPr>
            <w:r>
              <w:t>30</w:t>
            </w:r>
          </w:p>
        </w:tc>
        <w:tc>
          <w:tcPr>
            <w:tcW w:w="1701" w:type="dxa"/>
          </w:tcPr>
          <w:p w:rsidR="002B489A" w:rsidRDefault="004F19C4">
            <w:pPr>
              <w:pStyle w:val="Tabletext"/>
              <w:framePr w:hSpace="181" w:wrap="notBeside" w:vAnchor="text" w:hAnchor="text" w:xAlign="center" w:y="1"/>
              <w:jc w:val="center"/>
            </w:pPr>
            <w:r>
              <w:t>Aléatoire</w:t>
            </w:r>
          </w:p>
        </w:tc>
        <w:tc>
          <w:tcPr>
            <w:tcW w:w="1701" w:type="dxa"/>
          </w:tcPr>
          <w:p w:rsidR="002B489A" w:rsidRDefault="004F19C4">
            <w:pPr>
              <w:pStyle w:val="Tabletext"/>
              <w:framePr w:hSpace="181" w:wrap="notBeside" w:vAnchor="text" w:hAnchor="text" w:xAlign="center" w:y="1"/>
              <w:jc w:val="center"/>
            </w:pPr>
            <w:r>
              <w:t>Variable</w:t>
            </w:r>
          </w:p>
        </w:tc>
      </w:tr>
      <w:tr w:rsidR="002B489A">
        <w:tc>
          <w:tcPr>
            <w:tcW w:w="2596" w:type="dxa"/>
          </w:tcPr>
          <w:p w:rsidR="002B489A" w:rsidRDefault="004F19C4">
            <w:pPr>
              <w:pStyle w:val="Tabletext"/>
              <w:framePr w:hSpace="181" w:wrap="notBeside" w:vAnchor="text" w:hAnchor="text" w:xAlign="center" w:y="1"/>
              <w:jc w:val="left"/>
            </w:pPr>
            <w:r>
              <w:t>Polarisation</w:t>
            </w:r>
          </w:p>
        </w:tc>
        <w:tc>
          <w:tcPr>
            <w:tcW w:w="1701" w:type="dxa"/>
          </w:tcPr>
          <w:p w:rsidR="002B489A" w:rsidRDefault="004F19C4">
            <w:pPr>
              <w:pStyle w:val="Tabletext"/>
              <w:framePr w:hSpace="181" w:wrap="notBeside" w:vAnchor="text" w:hAnchor="text" w:xAlign="center" w:y="1"/>
              <w:jc w:val="center"/>
            </w:pPr>
            <w:r>
              <w:t>Circulaire gauche</w:t>
            </w:r>
          </w:p>
        </w:tc>
        <w:tc>
          <w:tcPr>
            <w:tcW w:w="1701" w:type="dxa"/>
          </w:tcPr>
          <w:p w:rsidR="002B489A" w:rsidRDefault="004F19C4">
            <w:pPr>
              <w:pStyle w:val="Tabletext"/>
              <w:framePr w:hSpace="181" w:wrap="notBeside" w:vAnchor="text" w:hAnchor="text" w:xAlign="center" w:y="1"/>
              <w:jc w:val="center"/>
            </w:pPr>
            <w:r>
              <w:t>Circulaire</w:t>
            </w:r>
            <w:r>
              <w:br/>
              <w:t>droite</w:t>
            </w:r>
          </w:p>
        </w:tc>
        <w:tc>
          <w:tcPr>
            <w:tcW w:w="1701" w:type="dxa"/>
          </w:tcPr>
          <w:p w:rsidR="002B489A" w:rsidRDefault="004F19C4">
            <w:pPr>
              <w:pStyle w:val="Tabletext"/>
              <w:framePr w:hSpace="181" w:wrap="notBeside" w:vAnchor="text" w:hAnchor="text" w:xAlign="center" w:y="1"/>
              <w:jc w:val="center"/>
            </w:pPr>
            <w:r>
              <w:t>Circulaire gauche/droite</w:t>
            </w:r>
          </w:p>
        </w:tc>
        <w:tc>
          <w:tcPr>
            <w:tcW w:w="1701" w:type="dxa"/>
          </w:tcPr>
          <w:p w:rsidR="002B489A" w:rsidRDefault="004F19C4">
            <w:pPr>
              <w:pStyle w:val="Tabletext"/>
              <w:framePr w:hSpace="181" w:wrap="notBeside" w:vAnchor="text" w:hAnchor="text" w:xAlign="center" w:y="1"/>
              <w:jc w:val="center"/>
            </w:pPr>
            <w:r>
              <w:t>Circulaire gauche/droite</w:t>
            </w:r>
          </w:p>
        </w:tc>
      </w:tr>
      <w:tr w:rsidR="002B489A">
        <w:tc>
          <w:tcPr>
            <w:tcW w:w="2596" w:type="dxa"/>
          </w:tcPr>
          <w:p w:rsidR="002B489A" w:rsidRDefault="004F19C4">
            <w:pPr>
              <w:pStyle w:val="Tabletext"/>
              <w:framePr w:hSpace="181" w:wrap="notBeside" w:vAnchor="text" w:hAnchor="text" w:xAlign="center" w:y="1"/>
              <w:jc w:val="left"/>
            </w:pPr>
            <w:r>
              <w:t>Modulation</w:t>
            </w:r>
          </w:p>
        </w:tc>
        <w:tc>
          <w:tcPr>
            <w:tcW w:w="1701" w:type="dxa"/>
          </w:tcPr>
          <w:p w:rsidR="002B489A" w:rsidRDefault="004F19C4">
            <w:pPr>
              <w:pStyle w:val="Tabletext"/>
              <w:framePr w:hSpace="181" w:wrap="notBeside" w:vAnchor="text" w:hAnchor="text" w:xAlign="center" w:y="1"/>
              <w:jc w:val="center"/>
            </w:pPr>
            <w:r>
              <w:t>AMRF/MDP-4</w:t>
            </w:r>
          </w:p>
        </w:tc>
        <w:tc>
          <w:tcPr>
            <w:tcW w:w="1701" w:type="dxa"/>
          </w:tcPr>
          <w:p w:rsidR="002B489A" w:rsidRDefault="004F19C4">
            <w:pPr>
              <w:pStyle w:val="Tabletext"/>
              <w:framePr w:hSpace="181" w:wrap="notBeside" w:vAnchor="text" w:hAnchor="text" w:xAlign="center" w:y="1"/>
              <w:jc w:val="center"/>
            </w:pPr>
            <w:r>
              <w:t>AMRC</w:t>
            </w:r>
          </w:p>
        </w:tc>
        <w:tc>
          <w:tcPr>
            <w:tcW w:w="1701" w:type="dxa"/>
          </w:tcPr>
          <w:p w:rsidR="002B489A" w:rsidRDefault="004F19C4">
            <w:pPr>
              <w:pStyle w:val="Tabletext"/>
              <w:framePr w:hSpace="181" w:wrap="notBeside" w:vAnchor="text" w:hAnchor="text" w:xAlign="center" w:y="1"/>
              <w:jc w:val="center"/>
            </w:pPr>
            <w:r>
              <w:t>MDP-4 modelé</w:t>
            </w:r>
            <w:r>
              <w:br/>
              <w:t>AMRF</w:t>
            </w:r>
          </w:p>
        </w:tc>
        <w:tc>
          <w:tcPr>
            <w:tcW w:w="1701" w:type="dxa"/>
          </w:tcPr>
          <w:p w:rsidR="002B489A" w:rsidRDefault="004F19C4">
            <w:pPr>
              <w:pStyle w:val="Tabletext"/>
              <w:framePr w:hSpace="181" w:wrap="notBeside" w:vAnchor="text" w:hAnchor="text" w:xAlign="center" w:y="1"/>
              <w:jc w:val="center"/>
            </w:pPr>
            <w:r>
              <w:t>Phase</w:t>
            </w:r>
          </w:p>
        </w:tc>
      </w:tr>
      <w:tr w:rsidR="002B489A">
        <w:tc>
          <w:tcPr>
            <w:tcW w:w="2596" w:type="dxa"/>
          </w:tcPr>
          <w:p w:rsidR="002B489A" w:rsidRDefault="004F19C4">
            <w:pPr>
              <w:pStyle w:val="Tabletext"/>
              <w:framePr w:hSpace="181" w:wrap="notBeside" w:vAnchor="text" w:hAnchor="text" w:xAlign="center" w:y="1"/>
              <w:jc w:val="left"/>
            </w:pPr>
            <w:r>
              <w:t>Largeur de bande (MHz)</w:t>
            </w:r>
          </w:p>
        </w:tc>
        <w:tc>
          <w:tcPr>
            <w:tcW w:w="1701" w:type="dxa"/>
          </w:tcPr>
          <w:p w:rsidR="002B489A" w:rsidRDefault="004F19C4">
            <w:pPr>
              <w:pStyle w:val="Tabletext"/>
              <w:framePr w:hSpace="181" w:wrap="notBeside" w:vAnchor="text" w:hAnchor="text" w:xAlign="center" w:y="1"/>
              <w:jc w:val="center"/>
            </w:pPr>
            <w:r>
              <w:t>4,37</w:t>
            </w:r>
          </w:p>
        </w:tc>
        <w:tc>
          <w:tcPr>
            <w:tcW w:w="1701" w:type="dxa"/>
          </w:tcPr>
          <w:p w:rsidR="002B489A" w:rsidRDefault="004F19C4">
            <w:pPr>
              <w:pStyle w:val="Tabletext"/>
              <w:framePr w:hSpace="181" w:wrap="notBeside" w:vAnchor="text" w:hAnchor="text" w:xAlign="center" w:y="1"/>
              <w:jc w:val="center"/>
            </w:pPr>
            <w:r>
              <w:t>2,5</w:t>
            </w:r>
          </w:p>
        </w:tc>
        <w:tc>
          <w:tcPr>
            <w:tcW w:w="1701" w:type="dxa"/>
          </w:tcPr>
          <w:p w:rsidR="002B489A" w:rsidRDefault="004F19C4">
            <w:pPr>
              <w:pStyle w:val="Tabletext"/>
              <w:framePr w:hSpace="181" w:wrap="notBeside" w:vAnchor="text" w:hAnchor="text" w:xAlign="center" w:y="1"/>
              <w:jc w:val="center"/>
            </w:pPr>
            <w:r>
              <w:t>500</w:t>
            </w:r>
          </w:p>
        </w:tc>
        <w:tc>
          <w:tcPr>
            <w:tcW w:w="1701" w:type="dxa"/>
          </w:tcPr>
          <w:p w:rsidR="002B489A" w:rsidRDefault="004F19C4">
            <w:pPr>
              <w:pStyle w:val="Tabletext"/>
              <w:framePr w:hSpace="181" w:wrap="notBeside" w:vAnchor="text" w:hAnchor="text" w:xAlign="center" w:y="1"/>
              <w:jc w:val="center"/>
            </w:pPr>
            <w:r>
              <w:t>3</w:t>
            </w:r>
            <w:r>
              <w:rPr>
                <w:rFonts w:ascii="Tms Rmn" w:hAnsi="Tms Rmn"/>
                <w:sz w:val="12"/>
              </w:rPr>
              <w:t> </w:t>
            </w:r>
            <w:r>
              <w:t>200</w:t>
            </w:r>
          </w:p>
        </w:tc>
      </w:tr>
      <w:tr w:rsidR="002B489A">
        <w:tc>
          <w:tcPr>
            <w:tcW w:w="2596" w:type="dxa"/>
          </w:tcPr>
          <w:p w:rsidR="002B489A" w:rsidRDefault="004F19C4">
            <w:pPr>
              <w:pStyle w:val="Tabletext"/>
              <w:framePr w:hSpace="181" w:wrap="notBeside" w:vAnchor="text" w:hAnchor="text" w:xAlign="center" w:y="1"/>
              <w:jc w:val="left"/>
            </w:pPr>
            <w:r>
              <w:t>p.i.r.e. (dBW)</w:t>
            </w:r>
          </w:p>
        </w:tc>
        <w:tc>
          <w:tcPr>
            <w:tcW w:w="1701" w:type="dxa"/>
          </w:tcPr>
          <w:p w:rsidR="002B489A" w:rsidRDefault="004F19C4">
            <w:pPr>
              <w:pStyle w:val="Tabletext"/>
              <w:framePr w:hSpace="181" w:wrap="notBeside" w:vAnchor="text" w:hAnchor="text" w:xAlign="center" w:y="1"/>
              <w:jc w:val="center"/>
            </w:pPr>
            <w:r>
              <w:t>15</w:t>
            </w:r>
          </w:p>
        </w:tc>
        <w:tc>
          <w:tcPr>
            <w:tcW w:w="1701" w:type="dxa"/>
          </w:tcPr>
          <w:p w:rsidR="002B489A" w:rsidRDefault="004F19C4">
            <w:pPr>
              <w:pStyle w:val="Tabletext"/>
              <w:framePr w:hSpace="181" w:wrap="notBeside" w:vAnchor="text" w:hAnchor="text" w:xAlign="center" w:y="1"/>
              <w:jc w:val="center"/>
            </w:pPr>
            <w:r>
              <w:t>5,31</w:t>
            </w:r>
          </w:p>
        </w:tc>
        <w:tc>
          <w:tcPr>
            <w:tcW w:w="1701" w:type="dxa"/>
          </w:tcPr>
          <w:p w:rsidR="002B489A" w:rsidRDefault="004F19C4">
            <w:pPr>
              <w:pStyle w:val="Tabletext"/>
              <w:framePr w:hSpace="181" w:wrap="notBeside" w:vAnchor="text" w:hAnchor="text" w:xAlign="center" w:y="1"/>
              <w:jc w:val="center"/>
            </w:pPr>
            <w:r>
              <w:t>47,5</w:t>
            </w:r>
          </w:p>
        </w:tc>
        <w:tc>
          <w:tcPr>
            <w:tcW w:w="1701" w:type="dxa"/>
          </w:tcPr>
          <w:p w:rsidR="002B489A" w:rsidRDefault="004F19C4">
            <w:pPr>
              <w:pStyle w:val="Tabletext"/>
              <w:framePr w:hSpace="181" w:wrap="notBeside" w:vAnchor="text" w:hAnchor="text" w:xAlign="center" w:y="1"/>
              <w:jc w:val="center"/>
            </w:pPr>
            <w:r>
              <w:t>74</w:t>
            </w:r>
          </w:p>
        </w:tc>
      </w:tr>
      <w:tr w:rsidR="002B489A">
        <w:tc>
          <w:tcPr>
            <w:tcW w:w="2596" w:type="dxa"/>
          </w:tcPr>
          <w:p w:rsidR="002B489A" w:rsidRDefault="004F19C4">
            <w:pPr>
              <w:pStyle w:val="Tabletext"/>
              <w:framePr w:hSpace="181" w:wrap="notBeside" w:vAnchor="text" w:hAnchor="text" w:xAlign="center" w:y="1"/>
              <w:jc w:val="left"/>
            </w:pPr>
            <w:r>
              <w:t>Gain d'antenne (dBi)</w:t>
            </w:r>
          </w:p>
        </w:tc>
        <w:tc>
          <w:tcPr>
            <w:tcW w:w="1701" w:type="dxa"/>
          </w:tcPr>
          <w:p w:rsidR="002B489A" w:rsidRDefault="004F19C4">
            <w:pPr>
              <w:pStyle w:val="Tabletext"/>
              <w:framePr w:hSpace="181" w:wrap="notBeside" w:vAnchor="text" w:hAnchor="text" w:xAlign="center" w:y="1"/>
              <w:jc w:val="center"/>
            </w:pPr>
            <w:r>
              <w:t>26,9</w:t>
            </w:r>
          </w:p>
        </w:tc>
        <w:tc>
          <w:tcPr>
            <w:tcW w:w="1701" w:type="dxa"/>
          </w:tcPr>
          <w:p w:rsidR="002B489A" w:rsidRDefault="004F19C4">
            <w:pPr>
              <w:pStyle w:val="Tabletext"/>
              <w:framePr w:hSpace="181" w:wrap="notBeside" w:vAnchor="text" w:hAnchor="text" w:xAlign="center" w:y="1"/>
              <w:jc w:val="center"/>
            </w:pPr>
            <w:r>
              <w:t>35,7</w:t>
            </w:r>
          </w:p>
        </w:tc>
        <w:tc>
          <w:tcPr>
            <w:tcW w:w="1701" w:type="dxa"/>
          </w:tcPr>
          <w:p w:rsidR="002B489A" w:rsidRDefault="004F19C4">
            <w:pPr>
              <w:pStyle w:val="Tabletext"/>
              <w:framePr w:hSpace="181" w:wrap="notBeside" w:vAnchor="text" w:hAnchor="text" w:xAlign="center" w:y="1"/>
              <w:jc w:val="center"/>
            </w:pPr>
            <w:r>
              <w:t>28,9</w:t>
            </w:r>
          </w:p>
        </w:tc>
        <w:tc>
          <w:tcPr>
            <w:tcW w:w="1701" w:type="dxa"/>
          </w:tcPr>
          <w:p w:rsidR="002B489A" w:rsidRDefault="004F19C4">
            <w:pPr>
              <w:pStyle w:val="Tabletext"/>
              <w:framePr w:hSpace="181" w:wrap="notBeside" w:vAnchor="text" w:hAnchor="text" w:xAlign="center" w:y="1"/>
              <w:jc w:val="center"/>
            </w:pPr>
            <w:r>
              <w:t>55</w:t>
            </w:r>
          </w:p>
        </w:tc>
      </w:tr>
    </w:tbl>
    <w:p w:rsidR="002B489A" w:rsidRDefault="002B489A">
      <w:pPr>
        <w:pStyle w:val="Tablefin"/>
        <w:spacing w:before="0"/>
      </w:pPr>
    </w:p>
    <w:p w:rsidR="002B489A" w:rsidRDefault="004F19C4">
      <w:pPr>
        <w:pStyle w:val="Heading1"/>
      </w:pPr>
      <w:r>
        <w:br w:type="page"/>
        <w:t>3</w:t>
      </w:r>
      <w:r>
        <w:tab/>
        <w:t>Seuil de compatibilité</w:t>
      </w:r>
    </w:p>
    <w:p w:rsidR="002B489A" w:rsidRDefault="004F19C4">
      <w:pPr>
        <w:spacing w:line="280" w:lineRule="exact"/>
      </w:pPr>
      <w:r>
        <w:t>Il existe deux critères pour la bande 21,2</w:t>
      </w:r>
      <w:r>
        <w:noBreakHyphen/>
        <w:t xml:space="preserve">21,4 GHz. Tout d'abord, il y a un seuil de puissance de </w:t>
      </w:r>
      <w:r>
        <w:rPr>
          <w:rFonts w:ascii="Symbol" w:hAnsi="Symbol"/>
        </w:rPr>
        <w:noBreakHyphen/>
      </w:r>
      <w:r>
        <w:t>163 dBW sur 100 MHz. Ceci est un niveau de brouillage maximum en provenance de toute source. Ensuite, le critère de disponibilité est de 99% de toutes les cellules de mesure ou 1% de perte de pixels de mesure.</w:t>
      </w:r>
    </w:p>
    <w:p w:rsidR="002B489A" w:rsidRDefault="004F19C4">
      <w:r>
        <w:t>Le brouillage peut être reçu de différentes sources émanant simultanément de multiples services. La valeur qui figure dans la Recommandation UIT-R</w:t>
      </w:r>
      <w:r>
        <w:rPr>
          <w:bCs/>
        </w:rPr>
        <w:t xml:space="preserve"> SA.1029 </w:t>
      </w:r>
      <w:r>
        <w:t>(pour une bande spécifique) est le niveau maximum admissible de brouillage pour le détecteur passif.</w:t>
      </w:r>
    </w:p>
    <w:p w:rsidR="002B489A" w:rsidRDefault="004F19C4">
      <w:pPr>
        <w:rPr>
          <w:b/>
        </w:rPr>
      </w:pPr>
      <w:r>
        <w:t>La présente Annexe analyse le brouillage généré par un service passif unique. Il sera donc nécessaire de procéder à des travaux complémentaires pour étudier l'impact de services actifs multiples au-dessus et au-dessous de la bande passive.</w:t>
      </w:r>
    </w:p>
    <w:p w:rsidR="002B489A" w:rsidRDefault="004F19C4">
      <w:pPr>
        <w:pStyle w:val="Heading1"/>
      </w:pPr>
      <w:r>
        <w:t>4</w:t>
      </w:r>
      <w:r>
        <w:tab/>
        <w:t>Evaluation du brouillage</w:t>
      </w:r>
    </w:p>
    <w:p w:rsidR="002B489A" w:rsidRDefault="004F19C4">
      <w:pPr>
        <w:pStyle w:val="Heading2"/>
      </w:pPr>
      <w:r>
        <w:t>4.1</w:t>
      </w:r>
      <w:r>
        <w:tab/>
        <w:t>Méthode d'évaluation du niveau de brouillage</w:t>
      </w:r>
    </w:p>
    <w:p w:rsidR="002B489A" w:rsidRDefault="004F19C4">
      <w:pPr>
        <w:rPr>
          <w:b/>
        </w:rPr>
      </w:pPr>
      <w:r>
        <w:t>Le niveau de brouillage des rayonnements non désirés est calculé pour chaque satellite du service SFS au § 4.2.2.</w:t>
      </w:r>
    </w:p>
    <w:p w:rsidR="002B489A" w:rsidRDefault="004F19C4">
      <w:pPr>
        <w:pStyle w:val="Heading3"/>
      </w:pPr>
      <w:r>
        <w:t>4.1.1</w:t>
      </w:r>
      <w:r>
        <w:tab/>
        <w:t>Utilisation du gabarit présenté dans la Recommandation UIT-R SM.1541 pour déterminer les émissions hors bande</w:t>
      </w:r>
    </w:p>
    <w:p w:rsidR="002B489A" w:rsidRDefault="004F19C4">
      <w:r>
        <w:t xml:space="preserve">L'Annexe 5 de la Recommandation UIT-R </w:t>
      </w:r>
      <w:r>
        <w:rPr>
          <w:bCs/>
        </w:rPr>
        <w:t xml:space="preserve">SM.1541 </w:t>
      </w:r>
      <w:r>
        <w:t>spécifie un gabarit générique pour les émissions hors bande pour les stations terriennes et spatiales du service SFS. Il est de la forme:</w:t>
      </w:r>
    </w:p>
    <w:p w:rsidR="002B489A" w:rsidRDefault="004F19C4">
      <w:pPr>
        <w:pStyle w:val="Equation"/>
      </w:pPr>
      <w:r>
        <w:tab/>
      </w:r>
      <w:r>
        <w:tab/>
      </w:r>
      <w:r>
        <w:rPr>
          <w:position w:val="-28"/>
        </w:rPr>
        <w:object w:dxaOrig="1540" w:dyaOrig="680">
          <v:shape id="_x0000_i1043" type="#_x0000_t75" style="width:77pt;height:34pt" o:ole="" fillcolor="window">
            <v:imagedata r:id="rId62" o:title=""/>
          </v:shape>
          <o:OLEObject Type="Embed" ProgID="Equation.3" ShapeID="_x0000_i1043" DrawAspect="Content" ObjectID="_1649163289" r:id="rId63"/>
        </w:object>
      </w:r>
      <w:r>
        <w:t>                (dBsd)</w:t>
      </w:r>
      <w:r>
        <w:tab/>
      </w:r>
    </w:p>
    <w:p w:rsidR="002B489A" w:rsidRDefault="004F19C4">
      <w:pPr>
        <w:spacing w:before="240"/>
      </w:pPr>
      <w:r>
        <w:t xml:space="preserve">où </w:t>
      </w:r>
      <w:r>
        <w:rPr>
          <w:i/>
          <w:iCs/>
        </w:rPr>
        <w:t>F</w:t>
      </w:r>
      <w:r>
        <w:t xml:space="preserve"> est le décalage en fréquence par rapport au bord de la bande assignée totale, exprimé sous la forme d'un pourcentage de la largeur de bande nécessaire de l'attribution ou du répéteur inférieur, en prenant la valeur la plus basse. Le gabarit des émissions hors bande décroît jusqu'à la frontière des rayonnements non essentiels ou jusqu'à ce qu'il soit égal à la limite des rayonnements non essentiels donnée de l'Appendice 3 du RR (voir l'Annexe 5 de la Recommandation UIT</w:t>
      </w:r>
      <w:r>
        <w:noBreakHyphen/>
        <w:t>R SM.1541). Il donne l'affaiblissement minimum pour les émissions hors bande par rapport à la densité spectrale de puissance maximum dans la bande assignée adjacente. L'intégration de ce gabarit pour la puissance hors bande est donnée à la Fig. 26. Cette Figure comporte aussi l'intégrale d'une impulsion rectangulaire et d'une impulsion modelée en cosinus surélevé.</w:t>
      </w:r>
    </w:p>
    <w:p w:rsidR="002B489A" w:rsidRDefault="004F19C4">
      <w:r>
        <w:t>L'intégration ci-dessus est la puissance provenant du pourcentage spécifié de la largeur de bande nécessaire jusqu'à l'infini. Cependant, dans les cas où la largeur de bande nécessaire des émissions est forte, la largeur de bande du détecteur passif n'en est qu'un faible pourcentage. Pour une largeur de bande de 500 MHz, le détecteur passif couvre seulement 20% de sa largeur de bande. Pour un système avec une largeur de bande de 3</w:t>
      </w:r>
      <w:r>
        <w:rPr>
          <w:rFonts w:ascii="Tms Rmn" w:hAnsi="Tms Rmn"/>
          <w:sz w:val="12"/>
        </w:rPr>
        <w:t> </w:t>
      </w:r>
      <w:r>
        <w:t>200 MHz, le détecteur passif ne couvre que 3% de la largeur de bande nécessaire. La puissance dans la largeur de bande du détecteur passif est inférieure à ce qui est indiqué sur la Figure. La puissance peut être réglée pour s'adapter à cela. Pour la situation où seule la largeur de bande nécessaire est dans la bande active, la bande passive s'étend du point à 50% jusqu'au point à 70% pour le système à 500 MHz et du point à 50% au point à 53% pour le système à 3</w:t>
      </w:r>
      <w:r>
        <w:rPr>
          <w:rFonts w:ascii="Tms Rmn" w:hAnsi="Tms Rmn"/>
          <w:sz w:val="12"/>
        </w:rPr>
        <w:t> </w:t>
      </w:r>
      <w:r>
        <w:t>200 MHz. Pour ces cas, les puissances sont indiquées au Tableau 28.</w:t>
      </w:r>
    </w:p>
    <w:p w:rsidR="002B489A" w:rsidRDefault="004F19C4">
      <w:pPr>
        <w:pStyle w:val="FigureNo"/>
      </w:pPr>
      <w:r>
        <w:br w:type="page"/>
      </w:r>
      <w:r>
        <w:object w:dxaOrig="7134" w:dyaOrig="5890">
          <v:shape id="_x0000_i1044" type="#_x0000_t75" style="width:357pt;height:295pt" o:ole="">
            <v:imagedata r:id="rId64" o:title=""/>
          </v:shape>
          <o:OLEObject Type="Embed" ProgID="Designer.Drawing.7" ShapeID="_x0000_i1044" DrawAspect="Content" ObjectID="_1649163290" r:id="rId65"/>
        </w:object>
      </w:r>
    </w:p>
    <w:p w:rsidR="002B489A" w:rsidRDefault="002B489A"/>
    <w:p w:rsidR="002B489A" w:rsidRDefault="004F19C4">
      <w:pPr>
        <w:pStyle w:val="TableNo"/>
      </w:pPr>
      <w:r>
        <w:t>TABLEAU  28</w:t>
      </w:r>
    </w:p>
    <w:p w:rsidR="002B489A" w:rsidRDefault="004F19C4">
      <w:pPr>
        <w:pStyle w:val="Tabletitle"/>
        <w:rPr>
          <w:b w:val="0"/>
        </w:rPr>
      </w:pPr>
      <w:r>
        <w:t>Puissance relative dans une largeur de bande de détecteur passif</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2B489A">
        <w:tc>
          <w:tcPr>
            <w:tcW w:w="2268" w:type="dxa"/>
          </w:tcPr>
          <w:p w:rsidR="002B489A" w:rsidRDefault="004F19C4">
            <w:pPr>
              <w:pStyle w:val="Tablehead"/>
              <w:framePr w:hSpace="181" w:wrap="notBeside" w:vAnchor="text" w:hAnchor="text" w:xAlign="center" w:y="1"/>
            </w:pPr>
            <w:r>
              <w:t>Largeur de bande nécessaire</w:t>
            </w:r>
            <w:r>
              <w:br/>
              <w:t>(MHz)</w:t>
            </w:r>
          </w:p>
        </w:tc>
        <w:tc>
          <w:tcPr>
            <w:tcW w:w="2268" w:type="dxa"/>
          </w:tcPr>
          <w:p w:rsidR="002B489A" w:rsidRDefault="004F19C4">
            <w:pPr>
              <w:pStyle w:val="Tablehead"/>
              <w:framePr w:hSpace="181" w:wrap="notBeside" w:vAnchor="text" w:hAnchor="text" w:xAlign="center" w:y="1"/>
            </w:pPr>
            <w:r>
              <w:t>Gabarit spectral de la Recommandation UIT</w:t>
            </w:r>
            <w:r>
              <w:noBreakHyphen/>
              <w:t>R SM.1541</w:t>
            </w:r>
            <w:r>
              <w:br/>
              <w:t>(dB)</w:t>
            </w:r>
          </w:p>
        </w:tc>
        <w:tc>
          <w:tcPr>
            <w:tcW w:w="2268" w:type="dxa"/>
          </w:tcPr>
          <w:p w:rsidR="002B489A" w:rsidRDefault="004F19C4">
            <w:pPr>
              <w:pStyle w:val="Tablehead"/>
              <w:framePr w:hSpace="181" w:wrap="notBeside" w:vAnchor="text" w:hAnchor="text" w:xAlign="center" w:y="1"/>
            </w:pPr>
            <w:r>
              <w:t>Impulsion rectangulaire</w:t>
            </w:r>
            <w:r>
              <w:br/>
              <w:t>(dB)</w:t>
            </w:r>
          </w:p>
        </w:tc>
        <w:tc>
          <w:tcPr>
            <w:tcW w:w="2268" w:type="dxa"/>
          </w:tcPr>
          <w:p w:rsidR="002B489A" w:rsidRDefault="004F19C4">
            <w:pPr>
              <w:pStyle w:val="Tablehead"/>
              <w:framePr w:hSpace="181" w:wrap="notBeside" w:vAnchor="text" w:hAnchor="text" w:xAlign="center" w:y="1"/>
            </w:pPr>
            <w:r>
              <w:t>Impulsion en cosinus surélevé</w:t>
            </w:r>
            <w:r>
              <w:br/>
              <w:t>(dB)</w:t>
            </w:r>
          </w:p>
        </w:tc>
      </w:tr>
      <w:tr w:rsidR="002B489A">
        <w:tc>
          <w:tcPr>
            <w:tcW w:w="2268"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jc w:val="left"/>
            </w:pPr>
            <w:r>
              <w:t>125</w:t>
            </w:r>
          </w:p>
        </w:tc>
        <w:tc>
          <w:tcPr>
            <w:tcW w:w="2268" w:type="dxa"/>
          </w:tcPr>
          <w:p w:rsidR="002B489A" w:rsidRDefault="004F19C4">
            <w:pPr>
              <w:pStyle w:val="Tabletext"/>
              <w:framePr w:hSpace="181" w:wrap="notBeside" w:vAnchor="text" w:hAnchor="text" w:xAlign="center" w:y="1"/>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jc w:val="left"/>
            </w:pPr>
            <w:r>
              <w:sym w:font="Symbol" w:char="F02D"/>
            </w:r>
            <w:r>
              <w:t>9,1</w:t>
            </w:r>
          </w:p>
        </w:tc>
        <w:tc>
          <w:tcPr>
            <w:tcW w:w="2268" w:type="dxa"/>
          </w:tcPr>
          <w:p w:rsidR="002B489A" w:rsidRDefault="004F19C4">
            <w:pPr>
              <w:pStyle w:val="Tabletext"/>
              <w:framePr w:hSpace="181" w:wrap="notBeside" w:vAnchor="text" w:hAnchor="text" w:xAlign="center" w:y="1"/>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jc w:val="left"/>
            </w:pPr>
            <w:r>
              <w:sym w:font="Symbol" w:char="F02D"/>
            </w:r>
            <w:r>
              <w:t>15,4</w:t>
            </w:r>
          </w:p>
        </w:tc>
        <w:tc>
          <w:tcPr>
            <w:tcW w:w="2268" w:type="dxa"/>
          </w:tcPr>
          <w:p w:rsidR="002B489A" w:rsidRDefault="004F19C4">
            <w:pPr>
              <w:pStyle w:val="Tabletext"/>
              <w:framePr w:hSpace="181" w:wrap="notBeside" w:vAnchor="text" w:hAnchor="text" w:xAlign="center" w:y="1"/>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jc w:val="left"/>
            </w:pPr>
            <w:r>
              <w:sym w:font="Symbol" w:char="F02D"/>
            </w:r>
            <w:r>
              <w:t>13,7</w:t>
            </w:r>
          </w:p>
        </w:tc>
      </w:tr>
      <w:tr w:rsidR="002B489A">
        <w:tc>
          <w:tcPr>
            <w:tcW w:w="2268"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jc w:val="left"/>
            </w:pPr>
            <w:r>
              <w:t>500</w:t>
            </w:r>
          </w:p>
        </w:tc>
        <w:tc>
          <w:tcPr>
            <w:tcW w:w="2268" w:type="dxa"/>
          </w:tcPr>
          <w:p w:rsidR="002B489A" w:rsidRDefault="004F19C4">
            <w:pPr>
              <w:pStyle w:val="Tabletext"/>
              <w:framePr w:hSpace="181" w:wrap="notBeside" w:vAnchor="text" w:hAnchor="text" w:xAlign="center" w:y="1"/>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jc w:val="left"/>
            </w:pPr>
            <w:r>
              <w:sym w:font="Symbol" w:char="F02D"/>
            </w:r>
            <w:r>
              <w:t>10,8</w:t>
            </w:r>
          </w:p>
        </w:tc>
        <w:tc>
          <w:tcPr>
            <w:tcW w:w="2268" w:type="dxa"/>
          </w:tcPr>
          <w:p w:rsidR="002B489A" w:rsidRDefault="004F19C4">
            <w:pPr>
              <w:pStyle w:val="Tabletext"/>
              <w:framePr w:hSpace="181" w:wrap="notBeside" w:vAnchor="text" w:hAnchor="text" w:xAlign="center" w:y="1"/>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jc w:val="left"/>
            </w:pPr>
            <w:r>
              <w:sym w:font="Symbol" w:char="F02D"/>
            </w:r>
            <w:r>
              <w:t>20,5</w:t>
            </w:r>
          </w:p>
        </w:tc>
        <w:tc>
          <w:tcPr>
            <w:tcW w:w="2268" w:type="dxa"/>
          </w:tcPr>
          <w:p w:rsidR="002B489A" w:rsidRDefault="004F19C4">
            <w:pPr>
              <w:pStyle w:val="Tabletext"/>
              <w:framePr w:hSpace="181" w:wrap="notBeside" w:vAnchor="text" w:hAnchor="text" w:xAlign="center" w:y="1"/>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jc w:val="left"/>
            </w:pPr>
            <w:r>
              <w:sym w:font="Symbol" w:char="F02D"/>
            </w:r>
            <w:r>
              <w:t>14,4</w:t>
            </w:r>
          </w:p>
        </w:tc>
      </w:tr>
      <w:tr w:rsidR="002B489A">
        <w:tc>
          <w:tcPr>
            <w:tcW w:w="2268"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jc w:val="left"/>
            </w:pPr>
            <w:r>
              <w:t>3</w:t>
            </w:r>
            <w:r>
              <w:rPr>
                <w:rFonts w:ascii="Tms Rmn" w:hAnsi="Tms Rmn"/>
                <w:sz w:val="12"/>
              </w:rPr>
              <w:t> </w:t>
            </w:r>
            <w:r>
              <w:t>200</w:t>
            </w:r>
          </w:p>
        </w:tc>
        <w:tc>
          <w:tcPr>
            <w:tcW w:w="2268" w:type="dxa"/>
          </w:tcPr>
          <w:p w:rsidR="002B489A" w:rsidRDefault="004F19C4">
            <w:pPr>
              <w:pStyle w:val="Tabletext"/>
              <w:framePr w:hSpace="181" w:wrap="notBeside" w:vAnchor="text" w:hAnchor="text" w:xAlign="center" w:y="1"/>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jc w:val="left"/>
            </w:pPr>
            <w:r>
              <w:sym w:font="Symbol" w:char="F02D"/>
            </w:r>
            <w:r>
              <w:t>16,7</w:t>
            </w:r>
          </w:p>
        </w:tc>
        <w:tc>
          <w:tcPr>
            <w:tcW w:w="2268" w:type="dxa"/>
          </w:tcPr>
          <w:p w:rsidR="002B489A" w:rsidRDefault="004F19C4">
            <w:pPr>
              <w:pStyle w:val="Tabletext"/>
              <w:framePr w:hSpace="181" w:wrap="notBeside" w:vAnchor="text" w:hAnchor="text" w:xAlign="center" w:y="1"/>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jc w:val="left"/>
            </w:pPr>
            <w:r>
              <w:sym w:font="Symbol" w:char="F02D"/>
            </w:r>
            <w:r>
              <w:t>44,4</w:t>
            </w:r>
          </w:p>
        </w:tc>
        <w:tc>
          <w:tcPr>
            <w:tcW w:w="2268" w:type="dxa"/>
          </w:tcPr>
          <w:p w:rsidR="002B489A" w:rsidRDefault="004F19C4">
            <w:pPr>
              <w:pStyle w:val="Tabletext"/>
              <w:framePr w:hSpace="181" w:wrap="notBeside" w:vAnchor="text" w:hAnchor="text" w:xAlign="center" w:y="1"/>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jc w:val="left"/>
            </w:pPr>
            <w:r>
              <w:sym w:font="Symbol" w:char="F02D"/>
            </w:r>
            <w:r>
              <w:t>21,8</w:t>
            </w:r>
          </w:p>
        </w:tc>
      </w:tr>
    </w:tbl>
    <w:p w:rsidR="002B489A" w:rsidRDefault="002B489A">
      <w:pPr>
        <w:pStyle w:val="Tablefin"/>
      </w:pPr>
    </w:p>
    <w:p w:rsidR="002B489A" w:rsidRDefault="002B489A">
      <w:pPr>
        <w:rPr>
          <w:lang w:val="en-GB"/>
        </w:rPr>
      </w:pPr>
    </w:p>
    <w:p w:rsidR="002B489A" w:rsidRDefault="004F19C4">
      <w:pPr>
        <w:pStyle w:val="Heading3"/>
        <w:spacing w:before="240"/>
      </w:pPr>
      <w:r>
        <w:t>4.1.2</w:t>
      </w:r>
      <w:r>
        <w:tab/>
        <w:t>Hypothèse de la non-extension de la largeur de bande occupée au-delà de la bande attribuée au service spatial</w:t>
      </w:r>
    </w:p>
    <w:p w:rsidR="002B489A" w:rsidRDefault="004F19C4">
      <w:r>
        <w:t xml:space="preserve">Si un niveau de puissance de rayonnement non désiré </w:t>
      </w:r>
      <w:r>
        <w:rPr>
          <w:i/>
        </w:rPr>
        <w:t>P</w:t>
      </w:r>
      <w:r>
        <w:t xml:space="preserve"> – 23 dB ne provoque pas de brouillage excessif, une solution possible de réduction des brouillages consiste à garder la largeur de bande occupée dans la bande attribuée. (Voir le </w:t>
      </w:r>
      <w:r>
        <w:rPr>
          <w:bCs/>
        </w:rPr>
        <w:t>numéro 1.153 du RR)</w:t>
      </w:r>
      <w:r>
        <w:t>.</w:t>
      </w:r>
    </w:p>
    <w:p w:rsidR="002B489A" w:rsidRDefault="004F19C4">
      <w:pPr>
        <w:pStyle w:val="Heading3"/>
        <w:ind w:left="0" w:firstLine="0"/>
      </w:pPr>
      <w:r>
        <w:t>4.1.3</w:t>
      </w:r>
      <w:r>
        <w:tab/>
        <w:t>Seuil de brouillage</w:t>
      </w:r>
    </w:p>
    <w:p w:rsidR="002B489A" w:rsidRDefault="004F19C4">
      <w:pPr>
        <w:rPr>
          <w:b/>
        </w:rPr>
      </w:pPr>
      <w:r>
        <w:t xml:space="preserve">Le seuil de brouillage du service passif d'après la Recommandation UIT-R </w:t>
      </w:r>
      <w:r>
        <w:rPr>
          <w:bCs/>
        </w:rPr>
        <w:t>SA.1029</w:t>
      </w:r>
      <w:r>
        <w:t xml:space="preserve"> est de </w:t>
      </w:r>
      <w:r>
        <w:rPr>
          <w:rFonts w:ascii="Symbol" w:hAnsi="Symbol"/>
        </w:rPr>
        <w:noBreakHyphen/>
      </w:r>
      <w:r>
        <w:t>163 dBW sur 100 MHz pour les détecteurs fonctionnant près de 20 GHz.</w:t>
      </w:r>
    </w:p>
    <w:p w:rsidR="002B489A" w:rsidRDefault="004F19C4">
      <w:pPr>
        <w:pStyle w:val="Heading2"/>
      </w:pPr>
      <w:r>
        <w:br w:type="page"/>
        <w:t>4.2</w:t>
      </w:r>
      <w:r>
        <w:tab/>
        <w:t>Calcul du niveau de brouillage</w:t>
      </w:r>
    </w:p>
    <w:p w:rsidR="002B489A" w:rsidRDefault="004F19C4">
      <w:pPr>
        <w:pStyle w:val="Heading3"/>
      </w:pPr>
      <w:r>
        <w:t>4.2.1</w:t>
      </w:r>
      <w:r>
        <w:tab/>
        <w:t>Trajet de brouillage direct</w:t>
      </w:r>
    </w:p>
    <w:p w:rsidR="002B489A" w:rsidRDefault="004F19C4">
      <w:r>
        <w:t>Le Tableau 29 donne une évaluation des niveaux de rayonnements non désirés produits par les satellites SFS dans les récepteurs SETS via un trajet radioélectrique direct en provenance de l'émetteur SFS via le lobe arrière de l'antenne du détecteur SETS, pour les systèmes SFS OSG, et le Tableau 30 pour les systèmes SFS non OSG. Ces calculs indiquent le niveau quantitatif d'affaiblissement spectral, le cas échéant, qui serait nécessaire si les émissions étaient sur le même canal.</w:t>
      </w:r>
    </w:p>
    <w:p w:rsidR="002B489A" w:rsidRDefault="004F19C4">
      <w:pPr>
        <w:pStyle w:val="TableNo"/>
      </w:pPr>
      <w:r>
        <w:t>TABLEAU  29</w:t>
      </w:r>
    </w:p>
    <w:p w:rsidR="002B489A" w:rsidRDefault="004F19C4">
      <w:pPr>
        <w:pStyle w:val="Tabletitle"/>
        <w:rPr>
          <w:rFonts w:eastAsia="Arial Unicode MS"/>
        </w:rPr>
      </w:pPr>
      <w:r>
        <w:t>Niveau de puissance brouilleuse provenant de réseaux à satellite OSG du SFS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1"/>
        <w:gridCol w:w="1142"/>
        <w:gridCol w:w="1142"/>
        <w:gridCol w:w="1142"/>
        <w:gridCol w:w="1142"/>
      </w:tblGrid>
      <w:tr w:rsidR="002B489A">
        <w:tc>
          <w:tcPr>
            <w:tcW w:w="4536" w:type="dxa"/>
            <w:tcMar>
              <w:left w:w="85" w:type="dxa"/>
              <w:right w:w="85" w:type="dxa"/>
            </w:tcMar>
            <w:vAlign w:val="center"/>
          </w:tcPr>
          <w:p w:rsidR="002B489A" w:rsidRDefault="004F19C4">
            <w:pPr>
              <w:pStyle w:val="Tablehead"/>
              <w:framePr w:hSpace="181" w:wrap="notBeside" w:vAnchor="text" w:hAnchor="text" w:xAlign="center" w:y="1"/>
              <w:jc w:val="left"/>
              <w:rPr>
                <w:rFonts w:eastAsia="Arial Unicode MS"/>
                <w:b w:val="0"/>
                <w:bCs/>
              </w:rPr>
            </w:pPr>
            <w:r>
              <w:rPr>
                <w:b w:val="0"/>
                <w:bCs/>
              </w:rPr>
              <w:t>Réseau à satellite SFS</w:t>
            </w:r>
          </w:p>
        </w:tc>
        <w:tc>
          <w:tcPr>
            <w:tcW w:w="1021" w:type="dxa"/>
            <w:tcMar>
              <w:left w:w="85" w:type="dxa"/>
              <w:right w:w="85" w:type="dxa"/>
            </w:tcMar>
            <w:vAlign w:val="center"/>
          </w:tcPr>
          <w:p w:rsidR="002B489A" w:rsidRDefault="004F19C4">
            <w:pPr>
              <w:pStyle w:val="Tablehead"/>
              <w:framePr w:hSpace="181" w:wrap="notBeside" w:vAnchor="text" w:hAnchor="text" w:xAlign="center" w:y="1"/>
              <w:rPr>
                <w:rFonts w:eastAsia="Arial Unicode MS"/>
                <w:lang w:val="en-GB"/>
              </w:rPr>
            </w:pPr>
            <w:r>
              <w:rPr>
                <w:lang w:val="en-GB"/>
              </w:rPr>
              <w:t>GSO-20</w:t>
            </w:r>
          </w:p>
        </w:tc>
        <w:tc>
          <w:tcPr>
            <w:tcW w:w="1021" w:type="dxa"/>
            <w:tcMar>
              <w:left w:w="85" w:type="dxa"/>
              <w:right w:w="85" w:type="dxa"/>
            </w:tcMar>
            <w:vAlign w:val="center"/>
          </w:tcPr>
          <w:p w:rsidR="002B489A" w:rsidRDefault="004F19C4">
            <w:pPr>
              <w:pStyle w:val="Tablehead"/>
              <w:framePr w:hSpace="181" w:wrap="notBeside" w:vAnchor="text" w:hAnchor="text" w:xAlign="center" w:y="1"/>
              <w:rPr>
                <w:rFonts w:eastAsia="Arial Unicode MS"/>
                <w:lang w:val="en-GB"/>
              </w:rPr>
            </w:pPr>
            <w:r>
              <w:rPr>
                <w:lang w:val="en-GB"/>
              </w:rPr>
              <w:t>GSO-30</w:t>
            </w:r>
          </w:p>
        </w:tc>
        <w:tc>
          <w:tcPr>
            <w:tcW w:w="1021" w:type="dxa"/>
            <w:tcMar>
              <w:left w:w="85" w:type="dxa"/>
              <w:right w:w="85" w:type="dxa"/>
            </w:tcMar>
            <w:vAlign w:val="center"/>
          </w:tcPr>
          <w:p w:rsidR="002B489A" w:rsidRDefault="004F19C4">
            <w:pPr>
              <w:pStyle w:val="Tablehead"/>
              <w:framePr w:hSpace="181" w:wrap="notBeside" w:vAnchor="text" w:hAnchor="text" w:xAlign="center" w:y="1"/>
              <w:rPr>
                <w:rFonts w:eastAsia="Arial Unicode MS"/>
                <w:lang w:val="en-GB"/>
              </w:rPr>
            </w:pPr>
            <w:r>
              <w:rPr>
                <w:lang w:val="en-GB"/>
              </w:rPr>
              <w:t>GSO-F</w:t>
            </w:r>
          </w:p>
        </w:tc>
        <w:tc>
          <w:tcPr>
            <w:tcW w:w="1021" w:type="dxa"/>
            <w:tcMar>
              <w:left w:w="85" w:type="dxa"/>
              <w:right w:w="85" w:type="dxa"/>
            </w:tcMar>
            <w:vAlign w:val="center"/>
          </w:tcPr>
          <w:p w:rsidR="002B489A" w:rsidRDefault="004F19C4">
            <w:pPr>
              <w:pStyle w:val="Tablehead"/>
              <w:framePr w:hSpace="181" w:wrap="notBeside" w:vAnchor="text" w:hAnchor="text" w:xAlign="center" w:y="1"/>
              <w:rPr>
                <w:rFonts w:eastAsia="Arial Unicode MS"/>
                <w:lang w:val="en-GB"/>
              </w:rPr>
            </w:pPr>
            <w:r>
              <w:rPr>
                <w:lang w:val="en-GB"/>
              </w:rPr>
              <w:t>GSO-13</w:t>
            </w:r>
          </w:p>
        </w:tc>
      </w:tr>
      <w:tr w:rsidR="002B489A">
        <w:trPr>
          <w:trHeight w:val="255"/>
        </w:trPr>
        <w:tc>
          <w:tcPr>
            <w:tcW w:w="4536" w:type="dxa"/>
            <w:tcMar>
              <w:left w:w="85" w:type="dxa"/>
              <w:right w:w="85" w:type="dxa"/>
            </w:tcMar>
            <w:vAlign w:val="center"/>
          </w:tcPr>
          <w:p w:rsidR="002B489A" w:rsidRDefault="004F19C4">
            <w:pPr>
              <w:pStyle w:val="Tabletext"/>
              <w:framePr w:hSpace="181" w:wrap="notBeside" w:vAnchor="text" w:hAnchor="text" w:xAlign="center" w:y="1"/>
              <w:jc w:val="left"/>
              <w:rPr>
                <w:rFonts w:eastAsia="Arial Unicode MS"/>
                <w:lang w:val="en-GB"/>
              </w:rPr>
            </w:pPr>
            <w:r>
              <w:rPr>
                <w:lang w:val="en-GB"/>
              </w:rPr>
              <w:t>Altitude SFS (km)</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lang w:val="en-GB"/>
              </w:rPr>
            </w:pPr>
            <w:r>
              <w:rPr>
                <w:lang w:val="en-GB"/>
              </w:rPr>
              <w:t>35</w:t>
            </w:r>
            <w:r>
              <w:rPr>
                <w:rFonts w:ascii="Tms Rmn" w:hAnsi="Tms Rmn"/>
                <w:sz w:val="12"/>
                <w:lang w:val="en-GB"/>
              </w:rPr>
              <w:t> </w:t>
            </w:r>
            <w:r>
              <w:rPr>
                <w:lang w:val="en-GB"/>
              </w:rPr>
              <w:t>786</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lang w:val="en-GB"/>
              </w:rPr>
            </w:pPr>
            <w:r>
              <w:rPr>
                <w:lang w:val="en-GB"/>
              </w:rPr>
              <w:t>35</w:t>
            </w:r>
            <w:r>
              <w:rPr>
                <w:rFonts w:ascii="Tms Rmn" w:hAnsi="Tms Rmn"/>
                <w:sz w:val="12"/>
                <w:lang w:val="en-GB"/>
              </w:rPr>
              <w:t> </w:t>
            </w:r>
            <w:r>
              <w:rPr>
                <w:lang w:val="en-GB"/>
              </w:rPr>
              <w:t>786</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lang w:val="en-GB"/>
              </w:rPr>
            </w:pPr>
            <w:r>
              <w:rPr>
                <w:lang w:val="en-GB"/>
              </w:rPr>
              <w:t>35</w:t>
            </w:r>
            <w:r>
              <w:rPr>
                <w:rFonts w:ascii="Tms Rmn" w:hAnsi="Tms Rmn"/>
                <w:sz w:val="12"/>
                <w:lang w:val="en-GB"/>
              </w:rPr>
              <w:t> </w:t>
            </w:r>
            <w:r>
              <w:rPr>
                <w:lang w:val="en-GB"/>
              </w:rPr>
              <w:t>786</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lang w:val="en-GB"/>
              </w:rPr>
            </w:pPr>
            <w:r>
              <w:rPr>
                <w:lang w:val="en-GB"/>
              </w:rPr>
              <w:t>35</w:t>
            </w:r>
            <w:r>
              <w:rPr>
                <w:rFonts w:ascii="Tms Rmn" w:hAnsi="Tms Rmn"/>
                <w:sz w:val="12"/>
                <w:lang w:val="en-GB"/>
              </w:rPr>
              <w:t> </w:t>
            </w:r>
            <w:r>
              <w:rPr>
                <w:lang w:val="en-GB"/>
              </w:rPr>
              <w:t>786</w:t>
            </w:r>
          </w:p>
        </w:tc>
      </w:tr>
      <w:tr w:rsidR="002B489A">
        <w:trPr>
          <w:trHeight w:val="255"/>
        </w:trPr>
        <w:tc>
          <w:tcPr>
            <w:tcW w:w="4536" w:type="dxa"/>
            <w:tcMar>
              <w:left w:w="85" w:type="dxa"/>
              <w:right w:w="85" w:type="dxa"/>
            </w:tcMar>
            <w:vAlign w:val="center"/>
          </w:tcPr>
          <w:p w:rsidR="002B489A" w:rsidRDefault="004F19C4">
            <w:pPr>
              <w:pStyle w:val="Tabletext"/>
              <w:framePr w:hSpace="181" w:wrap="notBeside" w:vAnchor="text" w:hAnchor="text" w:xAlign="center" w:y="1"/>
              <w:jc w:val="left"/>
              <w:rPr>
                <w:rFonts w:eastAsia="Arial Unicode MS"/>
                <w:lang w:val="en-GB"/>
              </w:rPr>
            </w:pPr>
            <w:r>
              <w:rPr>
                <w:lang w:val="en-GB"/>
              </w:rPr>
              <w:t>Altitude SETS (km)</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850</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850</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850</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850</w:t>
            </w:r>
          </w:p>
        </w:tc>
      </w:tr>
      <w:tr w:rsidR="002B489A">
        <w:trPr>
          <w:trHeight w:val="255"/>
        </w:trPr>
        <w:tc>
          <w:tcPr>
            <w:tcW w:w="4536" w:type="dxa"/>
            <w:tcMar>
              <w:left w:w="85" w:type="dxa"/>
              <w:right w:w="85" w:type="dxa"/>
            </w:tcMar>
            <w:vAlign w:val="center"/>
          </w:tcPr>
          <w:p w:rsidR="002B489A" w:rsidRDefault="004F19C4">
            <w:pPr>
              <w:pStyle w:val="Tabletext"/>
              <w:framePr w:hSpace="181" w:wrap="notBeside" w:vAnchor="text" w:hAnchor="text" w:xAlign="center" w:y="1"/>
              <w:jc w:val="left"/>
              <w:rPr>
                <w:rFonts w:eastAsia="Arial Unicode MS"/>
              </w:rPr>
            </w:pPr>
            <w:r>
              <w:t>Distance de séparation (km)</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34</w:t>
            </w:r>
            <w:r>
              <w:rPr>
                <w:rFonts w:ascii="Tms Rmn" w:hAnsi="Tms Rmn"/>
                <w:sz w:val="12"/>
              </w:rPr>
              <w:t> </w:t>
            </w:r>
            <w:r>
              <w:t>936</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34</w:t>
            </w:r>
            <w:r>
              <w:rPr>
                <w:rFonts w:ascii="Tms Rmn" w:hAnsi="Tms Rmn"/>
                <w:sz w:val="12"/>
              </w:rPr>
              <w:t> </w:t>
            </w:r>
            <w:r>
              <w:t>936</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34</w:t>
            </w:r>
            <w:r>
              <w:rPr>
                <w:rFonts w:ascii="Tms Rmn" w:hAnsi="Tms Rmn"/>
                <w:sz w:val="12"/>
              </w:rPr>
              <w:t> </w:t>
            </w:r>
            <w:r>
              <w:t>936</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34</w:t>
            </w:r>
            <w:r>
              <w:rPr>
                <w:rFonts w:ascii="Tms Rmn" w:hAnsi="Tms Rmn"/>
                <w:sz w:val="12"/>
              </w:rPr>
              <w:t> </w:t>
            </w:r>
            <w:r>
              <w:t>936</w:t>
            </w:r>
          </w:p>
        </w:tc>
      </w:tr>
      <w:tr w:rsidR="002B489A">
        <w:trPr>
          <w:trHeight w:val="255"/>
        </w:trPr>
        <w:tc>
          <w:tcPr>
            <w:tcW w:w="4536" w:type="dxa"/>
            <w:tcMar>
              <w:left w:w="85" w:type="dxa"/>
              <w:right w:w="85" w:type="dxa"/>
            </w:tcMar>
            <w:vAlign w:val="center"/>
          </w:tcPr>
          <w:p w:rsidR="002B489A" w:rsidRDefault="004F19C4">
            <w:pPr>
              <w:pStyle w:val="Tabletext"/>
              <w:framePr w:hSpace="181" w:wrap="notBeside" w:vAnchor="text" w:hAnchor="text" w:xAlign="center" w:y="1"/>
              <w:jc w:val="left"/>
              <w:rPr>
                <w:rFonts w:eastAsia="Arial Unicode MS"/>
              </w:rPr>
            </w:pPr>
            <w:r>
              <w:t>Puissance d'émission SFS (dBW)</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16</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19</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13</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13</w:t>
            </w:r>
          </w:p>
        </w:tc>
      </w:tr>
      <w:tr w:rsidR="002B489A">
        <w:trPr>
          <w:trHeight w:val="255"/>
        </w:trPr>
        <w:tc>
          <w:tcPr>
            <w:tcW w:w="4536" w:type="dxa"/>
            <w:tcMar>
              <w:left w:w="85" w:type="dxa"/>
              <w:right w:w="85" w:type="dxa"/>
            </w:tcMar>
            <w:vAlign w:val="center"/>
          </w:tcPr>
          <w:p w:rsidR="002B489A" w:rsidRDefault="004F19C4">
            <w:pPr>
              <w:pStyle w:val="Tabletext"/>
              <w:framePr w:hSpace="181" w:wrap="notBeside" w:vAnchor="text" w:hAnchor="text" w:xAlign="center" w:y="1"/>
              <w:jc w:val="left"/>
              <w:rPr>
                <w:rFonts w:eastAsia="Arial Unicode MS"/>
              </w:rPr>
            </w:pPr>
            <w:r>
              <w:t>Gain d'antenne SFS (dBi)</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40,9</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55,0</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49,0</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46,5</w:t>
            </w:r>
          </w:p>
        </w:tc>
      </w:tr>
      <w:tr w:rsidR="002B489A">
        <w:trPr>
          <w:trHeight w:val="255"/>
        </w:trPr>
        <w:tc>
          <w:tcPr>
            <w:tcW w:w="4536" w:type="dxa"/>
            <w:tcMar>
              <w:left w:w="85" w:type="dxa"/>
              <w:right w:w="85" w:type="dxa"/>
            </w:tcMar>
            <w:vAlign w:val="center"/>
          </w:tcPr>
          <w:p w:rsidR="002B489A" w:rsidRDefault="004F19C4">
            <w:pPr>
              <w:pStyle w:val="Tabletext"/>
              <w:framePr w:hSpace="181" w:wrap="notBeside" w:vAnchor="text" w:hAnchor="text" w:xAlign="center" w:y="1"/>
              <w:jc w:val="left"/>
              <w:rPr>
                <w:rFonts w:eastAsia="Arial Unicode MS"/>
              </w:rPr>
            </w:pPr>
            <w:r>
              <w:t>p.i.r.e. SFS (dBW)</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57</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74</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61,8</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59,5</w:t>
            </w:r>
          </w:p>
        </w:tc>
      </w:tr>
      <w:tr w:rsidR="002B489A">
        <w:trPr>
          <w:trHeight w:val="255"/>
        </w:trPr>
        <w:tc>
          <w:tcPr>
            <w:tcW w:w="4536" w:type="dxa"/>
            <w:tcMar>
              <w:left w:w="85" w:type="dxa"/>
              <w:right w:w="85" w:type="dxa"/>
            </w:tcMar>
            <w:vAlign w:val="center"/>
          </w:tcPr>
          <w:p w:rsidR="002B489A" w:rsidRDefault="004F19C4">
            <w:pPr>
              <w:pStyle w:val="Tabletext"/>
              <w:framePr w:hSpace="181" w:wrap="notBeside" w:vAnchor="text" w:hAnchor="text" w:xAlign="center" w:y="1"/>
              <w:jc w:val="left"/>
              <w:rPr>
                <w:rFonts w:eastAsia="Arial Unicode MS"/>
              </w:rPr>
            </w:pPr>
            <w:r>
              <w:t>Largeur de bande SFS (MHz)</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1,8</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3 200</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125</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81</w:t>
            </w:r>
          </w:p>
        </w:tc>
      </w:tr>
      <w:tr w:rsidR="002B489A">
        <w:trPr>
          <w:trHeight w:val="255"/>
        </w:trPr>
        <w:tc>
          <w:tcPr>
            <w:tcW w:w="4536" w:type="dxa"/>
            <w:tcMar>
              <w:left w:w="85" w:type="dxa"/>
              <w:right w:w="85" w:type="dxa"/>
            </w:tcMar>
            <w:vAlign w:val="center"/>
          </w:tcPr>
          <w:p w:rsidR="002B489A" w:rsidRDefault="004F19C4">
            <w:pPr>
              <w:pStyle w:val="Tabletext"/>
              <w:framePr w:hSpace="181" w:wrap="notBeside" w:vAnchor="text" w:hAnchor="text" w:xAlign="center" w:y="1"/>
              <w:jc w:val="left"/>
              <w:rPr>
                <w:rFonts w:eastAsia="Arial Unicode MS"/>
              </w:rPr>
            </w:pPr>
            <w:r>
              <w:t>Largeur de bande SETS (MHz)</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100</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100</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100</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100</w:t>
            </w:r>
          </w:p>
        </w:tc>
      </w:tr>
      <w:tr w:rsidR="002B489A">
        <w:trPr>
          <w:trHeight w:val="255"/>
        </w:trPr>
        <w:tc>
          <w:tcPr>
            <w:tcW w:w="4536" w:type="dxa"/>
            <w:tcMar>
              <w:left w:w="85" w:type="dxa"/>
              <w:right w:w="85" w:type="dxa"/>
            </w:tcMar>
            <w:vAlign w:val="center"/>
          </w:tcPr>
          <w:p w:rsidR="002B489A" w:rsidRDefault="004F19C4">
            <w:pPr>
              <w:pStyle w:val="Tabletext"/>
              <w:framePr w:hSpace="181" w:wrap="notBeside" w:vAnchor="text" w:hAnchor="text" w:xAlign="center" w:y="1"/>
              <w:jc w:val="left"/>
              <w:rPr>
                <w:rFonts w:eastAsia="Arial Unicode MS"/>
              </w:rPr>
            </w:pPr>
            <w:r>
              <w:t>p.i.r.e. dans la largeur de bande SETS (dBW)</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74,4</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58,9</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60,8</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60,4</w:t>
            </w:r>
          </w:p>
        </w:tc>
      </w:tr>
      <w:tr w:rsidR="002B489A">
        <w:trPr>
          <w:trHeight w:val="255"/>
        </w:trPr>
        <w:tc>
          <w:tcPr>
            <w:tcW w:w="4536" w:type="dxa"/>
            <w:tcMar>
              <w:left w:w="85" w:type="dxa"/>
              <w:right w:w="85" w:type="dxa"/>
            </w:tcMar>
            <w:vAlign w:val="center"/>
          </w:tcPr>
          <w:p w:rsidR="002B489A" w:rsidRDefault="004F19C4">
            <w:pPr>
              <w:pStyle w:val="Tabletext"/>
              <w:framePr w:hSpace="181" w:wrap="notBeside" w:vAnchor="text" w:hAnchor="text" w:xAlign="center" w:y="1"/>
              <w:jc w:val="left"/>
              <w:rPr>
                <w:rFonts w:eastAsia="Arial Unicode MS"/>
              </w:rPr>
            </w:pPr>
            <w:r>
              <w:t>Gain du lobe arrière de l'antenne SETS (dBi)</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–10</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–10</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–10</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–10</w:t>
            </w:r>
          </w:p>
        </w:tc>
      </w:tr>
      <w:tr w:rsidR="002B489A">
        <w:trPr>
          <w:trHeight w:val="255"/>
        </w:trPr>
        <w:tc>
          <w:tcPr>
            <w:tcW w:w="4536" w:type="dxa"/>
            <w:tcMar>
              <w:left w:w="85" w:type="dxa"/>
              <w:right w:w="85" w:type="dxa"/>
            </w:tcMar>
            <w:vAlign w:val="center"/>
          </w:tcPr>
          <w:p w:rsidR="002B489A" w:rsidRDefault="004F19C4">
            <w:pPr>
              <w:pStyle w:val="Tabletext"/>
              <w:framePr w:hSpace="181" w:wrap="notBeside" w:vAnchor="text" w:hAnchor="text" w:xAlign="center" w:y="1"/>
              <w:jc w:val="left"/>
              <w:rPr>
                <w:rFonts w:eastAsia="Arial Unicode MS"/>
              </w:rPr>
            </w:pPr>
            <w:r>
              <w:t>Affaiblissement en espace libre à 23,6 GHz (dB)</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210,8</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210,8</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210,8</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210,8</w:t>
            </w:r>
          </w:p>
        </w:tc>
      </w:tr>
      <w:tr w:rsidR="002B489A">
        <w:trPr>
          <w:trHeight w:val="255"/>
        </w:trPr>
        <w:tc>
          <w:tcPr>
            <w:tcW w:w="4536" w:type="dxa"/>
            <w:tcMar>
              <w:left w:w="85" w:type="dxa"/>
              <w:right w:w="85" w:type="dxa"/>
            </w:tcMar>
            <w:vAlign w:val="center"/>
          </w:tcPr>
          <w:p w:rsidR="002B489A" w:rsidRDefault="004F19C4">
            <w:pPr>
              <w:pStyle w:val="Tabletext"/>
              <w:framePr w:hSpace="181" w:wrap="notBeside" w:vAnchor="text" w:hAnchor="text" w:xAlign="center" w:y="1"/>
              <w:jc w:val="left"/>
              <w:rPr>
                <w:rFonts w:eastAsia="Arial Unicode MS"/>
              </w:rPr>
            </w:pPr>
            <w:r>
              <w:t>Niveau de brouillage cocanal (dBW)</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–146,3</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–161,8</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–159,9</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–160,4</w:t>
            </w:r>
          </w:p>
        </w:tc>
      </w:tr>
      <w:tr w:rsidR="002B489A">
        <w:trPr>
          <w:trHeight w:val="255"/>
        </w:trPr>
        <w:tc>
          <w:tcPr>
            <w:tcW w:w="4536" w:type="dxa"/>
            <w:tcMar>
              <w:left w:w="85" w:type="dxa"/>
              <w:right w:w="85" w:type="dxa"/>
            </w:tcMar>
            <w:vAlign w:val="center"/>
          </w:tcPr>
          <w:p w:rsidR="002B489A" w:rsidRDefault="004F19C4">
            <w:pPr>
              <w:pStyle w:val="Tabletext"/>
              <w:framePr w:hSpace="181" w:wrap="notBeside" w:vAnchor="text" w:hAnchor="text" w:xAlign="center" w:y="1"/>
              <w:jc w:val="left"/>
              <w:rPr>
                <w:rFonts w:eastAsia="Arial Unicode MS"/>
              </w:rPr>
            </w:pPr>
            <w:r>
              <w:t>Critère de brouillage SETS (dBW)</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–163</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–163</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–163</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–163</w:t>
            </w:r>
          </w:p>
        </w:tc>
      </w:tr>
      <w:tr w:rsidR="002B489A">
        <w:trPr>
          <w:trHeight w:val="510"/>
        </w:trPr>
        <w:tc>
          <w:tcPr>
            <w:tcW w:w="4536" w:type="dxa"/>
            <w:tcMar>
              <w:left w:w="85" w:type="dxa"/>
              <w:right w:w="85" w:type="dxa"/>
            </w:tcMar>
            <w:vAlign w:val="center"/>
          </w:tcPr>
          <w:p w:rsidR="002B489A" w:rsidRDefault="004F19C4">
            <w:pPr>
              <w:pStyle w:val="Tabletext"/>
              <w:framePr w:hSpace="181" w:wrap="notBeside" w:vAnchor="text" w:hAnchor="text" w:xAlign="center" w:y="1"/>
              <w:jc w:val="left"/>
              <w:rPr>
                <w:rFonts w:eastAsia="Arial Unicode MS"/>
              </w:rPr>
            </w:pPr>
            <w:r>
              <w:t>Différence entre niveau de brouillage et critère SETS (dB)</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–16,7</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–1,2</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–3,1</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–2,6</w:t>
            </w:r>
          </w:p>
        </w:tc>
      </w:tr>
    </w:tbl>
    <w:p w:rsidR="002B489A" w:rsidRDefault="002B489A">
      <w:pPr>
        <w:pStyle w:val="Tablefin"/>
      </w:pPr>
    </w:p>
    <w:p w:rsidR="002B489A" w:rsidRDefault="004F19C4">
      <w:r>
        <w:t>Ces calculs supposent que le satellite SFS soit directement au-dessus du satellite SETS et que les rayonnements non désirés reçus le soient via le lobe arrière de l'antenne du détecteur SETS, excepté dans le cas de LEO A et LEOSAT-1 où les satellites non OSG ont une altitude inférieure à celle du satellite SETS. Dans ces cas, une valeur de –10 dBi a été supposée pour le gain du lobe arrière du satellite non OSG dans la direction du SETS directement au-dessus de lui. Cependant, les effets d'écran par le corps du satellite n'ont pas été pris en compte dans ces calculs. Bien que les calculs pour ces deux satellites SFS non OSG se fondent sur un gain de –10 dBi pour le gain du lobe latéral du détecteur SETS, il existe une possibilité dans ces cas que le faisceau principal SETS puisse être pointé sur le satellite SFS non OSG au-dessous de lui, produisant de très hauts niveaux de brouillage dans le récepteur SETS pendant de courtes périodes de temps.</w:t>
      </w:r>
    </w:p>
    <w:p w:rsidR="002B489A" w:rsidRDefault="004F19C4">
      <w:pPr>
        <w:pStyle w:val="TableNo"/>
      </w:pPr>
      <w:r>
        <w:br w:type="page"/>
        <w:t>TABLEAU  30</w:t>
      </w:r>
    </w:p>
    <w:p w:rsidR="002B489A" w:rsidRDefault="004F19C4">
      <w:pPr>
        <w:pStyle w:val="Tabletitle"/>
      </w:pPr>
      <w:r>
        <w:t>Niveau de puissance brouilleuse provenant de réseaux à satellite non OSG du SFS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80"/>
        <w:gridCol w:w="1071"/>
        <w:gridCol w:w="1071"/>
        <w:gridCol w:w="1449"/>
        <w:gridCol w:w="1134"/>
        <w:gridCol w:w="1134"/>
      </w:tblGrid>
      <w:tr w:rsidR="002B489A">
        <w:trPr>
          <w:trHeight w:val="255"/>
        </w:trPr>
        <w:tc>
          <w:tcPr>
            <w:tcW w:w="3402" w:type="dxa"/>
            <w:tcMar>
              <w:left w:w="85" w:type="dxa"/>
              <w:right w:w="85" w:type="dxa"/>
            </w:tcMar>
          </w:tcPr>
          <w:p w:rsidR="002B489A" w:rsidRDefault="004F19C4">
            <w:pPr>
              <w:pStyle w:val="Tablehead"/>
              <w:framePr w:hSpace="181" w:wrap="notBeside" w:vAnchor="text" w:hAnchor="text" w:xAlign="center" w:y="1"/>
              <w:jc w:val="left"/>
              <w:rPr>
                <w:b w:val="0"/>
                <w:bCs/>
              </w:rPr>
            </w:pPr>
            <w:r>
              <w:rPr>
                <w:b w:val="0"/>
                <w:bCs/>
              </w:rPr>
              <w:t>Réseau à satellite SFS</w:t>
            </w:r>
          </w:p>
        </w:tc>
        <w:tc>
          <w:tcPr>
            <w:tcW w:w="964" w:type="dxa"/>
            <w:tcMar>
              <w:left w:w="85" w:type="dxa"/>
              <w:right w:w="85" w:type="dxa"/>
            </w:tcMar>
            <w:vAlign w:val="center"/>
          </w:tcPr>
          <w:p w:rsidR="002B489A" w:rsidRDefault="004F19C4">
            <w:pPr>
              <w:pStyle w:val="Tablehead"/>
              <w:framePr w:hSpace="181" w:wrap="notBeside" w:vAnchor="text" w:hAnchor="text" w:xAlign="center" w:y="1"/>
              <w:rPr>
                <w:lang w:val="es-ES"/>
              </w:rPr>
            </w:pPr>
            <w:r>
              <w:rPr>
                <w:lang w:val="es-ES"/>
              </w:rPr>
              <w:t>LEO A</w:t>
            </w:r>
          </w:p>
        </w:tc>
        <w:tc>
          <w:tcPr>
            <w:tcW w:w="964" w:type="dxa"/>
            <w:tcMar>
              <w:left w:w="85" w:type="dxa"/>
              <w:right w:w="85" w:type="dxa"/>
            </w:tcMar>
            <w:vAlign w:val="center"/>
          </w:tcPr>
          <w:p w:rsidR="002B489A" w:rsidRDefault="004F19C4">
            <w:pPr>
              <w:pStyle w:val="Tablehead"/>
              <w:framePr w:hSpace="181" w:wrap="notBeside" w:vAnchor="text" w:hAnchor="text" w:xAlign="center" w:y="1"/>
              <w:rPr>
                <w:lang w:val="es-ES"/>
              </w:rPr>
            </w:pPr>
            <w:r>
              <w:rPr>
                <w:lang w:val="es-ES"/>
              </w:rPr>
              <w:t>LEO B</w:t>
            </w:r>
          </w:p>
        </w:tc>
        <w:tc>
          <w:tcPr>
            <w:tcW w:w="1304" w:type="dxa"/>
            <w:tcMar>
              <w:left w:w="85" w:type="dxa"/>
              <w:right w:w="85" w:type="dxa"/>
            </w:tcMar>
            <w:vAlign w:val="center"/>
          </w:tcPr>
          <w:p w:rsidR="002B489A" w:rsidRDefault="004F19C4">
            <w:pPr>
              <w:pStyle w:val="Tablehead"/>
              <w:framePr w:hSpace="181" w:wrap="notBeside" w:vAnchor="text" w:hAnchor="text" w:xAlign="center" w:y="1"/>
              <w:rPr>
                <w:lang w:val="es-ES"/>
              </w:rPr>
            </w:pPr>
            <w:r>
              <w:rPr>
                <w:lang w:val="es-ES"/>
              </w:rPr>
              <w:t>LEO SAT-1</w:t>
            </w:r>
          </w:p>
        </w:tc>
        <w:tc>
          <w:tcPr>
            <w:tcW w:w="2042" w:type="dxa"/>
            <w:gridSpan w:val="2"/>
            <w:tcMar>
              <w:left w:w="85" w:type="dxa"/>
              <w:right w:w="85" w:type="dxa"/>
            </w:tcMar>
            <w:vAlign w:val="center"/>
          </w:tcPr>
          <w:p w:rsidR="002B489A" w:rsidRDefault="004F19C4">
            <w:pPr>
              <w:pStyle w:val="Tablehead"/>
              <w:framePr w:hSpace="181" w:wrap="notBeside" w:vAnchor="text" w:hAnchor="text" w:xAlign="center" w:y="1"/>
              <w:rPr>
                <w:lang w:val="es-ES"/>
              </w:rPr>
            </w:pPr>
            <w:r>
              <w:rPr>
                <w:lang w:val="es-ES"/>
              </w:rPr>
              <w:t>Quasi-GSO 31</w:t>
            </w:r>
          </w:p>
        </w:tc>
      </w:tr>
      <w:tr w:rsidR="002B489A">
        <w:trPr>
          <w:trHeight w:val="255"/>
        </w:trPr>
        <w:tc>
          <w:tcPr>
            <w:tcW w:w="3402" w:type="dxa"/>
            <w:tcMar>
              <w:left w:w="85" w:type="dxa"/>
              <w:right w:w="85" w:type="dxa"/>
            </w:tcMar>
          </w:tcPr>
          <w:p w:rsidR="002B489A" w:rsidRDefault="004F19C4">
            <w:pPr>
              <w:pStyle w:val="Tabletext"/>
              <w:framePr w:hSpace="181" w:wrap="notBeside" w:vAnchor="text" w:hAnchor="text" w:xAlign="center" w:y="1"/>
              <w:jc w:val="left"/>
              <w:rPr>
                <w:rFonts w:eastAsia="Arial Unicode MS"/>
                <w:lang w:val="en-US"/>
              </w:rPr>
            </w:pPr>
            <w:r>
              <w:rPr>
                <w:lang w:val="en-US"/>
              </w:rPr>
              <w:t>Altitude SFS (km)</w:t>
            </w:r>
          </w:p>
        </w:tc>
        <w:tc>
          <w:tcPr>
            <w:tcW w:w="964"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780</w:t>
            </w:r>
          </w:p>
        </w:tc>
        <w:tc>
          <w:tcPr>
            <w:tcW w:w="964"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10</w:t>
            </w:r>
            <w:r>
              <w:rPr>
                <w:rFonts w:ascii="Tms Rmn" w:hAnsi="Tms Rmn"/>
                <w:sz w:val="12"/>
              </w:rPr>
              <w:t> </w:t>
            </w:r>
            <w:r>
              <w:t>355</w:t>
            </w:r>
          </w:p>
        </w:tc>
        <w:tc>
          <w:tcPr>
            <w:tcW w:w="1304"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700</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w:t>
            </w:r>
            <w:r>
              <w:rPr>
                <w:rFonts w:ascii="Tms Rmn" w:hAnsi="Tms Rmn"/>
                <w:sz w:val="12"/>
              </w:rPr>
              <w:t> </w:t>
            </w:r>
            <w:r>
              <w:t>000</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43</w:t>
            </w:r>
            <w:r>
              <w:rPr>
                <w:rFonts w:ascii="Tms Rmn" w:hAnsi="Tms Rmn"/>
                <w:sz w:val="12"/>
              </w:rPr>
              <w:t> </w:t>
            </w:r>
            <w:r>
              <w:t>000</w:t>
            </w:r>
          </w:p>
        </w:tc>
      </w:tr>
      <w:tr w:rsidR="002B489A">
        <w:trPr>
          <w:trHeight w:val="255"/>
        </w:trPr>
        <w:tc>
          <w:tcPr>
            <w:tcW w:w="3402" w:type="dxa"/>
            <w:tcMar>
              <w:left w:w="85" w:type="dxa"/>
              <w:right w:w="85" w:type="dxa"/>
            </w:tcMar>
          </w:tcPr>
          <w:p w:rsidR="002B489A" w:rsidRDefault="004F19C4">
            <w:pPr>
              <w:pStyle w:val="Tabletext"/>
              <w:framePr w:hSpace="181" w:wrap="notBeside" w:vAnchor="text" w:hAnchor="text" w:xAlign="center" w:y="1"/>
              <w:jc w:val="left"/>
              <w:rPr>
                <w:rFonts w:eastAsia="Arial Unicode MS"/>
                <w:lang w:val="en-US"/>
              </w:rPr>
            </w:pPr>
            <w:r>
              <w:rPr>
                <w:lang w:val="en-US"/>
              </w:rPr>
              <w:t>Altitude SETS (km)</w:t>
            </w:r>
          </w:p>
        </w:tc>
        <w:tc>
          <w:tcPr>
            <w:tcW w:w="964"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850</w:t>
            </w:r>
          </w:p>
        </w:tc>
        <w:tc>
          <w:tcPr>
            <w:tcW w:w="964"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850</w:t>
            </w:r>
          </w:p>
        </w:tc>
        <w:tc>
          <w:tcPr>
            <w:tcW w:w="1304"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850</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850</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850</w:t>
            </w:r>
          </w:p>
        </w:tc>
      </w:tr>
      <w:tr w:rsidR="002B489A">
        <w:trPr>
          <w:trHeight w:val="255"/>
        </w:trPr>
        <w:tc>
          <w:tcPr>
            <w:tcW w:w="3402" w:type="dxa"/>
            <w:tcMar>
              <w:left w:w="85" w:type="dxa"/>
              <w:right w:w="85" w:type="dxa"/>
            </w:tcMar>
          </w:tcPr>
          <w:p w:rsidR="002B489A" w:rsidRDefault="004F19C4">
            <w:pPr>
              <w:pStyle w:val="Tabletext"/>
              <w:framePr w:hSpace="181" w:wrap="notBeside" w:vAnchor="text" w:hAnchor="text" w:xAlign="center" w:y="1"/>
              <w:jc w:val="left"/>
              <w:rPr>
                <w:rFonts w:eastAsia="Arial Unicode MS"/>
              </w:rPr>
            </w:pPr>
            <w:r>
              <w:t>Distance de séparation (km)</w:t>
            </w:r>
          </w:p>
        </w:tc>
        <w:tc>
          <w:tcPr>
            <w:tcW w:w="964"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70</w:t>
            </w:r>
            <w:r>
              <w:rPr>
                <w:vertAlign w:val="superscript"/>
              </w:rPr>
              <w:t>(1)</w:t>
            </w:r>
          </w:p>
        </w:tc>
        <w:tc>
          <w:tcPr>
            <w:tcW w:w="964"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9</w:t>
            </w:r>
            <w:r>
              <w:rPr>
                <w:rFonts w:ascii="Tms Rmn" w:hAnsi="Tms Rmn"/>
                <w:sz w:val="12"/>
              </w:rPr>
              <w:t> </w:t>
            </w:r>
            <w:r>
              <w:t>505</w:t>
            </w:r>
          </w:p>
        </w:tc>
        <w:tc>
          <w:tcPr>
            <w:tcW w:w="1304"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150</w:t>
            </w:r>
            <w:r>
              <w:rPr>
                <w:vertAlign w:val="superscript"/>
              </w:rPr>
              <w:t>(1)</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150</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42</w:t>
            </w:r>
            <w:r>
              <w:rPr>
                <w:rFonts w:ascii="Tms Rmn" w:hAnsi="Tms Rmn"/>
                <w:sz w:val="12"/>
              </w:rPr>
              <w:t> </w:t>
            </w:r>
            <w:r>
              <w:t>150</w:t>
            </w:r>
          </w:p>
        </w:tc>
      </w:tr>
      <w:tr w:rsidR="002B489A">
        <w:trPr>
          <w:trHeight w:val="255"/>
        </w:trPr>
        <w:tc>
          <w:tcPr>
            <w:tcW w:w="3402" w:type="dxa"/>
            <w:tcMar>
              <w:left w:w="85" w:type="dxa"/>
              <w:right w:w="85" w:type="dxa"/>
            </w:tcMar>
          </w:tcPr>
          <w:p w:rsidR="002B489A" w:rsidRDefault="004F19C4">
            <w:pPr>
              <w:pStyle w:val="Tabletext"/>
              <w:framePr w:hSpace="181" w:wrap="notBeside" w:vAnchor="text" w:hAnchor="text" w:xAlign="center" w:y="1"/>
              <w:jc w:val="left"/>
              <w:rPr>
                <w:rFonts w:eastAsia="Arial Unicode MS"/>
              </w:rPr>
            </w:pPr>
            <w:r>
              <w:t>Puissance d'émission SFS (dBW)</w:t>
            </w:r>
          </w:p>
        </w:tc>
        <w:tc>
          <w:tcPr>
            <w:tcW w:w="964"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–12</w:t>
            </w:r>
          </w:p>
        </w:tc>
        <w:tc>
          <w:tcPr>
            <w:tcW w:w="964"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–30</w:t>
            </w:r>
          </w:p>
        </w:tc>
        <w:tc>
          <w:tcPr>
            <w:tcW w:w="1304"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19</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19</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19</w:t>
            </w:r>
          </w:p>
        </w:tc>
      </w:tr>
      <w:tr w:rsidR="002B489A">
        <w:trPr>
          <w:trHeight w:val="255"/>
        </w:trPr>
        <w:tc>
          <w:tcPr>
            <w:tcW w:w="3402" w:type="dxa"/>
            <w:tcMar>
              <w:left w:w="85" w:type="dxa"/>
              <w:right w:w="85" w:type="dxa"/>
            </w:tcMar>
          </w:tcPr>
          <w:p w:rsidR="002B489A" w:rsidRDefault="004F19C4">
            <w:pPr>
              <w:pStyle w:val="Tabletext"/>
              <w:framePr w:hSpace="181" w:wrap="notBeside" w:vAnchor="text" w:hAnchor="text" w:xAlign="center" w:y="1"/>
              <w:jc w:val="left"/>
              <w:rPr>
                <w:rFonts w:eastAsia="Arial Unicode MS"/>
              </w:rPr>
            </w:pPr>
            <w:r>
              <w:t>Gain d'antenne SFS (dBi)</w:t>
            </w:r>
          </w:p>
        </w:tc>
        <w:tc>
          <w:tcPr>
            <w:tcW w:w="964"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–10,0</w:t>
            </w:r>
          </w:p>
        </w:tc>
        <w:tc>
          <w:tcPr>
            <w:tcW w:w="964"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35,7</w:t>
            </w:r>
          </w:p>
        </w:tc>
        <w:tc>
          <w:tcPr>
            <w:tcW w:w="1304"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–10,0</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55,0</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55,0</w:t>
            </w:r>
          </w:p>
        </w:tc>
      </w:tr>
      <w:tr w:rsidR="002B489A">
        <w:trPr>
          <w:trHeight w:val="255"/>
        </w:trPr>
        <w:tc>
          <w:tcPr>
            <w:tcW w:w="3402" w:type="dxa"/>
            <w:tcMar>
              <w:left w:w="85" w:type="dxa"/>
              <w:right w:w="85" w:type="dxa"/>
            </w:tcMar>
          </w:tcPr>
          <w:p w:rsidR="002B489A" w:rsidRDefault="004F19C4">
            <w:pPr>
              <w:pStyle w:val="Tabletext"/>
              <w:framePr w:hSpace="181" w:wrap="notBeside" w:vAnchor="text" w:hAnchor="text" w:xAlign="center" w:y="1"/>
              <w:jc w:val="left"/>
              <w:rPr>
                <w:rFonts w:eastAsia="Arial Unicode MS"/>
              </w:rPr>
            </w:pPr>
            <w:r>
              <w:t>p.i.r.e. SFS (dBW)</w:t>
            </w:r>
          </w:p>
        </w:tc>
        <w:tc>
          <w:tcPr>
            <w:tcW w:w="964"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15</w:t>
            </w:r>
          </w:p>
        </w:tc>
        <w:tc>
          <w:tcPr>
            <w:tcW w:w="964"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5,31</w:t>
            </w:r>
          </w:p>
        </w:tc>
        <w:tc>
          <w:tcPr>
            <w:tcW w:w="1304"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47,5</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74</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74</w:t>
            </w:r>
          </w:p>
        </w:tc>
      </w:tr>
      <w:tr w:rsidR="002B489A">
        <w:trPr>
          <w:trHeight w:val="255"/>
        </w:trPr>
        <w:tc>
          <w:tcPr>
            <w:tcW w:w="3402" w:type="dxa"/>
            <w:tcMar>
              <w:left w:w="85" w:type="dxa"/>
              <w:right w:w="85" w:type="dxa"/>
            </w:tcMar>
          </w:tcPr>
          <w:p w:rsidR="002B489A" w:rsidRDefault="004F19C4">
            <w:pPr>
              <w:pStyle w:val="Tabletext"/>
              <w:framePr w:hSpace="181" w:wrap="notBeside" w:vAnchor="text" w:hAnchor="text" w:xAlign="center" w:y="1"/>
              <w:jc w:val="left"/>
              <w:rPr>
                <w:rFonts w:eastAsia="Arial Unicode MS"/>
              </w:rPr>
            </w:pPr>
            <w:r>
              <w:t>Largeur de bande SFS (MHz)</w:t>
            </w:r>
          </w:p>
        </w:tc>
        <w:tc>
          <w:tcPr>
            <w:tcW w:w="964"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4,37</w:t>
            </w:r>
          </w:p>
        </w:tc>
        <w:tc>
          <w:tcPr>
            <w:tcW w:w="964"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2,5</w:t>
            </w:r>
          </w:p>
        </w:tc>
        <w:tc>
          <w:tcPr>
            <w:tcW w:w="1304"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500</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3</w:t>
            </w:r>
            <w:r>
              <w:rPr>
                <w:rFonts w:ascii="Tms Rmn" w:hAnsi="Tms Rmn"/>
                <w:sz w:val="12"/>
              </w:rPr>
              <w:t> </w:t>
            </w:r>
            <w:r>
              <w:t>200</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3</w:t>
            </w:r>
            <w:r>
              <w:rPr>
                <w:rFonts w:ascii="Tms Rmn" w:hAnsi="Tms Rmn"/>
                <w:sz w:val="12"/>
              </w:rPr>
              <w:t> </w:t>
            </w:r>
            <w:r>
              <w:t>200</w:t>
            </w:r>
          </w:p>
        </w:tc>
      </w:tr>
      <w:tr w:rsidR="002B489A">
        <w:trPr>
          <w:trHeight w:val="255"/>
        </w:trPr>
        <w:tc>
          <w:tcPr>
            <w:tcW w:w="3402" w:type="dxa"/>
            <w:tcMar>
              <w:left w:w="85" w:type="dxa"/>
              <w:right w:w="85" w:type="dxa"/>
            </w:tcMar>
          </w:tcPr>
          <w:p w:rsidR="002B489A" w:rsidRDefault="004F19C4">
            <w:pPr>
              <w:pStyle w:val="Tabletext"/>
              <w:framePr w:hSpace="181" w:wrap="notBeside" w:vAnchor="text" w:hAnchor="text" w:xAlign="center" w:y="1"/>
              <w:jc w:val="left"/>
              <w:rPr>
                <w:rFonts w:eastAsia="Arial Unicode MS"/>
              </w:rPr>
            </w:pPr>
            <w:r>
              <w:t>Largeur de bande SETS (MHz)</w:t>
            </w:r>
          </w:p>
        </w:tc>
        <w:tc>
          <w:tcPr>
            <w:tcW w:w="964"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100</w:t>
            </w:r>
          </w:p>
        </w:tc>
        <w:tc>
          <w:tcPr>
            <w:tcW w:w="964"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100</w:t>
            </w:r>
          </w:p>
        </w:tc>
        <w:tc>
          <w:tcPr>
            <w:tcW w:w="1304"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100</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100</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100</w:t>
            </w:r>
          </w:p>
        </w:tc>
      </w:tr>
      <w:tr w:rsidR="002B489A">
        <w:trPr>
          <w:trHeight w:val="255"/>
        </w:trPr>
        <w:tc>
          <w:tcPr>
            <w:tcW w:w="3402" w:type="dxa"/>
            <w:tcMar>
              <w:left w:w="85" w:type="dxa"/>
              <w:right w:w="85" w:type="dxa"/>
            </w:tcMar>
          </w:tcPr>
          <w:p w:rsidR="002B489A" w:rsidRDefault="004F19C4">
            <w:pPr>
              <w:pStyle w:val="Tabletext"/>
              <w:framePr w:hSpace="181" w:wrap="notBeside" w:vAnchor="text" w:hAnchor="text" w:xAlign="center" w:y="1"/>
              <w:jc w:val="left"/>
              <w:rPr>
                <w:rFonts w:eastAsia="Arial Unicode MS"/>
              </w:rPr>
            </w:pPr>
            <w:r>
              <w:t>p.i.r.e. dans la largeur de bande SETS (dBW)</w:t>
            </w:r>
          </w:p>
        </w:tc>
        <w:tc>
          <w:tcPr>
            <w:tcW w:w="964"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28,6</w:t>
            </w:r>
          </w:p>
        </w:tc>
        <w:tc>
          <w:tcPr>
            <w:tcW w:w="964"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21,3</w:t>
            </w:r>
          </w:p>
        </w:tc>
        <w:tc>
          <w:tcPr>
            <w:tcW w:w="1304"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40,5</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58,9</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58,9</w:t>
            </w:r>
          </w:p>
        </w:tc>
      </w:tr>
      <w:tr w:rsidR="002B489A">
        <w:trPr>
          <w:trHeight w:val="255"/>
        </w:trPr>
        <w:tc>
          <w:tcPr>
            <w:tcW w:w="3402" w:type="dxa"/>
            <w:tcMar>
              <w:left w:w="85" w:type="dxa"/>
              <w:right w:w="85" w:type="dxa"/>
            </w:tcMar>
          </w:tcPr>
          <w:p w:rsidR="002B489A" w:rsidRDefault="004F19C4">
            <w:pPr>
              <w:pStyle w:val="Tabletext"/>
              <w:framePr w:hSpace="181" w:wrap="notBeside" w:vAnchor="text" w:hAnchor="text" w:xAlign="center" w:y="1"/>
              <w:jc w:val="left"/>
              <w:rPr>
                <w:rFonts w:eastAsia="Arial Unicode MS"/>
              </w:rPr>
            </w:pPr>
            <w:r>
              <w:t>Gain du lobe arrière de l'antenne SETS (dBi)</w:t>
            </w:r>
          </w:p>
        </w:tc>
        <w:tc>
          <w:tcPr>
            <w:tcW w:w="964"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–10</w:t>
            </w:r>
          </w:p>
        </w:tc>
        <w:tc>
          <w:tcPr>
            <w:tcW w:w="964"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–10</w:t>
            </w:r>
          </w:p>
        </w:tc>
        <w:tc>
          <w:tcPr>
            <w:tcW w:w="1304"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–10</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–10</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–10</w:t>
            </w:r>
          </w:p>
        </w:tc>
      </w:tr>
      <w:tr w:rsidR="002B489A">
        <w:trPr>
          <w:trHeight w:val="255"/>
        </w:trPr>
        <w:tc>
          <w:tcPr>
            <w:tcW w:w="3402" w:type="dxa"/>
            <w:tcMar>
              <w:left w:w="85" w:type="dxa"/>
              <w:right w:w="85" w:type="dxa"/>
            </w:tcMar>
          </w:tcPr>
          <w:p w:rsidR="002B489A" w:rsidRDefault="004F19C4">
            <w:pPr>
              <w:pStyle w:val="Tabletext"/>
              <w:framePr w:hSpace="181" w:wrap="notBeside" w:vAnchor="text" w:hAnchor="text" w:xAlign="center" w:y="1"/>
              <w:jc w:val="left"/>
              <w:rPr>
                <w:rFonts w:eastAsia="Arial Unicode MS"/>
              </w:rPr>
            </w:pPr>
            <w:r>
              <w:t>Affaiblissement en espace libre à 23,6 GHz (dB)</w:t>
            </w:r>
          </w:p>
        </w:tc>
        <w:tc>
          <w:tcPr>
            <w:tcW w:w="964"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156,8</w:t>
            </w:r>
          </w:p>
        </w:tc>
        <w:tc>
          <w:tcPr>
            <w:tcW w:w="964"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199,5</w:t>
            </w:r>
          </w:p>
        </w:tc>
        <w:tc>
          <w:tcPr>
            <w:tcW w:w="1304"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163,4</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163,4</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212,4</w:t>
            </w:r>
          </w:p>
        </w:tc>
      </w:tr>
      <w:tr w:rsidR="002B489A">
        <w:trPr>
          <w:trHeight w:val="255"/>
        </w:trPr>
        <w:tc>
          <w:tcPr>
            <w:tcW w:w="3402" w:type="dxa"/>
            <w:tcMar>
              <w:left w:w="85" w:type="dxa"/>
              <w:right w:w="85" w:type="dxa"/>
            </w:tcMar>
          </w:tcPr>
          <w:p w:rsidR="002B489A" w:rsidRDefault="004F19C4">
            <w:pPr>
              <w:pStyle w:val="Tabletext"/>
              <w:framePr w:hSpace="181" w:wrap="notBeside" w:vAnchor="text" w:hAnchor="text" w:xAlign="center" w:y="1"/>
              <w:jc w:val="left"/>
              <w:rPr>
                <w:rFonts w:eastAsia="Arial Unicode MS"/>
              </w:rPr>
            </w:pPr>
            <w:r>
              <w:t>Niveau de brouillage cocanal (dBW)</w:t>
            </w:r>
          </w:p>
        </w:tc>
        <w:tc>
          <w:tcPr>
            <w:tcW w:w="964"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–138,2</w:t>
            </w:r>
          </w:p>
        </w:tc>
        <w:tc>
          <w:tcPr>
            <w:tcW w:w="964"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–188,1</w:t>
            </w:r>
          </w:p>
        </w:tc>
        <w:tc>
          <w:tcPr>
            <w:tcW w:w="1304"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–132,9</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–114,5</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–163,5</w:t>
            </w:r>
          </w:p>
        </w:tc>
      </w:tr>
      <w:tr w:rsidR="002B489A">
        <w:trPr>
          <w:trHeight w:val="255"/>
        </w:trPr>
        <w:tc>
          <w:tcPr>
            <w:tcW w:w="3402" w:type="dxa"/>
            <w:tcMar>
              <w:left w:w="85" w:type="dxa"/>
              <w:right w:w="85" w:type="dxa"/>
            </w:tcMar>
          </w:tcPr>
          <w:p w:rsidR="002B489A" w:rsidRDefault="004F19C4">
            <w:pPr>
              <w:pStyle w:val="Tabletext"/>
              <w:framePr w:hSpace="181" w:wrap="notBeside" w:vAnchor="text" w:hAnchor="text" w:xAlign="center" w:y="1"/>
              <w:jc w:val="left"/>
              <w:rPr>
                <w:rFonts w:eastAsia="Arial Unicode MS"/>
              </w:rPr>
            </w:pPr>
            <w:r>
              <w:t>Critère de brouillage SETS (dBW)</w:t>
            </w:r>
          </w:p>
        </w:tc>
        <w:tc>
          <w:tcPr>
            <w:tcW w:w="964"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–163</w:t>
            </w:r>
          </w:p>
        </w:tc>
        <w:tc>
          <w:tcPr>
            <w:tcW w:w="964"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–163</w:t>
            </w:r>
          </w:p>
        </w:tc>
        <w:tc>
          <w:tcPr>
            <w:tcW w:w="1304"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–163</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–163</w:t>
            </w:r>
          </w:p>
        </w:tc>
        <w:tc>
          <w:tcPr>
            <w:tcW w:w="1021" w:type="dxa"/>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–163</w:t>
            </w:r>
          </w:p>
        </w:tc>
      </w:tr>
      <w:tr w:rsidR="002B489A">
        <w:trPr>
          <w:trHeight w:val="495"/>
        </w:trPr>
        <w:tc>
          <w:tcPr>
            <w:tcW w:w="3402" w:type="dxa"/>
            <w:tcBorders>
              <w:bottom w:val="single" w:sz="4" w:space="0" w:color="auto"/>
            </w:tcBorders>
            <w:tcMar>
              <w:left w:w="85" w:type="dxa"/>
              <w:right w:w="85" w:type="dxa"/>
            </w:tcMar>
          </w:tcPr>
          <w:p w:rsidR="002B489A" w:rsidRDefault="004F19C4">
            <w:pPr>
              <w:pStyle w:val="Tabletext"/>
              <w:framePr w:hSpace="181" w:wrap="notBeside" w:vAnchor="text" w:hAnchor="text" w:xAlign="center" w:y="1"/>
              <w:jc w:val="left"/>
              <w:rPr>
                <w:rFonts w:eastAsia="Arial Unicode MS"/>
              </w:rPr>
            </w:pPr>
            <w:r>
              <w:t>Différence entre niveau de brouillage et critère SETS (dB)</w:t>
            </w:r>
          </w:p>
        </w:tc>
        <w:tc>
          <w:tcPr>
            <w:tcW w:w="964" w:type="dxa"/>
            <w:tcBorders>
              <w:bottom w:val="single" w:sz="4" w:space="0" w:color="auto"/>
            </w:tcBorders>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–24,8</w:t>
            </w:r>
          </w:p>
        </w:tc>
        <w:tc>
          <w:tcPr>
            <w:tcW w:w="964" w:type="dxa"/>
            <w:tcBorders>
              <w:bottom w:val="single" w:sz="4" w:space="0" w:color="auto"/>
            </w:tcBorders>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25,1</w:t>
            </w:r>
          </w:p>
        </w:tc>
        <w:tc>
          <w:tcPr>
            <w:tcW w:w="1304" w:type="dxa"/>
            <w:tcBorders>
              <w:bottom w:val="single" w:sz="4" w:space="0" w:color="auto"/>
            </w:tcBorders>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–30,1</w:t>
            </w:r>
          </w:p>
        </w:tc>
        <w:tc>
          <w:tcPr>
            <w:tcW w:w="1021" w:type="dxa"/>
            <w:tcBorders>
              <w:bottom w:val="single" w:sz="4" w:space="0" w:color="auto"/>
            </w:tcBorders>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–48,5</w:t>
            </w:r>
          </w:p>
        </w:tc>
        <w:tc>
          <w:tcPr>
            <w:tcW w:w="1021" w:type="dxa"/>
            <w:tcBorders>
              <w:bottom w:val="single" w:sz="4" w:space="0" w:color="auto"/>
            </w:tcBorders>
            <w:tcMar>
              <w:left w:w="85" w:type="dxa"/>
              <w:right w:w="85" w:type="dxa"/>
            </w:tcMar>
            <w:vAlign w:val="center"/>
          </w:tcPr>
          <w:p w:rsidR="002B489A" w:rsidRDefault="004F19C4">
            <w:pPr>
              <w:pStyle w:val="Tabletext"/>
              <w:framePr w:hSpace="181" w:wrap="notBeside" w:vAnchor="text" w:hAnchor="text" w:xAlign="center" w:y="1"/>
              <w:jc w:val="center"/>
              <w:rPr>
                <w:rFonts w:eastAsia="Arial Unicode MS"/>
              </w:rPr>
            </w:pPr>
            <w:r>
              <w:t>0,5</w:t>
            </w:r>
          </w:p>
        </w:tc>
      </w:tr>
      <w:tr w:rsidR="002B489A">
        <w:trPr>
          <w:cantSplit/>
          <w:trHeight w:val="495"/>
        </w:trPr>
        <w:tc>
          <w:tcPr>
            <w:tcW w:w="8676" w:type="dxa"/>
            <w:gridSpan w:val="6"/>
            <w:tcBorders>
              <w:left w:val="nil"/>
              <w:bottom w:val="nil"/>
              <w:right w:val="nil"/>
            </w:tcBorders>
            <w:tcMar>
              <w:left w:w="85" w:type="dxa"/>
              <w:right w:w="85" w:type="dxa"/>
            </w:tcMar>
          </w:tcPr>
          <w:p w:rsidR="002B489A" w:rsidRDefault="004F19C4">
            <w:pPr>
              <w:pStyle w:val="Tablelegend"/>
              <w:framePr w:hSpace="181" w:wrap="notBeside" w:vAnchor="text" w:hAnchor="text" w:xAlign="center" w:y="1"/>
            </w:pPr>
            <w:r>
              <w:rPr>
                <w:vertAlign w:val="superscript"/>
              </w:rPr>
              <w:t>(1)</w:t>
            </w:r>
            <w:r>
              <w:tab/>
              <w:t>Dans ce cas, le satellite non OSG du SFS est au-dessous du satellite SETS.</w:t>
            </w:r>
          </w:p>
        </w:tc>
      </w:tr>
    </w:tbl>
    <w:p w:rsidR="002B489A" w:rsidRDefault="002B489A">
      <w:pPr>
        <w:pStyle w:val="Tablefin"/>
      </w:pPr>
    </w:p>
    <w:p w:rsidR="002B489A" w:rsidRDefault="004F19C4">
      <w:pPr>
        <w:pStyle w:val="Heading3"/>
      </w:pPr>
      <w:r>
        <w:t>4.2.2</w:t>
      </w:r>
      <w:r>
        <w:tab/>
        <w:t>Brouillage par diffusion vers l'arrière</w:t>
      </w:r>
    </w:p>
    <w:p w:rsidR="002B489A" w:rsidRDefault="004F19C4">
      <w:r>
        <w:t xml:space="preserve">Une autre forme de puissance brouilleuse sur le service passif à prendre en compte est le cas où les émissions hors bande du SFS sont diffusées de la surface de la Terre vers le haut en direction d'un détecteur SETS proche. Pour les fréquences autour de 20 GHz, l'énergie diffusée a une composante spéculaire significative. Et donc, le maximum de brouillage va se produire lorsque: </w:t>
      </w:r>
    </w:p>
    <w:p w:rsidR="002B489A" w:rsidRDefault="004F19C4">
      <w:pPr>
        <w:pStyle w:val="enumlev1"/>
      </w:pPr>
      <w:r>
        <w:t>–</w:t>
      </w:r>
      <w:r>
        <w:tab/>
        <w:t xml:space="preserve">le détecteur est en vue d'une zone de couverture du SFS; </w:t>
      </w:r>
    </w:p>
    <w:p w:rsidR="002B489A" w:rsidRDefault="004F19C4">
      <w:pPr>
        <w:pStyle w:val="enumlev1"/>
      </w:pPr>
      <w:r>
        <w:t>–</w:t>
      </w:r>
      <w:r>
        <w:tab/>
        <w:t xml:space="preserve">le satellite SFS, le détecteur, le centre de la Terre, et l'intersection des faisceaux du SFS et du détecteur se trouvent tous dans le même plan; </w:t>
      </w:r>
    </w:p>
    <w:p w:rsidR="002B489A" w:rsidRDefault="004F19C4">
      <w:pPr>
        <w:pStyle w:val="enumlev1"/>
      </w:pPr>
      <w:r>
        <w:t>–</w:t>
      </w:r>
      <w:r>
        <w:tab/>
        <w:t xml:space="preserve">l'intersection des faisceaux du satellite SFS et du détecteur se trouve entre les nadirs du satellite SFS et du détecteur; et </w:t>
      </w:r>
    </w:p>
    <w:p w:rsidR="002B489A" w:rsidRDefault="004F19C4">
      <w:pPr>
        <w:pStyle w:val="enumlev1"/>
      </w:pPr>
      <w:r>
        <w:t>–</w:t>
      </w:r>
      <w:r>
        <w:tab/>
        <w:t>l'axe du faisceau du satellite SFS et l'axe du faisceau du détecteur coupent la Terre avec le même angle.</w:t>
      </w:r>
    </w:p>
    <w:p w:rsidR="002B489A" w:rsidRDefault="004F19C4">
      <w:r>
        <w:t>Bien que des modèles aient été construits pour évaluer les niveaux potentiels de rayonnements non désirés du SFS sur les récepteurs SETS dus à ce mode de propagation par diffusion vers l'arrière, la précision de tels modèles demande un examen complémentaire. (Voir l'Appendice technique à l'Annexe 1.)</w:t>
      </w:r>
    </w:p>
    <w:p w:rsidR="002B489A" w:rsidRDefault="004F19C4">
      <w:pPr>
        <w:pStyle w:val="Heading2"/>
      </w:pPr>
      <w:r>
        <w:br w:type="page"/>
        <w:t>4.3</w:t>
      </w:r>
      <w:r>
        <w:tab/>
        <w:t>Valeurs obtenues</w:t>
      </w:r>
    </w:p>
    <w:p w:rsidR="002B489A" w:rsidRDefault="004F19C4">
      <w:r>
        <w:t>La différence entre les critères de protection du SETS contre les brouillages et la puissance brouilleuse cocanal pour les satellites non OSG va de –48,5 dB à l'absence de brouillage. La différence entre les critères de protection du SETS contre les brouillages et la puissance brouilleuse cocanal pour les systèmes OSG est compris entre –1,2 et –16,7 dB.</w:t>
      </w:r>
    </w:p>
    <w:p w:rsidR="002B489A" w:rsidRDefault="004F19C4">
      <w:r>
        <w:t>Les niveaux de rayonnements non désirés tombant dans la largeur de bande SETS peuvent être réduits par l'application des gabarits d'émission hors bande décrits au § 4.1.1 ou en gardant la largeur de bande occupée à l'intérieur de la bande attribuée, comme décrit au § 4.1.2.</w:t>
      </w:r>
    </w:p>
    <w:p w:rsidR="002B489A" w:rsidRDefault="004F19C4">
      <w:pPr>
        <w:pStyle w:val="Heading1"/>
      </w:pPr>
      <w:r>
        <w:t>5</w:t>
      </w:r>
      <w:r>
        <w:tab/>
        <w:t>Techniques de réduction des brouillages</w:t>
      </w:r>
    </w:p>
    <w:p w:rsidR="002B489A" w:rsidRDefault="004F19C4">
      <w:pPr>
        <w:pStyle w:val="Heading2"/>
      </w:pPr>
      <w:r>
        <w:t>5.1</w:t>
      </w:r>
      <w:r>
        <w:tab/>
        <w:t>SETS (passive)</w:t>
      </w:r>
    </w:p>
    <w:p w:rsidR="002B489A" w:rsidRDefault="004F19C4">
      <w:r>
        <w:t>Les services passifs ne provoquent aucun brouillage aux autres services et ne peuvent donc appliquer de techniques de réduction des brouillages, si ce n'est de sacrifier la qualité et la disponibilité des données. Cependant, cette bande est une des quatre qui sont si sensibles et critiques pour les prévisions météorologiques que tout compromis sur la qualité et la fiabilité des données résultant d'émissions hors bande excessives risque de compromettre la sécurité publique lors de conditions météorologiques dangereuses (par exemple, inondations, tempêtes).</w:t>
      </w:r>
    </w:p>
    <w:p w:rsidR="002B489A" w:rsidRDefault="004F19C4">
      <w:pPr>
        <w:pStyle w:val="Heading2"/>
      </w:pPr>
      <w:r>
        <w:t>5.2</w:t>
      </w:r>
      <w:r>
        <w:tab/>
        <w:t>SFS et SMS</w:t>
      </w:r>
    </w:p>
    <w:p w:rsidR="002B489A" w:rsidRDefault="004F19C4">
      <w:pPr>
        <w:pStyle w:val="enumlev1"/>
      </w:pPr>
      <w:r>
        <w:t>–</w:t>
      </w:r>
      <w:r>
        <w:tab/>
        <w:t>Bandes de garde – C'est un décalage du canal le plus proche par rapport au bord de la bande attribuée.</w:t>
      </w:r>
    </w:p>
    <w:p w:rsidR="002B489A" w:rsidRDefault="004F19C4">
      <w:pPr>
        <w:pStyle w:val="enumlev1"/>
      </w:pPr>
      <w:r>
        <w:t>–</w:t>
      </w:r>
      <w:r>
        <w:tab/>
        <w:t>Réduire les émissions spectrales en utilisant des techniques de modulation et un filtrage plus efficaces. Noter sur la Fig. 26 que la forme d'onde de l'impulsion à cosinus surélevé présente un risque de brouillage bien moins élevé que l'impulsion rectangulaire ou le gabarit spectral.</w:t>
      </w:r>
    </w:p>
    <w:p w:rsidR="002B489A" w:rsidRDefault="004F19C4">
      <w:pPr>
        <w:pStyle w:val="enumlev1"/>
      </w:pPr>
      <w:r>
        <w:t>–</w:t>
      </w:r>
      <w:r>
        <w:tab/>
        <w:t>Réviser le gabarit recommandé pour mieux se conformer au spectre réel et donner au service passif une limite garantissant l'absence de brouillage.</w:t>
      </w:r>
    </w:p>
    <w:p w:rsidR="002B489A" w:rsidRDefault="004F19C4">
      <w:pPr>
        <w:pStyle w:val="Heading2"/>
      </w:pPr>
      <w:r>
        <w:t>5.3</w:t>
      </w:r>
      <w:r>
        <w:tab/>
        <w:t>Impact potentiel</w:t>
      </w:r>
    </w:p>
    <w:p w:rsidR="002B489A" w:rsidRDefault="004F19C4">
      <w:pPr>
        <w:pStyle w:val="Heading3"/>
      </w:pPr>
      <w:r>
        <w:t>5.3.1</w:t>
      </w:r>
      <w:r>
        <w:tab/>
        <w:t>SETS (passive)</w:t>
      </w:r>
    </w:p>
    <w:p w:rsidR="002B489A" w:rsidRDefault="004F19C4">
      <w:r>
        <w:t>La perte de ces données due à un excès d'émissions hors bande pourrait être considérée comme irrévocable et permanente dans la mesure où la contamination RF ne s'améliore presque jamais et empire toujours. Ces données sont si critiques pour les prévisions météorologiques et climatiques qu'elles ne peuvent être compromises sans impact sur la sécurité publique.</w:t>
      </w:r>
    </w:p>
    <w:p w:rsidR="002B489A" w:rsidRDefault="004F19C4">
      <w:pPr>
        <w:pStyle w:val="Heading3"/>
      </w:pPr>
      <w:r>
        <w:t>5.3.2</w:t>
      </w:r>
      <w:r>
        <w:tab/>
        <w:t>SFS et SMS</w:t>
      </w:r>
    </w:p>
    <w:p w:rsidR="002B489A" w:rsidRDefault="004F19C4">
      <w:r>
        <w:t>Les techniques de réduction des brouillages pour les systèmes qui sont utilisés actuellement peuvent ne pas toujours être pratiques. L'amélioration de l'efficacité du spectre ou l'utilisation de bandes de garde peut être coûteuse du point de vue du matériel ou de la capacité des canaux, mais peut aussi avoir pour effet d'améliorer l'efficacité et la capacité des canaux. Le dernier impact sera vraisemblablement financier avec les coûts supplémentaires d'exploitation et une réduction des services aux utilisateurs.</w:t>
      </w:r>
    </w:p>
    <w:p w:rsidR="002B489A" w:rsidRDefault="004F19C4">
      <w:pPr>
        <w:pStyle w:val="Heading1"/>
      </w:pPr>
      <w:r>
        <w:br w:type="page"/>
        <w:t>6</w:t>
      </w:r>
      <w:r>
        <w:tab/>
        <w:t>Résultats des études</w:t>
      </w:r>
    </w:p>
    <w:p w:rsidR="002B489A" w:rsidRDefault="004F19C4">
      <w:pPr>
        <w:pStyle w:val="Heading2"/>
      </w:pPr>
      <w:r>
        <w:t>6.1</w:t>
      </w:r>
      <w:r>
        <w:tab/>
        <w:t>Résumé</w:t>
      </w:r>
    </w:p>
    <w:p w:rsidR="002B489A" w:rsidRDefault="004F19C4">
      <w:r>
        <w:t>La présente étude portait sur la compatibilité entre le SETS (passive) dans la bande 21,2</w:t>
      </w:r>
      <w:r>
        <w:noBreakHyphen/>
        <w:t>21,4 GHz et les SMS et SFS (espace vers Terre) dans la bande 20,2</w:t>
      </w:r>
      <w:r>
        <w:noBreakHyphen/>
        <w:t>21,2 GHz. Les caractéristiques des systèmes mobiles et fixes dans la bande 21,2</w:t>
      </w:r>
      <w:r>
        <w:noBreakHyphen/>
        <w:t>22 GHz ne sont pas disponibles. Des études complémentaires sont nécessaires.</w:t>
      </w:r>
    </w:p>
    <w:p w:rsidR="002B489A" w:rsidRDefault="004F19C4">
      <w:pPr>
        <w:pStyle w:val="Heading2"/>
      </w:pPr>
      <w:r>
        <w:t>6.2</w:t>
      </w:r>
      <w:r>
        <w:tab/>
        <w:t>Conclusions</w:t>
      </w:r>
    </w:p>
    <w:p w:rsidR="002B489A" w:rsidRDefault="004F19C4">
      <w:r>
        <w:t>Sur la base de cette analyse de compatibilité, en supposant qu'un gabarit approprié d'émissions hors bande soit appliqué ou que la largeur de bande occupée du SFS soit contenue entièrement dans la bande attribuée au SFS, il apparaît que la compatibilité peut être réalisée dans tous les cas sauf deux qui impliquent des satellites SFS non OSG. Une analyse dynamique de ces deux cas, pour déterminer la disponibilité du SETS, peut résoudre la question de la compatibilité dans ces deux cas.</w:t>
      </w:r>
    </w:p>
    <w:p w:rsidR="002B489A" w:rsidRDefault="002B489A"/>
    <w:p w:rsidR="002B489A" w:rsidRDefault="002B489A"/>
    <w:p w:rsidR="002B489A" w:rsidRDefault="004F19C4">
      <w:pPr>
        <w:pStyle w:val="AnnexNoTitle"/>
      </w:pPr>
      <w:r>
        <w:t>Annexe 12</w:t>
      </w:r>
      <w:r>
        <w:br/>
      </w:r>
      <w:r>
        <w:br/>
        <w:t xml:space="preserve">Analyse de compatibilité entre systèmes du SRA fonctionnant dans </w:t>
      </w:r>
      <w:r>
        <w:br/>
        <w:t>la bande 22,21</w:t>
      </w:r>
      <w:r>
        <w:noBreakHyphen/>
        <w:t xml:space="preserve">22,5 GHz et systèmes du SRS (espace vers Terre) </w:t>
      </w:r>
      <w:r>
        <w:br/>
        <w:t>fonctionnant dans la bande 21,4</w:t>
      </w:r>
      <w:r>
        <w:noBreakHyphen/>
        <w:t>22 GHz</w:t>
      </w:r>
    </w:p>
    <w:p w:rsidR="002B489A" w:rsidRDefault="004F19C4">
      <w:pPr>
        <w:pStyle w:val="Heading1"/>
      </w:pPr>
      <w:r>
        <w:t>1</w:t>
      </w:r>
      <w:r>
        <w:tab/>
        <w:t>Radioastronomie</w:t>
      </w:r>
    </w:p>
    <w:p w:rsidR="002B489A" w:rsidRDefault="004F19C4">
      <w:pPr>
        <w:pStyle w:val="Heading2"/>
      </w:pPr>
      <w:r>
        <w:t>1.1</w:t>
      </w:r>
      <w:r>
        <w:tab/>
        <w:t>Bande attribuée</w:t>
      </w:r>
    </w:p>
    <w:p w:rsidR="002B489A" w:rsidRDefault="004F19C4">
      <w:r>
        <w:t>La bande 22,21</w:t>
      </w:r>
      <w:r>
        <w:noBreakHyphen/>
        <w:t>22,5 GHz est attribuée à titre primaire au SRA.</w:t>
      </w:r>
    </w:p>
    <w:p w:rsidR="002B489A" w:rsidRDefault="004F19C4">
      <w:r>
        <w:t xml:space="preserve">Le </w:t>
      </w:r>
      <w:r>
        <w:rPr>
          <w:bCs/>
        </w:rPr>
        <w:t xml:space="preserve">numéro 5.149 du RR </w:t>
      </w:r>
      <w:r>
        <w:t>dispose que, dans cette bande, «En assignant des fréquences aux stations des autres services..., les administrations sont instamment priées de prendre toutes les mesures pratiquement réalisables pour protéger le service de radioastronomie contre les brouillages préjudiciables».</w:t>
      </w:r>
    </w:p>
    <w:p w:rsidR="002B489A" w:rsidRDefault="004F19C4">
      <w:pPr>
        <w:pStyle w:val="Heading2"/>
      </w:pPr>
      <w:r>
        <w:t>1.2</w:t>
      </w:r>
      <w:r>
        <w:tab/>
        <w:t>Type d'observations</w:t>
      </w:r>
    </w:p>
    <w:p w:rsidR="002B489A" w:rsidRDefault="004F19C4">
      <w:r>
        <w:t>La bande de fréquences est utilisée par le SRA à la fois pour des observations du continuum et pour des observations des raies spectroscopiques de la molécule d'eau, dont la bande spectroscopique dans cette gamme de fréquences est une des plus importantes pour la radioastronomie (voir la Recommandation UIT-R RA.314, le Tableau 31, et la Liste de raies spectrales importantes de l'Union astronomique internationale).</w:t>
      </w:r>
    </w:p>
    <w:p w:rsidR="002B489A" w:rsidRDefault="004F19C4">
      <w:r>
        <w:t>Les transitions de la molécule d'eau dans cette bande sont observées à l'aide de techniques aussi bien à antenne unique que VLBI.</w:t>
      </w:r>
    </w:p>
    <w:p w:rsidR="002B489A" w:rsidRDefault="004F19C4">
      <w:pPr>
        <w:pStyle w:val="Heading2"/>
      </w:pPr>
      <w:r>
        <w:br w:type="page"/>
        <w:t>1.3</w:t>
      </w:r>
      <w:r>
        <w:tab/>
        <w:t>Critères de protection requis</w:t>
      </w:r>
    </w:p>
    <w:p w:rsidR="002B489A" w:rsidRDefault="004F19C4">
      <w:r>
        <w:t xml:space="preserve">La Recommandation UIT-R </w:t>
      </w:r>
      <w:r>
        <w:rPr>
          <w:bCs/>
        </w:rPr>
        <w:t xml:space="preserve">RA.769 </w:t>
      </w:r>
      <w:r>
        <w:t>spécifie les critères de protection pour les observations radioastronomiques et donne des niveaux de seuil de brouillage nuisible pour les bandes attribuées à titre primaire à la radioastronomie.</w:t>
      </w:r>
    </w:p>
    <w:p w:rsidR="002B489A" w:rsidRDefault="004F19C4">
      <w:pPr>
        <w:rPr>
          <w:spacing w:val="-2"/>
          <w:position w:val="2"/>
          <w:lang w:eastAsia="ja-JP"/>
        </w:rPr>
      </w:pPr>
      <w:r>
        <w:rPr>
          <w:spacing w:val="-2"/>
        </w:rPr>
        <w:t>Pour la bande 22,21</w:t>
      </w:r>
      <w:r>
        <w:rPr>
          <w:spacing w:val="-2"/>
        </w:rPr>
        <w:noBreakHyphen/>
        <w:t xml:space="preserve">22,5 GHz, la limite du seuil de puissance surfacique donnée dans la </w:t>
      </w:r>
      <w:r>
        <w:t>Recommandation UIT-R</w:t>
      </w:r>
      <w:r>
        <w:rPr>
          <w:bCs/>
        </w:rPr>
        <w:t xml:space="preserve"> RA.769 </w:t>
      </w:r>
      <w:r>
        <w:t xml:space="preserve">pour </w:t>
      </w:r>
      <w:r>
        <w:rPr>
          <w:spacing w:val="-2"/>
        </w:rPr>
        <w:t>les observations</w:t>
      </w:r>
      <w:r>
        <w:t xml:space="preserve"> de raies à antenne unique en utilisant une </w:t>
      </w:r>
      <w:r>
        <w:rPr>
          <w:position w:val="2"/>
        </w:rPr>
        <w:t xml:space="preserve">largeur de bande de canal (un des canaux du spectromètre) de 250 kHz est de </w:t>
      </w:r>
      <w:r>
        <w:rPr>
          <w:position w:val="2"/>
        </w:rPr>
        <w:sym w:font="Symbol" w:char="F02D"/>
      </w:r>
      <w:r>
        <w:rPr>
          <w:position w:val="2"/>
        </w:rPr>
        <w:t>162 dB(W/m</w:t>
      </w:r>
      <w:r>
        <w:rPr>
          <w:position w:val="2"/>
          <w:vertAlign w:val="superscript"/>
        </w:rPr>
        <w:t>2</w:t>
      </w:r>
      <w:r>
        <w:rPr>
          <w:rFonts w:ascii="Times" w:hAnsi="Times"/>
          <w:spacing w:val="-2"/>
          <w:position w:val="2"/>
        </w:rPr>
        <w:t>)</w:t>
      </w:r>
      <w:r>
        <w:rPr>
          <w:position w:val="2"/>
        </w:rPr>
        <w:t>. Une limite de seuil de puissance surfacique de –146 dB(W/m</w:t>
      </w:r>
      <w:r>
        <w:rPr>
          <w:position w:val="2"/>
          <w:vertAlign w:val="superscript"/>
        </w:rPr>
        <w:t>2</w:t>
      </w:r>
      <w:r>
        <w:rPr>
          <w:rFonts w:ascii="Times" w:hAnsi="Times"/>
          <w:spacing w:val="-2"/>
          <w:position w:val="2"/>
        </w:rPr>
        <w:t>)</w:t>
      </w:r>
      <w:r>
        <w:rPr>
          <w:position w:val="2"/>
        </w:rPr>
        <w:t xml:space="preserve"> est définie pour les</w:t>
      </w:r>
      <w:r>
        <w:rPr>
          <w:spacing w:val="-2"/>
          <w:position w:val="2"/>
        </w:rPr>
        <w:t xml:space="preserve"> observations du continuum à antenne unique dans cette bande, faites en utilisant la totalité de la largeur de bande de 290 MHz</w:t>
      </w:r>
      <w:r>
        <w:rPr>
          <w:rFonts w:hint="eastAsia"/>
          <w:spacing w:val="-2"/>
          <w:position w:val="2"/>
          <w:lang w:eastAsia="ja-JP"/>
        </w:rPr>
        <w:t>.</w:t>
      </w:r>
    </w:p>
    <w:p w:rsidR="002B489A" w:rsidRDefault="004F19C4">
      <w:pPr>
        <w:rPr>
          <w:spacing w:val="-2"/>
          <w:lang w:eastAsia="ja-JP"/>
        </w:rPr>
      </w:pPr>
      <w:r>
        <w:t xml:space="preserve">Les observations VLBI, où les signaux d'antennes largement séparées sont enregistrés et corrélés après les observations, sont beaucoup moins vulnérables aux brouillages. Ceci se reflète dans le niveau de seuil de puissance surfacique pour les observations VLBI dans cette bande, </w:t>
      </w:r>
      <w:r>
        <w:rPr>
          <w:rFonts w:ascii="Symbol" w:hAnsi="Symbol"/>
        </w:rPr>
        <w:noBreakHyphen/>
      </w:r>
      <w:r>
        <w:t>128 </w:t>
      </w:r>
      <w:r>
        <w:rPr>
          <w:snapToGrid w:val="0"/>
        </w:rPr>
        <w:t>dB(W/m</w:t>
      </w:r>
      <w:r>
        <w:rPr>
          <w:rFonts w:ascii="Times" w:hAnsi="Times"/>
          <w:spacing w:val="-2"/>
          <w:vertAlign w:val="superscript"/>
        </w:rPr>
        <w:t>2</w:t>
      </w:r>
      <w:r>
        <w:rPr>
          <w:rFonts w:ascii="Times" w:hAnsi="Times"/>
          <w:spacing w:val="-2"/>
        </w:rPr>
        <w:t>), pour une largeur de bande de 250 kHz.</w:t>
      </w:r>
    </w:p>
    <w:p w:rsidR="002B489A" w:rsidRDefault="004F19C4">
      <w:r>
        <w:t>Pour les brouillages gênants provenant de systèmes non OSG, les critères de protection et les méthodes pertinentes sont décrits dans les Recommandations UIT-R RA.769 et UIT-R RA.1513, ainsi que dans la Recommandation UIT-R S.1586 pour les systèmes SFS et dans la Recommandation UIT-R M.1583 pour les systèmes SMS et SRNS.</w:t>
      </w:r>
    </w:p>
    <w:p w:rsidR="002B489A" w:rsidRDefault="004F19C4">
      <w:r>
        <w:t xml:space="preserve">Les seuils des niveaux de brouillage nuisible pour le SRA, tels que définis et calculés dans la Recommandation UIT-R </w:t>
      </w:r>
      <w:r>
        <w:rPr>
          <w:bCs/>
        </w:rPr>
        <w:t>RA.769</w:t>
      </w:r>
      <w:r>
        <w:rPr>
          <w:b/>
        </w:rPr>
        <w:t>,</w:t>
      </w:r>
      <w:r>
        <w:t xml:space="preserve"> sont des critères de protection au-dessus desquels les données de radioastronomie sont dégradées et peuvent même finalement être détruites. En principe, dans des circonstances idéales, si ces niveaux sont très légèrement dépassés, l'observatoire de radioastronomie peut compenser en accroissant le temps d'observation. Ce faisant, la capacité de canal du télescope est réduite, avec une réduction correspondante du débit des données scientifiques. Si le niveau de brouillage, avec les hypothèses de la Recommandation UIT-R </w:t>
      </w:r>
      <w:r>
        <w:rPr>
          <w:bCs/>
        </w:rPr>
        <w:t>RA.769</w:t>
      </w:r>
      <w:r>
        <w:t xml:space="preserve"> (par exemple, les performances d'antenne, etc.), passe à 10 dB ou plus au-dessus de la définition de la Recommandation UIT-R </w:t>
      </w:r>
      <w:r>
        <w:rPr>
          <w:bCs/>
        </w:rPr>
        <w:t>RA.769</w:t>
      </w:r>
      <w:r>
        <w:t>, l'augmentation du temps d'observation ne permettra alors plus de garantir que des données scientifiques valables sont fournies aux scientifiques. La station de radioastronomie sera incapable de fonctionner dans la bande de fréquences affectée, et sa capacité à fournir le service aura été perdue si des techniques de réduction des brouillages ne peuvent être appliquées.</w:t>
      </w:r>
    </w:p>
    <w:p w:rsidR="002B489A" w:rsidRDefault="004F19C4">
      <w:pPr>
        <w:pStyle w:val="Heading2"/>
      </w:pPr>
      <w:r>
        <w:t>1.4</w:t>
      </w:r>
      <w:r>
        <w:tab/>
        <w:t>Caractéristiques de fonctionnement</w:t>
      </w:r>
    </w:p>
    <w:p w:rsidR="002B489A" w:rsidRDefault="004F19C4">
      <w:pPr>
        <w:rPr>
          <w:snapToGrid w:val="0"/>
        </w:rPr>
      </w:pPr>
      <w:r>
        <w:rPr>
          <w:snapToGrid w:val="0"/>
        </w:rPr>
        <w:t>Les observations dans la bande 22,21</w:t>
      </w:r>
      <w:r>
        <w:rPr>
          <w:snapToGrid w:val="0"/>
        </w:rPr>
        <w:noBreakHyphen/>
        <w:t xml:space="preserve">22,5 GHz sont effectuées sur un grand nombre de sites de radioastronomie dans de nombreux pays, dans le monde entier. Elles peuvent être des expériences sur des émissions du continuum, sur des raies spectrales, ou </w:t>
      </w:r>
      <w:r>
        <w:t>VLBI</w:t>
      </w:r>
      <w:r>
        <w:rPr>
          <w:snapToGrid w:val="0"/>
        </w:rPr>
        <w:t xml:space="preserve">. Les observations dans cette bande sont parfois effectuées sur des cibles occasionnelles, par exemple sur des objets tels que des comètes. Les observations </w:t>
      </w:r>
      <w:r>
        <w:t>VLBI</w:t>
      </w:r>
      <w:r>
        <w:rPr>
          <w:snapToGrid w:val="0"/>
        </w:rPr>
        <w:t xml:space="preserve"> de raies spectrales sont aussi fréquemment effectuées dans cette bande.</w:t>
      </w:r>
    </w:p>
    <w:p w:rsidR="002B489A" w:rsidRDefault="004F19C4">
      <w:r>
        <w:t>Les observations de raies spectrales sont faites en utilisant des spectromètres multicanaux qui peuvent intégrer simultanément la puissance de nombreux (typiquement de 256 à 4 096) canaux de fréquences distribués sur la bande. Le nombre de canaux et leurs largeurs de bande individuelles sont choisis pour échantillonner de façon adéquate le spectre du rayonnement net du ou des nuages d'hydrogène sur le faisceau de l'antenne.</w:t>
      </w:r>
    </w:p>
    <w:p w:rsidR="002B489A" w:rsidRDefault="004F19C4">
      <w:r>
        <w:br w:type="page"/>
        <w:t>En général, les observations sont faites de façon différentielle. Dans le cas d'émissions du continuum, la zone du ciel contenant la source peut être cartographiée et le rayonnement de fond peut être soustrait, ou on peut faire des mesures de la puissance venant de la direction de la source (à la source) et à une ou plusieurs des positions voisines dans le ciel (hors source). En soustrayant les valeurs hors source des valeurs à la source, les rayonnements ayant leur origine à la source sont séparés des autres contributions à la sortie du récepteur.</w:t>
      </w:r>
    </w:p>
    <w:p w:rsidR="002B489A" w:rsidRDefault="004F19C4">
      <w:r>
        <w:t>Dans le cas d'observations de raies spectrales, les spectres sont enregistrés sur les gammes de fréquences y compris les rayonnements de raies présentant un intérêt (les spectres de raies), et donc à une fréquence qui est la reproduction des rayonnements des raies, ou à la même fréquence mais à une position voisine dans le ciel (le spectre de référence). En soustrayant le spectre de référence du spectre de raie, les contributions de bruit brouilleuses et les autres produits polluant peuvent être retirés des données.</w:t>
      </w:r>
    </w:p>
    <w:p w:rsidR="002B489A" w:rsidRDefault="004F19C4">
      <w:r>
        <w:t>On peut cartographier les zones d'émissions radioélectriques en enregistrant ces émissions à partir d'une grille de points couvrant la région concernée. On peut faire aussi bien des observations du continuum que des observations de raies spectrales. Dans le cas de radiotélescopes à antenne unique, chaque observation de point de grille est une indication de la puissance totale (en cas d'observation du continuum) ou du spectre d'émission (en cas d'observation de raies spectrales) venant de cette position du ciel; l'espacement entre les points de la grille ne devrait pas être supérieur à l'ouverture à mi-puissance du faisceau de l'antenne. Lorsque des observations sont effectuées à l'aide d'un radiotélescope de synthèse, si la zone à cartographier dépasse le champ de cartographie instantanée, les points du quadrillage ne devraient pas être séparés de plus de la moitié de l'ouverture de faisceau de l'une des antennes du radiotélescope.</w:t>
      </w:r>
    </w:p>
    <w:p w:rsidR="002B489A" w:rsidRDefault="004F19C4">
      <w:r>
        <w:t>Les observations VLBI se font par conversion des signaux en bande de base; on les numérise sans démodulation, et on les enregistre sur une bande magnétique ou un autre support avec des signaux de synchronisation temporelle précis. Les données sont alors transmises à un centre de traitement des données VLBI où les signaux sont synchronisés et corrélés. Par conséquent, le plein effet des brouillages peut n'être pas découvert avant la fin de la période d'observation et le traitement des données.</w:t>
      </w:r>
    </w:p>
    <w:p w:rsidR="002B489A" w:rsidRDefault="004F19C4">
      <w:pPr>
        <w:pStyle w:val="Heading1"/>
      </w:pPr>
      <w:r>
        <w:t>2</w:t>
      </w:r>
      <w:r>
        <w:tab/>
        <w:t>SRS</w:t>
      </w:r>
    </w:p>
    <w:p w:rsidR="002B489A" w:rsidRDefault="004F19C4">
      <w:pPr>
        <w:pStyle w:val="Heading2"/>
      </w:pPr>
      <w:r>
        <w:t>2.1</w:t>
      </w:r>
      <w:r>
        <w:tab/>
        <w:t>Bande d'émission attribuée</w:t>
      </w:r>
    </w:p>
    <w:p w:rsidR="002B489A" w:rsidRDefault="004F19C4">
      <w:r>
        <w:t>La bande de fréquences de l'attribution de service actif est 21,4</w:t>
      </w:r>
      <w:r>
        <w:noBreakHyphen/>
        <w:t>22 GHz.</w:t>
      </w:r>
    </w:p>
    <w:p w:rsidR="002B489A" w:rsidRDefault="004F19C4">
      <w:pPr>
        <w:pStyle w:val="Heading2"/>
      </w:pPr>
      <w:r>
        <w:t>2.2</w:t>
      </w:r>
      <w:r>
        <w:tab/>
        <w:t>Service</w:t>
      </w:r>
    </w:p>
    <w:p w:rsidR="002B489A" w:rsidRDefault="004F19C4">
      <w:r>
        <w:t>La CAMR-92 a réattribué la bande 21,4</w:t>
      </w:r>
      <w:r>
        <w:noBreakHyphen/>
        <w:t>22,0 GHz dans les Régions 1 et 3 au SRS (télévision numérique à haute définition (TVHD)) avec mise en œuvre après le 1er avril 2007. Cette bande a été identifiée pour le développement d'un futur plan d'allotissement.</w:t>
      </w:r>
    </w:p>
    <w:p w:rsidR="002B489A" w:rsidRDefault="004F19C4">
      <w:pPr>
        <w:pStyle w:val="Heading2"/>
      </w:pPr>
      <w:r>
        <w:t>2.3</w:t>
      </w:r>
      <w:r>
        <w:tab/>
        <w:t>Niveaux fondés sur des dispositions réglementaires</w:t>
      </w:r>
    </w:p>
    <w:p w:rsidR="002B489A" w:rsidRDefault="004F19C4">
      <w:r>
        <w:t xml:space="preserve">Annexe à la Résolution </w:t>
      </w:r>
      <w:r>
        <w:rPr>
          <w:bCs/>
        </w:rPr>
        <w:t xml:space="preserve">525 (CAMR-92), </w:t>
      </w:r>
      <w:r>
        <w:t>Section III – Procédure intérimaire relative aux systèmes opérationnels du SRS (TVHD) mis en oeuvre avant le 1er avril 2007.</w:t>
      </w:r>
    </w:p>
    <w:p w:rsidR="002B489A" w:rsidRDefault="004F19C4">
      <w:r>
        <w:br w:type="page"/>
        <w:t>La mise en oeuvre de systèmes opérationnels du SRS (TVHD) dans la bande 21,4</w:t>
      </w:r>
      <w:r>
        <w:noBreakHyphen/>
        <w:t>22,0 GHz dans les Régions 1 et 3 avant le 1er avril 2007 sera assujettie à la procédure de la Résolution 33 (CAMR</w:t>
      </w:r>
      <w:r>
        <w:noBreakHyphen/>
        <w:t>79) si la densité de puissance surfacique produite à la surface de la Terre par les émissions d'une station spatiale sur le territoire de tout autre pays est supérieure à:</w:t>
      </w:r>
    </w:p>
    <w:p w:rsidR="002B489A" w:rsidRDefault="004F19C4">
      <w:pPr>
        <w:pStyle w:val="enumlev1"/>
      </w:pPr>
      <w:r>
        <w:t>–</w:t>
      </w:r>
      <w:r>
        <w:tab/>
      </w:r>
      <w:r>
        <w:sym w:font="Symbol" w:char="F02D"/>
      </w:r>
      <w:r>
        <w:t>115 dB(W/m</w:t>
      </w:r>
      <w:r>
        <w:rPr>
          <w:vertAlign w:val="superscript"/>
        </w:rPr>
        <w:t>2</w:t>
      </w:r>
      <w:r>
        <w:rPr>
          <w:rFonts w:ascii="Times" w:hAnsi="Times"/>
          <w:spacing w:val="-2"/>
        </w:rPr>
        <w:t>)</w:t>
      </w:r>
      <w:r>
        <w:t xml:space="preserve"> dans une bande quelconque large de 1 MHz pour les angles d'arrivée entre 0° et 5° au-dessus du plan horizontal; ou </w:t>
      </w:r>
    </w:p>
    <w:p w:rsidR="002B489A" w:rsidRDefault="004F19C4">
      <w:pPr>
        <w:pStyle w:val="enumlev1"/>
      </w:pPr>
      <w:r>
        <w:t>–</w:t>
      </w:r>
      <w:r>
        <w:tab/>
      </w:r>
      <w:r>
        <w:sym w:font="Symbol" w:char="F02D"/>
      </w:r>
      <w:r>
        <w:t>105 dB(W/m</w:t>
      </w:r>
      <w:r>
        <w:rPr>
          <w:vertAlign w:val="superscript"/>
        </w:rPr>
        <w:t>2</w:t>
      </w:r>
      <w:r>
        <w:rPr>
          <w:rFonts w:ascii="Times" w:hAnsi="Times"/>
          <w:spacing w:val="-2"/>
        </w:rPr>
        <w:t>)</w:t>
      </w:r>
      <w:r>
        <w:t xml:space="preserve"> dans une bande quelconque large de 1 MHz pour les angles d'arrivée entre 25° et 90° au-dessus du plan horizontal; ou </w:t>
      </w:r>
    </w:p>
    <w:p w:rsidR="002B489A" w:rsidRDefault="004F19C4">
      <w:pPr>
        <w:pStyle w:val="enumlev1"/>
      </w:pPr>
      <w:r>
        <w:t>–</w:t>
      </w:r>
      <w:r>
        <w:tab/>
        <w:t>des valeurs à calculer par interpolation linéaire entre ces limites pour les angles d'arrivée entre 5° et 25° au-dessus du plan horizontal,</w:t>
      </w:r>
    </w:p>
    <w:p w:rsidR="002B489A" w:rsidRDefault="004F19C4">
      <w:r>
        <w:t>Annexe à la Résolution</w:t>
      </w:r>
      <w:r>
        <w:rPr>
          <w:bCs/>
        </w:rPr>
        <w:t xml:space="preserve"> 525 (CAMR-92), </w:t>
      </w:r>
      <w:r>
        <w:t>Section IV – Procédure intérimaire relative aux systèmes du SRS (TVHD) mis en oeuvre après le 1er avril 2007.</w:t>
      </w:r>
    </w:p>
    <w:p w:rsidR="002B489A" w:rsidRDefault="004F19C4">
      <w:r>
        <w:t>Afin que les systèmes du SRS (TVHD) puissent être mis en oeuvre et exploités dans la bande 21,4</w:t>
      </w:r>
      <w:r>
        <w:noBreakHyphen/>
        <w:t xml:space="preserve">22,0 GHz dans les Régions 1 et 3 après le 1er avril 2007, et avant qu'une future conférence ait pris des décisions sur les procédures définitives, les procédures de la Section B (Procédure de coordination entre stations spatiales du service de radiodiffusion par satellite et systèmes spatiaux relevant d'autres administrations) et de la Section C (Notification, examen et inscription dans le Fichier de référence des assignations aux stations spatiales du service de radiodiffusion par satellite traitées dans la présente Résolution) de la Résolution </w:t>
      </w:r>
      <w:r>
        <w:rPr>
          <w:bCs/>
        </w:rPr>
        <w:t>33 (Rév.CMR-97) doivent être appliquées.</w:t>
      </w:r>
    </w:p>
    <w:p w:rsidR="002B489A" w:rsidRDefault="004F19C4">
      <w:pPr>
        <w:pStyle w:val="Heading2"/>
      </w:pPr>
      <w:r>
        <w:t>2.4</w:t>
      </w:r>
      <w:r>
        <w:tab/>
        <w:t>Caractéristiques de l'émetteur</w:t>
      </w:r>
    </w:p>
    <w:p w:rsidR="002B489A" w:rsidRDefault="004F19C4">
      <w:r>
        <w:t>On fait les hypothèses suivantes:</w:t>
      </w:r>
    </w:p>
    <w:p w:rsidR="002B489A" w:rsidRDefault="004F19C4">
      <w:pPr>
        <w:pStyle w:val="enumlev1"/>
      </w:pPr>
      <w:r>
        <w:t>–</w:t>
      </w:r>
      <w:r>
        <w:tab/>
        <w:t>le gain d'antenne du système SRS est le même dans la bande SRS et dans la bande SRA;</w:t>
      </w:r>
    </w:p>
    <w:p w:rsidR="002B489A" w:rsidRDefault="004F19C4">
      <w:pPr>
        <w:pStyle w:val="enumlev1"/>
      </w:pPr>
      <w:r>
        <w:t>–</w:t>
      </w:r>
      <w:r>
        <w:tab/>
        <w:t>les niveaux maximaux de densité spectrale de puissance surfacique/puissance surfacique sont utilisés pour les rayonnements non désirés provenant des systèmes SRS tombant dans la bande de la radioastronomie.</w:t>
      </w:r>
    </w:p>
    <w:p w:rsidR="002B489A" w:rsidRDefault="004F19C4">
      <w:r>
        <w:t>Ceci représente les hypothèses les plus défavorables qui pourraient être affinées par des études complémentaires.</w:t>
      </w:r>
    </w:p>
    <w:p w:rsidR="002B489A" w:rsidRDefault="004F19C4">
      <w:r>
        <w:t>De plus, la présente étude se fondait sur un système SRS unique, en raison du manque d'informations sur les autres systèmes au moment de l'étude. Ces caractéristiques pourraient être affinées par des études complémentaires.</w:t>
      </w:r>
    </w:p>
    <w:p w:rsidR="002B489A" w:rsidRDefault="004F19C4">
      <w:pPr>
        <w:pStyle w:val="Heading2"/>
      </w:pPr>
      <w:r>
        <w:t>2.5</w:t>
      </w:r>
      <w:r>
        <w:tab/>
        <w:t>Caractéristiques de fonctionnement</w:t>
      </w:r>
    </w:p>
    <w:p w:rsidR="002B489A" w:rsidRDefault="004F19C4">
      <w:r>
        <w:t>La présente Annexe ne traite que le cas des systèmes OSG. Le cas des systèmes non OSG devra être étudié ultérieurement.</w:t>
      </w:r>
    </w:p>
    <w:p w:rsidR="002B489A" w:rsidRDefault="004F19C4">
      <w:pPr>
        <w:pStyle w:val="Heading2"/>
      </w:pPr>
      <w:r>
        <w:t>2.6</w:t>
      </w:r>
      <w:r>
        <w:tab/>
        <w:t>Niveau d'émission dans la bande</w:t>
      </w:r>
    </w:p>
    <w:p w:rsidR="002B489A" w:rsidRDefault="004F19C4">
      <w:r>
        <w:t>Voir le § 2.3.</w:t>
      </w:r>
    </w:p>
    <w:p w:rsidR="002B489A" w:rsidRDefault="004F19C4">
      <w:pPr>
        <w:pStyle w:val="Heading1"/>
      </w:pPr>
      <w:r>
        <w:br w:type="page"/>
        <w:t>3</w:t>
      </w:r>
      <w:r>
        <w:tab/>
        <w:t>Seuil de compatibilité</w:t>
      </w:r>
    </w:p>
    <w:p w:rsidR="002B489A" w:rsidRDefault="004F19C4">
      <w:r>
        <w:t xml:space="preserve">Voir le § 1.3 </w:t>
      </w:r>
    </w:p>
    <w:p w:rsidR="002B489A" w:rsidRDefault="004F19C4">
      <w:pPr>
        <w:pStyle w:val="Heading1"/>
        <w:rPr>
          <w:i/>
        </w:rPr>
      </w:pPr>
      <w:r>
        <w:t>4</w:t>
      </w:r>
      <w:r>
        <w:tab/>
        <w:t>Evaluation du brouillage</w:t>
      </w:r>
    </w:p>
    <w:p w:rsidR="002B489A" w:rsidRDefault="004F19C4">
      <w:pPr>
        <w:pStyle w:val="Heading2"/>
      </w:pPr>
      <w:r>
        <w:t>4.1</w:t>
      </w:r>
      <w:r>
        <w:tab/>
        <w:t>Méthode d'évaluation du niveau de brouillage</w:t>
      </w:r>
    </w:p>
    <w:p w:rsidR="002B489A" w:rsidRDefault="004F19C4">
      <w:pPr>
        <w:pStyle w:val="Heading2"/>
        <w:rPr>
          <w:b w:val="0"/>
        </w:rPr>
      </w:pPr>
      <w:r>
        <w:rPr>
          <w:b w:val="0"/>
        </w:rPr>
        <w:t>Voir le § 2.4.</w:t>
      </w:r>
    </w:p>
    <w:p w:rsidR="002B489A" w:rsidRDefault="004F19C4">
      <w:pPr>
        <w:pStyle w:val="Heading2"/>
      </w:pPr>
      <w:r>
        <w:t>4.2</w:t>
      </w:r>
      <w:r>
        <w:tab/>
        <w:t>Calcul du niveau de brouillage</w:t>
      </w:r>
    </w:p>
    <w:p w:rsidR="002B489A" w:rsidRDefault="004F19C4">
      <w:r>
        <w:t>Les niveaux maximaux de rayonnements non désirés provenant des systèmes SRS considérés qui fonctionnent dans la bande 21,4</w:t>
      </w:r>
      <w:r>
        <w:noBreakHyphen/>
        <w:t>22 GHz et tombant dans la bande 22,21</w:t>
      </w:r>
      <w:r>
        <w:noBreakHyphen/>
        <w:t>22,5 GHz de la radioastronomie sont donnés au Tableau 31.</w:t>
      </w:r>
    </w:p>
    <w:p w:rsidR="002B489A" w:rsidRDefault="004F19C4">
      <w:pPr>
        <w:pStyle w:val="TableNo"/>
      </w:pPr>
      <w:r>
        <w:t>TABLEAU  31</w:t>
      </w:r>
    </w:p>
    <w:p w:rsidR="002B489A" w:rsidRDefault="004F19C4">
      <w:pPr>
        <w:pStyle w:val="Tabletitle"/>
      </w:pPr>
      <w:r>
        <w:t>Niveaux maximaux de rayonnements non désirés des systèmes SRS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0"/>
        <w:gridCol w:w="3796"/>
        <w:gridCol w:w="3783"/>
      </w:tblGrid>
      <w:tr w:rsidR="002B489A">
        <w:trPr>
          <w:cantSplit/>
        </w:trPr>
        <w:tc>
          <w:tcPr>
            <w:tcW w:w="2127" w:type="dxa"/>
          </w:tcPr>
          <w:p w:rsidR="002B489A" w:rsidRDefault="004F19C4">
            <w:pPr>
              <w:pStyle w:val="Tablehead"/>
              <w:framePr w:hSpace="181" w:wrap="notBeside" w:vAnchor="text" w:hAnchor="text" w:xAlign="center" w:y="1"/>
            </w:pPr>
            <w:r>
              <w:t>Bande</w:t>
            </w:r>
            <w:r>
              <w:br/>
              <w:t>(GHz)</w:t>
            </w:r>
          </w:p>
        </w:tc>
        <w:tc>
          <w:tcPr>
            <w:tcW w:w="3926" w:type="dxa"/>
          </w:tcPr>
          <w:p w:rsidR="002B489A" w:rsidRDefault="004F19C4">
            <w:pPr>
              <w:pStyle w:val="Tablehead"/>
              <w:framePr w:hSpace="181" w:wrap="notBeside" w:vAnchor="text" w:hAnchor="text" w:xAlign="center" w:y="1"/>
            </w:pPr>
            <w:r>
              <w:t>Niveau maximum de densité spectrale de puissance surfacique des rayonnements non désirés à bande étroite (dB(W/(m</w:t>
            </w:r>
            <w:r>
              <w:rPr>
                <w:vertAlign w:val="superscript"/>
              </w:rPr>
              <w:t>2</w:t>
            </w:r>
            <w:r>
              <w:t> </w:t>
            </w:r>
            <w:r>
              <w:rPr>
                <w:rFonts w:ascii="Symbol" w:hAnsi="Symbol"/>
              </w:rPr>
              <w:t></w:t>
            </w:r>
            <w:r>
              <w:t> Hz)))</w:t>
            </w:r>
          </w:p>
        </w:tc>
        <w:tc>
          <w:tcPr>
            <w:tcW w:w="3912" w:type="dxa"/>
          </w:tcPr>
          <w:p w:rsidR="002B489A" w:rsidRDefault="004F19C4">
            <w:pPr>
              <w:pStyle w:val="Tablehead"/>
              <w:framePr w:hSpace="181" w:wrap="notBeside" w:vAnchor="text" w:hAnchor="text" w:xAlign="center" w:y="1"/>
            </w:pPr>
            <w:r>
              <w:t xml:space="preserve">Niveau maximum de puissance surfacique des rayonnements non désirés à large bande </w:t>
            </w:r>
            <w:r>
              <w:br/>
              <w:t>(dB(W/(m</w:t>
            </w:r>
            <w:r>
              <w:rPr>
                <w:vertAlign w:val="superscript"/>
              </w:rPr>
              <w:t>2</w:t>
            </w:r>
            <w:r>
              <w:t> </w:t>
            </w:r>
            <w:r>
              <w:rPr>
                <w:rFonts w:ascii="Symbol" w:hAnsi="Symbol"/>
              </w:rPr>
              <w:t></w:t>
            </w:r>
            <w:r>
              <w:t> 290 MHz)))</w:t>
            </w:r>
          </w:p>
        </w:tc>
      </w:tr>
      <w:tr w:rsidR="002B489A">
        <w:trPr>
          <w:cantSplit/>
        </w:trPr>
        <w:tc>
          <w:tcPr>
            <w:tcW w:w="2127" w:type="dxa"/>
          </w:tcPr>
          <w:p w:rsidR="002B489A" w:rsidRDefault="004F19C4">
            <w:pPr>
              <w:pStyle w:val="Tabletext"/>
              <w:framePr w:hSpace="181" w:wrap="notBeside" w:vAnchor="text" w:hAnchor="text" w:xAlign="center" w:y="1"/>
              <w:jc w:val="center"/>
            </w:pPr>
            <w:r>
              <w:t>22,21</w:t>
            </w:r>
            <w:r>
              <w:noBreakHyphen/>
              <w:t>22,5</w:t>
            </w:r>
          </w:p>
        </w:tc>
        <w:tc>
          <w:tcPr>
            <w:tcW w:w="3926" w:type="dxa"/>
          </w:tcPr>
          <w:p w:rsidR="002B489A" w:rsidRDefault="004F19C4">
            <w:pPr>
              <w:pStyle w:val="Tabletext"/>
              <w:framePr w:hSpace="181" w:wrap="notBeside" w:vAnchor="text" w:hAnchor="text" w:xAlign="center" w:y="1"/>
              <w:jc w:val="center"/>
            </w:pPr>
            <w:r>
              <w:sym w:font="Symbol" w:char="F02D"/>
            </w:r>
            <w:r>
              <w:t>199</w:t>
            </w:r>
          </w:p>
        </w:tc>
        <w:tc>
          <w:tcPr>
            <w:tcW w:w="3912" w:type="dxa"/>
          </w:tcPr>
          <w:p w:rsidR="002B489A" w:rsidRDefault="004F19C4">
            <w:pPr>
              <w:pStyle w:val="Tabletext"/>
              <w:framePr w:hSpace="181" w:wrap="notBeside" w:vAnchor="text" w:hAnchor="text" w:xAlign="center" w:y="1"/>
              <w:jc w:val="center"/>
            </w:pPr>
            <w:r>
              <w:sym w:font="Symbol" w:char="F02D"/>
            </w:r>
            <w:r>
              <w:t>145</w:t>
            </w:r>
          </w:p>
        </w:tc>
      </w:tr>
    </w:tbl>
    <w:p w:rsidR="002B489A" w:rsidRDefault="002B489A">
      <w:pPr>
        <w:pStyle w:val="Tablefin"/>
      </w:pPr>
    </w:p>
    <w:p w:rsidR="002B489A" w:rsidRDefault="004F19C4">
      <w:pPr>
        <w:pStyle w:val="Heading2"/>
        <w:rPr>
          <w:i/>
        </w:rPr>
      </w:pPr>
      <w:r>
        <w:t>4.3</w:t>
      </w:r>
      <w:r>
        <w:tab/>
        <w:t>Valeurs obtenues</w:t>
      </w:r>
    </w:p>
    <w:p w:rsidR="002B489A" w:rsidRDefault="004F19C4">
      <w:r>
        <w:t>Une comparaison entre les niveaux de seuil de puissance surfacique pour la protection du SRA dans la bande 22,21</w:t>
      </w:r>
      <w:r>
        <w:noBreakHyphen/>
        <w:t xml:space="preserve">22,5 GHz, donnés dans la Recommandation UIT-R </w:t>
      </w:r>
      <w:r>
        <w:rPr>
          <w:bCs/>
        </w:rPr>
        <w:t xml:space="preserve">RA.769 </w:t>
      </w:r>
      <w:r>
        <w:t>(voir le § 1.3), et les niveaux des rayonnements non désirés produits par les systèmes SRS donnés dans le Tableau 31, conduit aux résultats donnés au Tableau 32. Les valeurs négatives du Tableau 32 indiquent que les critères de protection pour le SRA ne sont pas satisfaits de la marge indiquée en dB.</w:t>
      </w:r>
    </w:p>
    <w:p w:rsidR="002B489A" w:rsidRDefault="004F19C4">
      <w:pPr>
        <w:pStyle w:val="TableNo"/>
      </w:pPr>
      <w:r>
        <w:t>TABLEAU  32</w:t>
      </w:r>
    </w:p>
    <w:p w:rsidR="002B489A" w:rsidRDefault="004F19C4">
      <w:pPr>
        <w:pStyle w:val="Tabletitle"/>
      </w:pPr>
      <w:r>
        <w:t>Différence entre les niveaux de seuil de puissance surfacique de la Recommandation UIT</w:t>
      </w:r>
      <w:r>
        <w:noBreakHyphen/>
        <w:t xml:space="preserve">R RA.769 sur le SRA et les </w:t>
      </w:r>
      <w:r>
        <w:br/>
        <w:t>niveaux de rayonnements non désirés du SRS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74"/>
        <w:gridCol w:w="1755"/>
        <w:gridCol w:w="1755"/>
        <w:gridCol w:w="1755"/>
      </w:tblGrid>
      <w:tr w:rsidR="002B489A">
        <w:trPr>
          <w:cantSplit/>
        </w:trPr>
        <w:tc>
          <w:tcPr>
            <w:tcW w:w="4536" w:type="dxa"/>
          </w:tcPr>
          <w:p w:rsidR="002B489A" w:rsidRDefault="004F19C4">
            <w:pPr>
              <w:pStyle w:val="Tablehead"/>
              <w:framePr w:hSpace="181" w:wrap="notBeside" w:vAnchor="text" w:hAnchor="text" w:xAlign="center" w:y="1"/>
            </w:pPr>
            <w:r>
              <w:t>Type d'observation</w:t>
            </w:r>
          </w:p>
        </w:tc>
        <w:tc>
          <w:tcPr>
            <w:tcW w:w="1814" w:type="dxa"/>
          </w:tcPr>
          <w:p w:rsidR="002B489A" w:rsidRDefault="004F19C4">
            <w:pPr>
              <w:pStyle w:val="Tablehead"/>
              <w:framePr w:hSpace="181" w:wrap="notBeside" w:vAnchor="text" w:hAnchor="text" w:xAlign="center" w:y="1"/>
            </w:pPr>
            <w:r>
              <w:t>Observations du continuum</w:t>
            </w:r>
          </w:p>
        </w:tc>
        <w:tc>
          <w:tcPr>
            <w:tcW w:w="1814" w:type="dxa"/>
          </w:tcPr>
          <w:p w:rsidR="002B489A" w:rsidRDefault="004F19C4">
            <w:pPr>
              <w:pStyle w:val="Tablehead"/>
              <w:framePr w:hSpace="181" w:wrap="notBeside" w:vAnchor="text" w:hAnchor="text" w:xAlign="center" w:y="1"/>
            </w:pPr>
            <w:r>
              <w:t>Observations de raies spectrales</w:t>
            </w:r>
          </w:p>
        </w:tc>
        <w:tc>
          <w:tcPr>
            <w:tcW w:w="1814" w:type="dxa"/>
          </w:tcPr>
          <w:p w:rsidR="002B489A" w:rsidRDefault="004F19C4">
            <w:pPr>
              <w:pStyle w:val="Tablehead"/>
              <w:framePr w:hSpace="181" w:wrap="notBeside" w:vAnchor="text" w:hAnchor="text" w:xAlign="center" w:y="1"/>
            </w:pPr>
            <w:r>
              <w:t xml:space="preserve">Observations VLBI </w:t>
            </w:r>
          </w:p>
        </w:tc>
      </w:tr>
      <w:tr w:rsidR="002B489A">
        <w:trPr>
          <w:cantSplit/>
        </w:trPr>
        <w:tc>
          <w:tcPr>
            <w:tcW w:w="4536" w:type="dxa"/>
          </w:tcPr>
          <w:p w:rsidR="002B489A" w:rsidRDefault="004F19C4">
            <w:pPr>
              <w:pStyle w:val="Tabletext"/>
              <w:framePr w:hSpace="181" w:wrap="notBeside" w:vAnchor="text" w:hAnchor="text" w:xAlign="center" w:y="1"/>
              <w:jc w:val="left"/>
            </w:pPr>
            <w:r>
              <w:t>Différence entre les niveaux de seuil de puissance surfacique de la Recommandation UIT-R RA.769 pour le SRA et les niveaux de rayonnements non désirés du SRS (dB)</w:t>
            </w:r>
          </w:p>
        </w:tc>
        <w:tc>
          <w:tcPr>
            <w:tcW w:w="1814" w:type="dxa"/>
            <w:vAlign w:val="center"/>
          </w:tcPr>
          <w:p w:rsidR="002B489A" w:rsidRDefault="004F19C4">
            <w:pPr>
              <w:pStyle w:val="Tabletext"/>
              <w:framePr w:hSpace="181" w:wrap="notBeside" w:vAnchor="text" w:hAnchor="text" w:xAlign="center" w:y="1"/>
              <w:jc w:val="center"/>
            </w:pPr>
            <w:r>
              <w:sym w:font="Symbol" w:char="F02D"/>
            </w:r>
            <w:r>
              <w:t>1</w:t>
            </w:r>
          </w:p>
        </w:tc>
        <w:tc>
          <w:tcPr>
            <w:tcW w:w="1814" w:type="dxa"/>
            <w:vAlign w:val="center"/>
          </w:tcPr>
          <w:p w:rsidR="002B489A" w:rsidRDefault="004F19C4">
            <w:pPr>
              <w:pStyle w:val="Tabletext"/>
              <w:framePr w:hSpace="181" w:wrap="notBeside" w:vAnchor="text" w:hAnchor="text" w:xAlign="center" w:y="1"/>
              <w:jc w:val="center"/>
            </w:pPr>
            <w:r>
              <w:sym w:font="Symbol" w:char="F02D"/>
            </w:r>
            <w:r>
              <w:t>17</w:t>
            </w:r>
          </w:p>
        </w:tc>
        <w:tc>
          <w:tcPr>
            <w:tcW w:w="1814" w:type="dxa"/>
            <w:vAlign w:val="center"/>
          </w:tcPr>
          <w:p w:rsidR="002B489A" w:rsidRDefault="004F19C4">
            <w:pPr>
              <w:pStyle w:val="Tabletext"/>
              <w:framePr w:hSpace="181" w:wrap="notBeside" w:vAnchor="text" w:hAnchor="text" w:xAlign="center" w:y="1"/>
              <w:jc w:val="center"/>
            </w:pPr>
            <w:r>
              <w:rPr>
                <w:rFonts w:ascii="Symbol" w:hAnsi="Symbol"/>
                <w:lang w:val="en-US"/>
              </w:rPr>
              <w:t></w:t>
            </w:r>
            <w:r>
              <w:t>15</w:t>
            </w:r>
          </w:p>
        </w:tc>
      </w:tr>
    </w:tbl>
    <w:p w:rsidR="002B489A" w:rsidRDefault="002B489A">
      <w:pPr>
        <w:pStyle w:val="Tablefin"/>
      </w:pPr>
    </w:p>
    <w:p w:rsidR="002B489A" w:rsidRDefault="004F19C4">
      <w:r>
        <w:br w:type="page"/>
        <w:t xml:space="preserve">D'après ce calcul, il résulte que pour des observations du continuum à antenne unique et de raies spectrales à antenne unique, les niveaux de seuil de la Recommandation UIT-R </w:t>
      </w:r>
      <w:r>
        <w:rPr>
          <w:bCs/>
        </w:rPr>
        <w:t xml:space="preserve">RA.769 </w:t>
      </w:r>
      <w:r>
        <w:t xml:space="preserve">ne sont pas atteints, avec des marges respectivement de 1 dB et 17 dB. Dans le cas d'observations de raies spectrales à antenne unique, une telle marge empêcherait effectivement toute observation utile dans la bande. On notera toutefois que les niveaux estimés des rayonnements non désirés provenant des systèmes SRS sont des valeurs maximales de densité spectrale de </w:t>
      </w:r>
      <w:r>
        <w:rPr>
          <w:color w:val="000000"/>
        </w:rPr>
        <w:t>puissance surfacique</w:t>
      </w:r>
      <w:r>
        <w:t xml:space="preserve">. </w:t>
      </w:r>
    </w:p>
    <w:p w:rsidR="002B489A" w:rsidRDefault="004F19C4">
      <w:pPr>
        <w:spacing w:before="80"/>
      </w:pPr>
      <w:r>
        <w:t>Si on devait faire des calculs plus réalistes, incluant par exemple la suppression du filtre, la suppression des produits d'intermodulation et les gains réels des amplificateurs d'émission dans la bande attribuée à la radioastronomie, et en tenant compte de l'absorption atmosphérique, la discordance diminuerait, au moins jusqu'à satisfaire les critères de protection pour les observations VLBI et du continuum à antenne unique.</w:t>
      </w:r>
    </w:p>
    <w:p w:rsidR="002B489A" w:rsidRDefault="004F19C4">
      <w:pPr>
        <w:pStyle w:val="Heading1"/>
      </w:pPr>
      <w:r>
        <w:t>5</w:t>
      </w:r>
      <w:r>
        <w:tab/>
        <w:t>Méthodes de réduction des brouillages</w:t>
      </w:r>
    </w:p>
    <w:p w:rsidR="002B489A" w:rsidRDefault="004F19C4">
      <w:pPr>
        <w:pStyle w:val="Heading2"/>
      </w:pPr>
      <w:r>
        <w:t>5.1</w:t>
      </w:r>
      <w:r>
        <w:tab/>
        <w:t>SRA</w:t>
      </w:r>
    </w:p>
    <w:p w:rsidR="002B489A" w:rsidRDefault="004F19C4">
      <w:pPr>
        <w:spacing w:before="80"/>
      </w:pPr>
      <w:r>
        <w:t>On peut utiliser diverses méthodes, y compris celles qui sont décrites ci-dessous, pour réduire les rayonnements non désirés causés par les émetteurs de satellite à un radiotélescope.</w:t>
      </w:r>
    </w:p>
    <w:p w:rsidR="002B489A" w:rsidRDefault="004F19C4">
      <w:pPr>
        <w:spacing w:before="80"/>
      </w:pPr>
      <w:r>
        <w:rPr>
          <w:i/>
        </w:rPr>
        <w:t>Performances du lobe latéral de l'antenne</w:t>
      </w:r>
      <w:r>
        <w:rPr>
          <w:iCs/>
        </w:rPr>
        <w:t>:</w:t>
      </w:r>
      <w:r>
        <w:t xml:space="preserve">  L'éclairement lumineux d'ouverture des radiotélescopes est habituellement optimisé pour </w:t>
      </w:r>
      <w:r>
        <w:rPr>
          <w:i/>
          <w:iCs/>
        </w:rPr>
        <w:t>G</w:t>
      </w:r>
      <w:r>
        <w:t>/</w:t>
      </w:r>
      <w:r>
        <w:rPr>
          <w:i/>
          <w:iCs/>
        </w:rPr>
        <w:t>T</w:t>
      </w:r>
      <w:r>
        <w:t xml:space="preserve">, c'est-à-dire le gain du télescope divisé par la température du système. Cela maximise le rapport </w:t>
      </w:r>
      <w:r>
        <w:rPr>
          <w:i/>
          <w:iCs/>
        </w:rPr>
        <w:t>S</w:t>
      </w:r>
      <w:r>
        <w:t>/</w:t>
      </w:r>
      <w:r>
        <w:rPr>
          <w:i/>
          <w:iCs/>
        </w:rPr>
        <w:t>N</w:t>
      </w:r>
      <w:r>
        <w:t xml:space="preserve"> pour les points sources. Un élément clé de cette approche est de réduire le rayonnement du sol entrant par les lobes latéraux distants. Inévitablement, cela conduit à un certain accroissement correspondant dans les niveaux de lobes latéraux proches. L'expérience a montré que le gabarit d'enveloppe de lobe latéral donné dans la Recommandation UIT-R SA.509 est satisfait par la majorité des radiotélescopes dans la plupart des directions.</w:t>
      </w:r>
    </w:p>
    <w:p w:rsidR="002B489A" w:rsidRDefault="004F19C4">
      <w:pPr>
        <w:spacing w:before="80"/>
      </w:pPr>
      <w:r>
        <w:rPr>
          <w:i/>
        </w:rPr>
        <w:t>Suppression de faisceau en temps et/ou fréquence</w:t>
      </w:r>
      <w:r>
        <w:rPr>
          <w:iCs/>
        </w:rPr>
        <w:t>:</w:t>
      </w:r>
      <w:r>
        <w:t>  Cette technique peut être appliquée dans certains cas lorsque le brouillage sur la bande de fréquences attribuée à la radioastronomie peut être identifié pleinement et sans ambiguïté en temps et/ou en fréquence.</w:t>
      </w:r>
    </w:p>
    <w:p w:rsidR="002B489A" w:rsidRDefault="004F19C4">
      <w:pPr>
        <w:pStyle w:val="Heading2"/>
      </w:pPr>
      <w:r>
        <w:t>5.2</w:t>
      </w:r>
      <w:r>
        <w:tab/>
        <w:t>SRS</w:t>
      </w:r>
    </w:p>
    <w:p w:rsidR="002B489A" w:rsidRDefault="004F19C4">
      <w:pPr>
        <w:spacing w:before="80"/>
      </w:pPr>
      <w:r>
        <w:t>Filtres: Ceci impliquerait que le système actif mette en œuvre un filtrage RF supplémentaire.</w:t>
      </w:r>
    </w:p>
    <w:p w:rsidR="002B489A" w:rsidRDefault="004F19C4">
      <w:pPr>
        <w:pStyle w:val="Heading2"/>
      </w:pPr>
      <w:r>
        <w:t>5.3</w:t>
      </w:r>
      <w:r>
        <w:tab/>
        <w:t>Impact potentiel</w:t>
      </w:r>
    </w:p>
    <w:p w:rsidR="002B489A" w:rsidRDefault="004F19C4">
      <w:pPr>
        <w:pStyle w:val="Heading3"/>
      </w:pPr>
      <w:r>
        <w:t>5.3.1</w:t>
      </w:r>
      <w:r>
        <w:tab/>
        <w:t>SRA</w:t>
      </w:r>
    </w:p>
    <w:p w:rsidR="002B489A" w:rsidRDefault="004F19C4">
      <w:pPr>
        <w:spacing w:before="80"/>
      </w:pPr>
      <w:r>
        <w:rPr>
          <w:i/>
        </w:rPr>
        <w:t>Performances du lobe latéral de l'antenne</w:t>
      </w:r>
      <w:r>
        <w:rPr>
          <w:iCs/>
        </w:rPr>
        <w:t>:</w:t>
      </w:r>
      <w:r>
        <w:t>  Les tentatives de diminution de la sensibilité des antennes de radioastronomie aux rayonnements non désirés provenant des stations spatiales vont vraisemblablement accroître la sensibilité des télescopes radioastronomiques au rayonnement du sol, et pourraient réduire leur gain de faisceau principal. Ces deux effets réduiront la capacité de canal du télescope et conduiront à une augmentation du temps d'intégration total nécessaire.</w:t>
      </w:r>
    </w:p>
    <w:p w:rsidR="002B489A" w:rsidRDefault="004F19C4">
      <w:pPr>
        <w:spacing w:before="80"/>
      </w:pPr>
      <w:r>
        <w:rPr>
          <w:i/>
        </w:rPr>
        <w:t>Suppression de faisceau en temps et/ou fréquence</w:t>
      </w:r>
      <w:r>
        <w:rPr>
          <w:iCs/>
        </w:rPr>
        <w:t>:</w:t>
      </w:r>
      <w:r>
        <w:t>  La suppression comporte le risque de compromettre l'intégrité des données et peut conduire à des erreurs de leur interprétation scientifique. Il est également à l'origine d'un accroissement concomitant du temps d'intégration total requis pour faire l'observation, ce qui est équivalent à une perte de la capacité de canal du télescope.</w:t>
      </w:r>
    </w:p>
    <w:p w:rsidR="002B489A" w:rsidRDefault="004F19C4">
      <w:pPr>
        <w:pStyle w:val="Heading3"/>
      </w:pPr>
      <w:r>
        <w:t>5.3.2</w:t>
      </w:r>
      <w:r>
        <w:tab/>
        <w:t>SRS</w:t>
      </w:r>
    </w:p>
    <w:p w:rsidR="002B489A" w:rsidRDefault="004F19C4">
      <w:pPr>
        <w:spacing w:before="80"/>
      </w:pPr>
      <w:r>
        <w:t xml:space="preserve">Pour les systèmes à satellites multifaisceaux dont le fonctionnement est prévu dans les gammes de fréquences qui nous intéressent, le nombre de faisceaux, ou le nombre d'éléments multiplie les implications, en coût et en poids, du filtrage RF supplémentaire dans le système d'antenne en réseau </w:t>
      </w:r>
      <w:r>
        <w:br w:type="page"/>
        <w:t>à commande de phase. Ceci est dû au fait que, dans un système multifaisceaux, les amplificateurs de sortie ne sont généralement pas partagés entre les faisceaux, et doivent donc être filtrés séparément. Dans un système en réseau à commande de phase, l'étage final d'amplification a lieu dans les divers éléments du réseau, dont chacun devra être filtré séparément. De cette façon, le nombre de faisceaux ou le nombre d'éléments dans le réseau à commande de phase accentue l'impact en poids d'un filtre individuel dans le système. L'affaiblissement d'insertion du filtre pourrait avoir un effet sur la capacité du système.</w:t>
      </w:r>
    </w:p>
    <w:p w:rsidR="002B489A" w:rsidRDefault="004F19C4">
      <w:pPr>
        <w:pStyle w:val="Heading1"/>
      </w:pPr>
      <w:r>
        <w:t>6</w:t>
      </w:r>
      <w:r>
        <w:tab/>
        <w:t>Résultats des études</w:t>
      </w:r>
    </w:p>
    <w:p w:rsidR="002B489A" w:rsidRDefault="004F19C4">
      <w:pPr>
        <w:pStyle w:val="Heading2"/>
      </w:pPr>
      <w:r>
        <w:t>6.1</w:t>
      </w:r>
      <w:r>
        <w:tab/>
        <w:t>Résumé</w:t>
      </w:r>
    </w:p>
    <w:p w:rsidR="002B489A" w:rsidRDefault="004F19C4">
      <w:r>
        <w:t>Le calcul suggère que les critères de protection examinés au § 1.3 sont satisfaits pour les obser</w:t>
      </w:r>
      <w:r>
        <w:softHyphen/>
        <w:t>vations VLBI, le sont presque pour les observations du continuum à antenne unique et ne le sont pas pour les observations de raies spectrales. Cependant, il s'agit d'un calcul dans le cas le plus défavo</w:t>
      </w:r>
      <w:r>
        <w:softHyphen/>
        <w:t>rable. Des calculs plus précis pourraient conduire à une amélioration sensible de ces marges. Dans la mesure où le manque à satisfaire les critères de protection pour les observations du continuum à antenne unique est seulement de 1 dB dans ce cas le plus défavorable, ce qui est déjà dans des tolé</w:t>
      </w:r>
      <w:r>
        <w:softHyphen/>
        <w:t>rances de mesure raisonnables, toute amélioration amènerait à la satisfaction des critères pour les observations du continuum à antenne unique. Cette considération est reflétée dans les conclusions.</w:t>
      </w:r>
    </w:p>
    <w:p w:rsidR="002B489A" w:rsidRDefault="004F19C4">
      <w:pPr>
        <w:pStyle w:val="Heading2"/>
      </w:pPr>
      <w:r>
        <w:t>6.2</w:t>
      </w:r>
      <w:r>
        <w:tab/>
        <w:t>Conclusion</w:t>
      </w:r>
    </w:p>
    <w:p w:rsidR="002B489A" w:rsidRDefault="004F19C4">
      <w:r>
        <w:t>Les critères de protection sont satisfaits pour les observations VLBI et du continuum à antenne unique, mais pas pour les observations de raies spectrales à antenne unique.</w:t>
      </w:r>
    </w:p>
    <w:p w:rsidR="002B489A" w:rsidRDefault="002B489A"/>
    <w:p w:rsidR="002B489A" w:rsidRDefault="004F19C4">
      <w:pPr>
        <w:pStyle w:val="AnnexNoTitle"/>
      </w:pPr>
      <w:r>
        <w:t>Annexe 13</w:t>
      </w:r>
      <w:r>
        <w:br/>
      </w:r>
      <w:r>
        <w:br/>
        <w:t>Analyse de compatibilité entre le SETS (passive) dans la bande 23,6</w:t>
      </w:r>
      <w:r>
        <w:noBreakHyphen/>
        <w:t xml:space="preserve">24 GHz </w:t>
      </w:r>
      <w:r>
        <w:br/>
        <w:t>et le SIS dans la bande 22,55</w:t>
      </w:r>
      <w:r>
        <w:noBreakHyphen/>
        <w:t>23,55 GHz</w:t>
      </w:r>
    </w:p>
    <w:p w:rsidR="002B489A" w:rsidRDefault="004F19C4">
      <w:pPr>
        <w:pStyle w:val="Heading1"/>
      </w:pPr>
      <w:r>
        <w:t>1</w:t>
      </w:r>
      <w:r>
        <w:tab/>
        <w:t>SETS (passive)</w:t>
      </w:r>
    </w:p>
    <w:p w:rsidR="002B489A" w:rsidRDefault="004F19C4">
      <w:pPr>
        <w:pStyle w:val="Heading2"/>
        <w:spacing w:after="120"/>
      </w:pPr>
      <w:r>
        <w:t>1.1</w:t>
      </w:r>
      <w:r>
        <w:tab/>
        <w:t>Bande attribuée</w:t>
      </w:r>
    </w:p>
    <w:p w:rsidR="002B489A" w:rsidRDefault="004F19C4">
      <w:pPr>
        <w:spacing w:after="120"/>
      </w:pPr>
      <w:r>
        <w:t>La bande 23,6</w:t>
      </w:r>
      <w:r>
        <w:noBreakHyphen/>
        <w:t>24 GHz est attribuée au SETS (passive), au SRA et au service de recherche spatiale (passive). On notera que la bande 23,6</w:t>
      </w:r>
      <w:r>
        <w:noBreakHyphen/>
        <w:t>24 GHz est couverte par le numéro</w:t>
      </w:r>
      <w:r>
        <w:rPr>
          <w:bCs/>
        </w:rPr>
        <w:t xml:space="preserve"> 5.340 du RR</w:t>
      </w:r>
      <w:r>
        <w:t>. Les attributions adjacentes à la bande passive 23,6</w:t>
      </w:r>
      <w:r>
        <w:noBreakHyphen/>
        <w:t>24 GHz sont indiquées dans le Tableau 33.</w:t>
      </w:r>
    </w:p>
    <w:p w:rsidR="002B489A" w:rsidRDefault="004F19C4">
      <w:pPr>
        <w:pStyle w:val="Heading2"/>
      </w:pPr>
      <w:r>
        <w:t>1.2</w:t>
      </w:r>
      <w:r>
        <w:tab/>
        <w:t>Application</w:t>
      </w:r>
    </w:p>
    <w:p w:rsidR="002B489A" w:rsidRDefault="004F19C4">
      <w:pPr>
        <w:spacing w:after="120"/>
      </w:pPr>
      <w:r>
        <w:t>Les mesures passives autour des fréquences 23,8 GHz (contenu total de vapeur d'eau), 31,5 GHz (canal fenêtre) et 90 GHz (eau liquide) fournissent des données auxiliaires qui jouent un rôle prépondérant dans le processus de recherche sur les mesures de température effectuées dans le spectre d'absorption de O</w:t>
      </w:r>
      <w:r>
        <w:rPr>
          <w:vertAlign w:val="subscript"/>
        </w:rPr>
        <w:t>2</w:t>
      </w:r>
      <w:r>
        <w:t>. Ces mesures auxiliaires doivent avoir des performances radiométriques et géométriques et des critères de disponibilité cohérents avec ceux des mesures de température.</w:t>
      </w:r>
    </w:p>
    <w:p w:rsidR="002B489A" w:rsidRDefault="004F19C4">
      <w:pPr>
        <w:pStyle w:val="TableNo"/>
      </w:pPr>
      <w:r>
        <w:br w:type="page"/>
        <w:t>TABLEAU  33</w:t>
      </w:r>
    </w:p>
    <w:p w:rsidR="002B489A" w:rsidRDefault="004F19C4">
      <w:pPr>
        <w:pStyle w:val="Tabletitle"/>
      </w:pPr>
      <w:r>
        <w:t>Attributions dans les bandes adjacentes</w:t>
      </w:r>
    </w:p>
    <w:tbl>
      <w:tblPr>
        <w:tblW w:w="964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7"/>
        <w:gridCol w:w="1737"/>
        <w:gridCol w:w="3101"/>
        <w:gridCol w:w="2546"/>
        <w:gridCol w:w="38"/>
      </w:tblGrid>
      <w:tr w:rsidR="002B489A">
        <w:trPr>
          <w:cantSplit/>
        </w:trPr>
        <w:tc>
          <w:tcPr>
            <w:tcW w:w="3979" w:type="dxa"/>
            <w:gridSpan w:val="2"/>
            <w:tcBorders>
              <w:top w:val="single" w:sz="6" w:space="0" w:color="auto"/>
              <w:left w:val="single" w:sz="6" w:space="0" w:color="auto"/>
              <w:bottom w:val="single" w:sz="6" w:space="0" w:color="auto"/>
              <w:right w:val="single" w:sz="6" w:space="0" w:color="auto"/>
            </w:tcBorders>
            <w:vAlign w:val="center"/>
          </w:tcPr>
          <w:p w:rsidR="002B489A" w:rsidRDefault="004F19C4">
            <w:pPr>
              <w:pStyle w:val="Tablehead"/>
              <w:framePr w:hSpace="181" w:wrap="notBeside" w:vAnchor="text" w:hAnchor="text" w:xAlign="center" w:y="1"/>
            </w:pPr>
            <w:r>
              <w:t xml:space="preserve">Services dans les bandes </w:t>
            </w:r>
            <w:r>
              <w:br/>
              <w:t>attribuées inférieures</w:t>
            </w:r>
          </w:p>
        </w:tc>
        <w:tc>
          <w:tcPr>
            <w:tcW w:w="3114" w:type="dxa"/>
            <w:tcBorders>
              <w:top w:val="single" w:sz="6" w:space="0" w:color="auto"/>
              <w:left w:val="single" w:sz="6" w:space="0" w:color="auto"/>
              <w:bottom w:val="single" w:sz="6" w:space="0" w:color="auto"/>
              <w:right w:val="single" w:sz="6" w:space="0" w:color="auto"/>
            </w:tcBorders>
            <w:vAlign w:val="center"/>
          </w:tcPr>
          <w:p w:rsidR="002B489A" w:rsidRDefault="004F19C4">
            <w:pPr>
              <w:pStyle w:val="Tablehead"/>
              <w:framePr w:hSpace="181" w:wrap="notBeside" w:vAnchor="text" w:hAnchor="text" w:xAlign="center" w:y="1"/>
            </w:pPr>
            <w:r>
              <w:t>Bande passive</w:t>
            </w:r>
          </w:p>
        </w:tc>
        <w:tc>
          <w:tcPr>
            <w:tcW w:w="2556" w:type="dxa"/>
            <w:gridSpan w:val="2"/>
            <w:tcBorders>
              <w:top w:val="single" w:sz="6" w:space="0" w:color="auto"/>
              <w:left w:val="single" w:sz="6" w:space="0" w:color="auto"/>
              <w:bottom w:val="single" w:sz="6" w:space="0" w:color="auto"/>
              <w:right w:val="single" w:sz="6" w:space="0" w:color="auto"/>
            </w:tcBorders>
            <w:vAlign w:val="center"/>
          </w:tcPr>
          <w:p w:rsidR="002B489A" w:rsidRDefault="004F19C4">
            <w:pPr>
              <w:pStyle w:val="Tablehead"/>
              <w:framePr w:hSpace="181" w:wrap="notBeside" w:vAnchor="text" w:hAnchor="text" w:xAlign="center" w:y="1"/>
            </w:pPr>
            <w:r>
              <w:t>Services dans la bande attribuée supérieure</w:t>
            </w:r>
          </w:p>
        </w:tc>
      </w:tr>
      <w:tr w:rsidR="002B489A">
        <w:tc>
          <w:tcPr>
            <w:tcW w:w="2235" w:type="dxa"/>
            <w:tcBorders>
              <w:top w:val="single" w:sz="6" w:space="0" w:color="auto"/>
              <w:left w:val="single" w:sz="6" w:space="0" w:color="auto"/>
              <w:bottom w:val="single" w:sz="6" w:space="0" w:color="auto"/>
              <w:right w:val="single" w:sz="6" w:space="0" w:color="auto"/>
            </w:tcBorders>
          </w:tcPr>
          <w:p w:rsidR="002B489A" w:rsidRDefault="004F19C4">
            <w:pPr>
              <w:pStyle w:val="Tablehead"/>
              <w:framePr w:hSpace="181" w:wrap="notBeside" w:vAnchor="text" w:hAnchor="text" w:xAlign="center" w:y="1"/>
              <w:tabs>
                <w:tab w:val="clear" w:pos="1701"/>
                <w:tab w:val="left" w:pos="1656"/>
              </w:tabs>
              <w:ind w:left="-45"/>
            </w:pPr>
            <w:r>
              <w:t>22,55</w:t>
            </w:r>
            <w:r>
              <w:noBreakHyphen/>
              <w:t>23,55 GHz</w:t>
            </w:r>
          </w:p>
        </w:tc>
        <w:tc>
          <w:tcPr>
            <w:tcW w:w="1744" w:type="dxa"/>
            <w:tcBorders>
              <w:top w:val="single" w:sz="6" w:space="0" w:color="auto"/>
              <w:left w:val="single" w:sz="6" w:space="0" w:color="auto"/>
              <w:bottom w:val="single" w:sz="6" w:space="0" w:color="auto"/>
              <w:right w:val="single" w:sz="6" w:space="0" w:color="auto"/>
            </w:tcBorders>
          </w:tcPr>
          <w:p w:rsidR="002B489A" w:rsidRDefault="004F19C4">
            <w:pPr>
              <w:pStyle w:val="Tablehead"/>
              <w:framePr w:hSpace="181" w:wrap="notBeside" w:vAnchor="text" w:hAnchor="text" w:xAlign="center" w:y="1"/>
            </w:pPr>
            <w:r>
              <w:t>23,55</w:t>
            </w:r>
            <w:r>
              <w:noBreakHyphen/>
              <w:t>23,6 GHz</w:t>
            </w:r>
          </w:p>
        </w:tc>
        <w:tc>
          <w:tcPr>
            <w:tcW w:w="3114" w:type="dxa"/>
            <w:tcBorders>
              <w:top w:val="single" w:sz="6" w:space="0" w:color="auto"/>
              <w:left w:val="single" w:sz="6" w:space="0" w:color="auto"/>
              <w:bottom w:val="single" w:sz="6" w:space="0" w:color="auto"/>
              <w:right w:val="single" w:sz="6" w:space="0" w:color="auto"/>
            </w:tcBorders>
          </w:tcPr>
          <w:p w:rsidR="002B489A" w:rsidRDefault="004F19C4">
            <w:pPr>
              <w:pStyle w:val="Tablehead"/>
              <w:framePr w:hSpace="181" w:wrap="notBeside" w:vAnchor="text" w:hAnchor="text" w:xAlign="center" w:y="1"/>
            </w:pPr>
            <w:r>
              <w:t>23,6</w:t>
            </w:r>
            <w:r>
              <w:noBreakHyphen/>
              <w:t>24 GHz</w:t>
            </w:r>
          </w:p>
        </w:tc>
        <w:tc>
          <w:tcPr>
            <w:tcW w:w="2556" w:type="dxa"/>
            <w:gridSpan w:val="2"/>
            <w:tcBorders>
              <w:top w:val="single" w:sz="6" w:space="0" w:color="auto"/>
              <w:left w:val="single" w:sz="6" w:space="0" w:color="auto"/>
              <w:bottom w:val="single" w:sz="6" w:space="0" w:color="auto"/>
              <w:right w:val="single" w:sz="6" w:space="0" w:color="auto"/>
            </w:tcBorders>
          </w:tcPr>
          <w:p w:rsidR="002B489A" w:rsidRDefault="004F19C4">
            <w:pPr>
              <w:pStyle w:val="Tablehead"/>
              <w:framePr w:hSpace="181" w:wrap="notBeside" w:vAnchor="text" w:hAnchor="text" w:xAlign="center" w:y="1"/>
            </w:pPr>
            <w:r>
              <w:t>24</w:t>
            </w:r>
            <w:r>
              <w:noBreakHyphen/>
              <w:t>24,05 GHz</w:t>
            </w:r>
          </w:p>
        </w:tc>
      </w:tr>
      <w:tr w:rsidR="002B489A">
        <w:tc>
          <w:tcPr>
            <w:tcW w:w="2235" w:type="dxa"/>
            <w:tcBorders>
              <w:top w:val="single" w:sz="6" w:space="0" w:color="auto"/>
              <w:bottom w:val="single" w:sz="6" w:space="0" w:color="auto"/>
            </w:tcBorders>
          </w:tcPr>
          <w:p w:rsidR="002B489A" w:rsidRDefault="004F19C4">
            <w:pPr>
              <w:pStyle w:val="Tabletext"/>
              <w:framePr w:hSpace="181" w:wrap="notBeside" w:vAnchor="text" w:hAnchor="text" w:xAlign="center" w:y="1"/>
              <w:jc w:val="left"/>
            </w:pPr>
            <w:r>
              <w:t>FIXE</w:t>
            </w:r>
          </w:p>
          <w:p w:rsidR="002B489A" w:rsidRDefault="004F19C4">
            <w:pPr>
              <w:pStyle w:val="Tabletext"/>
              <w:framePr w:hSpace="181" w:wrap="notBeside" w:vAnchor="text" w:hAnchor="text" w:xAlign="center" w:y="1"/>
              <w:jc w:val="left"/>
            </w:pPr>
            <w:r>
              <w:t>INTER-SATELLITES</w:t>
            </w:r>
          </w:p>
          <w:p w:rsidR="002B489A" w:rsidRDefault="004F19C4">
            <w:pPr>
              <w:pStyle w:val="Tabletext"/>
              <w:framePr w:hSpace="181" w:wrap="notBeside" w:vAnchor="text" w:hAnchor="text" w:xAlign="center" w:y="1"/>
              <w:jc w:val="left"/>
            </w:pPr>
            <w:r>
              <w:t>MOBILE</w:t>
            </w:r>
            <w:r>
              <w:br/>
            </w:r>
            <w:r>
              <w:br/>
            </w:r>
          </w:p>
          <w:p w:rsidR="002B489A" w:rsidRDefault="004F19C4">
            <w:pPr>
              <w:pStyle w:val="Tabletext"/>
              <w:framePr w:hSpace="181" w:wrap="notBeside" w:vAnchor="text" w:hAnchor="text" w:xAlign="center" w:y="1"/>
              <w:jc w:val="left"/>
            </w:pPr>
            <w:r>
              <w:br/>
              <w:t>5.149</w:t>
            </w:r>
          </w:p>
        </w:tc>
        <w:tc>
          <w:tcPr>
            <w:tcW w:w="1744" w:type="dxa"/>
            <w:tcBorders>
              <w:top w:val="single" w:sz="6" w:space="0" w:color="auto"/>
              <w:bottom w:val="single" w:sz="6" w:space="0" w:color="auto"/>
            </w:tcBorders>
          </w:tcPr>
          <w:p w:rsidR="002B489A" w:rsidRDefault="004F19C4">
            <w:pPr>
              <w:pStyle w:val="Tabletext"/>
              <w:framePr w:hSpace="181" w:wrap="notBeside" w:vAnchor="text" w:hAnchor="text" w:xAlign="center" w:y="1"/>
              <w:jc w:val="left"/>
            </w:pPr>
            <w:r>
              <w:t>FIXE</w:t>
            </w:r>
          </w:p>
          <w:p w:rsidR="002B489A" w:rsidRDefault="004F19C4">
            <w:pPr>
              <w:pStyle w:val="Tabletext"/>
              <w:framePr w:hSpace="181" w:wrap="notBeside" w:vAnchor="text" w:hAnchor="text" w:xAlign="center" w:y="1"/>
              <w:jc w:val="left"/>
            </w:pPr>
            <w:r>
              <w:t>MOBILE</w:t>
            </w:r>
          </w:p>
        </w:tc>
        <w:tc>
          <w:tcPr>
            <w:tcW w:w="3114" w:type="dxa"/>
            <w:tcBorders>
              <w:top w:val="single" w:sz="6" w:space="0" w:color="auto"/>
              <w:bottom w:val="single" w:sz="6" w:space="0" w:color="auto"/>
            </w:tcBorders>
          </w:tcPr>
          <w:p w:rsidR="002B489A" w:rsidRDefault="004F19C4">
            <w:pPr>
              <w:pStyle w:val="Tabletext"/>
              <w:framePr w:hSpace="181" w:wrap="notBeside" w:vAnchor="text" w:hAnchor="text" w:xAlign="center" w:y="1"/>
              <w:jc w:val="left"/>
            </w:pPr>
            <w:r>
              <w:t>EXPLORATION DE LA TERRE PAR SATELLITE (passive)</w:t>
            </w:r>
          </w:p>
          <w:p w:rsidR="002B489A" w:rsidRDefault="004F19C4">
            <w:pPr>
              <w:pStyle w:val="Tabletext"/>
              <w:framePr w:hSpace="181" w:wrap="notBeside" w:vAnchor="text" w:hAnchor="text" w:xAlign="center" w:y="1"/>
              <w:jc w:val="left"/>
            </w:pPr>
            <w:r>
              <w:t>RADIOASTRONOMIE</w:t>
            </w:r>
          </w:p>
          <w:p w:rsidR="002B489A" w:rsidRDefault="004F19C4">
            <w:pPr>
              <w:pStyle w:val="Tabletext"/>
              <w:framePr w:hSpace="181" w:wrap="notBeside" w:vAnchor="text" w:hAnchor="text" w:xAlign="center" w:y="1"/>
              <w:jc w:val="left"/>
            </w:pPr>
            <w:r>
              <w:t>RECHERCHE SPATIALE (passive)</w:t>
            </w:r>
          </w:p>
          <w:p w:rsidR="002B489A" w:rsidRDefault="004F19C4">
            <w:pPr>
              <w:pStyle w:val="Tabletext"/>
              <w:framePr w:hSpace="181" w:wrap="notBeside" w:vAnchor="text" w:hAnchor="text" w:xAlign="center" w:y="1"/>
              <w:jc w:val="left"/>
            </w:pPr>
            <w:r>
              <w:t>5.340</w:t>
            </w:r>
          </w:p>
        </w:tc>
        <w:tc>
          <w:tcPr>
            <w:tcW w:w="2556" w:type="dxa"/>
            <w:gridSpan w:val="2"/>
            <w:tcBorders>
              <w:top w:val="single" w:sz="6" w:space="0" w:color="auto"/>
              <w:bottom w:val="single" w:sz="6" w:space="0" w:color="auto"/>
            </w:tcBorders>
          </w:tcPr>
          <w:p w:rsidR="002B489A" w:rsidRDefault="004F19C4">
            <w:pPr>
              <w:pStyle w:val="Tabletext"/>
              <w:framePr w:hSpace="181" w:wrap="notBeside" w:vAnchor="text" w:hAnchor="text" w:xAlign="center" w:y="1"/>
              <w:jc w:val="left"/>
            </w:pPr>
            <w:r>
              <w:t>AMATEUR</w:t>
            </w:r>
          </w:p>
          <w:p w:rsidR="002B489A" w:rsidRDefault="004F19C4">
            <w:pPr>
              <w:pStyle w:val="Tabletext"/>
              <w:framePr w:hSpace="181" w:wrap="notBeside" w:vAnchor="text" w:hAnchor="text" w:xAlign="center" w:y="1"/>
              <w:jc w:val="left"/>
            </w:pPr>
            <w:r>
              <w:t>AMATEUR PAR SATELLITE</w:t>
            </w:r>
          </w:p>
          <w:p w:rsidR="002B489A" w:rsidRDefault="004F19C4">
            <w:pPr>
              <w:pStyle w:val="Tabletext"/>
              <w:framePr w:hSpace="181" w:wrap="notBeside" w:vAnchor="text" w:hAnchor="text" w:xAlign="center" w:y="1"/>
              <w:jc w:val="left"/>
            </w:pPr>
            <w:r>
              <w:br/>
            </w:r>
            <w:r>
              <w:br/>
            </w:r>
          </w:p>
          <w:p w:rsidR="002B489A" w:rsidRDefault="004F19C4">
            <w:pPr>
              <w:pStyle w:val="Tabletext"/>
              <w:framePr w:hSpace="181" w:wrap="notBeside" w:vAnchor="text" w:hAnchor="text" w:xAlign="center" w:y="1"/>
              <w:jc w:val="left"/>
            </w:pPr>
            <w:r>
              <w:t>5.150</w:t>
            </w:r>
          </w:p>
        </w:tc>
      </w:tr>
      <w:tr w:rsidR="002B489A">
        <w:trPr>
          <w:gridAfter w:val="1"/>
          <w:wAfter w:w="38" w:type="dxa"/>
          <w:cantSplit/>
        </w:trPr>
        <w:tc>
          <w:tcPr>
            <w:tcW w:w="9649" w:type="dxa"/>
            <w:gridSpan w:val="4"/>
            <w:tcBorders>
              <w:top w:val="single" w:sz="6" w:space="0" w:color="auto"/>
              <w:left w:val="nil"/>
              <w:bottom w:val="nil"/>
              <w:right w:val="nil"/>
            </w:tcBorders>
          </w:tcPr>
          <w:p w:rsidR="002B489A" w:rsidRDefault="004F19C4">
            <w:pPr>
              <w:pStyle w:val="Tablelegend"/>
              <w:framePr w:hSpace="181" w:wrap="notBeside" w:vAnchor="text" w:hAnchor="text" w:xAlign="center" w:y="1"/>
            </w:pPr>
            <w:r>
              <w:t>NOTE 1 – L'attribution entre satellites peut être utilisée pour des systèmes OSG ou non OSG.</w:t>
            </w:r>
          </w:p>
        </w:tc>
      </w:tr>
    </w:tbl>
    <w:p w:rsidR="002B489A" w:rsidRDefault="002B489A">
      <w:pPr>
        <w:pStyle w:val="Tablefin"/>
        <w:rPr>
          <w:lang w:val="fr-FR"/>
        </w:rPr>
      </w:pPr>
    </w:p>
    <w:p w:rsidR="002B489A" w:rsidRDefault="004F19C4">
      <w:pPr>
        <w:pStyle w:val="Heading2"/>
      </w:pPr>
      <w:r>
        <w:t>1.3</w:t>
      </w:r>
      <w:r>
        <w:tab/>
        <w:t>Critères de protection requis</w:t>
      </w:r>
    </w:p>
    <w:p w:rsidR="002B489A" w:rsidRDefault="004F19C4">
      <w:r>
        <w:t>Les trois Recommandations ci-dessous établissent les critères de brouillage pour les détecteurs passifs.</w:t>
      </w:r>
    </w:p>
    <w:p w:rsidR="002B489A" w:rsidRDefault="004F19C4">
      <w:pPr>
        <w:pStyle w:val="enumlev1"/>
        <w:tabs>
          <w:tab w:val="clear" w:pos="794"/>
          <w:tab w:val="clear" w:pos="1191"/>
          <w:tab w:val="clear" w:pos="1588"/>
          <w:tab w:val="clear" w:pos="1985"/>
          <w:tab w:val="left" w:pos="3515"/>
        </w:tabs>
        <w:ind w:left="3515" w:hanging="3515"/>
      </w:pPr>
      <w:r>
        <w:t>Recommandation UIT-R SA.515 –</w:t>
      </w:r>
      <w:r>
        <w:tab/>
        <w:t xml:space="preserve">Bandes de fréquences et largeurs de bande utilisées pour la télédétection passive par satellite. </w:t>
      </w:r>
    </w:p>
    <w:p w:rsidR="002B489A" w:rsidRDefault="004F19C4">
      <w:pPr>
        <w:pStyle w:val="enumlev1"/>
        <w:tabs>
          <w:tab w:val="clear" w:pos="794"/>
          <w:tab w:val="clear" w:pos="1191"/>
          <w:tab w:val="clear" w:pos="1588"/>
          <w:tab w:val="clear" w:pos="1985"/>
          <w:tab w:val="left" w:pos="3515"/>
        </w:tabs>
        <w:spacing w:before="60"/>
        <w:ind w:left="3515" w:hanging="3515"/>
      </w:pPr>
      <w:r>
        <w:t>Recommandation UIT-R SA.1028 –</w:t>
      </w:r>
      <w:r>
        <w:tab/>
        <w:t>Critères de qualité de fonctionnement pour la télédétection passive par satellite.</w:t>
      </w:r>
    </w:p>
    <w:p w:rsidR="002B489A" w:rsidRDefault="004F19C4">
      <w:pPr>
        <w:pStyle w:val="enumlev1"/>
        <w:tabs>
          <w:tab w:val="clear" w:pos="794"/>
          <w:tab w:val="clear" w:pos="1191"/>
          <w:tab w:val="clear" w:pos="1588"/>
          <w:tab w:val="clear" w:pos="1985"/>
          <w:tab w:val="left" w:pos="3515"/>
        </w:tabs>
        <w:spacing w:before="60"/>
        <w:ind w:left="3515" w:hanging="3515"/>
      </w:pPr>
      <w:r>
        <w:t>Recommandation UIT-R SA.1029 –</w:t>
      </w:r>
      <w:r>
        <w:tab/>
        <w:t>Critères de brouillage dans la télédétection passive par satellite.</w:t>
      </w:r>
    </w:p>
    <w:p w:rsidR="002B489A" w:rsidRDefault="004F19C4">
      <w:pPr>
        <w:spacing w:after="120"/>
      </w:pPr>
      <w:r>
        <w:t>Les critères applicables aux mesures sont les suivants:</w:t>
      </w:r>
    </w:p>
    <w:p w:rsidR="002B489A" w:rsidRDefault="004F19C4">
      <w:pPr>
        <w:pStyle w:val="enumlev1"/>
      </w:pPr>
      <w:r>
        <w:t>–</w:t>
      </w:r>
      <w:r>
        <w:tab/>
        <w:t>le premier critère est la puissance brouilleuse maximale reçue par le détecteur SETS de toutes les sources potentielles de brouillage. Le seuil de brouillage est –163 dBW dans une largeur de bande de référence de 100 MHz;</w:t>
      </w:r>
    </w:p>
    <w:p w:rsidR="002B489A" w:rsidRDefault="004F19C4">
      <w:pPr>
        <w:pStyle w:val="enumlev1"/>
      </w:pPr>
      <w:r>
        <w:t>–</w:t>
      </w:r>
      <w:r>
        <w:tab/>
        <w:t>le second est la proportion maximale tolérable de perte de cellules de mesure à cause du brouillage.</w:t>
      </w:r>
    </w:p>
    <w:p w:rsidR="002B489A" w:rsidRDefault="004F19C4">
      <w:pPr>
        <w:spacing w:after="120"/>
      </w:pPr>
      <w:r>
        <w:t>Pour les instruments à balayage conique, la proportion de cellules de mesure perdues à cause du dépassement du seuil ne doit pas excéder 5% dans les cas où les événements de brouillage sont aléatoires et 1% lorsque les événements de brouillage sont systématiques. Dans la mesure où le SIS n'est pas aléatoire, le critère de 1% s'applique.</w:t>
      </w:r>
    </w:p>
    <w:p w:rsidR="002B489A" w:rsidRDefault="004F19C4">
      <w:pPr>
        <w:spacing w:after="120"/>
      </w:pPr>
      <w:r>
        <w:t>Pour les sondeurs de nadir utilisés pour les mesures tridimensionnelles de la température atmosphérique ou la concentration de gaz, la proportion de cellules de mesure perdues à cause du brouillage ne doit pas excéder 0,01%. La limite de cette fréquence d'occurrence est valide pour les sondeurs à balayage mécanique et les sondeurs de nadir en peigne.</w:t>
      </w:r>
    </w:p>
    <w:p w:rsidR="002B489A" w:rsidRDefault="004F19C4">
      <w:pPr>
        <w:pStyle w:val="Heading2"/>
      </w:pPr>
      <w:r>
        <w:t>1.4</w:t>
      </w:r>
      <w:r>
        <w:tab/>
        <w:t>Caractéristiques de fonctionnement</w:t>
      </w:r>
    </w:p>
    <w:p w:rsidR="002B489A" w:rsidRDefault="004F19C4">
      <w:pPr>
        <w:pStyle w:val="Heading3"/>
      </w:pPr>
      <w:r>
        <w:t>1.4.1</w:t>
      </w:r>
      <w:r>
        <w:tab/>
        <w:t>Instruments à balayage conique</w:t>
      </w:r>
    </w:p>
    <w:p w:rsidR="002B489A" w:rsidRDefault="004F19C4">
      <w:pPr>
        <w:spacing w:after="120"/>
        <w:ind w:right="-142"/>
      </w:pPr>
      <w:r>
        <w:t>Les principales caractéristiques des détecteurs à balayage mécanique typiques figurent au Tableau 34.</w:t>
      </w:r>
    </w:p>
    <w:p w:rsidR="002B489A" w:rsidRDefault="004F19C4">
      <w:pPr>
        <w:pStyle w:val="TableNo"/>
      </w:pPr>
      <w:r>
        <w:br w:type="page"/>
        <w:t>TABLEAU  34</w:t>
      </w:r>
    </w:p>
    <w:p w:rsidR="002B489A" w:rsidRDefault="004F19C4">
      <w:pPr>
        <w:pStyle w:val="Tabletitle"/>
      </w:pPr>
      <w:r>
        <w:t>Caractéristiques typiques des détecteurs à balayage conique</w:t>
      </w:r>
    </w:p>
    <w:tbl>
      <w:tblPr>
        <w:tblW w:w="0" w:type="auto"/>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402"/>
        <w:gridCol w:w="2098"/>
        <w:gridCol w:w="2098"/>
        <w:gridCol w:w="2098"/>
      </w:tblGrid>
      <w:tr w:rsidR="002B489A">
        <w:trPr>
          <w:trHeight w:val="53"/>
        </w:trPr>
        <w:tc>
          <w:tcPr>
            <w:tcW w:w="3402" w:type="dxa"/>
            <w:tcMar>
              <w:left w:w="85" w:type="dxa"/>
              <w:right w:w="85" w:type="dxa"/>
            </w:tcMar>
          </w:tcPr>
          <w:p w:rsidR="002B489A" w:rsidRDefault="004F19C4">
            <w:pPr>
              <w:pStyle w:val="Tablehead"/>
              <w:framePr w:hSpace="181" w:wrap="notBeside" w:vAnchor="text" w:hAnchor="text" w:xAlign="center" w:y="1"/>
              <w:rPr>
                <w:lang w:val="es-ES"/>
              </w:rPr>
            </w:pPr>
            <w:r>
              <w:rPr>
                <w:lang w:val="es-ES"/>
              </w:rPr>
              <w:t>Canal 23,6-24 GHz</w:t>
            </w:r>
          </w:p>
        </w:tc>
        <w:tc>
          <w:tcPr>
            <w:tcW w:w="2098" w:type="dxa"/>
            <w:tcMar>
              <w:left w:w="85" w:type="dxa"/>
              <w:right w:w="85" w:type="dxa"/>
            </w:tcMar>
          </w:tcPr>
          <w:p w:rsidR="002B489A" w:rsidRDefault="004F19C4">
            <w:pPr>
              <w:pStyle w:val="Tablehead"/>
              <w:framePr w:hSpace="181" w:wrap="notBeside" w:vAnchor="text" w:hAnchor="text" w:xAlign="center" w:y="1"/>
              <w:rPr>
                <w:lang w:val="es-ES"/>
              </w:rPr>
            </w:pPr>
            <w:r>
              <w:rPr>
                <w:lang w:val="es-ES"/>
              </w:rPr>
              <w:t>MEGHA-TROPIC</w:t>
            </w:r>
          </w:p>
        </w:tc>
        <w:tc>
          <w:tcPr>
            <w:tcW w:w="2098" w:type="dxa"/>
            <w:tcMar>
              <w:left w:w="85" w:type="dxa"/>
              <w:right w:w="85" w:type="dxa"/>
            </w:tcMar>
          </w:tcPr>
          <w:p w:rsidR="002B489A" w:rsidRDefault="004F19C4">
            <w:pPr>
              <w:pStyle w:val="Tablehead"/>
              <w:framePr w:hSpace="181" w:wrap="notBeside" w:vAnchor="text" w:hAnchor="text" w:xAlign="center" w:y="1"/>
              <w:rPr>
                <w:lang w:val="es-ES"/>
              </w:rPr>
            </w:pPr>
            <w:r>
              <w:rPr>
                <w:lang w:val="es-ES"/>
              </w:rPr>
              <w:t>EOS-AMSR-E</w:t>
            </w:r>
          </w:p>
        </w:tc>
        <w:tc>
          <w:tcPr>
            <w:tcW w:w="2098" w:type="dxa"/>
            <w:tcMar>
              <w:left w:w="85" w:type="dxa"/>
              <w:right w:w="85" w:type="dxa"/>
            </w:tcMar>
          </w:tcPr>
          <w:p w:rsidR="002B489A" w:rsidRDefault="004F19C4">
            <w:pPr>
              <w:pStyle w:val="Tablehead"/>
              <w:framePr w:hSpace="181" w:wrap="notBeside" w:vAnchor="text" w:hAnchor="text" w:xAlign="center" w:y="1"/>
              <w:rPr>
                <w:lang w:val="es-ES"/>
              </w:rPr>
            </w:pPr>
            <w:r>
              <w:rPr>
                <w:rFonts w:hint="eastAsia"/>
                <w:lang w:val="es-ES"/>
              </w:rPr>
              <w:t>ADEOS-II AMSR</w:t>
            </w:r>
          </w:p>
        </w:tc>
      </w:tr>
      <w:tr w:rsidR="002B489A">
        <w:tc>
          <w:tcPr>
            <w:tcW w:w="3402" w:type="dxa"/>
            <w:tcMar>
              <w:left w:w="85" w:type="dxa"/>
              <w:right w:w="85" w:type="dxa"/>
            </w:tcMar>
          </w:tcPr>
          <w:p w:rsidR="002B489A" w:rsidRDefault="004F19C4">
            <w:pPr>
              <w:pStyle w:val="Tabletext"/>
              <w:framePr w:hSpace="181" w:wrap="notBeside" w:vAnchor="text" w:hAnchor="text" w:xAlign="center" w:y="1"/>
              <w:jc w:val="left"/>
            </w:pPr>
            <w:r>
              <w:t>Largeur de bande de canal (MHz)</w:t>
            </w:r>
          </w:p>
        </w:tc>
        <w:tc>
          <w:tcPr>
            <w:tcW w:w="2098" w:type="dxa"/>
            <w:tcMar>
              <w:left w:w="85" w:type="dxa"/>
              <w:right w:w="85" w:type="dxa"/>
            </w:tcMar>
          </w:tcPr>
          <w:p w:rsidR="002B489A" w:rsidRDefault="004F19C4">
            <w:pPr>
              <w:pStyle w:val="Tabletext"/>
              <w:framePr w:hSpace="181" w:wrap="notBeside" w:vAnchor="text" w:hAnchor="text" w:xAlign="center" w:y="1"/>
              <w:jc w:val="center"/>
            </w:pPr>
            <w:r>
              <w:t>400</w:t>
            </w:r>
          </w:p>
        </w:tc>
        <w:tc>
          <w:tcPr>
            <w:tcW w:w="2098" w:type="dxa"/>
            <w:tcMar>
              <w:left w:w="85" w:type="dxa"/>
              <w:right w:w="85" w:type="dxa"/>
            </w:tcMar>
          </w:tcPr>
          <w:p w:rsidR="002B489A" w:rsidRDefault="004F19C4">
            <w:pPr>
              <w:pStyle w:val="Tabletext"/>
              <w:framePr w:hSpace="181" w:wrap="notBeside" w:vAnchor="text" w:hAnchor="text" w:xAlign="center" w:y="1"/>
              <w:jc w:val="center"/>
            </w:pPr>
            <w:r>
              <w:t>400</w:t>
            </w:r>
          </w:p>
        </w:tc>
        <w:tc>
          <w:tcPr>
            <w:tcW w:w="2098" w:type="dxa"/>
            <w:tcMar>
              <w:left w:w="85" w:type="dxa"/>
              <w:right w:w="85" w:type="dxa"/>
            </w:tcMar>
          </w:tcPr>
          <w:p w:rsidR="002B489A" w:rsidRDefault="004F19C4">
            <w:pPr>
              <w:pStyle w:val="Tabletext"/>
              <w:framePr w:hSpace="181" w:wrap="notBeside" w:vAnchor="text" w:hAnchor="text" w:xAlign="center" w:y="1"/>
              <w:jc w:val="center"/>
            </w:pPr>
            <w:r>
              <w:rPr>
                <w:rFonts w:hint="eastAsia"/>
              </w:rPr>
              <w:t>400</w:t>
            </w:r>
          </w:p>
        </w:tc>
      </w:tr>
      <w:tr w:rsidR="002B489A">
        <w:tc>
          <w:tcPr>
            <w:tcW w:w="3402" w:type="dxa"/>
            <w:tcMar>
              <w:left w:w="85" w:type="dxa"/>
              <w:right w:w="85" w:type="dxa"/>
            </w:tcMar>
          </w:tcPr>
          <w:p w:rsidR="002B489A" w:rsidRDefault="004F19C4">
            <w:pPr>
              <w:pStyle w:val="Tabletext"/>
              <w:framePr w:hSpace="181" w:wrap="notBeside" w:vAnchor="text" w:hAnchor="text" w:xAlign="center" w:y="1"/>
              <w:jc w:val="left"/>
              <w:rPr>
                <w:lang w:val="fr-CH"/>
              </w:rPr>
            </w:pPr>
            <w:r>
              <w:t>Taille de pixel sur la piste (</w:t>
            </w:r>
            <w:r>
              <w:rPr>
                <w:lang w:val="fr-CH"/>
              </w:rPr>
              <w:t>km)</w:t>
            </w:r>
          </w:p>
        </w:tc>
        <w:tc>
          <w:tcPr>
            <w:tcW w:w="2098" w:type="dxa"/>
            <w:tcMar>
              <w:left w:w="85" w:type="dxa"/>
              <w:right w:w="85" w:type="dxa"/>
            </w:tcMar>
          </w:tcPr>
          <w:p w:rsidR="002B489A" w:rsidRDefault="004F19C4">
            <w:pPr>
              <w:pStyle w:val="Tabletext"/>
              <w:framePr w:hSpace="181" w:wrap="notBeside" w:vAnchor="text" w:hAnchor="text" w:xAlign="center" w:y="1"/>
              <w:jc w:val="center"/>
              <w:rPr>
                <w:lang w:val="fr-CH"/>
              </w:rPr>
            </w:pPr>
            <w:r>
              <w:rPr>
                <w:lang w:val="fr-CH"/>
              </w:rPr>
              <w:t>35,4</w:t>
            </w:r>
          </w:p>
        </w:tc>
        <w:tc>
          <w:tcPr>
            <w:tcW w:w="2098" w:type="dxa"/>
            <w:tcMar>
              <w:left w:w="85" w:type="dxa"/>
              <w:right w:w="85" w:type="dxa"/>
            </w:tcMar>
          </w:tcPr>
          <w:p w:rsidR="002B489A" w:rsidRDefault="004F19C4">
            <w:pPr>
              <w:pStyle w:val="Tabletext"/>
              <w:framePr w:hSpace="181" w:wrap="notBeside" w:vAnchor="text" w:hAnchor="text" w:xAlign="center" w:y="1"/>
              <w:jc w:val="center"/>
              <w:rPr>
                <w:lang w:val="fr-CH"/>
              </w:rPr>
            </w:pPr>
            <w:r>
              <w:rPr>
                <w:lang w:val="fr-CH"/>
              </w:rPr>
              <w:t>17,6</w:t>
            </w:r>
          </w:p>
        </w:tc>
        <w:tc>
          <w:tcPr>
            <w:tcW w:w="2098" w:type="dxa"/>
            <w:tcMar>
              <w:left w:w="85" w:type="dxa"/>
              <w:right w:w="85" w:type="dxa"/>
            </w:tcMar>
          </w:tcPr>
          <w:p w:rsidR="002B489A" w:rsidRDefault="004F19C4">
            <w:pPr>
              <w:pStyle w:val="Tabletext"/>
              <w:framePr w:hSpace="181" w:wrap="notBeside" w:vAnchor="text" w:hAnchor="text" w:xAlign="center" w:y="1"/>
              <w:jc w:val="center"/>
              <w:rPr>
                <w:lang w:val="fr-CH"/>
              </w:rPr>
            </w:pPr>
            <w:r>
              <w:rPr>
                <w:rFonts w:hint="eastAsia"/>
                <w:lang w:val="fr-CH"/>
              </w:rPr>
              <w:t>16</w:t>
            </w:r>
            <w:r>
              <w:rPr>
                <w:lang w:val="fr-CH"/>
              </w:rPr>
              <w:t>,</w:t>
            </w:r>
            <w:r>
              <w:rPr>
                <w:rFonts w:hint="eastAsia"/>
                <w:lang w:val="fr-CH"/>
              </w:rPr>
              <w:t>6</w:t>
            </w:r>
          </w:p>
        </w:tc>
      </w:tr>
      <w:tr w:rsidR="002B489A">
        <w:tc>
          <w:tcPr>
            <w:tcW w:w="3402" w:type="dxa"/>
            <w:tcMar>
              <w:left w:w="85" w:type="dxa"/>
              <w:right w:w="85" w:type="dxa"/>
            </w:tcMar>
          </w:tcPr>
          <w:p w:rsidR="002B489A" w:rsidRDefault="004F19C4">
            <w:pPr>
              <w:pStyle w:val="Tabletext"/>
              <w:framePr w:hSpace="181" w:wrap="notBeside" w:vAnchor="text" w:hAnchor="text" w:xAlign="center" w:y="1"/>
              <w:jc w:val="left"/>
            </w:pPr>
            <w:r>
              <w:t>Efficacité du faisceau (%)</w:t>
            </w:r>
          </w:p>
        </w:tc>
        <w:tc>
          <w:tcPr>
            <w:tcW w:w="2098" w:type="dxa"/>
            <w:tcMar>
              <w:left w:w="85" w:type="dxa"/>
              <w:right w:w="85" w:type="dxa"/>
            </w:tcMar>
          </w:tcPr>
          <w:p w:rsidR="002B489A" w:rsidRDefault="004F19C4">
            <w:pPr>
              <w:pStyle w:val="Tabletext"/>
              <w:framePr w:hSpace="181" w:wrap="notBeside" w:vAnchor="text" w:hAnchor="text" w:xAlign="center" w:y="1"/>
              <w:jc w:val="center"/>
            </w:pPr>
            <w:r>
              <w:t>96</w:t>
            </w:r>
          </w:p>
        </w:tc>
        <w:tc>
          <w:tcPr>
            <w:tcW w:w="2098" w:type="dxa"/>
            <w:tcMar>
              <w:left w:w="85" w:type="dxa"/>
              <w:right w:w="85" w:type="dxa"/>
            </w:tcMar>
          </w:tcPr>
          <w:p w:rsidR="002B489A" w:rsidRDefault="004F19C4">
            <w:pPr>
              <w:pStyle w:val="Tabletext"/>
              <w:framePr w:hSpace="181" w:wrap="notBeside" w:vAnchor="text" w:hAnchor="text" w:xAlign="center" w:y="1"/>
              <w:jc w:val="center"/>
            </w:pPr>
            <w:r>
              <w:t>97</w:t>
            </w:r>
          </w:p>
        </w:tc>
        <w:tc>
          <w:tcPr>
            <w:tcW w:w="2098" w:type="dxa"/>
            <w:tcMar>
              <w:left w:w="85" w:type="dxa"/>
              <w:right w:w="85" w:type="dxa"/>
            </w:tcMar>
          </w:tcPr>
          <w:p w:rsidR="002B489A" w:rsidRDefault="004F19C4">
            <w:pPr>
              <w:pStyle w:val="Tabletext"/>
              <w:framePr w:hSpace="181" w:wrap="notBeside" w:vAnchor="text" w:hAnchor="text" w:xAlign="center" w:y="1"/>
              <w:jc w:val="center"/>
            </w:pPr>
            <w:r>
              <w:rPr>
                <w:rFonts w:hint="eastAsia"/>
              </w:rPr>
              <w:t>96</w:t>
            </w:r>
          </w:p>
        </w:tc>
      </w:tr>
      <w:tr w:rsidR="002B489A">
        <w:tc>
          <w:tcPr>
            <w:tcW w:w="3402" w:type="dxa"/>
            <w:tcMar>
              <w:left w:w="85" w:type="dxa"/>
              <w:right w:w="85" w:type="dxa"/>
            </w:tcMar>
          </w:tcPr>
          <w:p w:rsidR="002B489A" w:rsidRDefault="004F19C4">
            <w:pPr>
              <w:pStyle w:val="Tabletext"/>
              <w:framePr w:hSpace="181" w:wrap="notBeside" w:vAnchor="text" w:hAnchor="text" w:xAlign="center" w:y="1"/>
              <w:jc w:val="left"/>
            </w:pPr>
            <w:r>
              <w:t>Angle d'incidence i au centre de l'empreinte (degrés)</w:t>
            </w:r>
          </w:p>
        </w:tc>
        <w:tc>
          <w:tcPr>
            <w:tcW w:w="2098" w:type="dxa"/>
            <w:tcMar>
              <w:left w:w="85" w:type="dxa"/>
              <w:right w:w="85" w:type="dxa"/>
            </w:tcMar>
          </w:tcPr>
          <w:p w:rsidR="002B489A" w:rsidRDefault="004F19C4">
            <w:pPr>
              <w:pStyle w:val="Tabletext"/>
              <w:framePr w:hSpace="181" w:wrap="notBeside" w:vAnchor="text" w:hAnchor="text" w:xAlign="center" w:y="1"/>
              <w:jc w:val="center"/>
            </w:pPr>
            <w:r>
              <w:t>52,3</w:t>
            </w:r>
          </w:p>
        </w:tc>
        <w:tc>
          <w:tcPr>
            <w:tcW w:w="2098" w:type="dxa"/>
            <w:tcMar>
              <w:left w:w="85" w:type="dxa"/>
              <w:right w:w="85" w:type="dxa"/>
            </w:tcMar>
          </w:tcPr>
          <w:p w:rsidR="002B489A" w:rsidRDefault="004F19C4">
            <w:pPr>
              <w:pStyle w:val="Tabletext"/>
              <w:framePr w:hSpace="181" w:wrap="notBeside" w:vAnchor="text" w:hAnchor="text" w:xAlign="center" w:y="1"/>
              <w:jc w:val="center"/>
            </w:pPr>
            <w:r>
              <w:t>55</w:t>
            </w:r>
          </w:p>
        </w:tc>
        <w:tc>
          <w:tcPr>
            <w:tcW w:w="2098" w:type="dxa"/>
            <w:tcMar>
              <w:left w:w="85" w:type="dxa"/>
              <w:right w:w="85" w:type="dxa"/>
            </w:tcMar>
          </w:tcPr>
          <w:p w:rsidR="002B489A" w:rsidRDefault="004F19C4">
            <w:pPr>
              <w:pStyle w:val="Tabletext"/>
              <w:framePr w:hSpace="181" w:wrap="notBeside" w:vAnchor="text" w:hAnchor="text" w:xAlign="center" w:y="1"/>
              <w:jc w:val="center"/>
            </w:pPr>
            <w:r>
              <w:rPr>
                <w:rFonts w:hint="eastAsia"/>
              </w:rPr>
              <w:t>55</w:t>
            </w:r>
          </w:p>
        </w:tc>
      </w:tr>
      <w:tr w:rsidR="002B489A">
        <w:tc>
          <w:tcPr>
            <w:tcW w:w="3402" w:type="dxa"/>
            <w:tcMar>
              <w:left w:w="85" w:type="dxa"/>
              <w:right w:w="85" w:type="dxa"/>
            </w:tcMar>
          </w:tcPr>
          <w:p w:rsidR="002B489A" w:rsidRDefault="004F19C4">
            <w:pPr>
              <w:pStyle w:val="Tabletext"/>
              <w:framePr w:hSpace="181" w:wrap="notBeside" w:vAnchor="text" w:hAnchor="text" w:xAlign="center" w:y="1"/>
              <w:jc w:val="left"/>
            </w:pPr>
            <w:r>
              <w:t>Altitude du satellite (</w:t>
            </w:r>
            <w:r>
              <w:rPr>
                <w:lang w:val="fr-CH"/>
              </w:rPr>
              <w:t>km)</w:t>
            </w:r>
          </w:p>
        </w:tc>
        <w:tc>
          <w:tcPr>
            <w:tcW w:w="2098" w:type="dxa"/>
            <w:tcMar>
              <w:left w:w="85" w:type="dxa"/>
              <w:right w:w="85" w:type="dxa"/>
            </w:tcMar>
          </w:tcPr>
          <w:p w:rsidR="002B489A" w:rsidRDefault="004F19C4">
            <w:pPr>
              <w:pStyle w:val="Tabletext"/>
              <w:framePr w:hSpace="181" w:wrap="notBeside" w:vAnchor="text" w:hAnchor="text" w:xAlign="center" w:y="1"/>
              <w:jc w:val="center"/>
              <w:rPr>
                <w:lang w:val="fr-CH"/>
              </w:rPr>
            </w:pPr>
            <w:r>
              <w:rPr>
                <w:lang w:val="fr-CH"/>
              </w:rPr>
              <w:t>817</w:t>
            </w:r>
          </w:p>
        </w:tc>
        <w:tc>
          <w:tcPr>
            <w:tcW w:w="2098" w:type="dxa"/>
            <w:tcMar>
              <w:left w:w="85" w:type="dxa"/>
              <w:right w:w="85" w:type="dxa"/>
            </w:tcMar>
          </w:tcPr>
          <w:p w:rsidR="002B489A" w:rsidRDefault="004F19C4">
            <w:pPr>
              <w:pStyle w:val="Tabletext"/>
              <w:framePr w:hSpace="181" w:wrap="notBeside" w:vAnchor="text" w:hAnchor="text" w:xAlign="center" w:y="1"/>
              <w:jc w:val="center"/>
              <w:rPr>
                <w:lang w:val="fr-CH"/>
              </w:rPr>
            </w:pPr>
            <w:r>
              <w:rPr>
                <w:lang w:val="fr-CH"/>
              </w:rPr>
              <w:t>705</w:t>
            </w:r>
          </w:p>
        </w:tc>
        <w:tc>
          <w:tcPr>
            <w:tcW w:w="2098" w:type="dxa"/>
            <w:tcMar>
              <w:left w:w="85" w:type="dxa"/>
              <w:right w:w="85" w:type="dxa"/>
            </w:tcMar>
          </w:tcPr>
          <w:p w:rsidR="002B489A" w:rsidRDefault="004F19C4">
            <w:pPr>
              <w:pStyle w:val="Tabletext"/>
              <w:framePr w:hSpace="181" w:wrap="notBeside" w:vAnchor="text" w:hAnchor="text" w:xAlign="center" w:y="1"/>
              <w:jc w:val="center"/>
              <w:rPr>
                <w:lang w:val="fr-CH"/>
              </w:rPr>
            </w:pPr>
            <w:r>
              <w:rPr>
                <w:rFonts w:hint="eastAsia"/>
                <w:lang w:val="fr-CH"/>
              </w:rPr>
              <w:t>803</w:t>
            </w:r>
          </w:p>
        </w:tc>
      </w:tr>
      <w:tr w:rsidR="002B489A">
        <w:tc>
          <w:tcPr>
            <w:tcW w:w="3402" w:type="dxa"/>
            <w:tcMar>
              <w:left w:w="85" w:type="dxa"/>
              <w:right w:w="85" w:type="dxa"/>
            </w:tcMar>
          </w:tcPr>
          <w:p w:rsidR="002B489A" w:rsidRDefault="004F19C4">
            <w:pPr>
              <w:pStyle w:val="Tabletext"/>
              <w:framePr w:hSpace="181" w:wrap="notBeside" w:vAnchor="text" w:hAnchor="text" w:xAlign="center" w:y="1"/>
              <w:jc w:val="left"/>
            </w:pPr>
            <w:r>
              <w:t>Gain d'antenne maximum (dBi)</w:t>
            </w:r>
          </w:p>
        </w:tc>
        <w:tc>
          <w:tcPr>
            <w:tcW w:w="2098" w:type="dxa"/>
            <w:tcMar>
              <w:left w:w="85" w:type="dxa"/>
              <w:right w:w="85" w:type="dxa"/>
            </w:tcMar>
          </w:tcPr>
          <w:p w:rsidR="002B489A" w:rsidRDefault="004F19C4">
            <w:pPr>
              <w:pStyle w:val="Tabletext"/>
              <w:framePr w:hSpace="181" w:wrap="notBeside" w:vAnchor="text" w:hAnchor="text" w:xAlign="center" w:y="1"/>
              <w:jc w:val="center"/>
            </w:pPr>
            <w:r>
              <w:t>40</w:t>
            </w:r>
          </w:p>
        </w:tc>
        <w:tc>
          <w:tcPr>
            <w:tcW w:w="2098" w:type="dxa"/>
            <w:tcMar>
              <w:left w:w="85" w:type="dxa"/>
              <w:right w:w="85" w:type="dxa"/>
            </w:tcMar>
          </w:tcPr>
          <w:p w:rsidR="002B489A" w:rsidRDefault="004F19C4">
            <w:pPr>
              <w:pStyle w:val="Tabletext"/>
              <w:framePr w:hSpace="181" w:wrap="notBeside" w:vAnchor="text" w:hAnchor="text" w:xAlign="center" w:y="1"/>
              <w:jc w:val="center"/>
            </w:pPr>
            <w:r>
              <w:t>46</w:t>
            </w:r>
          </w:p>
        </w:tc>
        <w:tc>
          <w:tcPr>
            <w:tcW w:w="2098" w:type="dxa"/>
            <w:tcMar>
              <w:left w:w="85" w:type="dxa"/>
              <w:right w:w="85" w:type="dxa"/>
            </w:tcMar>
          </w:tcPr>
          <w:p w:rsidR="002B489A" w:rsidRDefault="004F19C4">
            <w:pPr>
              <w:pStyle w:val="Tabletext"/>
              <w:framePr w:hSpace="181" w:wrap="notBeside" w:vAnchor="text" w:hAnchor="text" w:xAlign="center" w:y="1"/>
              <w:jc w:val="center"/>
            </w:pPr>
            <w:r>
              <w:rPr>
                <w:rFonts w:hint="eastAsia"/>
              </w:rPr>
              <w:t>48</w:t>
            </w:r>
          </w:p>
        </w:tc>
      </w:tr>
      <w:tr w:rsidR="002B489A">
        <w:tc>
          <w:tcPr>
            <w:tcW w:w="3402" w:type="dxa"/>
            <w:tcMar>
              <w:left w:w="85" w:type="dxa"/>
              <w:right w:w="85" w:type="dxa"/>
            </w:tcMar>
          </w:tcPr>
          <w:p w:rsidR="002B489A" w:rsidRDefault="004F19C4">
            <w:pPr>
              <w:pStyle w:val="Tabletext"/>
              <w:framePr w:hSpace="181" w:wrap="notBeside" w:vAnchor="text" w:hAnchor="text" w:xAlign="center" w:y="1"/>
              <w:jc w:val="left"/>
            </w:pPr>
            <w:r>
              <w:t xml:space="preserve">Diamètre du réflecteur </w:t>
            </w:r>
          </w:p>
        </w:tc>
        <w:tc>
          <w:tcPr>
            <w:tcW w:w="2098" w:type="dxa"/>
            <w:tcMar>
              <w:left w:w="85" w:type="dxa"/>
              <w:right w:w="85" w:type="dxa"/>
            </w:tcMar>
          </w:tcPr>
          <w:p w:rsidR="002B489A" w:rsidRDefault="004F19C4">
            <w:pPr>
              <w:pStyle w:val="Tabletext"/>
              <w:framePr w:hSpace="181" w:wrap="notBeside" w:vAnchor="text" w:hAnchor="text" w:xAlign="center" w:y="1"/>
              <w:jc w:val="center"/>
            </w:pPr>
            <w:r>
              <w:t>650 mm</w:t>
            </w:r>
          </w:p>
        </w:tc>
        <w:tc>
          <w:tcPr>
            <w:tcW w:w="2098" w:type="dxa"/>
            <w:tcMar>
              <w:left w:w="85" w:type="dxa"/>
              <w:right w:w="85" w:type="dxa"/>
            </w:tcMar>
          </w:tcPr>
          <w:p w:rsidR="002B489A" w:rsidRDefault="004F19C4">
            <w:pPr>
              <w:pStyle w:val="Tabletext"/>
              <w:framePr w:hSpace="181" w:wrap="notBeside" w:vAnchor="text" w:hAnchor="text" w:xAlign="center" w:y="1"/>
              <w:jc w:val="center"/>
            </w:pPr>
            <w:r>
              <w:t>1,6 m</w:t>
            </w:r>
          </w:p>
        </w:tc>
        <w:tc>
          <w:tcPr>
            <w:tcW w:w="2098" w:type="dxa"/>
            <w:tcMar>
              <w:left w:w="85" w:type="dxa"/>
              <w:right w:w="85" w:type="dxa"/>
            </w:tcMar>
          </w:tcPr>
          <w:p w:rsidR="002B489A" w:rsidRDefault="004F19C4">
            <w:pPr>
              <w:pStyle w:val="Tabletext"/>
              <w:framePr w:hSpace="181" w:wrap="notBeside" w:vAnchor="text" w:hAnchor="text" w:xAlign="center" w:y="1"/>
              <w:jc w:val="center"/>
            </w:pPr>
            <w:r>
              <w:rPr>
                <w:rFonts w:hint="eastAsia"/>
              </w:rPr>
              <w:t>2</w:t>
            </w:r>
            <w:r>
              <w:t>,</w:t>
            </w:r>
            <w:r>
              <w:rPr>
                <w:rFonts w:hint="eastAsia"/>
              </w:rPr>
              <w:t>0 m</w:t>
            </w:r>
          </w:p>
        </w:tc>
      </w:tr>
      <w:tr w:rsidR="002B489A">
        <w:tc>
          <w:tcPr>
            <w:tcW w:w="3402" w:type="dxa"/>
            <w:tcMar>
              <w:left w:w="85" w:type="dxa"/>
              <w:right w:w="85" w:type="dxa"/>
            </w:tcMar>
          </w:tcPr>
          <w:p w:rsidR="002B489A" w:rsidRDefault="004F19C4">
            <w:pPr>
              <w:pStyle w:val="Tabletext"/>
              <w:framePr w:hSpace="181" w:wrap="notBeside" w:vAnchor="text" w:hAnchor="text" w:xAlign="center" w:y="1"/>
              <w:jc w:val="left"/>
            </w:pPr>
            <w:r>
              <w:t xml:space="preserve">Ouverture du faisceau </w:t>
            </w:r>
            <w:r>
              <w:rPr>
                <w:rFonts w:ascii="Symbol" w:hAnsi="Symbol"/>
              </w:rPr>
              <w:sym w:font="Symbol" w:char="F071"/>
            </w:r>
            <w:r>
              <w:rPr>
                <w:vertAlign w:val="subscript"/>
              </w:rPr>
              <w:t>3 dB</w:t>
            </w:r>
            <w:r>
              <w:t xml:space="preserve"> de l'antenne à mi</w:t>
            </w:r>
            <w:r>
              <w:noBreakHyphen/>
              <w:t>puissance (degrés)</w:t>
            </w:r>
          </w:p>
        </w:tc>
        <w:tc>
          <w:tcPr>
            <w:tcW w:w="2098" w:type="dxa"/>
            <w:tcMar>
              <w:left w:w="85" w:type="dxa"/>
              <w:right w:w="85" w:type="dxa"/>
            </w:tcMar>
          </w:tcPr>
          <w:p w:rsidR="002B489A" w:rsidRDefault="004F19C4">
            <w:pPr>
              <w:pStyle w:val="Tabletext"/>
              <w:framePr w:hSpace="181" w:wrap="notBeside" w:vAnchor="text" w:hAnchor="text" w:xAlign="center" w:y="1"/>
              <w:jc w:val="center"/>
            </w:pPr>
            <w:r>
              <w:t>1,65</w:t>
            </w:r>
          </w:p>
        </w:tc>
        <w:tc>
          <w:tcPr>
            <w:tcW w:w="2098" w:type="dxa"/>
            <w:tcMar>
              <w:left w:w="85" w:type="dxa"/>
              <w:right w:w="85" w:type="dxa"/>
            </w:tcMar>
          </w:tcPr>
          <w:p w:rsidR="002B489A" w:rsidRDefault="004F19C4">
            <w:pPr>
              <w:pStyle w:val="Tabletext"/>
              <w:framePr w:hSpace="181" w:wrap="notBeside" w:vAnchor="text" w:hAnchor="text" w:xAlign="center" w:y="1"/>
              <w:jc w:val="center"/>
            </w:pPr>
            <w:r>
              <w:t>0,9</w:t>
            </w:r>
          </w:p>
        </w:tc>
        <w:tc>
          <w:tcPr>
            <w:tcW w:w="2098" w:type="dxa"/>
            <w:tcMar>
              <w:left w:w="85" w:type="dxa"/>
              <w:right w:w="85" w:type="dxa"/>
            </w:tcMar>
          </w:tcPr>
          <w:p w:rsidR="002B489A" w:rsidRDefault="004F19C4">
            <w:pPr>
              <w:pStyle w:val="Tabletext"/>
              <w:framePr w:hSpace="181" w:wrap="notBeside" w:vAnchor="text" w:hAnchor="text" w:xAlign="center" w:y="1"/>
              <w:jc w:val="center"/>
            </w:pPr>
            <w:r>
              <w:rPr>
                <w:rFonts w:hint="eastAsia"/>
              </w:rPr>
              <w:t>0</w:t>
            </w:r>
            <w:r>
              <w:t>,</w:t>
            </w:r>
            <w:r>
              <w:rPr>
                <w:rFonts w:hint="eastAsia"/>
              </w:rPr>
              <w:t>75</w:t>
            </w:r>
          </w:p>
        </w:tc>
      </w:tr>
    </w:tbl>
    <w:p w:rsidR="002B489A" w:rsidRDefault="002B489A">
      <w:pPr>
        <w:pStyle w:val="Tablefin"/>
      </w:pPr>
    </w:p>
    <w:p w:rsidR="002B489A" w:rsidRDefault="004F19C4">
      <w:r>
        <w:t>La taille de pixel sur la piste est calculée à partir du contour à –3 dB du diagramme d'antenne en tenant compte de l'altitude du satellite et de l'angle d'incidence de la vue directe du faisceau.</w:t>
      </w:r>
    </w:p>
    <w:p w:rsidR="002B489A" w:rsidRDefault="004F19C4">
      <w:pPr>
        <w:spacing w:after="120"/>
      </w:pPr>
      <w:r>
        <w:t xml:space="preserve">Il est important de noter que ces sortes de détecteurs SETS ne sont pas des satellites pointant au nadir mais des détecteurs SETS ayant une configuration de balayage conique centrée dans la direction du nadir. Il est important pour l'interprétation des mesures de surface de maintenir un angle d'incidence au sol constant tout le long de lignes de balayage entières. La géométrie des instruments à balayage coniques est décrite à la Fig. 27. La vitesse de rotation de l'instrument (mais pas du satellite) est </w:t>
      </w:r>
      <w:r>
        <w:rPr>
          <w:i/>
          <w:iCs/>
        </w:rPr>
        <w:t>w</w:t>
      </w:r>
      <w:r>
        <w:t> </w:t>
      </w:r>
      <w:r>
        <w:rPr>
          <w:rFonts w:ascii="Symbol" w:hAnsi="Symbol"/>
        </w:rPr>
        <w:t></w:t>
      </w:r>
      <w:r>
        <w:t> 20 tours par minute (tr/min) pour MEGHA-TROPIC et 40 tr/min pour EOS AMSR-E.</w:t>
      </w:r>
    </w:p>
    <w:p w:rsidR="002B489A" w:rsidRDefault="004F19C4">
      <w:r>
        <w:t>La configuration des détecteurs à balayage conique est présentée à la Fig. 27.</w:t>
      </w:r>
    </w:p>
    <w:p w:rsidR="002B489A" w:rsidRDefault="004F19C4">
      <w:r>
        <w:t>Les caractéristiques géométriques typiques de cette sorte d'instrument sont fondées sur les suivantes (pour une altitude d'environ 850 km):</w:t>
      </w:r>
    </w:p>
    <w:p w:rsidR="002B489A" w:rsidRDefault="004F19C4">
      <w:pPr>
        <w:pStyle w:val="enumlev1"/>
      </w:pPr>
      <w:r>
        <w:t>–</w:t>
      </w:r>
      <w:r>
        <w:tab/>
        <w:t xml:space="preserve">l'angle d'incidence au sol </w:t>
      </w:r>
      <w:r>
        <w:rPr>
          <w:i/>
          <w:iCs/>
        </w:rPr>
        <w:t>i</w:t>
      </w:r>
      <w:r>
        <w:t xml:space="preserve"> au centre de l'empreinte est d'environ 50°;</w:t>
      </w:r>
    </w:p>
    <w:p w:rsidR="002B489A" w:rsidRDefault="004F19C4">
      <w:pPr>
        <w:pStyle w:val="enumlev1"/>
      </w:pPr>
      <w:r>
        <w:t>–</w:t>
      </w:r>
      <w:r>
        <w:tab/>
        <w:t xml:space="preserve">l'angle de décalage du SETS par rapport au nadir ou demi angle conique </w:t>
      </w:r>
      <w:r>
        <w:rPr>
          <w:rFonts w:ascii="Symbol" w:hAnsi="Symbol"/>
        </w:rPr>
        <w:sym w:font="Symbol" w:char="F061"/>
      </w:r>
      <w:r>
        <w:t xml:space="preserve"> à la direction du nadir est d'environ 44°;</w:t>
      </w:r>
    </w:p>
    <w:p w:rsidR="002B489A" w:rsidRDefault="004F19C4">
      <w:pPr>
        <w:pStyle w:val="enumlev1"/>
      </w:pPr>
      <w:r>
        <w:t>–</w:t>
      </w:r>
      <w:r>
        <w:tab/>
        <w:t>la largeur du couloir utile est d'environ 1</w:t>
      </w:r>
      <w:r>
        <w:rPr>
          <w:rFonts w:ascii="Tms Rmn" w:hAnsi="Tms Rmn"/>
          <w:sz w:val="12"/>
        </w:rPr>
        <w:t> </w:t>
      </w:r>
      <w:r>
        <w:t>600 km; et</w:t>
      </w:r>
    </w:p>
    <w:p w:rsidR="002B489A" w:rsidRDefault="004F19C4">
      <w:pPr>
        <w:pStyle w:val="enumlev1"/>
      </w:pPr>
      <w:r>
        <w:t>–</w:t>
      </w:r>
      <w:r>
        <w:tab/>
        <w:t>la période de balayage est choisie de façon à assurer la pleine couverture et le temps d'intégration optimal (résolution radiométrique).</w:t>
      </w:r>
    </w:p>
    <w:p w:rsidR="002B489A" w:rsidRDefault="004F19C4">
      <w:pPr>
        <w:spacing w:after="120"/>
      </w:pPr>
      <w:r>
        <w:t>Les Fig. 28 et 29 ci-dessous montrent le schéma de gain relatif d'antenne par rapport au gain maximum respectivement du satellite MEGHA-TROPIC et de EOS AMSR-E.</w:t>
      </w:r>
    </w:p>
    <w:p w:rsidR="002B489A" w:rsidRDefault="004F19C4">
      <w:pPr>
        <w:pStyle w:val="Heading3"/>
      </w:pPr>
      <w:r>
        <w:t>1.4.2</w:t>
      </w:r>
      <w:r>
        <w:tab/>
        <w:t>Caractéristiques de fonctionnement des instruments de nadir</w:t>
      </w:r>
    </w:p>
    <w:p w:rsidR="002B489A" w:rsidRDefault="004F19C4">
      <w:r>
        <w:t>Les détecteurs passifs de nadir retenus pour la présente analyse sont le SHP, un instrument de balayage mécanique à piste croisée autour de la direction du nadir, et le sondeur vertical en peigne. Le sondeur en peigne est un instrument purement statique sans partie mobile. La caractéristique majeure du sondeur en peigne est que tous les pixels d'une ligne de balayage sont acquis simultanément, et non pas en séquence comme pour les détecteurs à balayage mécanique (c'est</w:t>
      </w:r>
      <w:r>
        <w:noBreakHyphen/>
        <w:t>à</w:t>
      </w:r>
      <w:r>
        <w:noBreakHyphen/>
        <w:t xml:space="preserve">dire du type SHP), ce qui permet d'augmenter de façon significative le temps d'intégration </w:t>
      </w:r>
      <w:r>
        <w:br w:type="page"/>
        <w:t>et la résolution radiométrique réalisable. Le sondeur en peigne incorpore une antenne d'acquisition de données fixe pointée dans la direction du nadir et une antenne dédiée à l'étalonnage de l'espace obscur. Dans le cas du SHP, l'étalonnage est mis en œuvre une fois par révolution de balayage par l'antenne principale lorsqu'elle regarde dans la direction de l'espace obscur. Les principales caractéristiques de ces détecteurs sont données au Tableau 35.</w:t>
      </w:r>
    </w:p>
    <w:p w:rsidR="002B489A" w:rsidRDefault="0006728D">
      <w:pPr>
        <w:pStyle w:val="FigureNo"/>
        <w:spacing w:after="120"/>
      </w:pPr>
      <w:r>
        <w:rPr>
          <w:noProof/>
          <w:lang w:val="fr-CH" w:eastAsia="fr-CH"/>
        </w:rPr>
        <w:drawing>
          <wp:inline distT="0" distB="0" distL="0" distR="0">
            <wp:extent cx="5057775" cy="44291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57775" cy="4429125"/>
                    </a:xfrm>
                    <a:prstGeom prst="rect">
                      <a:avLst/>
                    </a:prstGeom>
                    <a:noFill/>
                    <a:ln>
                      <a:noFill/>
                    </a:ln>
                  </pic:spPr>
                </pic:pic>
              </a:graphicData>
            </a:graphic>
          </wp:inline>
        </w:drawing>
      </w:r>
    </w:p>
    <w:p w:rsidR="002B489A" w:rsidRDefault="0006728D">
      <w:pPr>
        <w:pStyle w:val="FigureNo"/>
        <w:spacing w:before="240" w:after="0"/>
      </w:pPr>
      <w:r>
        <w:rPr>
          <w:noProof/>
          <w:lang w:val="fr-CH" w:eastAsia="fr-CH"/>
        </w:rPr>
        <w:drawing>
          <wp:inline distT="0" distB="0" distL="0" distR="0">
            <wp:extent cx="3724275" cy="31337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24275" cy="3133725"/>
                    </a:xfrm>
                    <a:prstGeom prst="rect">
                      <a:avLst/>
                    </a:prstGeom>
                    <a:noFill/>
                    <a:ln>
                      <a:noFill/>
                    </a:ln>
                  </pic:spPr>
                </pic:pic>
              </a:graphicData>
            </a:graphic>
          </wp:inline>
        </w:drawing>
      </w:r>
    </w:p>
    <w:p w:rsidR="002B489A" w:rsidRDefault="0006728D">
      <w:pPr>
        <w:pStyle w:val="FigureNo"/>
        <w:spacing w:before="0" w:after="0"/>
      </w:pPr>
      <w:r>
        <w:rPr>
          <w:noProof/>
          <w:lang w:val="fr-CH" w:eastAsia="fr-CH"/>
        </w:rPr>
        <w:drawing>
          <wp:inline distT="0" distB="0" distL="0" distR="0">
            <wp:extent cx="3705225" cy="31337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05225" cy="3133725"/>
                    </a:xfrm>
                    <a:prstGeom prst="rect">
                      <a:avLst/>
                    </a:prstGeom>
                    <a:noFill/>
                    <a:ln>
                      <a:noFill/>
                    </a:ln>
                  </pic:spPr>
                </pic:pic>
              </a:graphicData>
            </a:graphic>
          </wp:inline>
        </w:drawing>
      </w:r>
    </w:p>
    <w:p w:rsidR="002B489A" w:rsidRDefault="002B489A"/>
    <w:p w:rsidR="002B489A" w:rsidRDefault="004F19C4">
      <w:pPr>
        <w:pStyle w:val="TableNo"/>
      </w:pPr>
      <w:r>
        <w:t>TABLEAU  35</w:t>
      </w:r>
    </w:p>
    <w:p w:rsidR="002B489A" w:rsidRDefault="004F19C4">
      <w:pPr>
        <w:pStyle w:val="Tabletitle"/>
      </w:pPr>
      <w:r>
        <w:t>Caractéristiques des détecteurs de nadir</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06"/>
        <w:gridCol w:w="2159"/>
        <w:gridCol w:w="2174"/>
      </w:tblGrid>
      <w:tr w:rsidR="002B489A">
        <w:trPr>
          <w:trHeight w:val="320"/>
        </w:trPr>
        <w:tc>
          <w:tcPr>
            <w:tcW w:w="5306" w:type="dxa"/>
          </w:tcPr>
          <w:p w:rsidR="002B489A" w:rsidRDefault="004F19C4">
            <w:pPr>
              <w:pStyle w:val="Tablehead"/>
              <w:framePr w:hSpace="181" w:wrap="notBeside" w:vAnchor="text" w:hAnchor="text" w:xAlign="center" w:y="1"/>
            </w:pPr>
            <w:r>
              <w:t>Paramètres</w:t>
            </w:r>
          </w:p>
        </w:tc>
        <w:tc>
          <w:tcPr>
            <w:tcW w:w="2159" w:type="dxa"/>
          </w:tcPr>
          <w:p w:rsidR="002B489A" w:rsidRDefault="004F19C4">
            <w:pPr>
              <w:pStyle w:val="Tablehead"/>
              <w:framePr w:hSpace="181" w:wrap="notBeside" w:vAnchor="text" w:hAnchor="text" w:xAlign="center" w:y="1"/>
            </w:pPr>
            <w:r>
              <w:t>SHP</w:t>
            </w:r>
          </w:p>
        </w:tc>
        <w:tc>
          <w:tcPr>
            <w:tcW w:w="2174" w:type="dxa"/>
          </w:tcPr>
          <w:p w:rsidR="002B489A" w:rsidRDefault="004F19C4">
            <w:pPr>
              <w:pStyle w:val="Tablehead"/>
              <w:framePr w:hSpace="181" w:wrap="notBeside" w:vAnchor="text" w:hAnchor="text" w:xAlign="center" w:y="1"/>
            </w:pPr>
            <w:r>
              <w:t>Sondeur en peigne</w:t>
            </w:r>
          </w:p>
        </w:tc>
      </w:tr>
      <w:tr w:rsidR="002B489A">
        <w:trPr>
          <w:trHeight w:val="320"/>
        </w:trPr>
        <w:tc>
          <w:tcPr>
            <w:tcW w:w="5306" w:type="dxa"/>
          </w:tcPr>
          <w:p w:rsidR="002B489A" w:rsidRDefault="004F19C4">
            <w:pPr>
              <w:pStyle w:val="Tabletext"/>
              <w:framePr w:hSpace="181" w:wrap="notBeside" w:vAnchor="text" w:hAnchor="text" w:xAlign="center" w:y="1"/>
              <w:jc w:val="left"/>
            </w:pPr>
            <w:r>
              <w:t>Gain d'antenne principale (dBi)</w:t>
            </w:r>
          </w:p>
        </w:tc>
        <w:tc>
          <w:tcPr>
            <w:tcW w:w="2159" w:type="dxa"/>
          </w:tcPr>
          <w:p w:rsidR="002B489A" w:rsidRDefault="004F19C4">
            <w:pPr>
              <w:pStyle w:val="Tabletext"/>
              <w:framePr w:hSpace="181" w:wrap="notBeside" w:vAnchor="text" w:hAnchor="text" w:xAlign="center" w:y="1"/>
              <w:jc w:val="center"/>
            </w:pPr>
            <w:r>
              <w:t>36</w:t>
            </w:r>
          </w:p>
        </w:tc>
        <w:tc>
          <w:tcPr>
            <w:tcW w:w="2174" w:type="dxa"/>
          </w:tcPr>
          <w:p w:rsidR="002B489A" w:rsidRDefault="004F19C4">
            <w:pPr>
              <w:pStyle w:val="Tabletext"/>
              <w:framePr w:hSpace="181" w:wrap="notBeside" w:vAnchor="text" w:hAnchor="text" w:xAlign="center" w:y="1"/>
              <w:jc w:val="center"/>
            </w:pPr>
            <w:r>
              <w:t>45</w:t>
            </w:r>
          </w:p>
        </w:tc>
      </w:tr>
      <w:tr w:rsidR="002B489A">
        <w:trPr>
          <w:trHeight w:val="320"/>
        </w:trPr>
        <w:tc>
          <w:tcPr>
            <w:tcW w:w="5306" w:type="dxa"/>
          </w:tcPr>
          <w:p w:rsidR="002B489A" w:rsidRDefault="004F19C4">
            <w:pPr>
              <w:pStyle w:val="Tabletext"/>
              <w:framePr w:hSpace="181" w:wrap="notBeside" w:vAnchor="text" w:hAnchor="text" w:xAlign="center" w:y="1"/>
              <w:jc w:val="left"/>
            </w:pPr>
            <w:r>
              <w:t>Gain du lobe arrière d'antenne (dBi)</w:t>
            </w:r>
          </w:p>
        </w:tc>
        <w:tc>
          <w:tcPr>
            <w:tcW w:w="2159" w:type="dxa"/>
          </w:tcPr>
          <w:p w:rsidR="002B489A" w:rsidRDefault="004F19C4">
            <w:pPr>
              <w:pStyle w:val="Tabletext"/>
              <w:framePr w:hSpace="181" w:wrap="notBeside" w:vAnchor="text" w:hAnchor="text" w:xAlign="center" w:y="1"/>
              <w:jc w:val="center"/>
            </w:pPr>
            <w:r>
              <w:t>–10</w:t>
            </w:r>
          </w:p>
        </w:tc>
        <w:tc>
          <w:tcPr>
            <w:tcW w:w="2174" w:type="dxa"/>
          </w:tcPr>
          <w:p w:rsidR="002B489A" w:rsidRDefault="004F19C4">
            <w:pPr>
              <w:pStyle w:val="Tabletext"/>
              <w:framePr w:hSpace="181" w:wrap="notBeside" w:vAnchor="text" w:hAnchor="text" w:xAlign="center" w:y="1"/>
              <w:jc w:val="center"/>
            </w:pPr>
            <w:r>
              <w:t>–12</w:t>
            </w:r>
          </w:p>
        </w:tc>
      </w:tr>
      <w:tr w:rsidR="002B489A">
        <w:trPr>
          <w:trHeight w:val="320"/>
        </w:trPr>
        <w:tc>
          <w:tcPr>
            <w:tcW w:w="5306" w:type="dxa"/>
          </w:tcPr>
          <w:p w:rsidR="002B489A" w:rsidRDefault="004F19C4">
            <w:pPr>
              <w:pStyle w:val="Tabletext"/>
              <w:framePr w:hSpace="181" w:wrap="notBeside" w:vAnchor="text" w:hAnchor="text" w:xAlign="center" w:y="1"/>
              <w:jc w:val="left"/>
            </w:pPr>
            <w:r>
              <w:t>Champ de vision instantanée à –3 dB (degrés)</w:t>
            </w:r>
          </w:p>
        </w:tc>
        <w:tc>
          <w:tcPr>
            <w:tcW w:w="2159" w:type="dxa"/>
          </w:tcPr>
          <w:p w:rsidR="002B489A" w:rsidRDefault="004F19C4">
            <w:pPr>
              <w:pStyle w:val="Tabletext"/>
              <w:framePr w:hSpace="181" w:wrap="notBeside" w:vAnchor="text" w:hAnchor="text" w:xAlign="center" w:y="1"/>
              <w:jc w:val="center"/>
            </w:pPr>
            <w:r>
              <w:t>3,3</w:t>
            </w:r>
          </w:p>
        </w:tc>
        <w:tc>
          <w:tcPr>
            <w:tcW w:w="2174" w:type="dxa"/>
          </w:tcPr>
          <w:p w:rsidR="002B489A" w:rsidRDefault="004F19C4">
            <w:pPr>
              <w:pStyle w:val="Tabletext"/>
              <w:framePr w:hSpace="181" w:wrap="notBeside" w:vAnchor="text" w:hAnchor="text" w:xAlign="center" w:y="1"/>
              <w:jc w:val="center"/>
            </w:pPr>
            <w:r>
              <w:t>1,1</w:t>
            </w:r>
          </w:p>
        </w:tc>
      </w:tr>
      <w:tr w:rsidR="002B489A">
        <w:trPr>
          <w:trHeight w:val="320"/>
        </w:trPr>
        <w:tc>
          <w:tcPr>
            <w:tcW w:w="5306" w:type="dxa"/>
          </w:tcPr>
          <w:p w:rsidR="002B489A" w:rsidRDefault="004F19C4">
            <w:pPr>
              <w:pStyle w:val="Tabletext"/>
              <w:framePr w:hSpace="181" w:wrap="notBeside" w:vAnchor="text" w:hAnchor="text" w:xAlign="center" w:y="1"/>
              <w:jc w:val="left"/>
            </w:pPr>
            <w:r>
              <w:t>Champ de vision total le long/en travers de piste (degrés)</w:t>
            </w:r>
          </w:p>
        </w:tc>
        <w:tc>
          <w:tcPr>
            <w:tcW w:w="2159" w:type="dxa"/>
          </w:tcPr>
          <w:p w:rsidR="002B489A" w:rsidRDefault="004F19C4">
            <w:pPr>
              <w:pStyle w:val="Tabletext"/>
              <w:framePr w:hSpace="181" w:wrap="notBeside" w:vAnchor="text" w:hAnchor="text" w:xAlign="center" w:y="1"/>
              <w:jc w:val="center"/>
            </w:pPr>
            <w:r>
              <w:t>100/3,3</w:t>
            </w:r>
          </w:p>
        </w:tc>
        <w:tc>
          <w:tcPr>
            <w:tcW w:w="2174" w:type="dxa"/>
          </w:tcPr>
          <w:p w:rsidR="002B489A" w:rsidRDefault="004F19C4">
            <w:pPr>
              <w:pStyle w:val="Tabletext"/>
              <w:framePr w:hSpace="181" w:wrap="notBeside" w:vAnchor="text" w:hAnchor="text" w:xAlign="center" w:y="1"/>
              <w:jc w:val="center"/>
            </w:pPr>
            <w:r>
              <w:t>100/1,1</w:t>
            </w:r>
          </w:p>
        </w:tc>
      </w:tr>
      <w:tr w:rsidR="002B489A">
        <w:trPr>
          <w:trHeight w:val="320"/>
        </w:trPr>
        <w:tc>
          <w:tcPr>
            <w:tcW w:w="5306" w:type="dxa"/>
          </w:tcPr>
          <w:p w:rsidR="002B489A" w:rsidRDefault="004F19C4">
            <w:pPr>
              <w:pStyle w:val="Tabletext"/>
              <w:framePr w:hSpace="181" w:wrap="notBeside" w:vAnchor="text" w:hAnchor="text" w:xAlign="center" w:y="1"/>
              <w:jc w:val="left"/>
            </w:pPr>
            <w:r>
              <w:t>Taille de pixel (km)</w:t>
            </w:r>
          </w:p>
        </w:tc>
        <w:tc>
          <w:tcPr>
            <w:tcW w:w="2159" w:type="dxa"/>
          </w:tcPr>
          <w:p w:rsidR="002B489A" w:rsidRDefault="004F19C4">
            <w:pPr>
              <w:pStyle w:val="Tabletext"/>
              <w:framePr w:hSpace="181" w:wrap="notBeside" w:vAnchor="text" w:hAnchor="text" w:xAlign="center" w:y="1"/>
              <w:jc w:val="center"/>
            </w:pPr>
            <w:r>
              <w:t>45</w:t>
            </w:r>
          </w:p>
        </w:tc>
        <w:tc>
          <w:tcPr>
            <w:tcW w:w="2174" w:type="dxa"/>
          </w:tcPr>
          <w:p w:rsidR="002B489A" w:rsidRDefault="004F19C4">
            <w:pPr>
              <w:pStyle w:val="Tabletext"/>
              <w:framePr w:hSpace="181" w:wrap="notBeside" w:vAnchor="text" w:hAnchor="text" w:xAlign="center" w:y="1"/>
              <w:jc w:val="center"/>
            </w:pPr>
            <w:r>
              <w:t>16</w:t>
            </w:r>
          </w:p>
        </w:tc>
      </w:tr>
      <w:tr w:rsidR="002B489A">
        <w:trPr>
          <w:trHeight w:val="320"/>
        </w:trPr>
        <w:tc>
          <w:tcPr>
            <w:tcW w:w="5306" w:type="dxa"/>
          </w:tcPr>
          <w:p w:rsidR="002B489A" w:rsidRDefault="004F19C4">
            <w:pPr>
              <w:pStyle w:val="Tabletext"/>
              <w:framePr w:hSpace="181" w:wrap="notBeside" w:vAnchor="text" w:hAnchor="text" w:xAlign="center" w:y="1"/>
              <w:jc w:val="left"/>
            </w:pPr>
            <w:r>
              <w:t>Nombre de pixels par ligne</w:t>
            </w:r>
          </w:p>
        </w:tc>
        <w:tc>
          <w:tcPr>
            <w:tcW w:w="2159" w:type="dxa"/>
          </w:tcPr>
          <w:p w:rsidR="002B489A" w:rsidRDefault="004F19C4">
            <w:pPr>
              <w:pStyle w:val="Tabletext"/>
              <w:framePr w:hSpace="181" w:wrap="notBeside" w:vAnchor="text" w:hAnchor="text" w:xAlign="center" w:y="1"/>
              <w:jc w:val="center"/>
            </w:pPr>
            <w:r>
              <w:t>30</w:t>
            </w:r>
          </w:p>
        </w:tc>
        <w:tc>
          <w:tcPr>
            <w:tcW w:w="2174" w:type="dxa"/>
          </w:tcPr>
          <w:p w:rsidR="002B489A" w:rsidRDefault="004F19C4">
            <w:pPr>
              <w:pStyle w:val="Tabletext"/>
              <w:framePr w:hSpace="181" w:wrap="notBeside" w:vAnchor="text" w:hAnchor="text" w:xAlign="center" w:y="1"/>
              <w:jc w:val="center"/>
            </w:pPr>
            <w:r>
              <w:t>90</w:t>
            </w:r>
          </w:p>
        </w:tc>
      </w:tr>
      <w:tr w:rsidR="002B489A">
        <w:trPr>
          <w:trHeight w:val="320"/>
        </w:trPr>
        <w:tc>
          <w:tcPr>
            <w:tcW w:w="5306" w:type="dxa"/>
          </w:tcPr>
          <w:p w:rsidR="002B489A" w:rsidRDefault="004F19C4">
            <w:pPr>
              <w:pStyle w:val="Tabletext"/>
              <w:framePr w:hSpace="181" w:wrap="notBeside" w:vAnchor="text" w:hAnchor="text" w:xAlign="center" w:y="1"/>
              <w:jc w:val="left"/>
            </w:pPr>
            <w:r>
              <w:t>Résolution radiométrique (K)</w:t>
            </w:r>
          </w:p>
        </w:tc>
        <w:tc>
          <w:tcPr>
            <w:tcW w:w="2159" w:type="dxa"/>
          </w:tcPr>
          <w:p w:rsidR="002B489A" w:rsidRDefault="004F19C4">
            <w:pPr>
              <w:pStyle w:val="Tabletext"/>
              <w:framePr w:hSpace="181" w:wrap="notBeside" w:vAnchor="text" w:hAnchor="text" w:xAlign="center" w:y="1"/>
              <w:jc w:val="center"/>
            </w:pPr>
            <w:r>
              <w:t>0,2</w:t>
            </w:r>
          </w:p>
        </w:tc>
        <w:tc>
          <w:tcPr>
            <w:tcW w:w="2174" w:type="dxa"/>
          </w:tcPr>
          <w:p w:rsidR="002B489A" w:rsidRDefault="004F19C4">
            <w:pPr>
              <w:pStyle w:val="Tabletext"/>
              <w:framePr w:hSpace="181" w:wrap="notBeside" w:vAnchor="text" w:hAnchor="text" w:xAlign="center" w:y="1"/>
              <w:jc w:val="center"/>
            </w:pPr>
            <w:r>
              <w:t>0,2</w:t>
            </w:r>
          </w:p>
        </w:tc>
      </w:tr>
      <w:tr w:rsidR="002B489A">
        <w:trPr>
          <w:trHeight w:val="320"/>
        </w:trPr>
        <w:tc>
          <w:tcPr>
            <w:tcW w:w="5306" w:type="dxa"/>
          </w:tcPr>
          <w:p w:rsidR="002B489A" w:rsidRDefault="004F19C4">
            <w:pPr>
              <w:pStyle w:val="Tabletext"/>
              <w:framePr w:hSpace="181" w:wrap="notBeside" w:vAnchor="text" w:hAnchor="text" w:xAlign="center" w:y="1"/>
              <w:jc w:val="left"/>
            </w:pPr>
            <w:r>
              <w:t>Densité seuil de brouillage (dB(W/100 MHz))</w:t>
            </w:r>
          </w:p>
        </w:tc>
        <w:tc>
          <w:tcPr>
            <w:tcW w:w="2159" w:type="dxa"/>
          </w:tcPr>
          <w:p w:rsidR="002B489A" w:rsidRDefault="004F19C4">
            <w:pPr>
              <w:pStyle w:val="Tabletext"/>
              <w:framePr w:hSpace="181" w:wrap="notBeside" w:vAnchor="text" w:hAnchor="text" w:xAlign="center" w:y="1"/>
              <w:jc w:val="center"/>
            </w:pPr>
            <w:r>
              <w:t>–163</w:t>
            </w:r>
          </w:p>
        </w:tc>
        <w:tc>
          <w:tcPr>
            <w:tcW w:w="2174" w:type="dxa"/>
          </w:tcPr>
          <w:p w:rsidR="002B489A" w:rsidRDefault="004F19C4">
            <w:pPr>
              <w:pStyle w:val="Tabletext"/>
              <w:framePr w:hSpace="181" w:wrap="notBeside" w:vAnchor="text" w:hAnchor="text" w:xAlign="center" w:y="1"/>
              <w:jc w:val="center"/>
            </w:pPr>
            <w:r>
              <w:t>–163</w:t>
            </w:r>
          </w:p>
        </w:tc>
      </w:tr>
      <w:tr w:rsidR="002B489A">
        <w:trPr>
          <w:trHeight w:val="320"/>
        </w:trPr>
        <w:tc>
          <w:tcPr>
            <w:tcW w:w="5306" w:type="dxa"/>
          </w:tcPr>
          <w:p w:rsidR="002B489A" w:rsidRDefault="004F19C4">
            <w:pPr>
              <w:pStyle w:val="Tabletext"/>
              <w:framePr w:hSpace="181" w:wrap="notBeside" w:vAnchor="text" w:hAnchor="text" w:xAlign="center" w:y="1"/>
              <w:jc w:val="left"/>
            </w:pPr>
            <w:r>
              <w:t>Altitude du détecteur (km)</w:t>
            </w:r>
          </w:p>
        </w:tc>
        <w:tc>
          <w:tcPr>
            <w:tcW w:w="2159" w:type="dxa"/>
          </w:tcPr>
          <w:p w:rsidR="002B489A" w:rsidRDefault="004F19C4">
            <w:pPr>
              <w:pStyle w:val="Tabletext"/>
              <w:framePr w:hSpace="181" w:wrap="notBeside" w:vAnchor="text" w:hAnchor="text" w:xAlign="center" w:y="1"/>
              <w:jc w:val="center"/>
            </w:pPr>
            <w:r>
              <w:t>850</w:t>
            </w:r>
          </w:p>
        </w:tc>
        <w:tc>
          <w:tcPr>
            <w:tcW w:w="2174" w:type="dxa"/>
          </w:tcPr>
          <w:p w:rsidR="002B489A" w:rsidRDefault="004F19C4">
            <w:pPr>
              <w:pStyle w:val="Tabletext"/>
              <w:framePr w:hSpace="181" w:wrap="notBeside" w:vAnchor="text" w:hAnchor="text" w:xAlign="center" w:y="1"/>
              <w:jc w:val="center"/>
            </w:pPr>
            <w:r>
              <w:t>850</w:t>
            </w:r>
          </w:p>
        </w:tc>
      </w:tr>
      <w:tr w:rsidR="002B489A">
        <w:trPr>
          <w:trHeight w:val="320"/>
        </w:trPr>
        <w:tc>
          <w:tcPr>
            <w:tcW w:w="5306" w:type="dxa"/>
          </w:tcPr>
          <w:p w:rsidR="002B489A" w:rsidRDefault="004F19C4">
            <w:pPr>
              <w:pStyle w:val="Tabletext"/>
              <w:framePr w:hSpace="181" w:wrap="notBeside" w:vAnchor="text" w:hAnchor="text" w:xAlign="center" w:y="1"/>
              <w:jc w:val="left"/>
            </w:pPr>
            <w:r>
              <w:t>Gain de l'antenne d'étalonnage de l'espace obscur (dBi)</w:t>
            </w:r>
          </w:p>
        </w:tc>
        <w:tc>
          <w:tcPr>
            <w:tcW w:w="2159" w:type="dxa"/>
          </w:tcPr>
          <w:p w:rsidR="002B489A" w:rsidRDefault="004F19C4">
            <w:pPr>
              <w:pStyle w:val="Tabletext"/>
              <w:framePr w:hSpace="181" w:wrap="notBeside" w:vAnchor="text" w:hAnchor="text" w:xAlign="center" w:y="1"/>
              <w:jc w:val="center"/>
            </w:pPr>
            <w:r>
              <w:t>36</w:t>
            </w:r>
          </w:p>
        </w:tc>
        <w:tc>
          <w:tcPr>
            <w:tcW w:w="2174" w:type="dxa"/>
          </w:tcPr>
          <w:p w:rsidR="002B489A" w:rsidRDefault="004F19C4">
            <w:pPr>
              <w:pStyle w:val="Tabletext"/>
              <w:framePr w:hSpace="181" w:wrap="notBeside" w:vAnchor="text" w:hAnchor="text" w:xAlign="center" w:y="1"/>
              <w:jc w:val="center"/>
            </w:pPr>
            <w:r>
              <w:t>35</w:t>
            </w:r>
          </w:p>
        </w:tc>
      </w:tr>
      <w:tr w:rsidR="002B489A">
        <w:trPr>
          <w:trHeight w:val="320"/>
        </w:trPr>
        <w:tc>
          <w:tcPr>
            <w:tcW w:w="5306" w:type="dxa"/>
          </w:tcPr>
          <w:p w:rsidR="002B489A" w:rsidRDefault="004F19C4">
            <w:pPr>
              <w:pStyle w:val="Tabletext"/>
              <w:framePr w:hSpace="181" w:wrap="notBeside" w:vAnchor="text" w:hAnchor="text" w:xAlign="center" w:y="1"/>
              <w:jc w:val="left"/>
            </w:pPr>
            <w:r>
              <w:t xml:space="preserve">Angle d'étalonnage de l'espace obscur </w:t>
            </w:r>
            <w:r>
              <w:br/>
              <w:t>(degrés par rapport à la piste du satellite)</w:t>
            </w:r>
          </w:p>
        </w:tc>
        <w:tc>
          <w:tcPr>
            <w:tcW w:w="2159" w:type="dxa"/>
          </w:tcPr>
          <w:p w:rsidR="002B489A" w:rsidRDefault="004F19C4">
            <w:pPr>
              <w:pStyle w:val="Tabletext"/>
              <w:framePr w:hSpace="181" w:wrap="notBeside" w:vAnchor="text" w:hAnchor="text" w:xAlign="center" w:y="1"/>
              <w:jc w:val="center"/>
            </w:pPr>
            <w:r>
              <w:t>90</w:t>
            </w:r>
          </w:p>
        </w:tc>
        <w:tc>
          <w:tcPr>
            <w:tcW w:w="2174" w:type="dxa"/>
          </w:tcPr>
          <w:p w:rsidR="002B489A" w:rsidRDefault="004F19C4">
            <w:pPr>
              <w:pStyle w:val="Tabletext"/>
              <w:framePr w:hSpace="181" w:wrap="notBeside" w:vAnchor="text" w:hAnchor="text" w:xAlign="center" w:y="1"/>
              <w:jc w:val="center"/>
            </w:pPr>
            <w:r>
              <w:t>90</w:t>
            </w:r>
          </w:p>
        </w:tc>
      </w:tr>
      <w:tr w:rsidR="002B489A">
        <w:trPr>
          <w:trHeight w:val="320"/>
        </w:trPr>
        <w:tc>
          <w:tcPr>
            <w:tcW w:w="5306" w:type="dxa"/>
          </w:tcPr>
          <w:p w:rsidR="002B489A" w:rsidRDefault="004F19C4">
            <w:pPr>
              <w:pStyle w:val="Tabletext"/>
              <w:framePr w:hSpace="181" w:wrap="notBeside" w:vAnchor="text" w:hAnchor="text" w:xAlign="center" w:y="1"/>
              <w:jc w:val="left"/>
            </w:pPr>
            <w:r>
              <w:t xml:space="preserve">Angle d'étalonnage de l'espace obscur </w:t>
            </w:r>
            <w:r>
              <w:br/>
              <w:t>(degrés par rapport à la direction du nadir)</w:t>
            </w:r>
          </w:p>
        </w:tc>
        <w:tc>
          <w:tcPr>
            <w:tcW w:w="2159" w:type="dxa"/>
          </w:tcPr>
          <w:p w:rsidR="002B489A" w:rsidRDefault="004F19C4">
            <w:pPr>
              <w:pStyle w:val="Tabletext"/>
              <w:framePr w:hSpace="181" w:wrap="notBeside" w:vAnchor="text" w:hAnchor="text" w:xAlign="center" w:y="1"/>
              <w:jc w:val="center"/>
            </w:pPr>
            <w:r>
              <w:t>83</w:t>
            </w:r>
          </w:p>
        </w:tc>
        <w:tc>
          <w:tcPr>
            <w:tcW w:w="2174" w:type="dxa"/>
          </w:tcPr>
          <w:p w:rsidR="002B489A" w:rsidRDefault="004F19C4">
            <w:pPr>
              <w:pStyle w:val="Tabletext"/>
              <w:framePr w:hSpace="181" w:wrap="notBeside" w:vAnchor="text" w:hAnchor="text" w:xAlign="center" w:y="1"/>
              <w:jc w:val="center"/>
            </w:pPr>
            <w:r>
              <w:t>83</w:t>
            </w:r>
          </w:p>
        </w:tc>
      </w:tr>
      <w:tr w:rsidR="002B489A">
        <w:trPr>
          <w:trHeight w:val="320"/>
        </w:trPr>
        <w:tc>
          <w:tcPr>
            <w:tcW w:w="5306" w:type="dxa"/>
          </w:tcPr>
          <w:p w:rsidR="002B489A" w:rsidRDefault="004F19C4">
            <w:pPr>
              <w:pStyle w:val="Tabletext"/>
              <w:framePr w:hSpace="181" w:wrap="notBeside" w:vAnchor="text" w:hAnchor="text" w:xAlign="center" w:y="1"/>
              <w:jc w:val="left"/>
            </w:pPr>
            <w:r>
              <w:t>Type de balayage</w:t>
            </w:r>
          </w:p>
        </w:tc>
        <w:tc>
          <w:tcPr>
            <w:tcW w:w="2159" w:type="dxa"/>
          </w:tcPr>
          <w:p w:rsidR="002B489A" w:rsidRDefault="004F19C4">
            <w:pPr>
              <w:pStyle w:val="Tabletext"/>
              <w:framePr w:hSpace="181" w:wrap="notBeside" w:vAnchor="text" w:hAnchor="text" w:xAlign="center" w:y="1"/>
              <w:jc w:val="center"/>
            </w:pPr>
            <w:r>
              <w:t>Mécanique</w:t>
            </w:r>
          </w:p>
        </w:tc>
        <w:tc>
          <w:tcPr>
            <w:tcW w:w="2174" w:type="dxa"/>
          </w:tcPr>
          <w:p w:rsidR="002B489A" w:rsidRDefault="004F19C4">
            <w:pPr>
              <w:pStyle w:val="Tabletext"/>
              <w:framePr w:hSpace="181" w:wrap="notBeside" w:vAnchor="text" w:hAnchor="text" w:xAlign="center" w:y="1"/>
              <w:jc w:val="center"/>
            </w:pPr>
            <w:r>
              <w:t>Electronique</w:t>
            </w:r>
          </w:p>
        </w:tc>
      </w:tr>
    </w:tbl>
    <w:p w:rsidR="002B489A" w:rsidRDefault="002B489A">
      <w:pPr>
        <w:pStyle w:val="Tablefin"/>
      </w:pPr>
    </w:p>
    <w:p w:rsidR="002B489A" w:rsidRDefault="002B489A">
      <w:pPr>
        <w:rPr>
          <w:lang w:val="en-GB"/>
        </w:rPr>
      </w:pPr>
    </w:p>
    <w:p w:rsidR="002B489A" w:rsidRDefault="004F19C4">
      <w:r>
        <w:br w:type="page"/>
        <w:t>La configuration orbitale de ces détecteurs est illustrée aux Fig. 30 et 31.</w:t>
      </w:r>
    </w:p>
    <w:p w:rsidR="002B489A" w:rsidRDefault="004F19C4">
      <w:pPr>
        <w:pStyle w:val="FigureNo"/>
      </w:pPr>
      <w:r>
        <w:object w:dxaOrig="7268" w:dyaOrig="6346">
          <v:shape id="_x0000_i1045" type="#_x0000_t75" style="width:364pt;height:317.5pt" o:ole="">
            <v:imagedata r:id="rId69" o:title=""/>
          </v:shape>
          <o:OLEObject Type="Embed" ProgID="Designer.Drawing.7" ShapeID="_x0000_i1045" DrawAspect="Content" ObjectID="_1649163291" r:id="rId70"/>
        </w:object>
      </w:r>
    </w:p>
    <w:p w:rsidR="002B489A" w:rsidRDefault="004F19C4">
      <w:pPr>
        <w:pStyle w:val="FigureNo"/>
      </w:pPr>
      <w:r>
        <w:object w:dxaOrig="7350" w:dyaOrig="5861">
          <v:shape id="_x0000_i1046" type="#_x0000_t75" style="width:367.5pt;height:293.5pt" o:ole="">
            <v:imagedata r:id="rId71" o:title=""/>
          </v:shape>
          <o:OLEObject Type="Embed" ProgID="Designer.Drawing.7" ShapeID="_x0000_i1046" DrawAspect="Content" ObjectID="_1649163292" r:id="rId72"/>
        </w:object>
      </w:r>
    </w:p>
    <w:p w:rsidR="002B489A" w:rsidRDefault="004F19C4">
      <w:pPr>
        <w:pStyle w:val="Heading1"/>
      </w:pPr>
      <w:r>
        <w:br w:type="page"/>
        <w:t>2</w:t>
      </w:r>
      <w:r>
        <w:tab/>
        <w:t>SIS</w:t>
      </w:r>
    </w:p>
    <w:p w:rsidR="002B489A" w:rsidRDefault="004F19C4">
      <w:pPr>
        <w:pStyle w:val="Heading2"/>
      </w:pPr>
      <w:r>
        <w:t>2.1</w:t>
      </w:r>
      <w:r>
        <w:tab/>
        <w:t>Bande d'émission attribuée</w:t>
      </w:r>
    </w:p>
    <w:p w:rsidR="002B489A" w:rsidRDefault="004F19C4">
      <w:r>
        <w:t>La bande d'émission considérée est la bande 22,55</w:t>
      </w:r>
      <w:r>
        <w:noBreakHyphen/>
        <w:t>23,55 GHz (voir le Tableau 33).</w:t>
      </w:r>
    </w:p>
    <w:p w:rsidR="002B489A" w:rsidRDefault="004F19C4">
      <w:pPr>
        <w:pStyle w:val="Heading2"/>
      </w:pPr>
      <w:r>
        <w:t>2.2</w:t>
      </w:r>
      <w:r>
        <w:tab/>
        <w:t>Application</w:t>
      </w:r>
    </w:p>
    <w:p w:rsidR="002B489A" w:rsidRDefault="004F19C4">
      <w:r>
        <w:t>Le service actif étudié dans la présente analyse est le SIS. La Recommandation UIT-R </w:t>
      </w:r>
      <w:r>
        <w:rPr>
          <w:bCs/>
        </w:rPr>
        <w:t xml:space="preserve">S.1328-3 </w:t>
      </w:r>
      <w:r>
        <w:t>contient les caractéristiques de systèmes à satellites à prendre en compte dans les analyses de partage des fréquences entre les systèmes OSG et non OSG dans le SFS incluant les liaisons de connexion du SMS. Cependant, la présente Recommandation ne contient pas d'informations sur les liaisons inter-satellites.</w:t>
      </w:r>
    </w:p>
    <w:p w:rsidR="002B489A" w:rsidRDefault="004F19C4">
      <w:pPr>
        <w:pStyle w:val="Heading2"/>
      </w:pPr>
      <w:r>
        <w:t>2.3</w:t>
      </w:r>
      <w:r>
        <w:tab/>
        <w:t>Niveaux fondés sur la représentation spectrale</w:t>
      </w:r>
    </w:p>
    <w:p w:rsidR="002B489A" w:rsidRDefault="004F19C4">
      <w:r>
        <w:t>La présente Annexe utilise la représentation spectrale par «cosinus surélevé» qui est décrite en Annexe 1.</w:t>
      </w:r>
    </w:p>
    <w:p w:rsidR="002B489A" w:rsidRDefault="004F19C4">
      <w:r>
        <w:t>Cette représentation spectrale est destinée aux études bande par bande et est provisoire, dans l'attente d'un nouvel examen à l'UIT-R. Elle représente d'une façon très générale la distribution de la puissance moyenne typique à travers les domaines hors bande et non essentiel dans l'attribution adjacente ou proche.</w:t>
      </w:r>
    </w:p>
    <w:p w:rsidR="002B489A" w:rsidRDefault="004F19C4">
      <w:pPr>
        <w:pStyle w:val="Heading2"/>
      </w:pPr>
      <w:r>
        <w:t>2.4</w:t>
      </w:r>
      <w:r>
        <w:tab/>
        <w:t>Caractéristiques de l'émetteur</w:t>
      </w:r>
    </w:p>
    <w:p w:rsidR="002B489A" w:rsidRDefault="004F19C4">
      <w:pPr>
        <w:pStyle w:val="Heading3"/>
      </w:pPr>
      <w:r>
        <w:t>2.4.1</w:t>
      </w:r>
      <w:r>
        <w:tab/>
        <w:t>Réseau à satellite non OSG Hib-Leo 2</w:t>
      </w:r>
    </w:p>
    <w:p w:rsidR="002B489A" w:rsidRDefault="004F19C4">
      <w:pPr>
        <w:spacing w:after="120"/>
      </w:pPr>
      <w:r>
        <w:t>Ce système est retenu pour l'étude de compatibilité avec des détecteurs à balayage conique. La présente étude, qui se fonde sur une analyse du cas le plus défavorable, est purement statique et ne considère pas les aspects temporels. Cependant, elle sera complétée d'une analyse dynamique, sur la base d'une constellation réelle. La seule constellation connue pour le moment est le système Hib</w:t>
      </w:r>
      <w:r>
        <w:noBreakHyphen/>
        <w:t>Leo 2. Les principales caractéristiques de ce système sont présentées au Tableau 36.</w:t>
      </w:r>
    </w:p>
    <w:p w:rsidR="002B489A" w:rsidRDefault="004F19C4">
      <w:pPr>
        <w:pStyle w:val="TableNo"/>
      </w:pPr>
      <w:r>
        <w:t>TABLEAU  36</w:t>
      </w:r>
    </w:p>
    <w:p w:rsidR="002B489A" w:rsidRDefault="004F19C4">
      <w:pPr>
        <w:pStyle w:val="Tabletitle"/>
      </w:pPr>
      <w:r>
        <w:t>Spécifications du système Hib-Leo 2</w:t>
      </w:r>
    </w:p>
    <w:tbl>
      <w:tblPr>
        <w:tblW w:w="9639"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A0" w:firstRow="1" w:lastRow="0" w:firstColumn="1" w:lastColumn="0" w:noHBand="0" w:noVBand="0"/>
      </w:tblPr>
      <w:tblGrid>
        <w:gridCol w:w="3828"/>
        <w:gridCol w:w="5811"/>
      </w:tblGrid>
      <w:tr w:rsidR="002B489A">
        <w:tc>
          <w:tcPr>
            <w:tcW w:w="3828" w:type="dxa"/>
          </w:tcPr>
          <w:p w:rsidR="002B489A" w:rsidRDefault="004F19C4">
            <w:pPr>
              <w:pStyle w:val="Tablehead"/>
              <w:framePr w:hSpace="181" w:wrap="notBeside" w:vAnchor="text" w:hAnchor="text" w:xAlign="center" w:y="1"/>
            </w:pPr>
            <w:r>
              <w:t>Paramètres du système</w:t>
            </w:r>
          </w:p>
        </w:tc>
        <w:tc>
          <w:tcPr>
            <w:tcW w:w="5811" w:type="dxa"/>
          </w:tcPr>
          <w:p w:rsidR="002B489A" w:rsidRDefault="004F19C4">
            <w:pPr>
              <w:pStyle w:val="Tablehead"/>
              <w:framePr w:hSpace="181" w:wrap="notBeside" w:vAnchor="text" w:hAnchor="text" w:xAlign="center" w:y="1"/>
            </w:pPr>
            <w:r>
              <w:t>Valeur</w:t>
            </w:r>
          </w:p>
        </w:tc>
      </w:tr>
      <w:tr w:rsidR="002B489A">
        <w:tc>
          <w:tcPr>
            <w:tcW w:w="3828" w:type="dxa"/>
          </w:tcPr>
          <w:p w:rsidR="002B489A" w:rsidRDefault="004F19C4">
            <w:pPr>
              <w:pStyle w:val="Tabletext"/>
              <w:framePr w:hSpace="181" w:wrap="notBeside" w:vAnchor="text" w:hAnchor="text" w:xAlign="center" w:y="1"/>
              <w:jc w:val="left"/>
            </w:pPr>
            <w:r>
              <w:t>Nombre de plans de satellite</w:t>
            </w:r>
          </w:p>
        </w:tc>
        <w:tc>
          <w:tcPr>
            <w:tcW w:w="5811" w:type="dxa"/>
          </w:tcPr>
          <w:p w:rsidR="002B489A" w:rsidRDefault="004F19C4">
            <w:pPr>
              <w:pStyle w:val="Tabletext"/>
              <w:framePr w:hSpace="181" w:wrap="notBeside" w:vAnchor="text" w:hAnchor="text" w:xAlign="center" w:y="1"/>
              <w:jc w:val="center"/>
            </w:pPr>
            <w:r>
              <w:t>6</w:t>
            </w:r>
          </w:p>
        </w:tc>
      </w:tr>
      <w:tr w:rsidR="002B489A">
        <w:tc>
          <w:tcPr>
            <w:tcW w:w="3828" w:type="dxa"/>
          </w:tcPr>
          <w:p w:rsidR="002B489A" w:rsidRDefault="004F19C4">
            <w:pPr>
              <w:pStyle w:val="Tabletext"/>
              <w:framePr w:hSpace="181" w:wrap="notBeside" w:vAnchor="text" w:hAnchor="text" w:xAlign="center" w:y="1"/>
              <w:jc w:val="left"/>
            </w:pPr>
            <w:r>
              <w:t>Nombre de satellites par plan</w:t>
            </w:r>
          </w:p>
        </w:tc>
        <w:tc>
          <w:tcPr>
            <w:tcW w:w="5811" w:type="dxa"/>
          </w:tcPr>
          <w:p w:rsidR="002B489A" w:rsidRDefault="004F19C4">
            <w:pPr>
              <w:pStyle w:val="Tabletext"/>
              <w:framePr w:hSpace="181" w:wrap="notBeside" w:vAnchor="text" w:hAnchor="text" w:xAlign="center" w:y="1"/>
              <w:jc w:val="center"/>
            </w:pPr>
            <w:r>
              <w:t>11</w:t>
            </w:r>
          </w:p>
        </w:tc>
      </w:tr>
      <w:tr w:rsidR="002B489A">
        <w:tc>
          <w:tcPr>
            <w:tcW w:w="3828" w:type="dxa"/>
          </w:tcPr>
          <w:p w:rsidR="002B489A" w:rsidRDefault="004F19C4">
            <w:pPr>
              <w:pStyle w:val="Tabletext"/>
              <w:framePr w:hSpace="181" w:wrap="notBeside" w:vAnchor="text" w:hAnchor="text" w:xAlign="center" w:y="1"/>
              <w:jc w:val="left"/>
            </w:pPr>
            <w:r>
              <w:t>Altitude nominale</w:t>
            </w:r>
          </w:p>
        </w:tc>
        <w:tc>
          <w:tcPr>
            <w:tcW w:w="5811" w:type="dxa"/>
          </w:tcPr>
          <w:p w:rsidR="002B489A" w:rsidRDefault="004F19C4">
            <w:pPr>
              <w:pStyle w:val="Tabletext"/>
              <w:framePr w:hSpace="181" w:wrap="notBeside" w:vAnchor="text" w:hAnchor="text" w:xAlign="center" w:y="1"/>
              <w:jc w:val="center"/>
            </w:pPr>
            <w:r>
              <w:t>780</w:t>
            </w:r>
          </w:p>
        </w:tc>
      </w:tr>
      <w:tr w:rsidR="002B489A">
        <w:tc>
          <w:tcPr>
            <w:tcW w:w="3828" w:type="dxa"/>
          </w:tcPr>
          <w:p w:rsidR="002B489A" w:rsidRDefault="004F19C4">
            <w:pPr>
              <w:pStyle w:val="Tabletext"/>
              <w:framePr w:hSpace="181" w:wrap="notBeside" w:vAnchor="text" w:hAnchor="text" w:xAlign="center" w:y="1"/>
              <w:jc w:val="left"/>
            </w:pPr>
            <w:r>
              <w:t>Type d'orbite</w:t>
            </w:r>
          </w:p>
        </w:tc>
        <w:tc>
          <w:tcPr>
            <w:tcW w:w="5811" w:type="dxa"/>
          </w:tcPr>
          <w:p w:rsidR="002B489A" w:rsidRDefault="004F19C4">
            <w:pPr>
              <w:pStyle w:val="Tabletext"/>
              <w:framePr w:hSpace="181" w:wrap="notBeside" w:vAnchor="text" w:hAnchor="text" w:xAlign="center" w:y="1"/>
              <w:jc w:val="center"/>
            </w:pPr>
            <w:r>
              <w:t>Polaire circulaire (angle d'inclinaison de 86,5°)</w:t>
            </w:r>
          </w:p>
        </w:tc>
      </w:tr>
      <w:tr w:rsidR="002B489A">
        <w:tc>
          <w:tcPr>
            <w:tcW w:w="3828" w:type="dxa"/>
          </w:tcPr>
          <w:p w:rsidR="002B489A" w:rsidRDefault="004F19C4">
            <w:pPr>
              <w:pStyle w:val="Tabletext"/>
              <w:framePr w:hSpace="181" w:wrap="notBeside" w:vAnchor="text" w:hAnchor="text" w:xAlign="center" w:y="1"/>
              <w:jc w:val="left"/>
            </w:pPr>
            <w:r>
              <w:t>Largeur de bande nécessaire</w:t>
            </w:r>
          </w:p>
        </w:tc>
        <w:tc>
          <w:tcPr>
            <w:tcW w:w="5811" w:type="dxa"/>
          </w:tcPr>
          <w:p w:rsidR="002B489A" w:rsidRDefault="004F19C4">
            <w:pPr>
              <w:pStyle w:val="Tabletext"/>
              <w:framePr w:hSpace="181" w:wrap="notBeside" w:vAnchor="text" w:hAnchor="text" w:xAlign="center" w:y="1"/>
              <w:jc w:val="center"/>
            </w:pPr>
            <w:r>
              <w:t xml:space="preserve">Canaux de 8 </w:t>
            </w:r>
            <w:r>
              <w:rPr>
                <w:rFonts w:ascii="Symbol" w:hAnsi="Symbol"/>
              </w:rPr>
              <w:sym w:font="Symbol" w:char="F0B4"/>
            </w:r>
            <w:r>
              <w:t xml:space="preserve"> 19 MHz (largeur de bande totale de 194 MHz)</w:t>
            </w:r>
          </w:p>
        </w:tc>
      </w:tr>
      <w:tr w:rsidR="002B489A">
        <w:tc>
          <w:tcPr>
            <w:tcW w:w="3828" w:type="dxa"/>
          </w:tcPr>
          <w:p w:rsidR="002B489A" w:rsidRDefault="004F19C4">
            <w:pPr>
              <w:pStyle w:val="Tabletext"/>
              <w:framePr w:hSpace="181" w:wrap="notBeside" w:vAnchor="text" w:hAnchor="text" w:xAlign="center" w:y="1"/>
              <w:jc w:val="left"/>
            </w:pPr>
            <w:r>
              <w:t>Puissance de crête</w:t>
            </w:r>
          </w:p>
        </w:tc>
        <w:tc>
          <w:tcPr>
            <w:tcW w:w="5811" w:type="dxa"/>
          </w:tcPr>
          <w:p w:rsidR="002B489A" w:rsidRDefault="004F19C4">
            <w:pPr>
              <w:pStyle w:val="Tabletext"/>
              <w:framePr w:hSpace="181" w:wrap="notBeside" w:vAnchor="text" w:hAnchor="text" w:xAlign="center" w:y="1"/>
              <w:jc w:val="center"/>
            </w:pPr>
            <w:r>
              <w:t>3,5 dBW pour le total des 8 liaisons</w:t>
            </w:r>
          </w:p>
        </w:tc>
      </w:tr>
      <w:tr w:rsidR="002B489A">
        <w:tc>
          <w:tcPr>
            <w:tcW w:w="3828" w:type="dxa"/>
          </w:tcPr>
          <w:p w:rsidR="002B489A" w:rsidRDefault="004F19C4">
            <w:pPr>
              <w:pStyle w:val="Tabletext"/>
              <w:framePr w:hSpace="181" w:wrap="notBeside" w:vAnchor="text" w:hAnchor="text" w:xAlign="center" w:y="1"/>
              <w:jc w:val="left"/>
            </w:pPr>
            <w:r>
              <w:t>Gain d'antenne</w:t>
            </w:r>
          </w:p>
        </w:tc>
        <w:tc>
          <w:tcPr>
            <w:tcW w:w="5811" w:type="dxa"/>
          </w:tcPr>
          <w:p w:rsidR="002B489A" w:rsidRDefault="004F19C4">
            <w:pPr>
              <w:pStyle w:val="Tabletext"/>
              <w:framePr w:hSpace="181" w:wrap="notBeside" w:vAnchor="text" w:hAnchor="text" w:xAlign="center" w:y="1"/>
              <w:jc w:val="center"/>
            </w:pPr>
            <w:r>
              <w:t>36,7 dBi</w:t>
            </w:r>
          </w:p>
        </w:tc>
      </w:tr>
    </w:tbl>
    <w:p w:rsidR="002B489A" w:rsidRDefault="002B489A">
      <w:pPr>
        <w:pStyle w:val="Tablefin"/>
      </w:pPr>
    </w:p>
    <w:p w:rsidR="002B489A" w:rsidRDefault="004F19C4">
      <w:r>
        <w:br w:type="page"/>
        <w:t>La Recommandation UIT-R</w:t>
      </w:r>
      <w:r>
        <w:rPr>
          <w:bCs/>
        </w:rPr>
        <w:t xml:space="preserve"> S.672 </w:t>
      </w:r>
      <w:r>
        <w:t>est applicable pour l'antenne de liaison inter-satellites. Le diagramme d'antenne est présenté à la Fig. 32.</w:t>
      </w:r>
    </w:p>
    <w:p w:rsidR="002B489A" w:rsidRDefault="0006728D">
      <w:pPr>
        <w:pStyle w:val="FigureNo"/>
      </w:pPr>
      <w:r>
        <w:rPr>
          <w:noProof/>
          <w:lang w:val="fr-CH" w:eastAsia="fr-CH"/>
        </w:rPr>
        <w:drawing>
          <wp:inline distT="0" distB="0" distL="0" distR="0">
            <wp:extent cx="4419600" cy="31337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19600" cy="3133725"/>
                    </a:xfrm>
                    <a:prstGeom prst="rect">
                      <a:avLst/>
                    </a:prstGeom>
                    <a:noFill/>
                    <a:ln>
                      <a:noFill/>
                    </a:ln>
                  </pic:spPr>
                </pic:pic>
              </a:graphicData>
            </a:graphic>
          </wp:inline>
        </w:drawing>
      </w:r>
    </w:p>
    <w:p w:rsidR="002B489A" w:rsidRDefault="004F19C4">
      <w:pPr>
        <w:pStyle w:val="Heading3"/>
        <w:spacing w:before="120" w:after="120"/>
      </w:pPr>
      <w:r>
        <w:t>2.4.2</w:t>
      </w:r>
      <w:r>
        <w:tab/>
        <w:t>Paramètres caractéristiques des liaisons inter-satellites</w:t>
      </w:r>
    </w:p>
    <w:p w:rsidR="002B489A" w:rsidRDefault="004F19C4">
      <w:pPr>
        <w:spacing w:after="120"/>
      </w:pPr>
      <w:r>
        <w:t>Les caractéristiques techniques des systèmes SIS considérées pour l'analyse des instruments à nadir sont données au Tableau 37. Elles ont été fondées sur les hypothèses suivantes pour estimer l'influence de divers paramètres de configuration:</w:t>
      </w:r>
    </w:p>
    <w:p w:rsidR="002B489A" w:rsidRDefault="004F19C4">
      <w:pPr>
        <w:pStyle w:val="enumlev1"/>
      </w:pPr>
      <w:r>
        <w:t>–</w:t>
      </w:r>
      <w:r>
        <w:tab/>
        <w:t>les systèmes à orbite polaire circulaire basse (LEO-1 à LEO-4) sont censés couvrir des altitudes allant de 700 à 1</w:t>
      </w:r>
      <w:r>
        <w:rPr>
          <w:rFonts w:ascii="Tms Rmn" w:hAnsi="Tms Rmn"/>
          <w:sz w:val="12"/>
        </w:rPr>
        <w:t> </w:t>
      </w:r>
      <w:r>
        <w:t>000 km, et un système OSG;</w:t>
      </w:r>
    </w:p>
    <w:p w:rsidR="002B489A" w:rsidRDefault="004F19C4">
      <w:pPr>
        <w:pStyle w:val="enumlev1"/>
      </w:pPr>
      <w:r>
        <w:t>–</w:t>
      </w:r>
      <w:r>
        <w:tab/>
        <w:t>les caractéristiques d'émission fondées sur Hib-Leo-2 qui utilise actuellement des liaisons inter</w:t>
      </w:r>
      <w:r>
        <w:noBreakHyphen/>
        <w:t>satellites dans cette bande de fréquences, sont conservées et adaptées aux systèmes LEO et GEO;</w:t>
      </w:r>
    </w:p>
    <w:p w:rsidR="002B489A" w:rsidRDefault="004F19C4">
      <w:pPr>
        <w:pStyle w:val="enumlev1"/>
      </w:pPr>
      <w:r>
        <w:t>–</w:t>
      </w:r>
      <w:r>
        <w:tab/>
        <w:t>pour la largeur de bande nécessaire, trois valeurs sont considérées: 200 MHz (8 canaux), 100 MHz (4 canaux) et 50 MHz (2 canaux), et en supposant une puissance de crête totale de respectivement 3,5 dBW, 0,5 dBW et –2,5 dBW;</w:t>
      </w:r>
    </w:p>
    <w:p w:rsidR="002B489A" w:rsidRDefault="004F19C4">
      <w:pPr>
        <w:pStyle w:val="enumlev1"/>
      </w:pPr>
      <w:r>
        <w:t>–</w:t>
      </w:r>
      <w:r>
        <w:tab/>
        <w:t>on a supposé un gain d'antenne de 36,7 dBi pour le système le plus bas (LEO-1), les gains d'antenne (en réception et en émission) pour les autres scénarios sont réglés pour compenser l'augmentation de longueur des liaisons, en considérant des liaisons telles que leur altitude minimale soit à 200 km au-dessus de la surface de la Terre (1</w:t>
      </w:r>
      <w:r>
        <w:rPr>
          <w:rFonts w:ascii="Tms Rmn" w:hAnsi="Tms Rmn"/>
          <w:sz w:val="12"/>
        </w:rPr>
        <w:t> </w:t>
      </w:r>
      <w:r>
        <w:t>000 km dans le cas du système GEO);</w:t>
      </w:r>
    </w:p>
    <w:p w:rsidR="002B489A" w:rsidRDefault="004F19C4">
      <w:pPr>
        <w:pStyle w:val="enumlev1"/>
      </w:pPr>
      <w:r>
        <w:t>–</w:t>
      </w:r>
      <w:r>
        <w:tab/>
        <w:t>ces caractéristiques devraient être mises à jour et l'analyse devrait être réitérée chaque fois que deviennent disponibles celles des systèmes existants ou en projet.</w:t>
      </w:r>
    </w:p>
    <w:p w:rsidR="002B489A" w:rsidRDefault="004F19C4">
      <w:pPr>
        <w:spacing w:after="120"/>
      </w:pPr>
      <w:r>
        <w:t>On a considéré de plus que le bord supérieur de la largeur de bande nécessaire coïncide avec la limite supérieure de la bande de fréquences attribuée. Donc, une bande de garde minimum de 50 MHz est fournie par l'attribution aux services fixe et mobile entre les attributions du SIS et du SETS.</w:t>
      </w:r>
    </w:p>
    <w:p w:rsidR="002B489A" w:rsidRDefault="004F19C4">
      <w:pPr>
        <w:pStyle w:val="TableNo"/>
      </w:pPr>
      <w:r>
        <w:br w:type="page"/>
        <w:t>TABLEAU  37</w:t>
      </w:r>
    </w:p>
    <w:p w:rsidR="002B489A" w:rsidRDefault="004F19C4">
      <w:pPr>
        <w:pStyle w:val="Tabletitle"/>
      </w:pPr>
      <w:r>
        <w:t>Paramètres caractéristiques des liaisons inter-satellites</w:t>
      </w:r>
    </w:p>
    <w:tbl>
      <w:tblPr>
        <w:tblW w:w="963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869"/>
        <w:gridCol w:w="954"/>
        <w:gridCol w:w="954"/>
        <w:gridCol w:w="954"/>
        <w:gridCol w:w="954"/>
        <w:gridCol w:w="954"/>
      </w:tblGrid>
      <w:tr w:rsidR="002B489A">
        <w:trPr>
          <w:cantSplit/>
        </w:trPr>
        <w:tc>
          <w:tcPr>
            <w:tcW w:w="4869" w:type="dxa"/>
            <w:vMerge w:val="restart"/>
            <w:tcBorders>
              <w:top w:val="single" w:sz="4" w:space="0" w:color="auto"/>
              <w:right w:val="single" w:sz="4" w:space="0" w:color="auto"/>
            </w:tcBorders>
            <w:vAlign w:val="center"/>
          </w:tcPr>
          <w:p w:rsidR="002B489A" w:rsidRDefault="004F19C4">
            <w:pPr>
              <w:pStyle w:val="Tablehead"/>
              <w:framePr w:hSpace="181" w:wrap="notBeside" w:vAnchor="text" w:hAnchor="text" w:xAlign="center" w:y="1"/>
            </w:pPr>
            <w:r>
              <w:t>Paramètres du système</w:t>
            </w:r>
          </w:p>
        </w:tc>
        <w:tc>
          <w:tcPr>
            <w:tcW w:w="4770" w:type="dxa"/>
            <w:gridSpan w:val="5"/>
            <w:tcBorders>
              <w:top w:val="single" w:sz="4" w:space="0" w:color="auto"/>
              <w:left w:val="single" w:sz="4" w:space="0" w:color="auto"/>
              <w:bottom w:val="single" w:sz="4" w:space="0" w:color="auto"/>
            </w:tcBorders>
          </w:tcPr>
          <w:p w:rsidR="002B489A" w:rsidRDefault="004F19C4">
            <w:pPr>
              <w:pStyle w:val="Tablehead"/>
              <w:framePr w:hSpace="181" w:wrap="notBeside" w:vAnchor="text" w:hAnchor="text" w:xAlign="center" w:y="1"/>
            </w:pPr>
            <w:r>
              <w:t>Valeurs</w:t>
            </w:r>
          </w:p>
        </w:tc>
      </w:tr>
      <w:tr w:rsidR="002B489A">
        <w:trPr>
          <w:cantSplit/>
        </w:trPr>
        <w:tc>
          <w:tcPr>
            <w:tcW w:w="4869" w:type="dxa"/>
            <w:vMerge/>
            <w:tcBorders>
              <w:bottom w:val="single" w:sz="4" w:space="0" w:color="auto"/>
              <w:right w:val="single" w:sz="4" w:space="0" w:color="auto"/>
            </w:tcBorders>
          </w:tcPr>
          <w:p w:rsidR="002B489A" w:rsidRDefault="002B489A">
            <w:pPr>
              <w:pStyle w:val="Tablehead"/>
              <w:framePr w:hSpace="181" w:wrap="notBeside" w:vAnchor="text" w:hAnchor="text" w:xAlign="center" w:y="1"/>
            </w:pPr>
          </w:p>
        </w:tc>
        <w:tc>
          <w:tcPr>
            <w:tcW w:w="954" w:type="dxa"/>
            <w:tcBorders>
              <w:top w:val="single" w:sz="4" w:space="0" w:color="auto"/>
              <w:left w:val="single" w:sz="4" w:space="0" w:color="auto"/>
              <w:bottom w:val="single" w:sz="4" w:space="0" w:color="auto"/>
              <w:right w:val="single" w:sz="4" w:space="0" w:color="auto"/>
            </w:tcBorders>
          </w:tcPr>
          <w:p w:rsidR="002B489A" w:rsidRDefault="004F19C4">
            <w:pPr>
              <w:pStyle w:val="Tablehead"/>
              <w:framePr w:hSpace="181" w:wrap="notBeside" w:vAnchor="text" w:hAnchor="text" w:xAlign="center" w:y="1"/>
              <w:ind w:left="-57" w:right="-57"/>
              <w:rPr>
                <w:lang w:val="es-ES"/>
              </w:rPr>
            </w:pPr>
            <w:r>
              <w:rPr>
                <w:lang w:val="es-ES"/>
              </w:rPr>
              <w:t>LEO-1</w:t>
            </w:r>
          </w:p>
        </w:tc>
        <w:tc>
          <w:tcPr>
            <w:tcW w:w="954" w:type="dxa"/>
            <w:tcBorders>
              <w:top w:val="single" w:sz="4" w:space="0" w:color="auto"/>
              <w:left w:val="single" w:sz="4" w:space="0" w:color="auto"/>
              <w:bottom w:val="single" w:sz="4" w:space="0" w:color="auto"/>
              <w:right w:val="single" w:sz="4" w:space="0" w:color="auto"/>
            </w:tcBorders>
          </w:tcPr>
          <w:p w:rsidR="002B489A" w:rsidRDefault="004F19C4">
            <w:pPr>
              <w:pStyle w:val="Tablehead"/>
              <w:framePr w:hSpace="181" w:wrap="notBeside" w:vAnchor="text" w:hAnchor="text" w:xAlign="center" w:y="1"/>
              <w:ind w:left="-57" w:right="-57"/>
              <w:rPr>
                <w:lang w:val="es-ES"/>
              </w:rPr>
            </w:pPr>
            <w:r>
              <w:rPr>
                <w:lang w:val="es-ES"/>
              </w:rPr>
              <w:t>LEO-2</w:t>
            </w:r>
          </w:p>
        </w:tc>
        <w:tc>
          <w:tcPr>
            <w:tcW w:w="954" w:type="dxa"/>
            <w:tcBorders>
              <w:top w:val="single" w:sz="4" w:space="0" w:color="auto"/>
              <w:left w:val="single" w:sz="4" w:space="0" w:color="auto"/>
              <w:bottom w:val="single" w:sz="4" w:space="0" w:color="auto"/>
              <w:right w:val="single" w:sz="4" w:space="0" w:color="auto"/>
            </w:tcBorders>
          </w:tcPr>
          <w:p w:rsidR="002B489A" w:rsidRDefault="004F19C4">
            <w:pPr>
              <w:pStyle w:val="Tablehead"/>
              <w:framePr w:hSpace="181" w:wrap="notBeside" w:vAnchor="text" w:hAnchor="text" w:xAlign="center" w:y="1"/>
              <w:ind w:left="-57" w:right="-57"/>
              <w:rPr>
                <w:lang w:val="es-ES"/>
              </w:rPr>
            </w:pPr>
            <w:r>
              <w:rPr>
                <w:lang w:val="es-ES"/>
              </w:rPr>
              <w:t>LEO-3</w:t>
            </w:r>
          </w:p>
        </w:tc>
        <w:tc>
          <w:tcPr>
            <w:tcW w:w="954" w:type="dxa"/>
            <w:tcBorders>
              <w:top w:val="single" w:sz="4" w:space="0" w:color="auto"/>
              <w:left w:val="single" w:sz="4" w:space="0" w:color="auto"/>
              <w:bottom w:val="single" w:sz="4" w:space="0" w:color="auto"/>
              <w:right w:val="single" w:sz="4" w:space="0" w:color="auto"/>
            </w:tcBorders>
          </w:tcPr>
          <w:p w:rsidR="002B489A" w:rsidRDefault="004F19C4">
            <w:pPr>
              <w:pStyle w:val="Tablehead"/>
              <w:framePr w:hSpace="181" w:wrap="notBeside" w:vAnchor="text" w:hAnchor="text" w:xAlign="center" w:y="1"/>
              <w:ind w:left="-57" w:right="-57"/>
              <w:rPr>
                <w:lang w:val="es-ES"/>
              </w:rPr>
            </w:pPr>
            <w:r>
              <w:rPr>
                <w:lang w:val="es-ES"/>
              </w:rPr>
              <w:t>LEO-4</w:t>
            </w:r>
          </w:p>
        </w:tc>
        <w:tc>
          <w:tcPr>
            <w:tcW w:w="954" w:type="dxa"/>
            <w:tcBorders>
              <w:top w:val="single" w:sz="4" w:space="0" w:color="auto"/>
              <w:left w:val="single" w:sz="4" w:space="0" w:color="auto"/>
              <w:bottom w:val="single" w:sz="4" w:space="0" w:color="auto"/>
            </w:tcBorders>
          </w:tcPr>
          <w:p w:rsidR="002B489A" w:rsidRDefault="004F19C4">
            <w:pPr>
              <w:pStyle w:val="Tablehead"/>
              <w:framePr w:hSpace="181" w:wrap="notBeside" w:vAnchor="text" w:hAnchor="text" w:xAlign="center" w:y="1"/>
              <w:ind w:left="-57" w:right="-57"/>
              <w:rPr>
                <w:lang w:val="es-ES"/>
              </w:rPr>
            </w:pPr>
            <w:r>
              <w:rPr>
                <w:lang w:val="es-ES"/>
              </w:rPr>
              <w:t>GEO</w:t>
            </w:r>
          </w:p>
        </w:tc>
      </w:tr>
      <w:tr w:rsidR="002B489A">
        <w:tc>
          <w:tcPr>
            <w:tcW w:w="4869" w:type="dxa"/>
            <w:tcBorders>
              <w:top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spacing w:before="20" w:after="20"/>
              <w:ind w:right="-138"/>
              <w:jc w:val="left"/>
              <w:rPr>
                <w:lang w:val="es-ES"/>
              </w:rPr>
            </w:pPr>
            <w:r>
              <w:rPr>
                <w:lang w:val="es-ES"/>
              </w:rPr>
              <w:t>Altitude nominale (km)</w:t>
            </w:r>
          </w:p>
        </w:tc>
        <w:tc>
          <w:tcPr>
            <w:tcW w:w="95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spacing w:before="20" w:after="20"/>
              <w:ind w:left="-57" w:right="-57"/>
              <w:jc w:val="center"/>
            </w:pPr>
            <w:r>
              <w:t>700</w:t>
            </w:r>
          </w:p>
        </w:tc>
        <w:tc>
          <w:tcPr>
            <w:tcW w:w="95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spacing w:before="20" w:after="20"/>
              <w:ind w:left="-57" w:right="-57"/>
              <w:jc w:val="center"/>
            </w:pPr>
            <w:r>
              <w:t>800</w:t>
            </w:r>
          </w:p>
        </w:tc>
        <w:tc>
          <w:tcPr>
            <w:tcW w:w="95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spacing w:before="20" w:after="20"/>
              <w:ind w:left="-57" w:right="-57"/>
              <w:jc w:val="center"/>
            </w:pPr>
            <w:r>
              <w:t>900</w:t>
            </w:r>
          </w:p>
        </w:tc>
        <w:tc>
          <w:tcPr>
            <w:tcW w:w="95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spacing w:before="20" w:after="20"/>
              <w:ind w:left="-57" w:right="-57"/>
              <w:jc w:val="center"/>
            </w:pPr>
            <w:r>
              <w:t>1</w:t>
            </w:r>
            <w:r>
              <w:rPr>
                <w:rFonts w:ascii="Tms Rmn" w:hAnsi="Tms Rmn"/>
                <w:sz w:val="12"/>
              </w:rPr>
              <w:t> </w:t>
            </w:r>
            <w:r>
              <w:t>000</w:t>
            </w:r>
          </w:p>
        </w:tc>
        <w:tc>
          <w:tcPr>
            <w:tcW w:w="954" w:type="dxa"/>
            <w:tcBorders>
              <w:top w:val="single" w:sz="4" w:space="0" w:color="auto"/>
              <w:left w:val="single" w:sz="4" w:space="0" w:color="auto"/>
              <w:bottom w:val="single" w:sz="4" w:space="0" w:color="auto"/>
            </w:tcBorders>
          </w:tcPr>
          <w:p w:rsidR="002B489A" w:rsidRDefault="004F19C4">
            <w:pPr>
              <w:pStyle w:val="Tabletext"/>
              <w:framePr w:hSpace="181" w:wrap="notBeside" w:vAnchor="text" w:hAnchor="text" w:xAlign="center" w:y="1"/>
              <w:spacing w:before="20" w:after="20"/>
              <w:ind w:left="-57" w:right="-57"/>
              <w:jc w:val="center"/>
            </w:pPr>
            <w:r>
              <w:t>35</w:t>
            </w:r>
            <w:r>
              <w:rPr>
                <w:rFonts w:ascii="Tms Rmn" w:hAnsi="Tms Rmn"/>
                <w:sz w:val="12"/>
              </w:rPr>
              <w:t> </w:t>
            </w:r>
            <w:r>
              <w:t>900</w:t>
            </w:r>
          </w:p>
        </w:tc>
      </w:tr>
      <w:tr w:rsidR="002B489A">
        <w:trPr>
          <w:cantSplit/>
        </w:trPr>
        <w:tc>
          <w:tcPr>
            <w:tcW w:w="4869" w:type="dxa"/>
            <w:tcBorders>
              <w:top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spacing w:before="20" w:after="20"/>
              <w:ind w:right="-138"/>
              <w:jc w:val="left"/>
            </w:pPr>
            <w:r>
              <w:t>Type d'orbite</w:t>
            </w:r>
          </w:p>
        </w:tc>
        <w:tc>
          <w:tcPr>
            <w:tcW w:w="3816" w:type="dxa"/>
            <w:gridSpan w:val="4"/>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spacing w:before="20" w:after="20"/>
              <w:ind w:left="-57" w:right="-57"/>
              <w:jc w:val="center"/>
            </w:pPr>
            <w:r>
              <w:t>Polaire circulaire</w:t>
            </w:r>
          </w:p>
        </w:tc>
        <w:tc>
          <w:tcPr>
            <w:tcW w:w="954" w:type="dxa"/>
            <w:tcBorders>
              <w:top w:val="single" w:sz="4" w:space="0" w:color="auto"/>
              <w:left w:val="single" w:sz="4" w:space="0" w:color="auto"/>
              <w:bottom w:val="single" w:sz="4" w:space="0" w:color="auto"/>
            </w:tcBorders>
          </w:tcPr>
          <w:p w:rsidR="002B489A" w:rsidRDefault="004F19C4">
            <w:pPr>
              <w:pStyle w:val="Tabletext"/>
              <w:framePr w:hSpace="181" w:wrap="notBeside" w:vAnchor="text" w:hAnchor="text" w:xAlign="center" w:y="1"/>
              <w:spacing w:before="20" w:after="20"/>
              <w:ind w:left="-57" w:right="-57"/>
              <w:jc w:val="center"/>
            </w:pPr>
            <w:r>
              <w:t>OSG</w:t>
            </w:r>
          </w:p>
        </w:tc>
      </w:tr>
      <w:tr w:rsidR="002B489A">
        <w:trPr>
          <w:cantSplit/>
        </w:trPr>
        <w:tc>
          <w:tcPr>
            <w:tcW w:w="4869" w:type="dxa"/>
            <w:tcBorders>
              <w:top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spacing w:before="20" w:after="20"/>
              <w:ind w:right="-138"/>
              <w:jc w:val="left"/>
            </w:pPr>
            <w:r>
              <w:t xml:space="preserve">Largeur de bande nécessaire (canaux de 8 </w:t>
            </w:r>
            <w:r>
              <w:sym w:font="Symbol" w:char="F0B4"/>
            </w:r>
            <w:r>
              <w:t xml:space="preserve"> 25 MHz)</w:t>
            </w:r>
          </w:p>
        </w:tc>
        <w:tc>
          <w:tcPr>
            <w:tcW w:w="4770" w:type="dxa"/>
            <w:gridSpan w:val="5"/>
            <w:tcBorders>
              <w:top w:val="single" w:sz="4" w:space="0" w:color="auto"/>
              <w:left w:val="single" w:sz="4" w:space="0" w:color="auto"/>
              <w:bottom w:val="single" w:sz="4" w:space="0" w:color="auto"/>
            </w:tcBorders>
          </w:tcPr>
          <w:p w:rsidR="002B489A" w:rsidRDefault="004F19C4">
            <w:pPr>
              <w:pStyle w:val="Tabletext"/>
              <w:framePr w:hSpace="181" w:wrap="notBeside" w:vAnchor="text" w:hAnchor="text" w:xAlign="center" w:y="1"/>
              <w:spacing w:before="20" w:after="20"/>
              <w:ind w:left="-57" w:right="-57"/>
              <w:jc w:val="center"/>
            </w:pPr>
            <w:r>
              <w:t>200</w:t>
            </w:r>
          </w:p>
        </w:tc>
      </w:tr>
      <w:tr w:rsidR="002B489A">
        <w:trPr>
          <w:cantSplit/>
        </w:trPr>
        <w:tc>
          <w:tcPr>
            <w:tcW w:w="4869" w:type="dxa"/>
            <w:tcBorders>
              <w:top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spacing w:before="20" w:after="20"/>
              <w:ind w:right="-138"/>
              <w:jc w:val="left"/>
            </w:pPr>
            <w:r>
              <w:t>Puissance de crête totale dans la largeur de bande nécessaire (dBW)</w:t>
            </w:r>
          </w:p>
        </w:tc>
        <w:tc>
          <w:tcPr>
            <w:tcW w:w="4770" w:type="dxa"/>
            <w:gridSpan w:val="5"/>
            <w:tcBorders>
              <w:top w:val="single" w:sz="4" w:space="0" w:color="auto"/>
              <w:left w:val="single" w:sz="4" w:space="0" w:color="auto"/>
              <w:bottom w:val="single" w:sz="4" w:space="0" w:color="auto"/>
            </w:tcBorders>
          </w:tcPr>
          <w:p w:rsidR="002B489A" w:rsidRDefault="004F19C4">
            <w:pPr>
              <w:pStyle w:val="Tabletext"/>
              <w:framePr w:hSpace="181" w:wrap="notBeside" w:vAnchor="text" w:hAnchor="text" w:xAlign="center" w:y="1"/>
              <w:spacing w:before="20" w:after="20"/>
              <w:ind w:left="-57" w:right="-57"/>
              <w:jc w:val="center"/>
            </w:pPr>
            <w:r>
              <w:t>3,5/0,5/–2,5</w:t>
            </w:r>
          </w:p>
        </w:tc>
      </w:tr>
      <w:tr w:rsidR="002B489A">
        <w:trPr>
          <w:cantSplit/>
        </w:trPr>
        <w:tc>
          <w:tcPr>
            <w:tcW w:w="4869" w:type="dxa"/>
            <w:tcBorders>
              <w:top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spacing w:before="20" w:after="20"/>
              <w:ind w:right="-138"/>
              <w:jc w:val="left"/>
            </w:pPr>
            <w:r>
              <w:t>Densité de puissance maximum (dB(W/MHz))</w:t>
            </w:r>
          </w:p>
        </w:tc>
        <w:tc>
          <w:tcPr>
            <w:tcW w:w="4770" w:type="dxa"/>
            <w:gridSpan w:val="5"/>
            <w:tcBorders>
              <w:top w:val="single" w:sz="4" w:space="0" w:color="auto"/>
              <w:left w:val="single" w:sz="4" w:space="0" w:color="auto"/>
              <w:bottom w:val="single" w:sz="4" w:space="0" w:color="auto"/>
            </w:tcBorders>
          </w:tcPr>
          <w:p w:rsidR="002B489A" w:rsidRDefault="004F19C4">
            <w:pPr>
              <w:pStyle w:val="Tabletext"/>
              <w:framePr w:hSpace="181" w:wrap="notBeside" w:vAnchor="text" w:hAnchor="text" w:xAlign="center" w:y="1"/>
              <w:spacing w:before="20" w:after="20"/>
              <w:ind w:left="-57" w:right="-57"/>
              <w:jc w:val="center"/>
            </w:pPr>
            <w:r>
              <w:sym w:font="Symbol" w:char="F02D"/>
            </w:r>
            <w:r>
              <w:t>7,5</w:t>
            </w:r>
          </w:p>
        </w:tc>
      </w:tr>
      <w:tr w:rsidR="002B489A">
        <w:tc>
          <w:tcPr>
            <w:tcW w:w="4869" w:type="dxa"/>
            <w:tcBorders>
              <w:top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spacing w:before="20" w:after="20"/>
              <w:ind w:right="-138"/>
              <w:jc w:val="left"/>
            </w:pPr>
            <w:r>
              <w:t>Gain d'antenne (dBi)</w:t>
            </w:r>
          </w:p>
        </w:tc>
        <w:tc>
          <w:tcPr>
            <w:tcW w:w="95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spacing w:before="20" w:after="20"/>
              <w:ind w:left="-57" w:right="-57"/>
              <w:jc w:val="center"/>
            </w:pPr>
            <w:r>
              <w:t>36,7</w:t>
            </w:r>
          </w:p>
        </w:tc>
        <w:tc>
          <w:tcPr>
            <w:tcW w:w="95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spacing w:before="20" w:after="20"/>
              <w:ind w:left="-57" w:right="-57"/>
              <w:jc w:val="center"/>
            </w:pPr>
            <w:r>
              <w:t>37,5</w:t>
            </w:r>
          </w:p>
        </w:tc>
        <w:tc>
          <w:tcPr>
            <w:tcW w:w="95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spacing w:before="20" w:after="20"/>
              <w:ind w:left="-57" w:right="-57"/>
              <w:jc w:val="center"/>
            </w:pPr>
            <w:r>
              <w:t>38,2</w:t>
            </w:r>
          </w:p>
        </w:tc>
        <w:tc>
          <w:tcPr>
            <w:tcW w:w="95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spacing w:before="20" w:after="20"/>
              <w:ind w:left="-57" w:right="-57"/>
              <w:jc w:val="center"/>
            </w:pPr>
            <w:r>
              <w:t>38,8</w:t>
            </w:r>
          </w:p>
        </w:tc>
        <w:tc>
          <w:tcPr>
            <w:tcW w:w="954" w:type="dxa"/>
            <w:tcBorders>
              <w:top w:val="single" w:sz="4" w:space="0" w:color="auto"/>
              <w:left w:val="single" w:sz="4" w:space="0" w:color="auto"/>
              <w:bottom w:val="single" w:sz="4" w:space="0" w:color="auto"/>
            </w:tcBorders>
          </w:tcPr>
          <w:p w:rsidR="002B489A" w:rsidRDefault="004F19C4">
            <w:pPr>
              <w:pStyle w:val="Tabletext"/>
              <w:framePr w:hSpace="181" w:wrap="notBeside" w:vAnchor="text" w:hAnchor="text" w:xAlign="center" w:y="1"/>
              <w:spacing w:before="20" w:after="20"/>
              <w:ind w:left="-57" w:right="-57"/>
              <w:jc w:val="center"/>
            </w:pPr>
            <w:r>
              <w:t>48,4</w:t>
            </w:r>
          </w:p>
        </w:tc>
      </w:tr>
      <w:tr w:rsidR="002B489A">
        <w:tc>
          <w:tcPr>
            <w:tcW w:w="4869" w:type="dxa"/>
            <w:tcBorders>
              <w:top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spacing w:before="20" w:after="20"/>
              <w:ind w:right="-138"/>
              <w:jc w:val="left"/>
            </w:pPr>
            <w:r>
              <w:t>Orientation de l'antenne à la plus grande distance (par rapport au nadir local) (degrés)</w:t>
            </w:r>
          </w:p>
        </w:tc>
        <w:tc>
          <w:tcPr>
            <w:tcW w:w="95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spacing w:before="20" w:after="20"/>
              <w:ind w:left="-57" w:right="-57"/>
              <w:jc w:val="center"/>
            </w:pPr>
            <w:r>
              <w:t>68,34</w:t>
            </w:r>
          </w:p>
        </w:tc>
        <w:tc>
          <w:tcPr>
            <w:tcW w:w="95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spacing w:before="20" w:after="20"/>
              <w:ind w:left="-57" w:right="-57"/>
              <w:jc w:val="center"/>
            </w:pPr>
            <w:r>
              <w:t>66,41</w:t>
            </w:r>
          </w:p>
        </w:tc>
        <w:tc>
          <w:tcPr>
            <w:tcW w:w="95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spacing w:before="20" w:after="20"/>
              <w:ind w:left="-57" w:right="-57"/>
              <w:jc w:val="center"/>
            </w:pPr>
            <w:r>
              <w:t>64,66</w:t>
            </w:r>
          </w:p>
        </w:tc>
        <w:tc>
          <w:tcPr>
            <w:tcW w:w="95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spacing w:before="20" w:after="20"/>
              <w:ind w:left="-57" w:right="-57"/>
              <w:jc w:val="center"/>
            </w:pPr>
            <w:r>
              <w:t>63</w:t>
            </w:r>
          </w:p>
        </w:tc>
        <w:tc>
          <w:tcPr>
            <w:tcW w:w="954" w:type="dxa"/>
            <w:tcBorders>
              <w:top w:val="single" w:sz="4" w:space="0" w:color="auto"/>
              <w:left w:val="single" w:sz="4" w:space="0" w:color="auto"/>
              <w:bottom w:val="single" w:sz="4" w:space="0" w:color="auto"/>
            </w:tcBorders>
          </w:tcPr>
          <w:p w:rsidR="002B489A" w:rsidRDefault="004F19C4">
            <w:pPr>
              <w:pStyle w:val="Tabletext"/>
              <w:framePr w:hSpace="181" w:wrap="notBeside" w:vAnchor="text" w:hAnchor="text" w:xAlign="center" w:y="1"/>
              <w:spacing w:before="20" w:after="20"/>
              <w:ind w:left="-57" w:right="-57"/>
              <w:jc w:val="center"/>
            </w:pPr>
            <w:r>
              <w:t>10</w:t>
            </w:r>
          </w:p>
        </w:tc>
      </w:tr>
      <w:tr w:rsidR="002B489A">
        <w:tc>
          <w:tcPr>
            <w:tcW w:w="4869" w:type="dxa"/>
            <w:tcBorders>
              <w:top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spacing w:before="20" w:after="20"/>
              <w:ind w:right="-138"/>
              <w:jc w:val="left"/>
            </w:pPr>
            <w:r>
              <w:t>Longueur maximum de la liaison (km)</w:t>
            </w:r>
          </w:p>
        </w:tc>
        <w:tc>
          <w:tcPr>
            <w:tcW w:w="95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spacing w:before="20" w:after="20"/>
              <w:ind w:left="-57" w:right="-57"/>
              <w:jc w:val="center"/>
            </w:pPr>
            <w:r>
              <w:t>5</w:t>
            </w:r>
            <w:r>
              <w:rPr>
                <w:rFonts w:ascii="Tms Rmn" w:hAnsi="Tms Rmn"/>
                <w:sz w:val="12"/>
              </w:rPr>
              <w:t> </w:t>
            </w:r>
            <w:r>
              <w:t>226</w:t>
            </w:r>
          </w:p>
        </w:tc>
        <w:tc>
          <w:tcPr>
            <w:tcW w:w="95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spacing w:before="20" w:after="20"/>
              <w:ind w:left="-57" w:right="-57"/>
              <w:jc w:val="center"/>
            </w:pPr>
            <w:r>
              <w:t>5</w:t>
            </w:r>
            <w:r>
              <w:rPr>
                <w:rFonts w:ascii="Tms Rmn" w:hAnsi="Tms Rmn"/>
                <w:sz w:val="12"/>
              </w:rPr>
              <w:t> </w:t>
            </w:r>
            <w:r>
              <w:t>746</w:t>
            </w:r>
          </w:p>
        </w:tc>
        <w:tc>
          <w:tcPr>
            <w:tcW w:w="95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spacing w:before="20" w:after="20"/>
              <w:ind w:left="-57" w:right="-57"/>
              <w:jc w:val="center"/>
            </w:pPr>
            <w:r>
              <w:t>6</w:t>
            </w:r>
            <w:r>
              <w:rPr>
                <w:rFonts w:ascii="Tms Rmn" w:hAnsi="Tms Rmn"/>
                <w:sz w:val="12"/>
              </w:rPr>
              <w:t> </w:t>
            </w:r>
            <w:r>
              <w:t>229</w:t>
            </w:r>
          </w:p>
        </w:tc>
        <w:tc>
          <w:tcPr>
            <w:tcW w:w="95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spacing w:before="20" w:after="20"/>
              <w:ind w:left="-57" w:right="-57"/>
              <w:jc w:val="center"/>
            </w:pPr>
            <w:r>
              <w:t>6</w:t>
            </w:r>
            <w:r>
              <w:rPr>
                <w:rFonts w:ascii="Tms Rmn" w:hAnsi="Tms Rmn"/>
                <w:sz w:val="12"/>
              </w:rPr>
              <w:t> </w:t>
            </w:r>
            <w:r>
              <w:t>683</w:t>
            </w:r>
          </w:p>
        </w:tc>
        <w:tc>
          <w:tcPr>
            <w:tcW w:w="954" w:type="dxa"/>
            <w:tcBorders>
              <w:top w:val="single" w:sz="4" w:space="0" w:color="auto"/>
              <w:left w:val="single" w:sz="4" w:space="0" w:color="auto"/>
              <w:bottom w:val="single" w:sz="4" w:space="0" w:color="auto"/>
            </w:tcBorders>
          </w:tcPr>
          <w:p w:rsidR="002B489A" w:rsidRDefault="004F19C4">
            <w:pPr>
              <w:pStyle w:val="Tabletext"/>
              <w:framePr w:hSpace="181" w:wrap="notBeside" w:vAnchor="text" w:hAnchor="text" w:xAlign="center" w:y="1"/>
              <w:spacing w:before="20" w:after="20"/>
              <w:ind w:left="-57" w:right="-57"/>
              <w:jc w:val="center"/>
            </w:pPr>
            <w:r>
              <w:t>83</w:t>
            </w:r>
            <w:r>
              <w:rPr>
                <w:rFonts w:ascii="Tms Rmn" w:hAnsi="Tms Rmn"/>
                <w:sz w:val="12"/>
              </w:rPr>
              <w:t> </w:t>
            </w:r>
            <w:r>
              <w:t>460</w:t>
            </w:r>
          </w:p>
        </w:tc>
      </w:tr>
    </w:tbl>
    <w:p w:rsidR="002B489A" w:rsidRDefault="002B489A">
      <w:pPr>
        <w:pStyle w:val="Tablefin"/>
        <w:spacing w:before="0"/>
        <w:rPr>
          <w:sz w:val="2"/>
          <w:lang w:val="fr-FR"/>
        </w:rPr>
      </w:pPr>
    </w:p>
    <w:p w:rsidR="002B489A" w:rsidRDefault="004F19C4">
      <w:pPr>
        <w:pStyle w:val="Heading1"/>
      </w:pPr>
      <w:r>
        <w:t>3</w:t>
      </w:r>
      <w:r>
        <w:tab/>
        <w:t>Seuil de compatibilité</w:t>
      </w:r>
    </w:p>
    <w:p w:rsidR="002B489A" w:rsidRDefault="004F19C4">
      <w:r>
        <w:t xml:space="preserve">Le seuil de brouillage est de </w:t>
      </w:r>
      <w:r>
        <w:sym w:font="Symbol" w:char="F02D"/>
      </w:r>
      <w:r>
        <w:t xml:space="preserve">163 dBW dans une largeur de bande de référence de 100 MHz. La valeur figurant dans la Recommandation UIT-R </w:t>
      </w:r>
      <w:r>
        <w:rPr>
          <w:bCs/>
        </w:rPr>
        <w:t xml:space="preserve">SA.1029 </w:t>
      </w:r>
      <w:r>
        <w:t>(pour une bande spécifique) est le niveau maximum de brouillage admissible pour le détecteur passif.</w:t>
      </w:r>
    </w:p>
    <w:p w:rsidR="002B489A" w:rsidRDefault="004F19C4">
      <w:pPr>
        <w:spacing w:after="120"/>
      </w:pPr>
      <w:r>
        <w:t>La présente Annexe fait l'analyse du brouillage généré par un seul service actif. Des travaux complémentaires sont donc nécessaires pour étudier l'impact de services actifs multiples au-dessus et au-dessous de la bande passive.</w:t>
      </w:r>
    </w:p>
    <w:p w:rsidR="002B489A" w:rsidRDefault="004F19C4">
      <w:pPr>
        <w:pStyle w:val="Heading1"/>
        <w:spacing w:before="120" w:after="120"/>
      </w:pPr>
      <w:r>
        <w:t>4</w:t>
      </w:r>
      <w:r>
        <w:tab/>
        <w:t>Evaluation du brouillage</w:t>
      </w:r>
    </w:p>
    <w:p w:rsidR="002B489A" w:rsidRDefault="004F19C4">
      <w:pPr>
        <w:pStyle w:val="Heading2"/>
        <w:spacing w:before="120" w:after="120"/>
      </w:pPr>
      <w:r>
        <w:t>4.1</w:t>
      </w:r>
      <w:r>
        <w:tab/>
        <w:t>Méthode d'évaluation du niveau de brouillage</w:t>
      </w:r>
    </w:p>
    <w:p w:rsidR="002B489A" w:rsidRDefault="004F19C4">
      <w:r>
        <w:t>C'est une analyse purement statique qui évalue le cas le plus défavorable de brouillage reçu d'un satellite unique de la constellation Hib-Leo 2. L'évaluation du brouillage est mise en œuvre en deux temps.</w:t>
      </w:r>
    </w:p>
    <w:p w:rsidR="002B489A" w:rsidRDefault="004F19C4">
      <w:r>
        <w:rPr>
          <w:bCs/>
        </w:rPr>
        <w:t>Dans un premier temps</w:t>
      </w:r>
      <w:r>
        <w:t>, la puissance reçue par le détecteur passif provenant de la liaison inter</w:t>
      </w:r>
      <w:r>
        <w:noBreakHyphen/>
        <w:t xml:space="preserve">satellites est calculée dans diverses configurations géométriques, avec l'hypothèse que le détecteur passif et les liaisons inter-satellites sont sur la même fréquence. Pour être cohérent avec le seuil de brouillage qui se rapporte à une largeur de bande de référence de 100 MHz (voir la Recommandation UIT-R </w:t>
      </w:r>
      <w:r>
        <w:rPr>
          <w:bCs/>
        </w:rPr>
        <w:t>SA.1029</w:t>
      </w:r>
      <w:r>
        <w:t>), l'analyse est effectuée dans la largeur de 100 MHz la plus basse de l'attribution SETS passive (23,6</w:t>
      </w:r>
      <w:r>
        <w:noBreakHyphen/>
        <w:t xml:space="preserve">23,7 GHz), qui est la plus proche de l'attribution SIS. Donc, en supposant que la largeur de bande nécessaire du SIS soit de 200 MHz (voir le Tableau 37), seule la moitié de la puissance totale du SIS est reçue par le détecteur dans la largeur de bande de référence de 100 MHz. Cette quantité de puissance est alors comparée au seuil de brouillage du détecteur passif. L'excédent (s'il en est) de la puissance reçue par le détecteur passif au-delà du seuil de brouillage est l'affaiblissement requis du rayonnement hors bande qui doit être réalisé pour la protection du SETS. </w:t>
      </w:r>
    </w:p>
    <w:p w:rsidR="002B489A" w:rsidRDefault="004F19C4">
      <w:pPr>
        <w:rPr>
          <w:sz w:val="22"/>
        </w:rPr>
      </w:pPr>
      <w:r>
        <w:rPr>
          <w:bCs/>
        </w:rPr>
        <w:t>Dans un deuxième temps, on utilise les limites d'émission hors bande pour les services spatiaux contenus</w:t>
      </w:r>
      <w:r>
        <w:rPr>
          <w:bCs/>
          <w:sz w:val="16"/>
        </w:rPr>
        <w:t xml:space="preserve"> </w:t>
      </w:r>
      <w:r>
        <w:rPr>
          <w:bCs/>
        </w:rPr>
        <w:t>dans</w:t>
      </w:r>
      <w:r>
        <w:rPr>
          <w:bCs/>
          <w:sz w:val="16"/>
        </w:rPr>
        <w:t xml:space="preserve"> </w:t>
      </w:r>
      <w:r>
        <w:rPr>
          <w:bCs/>
        </w:rPr>
        <w:t>l'Annexe</w:t>
      </w:r>
      <w:r>
        <w:rPr>
          <w:bCs/>
          <w:sz w:val="16"/>
        </w:rPr>
        <w:t xml:space="preserve"> </w:t>
      </w:r>
      <w:r>
        <w:rPr>
          <w:bCs/>
        </w:rPr>
        <w:t>5</w:t>
      </w:r>
      <w:r>
        <w:rPr>
          <w:bCs/>
          <w:sz w:val="16"/>
        </w:rPr>
        <w:t xml:space="preserve"> </w:t>
      </w:r>
      <w:r>
        <w:rPr>
          <w:bCs/>
        </w:rPr>
        <w:t>de</w:t>
      </w:r>
      <w:r>
        <w:rPr>
          <w:bCs/>
          <w:sz w:val="16"/>
        </w:rPr>
        <w:t xml:space="preserve"> </w:t>
      </w:r>
      <w:r>
        <w:rPr>
          <w:bCs/>
        </w:rPr>
        <w:t>la</w:t>
      </w:r>
      <w:r>
        <w:rPr>
          <w:bCs/>
          <w:sz w:val="16"/>
        </w:rPr>
        <w:t xml:space="preserve"> </w:t>
      </w:r>
      <w:r>
        <w:rPr>
          <w:bCs/>
        </w:rPr>
        <w:t>Recommandation</w:t>
      </w:r>
      <w:r>
        <w:rPr>
          <w:bCs/>
          <w:sz w:val="16"/>
        </w:rPr>
        <w:t xml:space="preserve"> </w:t>
      </w:r>
      <w:r>
        <w:rPr>
          <w:bCs/>
        </w:rPr>
        <w:t>UIT-R</w:t>
      </w:r>
      <w:r>
        <w:rPr>
          <w:bCs/>
          <w:sz w:val="16"/>
        </w:rPr>
        <w:t xml:space="preserve"> </w:t>
      </w:r>
      <w:r>
        <w:rPr>
          <w:bCs/>
        </w:rPr>
        <w:t>SM.1541.</w:t>
      </w:r>
      <w:r>
        <w:rPr>
          <w:bCs/>
          <w:sz w:val="16"/>
        </w:rPr>
        <w:t xml:space="preserve"> </w:t>
      </w:r>
      <w:r>
        <w:rPr>
          <w:bCs/>
        </w:rPr>
        <w:t>L'application</w:t>
      </w:r>
      <w:r>
        <w:rPr>
          <w:bCs/>
          <w:sz w:val="16"/>
        </w:rPr>
        <w:t xml:space="preserve"> </w:t>
      </w:r>
      <w:r>
        <w:rPr>
          <w:bCs/>
        </w:rPr>
        <w:t>de</w:t>
      </w:r>
      <w:r>
        <w:rPr>
          <w:bCs/>
          <w:sz w:val="16"/>
        </w:rPr>
        <w:t xml:space="preserve"> </w:t>
      </w:r>
      <w:r>
        <w:rPr>
          <w:bCs/>
        </w:rPr>
        <w:t>cette</w:t>
      </w:r>
      <w:r>
        <w:rPr>
          <w:bCs/>
          <w:sz w:val="16"/>
        </w:rPr>
        <w:t xml:space="preserve"> </w:t>
      </w:r>
      <w:r>
        <w:rPr>
          <w:bCs/>
        </w:rPr>
        <w:t>Recomman</w:t>
      </w:r>
      <w:r>
        <w:rPr>
          <w:bCs/>
        </w:rPr>
        <w:softHyphen/>
        <w:t>dation donn</w:t>
      </w:r>
      <w:r>
        <w:t xml:space="preserve">e des affaiblissements spectraux dans la partie de 100 MHz la plus basse de l'attribution </w:t>
      </w:r>
      <w:r>
        <w:br w:type="page"/>
        <w:t>SETS qui seront comparées aux résultats de la première étape. Si le seuil de brouillage est toujours dépassé, il faudra alors trouver des méthodes de réduction de la puissance dans la bande passive.</w:t>
      </w:r>
    </w:p>
    <w:p w:rsidR="002B489A" w:rsidRDefault="004F19C4">
      <w:pPr>
        <w:pStyle w:val="Heading2"/>
      </w:pPr>
      <w:r>
        <w:t>4.2</w:t>
      </w:r>
      <w:r>
        <w:tab/>
        <w:t>Calculs des niveaux de brouillage pour les détecteurs passifs à balayage conique</w:t>
      </w:r>
    </w:p>
    <w:p w:rsidR="002B489A" w:rsidRDefault="004F19C4">
      <w:pPr>
        <w:pStyle w:val="Heading3"/>
      </w:pPr>
      <w:r>
        <w:t>4.2.1</w:t>
      </w:r>
      <w:r>
        <w:tab/>
        <w:t>Le satellite SIS est juste au-dessus du détecteur passif</w:t>
      </w:r>
    </w:p>
    <w:p w:rsidR="002B489A" w:rsidRDefault="004F19C4">
      <w:r>
        <w:t>On a une situation géométrique très simple lorsque le satellite SIS est juste au-dessus du détecteur SETS. Dans cette situation, le gain d'antenne du détecteur SETS est très inférieur au maximum. Ce cas ne survient qu'avec le radiomètre EOS AMSR-E.</w:t>
      </w:r>
    </w:p>
    <w:p w:rsidR="002B489A" w:rsidRDefault="004F19C4">
      <w:pPr>
        <w:pStyle w:val="TableNo"/>
      </w:pPr>
      <w:r>
        <w:t>TABLEAU  38</w:t>
      </w:r>
    </w:p>
    <w:p w:rsidR="002B489A" w:rsidRDefault="004F19C4">
      <w:pPr>
        <w:pStyle w:val="Tabletitle"/>
      </w:pPr>
      <w:r>
        <w:t>Analyse de compatibilité entre Hib-Leo 2 et EOS AMSR-E</w:t>
      </w:r>
    </w:p>
    <w:tbl>
      <w:tblPr>
        <w:tblW w:w="9639"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A0" w:firstRow="1" w:lastRow="0" w:firstColumn="1" w:lastColumn="0" w:noHBand="0" w:noVBand="0"/>
      </w:tblPr>
      <w:tblGrid>
        <w:gridCol w:w="6423"/>
        <w:gridCol w:w="3216"/>
      </w:tblGrid>
      <w:tr w:rsidR="002B489A">
        <w:tc>
          <w:tcPr>
            <w:tcW w:w="6358" w:type="dxa"/>
          </w:tcPr>
          <w:p w:rsidR="002B489A" w:rsidRDefault="004F19C4">
            <w:pPr>
              <w:pStyle w:val="Tablehead"/>
              <w:framePr w:hSpace="181" w:wrap="notBeside" w:vAnchor="text" w:hAnchor="text" w:xAlign="center" w:y="1"/>
            </w:pPr>
            <w:r>
              <w:t>Paramètres</w:t>
            </w:r>
          </w:p>
        </w:tc>
        <w:tc>
          <w:tcPr>
            <w:tcW w:w="3183" w:type="dxa"/>
          </w:tcPr>
          <w:p w:rsidR="002B489A" w:rsidRDefault="004F19C4">
            <w:pPr>
              <w:pStyle w:val="Tablehead"/>
              <w:framePr w:hSpace="181" w:wrap="notBeside" w:vAnchor="text" w:hAnchor="text" w:xAlign="center" w:y="1"/>
            </w:pPr>
            <w:r>
              <w:t>Valeur obtenue</w:t>
            </w:r>
          </w:p>
        </w:tc>
      </w:tr>
      <w:tr w:rsidR="002B489A">
        <w:tc>
          <w:tcPr>
            <w:tcW w:w="6358" w:type="dxa"/>
          </w:tcPr>
          <w:p w:rsidR="002B489A" w:rsidRDefault="004F19C4">
            <w:pPr>
              <w:pStyle w:val="Tabletext"/>
              <w:framePr w:hSpace="181" w:wrap="notBeside" w:vAnchor="text" w:hAnchor="text" w:xAlign="center" w:y="1"/>
              <w:spacing w:before="20" w:after="20"/>
              <w:jc w:val="left"/>
            </w:pPr>
            <w:r>
              <w:t>Gamme de fréquences SIS (GHz)</w:t>
            </w:r>
          </w:p>
        </w:tc>
        <w:tc>
          <w:tcPr>
            <w:tcW w:w="3183" w:type="dxa"/>
          </w:tcPr>
          <w:p w:rsidR="002B489A" w:rsidRDefault="004F19C4">
            <w:pPr>
              <w:pStyle w:val="Tabletext"/>
              <w:framePr w:hSpace="181" w:wrap="notBeside" w:vAnchor="text" w:hAnchor="text" w:xAlign="center" w:y="1"/>
              <w:spacing w:before="20" w:after="20"/>
              <w:jc w:val="center"/>
            </w:pPr>
            <w:r>
              <w:t>23,183</w:t>
            </w:r>
            <w:r>
              <w:noBreakHyphen/>
              <w:t>23,377</w:t>
            </w:r>
          </w:p>
        </w:tc>
      </w:tr>
      <w:tr w:rsidR="002B489A">
        <w:trPr>
          <w:cantSplit/>
        </w:trPr>
        <w:tc>
          <w:tcPr>
            <w:tcW w:w="6358" w:type="dxa"/>
          </w:tcPr>
          <w:p w:rsidR="002B489A" w:rsidRDefault="004F19C4">
            <w:pPr>
              <w:pStyle w:val="Tabletext"/>
              <w:framePr w:hSpace="181" w:wrap="notBeside" w:vAnchor="text" w:hAnchor="text" w:xAlign="center" w:y="1"/>
              <w:spacing w:before="20" w:after="20"/>
              <w:jc w:val="left"/>
            </w:pPr>
            <w:r>
              <w:t>p.i.r.e./porteuse (dBW)</w:t>
            </w:r>
          </w:p>
        </w:tc>
        <w:tc>
          <w:tcPr>
            <w:tcW w:w="3183" w:type="dxa"/>
          </w:tcPr>
          <w:p w:rsidR="002B489A" w:rsidRDefault="004F19C4">
            <w:pPr>
              <w:pStyle w:val="Tabletext"/>
              <w:framePr w:hSpace="181" w:wrap="notBeside" w:vAnchor="text" w:hAnchor="text" w:xAlign="center" w:y="1"/>
              <w:spacing w:before="20" w:after="20"/>
              <w:jc w:val="center"/>
            </w:pPr>
            <w:r>
              <w:t>12,2</w:t>
            </w:r>
          </w:p>
        </w:tc>
      </w:tr>
      <w:tr w:rsidR="002B489A">
        <w:trPr>
          <w:cantSplit/>
        </w:trPr>
        <w:tc>
          <w:tcPr>
            <w:tcW w:w="6358" w:type="dxa"/>
          </w:tcPr>
          <w:p w:rsidR="002B489A" w:rsidRDefault="004F19C4">
            <w:pPr>
              <w:pStyle w:val="Tabletext"/>
              <w:framePr w:hSpace="181" w:wrap="notBeside" w:vAnchor="text" w:hAnchor="text" w:xAlign="center" w:y="1"/>
              <w:spacing w:before="20" w:after="20"/>
              <w:jc w:val="left"/>
            </w:pPr>
            <w:r>
              <w:t>Largeur de bande (MHz)</w:t>
            </w:r>
          </w:p>
        </w:tc>
        <w:tc>
          <w:tcPr>
            <w:tcW w:w="3183" w:type="dxa"/>
          </w:tcPr>
          <w:p w:rsidR="002B489A" w:rsidRDefault="004F19C4">
            <w:pPr>
              <w:pStyle w:val="Tabletext"/>
              <w:framePr w:hSpace="181" w:wrap="notBeside" w:vAnchor="text" w:hAnchor="text" w:xAlign="center" w:y="1"/>
              <w:spacing w:before="20" w:after="20"/>
              <w:jc w:val="center"/>
            </w:pPr>
            <w:r>
              <w:t>194</w:t>
            </w:r>
          </w:p>
        </w:tc>
      </w:tr>
      <w:tr w:rsidR="002B489A">
        <w:trPr>
          <w:cantSplit/>
        </w:trPr>
        <w:tc>
          <w:tcPr>
            <w:tcW w:w="6358" w:type="dxa"/>
          </w:tcPr>
          <w:p w:rsidR="002B489A" w:rsidRDefault="004F19C4">
            <w:pPr>
              <w:pStyle w:val="Tabletext"/>
              <w:framePr w:hSpace="181" w:wrap="notBeside" w:vAnchor="text" w:hAnchor="text" w:xAlign="center" w:y="1"/>
              <w:spacing w:before="20" w:after="20"/>
              <w:jc w:val="left"/>
            </w:pPr>
            <w:r>
              <w:t>Distance station spatiale SIS – détecteur SETS (km)</w:t>
            </w:r>
          </w:p>
        </w:tc>
        <w:tc>
          <w:tcPr>
            <w:tcW w:w="3183" w:type="dxa"/>
          </w:tcPr>
          <w:p w:rsidR="002B489A" w:rsidRDefault="004F19C4">
            <w:pPr>
              <w:pStyle w:val="Tabletext"/>
              <w:framePr w:hSpace="181" w:wrap="notBeside" w:vAnchor="text" w:hAnchor="text" w:xAlign="center" w:y="1"/>
              <w:spacing w:before="20" w:after="20"/>
              <w:jc w:val="center"/>
            </w:pPr>
            <w:r>
              <w:t>75</w:t>
            </w:r>
          </w:p>
        </w:tc>
      </w:tr>
      <w:tr w:rsidR="002B489A">
        <w:trPr>
          <w:cantSplit/>
        </w:trPr>
        <w:tc>
          <w:tcPr>
            <w:tcW w:w="6358" w:type="dxa"/>
          </w:tcPr>
          <w:p w:rsidR="002B489A" w:rsidRDefault="004F19C4">
            <w:pPr>
              <w:pStyle w:val="Tabletext"/>
              <w:framePr w:hSpace="181" w:wrap="notBeside" w:vAnchor="text" w:hAnchor="text" w:xAlign="center" w:y="1"/>
              <w:spacing w:before="20" w:after="20"/>
              <w:jc w:val="left"/>
            </w:pPr>
            <w:r>
              <w:t>Affaiblissement spatial (dB)</w:t>
            </w:r>
          </w:p>
        </w:tc>
        <w:tc>
          <w:tcPr>
            <w:tcW w:w="3183" w:type="dxa"/>
          </w:tcPr>
          <w:p w:rsidR="002B489A" w:rsidRDefault="004F19C4">
            <w:pPr>
              <w:pStyle w:val="Tabletext"/>
              <w:framePr w:hSpace="181" w:wrap="notBeside" w:vAnchor="text" w:hAnchor="text" w:xAlign="center" w:y="1"/>
              <w:spacing w:before="20" w:after="20"/>
              <w:jc w:val="center"/>
            </w:pPr>
            <w:r>
              <w:t>157,5</w:t>
            </w:r>
          </w:p>
        </w:tc>
      </w:tr>
      <w:tr w:rsidR="002B489A">
        <w:trPr>
          <w:cantSplit/>
        </w:trPr>
        <w:tc>
          <w:tcPr>
            <w:tcW w:w="6358" w:type="dxa"/>
          </w:tcPr>
          <w:p w:rsidR="002B489A" w:rsidRDefault="004F19C4">
            <w:pPr>
              <w:pStyle w:val="Tabletext"/>
              <w:framePr w:hSpace="181" w:wrap="notBeside" w:vAnchor="text" w:hAnchor="text" w:xAlign="center" w:y="1"/>
              <w:spacing w:before="20" w:after="20"/>
              <w:jc w:val="left"/>
            </w:pPr>
            <w:r>
              <w:t>Gain de l'antenne SETS (dBi)</w:t>
            </w:r>
          </w:p>
        </w:tc>
        <w:tc>
          <w:tcPr>
            <w:tcW w:w="3183" w:type="dxa"/>
          </w:tcPr>
          <w:p w:rsidR="002B489A" w:rsidRDefault="004F19C4">
            <w:pPr>
              <w:pStyle w:val="Tabletext"/>
              <w:framePr w:hSpace="181" w:wrap="notBeside" w:vAnchor="text" w:hAnchor="text" w:xAlign="center" w:y="1"/>
              <w:spacing w:before="20" w:after="20"/>
              <w:jc w:val="center"/>
            </w:pPr>
            <w:r>
              <w:sym w:font="Symbol" w:char="F02D"/>
            </w:r>
            <w:r>
              <w:t>19</w:t>
            </w:r>
          </w:p>
        </w:tc>
      </w:tr>
      <w:tr w:rsidR="002B489A">
        <w:trPr>
          <w:cantSplit/>
        </w:trPr>
        <w:tc>
          <w:tcPr>
            <w:tcW w:w="6358" w:type="dxa"/>
          </w:tcPr>
          <w:p w:rsidR="002B489A" w:rsidRDefault="004F19C4">
            <w:pPr>
              <w:pStyle w:val="Tabletext"/>
              <w:framePr w:hSpace="181" w:wrap="notBeside" w:vAnchor="text" w:hAnchor="text" w:xAlign="center" w:y="1"/>
              <w:spacing w:before="20" w:after="20"/>
              <w:jc w:val="left"/>
            </w:pPr>
            <w:r>
              <w:t>Puissance reçue au SETS dans la largeur de bande ci-dessus (dBW)</w:t>
            </w:r>
          </w:p>
        </w:tc>
        <w:tc>
          <w:tcPr>
            <w:tcW w:w="3183" w:type="dxa"/>
          </w:tcPr>
          <w:p w:rsidR="002B489A" w:rsidRDefault="004F19C4">
            <w:pPr>
              <w:pStyle w:val="Tabletext"/>
              <w:framePr w:hSpace="181" w:wrap="notBeside" w:vAnchor="text" w:hAnchor="text" w:xAlign="center" w:y="1"/>
              <w:spacing w:before="20" w:after="20"/>
              <w:jc w:val="center"/>
            </w:pPr>
            <w:r>
              <w:sym w:font="Symbol" w:char="F02D"/>
            </w:r>
            <w:r>
              <w:t>164,3</w:t>
            </w:r>
          </w:p>
        </w:tc>
      </w:tr>
      <w:tr w:rsidR="002B489A">
        <w:trPr>
          <w:cantSplit/>
        </w:trPr>
        <w:tc>
          <w:tcPr>
            <w:tcW w:w="6358" w:type="dxa"/>
          </w:tcPr>
          <w:p w:rsidR="002B489A" w:rsidRDefault="004F19C4">
            <w:pPr>
              <w:pStyle w:val="Tabletext"/>
              <w:framePr w:hSpace="181" w:wrap="notBeside" w:vAnchor="text" w:hAnchor="text" w:xAlign="center" w:y="1"/>
              <w:spacing w:before="20" w:after="20"/>
              <w:jc w:val="left"/>
            </w:pPr>
            <w:r>
              <w:t>Puissance correspondante reçue au SETS dans une largeur de bande de 100 MHz (dBW)</w:t>
            </w:r>
          </w:p>
        </w:tc>
        <w:tc>
          <w:tcPr>
            <w:tcW w:w="3183" w:type="dxa"/>
          </w:tcPr>
          <w:p w:rsidR="002B489A" w:rsidRDefault="004F19C4">
            <w:pPr>
              <w:pStyle w:val="Tabletext"/>
              <w:framePr w:hSpace="181" w:wrap="notBeside" w:vAnchor="text" w:hAnchor="text" w:xAlign="center" w:y="1"/>
              <w:spacing w:before="20" w:after="20"/>
              <w:jc w:val="center"/>
            </w:pPr>
            <w:r>
              <w:sym w:font="Symbol" w:char="F02D"/>
            </w:r>
            <w:r>
              <w:t>167,2</w:t>
            </w:r>
          </w:p>
        </w:tc>
      </w:tr>
      <w:tr w:rsidR="002B489A">
        <w:trPr>
          <w:cantSplit/>
        </w:trPr>
        <w:tc>
          <w:tcPr>
            <w:tcW w:w="6358" w:type="dxa"/>
          </w:tcPr>
          <w:p w:rsidR="002B489A" w:rsidRDefault="004F19C4">
            <w:pPr>
              <w:pStyle w:val="Tabletext"/>
              <w:framePr w:hSpace="181" w:wrap="notBeside" w:vAnchor="text" w:hAnchor="text" w:xAlign="center" w:y="1"/>
              <w:spacing w:before="20" w:after="20"/>
              <w:jc w:val="left"/>
            </w:pPr>
            <w:r>
              <w:t>Seuil de brouillage dans une largeur de bande de 100 MHz (dBW)</w:t>
            </w:r>
          </w:p>
        </w:tc>
        <w:tc>
          <w:tcPr>
            <w:tcW w:w="3183" w:type="dxa"/>
          </w:tcPr>
          <w:p w:rsidR="002B489A" w:rsidRDefault="004F19C4">
            <w:pPr>
              <w:pStyle w:val="Tabletext"/>
              <w:framePr w:hSpace="181" w:wrap="notBeside" w:vAnchor="text" w:hAnchor="text" w:xAlign="center" w:y="1"/>
              <w:spacing w:before="20" w:after="20"/>
              <w:jc w:val="center"/>
            </w:pPr>
            <w:r>
              <w:sym w:font="Symbol" w:char="F02D"/>
            </w:r>
            <w:r>
              <w:t>163</w:t>
            </w:r>
          </w:p>
        </w:tc>
      </w:tr>
      <w:tr w:rsidR="002B489A">
        <w:trPr>
          <w:cantSplit/>
        </w:trPr>
        <w:tc>
          <w:tcPr>
            <w:tcW w:w="6358" w:type="dxa"/>
          </w:tcPr>
          <w:p w:rsidR="002B489A" w:rsidRDefault="004F19C4">
            <w:pPr>
              <w:pStyle w:val="Tabletext"/>
              <w:framePr w:hSpace="181" w:wrap="notBeside" w:vAnchor="text" w:hAnchor="text" w:xAlign="center" w:y="1"/>
              <w:spacing w:before="20" w:after="20"/>
              <w:jc w:val="left"/>
            </w:pPr>
            <w:r>
              <w:t>Affaiblissement spectral requis</w:t>
            </w:r>
          </w:p>
        </w:tc>
        <w:tc>
          <w:tcPr>
            <w:tcW w:w="3183" w:type="dxa"/>
          </w:tcPr>
          <w:p w:rsidR="002B489A" w:rsidRDefault="004F19C4">
            <w:pPr>
              <w:pStyle w:val="Tabletext"/>
              <w:framePr w:hSpace="181" w:wrap="notBeside" w:vAnchor="text" w:hAnchor="text" w:xAlign="center" w:y="1"/>
              <w:spacing w:before="20" w:after="20"/>
              <w:jc w:val="center"/>
            </w:pPr>
            <w:r>
              <w:t>0</w:t>
            </w:r>
          </w:p>
        </w:tc>
      </w:tr>
    </w:tbl>
    <w:p w:rsidR="002B489A" w:rsidRDefault="002B489A">
      <w:pPr>
        <w:pStyle w:val="Tablefin"/>
        <w:spacing w:before="0"/>
      </w:pPr>
    </w:p>
    <w:p w:rsidR="002B489A" w:rsidRDefault="004F19C4">
      <w:pPr>
        <w:pStyle w:val="Heading3"/>
        <w:spacing w:before="240"/>
      </w:pPr>
      <w:r>
        <w:t>4.2.2</w:t>
      </w:r>
      <w:r>
        <w:tab/>
        <w:t>Le satellite SIS est juste au-dessous du détecteur passif</w:t>
      </w:r>
    </w:p>
    <w:p w:rsidR="002B489A" w:rsidRDefault="004F19C4">
      <w:r>
        <w:t>On trouve une situation géométrique très simple lorsque le satellite SIS est juste au-dessous du détecteur SETS. Dans cette situation, le gain d'antenne du détecteur SETS est maximum. Ce cas ne survient qu'avec le radiomètre MEGHA</w:t>
      </w:r>
      <w:r>
        <w:noBreakHyphen/>
        <w:t>TROPIC.</w:t>
      </w:r>
    </w:p>
    <w:p w:rsidR="002B489A" w:rsidRDefault="004F19C4">
      <w:pPr>
        <w:pStyle w:val="TableNo"/>
      </w:pPr>
      <w:r>
        <w:t>TABLEAU  39</w:t>
      </w:r>
    </w:p>
    <w:p w:rsidR="002B489A" w:rsidRDefault="004F19C4">
      <w:pPr>
        <w:pStyle w:val="Tabletitle"/>
      </w:pPr>
      <w:r>
        <w:t>Analyse de compatibilité entre Hib-Leo 2 et MEGHA-TROPIC</w:t>
      </w:r>
    </w:p>
    <w:tbl>
      <w:tblPr>
        <w:tblW w:w="0" w:type="auto"/>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A0" w:firstRow="1" w:lastRow="0" w:firstColumn="1" w:lastColumn="0" w:noHBand="0" w:noVBand="0"/>
      </w:tblPr>
      <w:tblGrid>
        <w:gridCol w:w="6490"/>
        <w:gridCol w:w="2977"/>
      </w:tblGrid>
      <w:tr w:rsidR="002B489A">
        <w:tc>
          <w:tcPr>
            <w:tcW w:w="6490" w:type="dxa"/>
            <w:tcMar>
              <w:left w:w="85" w:type="dxa"/>
              <w:right w:w="85" w:type="dxa"/>
            </w:tcMar>
          </w:tcPr>
          <w:p w:rsidR="002B489A" w:rsidRDefault="004F19C4">
            <w:pPr>
              <w:pStyle w:val="Tablehead"/>
              <w:framePr w:hSpace="181" w:wrap="notBeside" w:vAnchor="text" w:hAnchor="text" w:xAlign="center" w:y="1"/>
            </w:pPr>
            <w:r>
              <w:t>Paramètres</w:t>
            </w:r>
          </w:p>
        </w:tc>
        <w:tc>
          <w:tcPr>
            <w:tcW w:w="2977" w:type="dxa"/>
            <w:tcMar>
              <w:left w:w="85" w:type="dxa"/>
              <w:right w:w="85" w:type="dxa"/>
            </w:tcMar>
          </w:tcPr>
          <w:p w:rsidR="002B489A" w:rsidRDefault="004F19C4">
            <w:pPr>
              <w:pStyle w:val="Tablehead"/>
              <w:framePr w:hSpace="181" w:wrap="notBeside" w:vAnchor="text" w:hAnchor="text" w:xAlign="center" w:y="1"/>
            </w:pPr>
            <w:r>
              <w:t>MEGHA-TROPIC</w:t>
            </w:r>
          </w:p>
        </w:tc>
      </w:tr>
      <w:tr w:rsidR="002B489A">
        <w:tc>
          <w:tcPr>
            <w:tcW w:w="6490" w:type="dxa"/>
            <w:tcMar>
              <w:left w:w="85" w:type="dxa"/>
              <w:right w:w="85" w:type="dxa"/>
            </w:tcMar>
          </w:tcPr>
          <w:p w:rsidR="002B489A" w:rsidRDefault="004F19C4">
            <w:pPr>
              <w:pStyle w:val="Tabletext"/>
              <w:framePr w:hSpace="181" w:wrap="notBeside" w:vAnchor="text" w:hAnchor="text" w:xAlign="center" w:y="1"/>
              <w:spacing w:before="20" w:after="20"/>
            </w:pPr>
            <w:r>
              <w:t>Gamme de fréquences SIS (GHz)</w:t>
            </w:r>
          </w:p>
        </w:tc>
        <w:tc>
          <w:tcPr>
            <w:tcW w:w="2977" w:type="dxa"/>
            <w:tcMar>
              <w:left w:w="85" w:type="dxa"/>
              <w:right w:w="85" w:type="dxa"/>
            </w:tcMar>
          </w:tcPr>
          <w:p w:rsidR="002B489A" w:rsidRDefault="004F19C4">
            <w:pPr>
              <w:pStyle w:val="Tabletext"/>
              <w:framePr w:hSpace="181" w:wrap="notBeside" w:vAnchor="text" w:hAnchor="text" w:xAlign="center" w:y="1"/>
              <w:spacing w:before="20" w:after="20"/>
              <w:jc w:val="center"/>
            </w:pPr>
            <w:r>
              <w:t>23,183</w:t>
            </w:r>
            <w:r>
              <w:noBreakHyphen/>
              <w:t>23,377</w:t>
            </w:r>
          </w:p>
        </w:tc>
      </w:tr>
      <w:tr w:rsidR="002B489A">
        <w:tc>
          <w:tcPr>
            <w:tcW w:w="6490" w:type="dxa"/>
            <w:tcMar>
              <w:left w:w="85" w:type="dxa"/>
              <w:right w:w="85" w:type="dxa"/>
            </w:tcMar>
          </w:tcPr>
          <w:p w:rsidR="002B489A" w:rsidRDefault="004F19C4">
            <w:pPr>
              <w:pStyle w:val="Tabletext"/>
              <w:framePr w:hSpace="181" w:wrap="notBeside" w:vAnchor="text" w:hAnchor="text" w:xAlign="center" w:y="1"/>
              <w:spacing w:before="20" w:after="20"/>
            </w:pPr>
            <w:r>
              <w:t>p.i.r.e./porteuse (dBW)</w:t>
            </w:r>
          </w:p>
        </w:tc>
        <w:tc>
          <w:tcPr>
            <w:tcW w:w="2977" w:type="dxa"/>
            <w:tcMar>
              <w:left w:w="85" w:type="dxa"/>
              <w:right w:w="85" w:type="dxa"/>
            </w:tcMar>
          </w:tcPr>
          <w:p w:rsidR="002B489A" w:rsidRDefault="004F19C4">
            <w:pPr>
              <w:pStyle w:val="Tabletext"/>
              <w:framePr w:hSpace="181" w:wrap="notBeside" w:vAnchor="text" w:hAnchor="text" w:xAlign="center" w:y="1"/>
              <w:spacing w:before="20" w:after="20"/>
              <w:jc w:val="center"/>
            </w:pPr>
            <w:r>
              <w:t>12,2</w:t>
            </w:r>
          </w:p>
        </w:tc>
      </w:tr>
      <w:tr w:rsidR="002B489A">
        <w:tc>
          <w:tcPr>
            <w:tcW w:w="6490" w:type="dxa"/>
            <w:tcMar>
              <w:left w:w="85" w:type="dxa"/>
              <w:right w:w="85" w:type="dxa"/>
            </w:tcMar>
          </w:tcPr>
          <w:p w:rsidR="002B489A" w:rsidRDefault="004F19C4">
            <w:pPr>
              <w:pStyle w:val="Tabletext"/>
              <w:framePr w:hSpace="181" w:wrap="notBeside" w:vAnchor="text" w:hAnchor="text" w:xAlign="center" w:y="1"/>
              <w:spacing w:before="20" w:after="20"/>
            </w:pPr>
            <w:r>
              <w:t>Largeur de bande (MHz)</w:t>
            </w:r>
          </w:p>
        </w:tc>
        <w:tc>
          <w:tcPr>
            <w:tcW w:w="2977" w:type="dxa"/>
            <w:tcMar>
              <w:left w:w="85" w:type="dxa"/>
              <w:right w:w="85" w:type="dxa"/>
            </w:tcMar>
          </w:tcPr>
          <w:p w:rsidR="002B489A" w:rsidRDefault="004F19C4">
            <w:pPr>
              <w:pStyle w:val="Tabletext"/>
              <w:framePr w:hSpace="181" w:wrap="notBeside" w:vAnchor="text" w:hAnchor="text" w:xAlign="center" w:y="1"/>
              <w:spacing w:before="20" w:after="20"/>
              <w:jc w:val="center"/>
            </w:pPr>
            <w:r>
              <w:t>194</w:t>
            </w:r>
          </w:p>
        </w:tc>
      </w:tr>
      <w:tr w:rsidR="002B489A">
        <w:tc>
          <w:tcPr>
            <w:tcW w:w="6490" w:type="dxa"/>
            <w:tcMar>
              <w:left w:w="85" w:type="dxa"/>
              <w:right w:w="85" w:type="dxa"/>
            </w:tcMar>
          </w:tcPr>
          <w:p w:rsidR="002B489A" w:rsidRDefault="004F19C4">
            <w:pPr>
              <w:pStyle w:val="Tabletext"/>
              <w:framePr w:hSpace="181" w:wrap="notBeside" w:vAnchor="text" w:hAnchor="text" w:xAlign="center" w:y="1"/>
              <w:spacing w:before="20" w:after="20"/>
            </w:pPr>
            <w:r>
              <w:t>Distance station spatiale SIS – détecteur SETS (km)</w:t>
            </w:r>
          </w:p>
        </w:tc>
        <w:tc>
          <w:tcPr>
            <w:tcW w:w="2977" w:type="dxa"/>
            <w:tcMar>
              <w:left w:w="85" w:type="dxa"/>
              <w:right w:w="85" w:type="dxa"/>
            </w:tcMar>
          </w:tcPr>
          <w:p w:rsidR="002B489A" w:rsidRDefault="004F19C4">
            <w:pPr>
              <w:pStyle w:val="Tabletext"/>
              <w:framePr w:hSpace="181" w:wrap="notBeside" w:vAnchor="text" w:hAnchor="text" w:xAlign="center" w:y="1"/>
              <w:spacing w:before="20" w:after="20"/>
              <w:jc w:val="center"/>
            </w:pPr>
            <w:r>
              <w:t>56</w:t>
            </w:r>
          </w:p>
        </w:tc>
      </w:tr>
      <w:tr w:rsidR="002B489A">
        <w:tc>
          <w:tcPr>
            <w:tcW w:w="6490" w:type="dxa"/>
            <w:tcMar>
              <w:left w:w="85" w:type="dxa"/>
              <w:right w:w="85" w:type="dxa"/>
            </w:tcMar>
          </w:tcPr>
          <w:p w:rsidR="002B489A" w:rsidRDefault="004F19C4">
            <w:pPr>
              <w:pStyle w:val="Tabletext"/>
              <w:framePr w:hSpace="181" w:wrap="notBeside" w:vAnchor="text" w:hAnchor="text" w:xAlign="center" w:y="1"/>
              <w:spacing w:before="20" w:after="20"/>
            </w:pPr>
            <w:r>
              <w:t>Affaiblissement spatial (dB)</w:t>
            </w:r>
          </w:p>
        </w:tc>
        <w:tc>
          <w:tcPr>
            <w:tcW w:w="2977" w:type="dxa"/>
            <w:tcMar>
              <w:left w:w="85" w:type="dxa"/>
              <w:right w:w="85" w:type="dxa"/>
            </w:tcMar>
          </w:tcPr>
          <w:p w:rsidR="002B489A" w:rsidRDefault="004F19C4">
            <w:pPr>
              <w:pStyle w:val="Tabletext"/>
              <w:framePr w:hSpace="181" w:wrap="notBeside" w:vAnchor="text" w:hAnchor="text" w:xAlign="center" w:y="1"/>
              <w:spacing w:before="20" w:after="20"/>
              <w:jc w:val="center"/>
            </w:pPr>
            <w:r>
              <w:t>154,7</w:t>
            </w:r>
          </w:p>
        </w:tc>
      </w:tr>
      <w:tr w:rsidR="002B489A">
        <w:tc>
          <w:tcPr>
            <w:tcW w:w="6490" w:type="dxa"/>
            <w:tcMar>
              <w:left w:w="85" w:type="dxa"/>
              <w:right w:w="85" w:type="dxa"/>
            </w:tcMar>
          </w:tcPr>
          <w:p w:rsidR="002B489A" w:rsidRDefault="004F19C4">
            <w:pPr>
              <w:pStyle w:val="Tabletext"/>
              <w:framePr w:hSpace="181" w:wrap="notBeside" w:vAnchor="text" w:hAnchor="text" w:xAlign="center" w:y="1"/>
              <w:spacing w:before="20" w:after="20"/>
            </w:pPr>
            <w:r>
              <w:t>Gain d'antenne SETS (dBi)</w:t>
            </w:r>
          </w:p>
        </w:tc>
        <w:tc>
          <w:tcPr>
            <w:tcW w:w="2977" w:type="dxa"/>
            <w:tcMar>
              <w:left w:w="85" w:type="dxa"/>
              <w:right w:w="85" w:type="dxa"/>
            </w:tcMar>
          </w:tcPr>
          <w:p w:rsidR="002B489A" w:rsidRDefault="004F19C4">
            <w:pPr>
              <w:pStyle w:val="Tabletext"/>
              <w:framePr w:hSpace="181" w:wrap="notBeside" w:vAnchor="text" w:hAnchor="text" w:xAlign="center" w:y="1"/>
              <w:spacing w:before="20" w:after="20"/>
              <w:jc w:val="center"/>
            </w:pPr>
            <w:r>
              <w:t>40</w:t>
            </w:r>
          </w:p>
        </w:tc>
      </w:tr>
      <w:tr w:rsidR="002B489A">
        <w:tc>
          <w:tcPr>
            <w:tcW w:w="6490" w:type="dxa"/>
            <w:tcMar>
              <w:left w:w="85" w:type="dxa"/>
              <w:right w:w="85" w:type="dxa"/>
            </w:tcMar>
          </w:tcPr>
          <w:p w:rsidR="002B489A" w:rsidRDefault="004F19C4">
            <w:pPr>
              <w:pStyle w:val="Tabletext"/>
              <w:framePr w:hSpace="181" w:wrap="notBeside" w:vAnchor="text" w:hAnchor="text" w:xAlign="center" w:y="1"/>
              <w:spacing w:before="20" w:after="20"/>
            </w:pPr>
            <w:r>
              <w:t>Puissance reçue au SETS (dB(W/MHz))</w:t>
            </w:r>
          </w:p>
        </w:tc>
        <w:tc>
          <w:tcPr>
            <w:tcW w:w="2977" w:type="dxa"/>
            <w:tcMar>
              <w:left w:w="85" w:type="dxa"/>
              <w:right w:w="85" w:type="dxa"/>
            </w:tcMar>
          </w:tcPr>
          <w:p w:rsidR="002B489A" w:rsidRDefault="004F19C4">
            <w:pPr>
              <w:pStyle w:val="Tabletext"/>
              <w:framePr w:hSpace="181" w:wrap="notBeside" w:vAnchor="text" w:hAnchor="text" w:xAlign="center" w:y="1"/>
              <w:spacing w:before="20" w:after="20"/>
              <w:jc w:val="center"/>
            </w:pPr>
            <w:r>
              <w:sym w:font="Symbol" w:char="F02D"/>
            </w:r>
            <w:r>
              <w:t>125,4</w:t>
            </w:r>
          </w:p>
        </w:tc>
      </w:tr>
      <w:tr w:rsidR="002B489A">
        <w:tc>
          <w:tcPr>
            <w:tcW w:w="6490" w:type="dxa"/>
            <w:tcMar>
              <w:left w:w="85" w:type="dxa"/>
              <w:right w:w="85" w:type="dxa"/>
            </w:tcMar>
          </w:tcPr>
          <w:p w:rsidR="002B489A" w:rsidRDefault="004F19C4">
            <w:pPr>
              <w:pStyle w:val="Tabletext"/>
              <w:framePr w:hSpace="181" w:wrap="notBeside" w:vAnchor="text" w:hAnchor="text" w:xAlign="center" w:y="1"/>
              <w:spacing w:before="20" w:after="20"/>
            </w:pPr>
            <w:r>
              <w:t>Puissance reçue au SETS (dB(W/100 MHz))</w:t>
            </w:r>
          </w:p>
        </w:tc>
        <w:tc>
          <w:tcPr>
            <w:tcW w:w="2977" w:type="dxa"/>
            <w:tcMar>
              <w:left w:w="85" w:type="dxa"/>
              <w:right w:w="85" w:type="dxa"/>
            </w:tcMar>
          </w:tcPr>
          <w:p w:rsidR="002B489A" w:rsidRDefault="004F19C4">
            <w:pPr>
              <w:pStyle w:val="Tabletext"/>
              <w:framePr w:hSpace="181" w:wrap="notBeside" w:vAnchor="text" w:hAnchor="text" w:xAlign="center" w:y="1"/>
              <w:spacing w:before="20" w:after="20"/>
              <w:jc w:val="center"/>
            </w:pPr>
            <w:r>
              <w:sym w:font="Symbol" w:char="F02D"/>
            </w:r>
            <w:r>
              <w:t>105,4</w:t>
            </w:r>
          </w:p>
        </w:tc>
      </w:tr>
      <w:tr w:rsidR="002B489A">
        <w:tc>
          <w:tcPr>
            <w:tcW w:w="6490" w:type="dxa"/>
            <w:tcMar>
              <w:left w:w="85" w:type="dxa"/>
              <w:right w:w="85" w:type="dxa"/>
            </w:tcMar>
          </w:tcPr>
          <w:p w:rsidR="002B489A" w:rsidRDefault="004F19C4">
            <w:pPr>
              <w:pStyle w:val="Tabletext"/>
              <w:framePr w:hSpace="181" w:wrap="notBeside" w:vAnchor="text" w:hAnchor="text" w:xAlign="center" w:y="1"/>
              <w:spacing w:before="20" w:after="20"/>
            </w:pPr>
            <w:r>
              <w:t>Seuil de brouillage dans une largeur de bande de 100 MHz (dBW)</w:t>
            </w:r>
          </w:p>
        </w:tc>
        <w:tc>
          <w:tcPr>
            <w:tcW w:w="2977" w:type="dxa"/>
            <w:tcMar>
              <w:left w:w="85" w:type="dxa"/>
              <w:right w:w="85" w:type="dxa"/>
            </w:tcMar>
          </w:tcPr>
          <w:p w:rsidR="002B489A" w:rsidRDefault="004F19C4">
            <w:pPr>
              <w:pStyle w:val="Tabletext"/>
              <w:framePr w:hSpace="181" w:wrap="notBeside" w:vAnchor="text" w:hAnchor="text" w:xAlign="center" w:y="1"/>
              <w:spacing w:before="20" w:after="20"/>
              <w:jc w:val="center"/>
            </w:pPr>
            <w:r>
              <w:sym w:font="Symbol" w:char="F02D"/>
            </w:r>
            <w:r>
              <w:t>163</w:t>
            </w:r>
          </w:p>
        </w:tc>
      </w:tr>
      <w:tr w:rsidR="002B489A">
        <w:tc>
          <w:tcPr>
            <w:tcW w:w="6490" w:type="dxa"/>
            <w:tcMar>
              <w:left w:w="85" w:type="dxa"/>
              <w:right w:w="85" w:type="dxa"/>
            </w:tcMar>
          </w:tcPr>
          <w:p w:rsidR="002B489A" w:rsidRDefault="004F19C4">
            <w:pPr>
              <w:pStyle w:val="Tabletext"/>
              <w:framePr w:hSpace="181" w:wrap="notBeside" w:vAnchor="text" w:hAnchor="text" w:xAlign="center" w:y="1"/>
              <w:spacing w:before="20" w:after="20"/>
            </w:pPr>
            <w:r>
              <w:t>Affaiblissement spectral requis</w:t>
            </w:r>
          </w:p>
        </w:tc>
        <w:tc>
          <w:tcPr>
            <w:tcW w:w="2977" w:type="dxa"/>
            <w:tcMar>
              <w:left w:w="85" w:type="dxa"/>
              <w:right w:w="85" w:type="dxa"/>
            </w:tcMar>
          </w:tcPr>
          <w:p w:rsidR="002B489A" w:rsidRDefault="004F19C4">
            <w:pPr>
              <w:pStyle w:val="Tabletext"/>
              <w:framePr w:hSpace="181" w:wrap="notBeside" w:vAnchor="text" w:hAnchor="text" w:xAlign="center" w:y="1"/>
              <w:spacing w:before="20" w:after="20"/>
              <w:jc w:val="center"/>
            </w:pPr>
            <w:r>
              <w:t>57,6</w:t>
            </w:r>
          </w:p>
        </w:tc>
      </w:tr>
    </w:tbl>
    <w:p w:rsidR="002B489A" w:rsidRDefault="002B489A">
      <w:pPr>
        <w:pStyle w:val="Tablefin"/>
        <w:spacing w:before="0"/>
      </w:pPr>
    </w:p>
    <w:p w:rsidR="002B489A" w:rsidRDefault="004F19C4">
      <w:pPr>
        <w:pStyle w:val="TableNo"/>
      </w:pPr>
      <w:r>
        <w:br w:type="page"/>
        <w:t>TABLEAU  40</w:t>
      </w:r>
    </w:p>
    <w:p w:rsidR="002B489A" w:rsidRDefault="004F19C4">
      <w:pPr>
        <w:pStyle w:val="Tabletitle"/>
      </w:pPr>
      <w:r>
        <w:rPr>
          <w:rFonts w:hint="eastAsia"/>
        </w:rPr>
        <w:t xml:space="preserve">Analyse de compatibilité </w:t>
      </w:r>
      <w:r>
        <w:t>entre</w:t>
      </w:r>
      <w:r>
        <w:rPr>
          <w:rFonts w:hint="eastAsia"/>
        </w:rPr>
        <w:t xml:space="preserve"> Hib</w:t>
      </w:r>
      <w:r>
        <w:t>-</w:t>
      </w:r>
      <w:r>
        <w:rPr>
          <w:rFonts w:hint="eastAsia"/>
        </w:rPr>
        <w:t xml:space="preserve">Leo 2 </w:t>
      </w:r>
      <w:r>
        <w:t>et</w:t>
      </w:r>
      <w:r>
        <w:rPr>
          <w:rFonts w:hint="eastAsia"/>
        </w:rPr>
        <w:t xml:space="preserve"> ADEOS-II AMSR</w:t>
      </w:r>
    </w:p>
    <w:tbl>
      <w:tblPr>
        <w:tblW w:w="9639"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A0" w:firstRow="1" w:lastRow="0" w:firstColumn="1" w:lastColumn="0" w:noHBand="0" w:noVBand="0"/>
      </w:tblPr>
      <w:tblGrid>
        <w:gridCol w:w="6608"/>
        <w:gridCol w:w="3031"/>
      </w:tblGrid>
      <w:tr w:rsidR="002B489A">
        <w:tc>
          <w:tcPr>
            <w:tcW w:w="6490" w:type="dxa"/>
            <w:tcMar>
              <w:left w:w="85" w:type="dxa"/>
              <w:right w:w="85" w:type="dxa"/>
            </w:tcMar>
          </w:tcPr>
          <w:p w:rsidR="002B489A" w:rsidRDefault="004F19C4">
            <w:pPr>
              <w:pStyle w:val="Tablehead"/>
              <w:framePr w:hSpace="181" w:wrap="notBeside" w:vAnchor="text" w:hAnchor="text" w:xAlign="center" w:y="1"/>
              <w:rPr>
                <w:lang w:val="es-ES"/>
              </w:rPr>
            </w:pPr>
            <w:r>
              <w:rPr>
                <w:rFonts w:hint="eastAsia"/>
                <w:lang w:val="es-ES"/>
              </w:rPr>
              <w:t>Paramètre</w:t>
            </w:r>
            <w:r>
              <w:rPr>
                <w:lang w:val="es-ES"/>
              </w:rPr>
              <w:t>s</w:t>
            </w:r>
          </w:p>
        </w:tc>
        <w:tc>
          <w:tcPr>
            <w:tcW w:w="2977" w:type="dxa"/>
            <w:tcMar>
              <w:left w:w="85" w:type="dxa"/>
              <w:right w:w="85" w:type="dxa"/>
            </w:tcMar>
          </w:tcPr>
          <w:p w:rsidR="002B489A" w:rsidRDefault="004F19C4">
            <w:pPr>
              <w:pStyle w:val="Tablehead"/>
              <w:framePr w:hSpace="181" w:wrap="notBeside" w:vAnchor="text" w:hAnchor="text" w:xAlign="center" w:y="1"/>
              <w:rPr>
                <w:lang w:val="es-ES"/>
              </w:rPr>
            </w:pPr>
            <w:r>
              <w:rPr>
                <w:rFonts w:hint="eastAsia"/>
                <w:lang w:val="es-ES"/>
              </w:rPr>
              <w:t>ADEOS-II AMSR</w:t>
            </w:r>
          </w:p>
        </w:tc>
      </w:tr>
      <w:tr w:rsidR="002B489A">
        <w:tc>
          <w:tcPr>
            <w:tcW w:w="6490" w:type="dxa"/>
            <w:tcMar>
              <w:left w:w="85" w:type="dxa"/>
              <w:right w:w="85" w:type="dxa"/>
            </w:tcMar>
          </w:tcPr>
          <w:p w:rsidR="002B489A" w:rsidRDefault="004F19C4">
            <w:pPr>
              <w:pStyle w:val="Tabletext"/>
              <w:framePr w:hSpace="181" w:wrap="notBeside" w:vAnchor="text" w:hAnchor="text" w:xAlign="center" w:y="1"/>
              <w:jc w:val="left"/>
            </w:pPr>
            <w:r>
              <w:t>Gamme de fréquences SIS</w:t>
            </w:r>
            <w:r>
              <w:rPr>
                <w:rFonts w:hint="eastAsia"/>
              </w:rPr>
              <w:t xml:space="preserve"> </w:t>
            </w:r>
            <w:r>
              <w:t>(</w:t>
            </w:r>
            <w:r>
              <w:rPr>
                <w:rFonts w:hint="eastAsia"/>
              </w:rPr>
              <w:t>GHz</w:t>
            </w:r>
            <w:r>
              <w:t>)</w:t>
            </w:r>
          </w:p>
        </w:tc>
        <w:tc>
          <w:tcPr>
            <w:tcW w:w="2977" w:type="dxa"/>
            <w:tcMar>
              <w:left w:w="85" w:type="dxa"/>
              <w:right w:w="85" w:type="dxa"/>
            </w:tcMar>
          </w:tcPr>
          <w:p w:rsidR="002B489A" w:rsidRDefault="004F19C4">
            <w:pPr>
              <w:pStyle w:val="Tabletext"/>
              <w:framePr w:hSpace="181" w:wrap="notBeside" w:vAnchor="text" w:hAnchor="text" w:xAlign="center" w:y="1"/>
              <w:jc w:val="center"/>
            </w:pPr>
            <w:r>
              <w:rPr>
                <w:rFonts w:hint="eastAsia"/>
              </w:rPr>
              <w:t>23</w:t>
            </w:r>
            <w:r>
              <w:t>,</w:t>
            </w:r>
            <w:r>
              <w:rPr>
                <w:rFonts w:hint="eastAsia"/>
              </w:rPr>
              <w:t>183</w:t>
            </w:r>
            <w:r>
              <w:noBreakHyphen/>
            </w:r>
            <w:r>
              <w:rPr>
                <w:rFonts w:hint="eastAsia"/>
              </w:rPr>
              <w:t>23</w:t>
            </w:r>
            <w:r>
              <w:t>,</w:t>
            </w:r>
            <w:r>
              <w:rPr>
                <w:rFonts w:hint="eastAsia"/>
              </w:rPr>
              <w:t>377</w:t>
            </w:r>
          </w:p>
        </w:tc>
      </w:tr>
      <w:tr w:rsidR="002B489A">
        <w:tc>
          <w:tcPr>
            <w:tcW w:w="6490" w:type="dxa"/>
            <w:tcMar>
              <w:left w:w="85" w:type="dxa"/>
              <w:right w:w="85" w:type="dxa"/>
            </w:tcMar>
          </w:tcPr>
          <w:p w:rsidR="002B489A" w:rsidRDefault="004F19C4">
            <w:pPr>
              <w:pStyle w:val="Tabletext"/>
              <w:framePr w:hSpace="181" w:wrap="notBeside" w:vAnchor="text" w:hAnchor="text" w:xAlign="center" w:y="1"/>
              <w:jc w:val="left"/>
            </w:pPr>
            <w:r>
              <w:t>p.i.r.e./porteuse</w:t>
            </w:r>
            <w:r>
              <w:rPr>
                <w:rFonts w:hint="eastAsia"/>
              </w:rPr>
              <w:t xml:space="preserve"> </w:t>
            </w:r>
            <w:r>
              <w:t>(</w:t>
            </w:r>
            <w:r>
              <w:rPr>
                <w:rFonts w:hint="eastAsia"/>
              </w:rPr>
              <w:t>dBW</w:t>
            </w:r>
            <w:r>
              <w:t>)</w:t>
            </w:r>
          </w:p>
        </w:tc>
        <w:tc>
          <w:tcPr>
            <w:tcW w:w="2977" w:type="dxa"/>
            <w:tcMar>
              <w:left w:w="85" w:type="dxa"/>
              <w:right w:w="85" w:type="dxa"/>
            </w:tcMar>
          </w:tcPr>
          <w:p w:rsidR="002B489A" w:rsidRDefault="004F19C4">
            <w:pPr>
              <w:pStyle w:val="Tabletext"/>
              <w:framePr w:hSpace="181" w:wrap="notBeside" w:vAnchor="text" w:hAnchor="text" w:xAlign="center" w:y="1"/>
              <w:jc w:val="center"/>
            </w:pPr>
            <w:r>
              <w:t>12,</w:t>
            </w:r>
            <w:r>
              <w:rPr>
                <w:rFonts w:hint="eastAsia"/>
              </w:rPr>
              <w:t>2 (8 li</w:t>
            </w:r>
            <w:r>
              <w:t>aiso</w:t>
            </w:r>
            <w:r>
              <w:rPr>
                <w:rFonts w:hint="eastAsia"/>
              </w:rPr>
              <w:t>ns activ</w:t>
            </w:r>
            <w:r>
              <w:t>é</w:t>
            </w:r>
            <w:r>
              <w:rPr>
                <w:rFonts w:hint="eastAsia"/>
              </w:rPr>
              <w:t>e</w:t>
            </w:r>
            <w:r>
              <w:t>s</w:t>
            </w:r>
            <w:r>
              <w:rPr>
                <w:rFonts w:hint="eastAsia"/>
              </w:rPr>
              <w:t>)</w:t>
            </w:r>
          </w:p>
        </w:tc>
      </w:tr>
      <w:tr w:rsidR="002B489A">
        <w:tc>
          <w:tcPr>
            <w:tcW w:w="6490" w:type="dxa"/>
            <w:tcMar>
              <w:left w:w="85" w:type="dxa"/>
              <w:right w:w="85" w:type="dxa"/>
            </w:tcMar>
          </w:tcPr>
          <w:p w:rsidR="002B489A" w:rsidRDefault="004F19C4">
            <w:pPr>
              <w:pStyle w:val="Tabletext"/>
              <w:framePr w:hSpace="181" w:wrap="notBeside" w:vAnchor="text" w:hAnchor="text" w:xAlign="center" w:y="1"/>
              <w:jc w:val="left"/>
            </w:pPr>
            <w:r>
              <w:rPr>
                <w:rFonts w:hint="eastAsia"/>
              </w:rPr>
              <w:t xml:space="preserve">Largeur de bande </w:t>
            </w:r>
            <w:r>
              <w:t>(</w:t>
            </w:r>
            <w:r>
              <w:rPr>
                <w:rFonts w:hint="eastAsia"/>
              </w:rPr>
              <w:t>MHz</w:t>
            </w:r>
            <w:r>
              <w:t>)</w:t>
            </w:r>
          </w:p>
        </w:tc>
        <w:tc>
          <w:tcPr>
            <w:tcW w:w="2977" w:type="dxa"/>
            <w:tcMar>
              <w:left w:w="85" w:type="dxa"/>
              <w:right w:w="85" w:type="dxa"/>
            </w:tcMar>
          </w:tcPr>
          <w:p w:rsidR="002B489A" w:rsidRDefault="004F19C4">
            <w:pPr>
              <w:pStyle w:val="Tabletext"/>
              <w:framePr w:hSpace="181" w:wrap="notBeside" w:vAnchor="text" w:hAnchor="text" w:xAlign="center" w:y="1"/>
              <w:jc w:val="center"/>
            </w:pPr>
            <w:r>
              <w:rPr>
                <w:rFonts w:hint="eastAsia"/>
              </w:rPr>
              <w:t>194</w:t>
            </w:r>
          </w:p>
        </w:tc>
      </w:tr>
      <w:tr w:rsidR="002B489A">
        <w:tc>
          <w:tcPr>
            <w:tcW w:w="6490" w:type="dxa"/>
            <w:tcMar>
              <w:left w:w="85" w:type="dxa"/>
              <w:right w:w="85" w:type="dxa"/>
            </w:tcMar>
          </w:tcPr>
          <w:p w:rsidR="002B489A" w:rsidRDefault="004F19C4">
            <w:pPr>
              <w:pStyle w:val="Tabletext"/>
              <w:framePr w:hSpace="181" w:wrap="notBeside" w:vAnchor="text" w:hAnchor="text" w:xAlign="center" w:y="1"/>
              <w:jc w:val="left"/>
            </w:pPr>
            <w:r>
              <w:t>Distance station spatiale SIS – détecteur SETS</w:t>
            </w:r>
            <w:r>
              <w:rPr>
                <w:rFonts w:hint="eastAsia"/>
              </w:rPr>
              <w:t xml:space="preserve"> </w:t>
            </w:r>
            <w:r>
              <w:t>(</w:t>
            </w:r>
            <w:r>
              <w:rPr>
                <w:rFonts w:hint="eastAsia"/>
              </w:rPr>
              <w:t>km</w:t>
            </w:r>
            <w:r>
              <w:t>)</w:t>
            </w:r>
          </w:p>
        </w:tc>
        <w:tc>
          <w:tcPr>
            <w:tcW w:w="2977" w:type="dxa"/>
            <w:tcMar>
              <w:left w:w="85" w:type="dxa"/>
              <w:right w:w="85" w:type="dxa"/>
            </w:tcMar>
          </w:tcPr>
          <w:p w:rsidR="002B489A" w:rsidRDefault="004F19C4">
            <w:pPr>
              <w:pStyle w:val="Tabletext"/>
              <w:framePr w:hSpace="181" w:wrap="notBeside" w:vAnchor="text" w:hAnchor="text" w:xAlign="center" w:y="1"/>
              <w:jc w:val="center"/>
            </w:pPr>
            <w:r>
              <w:rPr>
                <w:rFonts w:hint="eastAsia"/>
              </w:rPr>
              <w:t>36</w:t>
            </w:r>
          </w:p>
        </w:tc>
      </w:tr>
      <w:tr w:rsidR="002B489A">
        <w:tc>
          <w:tcPr>
            <w:tcW w:w="6490" w:type="dxa"/>
            <w:tcMar>
              <w:left w:w="85" w:type="dxa"/>
              <w:right w:w="85" w:type="dxa"/>
            </w:tcMar>
          </w:tcPr>
          <w:p w:rsidR="002B489A" w:rsidRDefault="004F19C4">
            <w:pPr>
              <w:pStyle w:val="Tabletext"/>
              <w:framePr w:hSpace="181" w:wrap="notBeside" w:vAnchor="text" w:hAnchor="text" w:xAlign="center" w:y="1"/>
              <w:jc w:val="left"/>
            </w:pPr>
            <w:r>
              <w:t>Affaiblissement spatial (</w:t>
            </w:r>
            <w:r>
              <w:rPr>
                <w:rFonts w:hint="eastAsia"/>
              </w:rPr>
              <w:t>dB</w:t>
            </w:r>
            <w:r>
              <w:t>)</w:t>
            </w:r>
          </w:p>
        </w:tc>
        <w:tc>
          <w:tcPr>
            <w:tcW w:w="2977" w:type="dxa"/>
            <w:tcMar>
              <w:left w:w="85" w:type="dxa"/>
              <w:right w:w="85" w:type="dxa"/>
            </w:tcMar>
          </w:tcPr>
          <w:p w:rsidR="002B489A" w:rsidRDefault="004F19C4">
            <w:pPr>
              <w:pStyle w:val="Tabletext"/>
              <w:framePr w:hSpace="181" w:wrap="notBeside" w:vAnchor="text" w:hAnchor="text" w:xAlign="center" w:y="1"/>
              <w:jc w:val="center"/>
            </w:pPr>
            <w:r>
              <w:rPr>
                <w:rFonts w:hint="eastAsia"/>
              </w:rPr>
              <w:t>150</w:t>
            </w:r>
            <w:r>
              <w:t>,</w:t>
            </w:r>
            <w:r>
              <w:rPr>
                <w:rFonts w:hint="eastAsia"/>
              </w:rPr>
              <w:t>8</w:t>
            </w:r>
          </w:p>
        </w:tc>
      </w:tr>
      <w:tr w:rsidR="002B489A">
        <w:tc>
          <w:tcPr>
            <w:tcW w:w="6490" w:type="dxa"/>
            <w:tcMar>
              <w:left w:w="85" w:type="dxa"/>
              <w:right w:w="85" w:type="dxa"/>
            </w:tcMar>
          </w:tcPr>
          <w:p w:rsidR="002B489A" w:rsidRDefault="004F19C4">
            <w:pPr>
              <w:pStyle w:val="Tabletext"/>
              <w:framePr w:hSpace="181" w:wrap="notBeside" w:vAnchor="text" w:hAnchor="text" w:xAlign="center" w:y="1"/>
              <w:jc w:val="left"/>
            </w:pPr>
            <w:r>
              <w:t xml:space="preserve">Gain de l'antenne </w:t>
            </w:r>
            <w:r>
              <w:rPr>
                <w:rFonts w:hint="eastAsia"/>
              </w:rPr>
              <w:t xml:space="preserve">SETS </w:t>
            </w:r>
            <w:r>
              <w:t>(</w:t>
            </w:r>
            <w:r>
              <w:rPr>
                <w:rFonts w:hint="eastAsia"/>
              </w:rPr>
              <w:t>dB</w:t>
            </w:r>
            <w:r>
              <w:t>i)</w:t>
            </w:r>
          </w:p>
        </w:tc>
        <w:tc>
          <w:tcPr>
            <w:tcW w:w="2977" w:type="dxa"/>
            <w:tcMar>
              <w:left w:w="85" w:type="dxa"/>
              <w:right w:w="85" w:type="dxa"/>
            </w:tcMar>
          </w:tcPr>
          <w:p w:rsidR="002B489A" w:rsidRDefault="004F19C4">
            <w:pPr>
              <w:pStyle w:val="Tabletext"/>
              <w:framePr w:hSpace="181" w:wrap="notBeside" w:vAnchor="text" w:hAnchor="text" w:xAlign="center" w:y="1"/>
              <w:jc w:val="center"/>
            </w:pPr>
            <w:r>
              <w:rPr>
                <w:rFonts w:hint="eastAsia"/>
              </w:rPr>
              <w:t>40</w:t>
            </w:r>
          </w:p>
        </w:tc>
      </w:tr>
      <w:tr w:rsidR="002B489A">
        <w:tc>
          <w:tcPr>
            <w:tcW w:w="6490" w:type="dxa"/>
            <w:tcMar>
              <w:left w:w="85" w:type="dxa"/>
              <w:right w:w="85" w:type="dxa"/>
            </w:tcMar>
          </w:tcPr>
          <w:p w:rsidR="002B489A" w:rsidRDefault="004F19C4">
            <w:pPr>
              <w:pStyle w:val="Tabletext"/>
              <w:framePr w:hSpace="181" w:wrap="notBeside" w:vAnchor="text" w:hAnchor="text" w:xAlign="center" w:y="1"/>
              <w:jc w:val="left"/>
            </w:pPr>
            <w:r>
              <w:rPr>
                <w:rFonts w:hint="eastAsia"/>
              </w:rPr>
              <w:t xml:space="preserve">Puissance reçue </w:t>
            </w:r>
            <w:r>
              <w:t xml:space="preserve">au </w:t>
            </w:r>
            <w:r>
              <w:rPr>
                <w:rFonts w:hint="eastAsia"/>
              </w:rPr>
              <w:t>SETS (dB</w:t>
            </w:r>
            <w:r>
              <w:t>(</w:t>
            </w:r>
            <w:r>
              <w:rPr>
                <w:rFonts w:hint="eastAsia"/>
              </w:rPr>
              <w:t>W/MHz</w:t>
            </w:r>
            <w:r>
              <w:t>)</w:t>
            </w:r>
            <w:r>
              <w:rPr>
                <w:rFonts w:hint="eastAsia"/>
              </w:rPr>
              <w:t>)</w:t>
            </w:r>
          </w:p>
        </w:tc>
        <w:tc>
          <w:tcPr>
            <w:tcW w:w="2977" w:type="dxa"/>
            <w:tcMar>
              <w:left w:w="85" w:type="dxa"/>
              <w:right w:w="85" w:type="dxa"/>
            </w:tcMar>
          </w:tcPr>
          <w:p w:rsidR="002B489A" w:rsidRDefault="004F19C4">
            <w:pPr>
              <w:pStyle w:val="Tabletext"/>
              <w:framePr w:hSpace="181" w:wrap="notBeside" w:vAnchor="text" w:hAnchor="text" w:xAlign="center" w:y="1"/>
              <w:jc w:val="center"/>
            </w:pPr>
            <w:r>
              <w:sym w:font="Symbol" w:char="F02D"/>
            </w:r>
            <w:r>
              <w:rPr>
                <w:rFonts w:hint="eastAsia"/>
              </w:rPr>
              <w:t>1</w:t>
            </w:r>
            <w:r>
              <w:t>21,</w:t>
            </w:r>
            <w:r>
              <w:rPr>
                <w:rFonts w:hint="eastAsia"/>
              </w:rPr>
              <w:t>5</w:t>
            </w:r>
          </w:p>
        </w:tc>
      </w:tr>
      <w:tr w:rsidR="002B489A">
        <w:tc>
          <w:tcPr>
            <w:tcW w:w="6490" w:type="dxa"/>
            <w:tcMar>
              <w:left w:w="85" w:type="dxa"/>
              <w:right w:w="85" w:type="dxa"/>
            </w:tcMar>
          </w:tcPr>
          <w:p w:rsidR="002B489A" w:rsidRDefault="004F19C4">
            <w:pPr>
              <w:pStyle w:val="Tabletext"/>
              <w:framePr w:hSpace="181" w:wrap="notBeside" w:vAnchor="text" w:hAnchor="text" w:xAlign="center" w:y="1"/>
              <w:jc w:val="left"/>
            </w:pPr>
            <w:r>
              <w:rPr>
                <w:rFonts w:hint="eastAsia"/>
              </w:rPr>
              <w:t xml:space="preserve">Puissance reçue </w:t>
            </w:r>
            <w:r>
              <w:t xml:space="preserve">au </w:t>
            </w:r>
            <w:r>
              <w:rPr>
                <w:rFonts w:hint="eastAsia"/>
              </w:rPr>
              <w:t>SETS (dB</w:t>
            </w:r>
            <w:r>
              <w:t>(</w:t>
            </w:r>
            <w:r>
              <w:rPr>
                <w:rFonts w:hint="eastAsia"/>
              </w:rPr>
              <w:t>W/100MHz</w:t>
            </w:r>
            <w:r>
              <w:t>)</w:t>
            </w:r>
            <w:r>
              <w:rPr>
                <w:rFonts w:hint="eastAsia"/>
              </w:rPr>
              <w:t>)</w:t>
            </w:r>
          </w:p>
        </w:tc>
        <w:tc>
          <w:tcPr>
            <w:tcW w:w="2977" w:type="dxa"/>
            <w:tcMar>
              <w:left w:w="85" w:type="dxa"/>
              <w:right w:w="85" w:type="dxa"/>
            </w:tcMar>
          </w:tcPr>
          <w:p w:rsidR="002B489A" w:rsidRDefault="004F19C4">
            <w:pPr>
              <w:pStyle w:val="Tabletext"/>
              <w:framePr w:hSpace="181" w:wrap="notBeside" w:vAnchor="text" w:hAnchor="text" w:xAlign="center" w:y="1"/>
              <w:jc w:val="center"/>
            </w:pPr>
            <w:r>
              <w:sym w:font="Symbol" w:char="F02D"/>
            </w:r>
            <w:r>
              <w:t>101,</w:t>
            </w:r>
            <w:r>
              <w:rPr>
                <w:rFonts w:hint="eastAsia"/>
              </w:rPr>
              <w:t>5</w:t>
            </w:r>
          </w:p>
        </w:tc>
      </w:tr>
      <w:tr w:rsidR="002B489A">
        <w:tc>
          <w:tcPr>
            <w:tcW w:w="6490" w:type="dxa"/>
            <w:tcMar>
              <w:left w:w="85" w:type="dxa"/>
              <w:right w:w="85" w:type="dxa"/>
            </w:tcMar>
          </w:tcPr>
          <w:p w:rsidR="002B489A" w:rsidRDefault="004F19C4">
            <w:pPr>
              <w:pStyle w:val="Tabletext"/>
              <w:framePr w:hSpace="181" w:wrap="notBeside" w:vAnchor="text" w:hAnchor="text" w:xAlign="center" w:y="1"/>
              <w:jc w:val="left"/>
            </w:pPr>
            <w:r>
              <w:rPr>
                <w:rFonts w:hint="eastAsia"/>
              </w:rPr>
              <w:t xml:space="preserve">Seuil de brouillage </w:t>
            </w:r>
            <w:r>
              <w:t>da</w:t>
            </w:r>
            <w:r>
              <w:rPr>
                <w:rFonts w:hint="eastAsia"/>
              </w:rPr>
              <w:t>n</w:t>
            </w:r>
            <w:r>
              <w:t>s</w:t>
            </w:r>
            <w:r>
              <w:rPr>
                <w:rFonts w:hint="eastAsia"/>
              </w:rPr>
              <w:t xml:space="preserve"> </w:t>
            </w:r>
            <w:r>
              <w:t>une</w:t>
            </w:r>
            <w:r>
              <w:rPr>
                <w:rFonts w:hint="eastAsia"/>
              </w:rPr>
              <w:t xml:space="preserve"> largeur de bande </w:t>
            </w:r>
            <w:r>
              <w:t>de</w:t>
            </w:r>
            <w:r>
              <w:rPr>
                <w:rFonts w:hint="eastAsia"/>
              </w:rPr>
              <w:t xml:space="preserve"> 100 MHz </w:t>
            </w:r>
            <w:r>
              <w:t>(</w:t>
            </w:r>
            <w:r>
              <w:rPr>
                <w:rFonts w:hint="eastAsia"/>
              </w:rPr>
              <w:t>dBW</w:t>
            </w:r>
            <w:r>
              <w:t>)</w:t>
            </w:r>
          </w:p>
        </w:tc>
        <w:tc>
          <w:tcPr>
            <w:tcW w:w="2977" w:type="dxa"/>
            <w:tcMar>
              <w:left w:w="85" w:type="dxa"/>
              <w:right w:w="85" w:type="dxa"/>
            </w:tcMar>
          </w:tcPr>
          <w:p w:rsidR="002B489A" w:rsidRDefault="004F19C4">
            <w:pPr>
              <w:pStyle w:val="Tabletext"/>
              <w:framePr w:hSpace="181" w:wrap="notBeside" w:vAnchor="text" w:hAnchor="text" w:xAlign="center" w:y="1"/>
              <w:jc w:val="center"/>
            </w:pPr>
            <w:r>
              <w:sym w:font="Symbol" w:char="F02D"/>
            </w:r>
            <w:r>
              <w:rPr>
                <w:rFonts w:hint="eastAsia"/>
              </w:rPr>
              <w:t>163</w:t>
            </w:r>
          </w:p>
        </w:tc>
      </w:tr>
      <w:tr w:rsidR="002B489A">
        <w:tc>
          <w:tcPr>
            <w:tcW w:w="6490" w:type="dxa"/>
            <w:tcMar>
              <w:left w:w="85" w:type="dxa"/>
              <w:right w:w="85" w:type="dxa"/>
            </w:tcMar>
          </w:tcPr>
          <w:p w:rsidR="002B489A" w:rsidRDefault="004F19C4">
            <w:pPr>
              <w:pStyle w:val="Tabletext"/>
              <w:framePr w:hSpace="181" w:wrap="notBeside" w:vAnchor="text" w:hAnchor="text" w:xAlign="center" w:y="1"/>
              <w:jc w:val="left"/>
            </w:pPr>
            <w:r>
              <w:t>Affaiblissement spectral requis</w:t>
            </w:r>
          </w:p>
        </w:tc>
        <w:tc>
          <w:tcPr>
            <w:tcW w:w="2977" w:type="dxa"/>
            <w:tcMar>
              <w:left w:w="85" w:type="dxa"/>
              <w:right w:w="85" w:type="dxa"/>
            </w:tcMar>
          </w:tcPr>
          <w:p w:rsidR="002B489A" w:rsidRDefault="004F19C4">
            <w:pPr>
              <w:pStyle w:val="Tabletext"/>
              <w:framePr w:hSpace="181" w:wrap="notBeside" w:vAnchor="text" w:hAnchor="text" w:xAlign="center" w:y="1"/>
              <w:jc w:val="center"/>
            </w:pPr>
            <w:r>
              <w:t>61,</w:t>
            </w:r>
            <w:r>
              <w:rPr>
                <w:rFonts w:hint="eastAsia"/>
              </w:rPr>
              <w:t>5</w:t>
            </w:r>
          </w:p>
        </w:tc>
      </w:tr>
    </w:tbl>
    <w:p w:rsidR="002B489A" w:rsidRDefault="002B489A">
      <w:pPr>
        <w:pStyle w:val="Tablefin"/>
        <w:spacing w:before="0"/>
        <w:rPr>
          <w:lang w:val="fr-FR"/>
        </w:rPr>
      </w:pPr>
    </w:p>
    <w:p w:rsidR="002B489A" w:rsidRDefault="004F19C4">
      <w:pPr>
        <w:pStyle w:val="Heading3"/>
      </w:pPr>
      <w:r>
        <w:t>4.2.3</w:t>
      </w:r>
      <w:r>
        <w:tab/>
        <w:t>Calculs lorsque le satellite SIS est dans le plan du détecteur SETS</w:t>
      </w:r>
    </w:p>
    <w:p w:rsidR="002B489A" w:rsidRDefault="004F19C4">
      <w:r>
        <w:t>On a une situation géométrique très simple lorsque le satellite SIS est dans le plan du détecteur SETS. Dans cette situation, le gain d'antenne du détecteur SETS est aussi à un très faible niveau, mais le gain de l'antenne SIS est très près du maximum (à un angle de quelques degrés par rapport au point de visée).</w:t>
      </w:r>
    </w:p>
    <w:p w:rsidR="002B489A" w:rsidRDefault="004F19C4">
      <w:r>
        <w:t>Aucune marge spécifique n'a été prévue pour tenir compte de l'effet du corps du satellite.</w:t>
      </w:r>
    </w:p>
    <w:p w:rsidR="002B489A" w:rsidRDefault="004F19C4">
      <w:pPr>
        <w:pStyle w:val="TableNo"/>
      </w:pPr>
      <w:r>
        <w:t>TABLEAU  41</w:t>
      </w:r>
    </w:p>
    <w:p w:rsidR="002B489A" w:rsidRDefault="004F19C4">
      <w:pPr>
        <w:pStyle w:val="Tabletitle"/>
      </w:pPr>
      <w:r>
        <w:t>Analyse de compatibilité entre Hib-Leo 2 et MEGHA-TROPIC</w:t>
      </w:r>
    </w:p>
    <w:tbl>
      <w:tblPr>
        <w:tblW w:w="9639"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A0" w:firstRow="1" w:lastRow="0" w:firstColumn="1" w:lastColumn="0" w:noHBand="0" w:noVBand="0"/>
      </w:tblPr>
      <w:tblGrid>
        <w:gridCol w:w="6608"/>
        <w:gridCol w:w="3031"/>
      </w:tblGrid>
      <w:tr w:rsidR="002B489A">
        <w:tc>
          <w:tcPr>
            <w:tcW w:w="6608" w:type="dxa"/>
            <w:tcMar>
              <w:left w:w="85" w:type="dxa"/>
              <w:right w:w="85" w:type="dxa"/>
            </w:tcMar>
          </w:tcPr>
          <w:p w:rsidR="002B489A" w:rsidRDefault="004F19C4">
            <w:pPr>
              <w:pStyle w:val="Tablehead"/>
              <w:framePr w:hSpace="181" w:wrap="notBeside" w:vAnchor="text" w:hAnchor="text" w:xAlign="center" w:y="1"/>
            </w:pPr>
            <w:r>
              <w:t>Paramètres</w:t>
            </w:r>
          </w:p>
        </w:tc>
        <w:tc>
          <w:tcPr>
            <w:tcW w:w="3031" w:type="dxa"/>
            <w:tcMar>
              <w:left w:w="85" w:type="dxa"/>
              <w:right w:w="85" w:type="dxa"/>
            </w:tcMar>
          </w:tcPr>
          <w:p w:rsidR="002B489A" w:rsidRDefault="004F19C4">
            <w:pPr>
              <w:pStyle w:val="Tablehead"/>
              <w:framePr w:hSpace="181" w:wrap="notBeside" w:vAnchor="text" w:hAnchor="text" w:xAlign="center" w:y="1"/>
            </w:pPr>
            <w:r>
              <w:t>Valeur obtenue</w:t>
            </w:r>
          </w:p>
        </w:tc>
      </w:tr>
      <w:tr w:rsidR="002B489A">
        <w:tc>
          <w:tcPr>
            <w:tcW w:w="6608" w:type="dxa"/>
            <w:tcMar>
              <w:left w:w="85" w:type="dxa"/>
              <w:right w:w="85" w:type="dxa"/>
            </w:tcMar>
          </w:tcPr>
          <w:p w:rsidR="002B489A" w:rsidRDefault="004F19C4">
            <w:pPr>
              <w:pStyle w:val="Tabletext"/>
              <w:framePr w:hSpace="181" w:wrap="notBeside" w:vAnchor="text" w:hAnchor="text" w:xAlign="center" w:y="1"/>
              <w:jc w:val="left"/>
            </w:pPr>
            <w:r>
              <w:t>Gamme de fréquences SIS</w:t>
            </w:r>
            <w:r>
              <w:rPr>
                <w:rFonts w:hint="eastAsia"/>
              </w:rPr>
              <w:t xml:space="preserve"> </w:t>
            </w:r>
            <w:r>
              <w:t>(</w:t>
            </w:r>
            <w:r>
              <w:rPr>
                <w:rFonts w:hint="eastAsia"/>
              </w:rPr>
              <w:t>GHz</w:t>
            </w:r>
            <w:r>
              <w:t>)</w:t>
            </w:r>
          </w:p>
        </w:tc>
        <w:tc>
          <w:tcPr>
            <w:tcW w:w="3031" w:type="dxa"/>
            <w:tcMar>
              <w:left w:w="85" w:type="dxa"/>
              <w:right w:w="85" w:type="dxa"/>
            </w:tcMar>
          </w:tcPr>
          <w:p w:rsidR="002B489A" w:rsidRDefault="004F19C4">
            <w:pPr>
              <w:pStyle w:val="Tabletext"/>
              <w:framePr w:hSpace="181" w:wrap="notBeside" w:vAnchor="text" w:hAnchor="text" w:xAlign="center" w:y="1"/>
              <w:jc w:val="center"/>
            </w:pPr>
            <w:r>
              <w:t>23,183</w:t>
            </w:r>
            <w:r>
              <w:noBreakHyphen/>
              <w:t>23,377</w:t>
            </w:r>
          </w:p>
        </w:tc>
      </w:tr>
      <w:tr w:rsidR="002B489A">
        <w:tc>
          <w:tcPr>
            <w:tcW w:w="6608" w:type="dxa"/>
            <w:tcMar>
              <w:left w:w="85" w:type="dxa"/>
              <w:right w:w="85" w:type="dxa"/>
            </w:tcMar>
          </w:tcPr>
          <w:p w:rsidR="002B489A" w:rsidRDefault="004F19C4">
            <w:pPr>
              <w:pStyle w:val="Tabletext"/>
              <w:framePr w:hSpace="181" w:wrap="notBeside" w:vAnchor="text" w:hAnchor="text" w:xAlign="center" w:y="1"/>
              <w:jc w:val="left"/>
            </w:pPr>
            <w:r>
              <w:t>Largeur de bande (MHz)</w:t>
            </w:r>
          </w:p>
        </w:tc>
        <w:tc>
          <w:tcPr>
            <w:tcW w:w="3031" w:type="dxa"/>
            <w:tcMar>
              <w:left w:w="85" w:type="dxa"/>
              <w:right w:w="85" w:type="dxa"/>
            </w:tcMar>
          </w:tcPr>
          <w:p w:rsidR="002B489A" w:rsidRDefault="004F19C4">
            <w:pPr>
              <w:pStyle w:val="Tabletext"/>
              <w:framePr w:hSpace="181" w:wrap="notBeside" w:vAnchor="text" w:hAnchor="text" w:xAlign="center" w:y="1"/>
              <w:jc w:val="center"/>
            </w:pPr>
            <w:r>
              <w:t>194</w:t>
            </w:r>
          </w:p>
        </w:tc>
      </w:tr>
      <w:tr w:rsidR="002B489A">
        <w:tc>
          <w:tcPr>
            <w:tcW w:w="6608" w:type="dxa"/>
            <w:tcMar>
              <w:left w:w="85" w:type="dxa"/>
              <w:right w:w="85" w:type="dxa"/>
            </w:tcMar>
          </w:tcPr>
          <w:p w:rsidR="002B489A" w:rsidRDefault="004F19C4">
            <w:pPr>
              <w:pStyle w:val="Tabletext"/>
              <w:framePr w:hSpace="181" w:wrap="notBeside" w:vAnchor="text" w:hAnchor="text" w:xAlign="center" w:y="1"/>
              <w:jc w:val="left"/>
            </w:pPr>
            <w:r>
              <w:t>Angle hors nadir du SETS</w:t>
            </w:r>
          </w:p>
        </w:tc>
        <w:tc>
          <w:tcPr>
            <w:tcW w:w="3031" w:type="dxa"/>
            <w:tcMar>
              <w:left w:w="85" w:type="dxa"/>
              <w:right w:w="85" w:type="dxa"/>
            </w:tcMar>
          </w:tcPr>
          <w:p w:rsidR="002B489A" w:rsidRDefault="004F19C4">
            <w:pPr>
              <w:pStyle w:val="Tabletext"/>
              <w:framePr w:hSpace="181" w:wrap="notBeside" w:vAnchor="text" w:hAnchor="text" w:xAlign="center" w:y="1"/>
              <w:jc w:val="center"/>
            </w:pPr>
            <w:r>
              <w:t>61,9</w:t>
            </w:r>
          </w:p>
        </w:tc>
      </w:tr>
      <w:tr w:rsidR="002B489A">
        <w:tc>
          <w:tcPr>
            <w:tcW w:w="6608" w:type="dxa"/>
            <w:tcMar>
              <w:left w:w="85" w:type="dxa"/>
              <w:right w:w="85" w:type="dxa"/>
            </w:tcMar>
          </w:tcPr>
          <w:p w:rsidR="002B489A" w:rsidRDefault="004F19C4">
            <w:pPr>
              <w:pStyle w:val="Tabletext"/>
              <w:framePr w:hSpace="181" w:wrap="notBeside" w:vAnchor="text" w:hAnchor="text" w:xAlign="center" w:y="1"/>
              <w:jc w:val="left"/>
            </w:pPr>
            <w:r>
              <w:t>Angle hors nadir du SIS</w:t>
            </w:r>
          </w:p>
        </w:tc>
        <w:tc>
          <w:tcPr>
            <w:tcW w:w="3031" w:type="dxa"/>
            <w:tcMar>
              <w:left w:w="85" w:type="dxa"/>
              <w:right w:w="85" w:type="dxa"/>
            </w:tcMar>
          </w:tcPr>
          <w:p w:rsidR="002B489A" w:rsidRDefault="004F19C4">
            <w:pPr>
              <w:pStyle w:val="Tabletext"/>
              <w:framePr w:hSpace="181" w:wrap="notBeside" w:vAnchor="text" w:hAnchor="text" w:xAlign="center" w:y="1"/>
              <w:jc w:val="center"/>
            </w:pPr>
            <w:r>
              <w:t>62,4</w:t>
            </w:r>
          </w:p>
        </w:tc>
      </w:tr>
      <w:tr w:rsidR="002B489A">
        <w:tc>
          <w:tcPr>
            <w:tcW w:w="6608" w:type="dxa"/>
            <w:tcMar>
              <w:left w:w="85" w:type="dxa"/>
              <w:right w:w="85" w:type="dxa"/>
            </w:tcMar>
          </w:tcPr>
          <w:p w:rsidR="002B489A" w:rsidRDefault="004F19C4">
            <w:pPr>
              <w:pStyle w:val="Tabletext"/>
              <w:framePr w:hSpace="181" w:wrap="notBeside" w:vAnchor="text" w:hAnchor="text" w:xAlign="center" w:y="1"/>
              <w:jc w:val="left"/>
            </w:pPr>
            <w:r>
              <w:t>p.i.r.e. du SIS (dBW)</w:t>
            </w:r>
          </w:p>
        </w:tc>
        <w:tc>
          <w:tcPr>
            <w:tcW w:w="3031" w:type="dxa"/>
            <w:tcMar>
              <w:left w:w="85" w:type="dxa"/>
              <w:right w:w="85" w:type="dxa"/>
            </w:tcMar>
          </w:tcPr>
          <w:p w:rsidR="002B489A" w:rsidRDefault="004F19C4">
            <w:pPr>
              <w:pStyle w:val="Tabletext"/>
              <w:framePr w:hSpace="181" w:wrap="notBeside" w:vAnchor="text" w:hAnchor="text" w:xAlign="center" w:y="1"/>
              <w:jc w:val="center"/>
            </w:pPr>
            <w:r>
              <w:t>18,2</w:t>
            </w:r>
          </w:p>
        </w:tc>
      </w:tr>
      <w:tr w:rsidR="002B489A">
        <w:tc>
          <w:tcPr>
            <w:tcW w:w="6608" w:type="dxa"/>
            <w:tcMar>
              <w:left w:w="85" w:type="dxa"/>
              <w:right w:w="85" w:type="dxa"/>
            </w:tcMar>
          </w:tcPr>
          <w:p w:rsidR="002B489A" w:rsidRDefault="004F19C4">
            <w:pPr>
              <w:pStyle w:val="Tabletext"/>
              <w:framePr w:hSpace="181" w:wrap="notBeside" w:vAnchor="text" w:hAnchor="text" w:xAlign="center" w:y="1"/>
              <w:jc w:val="left"/>
            </w:pPr>
            <w:r>
              <w:t>Distance station spatiale SIS-détecteur SETS (km)</w:t>
            </w:r>
          </w:p>
        </w:tc>
        <w:tc>
          <w:tcPr>
            <w:tcW w:w="3031" w:type="dxa"/>
            <w:tcMar>
              <w:left w:w="85" w:type="dxa"/>
              <w:right w:w="85" w:type="dxa"/>
            </w:tcMar>
          </w:tcPr>
          <w:p w:rsidR="002B489A" w:rsidRDefault="004F19C4">
            <w:pPr>
              <w:pStyle w:val="Tabletext"/>
              <w:framePr w:hSpace="181" w:wrap="notBeside" w:vAnchor="text" w:hAnchor="text" w:xAlign="center" w:y="1"/>
              <w:jc w:val="center"/>
            </w:pPr>
            <w:r>
              <w:t>6 660</w:t>
            </w:r>
          </w:p>
        </w:tc>
      </w:tr>
      <w:tr w:rsidR="002B489A">
        <w:tc>
          <w:tcPr>
            <w:tcW w:w="6608" w:type="dxa"/>
            <w:tcMar>
              <w:left w:w="85" w:type="dxa"/>
              <w:right w:w="85" w:type="dxa"/>
            </w:tcMar>
          </w:tcPr>
          <w:p w:rsidR="002B489A" w:rsidRDefault="004F19C4">
            <w:pPr>
              <w:pStyle w:val="Tabletext"/>
              <w:framePr w:hSpace="181" w:wrap="notBeside" w:vAnchor="text" w:hAnchor="text" w:xAlign="center" w:y="1"/>
              <w:jc w:val="left"/>
            </w:pPr>
            <w:r>
              <w:t>Affaiblissement spatial (dB)</w:t>
            </w:r>
          </w:p>
        </w:tc>
        <w:tc>
          <w:tcPr>
            <w:tcW w:w="3031" w:type="dxa"/>
            <w:tcMar>
              <w:left w:w="85" w:type="dxa"/>
              <w:right w:w="85" w:type="dxa"/>
            </w:tcMar>
          </w:tcPr>
          <w:p w:rsidR="002B489A" w:rsidRDefault="004F19C4">
            <w:pPr>
              <w:pStyle w:val="Tabletext"/>
              <w:framePr w:hSpace="181" w:wrap="notBeside" w:vAnchor="text" w:hAnchor="text" w:xAlign="center" w:y="1"/>
              <w:jc w:val="center"/>
            </w:pPr>
            <w:r>
              <w:t>196,4</w:t>
            </w:r>
          </w:p>
        </w:tc>
      </w:tr>
      <w:tr w:rsidR="002B489A">
        <w:tc>
          <w:tcPr>
            <w:tcW w:w="6608" w:type="dxa"/>
            <w:tcMar>
              <w:left w:w="85" w:type="dxa"/>
              <w:right w:w="85" w:type="dxa"/>
            </w:tcMar>
          </w:tcPr>
          <w:p w:rsidR="002B489A" w:rsidRDefault="004F19C4">
            <w:pPr>
              <w:pStyle w:val="Tabletext"/>
              <w:framePr w:hSpace="181" w:wrap="notBeside" w:vAnchor="text" w:hAnchor="text" w:xAlign="center" w:y="1"/>
              <w:jc w:val="left"/>
            </w:pPr>
            <w:r>
              <w:t>Gain d'antenne SETS (dBi)</w:t>
            </w:r>
          </w:p>
        </w:tc>
        <w:tc>
          <w:tcPr>
            <w:tcW w:w="3031" w:type="dxa"/>
            <w:tcMar>
              <w:left w:w="85" w:type="dxa"/>
              <w:right w:w="85" w:type="dxa"/>
            </w:tcMar>
          </w:tcPr>
          <w:p w:rsidR="002B489A" w:rsidRDefault="004F19C4">
            <w:pPr>
              <w:pStyle w:val="Tabletext"/>
              <w:framePr w:hSpace="181" w:wrap="notBeside" w:vAnchor="text" w:hAnchor="text" w:xAlign="center" w:y="1"/>
              <w:jc w:val="center"/>
            </w:pPr>
            <w:r>
              <w:t>–20</w:t>
            </w:r>
          </w:p>
        </w:tc>
      </w:tr>
      <w:tr w:rsidR="002B489A">
        <w:tc>
          <w:tcPr>
            <w:tcW w:w="6608" w:type="dxa"/>
            <w:tcMar>
              <w:left w:w="85" w:type="dxa"/>
              <w:right w:w="85" w:type="dxa"/>
            </w:tcMar>
          </w:tcPr>
          <w:p w:rsidR="002B489A" w:rsidRDefault="004F19C4">
            <w:pPr>
              <w:pStyle w:val="Tabletext"/>
              <w:framePr w:hSpace="181" w:wrap="notBeside" w:vAnchor="text" w:hAnchor="text" w:xAlign="center" w:y="1"/>
              <w:jc w:val="left"/>
            </w:pPr>
            <w:r>
              <w:t>Puissance reçue au SETS dans la largeur de bande ci-dessus (dBW)</w:t>
            </w:r>
          </w:p>
        </w:tc>
        <w:tc>
          <w:tcPr>
            <w:tcW w:w="3031" w:type="dxa"/>
            <w:tcMar>
              <w:left w:w="85" w:type="dxa"/>
              <w:right w:w="85" w:type="dxa"/>
            </w:tcMar>
          </w:tcPr>
          <w:p w:rsidR="002B489A" w:rsidRDefault="004F19C4">
            <w:pPr>
              <w:pStyle w:val="Tabletext"/>
              <w:framePr w:hSpace="181" w:wrap="notBeside" w:vAnchor="text" w:hAnchor="text" w:xAlign="center" w:y="1"/>
              <w:jc w:val="center"/>
            </w:pPr>
            <w:r>
              <w:t>–198,2</w:t>
            </w:r>
          </w:p>
        </w:tc>
      </w:tr>
      <w:tr w:rsidR="002B489A">
        <w:tc>
          <w:tcPr>
            <w:tcW w:w="6608" w:type="dxa"/>
            <w:tcMar>
              <w:left w:w="85" w:type="dxa"/>
              <w:right w:w="85" w:type="dxa"/>
            </w:tcMar>
          </w:tcPr>
          <w:p w:rsidR="002B489A" w:rsidRDefault="004F19C4">
            <w:pPr>
              <w:pStyle w:val="Tabletext"/>
              <w:framePr w:hSpace="181" w:wrap="notBeside" w:vAnchor="text" w:hAnchor="text" w:xAlign="center" w:y="1"/>
              <w:jc w:val="left"/>
            </w:pPr>
            <w:r>
              <w:t>Puissance correspondante reçue au SETS dans une largeur de bande de 100 MHz (dBW)</w:t>
            </w:r>
          </w:p>
        </w:tc>
        <w:tc>
          <w:tcPr>
            <w:tcW w:w="3031" w:type="dxa"/>
            <w:tcMar>
              <w:left w:w="85" w:type="dxa"/>
              <w:right w:w="85" w:type="dxa"/>
            </w:tcMar>
          </w:tcPr>
          <w:p w:rsidR="002B489A" w:rsidRDefault="004F19C4">
            <w:pPr>
              <w:pStyle w:val="Tabletext"/>
              <w:framePr w:hSpace="181" w:wrap="notBeside" w:vAnchor="text" w:hAnchor="text" w:xAlign="center" w:y="1"/>
              <w:jc w:val="center"/>
            </w:pPr>
            <w:r>
              <w:t>–201</w:t>
            </w:r>
          </w:p>
        </w:tc>
      </w:tr>
      <w:tr w:rsidR="002B489A">
        <w:tc>
          <w:tcPr>
            <w:tcW w:w="6608" w:type="dxa"/>
            <w:tcMar>
              <w:left w:w="85" w:type="dxa"/>
              <w:right w:w="85" w:type="dxa"/>
            </w:tcMar>
          </w:tcPr>
          <w:p w:rsidR="002B489A" w:rsidRDefault="004F19C4">
            <w:pPr>
              <w:pStyle w:val="Tabletext"/>
              <w:framePr w:hSpace="181" w:wrap="notBeside" w:vAnchor="text" w:hAnchor="text" w:xAlign="center" w:y="1"/>
              <w:jc w:val="left"/>
            </w:pPr>
            <w:r>
              <w:t>Seuil de brouillage dans une largeur de bande de 100 MHz (dBW)</w:t>
            </w:r>
          </w:p>
        </w:tc>
        <w:tc>
          <w:tcPr>
            <w:tcW w:w="3031" w:type="dxa"/>
            <w:tcMar>
              <w:left w:w="85" w:type="dxa"/>
              <w:right w:w="85" w:type="dxa"/>
            </w:tcMar>
          </w:tcPr>
          <w:p w:rsidR="002B489A" w:rsidRDefault="004F19C4">
            <w:pPr>
              <w:pStyle w:val="Tabletext"/>
              <w:framePr w:hSpace="181" w:wrap="notBeside" w:vAnchor="text" w:hAnchor="text" w:xAlign="center" w:y="1"/>
              <w:jc w:val="center"/>
            </w:pPr>
            <w:r>
              <w:t>–163</w:t>
            </w:r>
          </w:p>
        </w:tc>
      </w:tr>
      <w:tr w:rsidR="002B489A">
        <w:tc>
          <w:tcPr>
            <w:tcW w:w="6608" w:type="dxa"/>
            <w:tcMar>
              <w:left w:w="85" w:type="dxa"/>
              <w:right w:w="85" w:type="dxa"/>
            </w:tcMar>
          </w:tcPr>
          <w:p w:rsidR="002B489A" w:rsidRDefault="004F19C4">
            <w:pPr>
              <w:pStyle w:val="Tabletext"/>
              <w:framePr w:hSpace="181" w:wrap="notBeside" w:vAnchor="text" w:hAnchor="text" w:xAlign="center" w:y="1"/>
              <w:jc w:val="left"/>
            </w:pPr>
            <w:r>
              <w:t>Affaiblissement spectral requis</w:t>
            </w:r>
          </w:p>
        </w:tc>
        <w:tc>
          <w:tcPr>
            <w:tcW w:w="3031" w:type="dxa"/>
            <w:tcMar>
              <w:left w:w="85" w:type="dxa"/>
              <w:right w:w="85" w:type="dxa"/>
            </w:tcMar>
          </w:tcPr>
          <w:p w:rsidR="002B489A" w:rsidRDefault="004F19C4">
            <w:pPr>
              <w:pStyle w:val="Tabletext"/>
              <w:framePr w:hSpace="181" w:wrap="notBeside" w:vAnchor="text" w:hAnchor="text" w:xAlign="center" w:y="1"/>
              <w:jc w:val="center"/>
            </w:pPr>
            <w:r>
              <w:t>0</w:t>
            </w:r>
          </w:p>
        </w:tc>
      </w:tr>
    </w:tbl>
    <w:p w:rsidR="002B489A" w:rsidRDefault="002B489A">
      <w:pPr>
        <w:pStyle w:val="Tablefin"/>
        <w:spacing w:before="0"/>
      </w:pPr>
    </w:p>
    <w:p w:rsidR="002B489A" w:rsidRDefault="004F19C4">
      <w:r>
        <w:t>Lorsque le satellite SIS est vu au limbe par le satellite SETS, la puissance intégrée dans une largeur de bande de référence de 100 MHz est au-dessous du seuil de brouillage.</w:t>
      </w:r>
    </w:p>
    <w:p w:rsidR="002B489A" w:rsidRDefault="004F19C4">
      <w:pPr>
        <w:pStyle w:val="Heading2"/>
      </w:pPr>
      <w:r>
        <w:br w:type="page"/>
        <w:t>4.3</w:t>
      </w:r>
      <w:r>
        <w:tab/>
        <w:t>Calcul du niveau de brouillage pour un détecteur passif de nadir</w:t>
      </w:r>
    </w:p>
    <w:p w:rsidR="002B489A" w:rsidRDefault="004F19C4">
      <w:pPr>
        <w:pStyle w:val="Heading3"/>
      </w:pPr>
      <w:r>
        <w:t>4.3.1</w:t>
      </w:r>
      <w:r>
        <w:tab/>
        <w:t>Identification des configurations les plus défavorables</w:t>
      </w:r>
    </w:p>
    <w:p w:rsidR="002B489A" w:rsidRDefault="004F19C4">
      <w:r>
        <w:t>On analyse cinq configurations géométriques impliquant que le détecteur passif soit dans une orbite circulaire de 850 km synchrone au soleil, et un satellite unique de la constellation SIS en orbites circulaires d'altitudes variées qui sont décrites au Tableau 37.</w:t>
      </w:r>
    </w:p>
    <w:p w:rsidR="002B489A" w:rsidRDefault="004F19C4">
      <w:r>
        <w:t>Le faisceau de nadir du détecteur passif (l'antenne d'acquisition de données) est considéré comme le cas le plus défavorable lorsque les satellites SIS sont plus bas que les satellites SETS. L'acquisition des données et les modes d'étalonnage sont traités simultanément.</w:t>
      </w:r>
    </w:p>
    <w:p w:rsidR="002B489A" w:rsidRDefault="004F19C4">
      <w:r>
        <w:t>Considérant que le balayage du sondeur de nadir et l'étalonnage de l'espace obscur sont mis en œuvre dans un plan normal au vecteur de vitesse du satellite d'exploration de la Terre qui contient les faisceaux principaux de l'antenne d'acquisition des données et de l'antenne d'étalonnage, il est reconnu que les plus mauvaises conditions de risque de brouillage sont obtenues lorsque les liaisons SIS sont mises en œuvre dans ce plan, parce que les voies de brouillage impliquant les faisceaux principaux du détecteur passif et/ou des antennes SIS deviennent alors possibles. La distance géocentrique entre les satellites SETS et SIS étant un paramètre variable, la présente analyse explore de telles configurations pour identifier celles qui causent le brouillage.</w:t>
      </w:r>
    </w:p>
    <w:p w:rsidR="002B489A" w:rsidRDefault="004F19C4">
      <w:r>
        <w:t xml:space="preserve">Le modèle d'antenne donné dans la Recommandation UIT-R </w:t>
      </w:r>
      <w:r>
        <w:rPr>
          <w:bCs/>
        </w:rPr>
        <w:t>F.1245</w:t>
      </w:r>
      <w:r>
        <w:t xml:space="preserve"> est adopté pour simuler les antennes SETS et SIS.</w:t>
      </w:r>
    </w:p>
    <w:p w:rsidR="002B489A" w:rsidRDefault="002B489A"/>
    <w:p w:rsidR="002B489A" w:rsidRDefault="004F19C4">
      <w:pPr>
        <w:pStyle w:val="FigureNo"/>
      </w:pPr>
      <w:r>
        <w:object w:dxaOrig="7513" w:dyaOrig="5607">
          <v:shape id="_x0000_i1047" type="#_x0000_t75" style="width:375.5pt;height:280.5pt" o:ole="">
            <v:imagedata r:id="rId74" o:title=""/>
          </v:shape>
          <o:OLEObject Type="Embed" ProgID="Designer.Drawing.7" ShapeID="_x0000_i1047" DrawAspect="Content" ObjectID="_1649163293" r:id="rId75"/>
        </w:object>
      </w:r>
    </w:p>
    <w:p w:rsidR="002B489A" w:rsidRDefault="002B489A"/>
    <w:p w:rsidR="002B489A" w:rsidRDefault="002B489A"/>
    <w:p w:rsidR="002B489A" w:rsidRDefault="004F19C4">
      <w:r>
        <w:br w:type="page"/>
        <w:t>On note que, lorsque les orbites SETS et SIS sont similaires (inclinaison similaire, altitude similaire), comme c'est le cas pour les deux systèmes SIS à orbite basse considérés, leur vitesse relative peut être faible, permettant l'apparition de situations de risque de brouillage de longue durée.</w:t>
      </w:r>
    </w:p>
    <w:p w:rsidR="002B489A" w:rsidRDefault="004F19C4">
      <w:r>
        <w:t>Les résultats des bilans de liaison cofréquence pour le sondage et l'étalonnage de l'espace obscur font l'objet des Fig. 34, 35, 36, 37 et 38 (cas en peigne). Ces chiffres sont valables pour 200 MHz et 100 MHz de largeur de bande nécessaire; ils devraient être diminués de 3 dB dans le cas d'une largeur de bande nécessaire de 50 MHz. Ils indiquent clairement les conditions géométriques qui créent le brouillage. Ils sont aussi largement applicables au cas du SHP.</w:t>
      </w:r>
    </w:p>
    <w:p w:rsidR="002B489A" w:rsidRDefault="002B489A"/>
    <w:p w:rsidR="002B489A" w:rsidRDefault="002B489A"/>
    <w:p w:rsidR="002B489A" w:rsidRDefault="002B489A"/>
    <w:p w:rsidR="002B489A" w:rsidRDefault="0006728D">
      <w:pPr>
        <w:pStyle w:val="FigureNo"/>
        <w:spacing w:before="240"/>
      </w:pPr>
      <w:r>
        <w:rPr>
          <w:noProof/>
          <w:lang w:val="fr-CH" w:eastAsia="fr-CH"/>
        </w:rPr>
        <w:drawing>
          <wp:inline distT="0" distB="0" distL="0" distR="0">
            <wp:extent cx="5962650" cy="42957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62650" cy="4295775"/>
                    </a:xfrm>
                    <a:prstGeom prst="rect">
                      <a:avLst/>
                    </a:prstGeom>
                    <a:noFill/>
                    <a:ln>
                      <a:noFill/>
                    </a:ln>
                  </pic:spPr>
                </pic:pic>
              </a:graphicData>
            </a:graphic>
          </wp:inline>
        </w:drawing>
      </w:r>
    </w:p>
    <w:p w:rsidR="002B489A" w:rsidRDefault="002B489A"/>
    <w:p w:rsidR="002B489A" w:rsidRDefault="002B489A"/>
    <w:p w:rsidR="002B489A" w:rsidRDefault="002B489A"/>
    <w:p w:rsidR="002B489A" w:rsidRDefault="002B489A"/>
    <w:p w:rsidR="002B489A" w:rsidRDefault="002B489A"/>
    <w:p w:rsidR="002B489A" w:rsidRDefault="004F19C4">
      <w:pPr>
        <w:pStyle w:val="FigureNo"/>
      </w:pPr>
      <w:r>
        <w:br w:type="page"/>
      </w:r>
      <w:r w:rsidR="0006728D">
        <w:rPr>
          <w:noProof/>
          <w:lang w:val="fr-CH" w:eastAsia="fr-CH"/>
        </w:rPr>
        <w:drawing>
          <wp:inline distT="0" distB="0" distL="0" distR="0">
            <wp:extent cx="5991225" cy="42957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91225" cy="4295775"/>
                    </a:xfrm>
                    <a:prstGeom prst="rect">
                      <a:avLst/>
                    </a:prstGeom>
                    <a:noFill/>
                    <a:ln>
                      <a:noFill/>
                    </a:ln>
                  </pic:spPr>
                </pic:pic>
              </a:graphicData>
            </a:graphic>
          </wp:inline>
        </w:drawing>
      </w:r>
    </w:p>
    <w:p w:rsidR="002B489A" w:rsidRDefault="0006728D">
      <w:pPr>
        <w:pStyle w:val="FigureNo"/>
        <w:spacing w:before="240"/>
      </w:pPr>
      <w:r>
        <w:rPr>
          <w:noProof/>
          <w:lang w:val="fr-CH" w:eastAsia="fr-CH"/>
        </w:rPr>
        <w:drawing>
          <wp:inline distT="0" distB="0" distL="0" distR="0">
            <wp:extent cx="5962650" cy="42957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62650" cy="4295775"/>
                    </a:xfrm>
                    <a:prstGeom prst="rect">
                      <a:avLst/>
                    </a:prstGeom>
                    <a:noFill/>
                    <a:ln>
                      <a:noFill/>
                    </a:ln>
                  </pic:spPr>
                </pic:pic>
              </a:graphicData>
            </a:graphic>
          </wp:inline>
        </w:drawing>
      </w:r>
    </w:p>
    <w:p w:rsidR="002B489A" w:rsidRDefault="004F19C4">
      <w:r>
        <w:br w:type="page"/>
      </w:r>
      <w:r>
        <w:object w:dxaOrig="9375" w:dyaOrig="6764">
          <v:shape id="_x0000_i1048" type="#_x0000_t75" style="width:469pt;height:338pt" o:ole="">
            <v:imagedata r:id="rId79" o:title=""/>
          </v:shape>
          <o:OLEObject Type="Embed" ProgID="Designer.Drawing.7" ShapeID="_x0000_i1048" DrawAspect="Content" ObjectID="_1649163294" r:id="rId80"/>
        </w:object>
      </w:r>
    </w:p>
    <w:p w:rsidR="002B489A" w:rsidRDefault="004F19C4">
      <w:pPr>
        <w:pStyle w:val="FigureNo"/>
      </w:pPr>
      <w:r>
        <w:object w:dxaOrig="9438" w:dyaOrig="6764">
          <v:shape id="_x0000_i1049" type="#_x0000_t75" style="width:472pt;height:338pt" o:ole="">
            <v:imagedata r:id="rId81" o:title=""/>
          </v:shape>
          <o:OLEObject Type="Embed" ProgID="Designer.Drawing.7" ShapeID="_x0000_i1049" DrawAspect="Content" ObjectID="_1649163295" r:id="rId82"/>
        </w:object>
      </w:r>
    </w:p>
    <w:p w:rsidR="002B489A" w:rsidRDefault="004F19C4">
      <w:pPr>
        <w:pStyle w:val="Heading3"/>
      </w:pPr>
      <w:r>
        <w:br w:type="page"/>
        <w:t>4.3.2</w:t>
      </w:r>
      <w:r>
        <w:tab/>
        <w:t>Résumé des budgets de liaison cofréquence et commentaires</w:t>
      </w:r>
    </w:p>
    <w:p w:rsidR="002B489A" w:rsidRDefault="004F19C4">
      <w:r>
        <w:t>Les cas les plus défavorables de dépassement de puissance reçue au-delà du seuil de brouillage (bilans de liaison cofréquence) sont récapitulés dans les Tableaux 42 et 43, pour les modes d'acquisition des données et d'étalonnage de l'espace obscur, et pour les cinq configurations analysées. Tous les résultats ont été obtenus en configuration semi-statique n'impliquant de brouillage que d'un seul satellite de la constellation SIS. Des marges négatives indiquent que le seuil de brouillage est dépassé.</w:t>
      </w:r>
    </w:p>
    <w:p w:rsidR="002B489A" w:rsidRDefault="004F19C4">
      <w:pPr>
        <w:pStyle w:val="TableNo"/>
      </w:pPr>
      <w:r>
        <w:t>TABLEAU  42</w:t>
      </w:r>
    </w:p>
    <w:p w:rsidR="002B489A" w:rsidRDefault="004F19C4">
      <w:pPr>
        <w:pStyle w:val="Tabletitle"/>
      </w:pPr>
      <w:r>
        <w:t xml:space="preserve">Marges les plus défavorables par rapport au seuil de brouillage </w:t>
      </w:r>
      <w:r>
        <w:br/>
        <w:t>(hypothèse cofréquence) (cas SHP)</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94"/>
        <w:gridCol w:w="979"/>
        <w:gridCol w:w="1118"/>
        <w:gridCol w:w="980"/>
        <w:gridCol w:w="1118"/>
        <w:gridCol w:w="979"/>
        <w:gridCol w:w="1171"/>
      </w:tblGrid>
      <w:tr w:rsidR="002B489A">
        <w:trPr>
          <w:cantSplit/>
        </w:trPr>
        <w:tc>
          <w:tcPr>
            <w:tcW w:w="9639" w:type="dxa"/>
            <w:gridSpan w:val="7"/>
          </w:tcPr>
          <w:p w:rsidR="002B489A" w:rsidRDefault="004F19C4">
            <w:pPr>
              <w:pStyle w:val="Tablehead"/>
              <w:framePr w:hSpace="181" w:wrap="notBeside" w:vAnchor="text" w:hAnchor="text" w:xAlign="center" w:y="1"/>
              <w:rPr>
                <w:sz w:val="18"/>
              </w:rPr>
            </w:pPr>
            <w:r>
              <w:rPr>
                <w:sz w:val="18"/>
              </w:rPr>
              <w:t>Marges les plus défavorables rapportées au seuil de brouillage – Cas SHP (hypothèse cofréquence)</w:t>
            </w:r>
          </w:p>
        </w:tc>
      </w:tr>
      <w:tr w:rsidR="002B489A">
        <w:trPr>
          <w:cantSplit/>
        </w:trPr>
        <w:tc>
          <w:tcPr>
            <w:tcW w:w="3294" w:type="dxa"/>
            <w:vMerge w:val="restart"/>
          </w:tcPr>
          <w:p w:rsidR="002B489A" w:rsidRDefault="002B489A">
            <w:pPr>
              <w:pStyle w:val="Tablehead"/>
              <w:framePr w:hSpace="181" w:wrap="notBeside" w:vAnchor="text" w:hAnchor="text" w:xAlign="center" w:y="1"/>
              <w:jc w:val="left"/>
              <w:rPr>
                <w:sz w:val="18"/>
              </w:rPr>
            </w:pPr>
          </w:p>
        </w:tc>
        <w:tc>
          <w:tcPr>
            <w:tcW w:w="2097" w:type="dxa"/>
            <w:gridSpan w:val="2"/>
          </w:tcPr>
          <w:p w:rsidR="002B489A" w:rsidRDefault="004F19C4">
            <w:pPr>
              <w:pStyle w:val="Tablehead"/>
              <w:framePr w:hSpace="181" w:wrap="notBeside" w:vAnchor="text" w:hAnchor="text" w:xAlign="center" w:y="1"/>
              <w:rPr>
                <w:sz w:val="18"/>
              </w:rPr>
            </w:pPr>
            <w:r>
              <w:rPr>
                <w:sz w:val="18"/>
              </w:rPr>
              <w:t>LEO-1 (700 km)</w:t>
            </w:r>
          </w:p>
        </w:tc>
        <w:tc>
          <w:tcPr>
            <w:tcW w:w="2098" w:type="dxa"/>
            <w:gridSpan w:val="2"/>
          </w:tcPr>
          <w:p w:rsidR="002B489A" w:rsidRDefault="004F19C4">
            <w:pPr>
              <w:pStyle w:val="Tablehead"/>
              <w:framePr w:hSpace="181" w:wrap="notBeside" w:vAnchor="text" w:hAnchor="text" w:xAlign="center" w:y="1"/>
              <w:rPr>
                <w:sz w:val="18"/>
              </w:rPr>
            </w:pPr>
            <w:r>
              <w:rPr>
                <w:sz w:val="18"/>
              </w:rPr>
              <w:t>LEO-2 (800 km)</w:t>
            </w:r>
          </w:p>
        </w:tc>
        <w:tc>
          <w:tcPr>
            <w:tcW w:w="2150" w:type="dxa"/>
            <w:gridSpan w:val="2"/>
          </w:tcPr>
          <w:p w:rsidR="002B489A" w:rsidRDefault="004F19C4">
            <w:pPr>
              <w:pStyle w:val="Tablehead"/>
              <w:framePr w:hSpace="181" w:wrap="notBeside" w:vAnchor="text" w:hAnchor="text" w:xAlign="center" w:y="1"/>
              <w:rPr>
                <w:sz w:val="18"/>
              </w:rPr>
            </w:pPr>
            <w:r>
              <w:rPr>
                <w:sz w:val="18"/>
              </w:rPr>
              <w:t>LEO-3 (900 km)</w:t>
            </w:r>
          </w:p>
        </w:tc>
      </w:tr>
      <w:tr w:rsidR="002B489A">
        <w:trPr>
          <w:cantSplit/>
        </w:trPr>
        <w:tc>
          <w:tcPr>
            <w:tcW w:w="3294" w:type="dxa"/>
            <w:vMerge/>
          </w:tcPr>
          <w:p w:rsidR="002B489A" w:rsidRDefault="002B489A">
            <w:pPr>
              <w:pStyle w:val="Tablehead"/>
              <w:framePr w:hSpace="181" w:wrap="notBeside" w:vAnchor="text" w:hAnchor="text" w:xAlign="center" w:y="1"/>
              <w:jc w:val="left"/>
              <w:rPr>
                <w:sz w:val="18"/>
              </w:rPr>
            </w:pPr>
          </w:p>
        </w:tc>
        <w:tc>
          <w:tcPr>
            <w:tcW w:w="979" w:type="dxa"/>
          </w:tcPr>
          <w:p w:rsidR="002B489A" w:rsidRDefault="004F19C4">
            <w:pPr>
              <w:pStyle w:val="Tablehead"/>
              <w:framePr w:hSpace="181" w:wrap="notBeside" w:vAnchor="text" w:hAnchor="text" w:xAlign="center" w:y="1"/>
              <w:rPr>
                <w:sz w:val="18"/>
              </w:rPr>
            </w:pPr>
            <w:r>
              <w:rPr>
                <w:sz w:val="18"/>
              </w:rPr>
              <w:t>Sondage</w:t>
            </w:r>
          </w:p>
        </w:tc>
        <w:tc>
          <w:tcPr>
            <w:tcW w:w="1118" w:type="dxa"/>
          </w:tcPr>
          <w:p w:rsidR="002B489A" w:rsidRDefault="004F19C4">
            <w:pPr>
              <w:pStyle w:val="Tablehead"/>
              <w:framePr w:hSpace="181" w:wrap="notBeside" w:vAnchor="text" w:hAnchor="text" w:xAlign="center" w:y="1"/>
              <w:rPr>
                <w:sz w:val="18"/>
              </w:rPr>
            </w:pPr>
            <w:r>
              <w:rPr>
                <w:sz w:val="18"/>
              </w:rPr>
              <w:t>Etalonnage</w:t>
            </w:r>
          </w:p>
        </w:tc>
        <w:tc>
          <w:tcPr>
            <w:tcW w:w="980" w:type="dxa"/>
          </w:tcPr>
          <w:p w:rsidR="002B489A" w:rsidRDefault="004F19C4">
            <w:pPr>
              <w:pStyle w:val="Tablehead"/>
              <w:framePr w:hSpace="181" w:wrap="notBeside" w:vAnchor="text" w:hAnchor="text" w:xAlign="center" w:y="1"/>
              <w:rPr>
                <w:sz w:val="18"/>
              </w:rPr>
            </w:pPr>
            <w:r>
              <w:rPr>
                <w:sz w:val="18"/>
              </w:rPr>
              <w:t>Sondage</w:t>
            </w:r>
          </w:p>
        </w:tc>
        <w:tc>
          <w:tcPr>
            <w:tcW w:w="1118" w:type="dxa"/>
          </w:tcPr>
          <w:p w:rsidR="002B489A" w:rsidRDefault="004F19C4">
            <w:pPr>
              <w:pStyle w:val="Tablehead"/>
              <w:framePr w:hSpace="181" w:wrap="notBeside" w:vAnchor="text" w:hAnchor="text" w:xAlign="center" w:y="1"/>
              <w:rPr>
                <w:sz w:val="18"/>
              </w:rPr>
            </w:pPr>
            <w:r>
              <w:rPr>
                <w:sz w:val="18"/>
              </w:rPr>
              <w:t>Etalonnage</w:t>
            </w:r>
          </w:p>
        </w:tc>
        <w:tc>
          <w:tcPr>
            <w:tcW w:w="979" w:type="dxa"/>
          </w:tcPr>
          <w:p w:rsidR="002B489A" w:rsidRDefault="004F19C4">
            <w:pPr>
              <w:pStyle w:val="Tablehead"/>
              <w:framePr w:hSpace="181" w:wrap="notBeside" w:vAnchor="text" w:hAnchor="text" w:xAlign="center" w:y="1"/>
              <w:rPr>
                <w:sz w:val="18"/>
              </w:rPr>
            </w:pPr>
            <w:r>
              <w:rPr>
                <w:sz w:val="18"/>
              </w:rPr>
              <w:t>Sondage</w:t>
            </w:r>
          </w:p>
        </w:tc>
        <w:tc>
          <w:tcPr>
            <w:tcW w:w="1171" w:type="dxa"/>
          </w:tcPr>
          <w:p w:rsidR="002B489A" w:rsidRDefault="004F19C4">
            <w:pPr>
              <w:pStyle w:val="Tablehead"/>
              <w:framePr w:hSpace="181" w:wrap="notBeside" w:vAnchor="text" w:hAnchor="text" w:xAlign="center" w:y="1"/>
              <w:rPr>
                <w:sz w:val="18"/>
              </w:rPr>
            </w:pPr>
            <w:r>
              <w:rPr>
                <w:sz w:val="18"/>
              </w:rPr>
              <w:t>Etalonnage</w:t>
            </w:r>
          </w:p>
        </w:tc>
      </w:tr>
      <w:tr w:rsidR="002B489A">
        <w:tc>
          <w:tcPr>
            <w:tcW w:w="3294" w:type="dxa"/>
          </w:tcPr>
          <w:p w:rsidR="002B489A" w:rsidRDefault="004F19C4">
            <w:pPr>
              <w:pStyle w:val="Tabletext"/>
              <w:framePr w:hSpace="181" w:wrap="notBeside" w:vAnchor="text" w:hAnchor="text" w:xAlign="center" w:y="1"/>
              <w:jc w:val="left"/>
              <w:rPr>
                <w:sz w:val="18"/>
              </w:rPr>
            </w:pPr>
            <w:r>
              <w:rPr>
                <w:sz w:val="18"/>
              </w:rPr>
              <w:t>Distance angulaire (degrés)</w:t>
            </w:r>
            <w:r>
              <w:rPr>
                <w:sz w:val="18"/>
              </w:rPr>
              <w:br/>
              <w:t>Distance (km)</w:t>
            </w:r>
            <w:r>
              <w:rPr>
                <w:sz w:val="18"/>
              </w:rPr>
              <w:br/>
              <w:t>Affaiblissement de trajet (dB)</w:t>
            </w:r>
            <w:r>
              <w:rPr>
                <w:sz w:val="18"/>
              </w:rPr>
              <w:br/>
              <w:t>Gain d'antenne du détecteur (dBi)</w:t>
            </w:r>
            <w:r>
              <w:rPr>
                <w:sz w:val="18"/>
              </w:rPr>
              <w:br/>
              <w:t>Gain d'antenne SIS (dBi)</w:t>
            </w:r>
            <w:r>
              <w:rPr>
                <w:sz w:val="18"/>
              </w:rPr>
              <w:br/>
              <w:t>Puissance d'émission SIS (dB(W/100 MHz))</w:t>
            </w:r>
            <w:r>
              <w:rPr>
                <w:sz w:val="18"/>
              </w:rPr>
              <w:br/>
              <w:t>Puissance reçue (dB(W/100 MHz))</w:t>
            </w:r>
          </w:p>
        </w:tc>
        <w:tc>
          <w:tcPr>
            <w:tcW w:w="979"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1"/>
              </w:tabs>
              <w:rPr>
                <w:sz w:val="18"/>
              </w:rPr>
            </w:pPr>
            <w:r>
              <w:rPr>
                <w:sz w:val="18"/>
              </w:rPr>
              <w:t>0,00</w:t>
            </w:r>
            <w:r>
              <w:rPr>
                <w:sz w:val="18"/>
              </w:rPr>
              <w:br/>
              <w:t>150,00</w:t>
            </w:r>
            <w:r>
              <w:rPr>
                <w:sz w:val="18"/>
              </w:rPr>
              <w:br/>
              <w:t>–163,50</w:t>
            </w:r>
            <w:r>
              <w:rPr>
                <w:sz w:val="18"/>
              </w:rPr>
              <w:br/>
              <w:t>36,00</w:t>
            </w:r>
            <w:r>
              <w:rPr>
                <w:sz w:val="18"/>
              </w:rPr>
              <w:br/>
              <w:t>–10,25</w:t>
            </w:r>
            <w:r>
              <w:rPr>
                <w:sz w:val="18"/>
              </w:rPr>
              <w:br/>
              <w:t>0,50</w:t>
            </w:r>
            <w:r>
              <w:rPr>
                <w:sz w:val="18"/>
              </w:rPr>
              <w:br/>
            </w:r>
            <w:r>
              <w:rPr>
                <w:sz w:val="18"/>
              </w:rPr>
              <w:br/>
              <w:t>–137,25</w:t>
            </w:r>
          </w:p>
        </w:tc>
        <w:tc>
          <w:tcPr>
            <w:tcW w:w="1118"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91"/>
              </w:tabs>
              <w:jc w:val="left"/>
              <w:rPr>
                <w:sz w:val="18"/>
              </w:rPr>
            </w:pPr>
            <w:r>
              <w:rPr>
                <w:sz w:val="18"/>
              </w:rPr>
              <w:t>45,70</w:t>
            </w:r>
            <w:r>
              <w:rPr>
                <w:sz w:val="18"/>
              </w:rPr>
              <w:br/>
              <w:t>5 557,00</w:t>
            </w:r>
            <w:r>
              <w:rPr>
                <w:sz w:val="18"/>
              </w:rPr>
              <w:br/>
              <w:t>–194,87</w:t>
            </w:r>
            <w:r>
              <w:rPr>
                <w:sz w:val="18"/>
              </w:rPr>
              <w:br/>
              <w:t>0,99</w:t>
            </w:r>
            <w:r>
              <w:rPr>
                <w:sz w:val="18"/>
              </w:rPr>
              <w:br/>
              <w:t>36,59</w:t>
            </w:r>
            <w:r>
              <w:rPr>
                <w:sz w:val="18"/>
              </w:rPr>
              <w:br/>
              <w:t>0,50</w:t>
            </w:r>
            <w:r>
              <w:rPr>
                <w:sz w:val="18"/>
              </w:rPr>
              <w:br/>
            </w:r>
            <w:r>
              <w:rPr>
                <w:sz w:val="18"/>
              </w:rPr>
              <w:br/>
              <w:t>–156,79</w:t>
            </w:r>
          </w:p>
        </w:tc>
        <w:tc>
          <w:tcPr>
            <w:tcW w:w="98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4"/>
              </w:tabs>
              <w:rPr>
                <w:sz w:val="18"/>
              </w:rPr>
            </w:pPr>
            <w:r>
              <w:rPr>
                <w:sz w:val="18"/>
              </w:rPr>
              <w:t>0,00</w:t>
            </w:r>
            <w:r>
              <w:rPr>
                <w:sz w:val="18"/>
              </w:rPr>
              <w:br/>
              <w:t>50,00</w:t>
            </w:r>
            <w:r>
              <w:rPr>
                <w:sz w:val="18"/>
              </w:rPr>
              <w:br/>
              <w:t>–153,96</w:t>
            </w:r>
            <w:r>
              <w:rPr>
                <w:sz w:val="18"/>
              </w:rPr>
              <w:br/>
              <w:t>36,00</w:t>
            </w:r>
            <w:r>
              <w:rPr>
                <w:sz w:val="18"/>
              </w:rPr>
              <w:br/>
              <w:t>–10,45</w:t>
            </w:r>
            <w:r>
              <w:rPr>
                <w:sz w:val="18"/>
              </w:rPr>
              <w:br/>
              <w:t>0,50</w:t>
            </w:r>
            <w:r>
              <w:rPr>
                <w:sz w:val="18"/>
              </w:rPr>
              <w:br/>
            </w:r>
            <w:r>
              <w:rPr>
                <w:sz w:val="18"/>
              </w:rPr>
              <w:br/>
              <w:t>–127,91</w:t>
            </w:r>
          </w:p>
        </w:tc>
        <w:tc>
          <w:tcPr>
            <w:tcW w:w="1118"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rPr>
            </w:pPr>
            <w:r>
              <w:rPr>
                <w:sz w:val="18"/>
              </w:rPr>
              <w:t>4,20</w:t>
            </w:r>
            <w:r>
              <w:rPr>
                <w:sz w:val="18"/>
              </w:rPr>
              <w:br/>
              <w:t>530,25</w:t>
            </w:r>
            <w:r>
              <w:rPr>
                <w:sz w:val="18"/>
              </w:rPr>
              <w:br/>
              <w:t>–174,47</w:t>
            </w:r>
            <w:r>
              <w:rPr>
                <w:sz w:val="18"/>
              </w:rPr>
              <w:br/>
              <w:t>–4,19</w:t>
            </w:r>
            <w:r>
              <w:rPr>
                <w:sz w:val="18"/>
              </w:rPr>
              <w:br/>
              <w:t>35,57</w:t>
            </w:r>
            <w:r>
              <w:rPr>
                <w:sz w:val="18"/>
              </w:rPr>
              <w:br/>
              <w:t>0,50</w:t>
            </w:r>
            <w:r>
              <w:rPr>
                <w:sz w:val="18"/>
              </w:rPr>
              <w:br/>
            </w:r>
            <w:r>
              <w:rPr>
                <w:sz w:val="18"/>
              </w:rPr>
              <w:br/>
              <w:t>–142,59</w:t>
            </w:r>
          </w:p>
        </w:tc>
        <w:tc>
          <w:tcPr>
            <w:tcW w:w="979"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8"/>
              </w:rPr>
            </w:pPr>
            <w:r>
              <w:rPr>
                <w:sz w:val="18"/>
              </w:rPr>
              <w:t>0,90</w:t>
            </w:r>
            <w:r>
              <w:rPr>
                <w:sz w:val="18"/>
              </w:rPr>
              <w:br/>
              <w:t>124,42</w:t>
            </w:r>
            <w:r>
              <w:rPr>
                <w:sz w:val="18"/>
              </w:rPr>
              <w:br/>
              <w:t>–161,87</w:t>
            </w:r>
            <w:r>
              <w:rPr>
                <w:sz w:val="18"/>
              </w:rPr>
              <w:br/>
              <w:t>–10,08</w:t>
            </w:r>
            <w:r>
              <w:rPr>
                <w:sz w:val="18"/>
              </w:rPr>
              <w:br/>
              <w:t>34,22</w:t>
            </w:r>
            <w:r>
              <w:rPr>
                <w:sz w:val="18"/>
              </w:rPr>
              <w:br/>
              <w:t>0,50</w:t>
            </w:r>
            <w:r>
              <w:rPr>
                <w:sz w:val="18"/>
              </w:rPr>
              <w:br/>
            </w:r>
            <w:r>
              <w:rPr>
                <w:sz w:val="18"/>
              </w:rPr>
              <w:br/>
              <w:t>–137,23</w:t>
            </w:r>
          </w:p>
        </w:tc>
        <w:tc>
          <w:tcPr>
            <w:tcW w:w="1171"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rPr>
            </w:pPr>
            <w:r>
              <w:rPr>
                <w:sz w:val="18"/>
              </w:rPr>
              <w:t>0,90</w:t>
            </w:r>
            <w:r>
              <w:rPr>
                <w:sz w:val="18"/>
              </w:rPr>
              <w:br/>
              <w:t>124,42</w:t>
            </w:r>
            <w:r>
              <w:rPr>
                <w:sz w:val="18"/>
              </w:rPr>
              <w:br/>
              <w:t>–161,87</w:t>
            </w:r>
            <w:r>
              <w:rPr>
                <w:sz w:val="18"/>
              </w:rPr>
              <w:br/>
              <w:t>–5,09</w:t>
            </w:r>
            <w:r>
              <w:rPr>
                <w:sz w:val="18"/>
              </w:rPr>
              <w:br/>
              <w:t>34,22</w:t>
            </w:r>
            <w:r>
              <w:rPr>
                <w:sz w:val="18"/>
              </w:rPr>
              <w:br/>
              <w:t>0,50</w:t>
            </w:r>
            <w:r>
              <w:rPr>
                <w:sz w:val="18"/>
              </w:rPr>
              <w:br/>
            </w:r>
            <w:r>
              <w:rPr>
                <w:sz w:val="18"/>
              </w:rPr>
              <w:br/>
              <w:t>–132,24</w:t>
            </w:r>
          </w:p>
        </w:tc>
      </w:tr>
      <w:tr w:rsidR="002B489A">
        <w:tc>
          <w:tcPr>
            <w:tcW w:w="3294" w:type="dxa"/>
          </w:tcPr>
          <w:p w:rsidR="002B489A" w:rsidRDefault="004F19C4">
            <w:pPr>
              <w:pStyle w:val="Tabletext"/>
              <w:framePr w:hSpace="181" w:wrap="notBeside" w:vAnchor="text" w:hAnchor="text" w:xAlign="center" w:y="1"/>
              <w:jc w:val="left"/>
              <w:rPr>
                <w:sz w:val="18"/>
              </w:rPr>
            </w:pPr>
            <w:r>
              <w:rPr>
                <w:sz w:val="18"/>
              </w:rPr>
              <w:t xml:space="preserve">Marge/seuil </w:t>
            </w:r>
            <w:r>
              <w:rPr>
                <w:i/>
                <w:iCs/>
                <w:sz w:val="18"/>
              </w:rPr>
              <w:t>B</w:t>
            </w:r>
            <w:r>
              <w:rPr>
                <w:i/>
                <w:iCs/>
                <w:sz w:val="18"/>
                <w:vertAlign w:val="subscript"/>
              </w:rPr>
              <w:t>N</w:t>
            </w:r>
            <w:r>
              <w:rPr>
                <w:sz w:val="18"/>
              </w:rPr>
              <w:t xml:space="preserve"> </w:t>
            </w:r>
            <w:r>
              <w:rPr>
                <w:rFonts w:ascii="Symbol" w:hAnsi="Symbol"/>
                <w:sz w:val="18"/>
              </w:rPr>
              <w:t></w:t>
            </w:r>
            <w:r>
              <w:rPr>
                <w:sz w:val="18"/>
              </w:rPr>
              <w:t xml:space="preserve"> 200/100 MHz (dB)</w:t>
            </w:r>
          </w:p>
        </w:tc>
        <w:tc>
          <w:tcPr>
            <w:tcW w:w="979"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1"/>
              </w:tabs>
              <w:rPr>
                <w:sz w:val="18"/>
              </w:rPr>
            </w:pPr>
            <w:r>
              <w:rPr>
                <w:sz w:val="18"/>
              </w:rPr>
              <w:t>–25,75</w:t>
            </w:r>
          </w:p>
        </w:tc>
        <w:tc>
          <w:tcPr>
            <w:tcW w:w="1118"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91"/>
              </w:tabs>
              <w:jc w:val="left"/>
              <w:rPr>
                <w:sz w:val="18"/>
              </w:rPr>
            </w:pPr>
            <w:r>
              <w:rPr>
                <w:sz w:val="18"/>
              </w:rPr>
              <w:t>–6,21</w:t>
            </w:r>
          </w:p>
        </w:tc>
        <w:tc>
          <w:tcPr>
            <w:tcW w:w="98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4"/>
              </w:tabs>
              <w:rPr>
                <w:sz w:val="18"/>
              </w:rPr>
            </w:pPr>
            <w:r>
              <w:rPr>
                <w:sz w:val="18"/>
              </w:rPr>
              <w:t>–35,09</w:t>
            </w:r>
          </w:p>
        </w:tc>
        <w:tc>
          <w:tcPr>
            <w:tcW w:w="1118"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rPr>
            </w:pPr>
            <w:r>
              <w:rPr>
                <w:sz w:val="18"/>
              </w:rPr>
              <w:t>–20,41</w:t>
            </w:r>
          </w:p>
        </w:tc>
        <w:tc>
          <w:tcPr>
            <w:tcW w:w="979"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8"/>
              </w:rPr>
            </w:pPr>
            <w:r>
              <w:rPr>
                <w:sz w:val="18"/>
              </w:rPr>
              <w:t>–25,77</w:t>
            </w:r>
          </w:p>
        </w:tc>
        <w:tc>
          <w:tcPr>
            <w:tcW w:w="1171"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rPr>
            </w:pPr>
            <w:r>
              <w:rPr>
                <w:sz w:val="18"/>
              </w:rPr>
              <w:t>–30,76</w:t>
            </w:r>
          </w:p>
        </w:tc>
      </w:tr>
      <w:tr w:rsidR="002B489A">
        <w:tc>
          <w:tcPr>
            <w:tcW w:w="3294" w:type="dxa"/>
          </w:tcPr>
          <w:p w:rsidR="002B489A" w:rsidRDefault="004F19C4">
            <w:pPr>
              <w:pStyle w:val="Tabletext"/>
              <w:framePr w:hSpace="181" w:wrap="notBeside" w:vAnchor="text" w:hAnchor="text" w:xAlign="center" w:y="1"/>
              <w:jc w:val="left"/>
              <w:rPr>
                <w:sz w:val="18"/>
              </w:rPr>
            </w:pPr>
            <w:r>
              <w:rPr>
                <w:sz w:val="18"/>
              </w:rPr>
              <w:t xml:space="preserve">Marge/seuil </w:t>
            </w:r>
            <w:r>
              <w:rPr>
                <w:i/>
                <w:iCs/>
                <w:sz w:val="18"/>
              </w:rPr>
              <w:t>B</w:t>
            </w:r>
            <w:r>
              <w:rPr>
                <w:i/>
                <w:iCs/>
                <w:sz w:val="18"/>
                <w:vertAlign w:val="subscript"/>
              </w:rPr>
              <w:t>N</w:t>
            </w:r>
            <w:r>
              <w:rPr>
                <w:sz w:val="18"/>
              </w:rPr>
              <w:t xml:space="preserve"> </w:t>
            </w:r>
            <w:r>
              <w:rPr>
                <w:rFonts w:ascii="Symbol" w:hAnsi="Symbol"/>
                <w:sz w:val="18"/>
              </w:rPr>
              <w:t></w:t>
            </w:r>
            <w:r>
              <w:rPr>
                <w:sz w:val="18"/>
              </w:rPr>
              <w:t xml:space="preserve"> 50 MHz (dB)</w:t>
            </w:r>
          </w:p>
        </w:tc>
        <w:tc>
          <w:tcPr>
            <w:tcW w:w="979"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1"/>
              </w:tabs>
              <w:rPr>
                <w:sz w:val="18"/>
              </w:rPr>
            </w:pPr>
            <w:r>
              <w:rPr>
                <w:sz w:val="18"/>
              </w:rPr>
              <w:t>–22,75</w:t>
            </w:r>
          </w:p>
        </w:tc>
        <w:tc>
          <w:tcPr>
            <w:tcW w:w="1118"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91"/>
              </w:tabs>
              <w:jc w:val="left"/>
              <w:rPr>
                <w:sz w:val="18"/>
              </w:rPr>
            </w:pPr>
            <w:r>
              <w:rPr>
                <w:sz w:val="18"/>
              </w:rPr>
              <w:t>–3,21</w:t>
            </w:r>
          </w:p>
        </w:tc>
        <w:tc>
          <w:tcPr>
            <w:tcW w:w="98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4"/>
              </w:tabs>
              <w:rPr>
                <w:sz w:val="18"/>
              </w:rPr>
            </w:pPr>
            <w:r>
              <w:rPr>
                <w:sz w:val="18"/>
              </w:rPr>
              <w:t>–32,09</w:t>
            </w:r>
          </w:p>
        </w:tc>
        <w:tc>
          <w:tcPr>
            <w:tcW w:w="1118"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rPr>
            </w:pPr>
            <w:r>
              <w:rPr>
                <w:sz w:val="18"/>
              </w:rPr>
              <w:t>–17,41</w:t>
            </w:r>
          </w:p>
        </w:tc>
        <w:tc>
          <w:tcPr>
            <w:tcW w:w="979"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8"/>
              </w:rPr>
            </w:pPr>
            <w:r>
              <w:rPr>
                <w:sz w:val="18"/>
              </w:rPr>
              <w:t>–22,77</w:t>
            </w:r>
          </w:p>
        </w:tc>
        <w:tc>
          <w:tcPr>
            <w:tcW w:w="1171"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rPr>
            </w:pPr>
            <w:r>
              <w:rPr>
                <w:sz w:val="18"/>
              </w:rPr>
              <w:t>–27,75</w:t>
            </w:r>
          </w:p>
        </w:tc>
      </w:tr>
      <w:tr w:rsidR="002B489A">
        <w:trPr>
          <w:cantSplit/>
        </w:trPr>
        <w:tc>
          <w:tcPr>
            <w:tcW w:w="3294" w:type="dxa"/>
            <w:vMerge w:val="restart"/>
          </w:tcPr>
          <w:p w:rsidR="002B489A" w:rsidRDefault="002B489A">
            <w:pPr>
              <w:pStyle w:val="Tabletext"/>
              <w:keepNext/>
              <w:framePr w:hSpace="181" w:wrap="notBeside" w:vAnchor="text" w:hAnchor="text" w:xAlign="center" w:y="1"/>
              <w:spacing w:before="80" w:after="80"/>
              <w:jc w:val="left"/>
              <w:rPr>
                <w:sz w:val="18"/>
              </w:rPr>
            </w:pPr>
          </w:p>
        </w:tc>
        <w:tc>
          <w:tcPr>
            <w:tcW w:w="2097" w:type="dxa"/>
            <w:gridSpan w:val="2"/>
          </w:tcPr>
          <w:p w:rsidR="002B489A" w:rsidRDefault="004F19C4">
            <w:pPr>
              <w:pStyle w:val="Tablehead"/>
              <w:framePr w:hSpace="181" w:wrap="notBeside" w:vAnchor="text" w:hAnchor="text" w:xAlign="center" w:y="1"/>
              <w:rPr>
                <w:sz w:val="18"/>
              </w:rPr>
            </w:pPr>
            <w:r>
              <w:rPr>
                <w:sz w:val="18"/>
              </w:rPr>
              <w:t>LEO-4 (1</w:t>
            </w:r>
            <w:r>
              <w:rPr>
                <w:rFonts w:ascii="Tms Rmn" w:hAnsi="Tms Rmn"/>
                <w:sz w:val="12"/>
              </w:rPr>
              <w:t> </w:t>
            </w:r>
            <w:r>
              <w:rPr>
                <w:sz w:val="18"/>
              </w:rPr>
              <w:t>000 km)</w:t>
            </w:r>
          </w:p>
        </w:tc>
        <w:tc>
          <w:tcPr>
            <w:tcW w:w="2098" w:type="dxa"/>
            <w:gridSpan w:val="2"/>
          </w:tcPr>
          <w:p w:rsidR="002B489A" w:rsidRDefault="004F19C4">
            <w:pPr>
              <w:pStyle w:val="Tablehead"/>
              <w:framePr w:hSpace="181" w:wrap="notBeside" w:vAnchor="text" w:hAnchor="text" w:xAlign="center" w:y="1"/>
              <w:rPr>
                <w:sz w:val="18"/>
              </w:rPr>
            </w:pPr>
            <w:r>
              <w:rPr>
                <w:sz w:val="18"/>
              </w:rPr>
              <w:t>LEO-5 (35</w:t>
            </w:r>
            <w:r>
              <w:rPr>
                <w:rFonts w:ascii="Tms Rmn" w:hAnsi="Tms Rmn"/>
                <w:sz w:val="12"/>
              </w:rPr>
              <w:t> </w:t>
            </w:r>
            <w:r>
              <w:rPr>
                <w:sz w:val="18"/>
              </w:rPr>
              <w:t>900 km)</w:t>
            </w:r>
          </w:p>
        </w:tc>
        <w:tc>
          <w:tcPr>
            <w:tcW w:w="2150" w:type="dxa"/>
            <w:gridSpan w:val="2"/>
            <w:vMerge w:val="restart"/>
          </w:tcPr>
          <w:p w:rsidR="002B489A" w:rsidRDefault="002B489A">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80" w:after="80"/>
              <w:rPr>
                <w:sz w:val="18"/>
              </w:rPr>
            </w:pPr>
          </w:p>
        </w:tc>
      </w:tr>
      <w:tr w:rsidR="002B489A">
        <w:trPr>
          <w:cantSplit/>
        </w:trPr>
        <w:tc>
          <w:tcPr>
            <w:tcW w:w="3294" w:type="dxa"/>
            <w:vMerge/>
          </w:tcPr>
          <w:p w:rsidR="002B489A" w:rsidRDefault="002B489A">
            <w:pPr>
              <w:pStyle w:val="Tabletext"/>
              <w:keepNext/>
              <w:framePr w:hSpace="181" w:wrap="notBeside" w:vAnchor="text" w:hAnchor="text" w:xAlign="center" w:y="1"/>
              <w:spacing w:before="80" w:after="80"/>
              <w:jc w:val="left"/>
              <w:rPr>
                <w:sz w:val="18"/>
              </w:rPr>
            </w:pPr>
          </w:p>
        </w:tc>
        <w:tc>
          <w:tcPr>
            <w:tcW w:w="979" w:type="dxa"/>
          </w:tcPr>
          <w:p w:rsidR="002B489A" w:rsidRDefault="004F19C4">
            <w:pPr>
              <w:pStyle w:val="Tablehead"/>
              <w:framePr w:hSpace="181" w:wrap="notBeside" w:vAnchor="text" w:hAnchor="text" w:xAlign="center" w:y="1"/>
              <w:rPr>
                <w:sz w:val="18"/>
              </w:rPr>
            </w:pPr>
            <w:r>
              <w:rPr>
                <w:sz w:val="18"/>
              </w:rPr>
              <w:t>Sondage</w:t>
            </w:r>
          </w:p>
        </w:tc>
        <w:tc>
          <w:tcPr>
            <w:tcW w:w="1118" w:type="dxa"/>
          </w:tcPr>
          <w:p w:rsidR="002B489A" w:rsidRDefault="004F19C4">
            <w:pPr>
              <w:pStyle w:val="Tablehead"/>
              <w:framePr w:hSpace="181" w:wrap="notBeside" w:vAnchor="text" w:hAnchor="text" w:xAlign="center" w:y="1"/>
              <w:rPr>
                <w:sz w:val="18"/>
              </w:rPr>
            </w:pPr>
            <w:r>
              <w:rPr>
                <w:sz w:val="18"/>
              </w:rPr>
              <w:t>Etalonnage</w:t>
            </w:r>
          </w:p>
        </w:tc>
        <w:tc>
          <w:tcPr>
            <w:tcW w:w="980" w:type="dxa"/>
          </w:tcPr>
          <w:p w:rsidR="002B489A" w:rsidRDefault="004F19C4">
            <w:pPr>
              <w:pStyle w:val="Tablehead"/>
              <w:framePr w:hSpace="181" w:wrap="notBeside" w:vAnchor="text" w:hAnchor="text" w:xAlign="center" w:y="1"/>
              <w:rPr>
                <w:sz w:val="18"/>
              </w:rPr>
            </w:pPr>
            <w:r>
              <w:rPr>
                <w:sz w:val="18"/>
              </w:rPr>
              <w:t>Sondage</w:t>
            </w:r>
          </w:p>
        </w:tc>
        <w:tc>
          <w:tcPr>
            <w:tcW w:w="1118" w:type="dxa"/>
          </w:tcPr>
          <w:p w:rsidR="002B489A" w:rsidRDefault="004F19C4">
            <w:pPr>
              <w:pStyle w:val="Tablehead"/>
              <w:framePr w:hSpace="181" w:wrap="notBeside" w:vAnchor="text" w:hAnchor="text" w:xAlign="center" w:y="1"/>
              <w:rPr>
                <w:sz w:val="18"/>
              </w:rPr>
            </w:pPr>
            <w:r>
              <w:rPr>
                <w:sz w:val="18"/>
              </w:rPr>
              <w:t>Etalonnage</w:t>
            </w:r>
          </w:p>
        </w:tc>
        <w:tc>
          <w:tcPr>
            <w:tcW w:w="2150" w:type="dxa"/>
            <w:gridSpan w:val="2"/>
            <w:vMerge/>
          </w:tcPr>
          <w:p w:rsidR="002B489A" w:rsidRDefault="002B489A">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80" w:after="80"/>
              <w:rPr>
                <w:sz w:val="18"/>
              </w:rPr>
            </w:pPr>
          </w:p>
        </w:tc>
      </w:tr>
      <w:tr w:rsidR="002B489A">
        <w:trPr>
          <w:cantSplit/>
        </w:trPr>
        <w:tc>
          <w:tcPr>
            <w:tcW w:w="3294" w:type="dxa"/>
          </w:tcPr>
          <w:p w:rsidR="002B489A" w:rsidRDefault="004F19C4">
            <w:pPr>
              <w:pStyle w:val="Tabletext"/>
              <w:framePr w:hSpace="181" w:wrap="notBeside" w:vAnchor="text" w:hAnchor="text" w:xAlign="center" w:y="1"/>
              <w:jc w:val="left"/>
              <w:rPr>
                <w:sz w:val="18"/>
              </w:rPr>
            </w:pPr>
            <w:r>
              <w:rPr>
                <w:sz w:val="18"/>
              </w:rPr>
              <w:t>Distance angulaire (degrés)</w:t>
            </w:r>
            <w:r>
              <w:rPr>
                <w:sz w:val="18"/>
              </w:rPr>
              <w:br/>
              <w:t>Distance (km)</w:t>
            </w:r>
            <w:r>
              <w:rPr>
                <w:sz w:val="18"/>
              </w:rPr>
              <w:br/>
              <w:t>Affaiblissement de trajet (dB)</w:t>
            </w:r>
            <w:r>
              <w:rPr>
                <w:sz w:val="18"/>
              </w:rPr>
              <w:br/>
              <w:t>Gain d'antenne du détecteur (dBi)</w:t>
            </w:r>
            <w:r>
              <w:rPr>
                <w:sz w:val="18"/>
              </w:rPr>
              <w:br/>
              <w:t>Gain d'antenne SIS (dBi)</w:t>
            </w:r>
            <w:r>
              <w:rPr>
                <w:sz w:val="18"/>
              </w:rPr>
              <w:br/>
              <w:t xml:space="preserve">Puissance d'émission SIS </w:t>
            </w:r>
            <w:r>
              <w:rPr>
                <w:sz w:val="18"/>
              </w:rPr>
              <w:br/>
              <w:t>(dB(W/100 MHz))</w:t>
            </w:r>
            <w:r>
              <w:rPr>
                <w:sz w:val="18"/>
              </w:rPr>
              <w:br/>
              <w:t>Puissance reçue (dB(W/100 MHz))</w:t>
            </w:r>
          </w:p>
        </w:tc>
        <w:tc>
          <w:tcPr>
            <w:tcW w:w="979"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1"/>
              </w:tabs>
              <w:rPr>
                <w:sz w:val="18"/>
              </w:rPr>
            </w:pPr>
            <w:r>
              <w:rPr>
                <w:sz w:val="18"/>
              </w:rPr>
              <w:t>2,40</w:t>
            </w:r>
            <w:r>
              <w:rPr>
                <w:sz w:val="18"/>
              </w:rPr>
              <w:br/>
              <w:t>340,67</w:t>
            </w:r>
            <w:r>
              <w:rPr>
                <w:sz w:val="18"/>
              </w:rPr>
              <w:br/>
              <w:t>–170,62</w:t>
            </w:r>
            <w:r>
              <w:rPr>
                <w:sz w:val="18"/>
              </w:rPr>
              <w:br/>
              <w:t>–10,08</w:t>
            </w:r>
            <w:r>
              <w:rPr>
                <w:sz w:val="18"/>
              </w:rPr>
              <w:br/>
              <w:t>38,31</w:t>
            </w:r>
            <w:r>
              <w:rPr>
                <w:sz w:val="18"/>
              </w:rPr>
              <w:br/>
              <w:t>0,50</w:t>
            </w:r>
            <w:r>
              <w:rPr>
                <w:sz w:val="18"/>
              </w:rPr>
              <w:br/>
            </w:r>
            <w:r>
              <w:rPr>
                <w:sz w:val="18"/>
              </w:rPr>
              <w:br/>
              <w:t>–141,89</w:t>
            </w:r>
          </w:p>
        </w:tc>
        <w:tc>
          <w:tcPr>
            <w:tcW w:w="1118"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rPr>
            </w:pPr>
            <w:r>
              <w:rPr>
                <w:sz w:val="18"/>
              </w:rPr>
              <w:t>2,40</w:t>
            </w:r>
            <w:r>
              <w:rPr>
                <w:sz w:val="18"/>
              </w:rPr>
              <w:br/>
              <w:t>340,67</w:t>
            </w:r>
            <w:r>
              <w:rPr>
                <w:sz w:val="18"/>
              </w:rPr>
              <w:br/>
              <w:t>–170,62</w:t>
            </w:r>
            <w:r>
              <w:rPr>
                <w:sz w:val="18"/>
              </w:rPr>
              <w:br/>
              <w:t>–5,68</w:t>
            </w:r>
            <w:r>
              <w:rPr>
                <w:sz w:val="18"/>
              </w:rPr>
              <w:br/>
              <w:t>38,31</w:t>
            </w:r>
            <w:r>
              <w:rPr>
                <w:sz w:val="18"/>
              </w:rPr>
              <w:br/>
              <w:t>0,50</w:t>
            </w:r>
            <w:r>
              <w:rPr>
                <w:sz w:val="18"/>
              </w:rPr>
              <w:br/>
            </w:r>
            <w:r>
              <w:rPr>
                <w:sz w:val="18"/>
              </w:rPr>
              <w:br/>
              <w:t>–137,49</w:t>
            </w:r>
          </w:p>
        </w:tc>
        <w:tc>
          <w:tcPr>
            <w:tcW w:w="98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06"/>
              </w:tabs>
              <w:jc w:val="left"/>
              <w:rPr>
                <w:sz w:val="18"/>
              </w:rPr>
            </w:pPr>
            <w:r>
              <w:rPr>
                <w:sz w:val="18"/>
              </w:rPr>
              <w:t>79,30</w:t>
            </w:r>
            <w:r>
              <w:rPr>
                <w:sz w:val="18"/>
              </w:rPr>
              <w:br/>
              <w:t>41</w:t>
            </w:r>
            <w:r>
              <w:rPr>
                <w:rFonts w:ascii="Tms Rmn" w:hAnsi="Tms Rmn"/>
                <w:sz w:val="12"/>
              </w:rPr>
              <w:t> </w:t>
            </w:r>
            <w:r>
              <w:rPr>
                <w:sz w:val="18"/>
              </w:rPr>
              <w:t>547,55</w:t>
            </w:r>
            <w:r>
              <w:rPr>
                <w:sz w:val="18"/>
              </w:rPr>
              <w:br/>
              <w:t>–212,35</w:t>
            </w:r>
            <w:r>
              <w:rPr>
                <w:sz w:val="18"/>
              </w:rPr>
              <w:br/>
              <w:t>–10,08</w:t>
            </w:r>
            <w:r>
              <w:rPr>
                <w:sz w:val="18"/>
              </w:rPr>
              <w:br/>
              <w:t>47,13</w:t>
            </w:r>
            <w:r>
              <w:rPr>
                <w:sz w:val="18"/>
              </w:rPr>
              <w:br/>
              <w:t>0,50</w:t>
            </w:r>
            <w:r>
              <w:rPr>
                <w:sz w:val="18"/>
              </w:rPr>
              <w:br/>
            </w:r>
            <w:r>
              <w:rPr>
                <w:sz w:val="18"/>
              </w:rPr>
              <w:br/>
              <w:t>–174,80</w:t>
            </w:r>
          </w:p>
        </w:tc>
        <w:tc>
          <w:tcPr>
            <w:tcW w:w="1118"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06"/>
              </w:tabs>
              <w:jc w:val="left"/>
              <w:rPr>
                <w:sz w:val="18"/>
              </w:rPr>
            </w:pPr>
            <w:r>
              <w:rPr>
                <w:sz w:val="18"/>
              </w:rPr>
              <w:t>87,10</w:t>
            </w:r>
            <w:r>
              <w:rPr>
                <w:sz w:val="18"/>
              </w:rPr>
              <w:br/>
              <w:t>42</w:t>
            </w:r>
            <w:r>
              <w:rPr>
                <w:rFonts w:ascii="Tms Rmn" w:hAnsi="Tms Rmn"/>
                <w:sz w:val="12"/>
              </w:rPr>
              <w:t> </w:t>
            </w:r>
            <w:r>
              <w:rPr>
                <w:sz w:val="18"/>
              </w:rPr>
              <w:t>529,43</w:t>
            </w:r>
            <w:r>
              <w:rPr>
                <w:sz w:val="18"/>
              </w:rPr>
              <w:br/>
              <w:t>–212,55</w:t>
            </w:r>
            <w:r>
              <w:rPr>
                <w:sz w:val="18"/>
              </w:rPr>
              <w:br/>
              <w:t>35,97</w:t>
            </w:r>
            <w:r>
              <w:rPr>
                <w:sz w:val="18"/>
              </w:rPr>
              <w:br/>
              <w:t>46,13</w:t>
            </w:r>
            <w:r>
              <w:rPr>
                <w:sz w:val="18"/>
              </w:rPr>
              <w:br/>
              <w:t>0,50</w:t>
            </w:r>
            <w:r>
              <w:rPr>
                <w:sz w:val="18"/>
              </w:rPr>
              <w:br/>
            </w:r>
            <w:r>
              <w:rPr>
                <w:sz w:val="18"/>
              </w:rPr>
              <w:br/>
              <w:t>–129,95</w:t>
            </w:r>
          </w:p>
        </w:tc>
        <w:tc>
          <w:tcPr>
            <w:tcW w:w="2150" w:type="dxa"/>
            <w:gridSpan w:val="2"/>
            <w:vMerge/>
          </w:tcPr>
          <w:p w:rsidR="002B489A" w:rsidRDefault="002B489A">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80" w:after="80"/>
              <w:rPr>
                <w:sz w:val="18"/>
              </w:rPr>
            </w:pPr>
          </w:p>
        </w:tc>
      </w:tr>
      <w:tr w:rsidR="002B489A">
        <w:trPr>
          <w:cantSplit/>
        </w:trPr>
        <w:tc>
          <w:tcPr>
            <w:tcW w:w="3294" w:type="dxa"/>
          </w:tcPr>
          <w:p w:rsidR="002B489A" w:rsidRDefault="004F19C4">
            <w:pPr>
              <w:pStyle w:val="Tabletext"/>
              <w:framePr w:hSpace="181" w:wrap="notBeside" w:vAnchor="text" w:hAnchor="text" w:xAlign="center" w:y="1"/>
              <w:jc w:val="left"/>
              <w:rPr>
                <w:sz w:val="18"/>
              </w:rPr>
            </w:pPr>
            <w:r>
              <w:rPr>
                <w:sz w:val="18"/>
              </w:rPr>
              <w:t xml:space="preserve">Marge/seuil </w:t>
            </w:r>
            <w:r>
              <w:rPr>
                <w:i/>
                <w:iCs/>
                <w:sz w:val="18"/>
              </w:rPr>
              <w:t>B</w:t>
            </w:r>
            <w:r>
              <w:rPr>
                <w:i/>
                <w:iCs/>
                <w:sz w:val="18"/>
                <w:vertAlign w:val="subscript"/>
              </w:rPr>
              <w:t>N</w:t>
            </w:r>
            <w:r>
              <w:rPr>
                <w:sz w:val="18"/>
              </w:rPr>
              <w:t xml:space="preserve"> </w:t>
            </w:r>
            <w:r>
              <w:rPr>
                <w:rFonts w:ascii="Symbol" w:hAnsi="Symbol"/>
                <w:sz w:val="18"/>
              </w:rPr>
              <w:t></w:t>
            </w:r>
            <w:r>
              <w:rPr>
                <w:sz w:val="18"/>
              </w:rPr>
              <w:t xml:space="preserve"> 200/100 MHz (dB)</w:t>
            </w:r>
          </w:p>
        </w:tc>
        <w:tc>
          <w:tcPr>
            <w:tcW w:w="979"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1"/>
              </w:tabs>
              <w:rPr>
                <w:sz w:val="18"/>
              </w:rPr>
            </w:pPr>
            <w:r>
              <w:rPr>
                <w:sz w:val="18"/>
              </w:rPr>
              <w:t>–21,11</w:t>
            </w:r>
          </w:p>
        </w:tc>
        <w:tc>
          <w:tcPr>
            <w:tcW w:w="1118"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rPr>
            </w:pPr>
            <w:r>
              <w:rPr>
                <w:sz w:val="18"/>
              </w:rPr>
              <w:t>–25,51</w:t>
            </w:r>
          </w:p>
        </w:tc>
        <w:tc>
          <w:tcPr>
            <w:tcW w:w="98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4"/>
              </w:tabs>
              <w:rPr>
                <w:sz w:val="18"/>
              </w:rPr>
            </w:pPr>
            <w:r>
              <w:rPr>
                <w:sz w:val="18"/>
              </w:rPr>
              <w:t>11,80</w:t>
            </w:r>
          </w:p>
        </w:tc>
        <w:tc>
          <w:tcPr>
            <w:tcW w:w="1118"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rPr>
            </w:pPr>
            <w:r>
              <w:rPr>
                <w:sz w:val="18"/>
              </w:rPr>
              <w:t>–33,05</w:t>
            </w:r>
          </w:p>
        </w:tc>
        <w:tc>
          <w:tcPr>
            <w:tcW w:w="2150" w:type="dxa"/>
            <w:gridSpan w:val="2"/>
            <w:vMerge/>
          </w:tcPr>
          <w:p w:rsidR="002B489A" w:rsidRDefault="002B489A">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80" w:after="80"/>
              <w:rPr>
                <w:sz w:val="18"/>
              </w:rPr>
            </w:pPr>
          </w:p>
        </w:tc>
      </w:tr>
      <w:tr w:rsidR="002B489A">
        <w:trPr>
          <w:cantSplit/>
        </w:trPr>
        <w:tc>
          <w:tcPr>
            <w:tcW w:w="3294" w:type="dxa"/>
          </w:tcPr>
          <w:p w:rsidR="002B489A" w:rsidRDefault="004F19C4">
            <w:pPr>
              <w:pStyle w:val="Tabletext"/>
              <w:framePr w:hSpace="181" w:wrap="notBeside" w:vAnchor="text" w:hAnchor="text" w:xAlign="center" w:y="1"/>
              <w:jc w:val="left"/>
              <w:rPr>
                <w:sz w:val="18"/>
              </w:rPr>
            </w:pPr>
            <w:r>
              <w:rPr>
                <w:sz w:val="18"/>
              </w:rPr>
              <w:t xml:space="preserve">Marge/seuil </w:t>
            </w:r>
            <w:r>
              <w:rPr>
                <w:i/>
                <w:iCs/>
                <w:sz w:val="18"/>
              </w:rPr>
              <w:t>B</w:t>
            </w:r>
            <w:r>
              <w:rPr>
                <w:i/>
                <w:iCs/>
                <w:sz w:val="18"/>
                <w:vertAlign w:val="subscript"/>
              </w:rPr>
              <w:t>N</w:t>
            </w:r>
            <w:r>
              <w:rPr>
                <w:sz w:val="18"/>
              </w:rPr>
              <w:t xml:space="preserve"> </w:t>
            </w:r>
            <w:r>
              <w:rPr>
                <w:rFonts w:ascii="Symbol" w:hAnsi="Symbol"/>
                <w:sz w:val="18"/>
              </w:rPr>
              <w:t></w:t>
            </w:r>
            <w:r>
              <w:rPr>
                <w:sz w:val="18"/>
              </w:rPr>
              <w:t xml:space="preserve"> 50 MHz (dB)</w:t>
            </w:r>
          </w:p>
        </w:tc>
        <w:tc>
          <w:tcPr>
            <w:tcW w:w="979"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1"/>
              </w:tabs>
              <w:rPr>
                <w:sz w:val="18"/>
              </w:rPr>
            </w:pPr>
            <w:r>
              <w:rPr>
                <w:sz w:val="18"/>
              </w:rPr>
              <w:t>–18,11</w:t>
            </w:r>
          </w:p>
        </w:tc>
        <w:tc>
          <w:tcPr>
            <w:tcW w:w="1118"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rPr>
            </w:pPr>
            <w:r>
              <w:rPr>
                <w:sz w:val="18"/>
              </w:rPr>
              <w:t>–22,51</w:t>
            </w:r>
          </w:p>
        </w:tc>
        <w:tc>
          <w:tcPr>
            <w:tcW w:w="980"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4"/>
              </w:tabs>
              <w:rPr>
                <w:sz w:val="18"/>
              </w:rPr>
            </w:pPr>
            <w:r>
              <w:rPr>
                <w:sz w:val="18"/>
              </w:rPr>
              <w:t>14,80</w:t>
            </w:r>
          </w:p>
        </w:tc>
        <w:tc>
          <w:tcPr>
            <w:tcW w:w="1118"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rPr>
            </w:pPr>
            <w:r>
              <w:rPr>
                <w:sz w:val="18"/>
              </w:rPr>
              <w:t>–30,05</w:t>
            </w:r>
          </w:p>
        </w:tc>
        <w:tc>
          <w:tcPr>
            <w:tcW w:w="2150" w:type="dxa"/>
            <w:gridSpan w:val="2"/>
            <w:vMerge/>
          </w:tcPr>
          <w:p w:rsidR="002B489A" w:rsidRDefault="002B489A">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80" w:after="80"/>
              <w:rPr>
                <w:sz w:val="18"/>
              </w:rPr>
            </w:pPr>
          </w:p>
        </w:tc>
      </w:tr>
    </w:tbl>
    <w:p w:rsidR="002B489A" w:rsidRDefault="002B489A">
      <w:pPr>
        <w:pStyle w:val="Tablefin"/>
      </w:pPr>
    </w:p>
    <w:p w:rsidR="002B489A" w:rsidRDefault="004F19C4">
      <w:r>
        <w:t>Dans toutes les configurations analysées, le seuil de brouillage peut être considérablement dépassé.</w:t>
      </w:r>
    </w:p>
    <w:p w:rsidR="002B489A" w:rsidRDefault="004F19C4">
      <w:r>
        <w:t>A noter que la puissance brouilleuse dans la largeur de bande de référence de 100 MHz est identique pour la largeur de bande nécessaire de 200 MHz et de 100 MHz, parce qu'on suppose que la densité de puissance au sein de la largeur de bande nécessaire est la même. La puissance brouilleuse est inférieure de 3 dB dans le cas de la largeur de bande nécessaire de 50 MHz.</w:t>
      </w:r>
    </w:p>
    <w:p w:rsidR="002B489A" w:rsidRDefault="004F19C4">
      <w:pPr>
        <w:rPr>
          <w:position w:val="4"/>
        </w:rPr>
      </w:pPr>
      <w:r>
        <w:t xml:space="preserve">Pour le faisceau de l'antenne d'acquisition de données qui regarde vers la Terre, le brouillage survient sur des distances géocentriques relativement courtes, lorsque les antennes SIS ou SETS pointent dans la direction de l'autre satellite. Les valeurs les plus défavorables sont obtenues lorsque le détecteur passif et le satellite SIS sont à courte distance, et que le satellite SIS se trouve </w:t>
      </w:r>
      <w:r>
        <w:br w:type="page"/>
        <w:t>au</w:t>
      </w:r>
      <w:r>
        <w:noBreakHyphen/>
        <w:t xml:space="preserve">dessous du détecteur passif. On doit souligner qu'avec des marges négatives aussi grandes, de nombreux pixels adjacents dans l'alignement seront vraisemblablement contaminés aussi, bien que dans une moindre mesure (par exemple d'environ 20 pixels dans le cas d'une marge négative de </w:t>
      </w:r>
      <w:r>
        <w:rPr>
          <w:position w:val="2"/>
        </w:rPr>
        <w:sym w:font="Symbol" w:char="F020"/>
      </w:r>
      <w:r>
        <w:rPr>
          <w:rFonts w:ascii="Symbol" w:hAnsi="Symbol"/>
          <w:position w:val="2"/>
        </w:rPr>
        <w:noBreakHyphen/>
      </w:r>
      <w:r>
        <w:rPr>
          <w:position w:val="2"/>
        </w:rPr>
        <w:t>40 dB). L'analyse dynamique sera essentielle pour déterminer l'importance de la dimension</w:t>
      </w:r>
      <w:r>
        <w:t xml:space="preserve"> </w:t>
      </w:r>
      <w:r>
        <w:rPr>
          <w:position w:val="4"/>
        </w:rPr>
        <w:t>temporelle.</w:t>
      </w:r>
    </w:p>
    <w:p w:rsidR="002B489A" w:rsidRDefault="004F19C4">
      <w:pPr>
        <w:pStyle w:val="TableNo"/>
      </w:pPr>
      <w:r>
        <w:t>TABLEAU  43</w:t>
      </w:r>
    </w:p>
    <w:p w:rsidR="002B489A" w:rsidRDefault="004F19C4">
      <w:pPr>
        <w:pStyle w:val="Tabletitle"/>
      </w:pPr>
      <w:r>
        <w:t xml:space="preserve">Marges les plus défavorables par rapport au seuil de brouillage </w:t>
      </w:r>
      <w:r>
        <w:br/>
        <w:t>(hypothèse cofréquence) (cas du sondeur en peigne)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92"/>
        <w:gridCol w:w="979"/>
        <w:gridCol w:w="1118"/>
        <w:gridCol w:w="979"/>
        <w:gridCol w:w="1118"/>
        <w:gridCol w:w="979"/>
        <w:gridCol w:w="1174"/>
      </w:tblGrid>
      <w:tr w:rsidR="002B489A">
        <w:trPr>
          <w:cantSplit/>
        </w:trPr>
        <w:tc>
          <w:tcPr>
            <w:tcW w:w="9639" w:type="dxa"/>
            <w:gridSpan w:val="7"/>
          </w:tcPr>
          <w:p w:rsidR="002B489A" w:rsidRDefault="004F19C4">
            <w:pPr>
              <w:pStyle w:val="Tablehead"/>
              <w:framePr w:hSpace="181" w:wrap="notBeside" w:vAnchor="text" w:hAnchor="text" w:xAlign="center" w:y="1"/>
              <w:rPr>
                <w:sz w:val="18"/>
              </w:rPr>
            </w:pPr>
            <w:r>
              <w:rPr>
                <w:sz w:val="18"/>
              </w:rPr>
              <w:t>Marges les plus défavorables rapportées au seuil de brouillage – Cas du sondeur en peigne (hypothèse cofréquence)</w:t>
            </w:r>
          </w:p>
        </w:tc>
      </w:tr>
      <w:tr w:rsidR="002B489A">
        <w:trPr>
          <w:cantSplit/>
        </w:trPr>
        <w:tc>
          <w:tcPr>
            <w:tcW w:w="3292" w:type="dxa"/>
            <w:vMerge w:val="restart"/>
          </w:tcPr>
          <w:p w:rsidR="002B489A" w:rsidRDefault="002B489A">
            <w:pPr>
              <w:pStyle w:val="Tablehead"/>
              <w:framePr w:hSpace="181" w:wrap="notBeside" w:vAnchor="text" w:hAnchor="text" w:xAlign="center" w:y="1"/>
              <w:jc w:val="left"/>
              <w:rPr>
                <w:sz w:val="18"/>
              </w:rPr>
            </w:pPr>
          </w:p>
        </w:tc>
        <w:tc>
          <w:tcPr>
            <w:tcW w:w="2097" w:type="dxa"/>
            <w:gridSpan w:val="2"/>
          </w:tcPr>
          <w:p w:rsidR="002B489A" w:rsidRDefault="004F19C4">
            <w:pPr>
              <w:pStyle w:val="Tablehead"/>
              <w:framePr w:hSpace="181" w:wrap="notBeside" w:vAnchor="text" w:hAnchor="text" w:xAlign="center" w:y="1"/>
              <w:rPr>
                <w:sz w:val="18"/>
              </w:rPr>
            </w:pPr>
            <w:r>
              <w:rPr>
                <w:sz w:val="18"/>
              </w:rPr>
              <w:t>LEO-1 (700 km)</w:t>
            </w:r>
          </w:p>
        </w:tc>
        <w:tc>
          <w:tcPr>
            <w:tcW w:w="2097" w:type="dxa"/>
            <w:gridSpan w:val="2"/>
          </w:tcPr>
          <w:p w:rsidR="002B489A" w:rsidRDefault="004F19C4">
            <w:pPr>
              <w:pStyle w:val="Tablehead"/>
              <w:framePr w:hSpace="181" w:wrap="notBeside" w:vAnchor="text" w:hAnchor="text" w:xAlign="center" w:y="1"/>
              <w:rPr>
                <w:sz w:val="18"/>
              </w:rPr>
            </w:pPr>
            <w:r>
              <w:rPr>
                <w:sz w:val="18"/>
              </w:rPr>
              <w:t>LEO-2 (800 km)</w:t>
            </w:r>
          </w:p>
        </w:tc>
        <w:tc>
          <w:tcPr>
            <w:tcW w:w="2153" w:type="dxa"/>
            <w:gridSpan w:val="2"/>
          </w:tcPr>
          <w:p w:rsidR="002B489A" w:rsidRDefault="004F19C4">
            <w:pPr>
              <w:pStyle w:val="Tablehead"/>
              <w:framePr w:hSpace="181" w:wrap="notBeside" w:vAnchor="text" w:hAnchor="text" w:xAlign="center" w:y="1"/>
              <w:rPr>
                <w:sz w:val="18"/>
              </w:rPr>
            </w:pPr>
            <w:r>
              <w:rPr>
                <w:sz w:val="18"/>
              </w:rPr>
              <w:t>LEO-3 (900 km)</w:t>
            </w:r>
          </w:p>
        </w:tc>
      </w:tr>
      <w:tr w:rsidR="002B489A">
        <w:trPr>
          <w:cantSplit/>
        </w:trPr>
        <w:tc>
          <w:tcPr>
            <w:tcW w:w="3292" w:type="dxa"/>
            <w:vMerge/>
          </w:tcPr>
          <w:p w:rsidR="002B489A" w:rsidRDefault="002B489A">
            <w:pPr>
              <w:pStyle w:val="Tablehead"/>
              <w:framePr w:hSpace="181" w:wrap="notBeside" w:vAnchor="text" w:hAnchor="text" w:xAlign="center" w:y="1"/>
              <w:jc w:val="left"/>
              <w:rPr>
                <w:sz w:val="18"/>
              </w:rPr>
            </w:pPr>
          </w:p>
        </w:tc>
        <w:tc>
          <w:tcPr>
            <w:tcW w:w="979" w:type="dxa"/>
          </w:tcPr>
          <w:p w:rsidR="002B489A" w:rsidRDefault="004F19C4">
            <w:pPr>
              <w:pStyle w:val="Tablehead"/>
              <w:framePr w:hSpace="181" w:wrap="notBeside" w:vAnchor="text" w:hAnchor="text" w:xAlign="center" w:y="1"/>
              <w:rPr>
                <w:sz w:val="18"/>
              </w:rPr>
            </w:pPr>
            <w:r>
              <w:rPr>
                <w:sz w:val="18"/>
              </w:rPr>
              <w:t>Sondage</w:t>
            </w:r>
          </w:p>
        </w:tc>
        <w:tc>
          <w:tcPr>
            <w:tcW w:w="1118" w:type="dxa"/>
          </w:tcPr>
          <w:p w:rsidR="002B489A" w:rsidRDefault="004F19C4">
            <w:pPr>
              <w:pStyle w:val="Tablehead"/>
              <w:framePr w:hSpace="181" w:wrap="notBeside" w:vAnchor="text" w:hAnchor="text" w:xAlign="center" w:y="1"/>
              <w:rPr>
                <w:sz w:val="18"/>
              </w:rPr>
            </w:pPr>
            <w:r>
              <w:rPr>
                <w:sz w:val="18"/>
              </w:rPr>
              <w:t>Etalonnage</w:t>
            </w:r>
          </w:p>
        </w:tc>
        <w:tc>
          <w:tcPr>
            <w:tcW w:w="979" w:type="dxa"/>
          </w:tcPr>
          <w:p w:rsidR="002B489A" w:rsidRDefault="004F19C4">
            <w:pPr>
              <w:pStyle w:val="Tablehead"/>
              <w:framePr w:hSpace="181" w:wrap="notBeside" w:vAnchor="text" w:hAnchor="text" w:xAlign="center" w:y="1"/>
              <w:rPr>
                <w:sz w:val="18"/>
              </w:rPr>
            </w:pPr>
            <w:r>
              <w:rPr>
                <w:sz w:val="18"/>
              </w:rPr>
              <w:t>Sondage</w:t>
            </w:r>
          </w:p>
        </w:tc>
        <w:tc>
          <w:tcPr>
            <w:tcW w:w="1118" w:type="dxa"/>
          </w:tcPr>
          <w:p w:rsidR="002B489A" w:rsidRDefault="004F19C4">
            <w:pPr>
              <w:pStyle w:val="Tablehead"/>
              <w:framePr w:hSpace="181" w:wrap="notBeside" w:vAnchor="text" w:hAnchor="text" w:xAlign="center" w:y="1"/>
              <w:rPr>
                <w:sz w:val="18"/>
              </w:rPr>
            </w:pPr>
            <w:r>
              <w:rPr>
                <w:sz w:val="18"/>
              </w:rPr>
              <w:t>Etalonnage</w:t>
            </w:r>
          </w:p>
        </w:tc>
        <w:tc>
          <w:tcPr>
            <w:tcW w:w="979" w:type="dxa"/>
          </w:tcPr>
          <w:p w:rsidR="002B489A" w:rsidRDefault="004F19C4">
            <w:pPr>
              <w:pStyle w:val="Tablehead"/>
              <w:framePr w:hSpace="181" w:wrap="notBeside" w:vAnchor="text" w:hAnchor="text" w:xAlign="center" w:y="1"/>
              <w:rPr>
                <w:sz w:val="18"/>
              </w:rPr>
            </w:pPr>
            <w:r>
              <w:rPr>
                <w:sz w:val="18"/>
              </w:rPr>
              <w:t>Sondage</w:t>
            </w:r>
          </w:p>
        </w:tc>
        <w:tc>
          <w:tcPr>
            <w:tcW w:w="1174" w:type="dxa"/>
          </w:tcPr>
          <w:p w:rsidR="002B489A" w:rsidRDefault="004F19C4">
            <w:pPr>
              <w:pStyle w:val="Tablehead"/>
              <w:framePr w:hSpace="181" w:wrap="notBeside" w:vAnchor="text" w:hAnchor="text" w:xAlign="center" w:y="1"/>
              <w:rPr>
                <w:sz w:val="18"/>
              </w:rPr>
            </w:pPr>
            <w:r>
              <w:rPr>
                <w:sz w:val="18"/>
              </w:rPr>
              <w:t>Etalonnage</w:t>
            </w:r>
          </w:p>
        </w:tc>
      </w:tr>
      <w:tr w:rsidR="002B489A">
        <w:tc>
          <w:tcPr>
            <w:tcW w:w="3292" w:type="dxa"/>
          </w:tcPr>
          <w:p w:rsidR="002B489A" w:rsidRDefault="004F19C4">
            <w:pPr>
              <w:pStyle w:val="Tabletext"/>
              <w:framePr w:hSpace="181" w:wrap="notBeside" w:vAnchor="text" w:hAnchor="text" w:xAlign="center" w:y="1"/>
              <w:jc w:val="left"/>
              <w:rPr>
                <w:sz w:val="18"/>
              </w:rPr>
            </w:pPr>
            <w:r>
              <w:rPr>
                <w:sz w:val="18"/>
              </w:rPr>
              <w:t>Distance angulaire (degrés)</w:t>
            </w:r>
            <w:r>
              <w:rPr>
                <w:sz w:val="18"/>
              </w:rPr>
              <w:br/>
              <w:t>Distance (km)</w:t>
            </w:r>
            <w:r>
              <w:rPr>
                <w:sz w:val="18"/>
              </w:rPr>
              <w:br/>
              <w:t>Affaiblissement de trajet (dB)</w:t>
            </w:r>
            <w:r>
              <w:rPr>
                <w:sz w:val="18"/>
              </w:rPr>
              <w:br/>
              <w:t>Gain d'antenne du détecteur (dBi)</w:t>
            </w:r>
            <w:r>
              <w:rPr>
                <w:sz w:val="18"/>
              </w:rPr>
              <w:br/>
              <w:t>Gain d'antenne SIS (dBi)</w:t>
            </w:r>
            <w:r>
              <w:rPr>
                <w:sz w:val="18"/>
              </w:rPr>
              <w:br/>
              <w:t>Puissance d'émission SIS (dB(W/100 MHz))</w:t>
            </w:r>
            <w:r>
              <w:rPr>
                <w:sz w:val="18"/>
              </w:rPr>
              <w:br/>
              <w:t>Puissance reçue (dB(W/100 MHz)</w:t>
            </w:r>
          </w:p>
        </w:tc>
        <w:tc>
          <w:tcPr>
            <w:tcW w:w="979"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sz w:val="18"/>
              </w:rPr>
            </w:pPr>
            <w:r>
              <w:rPr>
                <w:sz w:val="18"/>
              </w:rPr>
              <w:t>0,00</w:t>
            </w:r>
            <w:r>
              <w:rPr>
                <w:sz w:val="18"/>
              </w:rPr>
              <w:br/>
              <w:t>150,00</w:t>
            </w:r>
            <w:r>
              <w:rPr>
                <w:sz w:val="18"/>
              </w:rPr>
              <w:br/>
              <w:t>–163,50</w:t>
            </w:r>
            <w:r>
              <w:rPr>
                <w:sz w:val="18"/>
              </w:rPr>
              <w:br/>
              <w:t>45,00</w:t>
            </w:r>
            <w:r>
              <w:rPr>
                <w:sz w:val="18"/>
              </w:rPr>
              <w:br/>
              <w:t>–10,25</w:t>
            </w:r>
            <w:r>
              <w:rPr>
                <w:sz w:val="18"/>
              </w:rPr>
              <w:br/>
              <w:t>0,50</w:t>
            </w:r>
            <w:r>
              <w:rPr>
                <w:sz w:val="18"/>
              </w:rPr>
              <w:br/>
            </w:r>
            <w:r>
              <w:rPr>
                <w:sz w:val="18"/>
              </w:rPr>
              <w:br/>
              <w:t>–128,25</w:t>
            </w:r>
          </w:p>
        </w:tc>
        <w:tc>
          <w:tcPr>
            <w:tcW w:w="1118"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rPr>
            </w:pPr>
            <w:r>
              <w:rPr>
                <w:sz w:val="18"/>
              </w:rPr>
              <w:t>45,70</w:t>
            </w:r>
            <w:r>
              <w:rPr>
                <w:sz w:val="18"/>
              </w:rPr>
              <w:br/>
              <w:t>5</w:t>
            </w:r>
            <w:r>
              <w:rPr>
                <w:rFonts w:ascii="Tms Rmn" w:hAnsi="Tms Rmn"/>
                <w:sz w:val="12"/>
              </w:rPr>
              <w:t> </w:t>
            </w:r>
            <w:r>
              <w:rPr>
                <w:sz w:val="18"/>
              </w:rPr>
              <w:t>557,00</w:t>
            </w:r>
            <w:r>
              <w:rPr>
                <w:sz w:val="18"/>
              </w:rPr>
              <w:br/>
              <w:t>–194,87</w:t>
            </w:r>
            <w:r>
              <w:rPr>
                <w:sz w:val="18"/>
              </w:rPr>
              <w:br/>
              <w:t>1,24</w:t>
            </w:r>
            <w:r>
              <w:rPr>
                <w:sz w:val="18"/>
              </w:rPr>
              <w:br/>
              <w:t>36,70</w:t>
            </w:r>
            <w:r>
              <w:rPr>
                <w:sz w:val="18"/>
              </w:rPr>
              <w:br/>
              <w:t>0,50</w:t>
            </w:r>
            <w:r>
              <w:rPr>
                <w:sz w:val="18"/>
              </w:rPr>
              <w:br/>
            </w:r>
            <w:r>
              <w:rPr>
                <w:sz w:val="18"/>
              </w:rPr>
              <w:br/>
              <w:t>–156,43</w:t>
            </w:r>
          </w:p>
        </w:tc>
        <w:tc>
          <w:tcPr>
            <w:tcW w:w="979"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4"/>
              </w:tabs>
              <w:rPr>
                <w:sz w:val="18"/>
              </w:rPr>
            </w:pPr>
            <w:r>
              <w:rPr>
                <w:sz w:val="18"/>
              </w:rPr>
              <w:t>0,00</w:t>
            </w:r>
            <w:r>
              <w:rPr>
                <w:sz w:val="18"/>
              </w:rPr>
              <w:br/>
              <w:t>50,00</w:t>
            </w:r>
            <w:r>
              <w:rPr>
                <w:sz w:val="18"/>
              </w:rPr>
              <w:br/>
              <w:t>–153,96</w:t>
            </w:r>
            <w:r>
              <w:rPr>
                <w:sz w:val="18"/>
              </w:rPr>
              <w:br/>
              <w:t>45,00</w:t>
            </w:r>
            <w:r>
              <w:rPr>
                <w:sz w:val="18"/>
              </w:rPr>
              <w:br/>
              <w:t>–10,45</w:t>
            </w:r>
            <w:r>
              <w:rPr>
                <w:sz w:val="18"/>
              </w:rPr>
              <w:br/>
              <w:t>0,50</w:t>
            </w:r>
            <w:r>
              <w:rPr>
                <w:sz w:val="18"/>
              </w:rPr>
              <w:br/>
            </w:r>
            <w:r>
              <w:rPr>
                <w:sz w:val="18"/>
              </w:rPr>
              <w:br/>
              <w:t>–118,91</w:t>
            </w:r>
          </w:p>
        </w:tc>
        <w:tc>
          <w:tcPr>
            <w:tcW w:w="1118"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rPr>
            </w:pPr>
            <w:r>
              <w:rPr>
                <w:sz w:val="18"/>
              </w:rPr>
              <w:t>45,70</w:t>
            </w:r>
            <w:r>
              <w:rPr>
                <w:sz w:val="18"/>
              </w:rPr>
              <w:br/>
              <w:t>517,74</w:t>
            </w:r>
            <w:r>
              <w:rPr>
                <w:sz w:val="18"/>
              </w:rPr>
              <w:br/>
              <w:t>–174,26</w:t>
            </w:r>
            <w:r>
              <w:rPr>
                <w:sz w:val="18"/>
              </w:rPr>
              <w:br/>
              <w:t>–4,27</w:t>
            </w:r>
            <w:r>
              <w:rPr>
                <w:sz w:val="18"/>
              </w:rPr>
              <w:br/>
              <w:t>34,54</w:t>
            </w:r>
            <w:r>
              <w:rPr>
                <w:sz w:val="18"/>
              </w:rPr>
              <w:br/>
              <w:t>0,50</w:t>
            </w:r>
            <w:r>
              <w:rPr>
                <w:sz w:val="18"/>
              </w:rPr>
              <w:br/>
            </w:r>
            <w:r>
              <w:rPr>
                <w:sz w:val="18"/>
              </w:rPr>
              <w:br/>
              <w:t>–143,49</w:t>
            </w:r>
          </w:p>
        </w:tc>
        <w:tc>
          <w:tcPr>
            <w:tcW w:w="979"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rPr>
            </w:pPr>
            <w:r>
              <w:rPr>
                <w:sz w:val="18"/>
              </w:rPr>
              <w:t>0,90</w:t>
            </w:r>
            <w:r>
              <w:rPr>
                <w:sz w:val="18"/>
              </w:rPr>
              <w:br/>
              <w:t>124,42</w:t>
            </w:r>
            <w:r>
              <w:rPr>
                <w:sz w:val="18"/>
              </w:rPr>
              <w:br/>
              <w:t>–161,87</w:t>
            </w:r>
            <w:r>
              <w:rPr>
                <w:sz w:val="18"/>
              </w:rPr>
              <w:br/>
              <w:t>–12,33</w:t>
            </w:r>
            <w:r>
              <w:rPr>
                <w:sz w:val="18"/>
              </w:rPr>
              <w:br/>
              <w:t>34,22</w:t>
            </w:r>
            <w:r>
              <w:rPr>
                <w:sz w:val="18"/>
              </w:rPr>
              <w:br/>
              <w:t>0,50</w:t>
            </w:r>
            <w:r>
              <w:rPr>
                <w:sz w:val="18"/>
              </w:rPr>
              <w:br/>
            </w:r>
            <w:r>
              <w:rPr>
                <w:sz w:val="18"/>
              </w:rPr>
              <w:br/>
              <w:t>–139,48</w:t>
            </w:r>
          </w:p>
        </w:tc>
        <w:tc>
          <w:tcPr>
            <w:tcW w:w="1174"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rPr>
            </w:pPr>
            <w:r>
              <w:rPr>
                <w:sz w:val="18"/>
              </w:rPr>
              <w:t>0,90</w:t>
            </w:r>
            <w:r>
              <w:rPr>
                <w:sz w:val="18"/>
              </w:rPr>
              <w:br/>
              <w:t>124,42</w:t>
            </w:r>
            <w:r>
              <w:rPr>
                <w:sz w:val="18"/>
              </w:rPr>
              <w:br/>
              <w:t>–161,87</w:t>
            </w:r>
            <w:r>
              <w:rPr>
                <w:sz w:val="18"/>
              </w:rPr>
              <w:br/>
              <w:t>–4,84</w:t>
            </w:r>
            <w:r>
              <w:rPr>
                <w:sz w:val="18"/>
              </w:rPr>
              <w:br/>
              <w:t>34,22</w:t>
            </w:r>
            <w:r>
              <w:rPr>
                <w:sz w:val="18"/>
              </w:rPr>
              <w:br/>
              <w:t>0,50</w:t>
            </w:r>
            <w:r>
              <w:rPr>
                <w:sz w:val="18"/>
              </w:rPr>
              <w:br/>
            </w:r>
            <w:r>
              <w:rPr>
                <w:sz w:val="18"/>
              </w:rPr>
              <w:br/>
              <w:t>–131,99</w:t>
            </w:r>
          </w:p>
        </w:tc>
      </w:tr>
      <w:tr w:rsidR="002B489A">
        <w:tc>
          <w:tcPr>
            <w:tcW w:w="3292" w:type="dxa"/>
          </w:tcPr>
          <w:p w:rsidR="002B489A" w:rsidRDefault="004F19C4">
            <w:pPr>
              <w:pStyle w:val="Tabletext"/>
              <w:framePr w:hSpace="181" w:wrap="notBeside" w:vAnchor="text" w:hAnchor="text" w:xAlign="center" w:y="1"/>
              <w:jc w:val="left"/>
              <w:rPr>
                <w:sz w:val="18"/>
              </w:rPr>
            </w:pPr>
            <w:r>
              <w:rPr>
                <w:sz w:val="18"/>
              </w:rPr>
              <w:t xml:space="preserve">Marge/seuil </w:t>
            </w:r>
            <w:r>
              <w:rPr>
                <w:i/>
                <w:iCs/>
                <w:sz w:val="18"/>
              </w:rPr>
              <w:t>B</w:t>
            </w:r>
            <w:r>
              <w:rPr>
                <w:i/>
                <w:iCs/>
                <w:sz w:val="18"/>
                <w:vertAlign w:val="subscript"/>
              </w:rPr>
              <w:t>N</w:t>
            </w:r>
            <w:r>
              <w:rPr>
                <w:sz w:val="18"/>
              </w:rPr>
              <w:t xml:space="preserve"> </w:t>
            </w:r>
            <w:r>
              <w:rPr>
                <w:rFonts w:ascii="Symbol" w:hAnsi="Symbol"/>
                <w:sz w:val="18"/>
              </w:rPr>
              <w:t></w:t>
            </w:r>
            <w:r>
              <w:rPr>
                <w:sz w:val="18"/>
              </w:rPr>
              <w:t xml:space="preserve"> 200/100 MHz (dB)</w:t>
            </w:r>
          </w:p>
        </w:tc>
        <w:tc>
          <w:tcPr>
            <w:tcW w:w="979"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sz w:val="18"/>
              </w:rPr>
            </w:pPr>
            <w:r>
              <w:rPr>
                <w:sz w:val="18"/>
              </w:rPr>
              <w:t>–34,75</w:t>
            </w:r>
          </w:p>
        </w:tc>
        <w:tc>
          <w:tcPr>
            <w:tcW w:w="1118"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rPr>
            </w:pPr>
            <w:r>
              <w:rPr>
                <w:sz w:val="18"/>
              </w:rPr>
              <w:t>–6,57</w:t>
            </w:r>
          </w:p>
        </w:tc>
        <w:tc>
          <w:tcPr>
            <w:tcW w:w="979"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4"/>
              </w:tabs>
              <w:rPr>
                <w:sz w:val="18"/>
              </w:rPr>
            </w:pPr>
            <w:r>
              <w:rPr>
                <w:sz w:val="18"/>
              </w:rPr>
              <w:t>–44,09</w:t>
            </w:r>
          </w:p>
        </w:tc>
        <w:tc>
          <w:tcPr>
            <w:tcW w:w="1118"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rPr>
            </w:pPr>
            <w:r>
              <w:rPr>
                <w:sz w:val="18"/>
              </w:rPr>
              <w:t>–19,51</w:t>
            </w:r>
          </w:p>
        </w:tc>
        <w:tc>
          <w:tcPr>
            <w:tcW w:w="979"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rPr>
            </w:pPr>
            <w:r>
              <w:rPr>
                <w:sz w:val="18"/>
              </w:rPr>
              <w:t>–23,52</w:t>
            </w:r>
          </w:p>
        </w:tc>
        <w:tc>
          <w:tcPr>
            <w:tcW w:w="1174"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rPr>
            </w:pPr>
            <w:r>
              <w:rPr>
                <w:sz w:val="18"/>
              </w:rPr>
              <w:t>–31,01</w:t>
            </w:r>
          </w:p>
        </w:tc>
      </w:tr>
      <w:tr w:rsidR="002B489A">
        <w:tc>
          <w:tcPr>
            <w:tcW w:w="3292" w:type="dxa"/>
          </w:tcPr>
          <w:p w:rsidR="002B489A" w:rsidRDefault="004F19C4">
            <w:pPr>
              <w:pStyle w:val="Tabletext"/>
              <w:framePr w:hSpace="181" w:wrap="notBeside" w:vAnchor="text" w:hAnchor="text" w:xAlign="center" w:y="1"/>
              <w:jc w:val="left"/>
              <w:rPr>
                <w:sz w:val="18"/>
              </w:rPr>
            </w:pPr>
            <w:r>
              <w:rPr>
                <w:sz w:val="18"/>
              </w:rPr>
              <w:t xml:space="preserve">Marge/seuil </w:t>
            </w:r>
            <w:r>
              <w:rPr>
                <w:i/>
                <w:iCs/>
                <w:sz w:val="18"/>
              </w:rPr>
              <w:t>B</w:t>
            </w:r>
            <w:r>
              <w:rPr>
                <w:i/>
                <w:iCs/>
                <w:sz w:val="18"/>
                <w:vertAlign w:val="subscript"/>
              </w:rPr>
              <w:t>N</w:t>
            </w:r>
            <w:r>
              <w:rPr>
                <w:sz w:val="18"/>
              </w:rPr>
              <w:t xml:space="preserve"> </w:t>
            </w:r>
            <w:r>
              <w:rPr>
                <w:rFonts w:ascii="Symbol" w:hAnsi="Symbol"/>
                <w:sz w:val="18"/>
              </w:rPr>
              <w:t></w:t>
            </w:r>
            <w:r>
              <w:rPr>
                <w:sz w:val="18"/>
              </w:rPr>
              <w:t xml:space="preserve"> 50 MHz (dB)</w:t>
            </w:r>
          </w:p>
        </w:tc>
        <w:tc>
          <w:tcPr>
            <w:tcW w:w="979"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sz w:val="18"/>
              </w:rPr>
            </w:pPr>
            <w:r>
              <w:rPr>
                <w:sz w:val="18"/>
              </w:rPr>
              <w:t>–31,75</w:t>
            </w:r>
          </w:p>
        </w:tc>
        <w:tc>
          <w:tcPr>
            <w:tcW w:w="1118"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rPr>
            </w:pPr>
            <w:r>
              <w:rPr>
                <w:sz w:val="18"/>
              </w:rPr>
              <w:t>–3,57</w:t>
            </w:r>
          </w:p>
        </w:tc>
        <w:tc>
          <w:tcPr>
            <w:tcW w:w="979"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4"/>
              </w:tabs>
              <w:rPr>
                <w:sz w:val="18"/>
              </w:rPr>
            </w:pPr>
            <w:r>
              <w:rPr>
                <w:sz w:val="18"/>
              </w:rPr>
              <w:t>–41,09</w:t>
            </w:r>
          </w:p>
        </w:tc>
        <w:tc>
          <w:tcPr>
            <w:tcW w:w="1118"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rPr>
            </w:pPr>
            <w:r>
              <w:rPr>
                <w:sz w:val="18"/>
              </w:rPr>
              <w:t>–16,51</w:t>
            </w:r>
          </w:p>
        </w:tc>
        <w:tc>
          <w:tcPr>
            <w:tcW w:w="979"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rPr>
            </w:pPr>
            <w:r>
              <w:rPr>
                <w:sz w:val="18"/>
              </w:rPr>
              <w:t>–20,52</w:t>
            </w:r>
          </w:p>
        </w:tc>
        <w:tc>
          <w:tcPr>
            <w:tcW w:w="1174"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rPr>
            </w:pPr>
            <w:r>
              <w:rPr>
                <w:sz w:val="18"/>
              </w:rPr>
              <w:t>–28,01</w:t>
            </w:r>
          </w:p>
        </w:tc>
      </w:tr>
      <w:tr w:rsidR="002B489A">
        <w:trPr>
          <w:cantSplit/>
        </w:trPr>
        <w:tc>
          <w:tcPr>
            <w:tcW w:w="3292" w:type="dxa"/>
            <w:vMerge w:val="restart"/>
          </w:tcPr>
          <w:p w:rsidR="002B489A" w:rsidRDefault="002B489A">
            <w:pPr>
              <w:pStyle w:val="Tabletext"/>
              <w:keepNext/>
              <w:framePr w:hSpace="181" w:wrap="notBeside" w:vAnchor="text" w:hAnchor="text" w:xAlign="center" w:y="1"/>
              <w:spacing w:before="80" w:after="80"/>
              <w:jc w:val="left"/>
              <w:rPr>
                <w:sz w:val="18"/>
              </w:rPr>
            </w:pPr>
          </w:p>
        </w:tc>
        <w:tc>
          <w:tcPr>
            <w:tcW w:w="2097" w:type="dxa"/>
            <w:gridSpan w:val="2"/>
          </w:tcPr>
          <w:p w:rsidR="002B489A" w:rsidRDefault="004F19C4">
            <w:pPr>
              <w:pStyle w:val="Tablehead"/>
              <w:framePr w:hSpace="181" w:wrap="notBeside" w:vAnchor="text" w:hAnchor="text" w:xAlign="center" w:y="1"/>
              <w:rPr>
                <w:sz w:val="18"/>
              </w:rPr>
            </w:pPr>
            <w:r>
              <w:rPr>
                <w:sz w:val="18"/>
              </w:rPr>
              <w:t>LEO-4 (1</w:t>
            </w:r>
            <w:r>
              <w:rPr>
                <w:rFonts w:ascii="Tms Rmn" w:hAnsi="Tms Rmn"/>
                <w:sz w:val="12"/>
              </w:rPr>
              <w:t> </w:t>
            </w:r>
            <w:r>
              <w:rPr>
                <w:sz w:val="18"/>
              </w:rPr>
              <w:t>000 km)</w:t>
            </w:r>
          </w:p>
        </w:tc>
        <w:tc>
          <w:tcPr>
            <w:tcW w:w="2097" w:type="dxa"/>
            <w:gridSpan w:val="2"/>
          </w:tcPr>
          <w:p w:rsidR="002B489A" w:rsidRDefault="004F19C4">
            <w:pPr>
              <w:pStyle w:val="Tablehead"/>
              <w:framePr w:hSpace="181" w:wrap="notBeside" w:vAnchor="text" w:hAnchor="text" w:xAlign="center" w:y="1"/>
              <w:rPr>
                <w:sz w:val="18"/>
              </w:rPr>
            </w:pPr>
            <w:r>
              <w:rPr>
                <w:sz w:val="18"/>
              </w:rPr>
              <w:t>LEO-5 (35</w:t>
            </w:r>
            <w:r>
              <w:rPr>
                <w:rFonts w:ascii="Tms Rmn" w:hAnsi="Tms Rmn"/>
                <w:sz w:val="12"/>
              </w:rPr>
              <w:t> </w:t>
            </w:r>
            <w:r>
              <w:rPr>
                <w:sz w:val="18"/>
              </w:rPr>
              <w:t>900 km)</w:t>
            </w:r>
          </w:p>
        </w:tc>
        <w:tc>
          <w:tcPr>
            <w:tcW w:w="2153" w:type="dxa"/>
            <w:gridSpan w:val="2"/>
            <w:vMerge w:val="restart"/>
          </w:tcPr>
          <w:p w:rsidR="002B489A" w:rsidRDefault="002B489A">
            <w:pPr>
              <w:pStyle w:val="Tablehead"/>
              <w:framePr w:hSpace="181" w:wrap="notBeside" w:vAnchor="text" w:hAnchor="text" w:xAlign="center" w:y="1"/>
              <w:rPr>
                <w:sz w:val="18"/>
              </w:rPr>
            </w:pPr>
          </w:p>
        </w:tc>
      </w:tr>
      <w:tr w:rsidR="002B489A">
        <w:trPr>
          <w:cantSplit/>
        </w:trPr>
        <w:tc>
          <w:tcPr>
            <w:tcW w:w="3292" w:type="dxa"/>
            <w:vMerge/>
          </w:tcPr>
          <w:p w:rsidR="002B489A" w:rsidRDefault="002B489A">
            <w:pPr>
              <w:pStyle w:val="Tabletext"/>
              <w:keepNext/>
              <w:framePr w:hSpace="181" w:wrap="notBeside" w:vAnchor="text" w:hAnchor="text" w:xAlign="center" w:y="1"/>
              <w:spacing w:before="80" w:after="80"/>
              <w:jc w:val="left"/>
              <w:rPr>
                <w:sz w:val="18"/>
              </w:rPr>
            </w:pPr>
          </w:p>
        </w:tc>
        <w:tc>
          <w:tcPr>
            <w:tcW w:w="979" w:type="dxa"/>
          </w:tcPr>
          <w:p w:rsidR="002B489A" w:rsidRDefault="004F19C4">
            <w:pPr>
              <w:pStyle w:val="Tablehead"/>
              <w:framePr w:hSpace="181" w:wrap="notBeside" w:vAnchor="text" w:hAnchor="text" w:xAlign="center" w:y="1"/>
              <w:rPr>
                <w:sz w:val="18"/>
              </w:rPr>
            </w:pPr>
            <w:r>
              <w:rPr>
                <w:sz w:val="18"/>
              </w:rPr>
              <w:t>Sondage</w:t>
            </w:r>
          </w:p>
        </w:tc>
        <w:tc>
          <w:tcPr>
            <w:tcW w:w="1118" w:type="dxa"/>
          </w:tcPr>
          <w:p w:rsidR="002B489A" w:rsidRDefault="004F19C4">
            <w:pPr>
              <w:pStyle w:val="Tablehead"/>
              <w:framePr w:hSpace="181" w:wrap="notBeside" w:vAnchor="text" w:hAnchor="text" w:xAlign="center" w:y="1"/>
              <w:rPr>
                <w:sz w:val="18"/>
              </w:rPr>
            </w:pPr>
            <w:r>
              <w:rPr>
                <w:sz w:val="18"/>
              </w:rPr>
              <w:t>Etalonnage</w:t>
            </w:r>
          </w:p>
        </w:tc>
        <w:tc>
          <w:tcPr>
            <w:tcW w:w="979" w:type="dxa"/>
          </w:tcPr>
          <w:p w:rsidR="002B489A" w:rsidRDefault="004F19C4">
            <w:pPr>
              <w:pStyle w:val="Tablehead"/>
              <w:framePr w:hSpace="181" w:wrap="notBeside" w:vAnchor="text" w:hAnchor="text" w:xAlign="center" w:y="1"/>
              <w:rPr>
                <w:sz w:val="18"/>
              </w:rPr>
            </w:pPr>
            <w:r>
              <w:rPr>
                <w:sz w:val="18"/>
              </w:rPr>
              <w:t>Sondage</w:t>
            </w:r>
          </w:p>
        </w:tc>
        <w:tc>
          <w:tcPr>
            <w:tcW w:w="1118" w:type="dxa"/>
          </w:tcPr>
          <w:p w:rsidR="002B489A" w:rsidRDefault="004F19C4">
            <w:pPr>
              <w:pStyle w:val="Tablehead"/>
              <w:framePr w:hSpace="181" w:wrap="notBeside" w:vAnchor="text" w:hAnchor="text" w:xAlign="center" w:y="1"/>
              <w:rPr>
                <w:sz w:val="18"/>
              </w:rPr>
            </w:pPr>
            <w:r>
              <w:rPr>
                <w:sz w:val="18"/>
              </w:rPr>
              <w:t>Etalonnage</w:t>
            </w:r>
          </w:p>
        </w:tc>
        <w:tc>
          <w:tcPr>
            <w:tcW w:w="2153" w:type="dxa"/>
            <w:gridSpan w:val="2"/>
            <w:vMerge/>
          </w:tcPr>
          <w:p w:rsidR="002B489A" w:rsidRDefault="002B489A">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80" w:after="80"/>
              <w:rPr>
                <w:sz w:val="18"/>
              </w:rPr>
            </w:pPr>
          </w:p>
        </w:tc>
      </w:tr>
      <w:tr w:rsidR="002B489A">
        <w:trPr>
          <w:cantSplit/>
        </w:trPr>
        <w:tc>
          <w:tcPr>
            <w:tcW w:w="3292" w:type="dxa"/>
          </w:tcPr>
          <w:p w:rsidR="002B489A" w:rsidRDefault="004F19C4">
            <w:pPr>
              <w:pStyle w:val="Tabletext"/>
              <w:framePr w:hSpace="181" w:wrap="notBeside" w:vAnchor="text" w:hAnchor="text" w:xAlign="center" w:y="1"/>
              <w:jc w:val="left"/>
              <w:rPr>
                <w:sz w:val="18"/>
              </w:rPr>
            </w:pPr>
            <w:r>
              <w:rPr>
                <w:sz w:val="18"/>
              </w:rPr>
              <w:t>Distance angulaire (degrés)</w:t>
            </w:r>
            <w:r>
              <w:rPr>
                <w:sz w:val="18"/>
              </w:rPr>
              <w:br/>
              <w:t>Distance (km)</w:t>
            </w:r>
            <w:r>
              <w:rPr>
                <w:sz w:val="18"/>
              </w:rPr>
              <w:br/>
              <w:t>Affaiblissement de trajet (dB)</w:t>
            </w:r>
            <w:r>
              <w:rPr>
                <w:sz w:val="18"/>
              </w:rPr>
              <w:br/>
              <w:t>Gain d'antenne du détecteur (dBi)</w:t>
            </w:r>
            <w:r>
              <w:rPr>
                <w:sz w:val="18"/>
              </w:rPr>
              <w:br/>
              <w:t>Gain d'antenne SIS (dBi)</w:t>
            </w:r>
            <w:r>
              <w:rPr>
                <w:sz w:val="18"/>
              </w:rPr>
              <w:br/>
              <w:t>Puissance d'émission SIS (dB(W/100 MHz))</w:t>
            </w:r>
            <w:r>
              <w:rPr>
                <w:sz w:val="18"/>
              </w:rPr>
              <w:br/>
              <w:t>Puissance reçue (dB(W/100 MHz)</w:t>
            </w:r>
          </w:p>
        </w:tc>
        <w:tc>
          <w:tcPr>
            <w:tcW w:w="979"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sz w:val="18"/>
              </w:rPr>
            </w:pPr>
            <w:r>
              <w:rPr>
                <w:sz w:val="18"/>
              </w:rPr>
              <w:t>2,40</w:t>
            </w:r>
            <w:r>
              <w:rPr>
                <w:sz w:val="18"/>
              </w:rPr>
              <w:br/>
              <w:t>340,67</w:t>
            </w:r>
            <w:r>
              <w:rPr>
                <w:sz w:val="18"/>
              </w:rPr>
              <w:br/>
              <w:t>–170,62</w:t>
            </w:r>
            <w:r>
              <w:rPr>
                <w:sz w:val="18"/>
              </w:rPr>
              <w:br/>
              <w:t>–12,33</w:t>
            </w:r>
            <w:r>
              <w:rPr>
                <w:sz w:val="18"/>
              </w:rPr>
              <w:br/>
              <w:t>38,31</w:t>
            </w:r>
            <w:r>
              <w:rPr>
                <w:sz w:val="18"/>
              </w:rPr>
              <w:br/>
              <w:t>0,50</w:t>
            </w:r>
            <w:r>
              <w:rPr>
                <w:sz w:val="18"/>
              </w:rPr>
              <w:br/>
            </w:r>
            <w:r>
              <w:rPr>
                <w:sz w:val="18"/>
              </w:rPr>
              <w:br/>
              <w:t>–144,14</w:t>
            </w:r>
          </w:p>
        </w:tc>
        <w:tc>
          <w:tcPr>
            <w:tcW w:w="1118"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rPr>
            </w:pPr>
            <w:r>
              <w:rPr>
                <w:sz w:val="18"/>
              </w:rPr>
              <w:t>2,40</w:t>
            </w:r>
            <w:r>
              <w:rPr>
                <w:sz w:val="18"/>
              </w:rPr>
              <w:br/>
              <w:t>340,67</w:t>
            </w:r>
            <w:r>
              <w:rPr>
                <w:sz w:val="18"/>
              </w:rPr>
              <w:br/>
              <w:t>–170,62</w:t>
            </w:r>
            <w:r>
              <w:rPr>
                <w:sz w:val="18"/>
              </w:rPr>
              <w:br/>
              <w:t>–5,43</w:t>
            </w:r>
            <w:r>
              <w:rPr>
                <w:sz w:val="18"/>
              </w:rPr>
              <w:br/>
              <w:t>38,31</w:t>
            </w:r>
            <w:r>
              <w:rPr>
                <w:sz w:val="18"/>
              </w:rPr>
              <w:br/>
              <w:t>0,50</w:t>
            </w:r>
            <w:r>
              <w:rPr>
                <w:sz w:val="18"/>
              </w:rPr>
              <w:br/>
            </w:r>
            <w:r>
              <w:rPr>
                <w:sz w:val="18"/>
              </w:rPr>
              <w:br/>
              <w:t>–137,24</w:t>
            </w:r>
          </w:p>
        </w:tc>
        <w:tc>
          <w:tcPr>
            <w:tcW w:w="979"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7"/>
              </w:tabs>
              <w:rPr>
                <w:sz w:val="18"/>
              </w:rPr>
            </w:pPr>
            <w:r>
              <w:rPr>
                <w:sz w:val="18"/>
              </w:rPr>
              <w:t>87,10</w:t>
            </w:r>
            <w:r>
              <w:rPr>
                <w:sz w:val="18"/>
              </w:rPr>
              <w:br/>
              <w:t>42</w:t>
            </w:r>
            <w:r>
              <w:rPr>
                <w:rFonts w:ascii="Tms Rmn" w:hAnsi="Tms Rmn"/>
                <w:sz w:val="12"/>
              </w:rPr>
              <w:t> </w:t>
            </w:r>
            <w:r>
              <w:rPr>
                <w:sz w:val="18"/>
              </w:rPr>
              <w:t>529,43</w:t>
            </w:r>
            <w:r>
              <w:rPr>
                <w:sz w:val="18"/>
              </w:rPr>
              <w:br/>
              <w:t>–212,55</w:t>
            </w:r>
            <w:r>
              <w:rPr>
                <w:sz w:val="18"/>
              </w:rPr>
              <w:br/>
              <w:t>–12,33</w:t>
            </w:r>
            <w:r>
              <w:rPr>
                <w:sz w:val="18"/>
              </w:rPr>
              <w:br/>
              <w:t>46,13</w:t>
            </w:r>
            <w:r>
              <w:rPr>
                <w:sz w:val="18"/>
              </w:rPr>
              <w:br/>
              <w:t>0,50</w:t>
            </w:r>
            <w:r>
              <w:rPr>
                <w:sz w:val="18"/>
              </w:rPr>
              <w:br/>
            </w:r>
            <w:r>
              <w:rPr>
                <w:sz w:val="18"/>
              </w:rPr>
              <w:br/>
              <w:t>–178,25</w:t>
            </w:r>
          </w:p>
        </w:tc>
        <w:tc>
          <w:tcPr>
            <w:tcW w:w="1118"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7"/>
              </w:tabs>
              <w:rPr>
                <w:sz w:val="18"/>
              </w:rPr>
            </w:pPr>
            <w:r>
              <w:rPr>
                <w:sz w:val="18"/>
              </w:rPr>
              <w:t>87,10</w:t>
            </w:r>
            <w:r>
              <w:rPr>
                <w:sz w:val="18"/>
              </w:rPr>
              <w:br/>
              <w:t>42</w:t>
            </w:r>
            <w:r>
              <w:rPr>
                <w:rFonts w:ascii="Tms Rmn" w:hAnsi="Tms Rmn"/>
                <w:sz w:val="12"/>
              </w:rPr>
              <w:t> </w:t>
            </w:r>
            <w:r>
              <w:rPr>
                <w:sz w:val="18"/>
              </w:rPr>
              <w:t>529,43</w:t>
            </w:r>
            <w:r>
              <w:rPr>
                <w:sz w:val="18"/>
              </w:rPr>
              <w:br/>
              <w:t>–212,55</w:t>
            </w:r>
            <w:r>
              <w:rPr>
                <w:sz w:val="18"/>
              </w:rPr>
              <w:br/>
              <w:t>34,98</w:t>
            </w:r>
            <w:r>
              <w:rPr>
                <w:sz w:val="18"/>
              </w:rPr>
              <w:br/>
              <w:t>46,13</w:t>
            </w:r>
            <w:r>
              <w:rPr>
                <w:sz w:val="18"/>
              </w:rPr>
              <w:br/>
              <w:t>0,50</w:t>
            </w:r>
            <w:r>
              <w:rPr>
                <w:sz w:val="18"/>
              </w:rPr>
              <w:br/>
            </w:r>
            <w:r>
              <w:rPr>
                <w:sz w:val="18"/>
              </w:rPr>
              <w:br/>
              <w:t>–130,94</w:t>
            </w:r>
          </w:p>
        </w:tc>
        <w:tc>
          <w:tcPr>
            <w:tcW w:w="2153" w:type="dxa"/>
            <w:gridSpan w:val="2"/>
            <w:vMerge/>
          </w:tcPr>
          <w:p w:rsidR="002B489A" w:rsidRDefault="002B489A">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80" w:after="80"/>
              <w:rPr>
                <w:sz w:val="18"/>
              </w:rPr>
            </w:pPr>
          </w:p>
        </w:tc>
      </w:tr>
      <w:tr w:rsidR="002B489A">
        <w:trPr>
          <w:cantSplit/>
        </w:trPr>
        <w:tc>
          <w:tcPr>
            <w:tcW w:w="3292" w:type="dxa"/>
          </w:tcPr>
          <w:p w:rsidR="002B489A" w:rsidRDefault="004F19C4">
            <w:pPr>
              <w:pStyle w:val="Tabletext"/>
              <w:framePr w:hSpace="181" w:wrap="notBeside" w:vAnchor="text" w:hAnchor="text" w:xAlign="center" w:y="1"/>
              <w:jc w:val="left"/>
              <w:rPr>
                <w:sz w:val="18"/>
              </w:rPr>
            </w:pPr>
            <w:r>
              <w:rPr>
                <w:sz w:val="18"/>
              </w:rPr>
              <w:t xml:space="preserve">Marge/seuil </w:t>
            </w:r>
            <w:r>
              <w:rPr>
                <w:i/>
                <w:iCs/>
                <w:sz w:val="18"/>
              </w:rPr>
              <w:t>B</w:t>
            </w:r>
            <w:r>
              <w:rPr>
                <w:i/>
                <w:iCs/>
                <w:sz w:val="18"/>
                <w:vertAlign w:val="subscript"/>
              </w:rPr>
              <w:t>N</w:t>
            </w:r>
            <w:r>
              <w:rPr>
                <w:sz w:val="18"/>
              </w:rPr>
              <w:t xml:space="preserve"> </w:t>
            </w:r>
            <w:r>
              <w:rPr>
                <w:rFonts w:ascii="Symbol" w:hAnsi="Symbol"/>
                <w:sz w:val="18"/>
              </w:rPr>
              <w:t></w:t>
            </w:r>
            <w:r>
              <w:rPr>
                <w:sz w:val="18"/>
              </w:rPr>
              <w:t xml:space="preserve"> 200/100 MHz (dB)</w:t>
            </w:r>
          </w:p>
        </w:tc>
        <w:tc>
          <w:tcPr>
            <w:tcW w:w="979"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sz w:val="18"/>
              </w:rPr>
            </w:pPr>
            <w:r>
              <w:rPr>
                <w:sz w:val="18"/>
              </w:rPr>
              <w:t>–18,86</w:t>
            </w:r>
          </w:p>
        </w:tc>
        <w:tc>
          <w:tcPr>
            <w:tcW w:w="1118"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rPr>
            </w:pPr>
            <w:r>
              <w:rPr>
                <w:sz w:val="18"/>
              </w:rPr>
              <w:t>–25,76</w:t>
            </w:r>
          </w:p>
        </w:tc>
        <w:tc>
          <w:tcPr>
            <w:tcW w:w="979"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7"/>
              </w:tabs>
              <w:rPr>
                <w:sz w:val="18"/>
              </w:rPr>
            </w:pPr>
            <w:r>
              <w:rPr>
                <w:sz w:val="18"/>
              </w:rPr>
              <w:t>15,25</w:t>
            </w:r>
          </w:p>
        </w:tc>
        <w:tc>
          <w:tcPr>
            <w:tcW w:w="1118"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7"/>
              </w:tabs>
              <w:rPr>
                <w:sz w:val="18"/>
              </w:rPr>
            </w:pPr>
            <w:r>
              <w:rPr>
                <w:sz w:val="18"/>
              </w:rPr>
              <w:t>–32,06</w:t>
            </w:r>
          </w:p>
        </w:tc>
        <w:tc>
          <w:tcPr>
            <w:tcW w:w="2153" w:type="dxa"/>
            <w:gridSpan w:val="2"/>
            <w:vMerge/>
          </w:tcPr>
          <w:p w:rsidR="002B489A" w:rsidRDefault="002B489A">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80" w:after="80"/>
              <w:rPr>
                <w:sz w:val="18"/>
              </w:rPr>
            </w:pPr>
          </w:p>
        </w:tc>
      </w:tr>
      <w:tr w:rsidR="002B489A">
        <w:trPr>
          <w:cantSplit/>
        </w:trPr>
        <w:tc>
          <w:tcPr>
            <w:tcW w:w="3292" w:type="dxa"/>
          </w:tcPr>
          <w:p w:rsidR="002B489A" w:rsidRDefault="004F19C4">
            <w:pPr>
              <w:pStyle w:val="Tabletext"/>
              <w:framePr w:hSpace="181" w:wrap="notBeside" w:vAnchor="text" w:hAnchor="text" w:xAlign="center" w:y="1"/>
              <w:jc w:val="left"/>
              <w:rPr>
                <w:sz w:val="18"/>
              </w:rPr>
            </w:pPr>
            <w:r>
              <w:rPr>
                <w:sz w:val="18"/>
              </w:rPr>
              <w:t xml:space="preserve">Marge/seuil </w:t>
            </w:r>
            <w:r>
              <w:rPr>
                <w:i/>
                <w:iCs/>
                <w:sz w:val="18"/>
              </w:rPr>
              <w:t>B</w:t>
            </w:r>
            <w:r>
              <w:rPr>
                <w:i/>
                <w:iCs/>
                <w:sz w:val="18"/>
                <w:vertAlign w:val="subscript"/>
              </w:rPr>
              <w:t>N</w:t>
            </w:r>
            <w:r>
              <w:rPr>
                <w:sz w:val="18"/>
              </w:rPr>
              <w:t xml:space="preserve"> </w:t>
            </w:r>
            <w:r>
              <w:rPr>
                <w:rFonts w:ascii="Symbol" w:hAnsi="Symbol"/>
                <w:sz w:val="18"/>
              </w:rPr>
              <w:t></w:t>
            </w:r>
            <w:r>
              <w:rPr>
                <w:sz w:val="18"/>
              </w:rPr>
              <w:t xml:space="preserve"> 50 MHz (dB)</w:t>
            </w:r>
          </w:p>
        </w:tc>
        <w:tc>
          <w:tcPr>
            <w:tcW w:w="979"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sz w:val="18"/>
              </w:rPr>
            </w:pPr>
            <w:r>
              <w:rPr>
                <w:sz w:val="18"/>
              </w:rPr>
              <w:t>–15,86</w:t>
            </w:r>
          </w:p>
        </w:tc>
        <w:tc>
          <w:tcPr>
            <w:tcW w:w="1118"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sz w:val="18"/>
              </w:rPr>
            </w:pPr>
            <w:r>
              <w:rPr>
                <w:sz w:val="18"/>
              </w:rPr>
              <w:t>–22,76</w:t>
            </w:r>
          </w:p>
        </w:tc>
        <w:tc>
          <w:tcPr>
            <w:tcW w:w="979"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7"/>
              </w:tabs>
              <w:rPr>
                <w:sz w:val="18"/>
              </w:rPr>
            </w:pPr>
            <w:r>
              <w:rPr>
                <w:sz w:val="18"/>
              </w:rPr>
              <w:t>18,25</w:t>
            </w:r>
          </w:p>
        </w:tc>
        <w:tc>
          <w:tcPr>
            <w:tcW w:w="1118"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7"/>
              </w:tabs>
              <w:rPr>
                <w:sz w:val="18"/>
              </w:rPr>
            </w:pPr>
            <w:r>
              <w:rPr>
                <w:sz w:val="18"/>
              </w:rPr>
              <w:t>–29,06</w:t>
            </w:r>
          </w:p>
        </w:tc>
        <w:tc>
          <w:tcPr>
            <w:tcW w:w="2153" w:type="dxa"/>
            <w:gridSpan w:val="2"/>
            <w:vMerge/>
          </w:tcPr>
          <w:p w:rsidR="002B489A" w:rsidRDefault="002B489A">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80" w:after="80"/>
              <w:rPr>
                <w:sz w:val="18"/>
              </w:rPr>
            </w:pPr>
          </w:p>
        </w:tc>
      </w:tr>
    </w:tbl>
    <w:p w:rsidR="002B489A" w:rsidRDefault="002B489A">
      <w:pPr>
        <w:pStyle w:val="Tablefin"/>
      </w:pPr>
    </w:p>
    <w:p w:rsidR="002B489A" w:rsidRDefault="004F19C4">
      <w:r>
        <w:t>Pour le mode d'étalonnage de l'espace obscur, le seuil de brouillage est significativement dépassé sur une large gamme de distances géocentriques. Le mode d'étalonnage de l'espace obscur est plus vulnérable aux émissions provenant des systèmes SIS à cause de l'orientation spécifique de l'antenne d'étalonnage dédiée, dans la direction des orbites SIS. Noter que si l'étalonnage est contaminé par le brouillage, les données acquises sont également totalement invalides.</w:t>
      </w:r>
    </w:p>
    <w:p w:rsidR="002B489A" w:rsidRDefault="004F19C4">
      <w:r>
        <w:t>Le brouillage produit par le système OSG dépend fortement de la longueur de la liaison et de l'orientation de l'antenne SIS. Dans l'hypothèse adoptée, il n'y a pas de brouillage si le centre de la liaison est à une altitude supérieure à 8</w:t>
      </w:r>
      <w:r>
        <w:rPr>
          <w:rFonts w:ascii="Tms Rmn" w:hAnsi="Tms Rmn"/>
          <w:sz w:val="12"/>
        </w:rPr>
        <w:t> </w:t>
      </w:r>
      <w:r>
        <w:t>000 km au-dessus de la surface de la Terre.</w:t>
      </w:r>
    </w:p>
    <w:p w:rsidR="002B489A" w:rsidRDefault="004F19C4">
      <w:r>
        <w:t>On doit souligner qu'en fonction de l'orbite du satellite SIS, les conditions géométriques qui génèrent le brouillage peuvent se rencontrer pendant une durée considérable. Une simulation dynamique sera absolument nécessaire pour évaluer l'importance relative des configurations de brouillage sur un certain laps de temps.</w:t>
      </w:r>
    </w:p>
    <w:p w:rsidR="002B489A" w:rsidRDefault="004F19C4">
      <w:pPr>
        <w:pStyle w:val="Heading2"/>
      </w:pPr>
      <w:r>
        <w:br w:type="page"/>
        <w:t>4.4</w:t>
      </w:r>
      <w:r>
        <w:tab/>
        <w:t>Analyse du brouillage dynamique</w:t>
      </w:r>
    </w:p>
    <w:p w:rsidR="002B489A" w:rsidRDefault="004F19C4">
      <w:pPr>
        <w:rPr>
          <w:position w:val="2"/>
        </w:rPr>
      </w:pPr>
      <w:r>
        <w:t xml:space="preserve">En plus des cas statique et semi-statique ci-dessus, une analyse dynamique est nécessaire pour prendre en compte le pourcentage de temps pendant lequel se produit un brouillage. Comme </w:t>
      </w:r>
      <w:r>
        <w:rPr>
          <w:position w:val="2"/>
        </w:rPr>
        <w:t xml:space="preserve">indiqué ci-dessus, un seuil de </w:t>
      </w:r>
      <w:r>
        <w:rPr>
          <w:position w:val="2"/>
        </w:rPr>
        <w:sym w:font="Symbol" w:char="F02D"/>
      </w:r>
      <w:r>
        <w:rPr>
          <w:position w:val="2"/>
        </w:rPr>
        <w:t>163 dBW ne doit pas être dépassé pendant plus de 0,01% du temps dans une largeur de bande de 100 MHz.</w:t>
      </w:r>
    </w:p>
    <w:p w:rsidR="002B489A" w:rsidRDefault="004F19C4">
      <w:r>
        <w:t>Des simulations ont été faites pour déterminer la probabilité de brouillage en utilisant un élément de temps (échantillonnage) de 5 s afin d'obtenir des résultats précis. Les simulations sont arrêtées lorsque la fonction de distribution cumulée devient stable. De plus, on a noté que toutes les simulations présentées ci-après ne traitent que du satellite «en peigne» du sondeur de nadir, parce que les cas statique et semi-statique ci-dessus ont montré qu'il s'agit du cas le plus défavorable.</w:t>
      </w:r>
    </w:p>
    <w:p w:rsidR="002B489A" w:rsidRDefault="004F19C4">
      <w:pPr>
        <w:pStyle w:val="Heading3"/>
      </w:pPr>
      <w:r>
        <w:t>4.4.1</w:t>
      </w:r>
      <w:r>
        <w:tab/>
        <w:t>Modélisation de l'antenne en peigne</w:t>
      </w:r>
    </w:p>
    <w:p w:rsidR="002B489A" w:rsidRDefault="004F19C4">
      <w:r>
        <w:t xml:space="preserve">Comme expliqué ci-dessus, l'antenne en peigne peut voir une ligne complète de pixels localisée autour du nadir à </w:t>
      </w:r>
      <w:r>
        <w:rPr>
          <w:rFonts w:ascii="Symbol" w:hAnsi="Symbol"/>
        </w:rPr>
        <w:sym w:font="Symbol" w:char="F0B1"/>
      </w:r>
      <w:r>
        <w:rPr>
          <w:rFonts w:ascii="Tms Rmn" w:hAnsi="Tms Rmn"/>
          <w:sz w:val="12"/>
        </w:rPr>
        <w:t> </w:t>
      </w:r>
      <w:r>
        <w:t xml:space="preserve">50° pour l'azimut, et à </w:t>
      </w:r>
      <w:r>
        <w:rPr>
          <w:rFonts w:ascii="Symbol" w:hAnsi="Symbol"/>
        </w:rPr>
        <w:sym w:font="Symbol" w:char="F0B1"/>
      </w:r>
      <w:r>
        <w:rPr>
          <w:rFonts w:ascii="Tms Rmn" w:hAnsi="Tms Rmn"/>
          <w:sz w:val="12"/>
        </w:rPr>
        <w:t> </w:t>
      </w:r>
      <w:r>
        <w:t xml:space="preserve">0,55° pour l'élévation. Le gain d'antenne maximum est de 45 dBi et, comme il est habituel pour les antennes de radiomètres, il y a une forte décroissance de </w:t>
      </w:r>
      <w:r>
        <w:sym w:font="Symbol" w:char="F02D"/>
      </w:r>
      <w:r>
        <w:t>12 dBi sur le niveau du lobe latéral. La Fig. 39 suivante montre le diagramme d'antenne selon l'angle hors axe par rapport à l'azimut.</w:t>
      </w:r>
    </w:p>
    <w:p w:rsidR="002B489A" w:rsidRDefault="004F19C4">
      <w:pPr>
        <w:pStyle w:val="FigureNo"/>
      </w:pPr>
      <w:r>
        <w:object w:dxaOrig="4825" w:dyaOrig="2943">
          <v:shape id="_x0000_i1050" type="#_x0000_t75" style="width:241.5pt;height:147pt" o:ole="">
            <v:imagedata r:id="rId83" o:title=""/>
          </v:shape>
          <o:OLEObject Type="Embed" ProgID="Designer.Drawing.7" ShapeID="_x0000_i1050" DrawAspect="Content" ObjectID="_1649163296" r:id="rId84"/>
        </w:object>
      </w:r>
    </w:p>
    <w:p w:rsidR="002B489A" w:rsidRDefault="004F19C4">
      <w:pPr>
        <w:pStyle w:val="Heading3"/>
      </w:pPr>
      <w:r>
        <w:t>4.4.2</w:t>
      </w:r>
      <w:r>
        <w:tab/>
        <w:t>Calculs dynamiques avec le système Hib-Leo 2</w:t>
      </w:r>
    </w:p>
    <w:p w:rsidR="002B489A" w:rsidRDefault="004F19C4">
      <w:r>
        <w:t>La simulation faite se fonde sur une hypothèse simple: chaque satellite essaye de communiquer avec les quatre qui sont les plus proches dans la constellation. L'utilisation de la pleine largeur de bande est supposée, et les huit liaisons de chaque satellite sont supposées être en activité (4 liaisons pour émettre et 4 liaisons pour recevoir).</w:t>
      </w:r>
    </w:p>
    <w:p w:rsidR="002B489A" w:rsidRDefault="004F19C4">
      <w:pPr>
        <w:pStyle w:val="TableNo"/>
      </w:pPr>
      <w:r>
        <w:t>TABLEAU  44</w:t>
      </w:r>
    </w:p>
    <w:p w:rsidR="002B489A" w:rsidRDefault="004F19C4">
      <w:pPr>
        <w:pStyle w:val="Tabletitle"/>
      </w:pPr>
      <w:r>
        <w:t xml:space="preserve">Analyse dynamique entre les liaisons inter-satellites du système </w:t>
      </w:r>
      <w:r>
        <w:br/>
        <w:t>Hib-Leo 2 non OSG et un détecteur SETS de type en peigne</w:t>
      </w:r>
    </w:p>
    <w:tbl>
      <w:tblPr>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130"/>
        <w:gridCol w:w="787"/>
        <w:gridCol w:w="787"/>
        <w:gridCol w:w="787"/>
        <w:gridCol w:w="787"/>
        <w:gridCol w:w="787"/>
        <w:gridCol w:w="787"/>
        <w:gridCol w:w="787"/>
      </w:tblGrid>
      <w:tr w:rsidR="002B489A">
        <w:tc>
          <w:tcPr>
            <w:tcW w:w="4181" w:type="dxa"/>
            <w:vAlign w:val="center"/>
          </w:tcPr>
          <w:p w:rsidR="002B489A" w:rsidRDefault="004F19C4">
            <w:pPr>
              <w:pStyle w:val="Tabletext"/>
              <w:framePr w:hSpace="181" w:wrap="notBeside" w:vAnchor="text" w:hAnchor="text" w:xAlign="center" w:y="1"/>
            </w:pPr>
            <w:r>
              <w:t>Distribution cumulée (%)</w:t>
            </w:r>
          </w:p>
        </w:tc>
        <w:tc>
          <w:tcPr>
            <w:tcW w:w="794" w:type="dxa"/>
            <w:vAlign w:val="center"/>
          </w:tcPr>
          <w:p w:rsidR="002B489A" w:rsidRDefault="004F19C4">
            <w:pPr>
              <w:pStyle w:val="Tabletext"/>
              <w:framePr w:hSpace="181" w:wrap="notBeside" w:vAnchor="text" w:hAnchor="text" w:xAlign="center" w:y="1"/>
              <w:jc w:val="center"/>
            </w:pPr>
            <w:r>
              <w:t>100</w:t>
            </w:r>
          </w:p>
        </w:tc>
        <w:tc>
          <w:tcPr>
            <w:tcW w:w="794" w:type="dxa"/>
            <w:vAlign w:val="center"/>
          </w:tcPr>
          <w:p w:rsidR="002B489A" w:rsidRDefault="004F19C4">
            <w:pPr>
              <w:pStyle w:val="Tabletext"/>
              <w:framePr w:hSpace="181" w:wrap="notBeside" w:vAnchor="text" w:hAnchor="text" w:xAlign="center" w:y="1"/>
              <w:jc w:val="center"/>
            </w:pPr>
            <w:r>
              <w:t>23,2</w:t>
            </w:r>
          </w:p>
        </w:tc>
        <w:tc>
          <w:tcPr>
            <w:tcW w:w="794" w:type="dxa"/>
            <w:vAlign w:val="center"/>
          </w:tcPr>
          <w:p w:rsidR="002B489A" w:rsidRDefault="004F19C4">
            <w:pPr>
              <w:pStyle w:val="Tabletext"/>
              <w:framePr w:hSpace="181" w:wrap="notBeside" w:vAnchor="text" w:hAnchor="text" w:xAlign="center" w:y="1"/>
              <w:jc w:val="center"/>
            </w:pPr>
            <w:r>
              <w:t>10</w:t>
            </w:r>
          </w:p>
        </w:tc>
        <w:tc>
          <w:tcPr>
            <w:tcW w:w="794" w:type="dxa"/>
            <w:vAlign w:val="center"/>
          </w:tcPr>
          <w:p w:rsidR="002B489A" w:rsidRDefault="004F19C4">
            <w:pPr>
              <w:pStyle w:val="Tabletext"/>
              <w:framePr w:hSpace="181" w:wrap="notBeside" w:vAnchor="text" w:hAnchor="text" w:xAlign="center" w:y="1"/>
              <w:jc w:val="center"/>
            </w:pPr>
            <w:r>
              <w:t>1</w:t>
            </w:r>
          </w:p>
        </w:tc>
        <w:tc>
          <w:tcPr>
            <w:tcW w:w="794" w:type="dxa"/>
            <w:vAlign w:val="center"/>
          </w:tcPr>
          <w:p w:rsidR="002B489A" w:rsidRDefault="004F19C4">
            <w:pPr>
              <w:pStyle w:val="Tabletext"/>
              <w:framePr w:hSpace="181" w:wrap="notBeside" w:vAnchor="text" w:hAnchor="text" w:xAlign="center" w:y="1"/>
              <w:jc w:val="center"/>
            </w:pPr>
            <w:r>
              <w:t>0,1</w:t>
            </w:r>
          </w:p>
        </w:tc>
        <w:tc>
          <w:tcPr>
            <w:tcW w:w="794" w:type="dxa"/>
            <w:vAlign w:val="center"/>
          </w:tcPr>
          <w:p w:rsidR="002B489A" w:rsidRDefault="004F19C4">
            <w:pPr>
              <w:pStyle w:val="Tabletext"/>
              <w:framePr w:hSpace="181" w:wrap="notBeside" w:vAnchor="text" w:hAnchor="text" w:xAlign="center" w:y="1"/>
              <w:jc w:val="center"/>
            </w:pPr>
            <w:r>
              <w:t>0,01</w:t>
            </w:r>
          </w:p>
        </w:tc>
        <w:tc>
          <w:tcPr>
            <w:tcW w:w="794" w:type="dxa"/>
            <w:vAlign w:val="center"/>
          </w:tcPr>
          <w:p w:rsidR="002B489A" w:rsidRDefault="004F19C4">
            <w:pPr>
              <w:pStyle w:val="Tabletext"/>
              <w:framePr w:hSpace="181" w:wrap="notBeside" w:vAnchor="text" w:hAnchor="text" w:xAlign="center" w:y="1"/>
              <w:jc w:val="center"/>
            </w:pPr>
            <w:r>
              <w:t>0,008</w:t>
            </w:r>
          </w:p>
        </w:tc>
      </w:tr>
      <w:tr w:rsidR="002B489A">
        <w:tc>
          <w:tcPr>
            <w:tcW w:w="4181" w:type="dxa"/>
            <w:vAlign w:val="center"/>
          </w:tcPr>
          <w:p w:rsidR="002B489A" w:rsidRDefault="004F19C4">
            <w:pPr>
              <w:pStyle w:val="Tabletext"/>
              <w:framePr w:hSpace="181" w:wrap="notBeside" w:vAnchor="text" w:hAnchor="text" w:xAlign="center" w:y="1"/>
              <w:jc w:val="left"/>
            </w:pPr>
            <w:r>
              <w:t>Détecteur en peigne: puissance brouilleuse correspondante reçue par le SETS (dBW) (largeur de bande de 194 MHz)</w:t>
            </w:r>
          </w:p>
        </w:tc>
        <w:tc>
          <w:tcPr>
            <w:tcW w:w="794" w:type="dxa"/>
            <w:vAlign w:val="center"/>
          </w:tcPr>
          <w:p w:rsidR="002B489A" w:rsidRDefault="004F19C4">
            <w:pPr>
              <w:pStyle w:val="Tabletext"/>
              <w:framePr w:hSpace="181" w:wrap="notBeside" w:vAnchor="text" w:hAnchor="text" w:xAlign="center" w:y="1"/>
              <w:jc w:val="center"/>
            </w:pPr>
            <w:r>
              <w:sym w:font="Symbol" w:char="F02D"/>
            </w:r>
            <w:r>
              <w:t>177</w:t>
            </w:r>
          </w:p>
        </w:tc>
        <w:tc>
          <w:tcPr>
            <w:tcW w:w="794" w:type="dxa"/>
            <w:vAlign w:val="center"/>
          </w:tcPr>
          <w:p w:rsidR="002B489A" w:rsidRDefault="004F19C4">
            <w:pPr>
              <w:pStyle w:val="Tabletext"/>
              <w:framePr w:hSpace="181" w:wrap="notBeside" w:vAnchor="text" w:hAnchor="text" w:xAlign="center" w:y="1"/>
              <w:jc w:val="center"/>
            </w:pPr>
            <w:r>
              <w:sym w:font="Symbol" w:char="F02D"/>
            </w:r>
            <w:r>
              <w:t>163</w:t>
            </w:r>
          </w:p>
        </w:tc>
        <w:tc>
          <w:tcPr>
            <w:tcW w:w="794" w:type="dxa"/>
            <w:vAlign w:val="center"/>
          </w:tcPr>
          <w:p w:rsidR="002B489A" w:rsidRDefault="004F19C4">
            <w:pPr>
              <w:pStyle w:val="Tabletext"/>
              <w:framePr w:hSpace="181" w:wrap="notBeside" w:vAnchor="text" w:hAnchor="text" w:xAlign="center" w:y="1"/>
              <w:jc w:val="center"/>
            </w:pPr>
            <w:r>
              <w:sym w:font="Symbol" w:char="F02D"/>
            </w:r>
            <w:r>
              <w:t>160</w:t>
            </w:r>
          </w:p>
        </w:tc>
        <w:tc>
          <w:tcPr>
            <w:tcW w:w="794" w:type="dxa"/>
            <w:vAlign w:val="center"/>
          </w:tcPr>
          <w:p w:rsidR="002B489A" w:rsidRDefault="004F19C4">
            <w:pPr>
              <w:pStyle w:val="Tabletext"/>
              <w:framePr w:hSpace="181" w:wrap="notBeside" w:vAnchor="text" w:hAnchor="text" w:xAlign="center" w:y="1"/>
              <w:jc w:val="center"/>
            </w:pPr>
            <w:r>
              <w:sym w:font="Symbol" w:char="F02D"/>
            </w:r>
            <w:r>
              <w:t>154</w:t>
            </w:r>
          </w:p>
        </w:tc>
        <w:tc>
          <w:tcPr>
            <w:tcW w:w="794" w:type="dxa"/>
            <w:vAlign w:val="center"/>
          </w:tcPr>
          <w:p w:rsidR="002B489A" w:rsidRDefault="004F19C4">
            <w:pPr>
              <w:pStyle w:val="Tabletext"/>
              <w:framePr w:hSpace="181" w:wrap="notBeside" w:vAnchor="text" w:hAnchor="text" w:xAlign="center" w:y="1"/>
              <w:jc w:val="center"/>
            </w:pPr>
            <w:r>
              <w:sym w:font="Symbol" w:char="F02D"/>
            </w:r>
            <w:r>
              <w:t>146</w:t>
            </w:r>
          </w:p>
        </w:tc>
        <w:tc>
          <w:tcPr>
            <w:tcW w:w="794" w:type="dxa"/>
            <w:vAlign w:val="center"/>
          </w:tcPr>
          <w:p w:rsidR="002B489A" w:rsidRDefault="004F19C4">
            <w:pPr>
              <w:pStyle w:val="Tabletext"/>
              <w:framePr w:hSpace="181" w:wrap="notBeside" w:vAnchor="text" w:hAnchor="text" w:xAlign="center" w:y="1"/>
              <w:jc w:val="center"/>
            </w:pPr>
            <w:r>
              <w:sym w:font="Symbol" w:char="F02D"/>
            </w:r>
            <w:r>
              <w:t>105</w:t>
            </w:r>
          </w:p>
        </w:tc>
        <w:tc>
          <w:tcPr>
            <w:tcW w:w="794" w:type="dxa"/>
            <w:vAlign w:val="center"/>
          </w:tcPr>
          <w:p w:rsidR="002B489A" w:rsidRDefault="004F19C4">
            <w:pPr>
              <w:pStyle w:val="Tabletext"/>
              <w:framePr w:hSpace="181" w:wrap="notBeside" w:vAnchor="text" w:hAnchor="text" w:xAlign="center" w:y="1"/>
              <w:jc w:val="center"/>
            </w:pPr>
            <w:r>
              <w:sym w:font="Symbol" w:char="F02D"/>
            </w:r>
            <w:r>
              <w:t>102</w:t>
            </w:r>
          </w:p>
        </w:tc>
      </w:tr>
    </w:tbl>
    <w:p w:rsidR="002B489A" w:rsidRDefault="002B489A">
      <w:pPr>
        <w:pStyle w:val="Tablefin"/>
      </w:pPr>
    </w:p>
    <w:p w:rsidR="002B489A" w:rsidRDefault="004F19C4">
      <w:r>
        <w:br w:type="page"/>
        <w:t>Selon le Tableau 44, il y a un risque que le satellite SETS subisse un brouillage lorsque les liaisons inter-satellites fonctionnent (ou que le pourcentage de données brouillées soit au-dessus du pourcentage acceptable). En tenant compte de la largeur de bande relative, l'affaiblissement spectral requis est de 55,1 dB pour Hib-Leo 2.</w:t>
      </w:r>
    </w:p>
    <w:p w:rsidR="002B489A" w:rsidRDefault="004F19C4">
      <w:pPr>
        <w:pStyle w:val="Heading2"/>
      </w:pPr>
      <w:r>
        <w:t>4.5</w:t>
      </w:r>
      <w:r>
        <w:tab/>
        <w:t>Application du gabarit hors bande aux émissions SIS</w:t>
      </w:r>
    </w:p>
    <w:p w:rsidR="002B489A" w:rsidRDefault="004F19C4">
      <w:r>
        <w:t>Considérant maintenant que les systèmes SIS émettent sur leurs propres bandes de fréquences, la suppression de leur puissance émetteur au sein des bandes attribuées au service voisin SETS (passive) devrait être suffisante pour éviter un brouillage préjudiciable, par exemple de 61 dB pour le détecteur MEGHA-TROPIC (voir le Tableau 39) et jusqu'à 35 dB pour le détecteur en peigne (voir le Tableau 41).</w:t>
      </w:r>
    </w:p>
    <w:p w:rsidR="002B489A" w:rsidRDefault="004F19C4">
      <w:r>
        <w:t>La Fig. 40 représente la puissance tombant dans l'attribution SETS, selon la bande de garde. Pour couvrir les caractéristiques changeantes des émissions SIS, l'intégration glissante est effectuée pour trois valeurs de la bande passive, exprimées en pourcentage de la largeur de bande SIS nécessaire (1</w:t>
      </w:r>
      <w:r>
        <w:rPr>
          <w:rFonts w:ascii="Tms Rmn" w:hAnsi="Tms Rmn"/>
          <w:sz w:val="12"/>
        </w:rPr>
        <w:t> </w:t>
      </w:r>
      <w:r>
        <w:t>000, 100 et 50%). Il n'y a qu'une différence mineure entre les trois courbes.</w:t>
      </w:r>
    </w:p>
    <w:p w:rsidR="002B489A" w:rsidRDefault="004F19C4">
      <w:r>
        <w:t>Noter que, dans la Fig. 40, le décalage de fréquence est pris à partir du centre de la largeur de bande nécessaire. Donc le décalage de fréquence minimum est de la moitié de la largeur de bande nécessaire, c'est-à-dire 50%. Cette courbe servira à déterminer la séparation minimum entre le centre de la largeur de bande nécessaire et la limite inférieure de la bande attribuée au SETS, ce qui est nécessaire pour protéger le détecteur passif contre les rayonnements non désirés du SFS.</w:t>
      </w:r>
    </w:p>
    <w:p w:rsidR="002B489A" w:rsidRDefault="004F19C4">
      <w:pPr>
        <w:pStyle w:val="FigureNo"/>
        <w:spacing w:after="0"/>
      </w:pPr>
      <w:r>
        <w:object w:dxaOrig="8535" w:dyaOrig="7700">
          <v:shape id="_x0000_i1051" type="#_x0000_t75" style="width:427pt;height:384.5pt" o:ole="">
            <v:imagedata r:id="rId85" o:title=""/>
          </v:shape>
          <o:OLEObject Type="Embed" ProgID="Designer.Drawing.7" ShapeID="_x0000_i1051" DrawAspect="Content" ObjectID="_1649163297" r:id="rId86"/>
        </w:object>
      </w:r>
    </w:p>
    <w:p w:rsidR="002B489A" w:rsidRDefault="004F19C4">
      <w:r>
        <w:br w:type="page"/>
        <w:t>De plus, une séparation de 50 MHz est fournie par l'attribution aux services fixe et mobile entre les bandes attribuées au SIS et au SETS, dans la bande 23,55</w:t>
      </w:r>
      <w:r>
        <w:noBreakHyphen/>
        <w:t>23,6 GHz. La séparation de fréquence minimum entre le centre de la largeur de bande nécessaire qui est la référence dans le gabarit est donc</w:t>
      </w:r>
      <w:r>
        <w:rPr>
          <w:bCs/>
        </w:rPr>
        <w:t xml:space="preserve"> </w:t>
      </w:r>
      <w:r>
        <w:rPr>
          <w:bCs/>
          <w:i/>
          <w:iCs/>
        </w:rPr>
        <w:t>B</w:t>
      </w:r>
      <w:r>
        <w:rPr>
          <w:bCs/>
          <w:i/>
          <w:iCs/>
          <w:vertAlign w:val="subscript"/>
        </w:rPr>
        <w:t>N</w:t>
      </w:r>
      <w:r>
        <w:rPr>
          <w:bCs/>
        </w:rPr>
        <w:t xml:space="preserve">/2 </w:t>
      </w:r>
      <w:r>
        <w:rPr>
          <w:rFonts w:ascii="Symbol" w:hAnsi="Symbol"/>
          <w:bCs/>
        </w:rPr>
        <w:t></w:t>
      </w:r>
      <w:r>
        <w:rPr>
          <w:bCs/>
        </w:rPr>
        <w:t xml:space="preserve"> 50 MHz</w:t>
      </w:r>
      <w:r>
        <w:t>. La bande de garde supplémentaire requise est donc:</w:t>
      </w:r>
    </w:p>
    <w:p w:rsidR="002B489A" w:rsidRDefault="004F19C4">
      <w:pPr>
        <w:pStyle w:val="Equation"/>
      </w:pPr>
      <w:r>
        <w:tab/>
        <w:t xml:space="preserve">Décalage par rapport au centre de la largeur de bande </w:t>
      </w:r>
      <w:r>
        <w:rPr>
          <w:i/>
          <w:iCs/>
        </w:rPr>
        <w:t>B</w:t>
      </w:r>
      <w:r>
        <w:rPr>
          <w:i/>
          <w:iCs/>
          <w:vertAlign w:val="subscript"/>
        </w:rPr>
        <w:t>N</w:t>
      </w:r>
      <w:r>
        <w:t> – (</w:t>
      </w:r>
      <w:r>
        <w:rPr>
          <w:i/>
          <w:iCs/>
        </w:rPr>
        <w:t>B</w:t>
      </w:r>
      <w:r>
        <w:rPr>
          <w:i/>
          <w:iCs/>
          <w:vertAlign w:val="subscript"/>
        </w:rPr>
        <w:t>N</w:t>
      </w:r>
      <w:r>
        <w:t xml:space="preserve"> /2 </w:t>
      </w:r>
      <w:r>
        <w:rPr>
          <w:rFonts w:ascii="Symbol" w:hAnsi="Symbol"/>
        </w:rPr>
        <w:t></w:t>
      </w:r>
      <w:r>
        <w:t> 50 MHz)</w:t>
      </w:r>
    </w:p>
    <w:p w:rsidR="002B489A" w:rsidRDefault="004F19C4">
      <w:pPr>
        <w:pStyle w:val="Heading3"/>
      </w:pPr>
      <w:r>
        <w:t>4.5.1</w:t>
      </w:r>
      <w:r>
        <w:tab/>
        <w:t>Détecteur à balayage conique</w:t>
      </w:r>
    </w:p>
    <w:p w:rsidR="002B489A" w:rsidRDefault="004F19C4">
      <w:r>
        <w:t>Sur la base des résultats présentés dans les Tableaux 38 et 39, les Tableaux 45 et 46 présentent le décalage de fréquence minimum requis pour protéger le détecteur passif contre le brouillage généré par le système Hib-Leo 2.</w:t>
      </w:r>
    </w:p>
    <w:p w:rsidR="002B489A" w:rsidRDefault="002B489A"/>
    <w:p w:rsidR="002B489A" w:rsidRDefault="004F19C4">
      <w:pPr>
        <w:pStyle w:val="TableNo"/>
      </w:pPr>
      <w:r>
        <w:t>TABLEAU  45</w:t>
      </w:r>
    </w:p>
    <w:p w:rsidR="002B489A" w:rsidRDefault="004F19C4">
      <w:pPr>
        <w:pStyle w:val="Tabletitle"/>
      </w:pPr>
      <w:r>
        <w:t xml:space="preserve">Récapitulation des bandes de garde nécessaires pour protéger </w:t>
      </w:r>
      <w:r>
        <w:br/>
        <w:t>l'AMSR-E contre les liaisons Hib-Leo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51"/>
        <w:gridCol w:w="2152"/>
      </w:tblGrid>
      <w:tr w:rsidR="002B489A">
        <w:tc>
          <w:tcPr>
            <w:tcW w:w="4751" w:type="dxa"/>
          </w:tcPr>
          <w:p w:rsidR="002B489A" w:rsidRDefault="002B489A">
            <w:pPr>
              <w:pStyle w:val="Tablehead"/>
              <w:framePr w:hSpace="181" w:wrap="notBeside" w:vAnchor="text" w:hAnchor="text" w:xAlign="center" w:y="1"/>
            </w:pPr>
          </w:p>
        </w:tc>
        <w:tc>
          <w:tcPr>
            <w:tcW w:w="2152" w:type="dxa"/>
          </w:tcPr>
          <w:p w:rsidR="002B489A" w:rsidRDefault="004F19C4">
            <w:pPr>
              <w:pStyle w:val="Tablehead"/>
              <w:framePr w:hSpace="181" w:wrap="notBeside" w:vAnchor="text" w:hAnchor="text" w:xAlign="center" w:y="1"/>
            </w:pPr>
            <w:r>
              <w:t>Hib-Leo 2</w:t>
            </w:r>
          </w:p>
        </w:tc>
      </w:tr>
      <w:tr w:rsidR="002B489A">
        <w:tc>
          <w:tcPr>
            <w:tcW w:w="4751" w:type="dxa"/>
            <w:tcMar>
              <w:left w:w="85" w:type="dxa"/>
              <w:right w:w="85" w:type="dxa"/>
            </w:tcMar>
          </w:tcPr>
          <w:p w:rsidR="002B489A" w:rsidRDefault="004F19C4">
            <w:pPr>
              <w:pStyle w:val="Tabletext"/>
              <w:framePr w:hSpace="181" w:wrap="notBeside" w:vAnchor="text" w:hAnchor="text" w:xAlign="center" w:y="1"/>
              <w:jc w:val="left"/>
            </w:pPr>
            <w:r>
              <w:t>Suppression de puissance requise (dB)</w:t>
            </w:r>
          </w:p>
        </w:tc>
        <w:tc>
          <w:tcPr>
            <w:tcW w:w="2152" w:type="dxa"/>
          </w:tcPr>
          <w:p w:rsidR="002B489A" w:rsidRDefault="004F19C4">
            <w:pPr>
              <w:pStyle w:val="Tabletext"/>
              <w:framePr w:hSpace="181" w:wrap="notBeside" w:vAnchor="text" w:hAnchor="text" w:xAlign="center" w:y="1"/>
              <w:jc w:val="center"/>
            </w:pPr>
            <w:r>
              <w:t>0</w:t>
            </w:r>
          </w:p>
        </w:tc>
      </w:tr>
      <w:tr w:rsidR="002B489A">
        <w:tc>
          <w:tcPr>
            <w:tcW w:w="4751" w:type="dxa"/>
            <w:tcMar>
              <w:left w:w="85" w:type="dxa"/>
              <w:right w:w="85" w:type="dxa"/>
            </w:tcMar>
          </w:tcPr>
          <w:p w:rsidR="002B489A" w:rsidRDefault="004F19C4">
            <w:pPr>
              <w:pStyle w:val="Tabletext"/>
              <w:framePr w:hSpace="181" w:wrap="notBeside" w:vAnchor="text" w:hAnchor="text" w:xAlign="center" w:y="1"/>
              <w:jc w:val="left"/>
            </w:pPr>
            <w:r>
              <w:t>Largeur de bande nécessaire (MHz)</w:t>
            </w:r>
          </w:p>
        </w:tc>
        <w:tc>
          <w:tcPr>
            <w:tcW w:w="2152" w:type="dxa"/>
          </w:tcPr>
          <w:p w:rsidR="002B489A" w:rsidRDefault="004F19C4">
            <w:pPr>
              <w:pStyle w:val="Tabletext"/>
              <w:framePr w:hSpace="181" w:wrap="notBeside" w:vAnchor="text" w:hAnchor="text" w:xAlign="center" w:y="1"/>
              <w:jc w:val="center"/>
            </w:pPr>
            <w:r>
              <w:t>200</w:t>
            </w:r>
          </w:p>
        </w:tc>
      </w:tr>
      <w:tr w:rsidR="002B489A">
        <w:tc>
          <w:tcPr>
            <w:tcW w:w="4751" w:type="dxa"/>
            <w:tcMar>
              <w:left w:w="85" w:type="dxa"/>
              <w:right w:w="85" w:type="dxa"/>
            </w:tcMar>
          </w:tcPr>
          <w:p w:rsidR="002B489A" w:rsidRDefault="004F19C4">
            <w:pPr>
              <w:pStyle w:val="Tabletext"/>
              <w:framePr w:hSpace="181" w:wrap="notBeside" w:vAnchor="text" w:hAnchor="text" w:xAlign="center" w:y="1"/>
              <w:jc w:val="left"/>
            </w:pPr>
            <w:r>
              <w:t xml:space="preserve">Bande passive (% </w:t>
            </w:r>
            <w:r>
              <w:rPr>
                <w:i/>
                <w:iCs/>
              </w:rPr>
              <w:t>B</w:t>
            </w:r>
            <w:r>
              <w:rPr>
                <w:i/>
                <w:iCs/>
                <w:vertAlign w:val="subscript"/>
              </w:rPr>
              <w:t>N</w:t>
            </w:r>
            <w:r>
              <w:t>)</w:t>
            </w:r>
          </w:p>
        </w:tc>
        <w:tc>
          <w:tcPr>
            <w:tcW w:w="2152" w:type="dxa"/>
          </w:tcPr>
          <w:p w:rsidR="002B489A" w:rsidRDefault="004F19C4">
            <w:pPr>
              <w:pStyle w:val="Tabletext"/>
              <w:framePr w:hSpace="181" w:wrap="notBeside" w:vAnchor="text" w:hAnchor="text" w:xAlign="center" w:y="1"/>
              <w:jc w:val="center"/>
            </w:pPr>
            <w:r>
              <w:t>200</w:t>
            </w:r>
          </w:p>
        </w:tc>
      </w:tr>
      <w:tr w:rsidR="002B489A">
        <w:tc>
          <w:tcPr>
            <w:tcW w:w="4751" w:type="dxa"/>
            <w:tcMar>
              <w:left w:w="85" w:type="dxa"/>
              <w:right w:w="85" w:type="dxa"/>
            </w:tcMar>
          </w:tcPr>
          <w:p w:rsidR="002B489A" w:rsidRDefault="004F19C4">
            <w:pPr>
              <w:pStyle w:val="Tabletext"/>
              <w:framePr w:hSpace="181" w:wrap="notBeside" w:vAnchor="text" w:hAnchor="text" w:xAlign="center" w:y="1"/>
              <w:jc w:val="left"/>
            </w:pPr>
            <w:r>
              <w:t>Décalage par rapport à la bande centrale</w:t>
            </w:r>
            <w:r>
              <w:rPr>
                <w:i/>
                <w:iCs/>
              </w:rPr>
              <w:t xml:space="preserve"> B</w:t>
            </w:r>
            <w:r>
              <w:rPr>
                <w:i/>
                <w:iCs/>
                <w:vertAlign w:val="subscript"/>
              </w:rPr>
              <w:t>N</w:t>
            </w:r>
            <w:r>
              <w:t xml:space="preserve"> (% </w:t>
            </w:r>
            <w:r>
              <w:rPr>
                <w:i/>
                <w:iCs/>
              </w:rPr>
              <w:t>B</w:t>
            </w:r>
            <w:r>
              <w:rPr>
                <w:i/>
                <w:iCs/>
                <w:vertAlign w:val="subscript"/>
              </w:rPr>
              <w:t>N</w:t>
            </w:r>
            <w:r>
              <w:t>)</w:t>
            </w:r>
          </w:p>
        </w:tc>
        <w:tc>
          <w:tcPr>
            <w:tcW w:w="2152" w:type="dxa"/>
          </w:tcPr>
          <w:p w:rsidR="002B489A" w:rsidRDefault="004F19C4">
            <w:pPr>
              <w:pStyle w:val="Tabletext"/>
              <w:framePr w:hSpace="181" w:wrap="notBeside" w:vAnchor="text" w:hAnchor="text" w:xAlign="center" w:y="1"/>
              <w:jc w:val="center"/>
            </w:pPr>
            <w:r>
              <w:t>50</w:t>
            </w:r>
          </w:p>
        </w:tc>
      </w:tr>
      <w:tr w:rsidR="002B489A">
        <w:tc>
          <w:tcPr>
            <w:tcW w:w="4751" w:type="dxa"/>
            <w:tcMar>
              <w:left w:w="85" w:type="dxa"/>
              <w:right w:w="85" w:type="dxa"/>
            </w:tcMar>
          </w:tcPr>
          <w:p w:rsidR="002B489A" w:rsidRDefault="004F19C4">
            <w:pPr>
              <w:pStyle w:val="Tabletext"/>
              <w:framePr w:hSpace="181" w:wrap="notBeside" w:vAnchor="text" w:hAnchor="text" w:xAlign="center" w:y="1"/>
              <w:jc w:val="left"/>
            </w:pPr>
            <w:r>
              <w:t>Décalage par rapport à la bande centrale</w:t>
            </w:r>
            <w:r>
              <w:rPr>
                <w:i/>
                <w:iCs/>
              </w:rPr>
              <w:t xml:space="preserve"> B</w:t>
            </w:r>
            <w:r>
              <w:rPr>
                <w:i/>
                <w:iCs/>
                <w:vertAlign w:val="subscript"/>
              </w:rPr>
              <w:t>N</w:t>
            </w:r>
            <w:r>
              <w:t> (MHz)</w:t>
            </w:r>
          </w:p>
        </w:tc>
        <w:tc>
          <w:tcPr>
            <w:tcW w:w="2152" w:type="dxa"/>
          </w:tcPr>
          <w:p w:rsidR="002B489A" w:rsidRDefault="004F19C4">
            <w:pPr>
              <w:pStyle w:val="Tabletext"/>
              <w:framePr w:hSpace="181" w:wrap="notBeside" w:vAnchor="text" w:hAnchor="text" w:xAlign="center" w:y="1"/>
              <w:jc w:val="center"/>
            </w:pPr>
            <w:r>
              <w:t>100</w:t>
            </w:r>
          </w:p>
        </w:tc>
      </w:tr>
      <w:tr w:rsidR="002B489A">
        <w:tc>
          <w:tcPr>
            <w:tcW w:w="4751" w:type="dxa"/>
            <w:tcMar>
              <w:left w:w="85" w:type="dxa"/>
              <w:right w:w="85" w:type="dxa"/>
            </w:tcMar>
          </w:tcPr>
          <w:p w:rsidR="002B489A" w:rsidRDefault="004F19C4">
            <w:pPr>
              <w:pStyle w:val="Tabletext"/>
              <w:framePr w:hSpace="181" w:wrap="notBeside" w:vAnchor="text" w:hAnchor="text" w:xAlign="center" w:y="1"/>
              <w:jc w:val="left"/>
            </w:pPr>
            <w:r>
              <w:t>Bande de garde supplémentaire requise</w:t>
            </w:r>
            <w:r>
              <w:rPr>
                <w:i/>
                <w:iCs/>
              </w:rPr>
              <w:t xml:space="preserve"> </w:t>
            </w:r>
            <w:r>
              <w:t>(MHz)</w:t>
            </w:r>
          </w:p>
        </w:tc>
        <w:tc>
          <w:tcPr>
            <w:tcW w:w="2152" w:type="dxa"/>
          </w:tcPr>
          <w:p w:rsidR="002B489A" w:rsidRDefault="004F19C4">
            <w:pPr>
              <w:pStyle w:val="Tabletext"/>
              <w:framePr w:hSpace="181" w:wrap="notBeside" w:vAnchor="text" w:hAnchor="text" w:xAlign="center" w:y="1"/>
              <w:jc w:val="center"/>
            </w:pPr>
            <w:r>
              <w:t>0</w:t>
            </w:r>
          </w:p>
        </w:tc>
      </w:tr>
    </w:tbl>
    <w:p w:rsidR="002B489A" w:rsidRDefault="002B489A">
      <w:pPr>
        <w:pStyle w:val="Tablefin"/>
      </w:pPr>
    </w:p>
    <w:p w:rsidR="002B489A" w:rsidRDefault="004F19C4">
      <w:pPr>
        <w:pStyle w:val="TableNo"/>
      </w:pPr>
      <w:r>
        <w:t>TABLEAU  46</w:t>
      </w:r>
    </w:p>
    <w:p w:rsidR="002B489A" w:rsidRDefault="004F19C4">
      <w:pPr>
        <w:pStyle w:val="Tabletitle"/>
      </w:pPr>
      <w:r>
        <w:t xml:space="preserve">Récapitulation des bandes de garde nécessaires pour protéger </w:t>
      </w:r>
      <w:r>
        <w:br/>
        <w:t>MEGHA-TROPIC contre les liaisons Hib-Leo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33"/>
        <w:gridCol w:w="2138"/>
      </w:tblGrid>
      <w:tr w:rsidR="002B489A">
        <w:tc>
          <w:tcPr>
            <w:tcW w:w="4733" w:type="dxa"/>
          </w:tcPr>
          <w:p w:rsidR="002B489A" w:rsidRDefault="002B489A">
            <w:pPr>
              <w:pStyle w:val="Tablehead"/>
              <w:framePr w:hSpace="181" w:wrap="notBeside" w:vAnchor="text" w:hAnchor="text" w:xAlign="center" w:y="1"/>
            </w:pPr>
          </w:p>
        </w:tc>
        <w:tc>
          <w:tcPr>
            <w:tcW w:w="2138" w:type="dxa"/>
          </w:tcPr>
          <w:p w:rsidR="002B489A" w:rsidRDefault="004F19C4">
            <w:pPr>
              <w:pStyle w:val="Tablehead"/>
              <w:framePr w:hSpace="181" w:wrap="notBeside" w:vAnchor="text" w:hAnchor="text" w:xAlign="center" w:y="1"/>
            </w:pPr>
            <w:r>
              <w:t>Hib-Leo 2</w:t>
            </w:r>
          </w:p>
        </w:tc>
      </w:tr>
      <w:tr w:rsidR="002B489A">
        <w:tc>
          <w:tcPr>
            <w:tcW w:w="4733" w:type="dxa"/>
            <w:tcMar>
              <w:left w:w="85" w:type="dxa"/>
              <w:right w:w="85" w:type="dxa"/>
            </w:tcMar>
          </w:tcPr>
          <w:p w:rsidR="002B489A" w:rsidRDefault="004F19C4">
            <w:pPr>
              <w:pStyle w:val="Tabletext"/>
              <w:framePr w:hSpace="181" w:wrap="notBeside" w:vAnchor="text" w:hAnchor="text" w:xAlign="center" w:y="1"/>
              <w:jc w:val="left"/>
            </w:pPr>
            <w:r>
              <w:t>Suppression de puissance requise (dB)</w:t>
            </w:r>
          </w:p>
        </w:tc>
        <w:tc>
          <w:tcPr>
            <w:tcW w:w="2138" w:type="dxa"/>
          </w:tcPr>
          <w:p w:rsidR="002B489A" w:rsidRDefault="004F19C4">
            <w:pPr>
              <w:pStyle w:val="Tabletext"/>
              <w:framePr w:hSpace="181" w:wrap="notBeside" w:vAnchor="text" w:hAnchor="text" w:xAlign="center" w:y="1"/>
              <w:jc w:val="center"/>
            </w:pPr>
            <w:r>
              <w:t>57,6</w:t>
            </w:r>
          </w:p>
        </w:tc>
      </w:tr>
      <w:tr w:rsidR="002B489A">
        <w:tc>
          <w:tcPr>
            <w:tcW w:w="4733" w:type="dxa"/>
            <w:tcMar>
              <w:left w:w="85" w:type="dxa"/>
              <w:right w:w="85" w:type="dxa"/>
            </w:tcMar>
          </w:tcPr>
          <w:p w:rsidR="002B489A" w:rsidRDefault="004F19C4">
            <w:pPr>
              <w:pStyle w:val="Tabletext"/>
              <w:framePr w:hSpace="181" w:wrap="notBeside" w:vAnchor="text" w:hAnchor="text" w:xAlign="center" w:y="1"/>
              <w:jc w:val="left"/>
            </w:pPr>
            <w:r>
              <w:t>Largeur de bande nécessaire (MHz)</w:t>
            </w:r>
          </w:p>
        </w:tc>
        <w:tc>
          <w:tcPr>
            <w:tcW w:w="2138" w:type="dxa"/>
          </w:tcPr>
          <w:p w:rsidR="002B489A" w:rsidRDefault="004F19C4">
            <w:pPr>
              <w:pStyle w:val="Tabletext"/>
              <w:framePr w:hSpace="181" w:wrap="notBeside" w:vAnchor="text" w:hAnchor="text" w:xAlign="center" w:y="1"/>
              <w:jc w:val="center"/>
            </w:pPr>
            <w:r>
              <w:t>200</w:t>
            </w:r>
          </w:p>
        </w:tc>
      </w:tr>
      <w:tr w:rsidR="002B489A">
        <w:tc>
          <w:tcPr>
            <w:tcW w:w="4733" w:type="dxa"/>
            <w:tcMar>
              <w:left w:w="85" w:type="dxa"/>
              <w:right w:w="85" w:type="dxa"/>
            </w:tcMar>
          </w:tcPr>
          <w:p w:rsidR="002B489A" w:rsidRDefault="004F19C4">
            <w:pPr>
              <w:pStyle w:val="Tabletext"/>
              <w:framePr w:hSpace="181" w:wrap="notBeside" w:vAnchor="text" w:hAnchor="text" w:xAlign="center" w:y="1"/>
              <w:jc w:val="left"/>
            </w:pPr>
            <w:r>
              <w:t xml:space="preserve">Bande passive (% </w:t>
            </w:r>
            <w:r>
              <w:rPr>
                <w:i/>
                <w:iCs/>
              </w:rPr>
              <w:t>B</w:t>
            </w:r>
            <w:r>
              <w:rPr>
                <w:i/>
                <w:iCs/>
                <w:vertAlign w:val="subscript"/>
              </w:rPr>
              <w:t>N</w:t>
            </w:r>
            <w:r>
              <w:t>)</w:t>
            </w:r>
          </w:p>
        </w:tc>
        <w:tc>
          <w:tcPr>
            <w:tcW w:w="2138" w:type="dxa"/>
          </w:tcPr>
          <w:p w:rsidR="002B489A" w:rsidRDefault="004F19C4">
            <w:pPr>
              <w:pStyle w:val="Tabletext"/>
              <w:framePr w:hSpace="181" w:wrap="notBeside" w:vAnchor="text" w:hAnchor="text" w:xAlign="center" w:y="1"/>
              <w:jc w:val="center"/>
            </w:pPr>
            <w:r>
              <w:t>200</w:t>
            </w:r>
          </w:p>
        </w:tc>
      </w:tr>
      <w:tr w:rsidR="002B489A">
        <w:tc>
          <w:tcPr>
            <w:tcW w:w="4733" w:type="dxa"/>
            <w:tcMar>
              <w:left w:w="85" w:type="dxa"/>
              <w:right w:w="85" w:type="dxa"/>
            </w:tcMar>
          </w:tcPr>
          <w:p w:rsidR="002B489A" w:rsidRDefault="004F19C4">
            <w:pPr>
              <w:pStyle w:val="Tabletext"/>
              <w:framePr w:hSpace="181" w:wrap="notBeside" w:vAnchor="text" w:hAnchor="text" w:xAlign="center" w:y="1"/>
              <w:jc w:val="left"/>
            </w:pPr>
            <w:r>
              <w:t>Décalage par rapport à la bande centrale</w:t>
            </w:r>
            <w:r>
              <w:rPr>
                <w:i/>
                <w:iCs/>
              </w:rPr>
              <w:t xml:space="preserve"> B</w:t>
            </w:r>
            <w:r>
              <w:rPr>
                <w:i/>
                <w:iCs/>
                <w:vertAlign w:val="subscript"/>
              </w:rPr>
              <w:t>N</w:t>
            </w:r>
            <w:r>
              <w:t xml:space="preserve"> (% </w:t>
            </w:r>
            <w:r>
              <w:rPr>
                <w:i/>
                <w:iCs/>
              </w:rPr>
              <w:t>B</w:t>
            </w:r>
            <w:r>
              <w:rPr>
                <w:i/>
                <w:iCs/>
                <w:vertAlign w:val="subscript"/>
              </w:rPr>
              <w:t>N</w:t>
            </w:r>
            <w:r>
              <w:t>)</w:t>
            </w:r>
          </w:p>
        </w:tc>
        <w:tc>
          <w:tcPr>
            <w:tcW w:w="2138" w:type="dxa"/>
          </w:tcPr>
          <w:p w:rsidR="002B489A" w:rsidRDefault="004F19C4">
            <w:pPr>
              <w:pStyle w:val="Tabletext"/>
              <w:framePr w:hSpace="181" w:wrap="notBeside" w:vAnchor="text" w:hAnchor="text" w:xAlign="center" w:y="1"/>
              <w:jc w:val="center"/>
            </w:pPr>
            <w:r>
              <w:t>250</w:t>
            </w:r>
          </w:p>
        </w:tc>
      </w:tr>
      <w:tr w:rsidR="002B489A">
        <w:tc>
          <w:tcPr>
            <w:tcW w:w="4733" w:type="dxa"/>
            <w:tcMar>
              <w:left w:w="85" w:type="dxa"/>
              <w:right w:w="85" w:type="dxa"/>
            </w:tcMar>
          </w:tcPr>
          <w:p w:rsidR="002B489A" w:rsidRDefault="004F19C4">
            <w:pPr>
              <w:pStyle w:val="Tabletext"/>
              <w:framePr w:hSpace="181" w:wrap="notBeside" w:vAnchor="text" w:hAnchor="text" w:xAlign="center" w:y="1"/>
              <w:jc w:val="left"/>
            </w:pPr>
            <w:r>
              <w:t xml:space="preserve">Décalage par rapport à la bande centrale </w:t>
            </w:r>
            <w:r>
              <w:rPr>
                <w:i/>
                <w:iCs/>
              </w:rPr>
              <w:t>B</w:t>
            </w:r>
            <w:r>
              <w:rPr>
                <w:i/>
                <w:iCs/>
                <w:vertAlign w:val="subscript"/>
              </w:rPr>
              <w:t>N</w:t>
            </w:r>
            <w:r>
              <w:t> (MHz)</w:t>
            </w:r>
          </w:p>
        </w:tc>
        <w:tc>
          <w:tcPr>
            <w:tcW w:w="2138" w:type="dxa"/>
          </w:tcPr>
          <w:p w:rsidR="002B489A" w:rsidRDefault="004F19C4">
            <w:pPr>
              <w:pStyle w:val="Tabletext"/>
              <w:framePr w:hSpace="181" w:wrap="notBeside" w:vAnchor="text" w:hAnchor="text" w:xAlign="center" w:y="1"/>
              <w:jc w:val="center"/>
            </w:pPr>
            <w:r>
              <w:t>500</w:t>
            </w:r>
          </w:p>
        </w:tc>
      </w:tr>
      <w:tr w:rsidR="002B489A">
        <w:tc>
          <w:tcPr>
            <w:tcW w:w="4733" w:type="dxa"/>
            <w:tcMar>
              <w:left w:w="85" w:type="dxa"/>
              <w:right w:w="85" w:type="dxa"/>
            </w:tcMar>
          </w:tcPr>
          <w:p w:rsidR="002B489A" w:rsidRDefault="004F19C4">
            <w:pPr>
              <w:pStyle w:val="Tabletext"/>
              <w:framePr w:hSpace="181" w:wrap="notBeside" w:vAnchor="text" w:hAnchor="text" w:xAlign="center" w:y="1"/>
              <w:jc w:val="left"/>
            </w:pPr>
            <w:r>
              <w:t>Bande de garde supplémentaire requise (MHz)</w:t>
            </w:r>
          </w:p>
        </w:tc>
        <w:tc>
          <w:tcPr>
            <w:tcW w:w="2138" w:type="dxa"/>
          </w:tcPr>
          <w:p w:rsidR="002B489A" w:rsidRDefault="004F19C4">
            <w:pPr>
              <w:pStyle w:val="Tabletext"/>
              <w:framePr w:hSpace="181" w:wrap="notBeside" w:vAnchor="text" w:hAnchor="text" w:xAlign="center" w:y="1"/>
              <w:jc w:val="center"/>
            </w:pPr>
            <w:r>
              <w:t>350</w:t>
            </w:r>
          </w:p>
        </w:tc>
      </w:tr>
    </w:tbl>
    <w:p w:rsidR="002B489A" w:rsidRDefault="002B489A">
      <w:pPr>
        <w:pStyle w:val="Tablefin"/>
      </w:pPr>
    </w:p>
    <w:p w:rsidR="002B489A" w:rsidRDefault="002B489A">
      <w:pPr>
        <w:rPr>
          <w:lang w:val="en-GB"/>
        </w:rPr>
      </w:pPr>
    </w:p>
    <w:p w:rsidR="002B489A" w:rsidRDefault="004F19C4">
      <w:pPr>
        <w:pStyle w:val="TableNo"/>
      </w:pPr>
      <w:r>
        <w:br w:type="page"/>
        <w:t>TABLEAU  47</w:t>
      </w:r>
    </w:p>
    <w:p w:rsidR="002B489A" w:rsidRDefault="004F19C4">
      <w:pPr>
        <w:pStyle w:val="Tabletitle"/>
      </w:pPr>
      <w:r>
        <w:t xml:space="preserve">Récapitulation des bandes de garde nécessaires pour protéger </w:t>
      </w:r>
      <w:r>
        <w:br/>
        <w:t>ADEOS-II AMSR contre les liaisons Hib-Leo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5"/>
        <w:gridCol w:w="2113"/>
      </w:tblGrid>
      <w:tr w:rsidR="002B489A">
        <w:tc>
          <w:tcPr>
            <w:tcW w:w="4745" w:type="dxa"/>
            <w:tcMar>
              <w:left w:w="85" w:type="dxa"/>
              <w:right w:w="85" w:type="dxa"/>
            </w:tcMar>
          </w:tcPr>
          <w:p w:rsidR="002B489A" w:rsidRDefault="002B489A">
            <w:pPr>
              <w:pStyle w:val="Tablehead"/>
              <w:framePr w:hSpace="181" w:wrap="notBeside" w:vAnchor="text" w:hAnchor="text" w:xAlign="center" w:y="1"/>
            </w:pPr>
          </w:p>
        </w:tc>
        <w:tc>
          <w:tcPr>
            <w:tcW w:w="2113" w:type="dxa"/>
          </w:tcPr>
          <w:p w:rsidR="002B489A" w:rsidRDefault="004F19C4">
            <w:pPr>
              <w:pStyle w:val="Tablehead"/>
              <w:framePr w:hSpace="181" w:wrap="notBeside" w:vAnchor="text" w:hAnchor="text" w:xAlign="center" w:y="1"/>
            </w:pPr>
            <w:r>
              <w:t>Hib-Leo 2</w:t>
            </w:r>
          </w:p>
        </w:tc>
      </w:tr>
      <w:tr w:rsidR="002B489A">
        <w:tc>
          <w:tcPr>
            <w:tcW w:w="4745" w:type="dxa"/>
            <w:tcMar>
              <w:left w:w="85" w:type="dxa"/>
              <w:right w:w="85" w:type="dxa"/>
            </w:tcMar>
          </w:tcPr>
          <w:p w:rsidR="002B489A" w:rsidRDefault="004F19C4">
            <w:pPr>
              <w:pStyle w:val="Tabletext"/>
              <w:framePr w:hSpace="181" w:wrap="notBeside" w:vAnchor="text" w:hAnchor="text" w:xAlign="center" w:y="1"/>
              <w:jc w:val="left"/>
            </w:pPr>
            <w:r>
              <w:t>Suppression de puissance requise (dB)</w:t>
            </w:r>
          </w:p>
        </w:tc>
        <w:tc>
          <w:tcPr>
            <w:tcW w:w="2113" w:type="dxa"/>
          </w:tcPr>
          <w:p w:rsidR="002B489A" w:rsidRDefault="004F19C4">
            <w:pPr>
              <w:pStyle w:val="Tabletext"/>
              <w:framePr w:hSpace="181" w:wrap="notBeside" w:vAnchor="text" w:hAnchor="text" w:xAlign="center" w:y="1"/>
              <w:jc w:val="center"/>
            </w:pPr>
            <w:r>
              <w:t>61,5</w:t>
            </w:r>
          </w:p>
        </w:tc>
      </w:tr>
      <w:tr w:rsidR="002B489A">
        <w:tc>
          <w:tcPr>
            <w:tcW w:w="4745" w:type="dxa"/>
            <w:tcMar>
              <w:left w:w="85" w:type="dxa"/>
              <w:right w:w="85" w:type="dxa"/>
            </w:tcMar>
          </w:tcPr>
          <w:p w:rsidR="002B489A" w:rsidRDefault="004F19C4">
            <w:pPr>
              <w:pStyle w:val="Tabletext"/>
              <w:framePr w:hSpace="181" w:wrap="notBeside" w:vAnchor="text" w:hAnchor="text" w:xAlign="center" w:y="1"/>
              <w:jc w:val="left"/>
            </w:pPr>
            <w:r>
              <w:t>Largeur de bande nécessaire (MHz)</w:t>
            </w:r>
          </w:p>
        </w:tc>
        <w:tc>
          <w:tcPr>
            <w:tcW w:w="2113" w:type="dxa"/>
          </w:tcPr>
          <w:p w:rsidR="002B489A" w:rsidRDefault="004F19C4">
            <w:pPr>
              <w:pStyle w:val="Tabletext"/>
              <w:framePr w:hSpace="181" w:wrap="notBeside" w:vAnchor="text" w:hAnchor="text" w:xAlign="center" w:y="1"/>
              <w:jc w:val="center"/>
            </w:pPr>
            <w:r>
              <w:t>200</w:t>
            </w:r>
          </w:p>
        </w:tc>
      </w:tr>
      <w:tr w:rsidR="002B489A">
        <w:tc>
          <w:tcPr>
            <w:tcW w:w="4745" w:type="dxa"/>
            <w:tcMar>
              <w:left w:w="85" w:type="dxa"/>
              <w:right w:w="85" w:type="dxa"/>
            </w:tcMar>
          </w:tcPr>
          <w:p w:rsidR="002B489A" w:rsidRDefault="004F19C4">
            <w:pPr>
              <w:pStyle w:val="Tabletext"/>
              <w:framePr w:hSpace="181" w:wrap="notBeside" w:vAnchor="text" w:hAnchor="text" w:xAlign="center" w:y="1"/>
              <w:jc w:val="left"/>
            </w:pPr>
            <w:r>
              <w:t xml:space="preserve">Bande passive (% </w:t>
            </w:r>
            <w:r>
              <w:rPr>
                <w:i/>
                <w:iCs/>
              </w:rPr>
              <w:t>B</w:t>
            </w:r>
            <w:r>
              <w:rPr>
                <w:i/>
                <w:iCs/>
                <w:vertAlign w:val="subscript"/>
              </w:rPr>
              <w:t>N</w:t>
            </w:r>
            <w:r>
              <w:t>)</w:t>
            </w:r>
          </w:p>
        </w:tc>
        <w:tc>
          <w:tcPr>
            <w:tcW w:w="2113" w:type="dxa"/>
          </w:tcPr>
          <w:p w:rsidR="002B489A" w:rsidRDefault="004F19C4">
            <w:pPr>
              <w:pStyle w:val="Tabletext"/>
              <w:framePr w:hSpace="181" w:wrap="notBeside" w:vAnchor="text" w:hAnchor="text" w:xAlign="center" w:y="1"/>
              <w:jc w:val="center"/>
            </w:pPr>
            <w:r>
              <w:t>200</w:t>
            </w:r>
          </w:p>
        </w:tc>
      </w:tr>
      <w:tr w:rsidR="002B489A">
        <w:tc>
          <w:tcPr>
            <w:tcW w:w="4745" w:type="dxa"/>
            <w:tcMar>
              <w:left w:w="85" w:type="dxa"/>
              <w:right w:w="85" w:type="dxa"/>
            </w:tcMar>
          </w:tcPr>
          <w:p w:rsidR="002B489A" w:rsidRDefault="004F19C4">
            <w:pPr>
              <w:pStyle w:val="Tabletext"/>
              <w:framePr w:hSpace="181" w:wrap="notBeside" w:vAnchor="text" w:hAnchor="text" w:xAlign="center" w:y="1"/>
              <w:jc w:val="left"/>
            </w:pPr>
            <w:r>
              <w:t>Décalage par rapport à la bande centrale</w:t>
            </w:r>
            <w:r>
              <w:rPr>
                <w:i/>
                <w:iCs/>
              </w:rPr>
              <w:t xml:space="preserve"> B</w:t>
            </w:r>
            <w:r>
              <w:rPr>
                <w:i/>
                <w:iCs/>
                <w:vertAlign w:val="subscript"/>
              </w:rPr>
              <w:t>N</w:t>
            </w:r>
            <w:r>
              <w:t xml:space="preserve"> (% </w:t>
            </w:r>
            <w:r>
              <w:rPr>
                <w:i/>
                <w:iCs/>
              </w:rPr>
              <w:t>B</w:t>
            </w:r>
            <w:r>
              <w:rPr>
                <w:i/>
                <w:iCs/>
                <w:vertAlign w:val="subscript"/>
              </w:rPr>
              <w:t>N</w:t>
            </w:r>
            <w:r>
              <w:t>)</w:t>
            </w:r>
          </w:p>
        </w:tc>
        <w:tc>
          <w:tcPr>
            <w:tcW w:w="2113" w:type="dxa"/>
          </w:tcPr>
          <w:p w:rsidR="002B489A" w:rsidRDefault="004F19C4">
            <w:pPr>
              <w:pStyle w:val="Tabletext"/>
              <w:framePr w:hSpace="181" w:wrap="notBeside" w:vAnchor="text" w:hAnchor="text" w:xAlign="center" w:y="1"/>
              <w:jc w:val="center"/>
            </w:pPr>
            <w:r>
              <w:t>275</w:t>
            </w:r>
          </w:p>
        </w:tc>
      </w:tr>
      <w:tr w:rsidR="002B489A">
        <w:tc>
          <w:tcPr>
            <w:tcW w:w="4745" w:type="dxa"/>
            <w:tcMar>
              <w:left w:w="85" w:type="dxa"/>
              <w:right w:w="85" w:type="dxa"/>
            </w:tcMar>
          </w:tcPr>
          <w:p w:rsidR="002B489A" w:rsidRDefault="004F19C4">
            <w:pPr>
              <w:pStyle w:val="Tabletext"/>
              <w:framePr w:hSpace="181" w:wrap="notBeside" w:vAnchor="text" w:hAnchor="text" w:xAlign="center" w:y="1"/>
              <w:jc w:val="left"/>
            </w:pPr>
            <w:r>
              <w:t xml:space="preserve">Décalage par rapport à la bande centrale </w:t>
            </w:r>
            <w:r>
              <w:rPr>
                <w:i/>
                <w:iCs/>
              </w:rPr>
              <w:t>B</w:t>
            </w:r>
            <w:r>
              <w:rPr>
                <w:i/>
                <w:iCs/>
                <w:vertAlign w:val="subscript"/>
              </w:rPr>
              <w:t>N</w:t>
            </w:r>
            <w:r>
              <w:t> (MHz)</w:t>
            </w:r>
          </w:p>
        </w:tc>
        <w:tc>
          <w:tcPr>
            <w:tcW w:w="2113" w:type="dxa"/>
          </w:tcPr>
          <w:p w:rsidR="002B489A" w:rsidRDefault="004F19C4">
            <w:pPr>
              <w:pStyle w:val="Tabletext"/>
              <w:framePr w:hSpace="181" w:wrap="notBeside" w:vAnchor="text" w:hAnchor="text" w:xAlign="center" w:y="1"/>
              <w:jc w:val="center"/>
            </w:pPr>
            <w:r>
              <w:t>550</w:t>
            </w:r>
          </w:p>
        </w:tc>
      </w:tr>
      <w:tr w:rsidR="002B489A">
        <w:tc>
          <w:tcPr>
            <w:tcW w:w="4745" w:type="dxa"/>
            <w:tcMar>
              <w:left w:w="85" w:type="dxa"/>
              <w:right w:w="85" w:type="dxa"/>
            </w:tcMar>
          </w:tcPr>
          <w:p w:rsidR="002B489A" w:rsidRDefault="004F19C4">
            <w:pPr>
              <w:pStyle w:val="Tabletext"/>
              <w:framePr w:hSpace="181" w:wrap="notBeside" w:vAnchor="text" w:hAnchor="text" w:xAlign="center" w:y="1"/>
              <w:jc w:val="left"/>
            </w:pPr>
            <w:r>
              <w:t>Bande de garde supplémentaire requise (MHz)</w:t>
            </w:r>
          </w:p>
        </w:tc>
        <w:tc>
          <w:tcPr>
            <w:tcW w:w="2113" w:type="dxa"/>
          </w:tcPr>
          <w:p w:rsidR="002B489A" w:rsidRDefault="004F19C4">
            <w:pPr>
              <w:pStyle w:val="Tabletext"/>
              <w:framePr w:hSpace="181" w:wrap="notBeside" w:vAnchor="text" w:hAnchor="text" w:xAlign="center" w:y="1"/>
              <w:jc w:val="center"/>
            </w:pPr>
            <w:r>
              <w:t>400</w:t>
            </w:r>
          </w:p>
        </w:tc>
      </w:tr>
    </w:tbl>
    <w:p w:rsidR="002B489A" w:rsidRDefault="002B489A">
      <w:pPr>
        <w:pStyle w:val="Tablefin"/>
        <w:spacing w:before="0"/>
        <w:rPr>
          <w:sz w:val="12"/>
        </w:rPr>
      </w:pPr>
    </w:p>
    <w:p w:rsidR="002B489A" w:rsidRDefault="004F19C4">
      <w:pPr>
        <w:pStyle w:val="Heading3"/>
        <w:spacing w:before="240"/>
      </w:pPr>
      <w:r>
        <w:t>4.5.2</w:t>
      </w:r>
      <w:r>
        <w:tab/>
        <w:t>Détecteurs de nadir</w:t>
      </w:r>
    </w:p>
    <w:p w:rsidR="002B489A" w:rsidRDefault="004F19C4">
      <w:r>
        <w:t>Sur la base des résultats présentés dans les Tableaux 42 et 43, les Tableaux 48 à 50 et 51 à 53 présentent le décalage de fréquence minimum requis pour protéger le détecteur passif contre le brouillage généré par les systèmes fictifs présentés dans le Tableau 37. Dans chaque cas, la plus mauvaise des deux configurations, sondeur ou étalonnage, a été choisie pour déterminer le décalage minimum de fréquence requis.</w:t>
      </w:r>
    </w:p>
    <w:p w:rsidR="002B489A" w:rsidRDefault="004F19C4">
      <w:pPr>
        <w:pStyle w:val="TableNo"/>
      </w:pPr>
      <w:r>
        <w:t>TABLEAU  48</w:t>
      </w:r>
    </w:p>
    <w:p w:rsidR="002B489A" w:rsidRDefault="004F19C4">
      <w:pPr>
        <w:pStyle w:val="Tabletitle"/>
      </w:pPr>
      <w:r>
        <w:rPr>
          <w:bCs/>
        </w:rPr>
        <w:t>Ré</w:t>
      </w:r>
      <w:r>
        <w:t xml:space="preserve">capitulation des bandes de garde nécessaires pour protéger AMSU-A </w:t>
      </w:r>
      <w:r>
        <w:br/>
        <w:t>contre les liaisons SIS (largeur de bande nécessaire de 200 MHz)</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5"/>
        <w:gridCol w:w="1158"/>
        <w:gridCol w:w="1159"/>
        <w:gridCol w:w="1159"/>
        <w:gridCol w:w="1159"/>
        <w:gridCol w:w="1159"/>
      </w:tblGrid>
      <w:tr w:rsidR="002B489A">
        <w:tc>
          <w:tcPr>
            <w:tcW w:w="3765" w:type="dxa"/>
          </w:tcPr>
          <w:p w:rsidR="002B489A" w:rsidRDefault="002B489A">
            <w:pPr>
              <w:pStyle w:val="Tablehead"/>
              <w:framePr w:hSpace="181" w:wrap="notBeside" w:vAnchor="text" w:hAnchor="text" w:xAlign="center" w:y="1"/>
            </w:pPr>
          </w:p>
        </w:tc>
        <w:tc>
          <w:tcPr>
            <w:tcW w:w="1134" w:type="dxa"/>
          </w:tcPr>
          <w:p w:rsidR="002B489A" w:rsidRDefault="004F19C4">
            <w:pPr>
              <w:pStyle w:val="Tablehead"/>
              <w:framePr w:hSpace="181" w:wrap="notBeside" w:vAnchor="text" w:hAnchor="text" w:xAlign="center" w:y="1"/>
              <w:rPr>
                <w:lang w:val="es-ES"/>
              </w:rPr>
            </w:pPr>
            <w:r>
              <w:rPr>
                <w:lang w:val="es-ES"/>
              </w:rPr>
              <w:t>LEO-1</w:t>
            </w:r>
          </w:p>
        </w:tc>
        <w:tc>
          <w:tcPr>
            <w:tcW w:w="1134" w:type="dxa"/>
          </w:tcPr>
          <w:p w:rsidR="002B489A" w:rsidRDefault="004F19C4">
            <w:pPr>
              <w:pStyle w:val="Tablehead"/>
              <w:framePr w:hSpace="181" w:wrap="notBeside" w:vAnchor="text" w:hAnchor="text" w:xAlign="center" w:y="1"/>
              <w:rPr>
                <w:lang w:val="es-ES"/>
              </w:rPr>
            </w:pPr>
            <w:r>
              <w:rPr>
                <w:lang w:val="es-ES"/>
              </w:rPr>
              <w:t>LEO-2</w:t>
            </w:r>
          </w:p>
        </w:tc>
        <w:tc>
          <w:tcPr>
            <w:tcW w:w="1134" w:type="dxa"/>
          </w:tcPr>
          <w:p w:rsidR="002B489A" w:rsidRDefault="004F19C4">
            <w:pPr>
              <w:pStyle w:val="Tablehead"/>
              <w:framePr w:hSpace="181" w:wrap="notBeside" w:vAnchor="text" w:hAnchor="text" w:xAlign="center" w:y="1"/>
              <w:rPr>
                <w:lang w:val="es-ES"/>
              </w:rPr>
            </w:pPr>
            <w:r>
              <w:rPr>
                <w:lang w:val="es-ES"/>
              </w:rPr>
              <w:t>LEO-3</w:t>
            </w:r>
          </w:p>
        </w:tc>
        <w:tc>
          <w:tcPr>
            <w:tcW w:w="1134" w:type="dxa"/>
          </w:tcPr>
          <w:p w:rsidR="002B489A" w:rsidRDefault="004F19C4">
            <w:pPr>
              <w:pStyle w:val="Tablehead"/>
              <w:framePr w:hSpace="181" w:wrap="notBeside" w:vAnchor="text" w:hAnchor="text" w:xAlign="center" w:y="1"/>
            </w:pPr>
            <w:r>
              <w:t>LEO-4</w:t>
            </w:r>
          </w:p>
        </w:tc>
        <w:tc>
          <w:tcPr>
            <w:tcW w:w="1134" w:type="dxa"/>
          </w:tcPr>
          <w:p w:rsidR="002B489A" w:rsidRDefault="004F19C4">
            <w:pPr>
              <w:pStyle w:val="Tablehead"/>
              <w:framePr w:hSpace="181" w:wrap="notBeside" w:vAnchor="text" w:hAnchor="text" w:xAlign="center" w:y="1"/>
            </w:pPr>
            <w:r>
              <w:t>GEO</w:t>
            </w:r>
          </w:p>
        </w:tc>
      </w:tr>
      <w:tr w:rsidR="002B489A">
        <w:tc>
          <w:tcPr>
            <w:tcW w:w="3765" w:type="dxa"/>
            <w:tcMar>
              <w:left w:w="85" w:type="dxa"/>
              <w:right w:w="85" w:type="dxa"/>
            </w:tcMar>
          </w:tcPr>
          <w:p w:rsidR="002B489A" w:rsidRDefault="004F19C4">
            <w:pPr>
              <w:pStyle w:val="Tabletext"/>
              <w:framePr w:hSpace="181" w:wrap="notBeside" w:vAnchor="text" w:hAnchor="text" w:xAlign="center" w:y="1"/>
              <w:jc w:val="left"/>
            </w:pPr>
            <w:r>
              <w:t>Suppression de puissance requise (dB)</w:t>
            </w:r>
          </w:p>
        </w:tc>
        <w:tc>
          <w:tcPr>
            <w:tcW w:w="1134" w:type="dxa"/>
          </w:tcPr>
          <w:p w:rsidR="002B489A" w:rsidRDefault="004F19C4">
            <w:pPr>
              <w:pStyle w:val="Tabletext"/>
              <w:framePr w:hSpace="181" w:wrap="notBeside" w:vAnchor="text" w:hAnchor="text" w:xAlign="center" w:y="1"/>
              <w:jc w:val="center"/>
            </w:pPr>
            <w:r>
              <w:t>25,75</w:t>
            </w:r>
          </w:p>
        </w:tc>
        <w:tc>
          <w:tcPr>
            <w:tcW w:w="1134" w:type="dxa"/>
          </w:tcPr>
          <w:p w:rsidR="002B489A" w:rsidRDefault="004F19C4">
            <w:pPr>
              <w:pStyle w:val="Tabletext"/>
              <w:framePr w:hSpace="181" w:wrap="notBeside" w:vAnchor="text" w:hAnchor="text" w:xAlign="center" w:y="1"/>
              <w:jc w:val="center"/>
            </w:pPr>
            <w:r>
              <w:t>35,09</w:t>
            </w:r>
          </w:p>
        </w:tc>
        <w:tc>
          <w:tcPr>
            <w:tcW w:w="1134" w:type="dxa"/>
          </w:tcPr>
          <w:p w:rsidR="002B489A" w:rsidRDefault="004F19C4">
            <w:pPr>
              <w:pStyle w:val="Tabletext"/>
              <w:framePr w:hSpace="181" w:wrap="notBeside" w:vAnchor="text" w:hAnchor="text" w:xAlign="center" w:y="1"/>
              <w:jc w:val="center"/>
            </w:pPr>
            <w:r>
              <w:t>30,76</w:t>
            </w:r>
          </w:p>
        </w:tc>
        <w:tc>
          <w:tcPr>
            <w:tcW w:w="1134" w:type="dxa"/>
          </w:tcPr>
          <w:p w:rsidR="002B489A" w:rsidRDefault="004F19C4">
            <w:pPr>
              <w:pStyle w:val="Tabletext"/>
              <w:framePr w:hSpace="181" w:wrap="notBeside" w:vAnchor="text" w:hAnchor="text" w:xAlign="center" w:y="1"/>
              <w:jc w:val="center"/>
            </w:pPr>
            <w:r>
              <w:t>25,51</w:t>
            </w:r>
          </w:p>
        </w:tc>
        <w:tc>
          <w:tcPr>
            <w:tcW w:w="1134" w:type="dxa"/>
          </w:tcPr>
          <w:p w:rsidR="002B489A" w:rsidRDefault="004F19C4">
            <w:pPr>
              <w:pStyle w:val="Tabletext"/>
              <w:framePr w:hSpace="181" w:wrap="notBeside" w:vAnchor="text" w:hAnchor="text" w:xAlign="center" w:y="1"/>
              <w:jc w:val="center"/>
            </w:pPr>
            <w:r>
              <w:t>33,05</w:t>
            </w:r>
          </w:p>
        </w:tc>
      </w:tr>
      <w:tr w:rsidR="002B489A">
        <w:tc>
          <w:tcPr>
            <w:tcW w:w="3765" w:type="dxa"/>
            <w:tcMar>
              <w:left w:w="85" w:type="dxa"/>
              <w:right w:w="85" w:type="dxa"/>
            </w:tcMar>
          </w:tcPr>
          <w:p w:rsidR="002B489A" w:rsidRDefault="004F19C4">
            <w:pPr>
              <w:pStyle w:val="Tabletext"/>
              <w:framePr w:hSpace="181" w:wrap="notBeside" w:vAnchor="text" w:hAnchor="text" w:xAlign="center" w:y="1"/>
              <w:jc w:val="left"/>
            </w:pPr>
            <w:r>
              <w:t>Largeur de bande nécessaire (MHz)</w:t>
            </w:r>
          </w:p>
        </w:tc>
        <w:tc>
          <w:tcPr>
            <w:tcW w:w="1134" w:type="dxa"/>
            <w:gridSpan w:val="5"/>
          </w:tcPr>
          <w:p w:rsidR="002B489A" w:rsidRDefault="004F19C4">
            <w:pPr>
              <w:pStyle w:val="Tabletext"/>
              <w:framePr w:hSpace="181" w:wrap="notBeside" w:vAnchor="text" w:hAnchor="text" w:xAlign="center" w:y="1"/>
              <w:jc w:val="center"/>
            </w:pPr>
            <w:r>
              <w:t>200</w:t>
            </w:r>
          </w:p>
        </w:tc>
      </w:tr>
      <w:tr w:rsidR="002B489A">
        <w:tc>
          <w:tcPr>
            <w:tcW w:w="3765" w:type="dxa"/>
            <w:tcMar>
              <w:left w:w="85" w:type="dxa"/>
              <w:right w:w="85" w:type="dxa"/>
            </w:tcMar>
          </w:tcPr>
          <w:p w:rsidR="002B489A" w:rsidRDefault="004F19C4">
            <w:pPr>
              <w:pStyle w:val="Tabletext"/>
              <w:framePr w:hSpace="181" w:wrap="notBeside" w:vAnchor="text" w:hAnchor="text" w:xAlign="center" w:y="1"/>
              <w:jc w:val="left"/>
            </w:pPr>
            <w:r>
              <w:t xml:space="preserve">Bande passive (% </w:t>
            </w:r>
            <w:r>
              <w:rPr>
                <w:i/>
                <w:iCs/>
              </w:rPr>
              <w:t>B</w:t>
            </w:r>
            <w:r>
              <w:rPr>
                <w:i/>
                <w:iCs/>
                <w:vertAlign w:val="subscript"/>
              </w:rPr>
              <w:t>N</w:t>
            </w:r>
            <w:r>
              <w:t>)</w:t>
            </w:r>
          </w:p>
        </w:tc>
        <w:tc>
          <w:tcPr>
            <w:tcW w:w="1134" w:type="dxa"/>
            <w:gridSpan w:val="5"/>
          </w:tcPr>
          <w:p w:rsidR="002B489A" w:rsidRDefault="004F19C4">
            <w:pPr>
              <w:pStyle w:val="Tabletext"/>
              <w:framePr w:hSpace="181" w:wrap="notBeside" w:vAnchor="text" w:hAnchor="text" w:xAlign="center" w:y="1"/>
              <w:jc w:val="center"/>
            </w:pPr>
            <w:r>
              <w:t>200</w:t>
            </w:r>
          </w:p>
        </w:tc>
      </w:tr>
      <w:tr w:rsidR="002B489A">
        <w:tc>
          <w:tcPr>
            <w:tcW w:w="3765" w:type="dxa"/>
            <w:tcMar>
              <w:left w:w="85" w:type="dxa"/>
              <w:right w:w="85" w:type="dxa"/>
            </w:tcMar>
          </w:tcPr>
          <w:p w:rsidR="002B489A" w:rsidRDefault="004F19C4">
            <w:pPr>
              <w:pStyle w:val="Tabletext"/>
              <w:framePr w:hSpace="181" w:wrap="notBeside" w:vAnchor="text" w:hAnchor="text" w:xAlign="center" w:y="1"/>
              <w:jc w:val="left"/>
            </w:pPr>
            <w:r>
              <w:t xml:space="preserve">Décalage à la bande centrale </w:t>
            </w:r>
            <w:r>
              <w:rPr>
                <w:i/>
                <w:iCs/>
              </w:rPr>
              <w:t>B</w:t>
            </w:r>
            <w:r>
              <w:rPr>
                <w:i/>
                <w:iCs/>
                <w:vertAlign w:val="subscript"/>
              </w:rPr>
              <w:t>N</w:t>
            </w:r>
            <w:r>
              <w:t> (% </w:t>
            </w:r>
            <w:r>
              <w:rPr>
                <w:i/>
                <w:iCs/>
              </w:rPr>
              <w:t>B</w:t>
            </w:r>
            <w:r>
              <w:rPr>
                <w:i/>
                <w:iCs/>
                <w:vertAlign w:val="subscript"/>
              </w:rPr>
              <w:t>N</w:t>
            </w:r>
            <w:r>
              <w:t>)</w:t>
            </w:r>
          </w:p>
        </w:tc>
        <w:tc>
          <w:tcPr>
            <w:tcW w:w="1134" w:type="dxa"/>
          </w:tcPr>
          <w:p w:rsidR="002B489A" w:rsidRDefault="004F19C4">
            <w:pPr>
              <w:pStyle w:val="Tabletext"/>
              <w:framePr w:hSpace="181" w:wrap="notBeside" w:vAnchor="text" w:hAnchor="text" w:xAlign="center" w:y="1"/>
              <w:jc w:val="center"/>
            </w:pPr>
            <w:r>
              <w:t>76</w:t>
            </w:r>
          </w:p>
        </w:tc>
        <w:tc>
          <w:tcPr>
            <w:tcW w:w="1134" w:type="dxa"/>
          </w:tcPr>
          <w:p w:rsidR="002B489A" w:rsidRDefault="004F19C4">
            <w:pPr>
              <w:pStyle w:val="Tabletext"/>
              <w:framePr w:hSpace="181" w:wrap="notBeside" w:vAnchor="text" w:hAnchor="text" w:xAlign="center" w:y="1"/>
              <w:jc w:val="center"/>
            </w:pPr>
            <w:r>
              <w:t>92</w:t>
            </w:r>
          </w:p>
        </w:tc>
        <w:tc>
          <w:tcPr>
            <w:tcW w:w="1134" w:type="dxa"/>
          </w:tcPr>
          <w:p w:rsidR="002B489A" w:rsidRDefault="004F19C4">
            <w:pPr>
              <w:pStyle w:val="Tabletext"/>
              <w:framePr w:hSpace="181" w:wrap="notBeside" w:vAnchor="text" w:hAnchor="text" w:xAlign="center" w:y="1"/>
              <w:jc w:val="center"/>
            </w:pPr>
            <w:r>
              <w:t>84</w:t>
            </w:r>
          </w:p>
        </w:tc>
        <w:tc>
          <w:tcPr>
            <w:tcW w:w="1134" w:type="dxa"/>
          </w:tcPr>
          <w:p w:rsidR="002B489A" w:rsidRDefault="004F19C4">
            <w:pPr>
              <w:pStyle w:val="Tabletext"/>
              <w:framePr w:hSpace="181" w:wrap="notBeside" w:vAnchor="text" w:hAnchor="text" w:xAlign="center" w:y="1"/>
              <w:jc w:val="center"/>
            </w:pPr>
            <w:r>
              <w:t>76</w:t>
            </w:r>
          </w:p>
        </w:tc>
        <w:tc>
          <w:tcPr>
            <w:tcW w:w="1134" w:type="dxa"/>
          </w:tcPr>
          <w:p w:rsidR="002B489A" w:rsidRDefault="004F19C4">
            <w:pPr>
              <w:pStyle w:val="Tabletext"/>
              <w:framePr w:hSpace="181" w:wrap="notBeside" w:vAnchor="text" w:hAnchor="text" w:xAlign="center" w:y="1"/>
              <w:jc w:val="center"/>
            </w:pPr>
            <w:r>
              <w:t>87</w:t>
            </w:r>
          </w:p>
        </w:tc>
      </w:tr>
      <w:tr w:rsidR="002B489A">
        <w:tc>
          <w:tcPr>
            <w:tcW w:w="3765" w:type="dxa"/>
            <w:tcMar>
              <w:left w:w="85" w:type="dxa"/>
              <w:right w:w="85" w:type="dxa"/>
            </w:tcMar>
          </w:tcPr>
          <w:p w:rsidR="002B489A" w:rsidRDefault="004F19C4">
            <w:pPr>
              <w:pStyle w:val="Tabletext"/>
              <w:framePr w:hSpace="181" w:wrap="notBeside" w:vAnchor="text" w:hAnchor="text" w:xAlign="center" w:y="1"/>
              <w:jc w:val="left"/>
            </w:pPr>
            <w:r>
              <w:t xml:space="preserve">Décalage à la bande centrale </w:t>
            </w:r>
            <w:r>
              <w:rPr>
                <w:i/>
                <w:iCs/>
              </w:rPr>
              <w:t>B</w:t>
            </w:r>
            <w:r>
              <w:rPr>
                <w:i/>
                <w:iCs/>
                <w:vertAlign w:val="subscript"/>
              </w:rPr>
              <w:t>N</w:t>
            </w:r>
            <w:r>
              <w:t> (MHz)</w:t>
            </w:r>
          </w:p>
        </w:tc>
        <w:tc>
          <w:tcPr>
            <w:tcW w:w="1134" w:type="dxa"/>
          </w:tcPr>
          <w:p w:rsidR="002B489A" w:rsidRDefault="004F19C4">
            <w:pPr>
              <w:pStyle w:val="Tabletext"/>
              <w:framePr w:hSpace="181" w:wrap="notBeside" w:vAnchor="text" w:hAnchor="text" w:xAlign="center" w:y="1"/>
              <w:jc w:val="center"/>
            </w:pPr>
            <w:r>
              <w:t>152</w:t>
            </w:r>
          </w:p>
        </w:tc>
        <w:tc>
          <w:tcPr>
            <w:tcW w:w="1134" w:type="dxa"/>
          </w:tcPr>
          <w:p w:rsidR="002B489A" w:rsidRDefault="004F19C4">
            <w:pPr>
              <w:pStyle w:val="Tabletext"/>
              <w:framePr w:hSpace="181" w:wrap="notBeside" w:vAnchor="text" w:hAnchor="text" w:xAlign="center" w:y="1"/>
              <w:jc w:val="center"/>
            </w:pPr>
            <w:r>
              <w:t>184</w:t>
            </w:r>
          </w:p>
        </w:tc>
        <w:tc>
          <w:tcPr>
            <w:tcW w:w="1134" w:type="dxa"/>
          </w:tcPr>
          <w:p w:rsidR="002B489A" w:rsidRDefault="004F19C4">
            <w:pPr>
              <w:pStyle w:val="Tabletext"/>
              <w:framePr w:hSpace="181" w:wrap="notBeside" w:vAnchor="text" w:hAnchor="text" w:xAlign="center" w:y="1"/>
              <w:jc w:val="center"/>
            </w:pPr>
            <w:r>
              <w:t>168</w:t>
            </w:r>
          </w:p>
        </w:tc>
        <w:tc>
          <w:tcPr>
            <w:tcW w:w="1134" w:type="dxa"/>
          </w:tcPr>
          <w:p w:rsidR="002B489A" w:rsidRDefault="004F19C4">
            <w:pPr>
              <w:pStyle w:val="Tabletext"/>
              <w:framePr w:hSpace="181" w:wrap="notBeside" w:vAnchor="text" w:hAnchor="text" w:xAlign="center" w:y="1"/>
              <w:jc w:val="center"/>
            </w:pPr>
            <w:r>
              <w:t>152</w:t>
            </w:r>
          </w:p>
        </w:tc>
        <w:tc>
          <w:tcPr>
            <w:tcW w:w="1134" w:type="dxa"/>
          </w:tcPr>
          <w:p w:rsidR="002B489A" w:rsidRDefault="004F19C4">
            <w:pPr>
              <w:pStyle w:val="Tabletext"/>
              <w:framePr w:hSpace="181" w:wrap="notBeside" w:vAnchor="text" w:hAnchor="text" w:xAlign="center" w:y="1"/>
              <w:jc w:val="center"/>
            </w:pPr>
            <w:r>
              <w:t>174</w:t>
            </w:r>
          </w:p>
        </w:tc>
      </w:tr>
      <w:tr w:rsidR="002B489A">
        <w:tc>
          <w:tcPr>
            <w:tcW w:w="3765" w:type="dxa"/>
            <w:tcMar>
              <w:left w:w="85" w:type="dxa"/>
              <w:right w:w="85" w:type="dxa"/>
            </w:tcMar>
          </w:tcPr>
          <w:p w:rsidR="002B489A" w:rsidRDefault="004F19C4">
            <w:pPr>
              <w:pStyle w:val="Tabletext"/>
              <w:framePr w:hSpace="181" w:wrap="notBeside" w:vAnchor="text" w:hAnchor="text" w:xAlign="center" w:y="1"/>
              <w:jc w:val="left"/>
            </w:pPr>
            <w:r>
              <w:t>Bande de garde supplémentaire requise (MHz)</w:t>
            </w:r>
          </w:p>
        </w:tc>
        <w:tc>
          <w:tcPr>
            <w:tcW w:w="1134" w:type="dxa"/>
          </w:tcPr>
          <w:p w:rsidR="002B489A" w:rsidRDefault="004F19C4">
            <w:pPr>
              <w:pStyle w:val="Tabletext"/>
              <w:framePr w:hSpace="181" w:wrap="notBeside" w:vAnchor="text" w:hAnchor="text" w:xAlign="center" w:y="1"/>
              <w:jc w:val="center"/>
            </w:pPr>
            <w:r>
              <w:t>2</w:t>
            </w:r>
          </w:p>
        </w:tc>
        <w:tc>
          <w:tcPr>
            <w:tcW w:w="1134" w:type="dxa"/>
          </w:tcPr>
          <w:p w:rsidR="002B489A" w:rsidRDefault="004F19C4">
            <w:pPr>
              <w:pStyle w:val="Tabletext"/>
              <w:framePr w:hSpace="181" w:wrap="notBeside" w:vAnchor="text" w:hAnchor="text" w:xAlign="center" w:y="1"/>
              <w:jc w:val="center"/>
            </w:pPr>
            <w:r>
              <w:t>34</w:t>
            </w:r>
          </w:p>
        </w:tc>
        <w:tc>
          <w:tcPr>
            <w:tcW w:w="1134" w:type="dxa"/>
          </w:tcPr>
          <w:p w:rsidR="002B489A" w:rsidRDefault="004F19C4">
            <w:pPr>
              <w:pStyle w:val="Tabletext"/>
              <w:framePr w:hSpace="181" w:wrap="notBeside" w:vAnchor="text" w:hAnchor="text" w:xAlign="center" w:y="1"/>
              <w:jc w:val="center"/>
            </w:pPr>
            <w:r>
              <w:t>18</w:t>
            </w:r>
          </w:p>
        </w:tc>
        <w:tc>
          <w:tcPr>
            <w:tcW w:w="1134" w:type="dxa"/>
          </w:tcPr>
          <w:p w:rsidR="002B489A" w:rsidRDefault="004F19C4">
            <w:pPr>
              <w:pStyle w:val="Tabletext"/>
              <w:framePr w:hSpace="181" w:wrap="notBeside" w:vAnchor="text" w:hAnchor="text" w:xAlign="center" w:y="1"/>
              <w:jc w:val="center"/>
            </w:pPr>
            <w:r>
              <w:t>2</w:t>
            </w:r>
          </w:p>
        </w:tc>
        <w:tc>
          <w:tcPr>
            <w:tcW w:w="1134" w:type="dxa"/>
          </w:tcPr>
          <w:p w:rsidR="002B489A" w:rsidRDefault="004F19C4">
            <w:pPr>
              <w:pStyle w:val="Tabletext"/>
              <w:framePr w:hSpace="181" w:wrap="notBeside" w:vAnchor="text" w:hAnchor="text" w:xAlign="center" w:y="1"/>
              <w:jc w:val="center"/>
            </w:pPr>
            <w:r>
              <w:t>14</w:t>
            </w:r>
          </w:p>
        </w:tc>
      </w:tr>
    </w:tbl>
    <w:p w:rsidR="002B489A" w:rsidRDefault="002B489A">
      <w:pPr>
        <w:pStyle w:val="Tablefin"/>
        <w:spacing w:before="0"/>
        <w:rPr>
          <w:sz w:val="12"/>
        </w:rPr>
      </w:pPr>
    </w:p>
    <w:p w:rsidR="002B489A" w:rsidRDefault="004F19C4">
      <w:pPr>
        <w:pStyle w:val="TableNo"/>
      </w:pPr>
      <w:r>
        <w:t>TABLEAU  49</w:t>
      </w:r>
    </w:p>
    <w:p w:rsidR="002B489A" w:rsidRDefault="004F19C4">
      <w:pPr>
        <w:pStyle w:val="Tabletitle"/>
      </w:pPr>
      <w:r>
        <w:rPr>
          <w:bCs/>
        </w:rPr>
        <w:t>Ré</w:t>
      </w:r>
      <w:r>
        <w:t xml:space="preserve">capitulation des bandes de garde nécessaires pour protéger AMSU-A </w:t>
      </w:r>
      <w:r>
        <w:br/>
        <w:t>contre les liaisons SIS (largeur de bande nécessaire de 100 MHz)</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5"/>
        <w:gridCol w:w="1158"/>
        <w:gridCol w:w="1159"/>
        <w:gridCol w:w="1159"/>
        <w:gridCol w:w="1159"/>
        <w:gridCol w:w="1159"/>
      </w:tblGrid>
      <w:tr w:rsidR="002B489A">
        <w:tc>
          <w:tcPr>
            <w:tcW w:w="3765" w:type="dxa"/>
            <w:tcMar>
              <w:left w:w="85" w:type="dxa"/>
              <w:right w:w="85" w:type="dxa"/>
            </w:tcMar>
          </w:tcPr>
          <w:p w:rsidR="002B489A" w:rsidRDefault="002B489A">
            <w:pPr>
              <w:pStyle w:val="Tabletext"/>
            </w:pPr>
          </w:p>
        </w:tc>
        <w:tc>
          <w:tcPr>
            <w:tcW w:w="1134" w:type="dxa"/>
          </w:tcPr>
          <w:p w:rsidR="002B489A" w:rsidRDefault="004F19C4">
            <w:pPr>
              <w:pStyle w:val="Tablehead"/>
              <w:rPr>
                <w:lang w:val="es-ES"/>
              </w:rPr>
            </w:pPr>
            <w:r>
              <w:rPr>
                <w:lang w:val="es-ES"/>
              </w:rPr>
              <w:t>LEO-1</w:t>
            </w:r>
          </w:p>
        </w:tc>
        <w:tc>
          <w:tcPr>
            <w:tcW w:w="1134" w:type="dxa"/>
          </w:tcPr>
          <w:p w:rsidR="002B489A" w:rsidRDefault="004F19C4">
            <w:pPr>
              <w:pStyle w:val="Tablehead"/>
              <w:rPr>
                <w:lang w:val="es-ES"/>
              </w:rPr>
            </w:pPr>
            <w:r>
              <w:rPr>
                <w:lang w:val="es-ES"/>
              </w:rPr>
              <w:t>LEO-2</w:t>
            </w:r>
          </w:p>
        </w:tc>
        <w:tc>
          <w:tcPr>
            <w:tcW w:w="1134" w:type="dxa"/>
          </w:tcPr>
          <w:p w:rsidR="002B489A" w:rsidRDefault="004F19C4">
            <w:pPr>
              <w:pStyle w:val="Tablehead"/>
              <w:rPr>
                <w:lang w:val="es-ES"/>
              </w:rPr>
            </w:pPr>
            <w:r>
              <w:rPr>
                <w:lang w:val="es-ES"/>
              </w:rPr>
              <w:t>LEO-3</w:t>
            </w:r>
          </w:p>
        </w:tc>
        <w:tc>
          <w:tcPr>
            <w:tcW w:w="1134" w:type="dxa"/>
          </w:tcPr>
          <w:p w:rsidR="002B489A" w:rsidRDefault="004F19C4">
            <w:pPr>
              <w:pStyle w:val="Tablehead"/>
            </w:pPr>
            <w:r>
              <w:t>LEO-4</w:t>
            </w:r>
          </w:p>
        </w:tc>
        <w:tc>
          <w:tcPr>
            <w:tcW w:w="1134" w:type="dxa"/>
          </w:tcPr>
          <w:p w:rsidR="002B489A" w:rsidRDefault="004F19C4">
            <w:pPr>
              <w:pStyle w:val="Tablehead"/>
            </w:pPr>
            <w:r>
              <w:t>GEO</w:t>
            </w:r>
          </w:p>
        </w:tc>
      </w:tr>
      <w:tr w:rsidR="002B489A">
        <w:tc>
          <w:tcPr>
            <w:tcW w:w="3765" w:type="dxa"/>
            <w:tcMar>
              <w:left w:w="85" w:type="dxa"/>
              <w:right w:w="85" w:type="dxa"/>
            </w:tcMar>
          </w:tcPr>
          <w:p w:rsidR="002B489A" w:rsidRDefault="004F19C4">
            <w:pPr>
              <w:pStyle w:val="Tabletext"/>
            </w:pPr>
            <w:r>
              <w:t>Suppression de puissance requise (dB)</w:t>
            </w:r>
          </w:p>
        </w:tc>
        <w:tc>
          <w:tcPr>
            <w:tcW w:w="1134" w:type="dxa"/>
          </w:tcPr>
          <w:p w:rsidR="002B489A" w:rsidRDefault="004F19C4">
            <w:pPr>
              <w:pStyle w:val="Tabletext"/>
              <w:jc w:val="center"/>
            </w:pPr>
            <w:r>
              <w:t>25,75</w:t>
            </w:r>
          </w:p>
        </w:tc>
        <w:tc>
          <w:tcPr>
            <w:tcW w:w="1134" w:type="dxa"/>
          </w:tcPr>
          <w:p w:rsidR="002B489A" w:rsidRDefault="004F19C4">
            <w:pPr>
              <w:pStyle w:val="Tabletext"/>
              <w:jc w:val="center"/>
            </w:pPr>
            <w:r>
              <w:t>35,09</w:t>
            </w:r>
          </w:p>
        </w:tc>
        <w:tc>
          <w:tcPr>
            <w:tcW w:w="1134" w:type="dxa"/>
          </w:tcPr>
          <w:p w:rsidR="002B489A" w:rsidRDefault="004F19C4">
            <w:pPr>
              <w:pStyle w:val="Tabletext"/>
              <w:jc w:val="center"/>
            </w:pPr>
            <w:r>
              <w:t>30,76</w:t>
            </w:r>
          </w:p>
        </w:tc>
        <w:tc>
          <w:tcPr>
            <w:tcW w:w="1134" w:type="dxa"/>
          </w:tcPr>
          <w:p w:rsidR="002B489A" w:rsidRDefault="004F19C4">
            <w:pPr>
              <w:pStyle w:val="Tabletext"/>
              <w:jc w:val="center"/>
            </w:pPr>
            <w:r>
              <w:t>25,51</w:t>
            </w:r>
          </w:p>
        </w:tc>
        <w:tc>
          <w:tcPr>
            <w:tcW w:w="1134" w:type="dxa"/>
          </w:tcPr>
          <w:p w:rsidR="002B489A" w:rsidRDefault="004F19C4">
            <w:pPr>
              <w:pStyle w:val="Tabletext"/>
              <w:jc w:val="center"/>
            </w:pPr>
            <w:r>
              <w:t>33,05</w:t>
            </w:r>
          </w:p>
        </w:tc>
      </w:tr>
      <w:tr w:rsidR="002B489A">
        <w:tc>
          <w:tcPr>
            <w:tcW w:w="3765" w:type="dxa"/>
            <w:tcMar>
              <w:left w:w="85" w:type="dxa"/>
              <w:right w:w="85" w:type="dxa"/>
            </w:tcMar>
          </w:tcPr>
          <w:p w:rsidR="002B489A" w:rsidRDefault="004F19C4">
            <w:pPr>
              <w:pStyle w:val="Tabletext"/>
            </w:pPr>
            <w:r>
              <w:t>Largeur de bande nécessaire (MHz)</w:t>
            </w:r>
          </w:p>
        </w:tc>
        <w:tc>
          <w:tcPr>
            <w:tcW w:w="1134" w:type="dxa"/>
            <w:gridSpan w:val="5"/>
          </w:tcPr>
          <w:p w:rsidR="002B489A" w:rsidRDefault="004F19C4">
            <w:pPr>
              <w:pStyle w:val="Tabletext"/>
              <w:jc w:val="center"/>
            </w:pPr>
            <w:r>
              <w:t>100</w:t>
            </w:r>
          </w:p>
        </w:tc>
      </w:tr>
      <w:tr w:rsidR="002B489A">
        <w:tc>
          <w:tcPr>
            <w:tcW w:w="3765" w:type="dxa"/>
            <w:tcMar>
              <w:left w:w="85" w:type="dxa"/>
              <w:right w:w="85" w:type="dxa"/>
            </w:tcMar>
          </w:tcPr>
          <w:p w:rsidR="002B489A" w:rsidRDefault="004F19C4">
            <w:pPr>
              <w:pStyle w:val="Tabletext"/>
            </w:pPr>
            <w:r>
              <w:t xml:space="preserve">Bande passive (% </w:t>
            </w:r>
            <w:r>
              <w:rPr>
                <w:i/>
                <w:iCs/>
              </w:rPr>
              <w:t>B</w:t>
            </w:r>
            <w:r>
              <w:rPr>
                <w:i/>
                <w:iCs/>
                <w:vertAlign w:val="subscript"/>
              </w:rPr>
              <w:t>N</w:t>
            </w:r>
            <w:r>
              <w:t>)</w:t>
            </w:r>
          </w:p>
        </w:tc>
        <w:tc>
          <w:tcPr>
            <w:tcW w:w="1134" w:type="dxa"/>
            <w:gridSpan w:val="5"/>
          </w:tcPr>
          <w:p w:rsidR="002B489A" w:rsidRDefault="004F19C4">
            <w:pPr>
              <w:pStyle w:val="Tabletext"/>
              <w:jc w:val="center"/>
            </w:pPr>
            <w:r>
              <w:t>400</w:t>
            </w:r>
          </w:p>
        </w:tc>
      </w:tr>
      <w:tr w:rsidR="002B489A">
        <w:tc>
          <w:tcPr>
            <w:tcW w:w="3765" w:type="dxa"/>
            <w:tcMar>
              <w:left w:w="85" w:type="dxa"/>
              <w:right w:w="85" w:type="dxa"/>
            </w:tcMar>
          </w:tcPr>
          <w:p w:rsidR="002B489A" w:rsidRDefault="004F19C4">
            <w:pPr>
              <w:pStyle w:val="Tabletext"/>
            </w:pPr>
            <w:r>
              <w:t>Décalage à la bande centrale</w:t>
            </w:r>
            <w:r>
              <w:rPr>
                <w:i/>
                <w:iCs/>
              </w:rPr>
              <w:t xml:space="preserve"> B</w:t>
            </w:r>
            <w:r>
              <w:rPr>
                <w:i/>
                <w:iCs/>
                <w:vertAlign w:val="subscript"/>
              </w:rPr>
              <w:t>N</w:t>
            </w:r>
            <w:r>
              <w:t xml:space="preserve"> (% </w:t>
            </w:r>
            <w:r>
              <w:rPr>
                <w:i/>
                <w:iCs/>
              </w:rPr>
              <w:t>B</w:t>
            </w:r>
            <w:r>
              <w:rPr>
                <w:i/>
                <w:iCs/>
                <w:vertAlign w:val="subscript"/>
              </w:rPr>
              <w:t>N</w:t>
            </w:r>
            <w:r>
              <w:t>)</w:t>
            </w:r>
          </w:p>
        </w:tc>
        <w:tc>
          <w:tcPr>
            <w:tcW w:w="1134" w:type="dxa"/>
          </w:tcPr>
          <w:p w:rsidR="002B489A" w:rsidRDefault="004F19C4">
            <w:pPr>
              <w:pStyle w:val="Tabletext"/>
              <w:jc w:val="center"/>
            </w:pPr>
            <w:r>
              <w:t>76</w:t>
            </w:r>
          </w:p>
        </w:tc>
        <w:tc>
          <w:tcPr>
            <w:tcW w:w="1134" w:type="dxa"/>
          </w:tcPr>
          <w:p w:rsidR="002B489A" w:rsidRDefault="004F19C4">
            <w:pPr>
              <w:pStyle w:val="Tabletext"/>
              <w:jc w:val="center"/>
            </w:pPr>
            <w:r>
              <w:t>92</w:t>
            </w:r>
          </w:p>
        </w:tc>
        <w:tc>
          <w:tcPr>
            <w:tcW w:w="1134" w:type="dxa"/>
          </w:tcPr>
          <w:p w:rsidR="002B489A" w:rsidRDefault="004F19C4">
            <w:pPr>
              <w:pStyle w:val="Tabletext"/>
              <w:jc w:val="center"/>
            </w:pPr>
            <w:r>
              <w:t>84</w:t>
            </w:r>
          </w:p>
        </w:tc>
        <w:tc>
          <w:tcPr>
            <w:tcW w:w="1134" w:type="dxa"/>
          </w:tcPr>
          <w:p w:rsidR="002B489A" w:rsidRDefault="004F19C4">
            <w:pPr>
              <w:pStyle w:val="Tabletext"/>
              <w:jc w:val="center"/>
            </w:pPr>
            <w:r>
              <w:t>76</w:t>
            </w:r>
          </w:p>
        </w:tc>
        <w:tc>
          <w:tcPr>
            <w:tcW w:w="1134" w:type="dxa"/>
          </w:tcPr>
          <w:p w:rsidR="002B489A" w:rsidRDefault="004F19C4">
            <w:pPr>
              <w:pStyle w:val="Tabletext"/>
              <w:jc w:val="center"/>
            </w:pPr>
            <w:r>
              <w:t>87</w:t>
            </w:r>
          </w:p>
        </w:tc>
      </w:tr>
      <w:tr w:rsidR="002B489A">
        <w:tc>
          <w:tcPr>
            <w:tcW w:w="3765" w:type="dxa"/>
            <w:tcMar>
              <w:left w:w="85" w:type="dxa"/>
              <w:right w:w="85" w:type="dxa"/>
            </w:tcMar>
          </w:tcPr>
          <w:p w:rsidR="002B489A" w:rsidRDefault="004F19C4">
            <w:pPr>
              <w:pStyle w:val="Tabletext"/>
            </w:pPr>
            <w:r>
              <w:t xml:space="preserve">Décalage à la bande centrale </w:t>
            </w:r>
            <w:r>
              <w:rPr>
                <w:i/>
                <w:iCs/>
              </w:rPr>
              <w:t>B</w:t>
            </w:r>
            <w:r>
              <w:rPr>
                <w:i/>
                <w:iCs/>
                <w:vertAlign w:val="subscript"/>
              </w:rPr>
              <w:t>N</w:t>
            </w:r>
            <w:r>
              <w:t> (MHz)</w:t>
            </w:r>
          </w:p>
        </w:tc>
        <w:tc>
          <w:tcPr>
            <w:tcW w:w="1134" w:type="dxa"/>
          </w:tcPr>
          <w:p w:rsidR="002B489A" w:rsidRDefault="004F19C4">
            <w:pPr>
              <w:pStyle w:val="Tabletext"/>
              <w:jc w:val="center"/>
            </w:pPr>
            <w:r>
              <w:t>76</w:t>
            </w:r>
          </w:p>
        </w:tc>
        <w:tc>
          <w:tcPr>
            <w:tcW w:w="1134" w:type="dxa"/>
          </w:tcPr>
          <w:p w:rsidR="002B489A" w:rsidRDefault="004F19C4">
            <w:pPr>
              <w:pStyle w:val="Tabletext"/>
              <w:jc w:val="center"/>
            </w:pPr>
            <w:r>
              <w:t>92</w:t>
            </w:r>
          </w:p>
        </w:tc>
        <w:tc>
          <w:tcPr>
            <w:tcW w:w="1134" w:type="dxa"/>
          </w:tcPr>
          <w:p w:rsidR="002B489A" w:rsidRDefault="004F19C4">
            <w:pPr>
              <w:pStyle w:val="Tabletext"/>
              <w:jc w:val="center"/>
            </w:pPr>
            <w:r>
              <w:t>84</w:t>
            </w:r>
          </w:p>
        </w:tc>
        <w:tc>
          <w:tcPr>
            <w:tcW w:w="1134" w:type="dxa"/>
          </w:tcPr>
          <w:p w:rsidR="002B489A" w:rsidRDefault="004F19C4">
            <w:pPr>
              <w:pStyle w:val="Tabletext"/>
              <w:jc w:val="center"/>
            </w:pPr>
            <w:r>
              <w:t>76</w:t>
            </w:r>
          </w:p>
        </w:tc>
        <w:tc>
          <w:tcPr>
            <w:tcW w:w="1134" w:type="dxa"/>
          </w:tcPr>
          <w:p w:rsidR="002B489A" w:rsidRDefault="004F19C4">
            <w:pPr>
              <w:pStyle w:val="Tabletext"/>
              <w:jc w:val="center"/>
            </w:pPr>
            <w:r>
              <w:t>87</w:t>
            </w:r>
          </w:p>
        </w:tc>
      </w:tr>
      <w:tr w:rsidR="002B489A">
        <w:tc>
          <w:tcPr>
            <w:tcW w:w="3765" w:type="dxa"/>
            <w:tcMar>
              <w:left w:w="85" w:type="dxa"/>
              <w:right w:w="85" w:type="dxa"/>
            </w:tcMar>
          </w:tcPr>
          <w:p w:rsidR="002B489A" w:rsidRDefault="004F19C4">
            <w:pPr>
              <w:pStyle w:val="Tabletext"/>
              <w:jc w:val="left"/>
            </w:pPr>
            <w:r>
              <w:t>Bande de garde supplémentaire requise (MHz)</w:t>
            </w:r>
          </w:p>
        </w:tc>
        <w:tc>
          <w:tcPr>
            <w:tcW w:w="1134" w:type="dxa"/>
          </w:tcPr>
          <w:p w:rsidR="002B489A" w:rsidRDefault="004F19C4">
            <w:pPr>
              <w:pStyle w:val="Tabletext"/>
              <w:jc w:val="center"/>
            </w:pPr>
            <w:r>
              <w:t>0</w:t>
            </w:r>
          </w:p>
        </w:tc>
        <w:tc>
          <w:tcPr>
            <w:tcW w:w="1134" w:type="dxa"/>
          </w:tcPr>
          <w:p w:rsidR="002B489A" w:rsidRDefault="004F19C4">
            <w:pPr>
              <w:pStyle w:val="Tabletext"/>
              <w:jc w:val="center"/>
            </w:pPr>
            <w:r>
              <w:t>0</w:t>
            </w:r>
          </w:p>
        </w:tc>
        <w:tc>
          <w:tcPr>
            <w:tcW w:w="1134" w:type="dxa"/>
          </w:tcPr>
          <w:p w:rsidR="002B489A" w:rsidRDefault="004F19C4">
            <w:pPr>
              <w:pStyle w:val="Tabletext"/>
              <w:jc w:val="center"/>
            </w:pPr>
            <w:r>
              <w:t>0</w:t>
            </w:r>
          </w:p>
        </w:tc>
        <w:tc>
          <w:tcPr>
            <w:tcW w:w="1134" w:type="dxa"/>
          </w:tcPr>
          <w:p w:rsidR="002B489A" w:rsidRDefault="004F19C4">
            <w:pPr>
              <w:pStyle w:val="Tabletext"/>
              <w:jc w:val="center"/>
            </w:pPr>
            <w:r>
              <w:t>0</w:t>
            </w:r>
          </w:p>
        </w:tc>
        <w:tc>
          <w:tcPr>
            <w:tcW w:w="1134" w:type="dxa"/>
          </w:tcPr>
          <w:p w:rsidR="002B489A" w:rsidRDefault="004F19C4">
            <w:pPr>
              <w:pStyle w:val="Tabletext"/>
              <w:jc w:val="center"/>
            </w:pPr>
            <w:r>
              <w:t>0</w:t>
            </w:r>
          </w:p>
        </w:tc>
      </w:tr>
    </w:tbl>
    <w:p w:rsidR="002B489A" w:rsidRDefault="002B489A">
      <w:pPr>
        <w:pStyle w:val="Tablefin"/>
        <w:spacing w:before="0"/>
        <w:rPr>
          <w:sz w:val="2"/>
        </w:rPr>
      </w:pPr>
    </w:p>
    <w:p w:rsidR="002B489A" w:rsidRDefault="004F19C4">
      <w:pPr>
        <w:pStyle w:val="TableNo"/>
      </w:pPr>
      <w:r>
        <w:br w:type="page"/>
        <w:t>TABLEAU  50</w:t>
      </w:r>
    </w:p>
    <w:p w:rsidR="002B489A" w:rsidRDefault="004F19C4">
      <w:pPr>
        <w:pStyle w:val="Tabletitle"/>
      </w:pPr>
      <w:r>
        <w:rPr>
          <w:bCs/>
        </w:rPr>
        <w:t>Ré</w:t>
      </w:r>
      <w:r>
        <w:t xml:space="preserve">capitulation des bandes de garde nécessaires pour protéger AMSU-A </w:t>
      </w:r>
      <w:r>
        <w:br/>
        <w:t>contre les liaisons SIS (largeur de bande nécessaire de 50 MHz)</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5"/>
        <w:gridCol w:w="1158"/>
        <w:gridCol w:w="1159"/>
        <w:gridCol w:w="1159"/>
        <w:gridCol w:w="1159"/>
        <w:gridCol w:w="1159"/>
      </w:tblGrid>
      <w:tr w:rsidR="002B489A">
        <w:tc>
          <w:tcPr>
            <w:tcW w:w="3765" w:type="dxa"/>
            <w:tcMar>
              <w:left w:w="85" w:type="dxa"/>
              <w:right w:w="85" w:type="dxa"/>
            </w:tcMar>
          </w:tcPr>
          <w:p w:rsidR="002B489A" w:rsidRDefault="002B489A">
            <w:pPr>
              <w:pStyle w:val="Tabletext"/>
              <w:framePr w:hSpace="181" w:wrap="notBeside" w:vAnchor="text" w:hAnchor="text" w:xAlign="center" w:y="1"/>
            </w:pPr>
          </w:p>
        </w:tc>
        <w:tc>
          <w:tcPr>
            <w:tcW w:w="1134" w:type="dxa"/>
          </w:tcPr>
          <w:p w:rsidR="002B489A" w:rsidRDefault="004F19C4">
            <w:pPr>
              <w:pStyle w:val="Tablehead"/>
              <w:framePr w:hSpace="181" w:wrap="notBeside" w:vAnchor="text" w:hAnchor="text" w:xAlign="center" w:y="1"/>
              <w:rPr>
                <w:lang w:val="es-ES"/>
              </w:rPr>
            </w:pPr>
            <w:r>
              <w:rPr>
                <w:lang w:val="es-ES"/>
              </w:rPr>
              <w:t>LEO-1</w:t>
            </w:r>
          </w:p>
        </w:tc>
        <w:tc>
          <w:tcPr>
            <w:tcW w:w="1134" w:type="dxa"/>
          </w:tcPr>
          <w:p w:rsidR="002B489A" w:rsidRDefault="004F19C4">
            <w:pPr>
              <w:pStyle w:val="Tablehead"/>
              <w:framePr w:hSpace="181" w:wrap="notBeside" w:vAnchor="text" w:hAnchor="text" w:xAlign="center" w:y="1"/>
              <w:rPr>
                <w:lang w:val="es-ES"/>
              </w:rPr>
            </w:pPr>
            <w:r>
              <w:rPr>
                <w:lang w:val="es-ES"/>
              </w:rPr>
              <w:t>LEO-2</w:t>
            </w:r>
          </w:p>
        </w:tc>
        <w:tc>
          <w:tcPr>
            <w:tcW w:w="1134" w:type="dxa"/>
          </w:tcPr>
          <w:p w:rsidR="002B489A" w:rsidRDefault="004F19C4">
            <w:pPr>
              <w:pStyle w:val="Tablehead"/>
              <w:framePr w:hSpace="181" w:wrap="notBeside" w:vAnchor="text" w:hAnchor="text" w:xAlign="center" w:y="1"/>
              <w:rPr>
                <w:lang w:val="es-ES"/>
              </w:rPr>
            </w:pPr>
            <w:r>
              <w:rPr>
                <w:lang w:val="es-ES"/>
              </w:rPr>
              <w:t>LEO-3</w:t>
            </w:r>
          </w:p>
        </w:tc>
        <w:tc>
          <w:tcPr>
            <w:tcW w:w="1134" w:type="dxa"/>
          </w:tcPr>
          <w:p w:rsidR="002B489A" w:rsidRDefault="004F19C4">
            <w:pPr>
              <w:pStyle w:val="Tablehead"/>
              <w:framePr w:hSpace="181" w:wrap="notBeside" w:vAnchor="text" w:hAnchor="text" w:xAlign="center" w:y="1"/>
            </w:pPr>
            <w:r>
              <w:t>LEO-4</w:t>
            </w:r>
          </w:p>
        </w:tc>
        <w:tc>
          <w:tcPr>
            <w:tcW w:w="1134" w:type="dxa"/>
          </w:tcPr>
          <w:p w:rsidR="002B489A" w:rsidRDefault="004F19C4">
            <w:pPr>
              <w:pStyle w:val="Tablehead"/>
              <w:framePr w:hSpace="181" w:wrap="notBeside" w:vAnchor="text" w:hAnchor="text" w:xAlign="center" w:y="1"/>
            </w:pPr>
            <w:r>
              <w:t>GEO</w:t>
            </w:r>
          </w:p>
        </w:tc>
      </w:tr>
      <w:tr w:rsidR="002B489A">
        <w:tc>
          <w:tcPr>
            <w:tcW w:w="3765" w:type="dxa"/>
            <w:tcMar>
              <w:left w:w="85" w:type="dxa"/>
              <w:right w:w="85" w:type="dxa"/>
            </w:tcMar>
          </w:tcPr>
          <w:p w:rsidR="002B489A" w:rsidRDefault="004F19C4">
            <w:pPr>
              <w:pStyle w:val="Tabletext"/>
              <w:framePr w:hSpace="181" w:wrap="notBeside" w:vAnchor="text" w:hAnchor="text" w:xAlign="center" w:y="1"/>
            </w:pPr>
            <w:r>
              <w:t>Suppression de puissance requise (dB)</w:t>
            </w:r>
          </w:p>
        </w:tc>
        <w:tc>
          <w:tcPr>
            <w:tcW w:w="1134" w:type="dxa"/>
          </w:tcPr>
          <w:p w:rsidR="002B489A" w:rsidRDefault="004F19C4">
            <w:pPr>
              <w:pStyle w:val="Tabletext"/>
              <w:framePr w:hSpace="181" w:wrap="notBeside" w:vAnchor="text" w:hAnchor="text" w:xAlign="center" w:y="1"/>
              <w:jc w:val="center"/>
            </w:pPr>
            <w:r>
              <w:t>22,75</w:t>
            </w:r>
          </w:p>
        </w:tc>
        <w:tc>
          <w:tcPr>
            <w:tcW w:w="1134" w:type="dxa"/>
          </w:tcPr>
          <w:p w:rsidR="002B489A" w:rsidRDefault="004F19C4">
            <w:pPr>
              <w:pStyle w:val="Tabletext"/>
              <w:framePr w:hSpace="181" w:wrap="notBeside" w:vAnchor="text" w:hAnchor="text" w:xAlign="center" w:y="1"/>
              <w:jc w:val="center"/>
            </w:pPr>
            <w:r>
              <w:t>32,09</w:t>
            </w:r>
          </w:p>
        </w:tc>
        <w:tc>
          <w:tcPr>
            <w:tcW w:w="1134" w:type="dxa"/>
          </w:tcPr>
          <w:p w:rsidR="002B489A" w:rsidRDefault="004F19C4">
            <w:pPr>
              <w:pStyle w:val="Tabletext"/>
              <w:framePr w:hSpace="181" w:wrap="notBeside" w:vAnchor="text" w:hAnchor="text" w:xAlign="center" w:y="1"/>
              <w:jc w:val="center"/>
            </w:pPr>
            <w:r>
              <w:t>27,76</w:t>
            </w:r>
          </w:p>
        </w:tc>
        <w:tc>
          <w:tcPr>
            <w:tcW w:w="1134" w:type="dxa"/>
          </w:tcPr>
          <w:p w:rsidR="002B489A" w:rsidRDefault="004F19C4">
            <w:pPr>
              <w:pStyle w:val="Tabletext"/>
              <w:framePr w:hSpace="181" w:wrap="notBeside" w:vAnchor="text" w:hAnchor="text" w:xAlign="center" w:y="1"/>
              <w:jc w:val="center"/>
            </w:pPr>
            <w:r>
              <w:t>22,51</w:t>
            </w:r>
          </w:p>
        </w:tc>
        <w:tc>
          <w:tcPr>
            <w:tcW w:w="1134" w:type="dxa"/>
          </w:tcPr>
          <w:p w:rsidR="002B489A" w:rsidRDefault="004F19C4">
            <w:pPr>
              <w:pStyle w:val="Tabletext"/>
              <w:framePr w:hSpace="181" w:wrap="notBeside" w:vAnchor="text" w:hAnchor="text" w:xAlign="center" w:y="1"/>
              <w:jc w:val="center"/>
            </w:pPr>
            <w:r>
              <w:t>30,05</w:t>
            </w:r>
          </w:p>
        </w:tc>
      </w:tr>
      <w:tr w:rsidR="002B489A">
        <w:tc>
          <w:tcPr>
            <w:tcW w:w="3765" w:type="dxa"/>
            <w:tcMar>
              <w:left w:w="85" w:type="dxa"/>
              <w:right w:w="85" w:type="dxa"/>
            </w:tcMar>
          </w:tcPr>
          <w:p w:rsidR="002B489A" w:rsidRDefault="004F19C4">
            <w:pPr>
              <w:pStyle w:val="Tabletext"/>
              <w:framePr w:hSpace="181" w:wrap="notBeside" w:vAnchor="text" w:hAnchor="text" w:xAlign="center" w:y="1"/>
            </w:pPr>
            <w:r>
              <w:t>Largeur de bande nécessaire (MHz)</w:t>
            </w:r>
          </w:p>
        </w:tc>
        <w:tc>
          <w:tcPr>
            <w:tcW w:w="1134" w:type="dxa"/>
            <w:gridSpan w:val="5"/>
          </w:tcPr>
          <w:p w:rsidR="002B489A" w:rsidRDefault="004F19C4">
            <w:pPr>
              <w:pStyle w:val="Tabletext"/>
              <w:framePr w:hSpace="181" w:wrap="notBeside" w:vAnchor="text" w:hAnchor="text" w:xAlign="center" w:y="1"/>
              <w:jc w:val="center"/>
            </w:pPr>
            <w:r>
              <w:t>50</w:t>
            </w:r>
          </w:p>
        </w:tc>
      </w:tr>
      <w:tr w:rsidR="002B489A">
        <w:tc>
          <w:tcPr>
            <w:tcW w:w="3765" w:type="dxa"/>
            <w:tcMar>
              <w:left w:w="85" w:type="dxa"/>
              <w:right w:w="85" w:type="dxa"/>
            </w:tcMar>
          </w:tcPr>
          <w:p w:rsidR="002B489A" w:rsidRDefault="004F19C4">
            <w:pPr>
              <w:pStyle w:val="Tabletext"/>
              <w:framePr w:hSpace="181" w:wrap="notBeside" w:vAnchor="text" w:hAnchor="text" w:xAlign="center" w:y="1"/>
            </w:pPr>
            <w:r>
              <w:t xml:space="preserve">Bande passive (% </w:t>
            </w:r>
            <w:r>
              <w:rPr>
                <w:i/>
                <w:iCs/>
              </w:rPr>
              <w:t>B</w:t>
            </w:r>
            <w:r>
              <w:rPr>
                <w:i/>
                <w:iCs/>
                <w:vertAlign w:val="subscript"/>
              </w:rPr>
              <w:t>N</w:t>
            </w:r>
            <w:r>
              <w:t>)</w:t>
            </w:r>
          </w:p>
        </w:tc>
        <w:tc>
          <w:tcPr>
            <w:tcW w:w="1134" w:type="dxa"/>
            <w:gridSpan w:val="5"/>
          </w:tcPr>
          <w:p w:rsidR="002B489A" w:rsidRDefault="004F19C4">
            <w:pPr>
              <w:pStyle w:val="Tabletext"/>
              <w:framePr w:hSpace="181" w:wrap="notBeside" w:vAnchor="text" w:hAnchor="text" w:xAlign="center" w:y="1"/>
              <w:jc w:val="center"/>
            </w:pPr>
            <w:r>
              <w:t>800</w:t>
            </w:r>
          </w:p>
        </w:tc>
      </w:tr>
      <w:tr w:rsidR="002B489A">
        <w:tc>
          <w:tcPr>
            <w:tcW w:w="3765" w:type="dxa"/>
            <w:tcMar>
              <w:left w:w="85" w:type="dxa"/>
              <w:right w:w="85" w:type="dxa"/>
            </w:tcMar>
          </w:tcPr>
          <w:p w:rsidR="002B489A" w:rsidRDefault="004F19C4">
            <w:pPr>
              <w:pStyle w:val="Tabletext"/>
              <w:framePr w:hSpace="181" w:wrap="notBeside" w:vAnchor="text" w:hAnchor="text" w:xAlign="center" w:y="1"/>
            </w:pPr>
            <w:r>
              <w:t>Décalage à la bande centrale</w:t>
            </w:r>
            <w:r>
              <w:rPr>
                <w:i/>
                <w:iCs/>
              </w:rPr>
              <w:t xml:space="preserve"> B</w:t>
            </w:r>
            <w:r>
              <w:rPr>
                <w:i/>
                <w:iCs/>
                <w:vertAlign w:val="subscript"/>
              </w:rPr>
              <w:t>N</w:t>
            </w:r>
            <w:r>
              <w:t xml:space="preserve"> (% </w:t>
            </w:r>
            <w:r>
              <w:rPr>
                <w:i/>
                <w:iCs/>
              </w:rPr>
              <w:t>B</w:t>
            </w:r>
            <w:r>
              <w:rPr>
                <w:i/>
                <w:iCs/>
                <w:vertAlign w:val="subscript"/>
              </w:rPr>
              <w:t>N</w:t>
            </w:r>
            <w:r>
              <w:t>)</w:t>
            </w:r>
          </w:p>
        </w:tc>
        <w:tc>
          <w:tcPr>
            <w:tcW w:w="1134" w:type="dxa"/>
          </w:tcPr>
          <w:p w:rsidR="002B489A" w:rsidRDefault="004F19C4">
            <w:pPr>
              <w:pStyle w:val="Tabletext"/>
              <w:framePr w:hSpace="181" w:wrap="notBeside" w:vAnchor="text" w:hAnchor="text" w:xAlign="center" w:y="1"/>
              <w:jc w:val="center"/>
            </w:pPr>
            <w:r>
              <w:t>71</w:t>
            </w:r>
          </w:p>
        </w:tc>
        <w:tc>
          <w:tcPr>
            <w:tcW w:w="1134" w:type="dxa"/>
          </w:tcPr>
          <w:p w:rsidR="002B489A" w:rsidRDefault="004F19C4">
            <w:pPr>
              <w:pStyle w:val="Tabletext"/>
              <w:framePr w:hSpace="181" w:wrap="notBeside" w:vAnchor="text" w:hAnchor="text" w:xAlign="center" w:y="1"/>
              <w:jc w:val="center"/>
            </w:pPr>
            <w:r>
              <w:t>85</w:t>
            </w:r>
          </w:p>
        </w:tc>
        <w:tc>
          <w:tcPr>
            <w:tcW w:w="1134" w:type="dxa"/>
          </w:tcPr>
          <w:p w:rsidR="002B489A" w:rsidRDefault="004F19C4">
            <w:pPr>
              <w:pStyle w:val="Tabletext"/>
              <w:framePr w:hSpace="181" w:wrap="notBeside" w:vAnchor="text" w:hAnchor="text" w:xAlign="center" w:y="1"/>
              <w:jc w:val="center"/>
            </w:pPr>
            <w:r>
              <w:t>79</w:t>
            </w:r>
          </w:p>
        </w:tc>
        <w:tc>
          <w:tcPr>
            <w:tcW w:w="1134" w:type="dxa"/>
          </w:tcPr>
          <w:p w:rsidR="002B489A" w:rsidRDefault="004F19C4">
            <w:pPr>
              <w:pStyle w:val="Tabletext"/>
              <w:framePr w:hSpace="181" w:wrap="notBeside" w:vAnchor="text" w:hAnchor="text" w:xAlign="center" w:y="1"/>
              <w:jc w:val="center"/>
            </w:pPr>
            <w:r>
              <w:t>70</w:t>
            </w:r>
          </w:p>
        </w:tc>
        <w:tc>
          <w:tcPr>
            <w:tcW w:w="1134" w:type="dxa"/>
          </w:tcPr>
          <w:p w:rsidR="002B489A" w:rsidRDefault="004F19C4">
            <w:pPr>
              <w:pStyle w:val="Tabletext"/>
              <w:framePr w:hSpace="181" w:wrap="notBeside" w:vAnchor="text" w:hAnchor="text" w:xAlign="center" w:y="1"/>
              <w:jc w:val="center"/>
            </w:pPr>
            <w:r>
              <w:t>83</w:t>
            </w:r>
          </w:p>
        </w:tc>
      </w:tr>
      <w:tr w:rsidR="002B489A">
        <w:tc>
          <w:tcPr>
            <w:tcW w:w="3765" w:type="dxa"/>
            <w:tcMar>
              <w:left w:w="85" w:type="dxa"/>
              <w:right w:w="85" w:type="dxa"/>
            </w:tcMar>
          </w:tcPr>
          <w:p w:rsidR="002B489A" w:rsidRDefault="004F19C4">
            <w:pPr>
              <w:pStyle w:val="Tabletext"/>
              <w:framePr w:hSpace="181" w:wrap="notBeside" w:vAnchor="text" w:hAnchor="text" w:xAlign="center" w:y="1"/>
            </w:pPr>
            <w:r>
              <w:t xml:space="preserve">Décalage à la bande centrale </w:t>
            </w:r>
            <w:r>
              <w:rPr>
                <w:i/>
                <w:iCs/>
              </w:rPr>
              <w:t>B</w:t>
            </w:r>
            <w:r>
              <w:rPr>
                <w:i/>
                <w:iCs/>
                <w:vertAlign w:val="subscript"/>
              </w:rPr>
              <w:t>N</w:t>
            </w:r>
            <w:r>
              <w:t> (MHz)</w:t>
            </w:r>
          </w:p>
        </w:tc>
        <w:tc>
          <w:tcPr>
            <w:tcW w:w="1134" w:type="dxa"/>
          </w:tcPr>
          <w:p w:rsidR="002B489A" w:rsidRDefault="004F19C4">
            <w:pPr>
              <w:pStyle w:val="Tabletext"/>
              <w:framePr w:hSpace="181" w:wrap="notBeside" w:vAnchor="text" w:hAnchor="text" w:xAlign="center" w:y="1"/>
              <w:jc w:val="center"/>
            </w:pPr>
            <w:r>
              <w:t>36</w:t>
            </w:r>
          </w:p>
        </w:tc>
        <w:tc>
          <w:tcPr>
            <w:tcW w:w="1134" w:type="dxa"/>
          </w:tcPr>
          <w:p w:rsidR="002B489A" w:rsidRDefault="004F19C4">
            <w:pPr>
              <w:pStyle w:val="Tabletext"/>
              <w:framePr w:hSpace="181" w:wrap="notBeside" w:vAnchor="text" w:hAnchor="text" w:xAlign="center" w:y="1"/>
              <w:jc w:val="center"/>
            </w:pPr>
            <w:r>
              <w:t>43</w:t>
            </w:r>
          </w:p>
        </w:tc>
        <w:tc>
          <w:tcPr>
            <w:tcW w:w="1134" w:type="dxa"/>
          </w:tcPr>
          <w:p w:rsidR="002B489A" w:rsidRDefault="004F19C4">
            <w:pPr>
              <w:pStyle w:val="Tabletext"/>
              <w:framePr w:hSpace="181" w:wrap="notBeside" w:vAnchor="text" w:hAnchor="text" w:xAlign="center" w:y="1"/>
              <w:jc w:val="center"/>
            </w:pPr>
            <w:r>
              <w:t>40</w:t>
            </w:r>
          </w:p>
        </w:tc>
        <w:tc>
          <w:tcPr>
            <w:tcW w:w="1134" w:type="dxa"/>
          </w:tcPr>
          <w:p w:rsidR="002B489A" w:rsidRDefault="004F19C4">
            <w:pPr>
              <w:pStyle w:val="Tabletext"/>
              <w:framePr w:hSpace="181" w:wrap="notBeside" w:vAnchor="text" w:hAnchor="text" w:xAlign="center" w:y="1"/>
              <w:jc w:val="center"/>
            </w:pPr>
            <w:r>
              <w:t>35</w:t>
            </w:r>
          </w:p>
        </w:tc>
        <w:tc>
          <w:tcPr>
            <w:tcW w:w="1134" w:type="dxa"/>
          </w:tcPr>
          <w:p w:rsidR="002B489A" w:rsidRDefault="004F19C4">
            <w:pPr>
              <w:pStyle w:val="Tabletext"/>
              <w:framePr w:hSpace="181" w:wrap="notBeside" w:vAnchor="text" w:hAnchor="text" w:xAlign="center" w:y="1"/>
              <w:jc w:val="center"/>
            </w:pPr>
            <w:r>
              <w:t>42</w:t>
            </w:r>
          </w:p>
        </w:tc>
      </w:tr>
      <w:tr w:rsidR="002B489A">
        <w:tc>
          <w:tcPr>
            <w:tcW w:w="3765" w:type="dxa"/>
            <w:tcMar>
              <w:left w:w="85" w:type="dxa"/>
              <w:right w:w="85" w:type="dxa"/>
            </w:tcMar>
          </w:tcPr>
          <w:p w:rsidR="002B489A" w:rsidRDefault="004F19C4">
            <w:pPr>
              <w:pStyle w:val="Tabletext"/>
              <w:framePr w:hSpace="181" w:wrap="notBeside" w:vAnchor="text" w:hAnchor="text" w:xAlign="center" w:y="1"/>
              <w:jc w:val="left"/>
            </w:pPr>
            <w:r>
              <w:t>Bande de garde supplémentaire requise (MHz)</w:t>
            </w:r>
          </w:p>
        </w:tc>
        <w:tc>
          <w:tcPr>
            <w:tcW w:w="1134" w:type="dxa"/>
          </w:tcPr>
          <w:p w:rsidR="002B489A" w:rsidRDefault="004F19C4">
            <w:pPr>
              <w:pStyle w:val="Tabletext"/>
              <w:framePr w:hSpace="181" w:wrap="notBeside" w:vAnchor="text" w:hAnchor="text" w:xAlign="center" w:y="1"/>
              <w:jc w:val="center"/>
            </w:pPr>
            <w:r>
              <w:t>0</w:t>
            </w:r>
          </w:p>
        </w:tc>
        <w:tc>
          <w:tcPr>
            <w:tcW w:w="1134" w:type="dxa"/>
          </w:tcPr>
          <w:p w:rsidR="002B489A" w:rsidRDefault="004F19C4">
            <w:pPr>
              <w:pStyle w:val="Tabletext"/>
              <w:framePr w:hSpace="181" w:wrap="notBeside" w:vAnchor="text" w:hAnchor="text" w:xAlign="center" w:y="1"/>
              <w:jc w:val="center"/>
            </w:pPr>
            <w:r>
              <w:t>0</w:t>
            </w:r>
          </w:p>
        </w:tc>
        <w:tc>
          <w:tcPr>
            <w:tcW w:w="1134" w:type="dxa"/>
          </w:tcPr>
          <w:p w:rsidR="002B489A" w:rsidRDefault="004F19C4">
            <w:pPr>
              <w:pStyle w:val="Tabletext"/>
              <w:framePr w:hSpace="181" w:wrap="notBeside" w:vAnchor="text" w:hAnchor="text" w:xAlign="center" w:y="1"/>
              <w:jc w:val="center"/>
            </w:pPr>
            <w:r>
              <w:t>0</w:t>
            </w:r>
          </w:p>
        </w:tc>
        <w:tc>
          <w:tcPr>
            <w:tcW w:w="1134" w:type="dxa"/>
          </w:tcPr>
          <w:p w:rsidR="002B489A" w:rsidRDefault="004F19C4">
            <w:pPr>
              <w:pStyle w:val="Tabletext"/>
              <w:framePr w:hSpace="181" w:wrap="notBeside" w:vAnchor="text" w:hAnchor="text" w:xAlign="center" w:y="1"/>
              <w:jc w:val="center"/>
            </w:pPr>
            <w:r>
              <w:t>0</w:t>
            </w:r>
          </w:p>
        </w:tc>
        <w:tc>
          <w:tcPr>
            <w:tcW w:w="1134" w:type="dxa"/>
          </w:tcPr>
          <w:p w:rsidR="002B489A" w:rsidRDefault="004F19C4">
            <w:pPr>
              <w:pStyle w:val="Tabletext"/>
              <w:framePr w:hSpace="181" w:wrap="notBeside" w:vAnchor="text" w:hAnchor="text" w:xAlign="center" w:y="1"/>
              <w:jc w:val="center"/>
            </w:pPr>
            <w:r>
              <w:t>0</w:t>
            </w:r>
          </w:p>
        </w:tc>
      </w:tr>
    </w:tbl>
    <w:p w:rsidR="002B489A" w:rsidRDefault="002B489A">
      <w:pPr>
        <w:pStyle w:val="Tablefin"/>
        <w:spacing w:before="0"/>
      </w:pPr>
    </w:p>
    <w:p w:rsidR="002B489A" w:rsidRDefault="004F19C4">
      <w:pPr>
        <w:pStyle w:val="TableNo"/>
      </w:pPr>
      <w:r>
        <w:t>TABLEAU  51</w:t>
      </w:r>
    </w:p>
    <w:p w:rsidR="002B489A" w:rsidRDefault="004F19C4">
      <w:pPr>
        <w:pStyle w:val="Tabletitle"/>
      </w:pPr>
      <w:r>
        <w:rPr>
          <w:bCs/>
        </w:rPr>
        <w:t>Ré</w:t>
      </w:r>
      <w:r>
        <w:t xml:space="preserve">capitulation des bandes de garde nécessaires pour protéger le «détecteur en peigne» </w:t>
      </w:r>
      <w:r>
        <w:br/>
        <w:t>contre les liaisons SIS (largeur de bande nécessaire de 200 MHz)</w:t>
      </w: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32"/>
        <w:gridCol w:w="1193"/>
        <w:gridCol w:w="1144"/>
        <w:gridCol w:w="1162"/>
        <w:gridCol w:w="1148"/>
        <w:gridCol w:w="1176"/>
      </w:tblGrid>
      <w:tr w:rsidR="002B489A">
        <w:tc>
          <w:tcPr>
            <w:tcW w:w="3832" w:type="dxa"/>
          </w:tcPr>
          <w:p w:rsidR="002B489A" w:rsidRDefault="002B489A">
            <w:pPr>
              <w:pStyle w:val="Tablehead"/>
              <w:framePr w:hSpace="181" w:wrap="notBeside" w:vAnchor="text" w:hAnchor="text" w:xAlign="center" w:y="1"/>
            </w:pPr>
          </w:p>
        </w:tc>
        <w:tc>
          <w:tcPr>
            <w:tcW w:w="1193" w:type="dxa"/>
          </w:tcPr>
          <w:p w:rsidR="002B489A" w:rsidRDefault="004F19C4">
            <w:pPr>
              <w:pStyle w:val="Tablehead"/>
              <w:framePr w:hSpace="181" w:wrap="notBeside" w:vAnchor="text" w:hAnchor="text" w:xAlign="center" w:y="1"/>
              <w:rPr>
                <w:lang w:val="es-ES"/>
              </w:rPr>
            </w:pPr>
            <w:r>
              <w:rPr>
                <w:lang w:val="es-ES"/>
              </w:rPr>
              <w:t>LEO-1</w:t>
            </w:r>
          </w:p>
        </w:tc>
        <w:tc>
          <w:tcPr>
            <w:tcW w:w="1144" w:type="dxa"/>
          </w:tcPr>
          <w:p w:rsidR="002B489A" w:rsidRDefault="004F19C4">
            <w:pPr>
              <w:pStyle w:val="Tablehead"/>
              <w:framePr w:hSpace="181" w:wrap="notBeside" w:vAnchor="text" w:hAnchor="text" w:xAlign="center" w:y="1"/>
              <w:rPr>
                <w:lang w:val="es-ES"/>
              </w:rPr>
            </w:pPr>
            <w:r>
              <w:rPr>
                <w:lang w:val="es-ES"/>
              </w:rPr>
              <w:t>LEO-2</w:t>
            </w:r>
          </w:p>
        </w:tc>
        <w:tc>
          <w:tcPr>
            <w:tcW w:w="1162" w:type="dxa"/>
          </w:tcPr>
          <w:p w:rsidR="002B489A" w:rsidRDefault="004F19C4">
            <w:pPr>
              <w:pStyle w:val="Tablehead"/>
              <w:framePr w:hSpace="181" w:wrap="notBeside" w:vAnchor="text" w:hAnchor="text" w:xAlign="center" w:y="1"/>
              <w:rPr>
                <w:lang w:val="es-ES"/>
              </w:rPr>
            </w:pPr>
            <w:r>
              <w:rPr>
                <w:lang w:val="es-ES"/>
              </w:rPr>
              <w:t>LEO-3</w:t>
            </w:r>
          </w:p>
        </w:tc>
        <w:tc>
          <w:tcPr>
            <w:tcW w:w="1148" w:type="dxa"/>
          </w:tcPr>
          <w:p w:rsidR="002B489A" w:rsidRDefault="004F19C4">
            <w:pPr>
              <w:pStyle w:val="Tablehead"/>
              <w:framePr w:hSpace="181" w:wrap="notBeside" w:vAnchor="text" w:hAnchor="text" w:xAlign="center" w:y="1"/>
            </w:pPr>
            <w:r>
              <w:t>LEO-4</w:t>
            </w:r>
          </w:p>
        </w:tc>
        <w:tc>
          <w:tcPr>
            <w:tcW w:w="1176" w:type="dxa"/>
          </w:tcPr>
          <w:p w:rsidR="002B489A" w:rsidRDefault="004F19C4">
            <w:pPr>
              <w:pStyle w:val="Tablehead"/>
              <w:framePr w:hSpace="181" w:wrap="notBeside" w:vAnchor="text" w:hAnchor="text" w:xAlign="center" w:y="1"/>
            </w:pPr>
            <w:r>
              <w:t>GEO</w:t>
            </w:r>
          </w:p>
        </w:tc>
      </w:tr>
      <w:tr w:rsidR="002B489A">
        <w:tc>
          <w:tcPr>
            <w:tcW w:w="3832" w:type="dxa"/>
            <w:tcMar>
              <w:left w:w="85" w:type="dxa"/>
              <w:right w:w="85" w:type="dxa"/>
            </w:tcMar>
          </w:tcPr>
          <w:p w:rsidR="002B489A" w:rsidRDefault="004F19C4">
            <w:pPr>
              <w:pStyle w:val="Tabletext"/>
              <w:framePr w:hSpace="181" w:wrap="notBeside" w:vAnchor="text" w:hAnchor="text" w:xAlign="center" w:y="1"/>
              <w:jc w:val="left"/>
            </w:pPr>
            <w:r>
              <w:t>Suppression de puissance requise (dB)</w:t>
            </w:r>
          </w:p>
        </w:tc>
        <w:tc>
          <w:tcPr>
            <w:tcW w:w="1193" w:type="dxa"/>
          </w:tcPr>
          <w:p w:rsidR="002B489A" w:rsidRDefault="004F19C4">
            <w:pPr>
              <w:pStyle w:val="Tabletext"/>
              <w:framePr w:hSpace="181" w:wrap="notBeside" w:vAnchor="text" w:hAnchor="text" w:xAlign="center" w:y="1"/>
              <w:jc w:val="center"/>
            </w:pPr>
            <w:r>
              <w:t>34,75</w:t>
            </w:r>
          </w:p>
        </w:tc>
        <w:tc>
          <w:tcPr>
            <w:tcW w:w="1144" w:type="dxa"/>
          </w:tcPr>
          <w:p w:rsidR="002B489A" w:rsidRDefault="004F19C4">
            <w:pPr>
              <w:pStyle w:val="Tabletext"/>
              <w:framePr w:hSpace="181" w:wrap="notBeside" w:vAnchor="text" w:hAnchor="text" w:xAlign="center" w:y="1"/>
              <w:jc w:val="center"/>
            </w:pPr>
            <w:r>
              <w:t>44,09</w:t>
            </w:r>
          </w:p>
        </w:tc>
        <w:tc>
          <w:tcPr>
            <w:tcW w:w="1162" w:type="dxa"/>
          </w:tcPr>
          <w:p w:rsidR="002B489A" w:rsidRDefault="004F19C4">
            <w:pPr>
              <w:pStyle w:val="Tabletext"/>
              <w:framePr w:hSpace="181" w:wrap="notBeside" w:vAnchor="text" w:hAnchor="text" w:xAlign="center" w:y="1"/>
              <w:jc w:val="center"/>
            </w:pPr>
            <w:r>
              <w:t>31,01</w:t>
            </w:r>
          </w:p>
        </w:tc>
        <w:tc>
          <w:tcPr>
            <w:tcW w:w="1148" w:type="dxa"/>
          </w:tcPr>
          <w:p w:rsidR="002B489A" w:rsidRDefault="004F19C4">
            <w:pPr>
              <w:pStyle w:val="Tabletext"/>
              <w:framePr w:hSpace="181" w:wrap="notBeside" w:vAnchor="text" w:hAnchor="text" w:xAlign="center" w:y="1"/>
              <w:jc w:val="center"/>
            </w:pPr>
            <w:r>
              <w:t>25,76</w:t>
            </w:r>
          </w:p>
        </w:tc>
        <w:tc>
          <w:tcPr>
            <w:tcW w:w="1176" w:type="dxa"/>
          </w:tcPr>
          <w:p w:rsidR="002B489A" w:rsidRDefault="004F19C4">
            <w:pPr>
              <w:pStyle w:val="Tabletext"/>
              <w:framePr w:hSpace="181" w:wrap="notBeside" w:vAnchor="text" w:hAnchor="text" w:xAlign="center" w:y="1"/>
              <w:jc w:val="center"/>
            </w:pPr>
            <w:r>
              <w:t>32,06</w:t>
            </w:r>
          </w:p>
        </w:tc>
      </w:tr>
      <w:tr w:rsidR="002B489A">
        <w:tc>
          <w:tcPr>
            <w:tcW w:w="3832" w:type="dxa"/>
            <w:tcMar>
              <w:left w:w="85" w:type="dxa"/>
              <w:right w:w="85" w:type="dxa"/>
            </w:tcMar>
          </w:tcPr>
          <w:p w:rsidR="002B489A" w:rsidRDefault="004F19C4">
            <w:pPr>
              <w:pStyle w:val="Tabletext"/>
              <w:framePr w:hSpace="181" w:wrap="notBeside" w:vAnchor="text" w:hAnchor="text" w:xAlign="center" w:y="1"/>
              <w:jc w:val="left"/>
            </w:pPr>
            <w:r>
              <w:t>Largeur de bande nécessaire (MHz)</w:t>
            </w:r>
          </w:p>
        </w:tc>
        <w:tc>
          <w:tcPr>
            <w:tcW w:w="5823" w:type="dxa"/>
            <w:gridSpan w:val="5"/>
          </w:tcPr>
          <w:p w:rsidR="002B489A" w:rsidRDefault="004F19C4">
            <w:pPr>
              <w:pStyle w:val="Tabletext"/>
              <w:framePr w:hSpace="181" w:wrap="notBeside" w:vAnchor="text" w:hAnchor="text" w:xAlign="center" w:y="1"/>
              <w:jc w:val="center"/>
            </w:pPr>
            <w:r>
              <w:rPr>
                <w:lang w:val="fr-CH"/>
              </w:rPr>
              <w:t>200</w:t>
            </w:r>
          </w:p>
        </w:tc>
      </w:tr>
      <w:tr w:rsidR="002B489A">
        <w:tc>
          <w:tcPr>
            <w:tcW w:w="3832" w:type="dxa"/>
            <w:tcMar>
              <w:left w:w="85" w:type="dxa"/>
              <w:right w:w="85" w:type="dxa"/>
            </w:tcMar>
          </w:tcPr>
          <w:p w:rsidR="002B489A" w:rsidRDefault="004F19C4">
            <w:pPr>
              <w:pStyle w:val="Tabletext"/>
              <w:framePr w:hSpace="181" w:wrap="notBeside" w:vAnchor="text" w:hAnchor="text" w:xAlign="center" w:y="1"/>
              <w:jc w:val="left"/>
            </w:pPr>
            <w:r>
              <w:rPr>
                <w:lang w:val="fr-CH"/>
              </w:rPr>
              <w:t xml:space="preserve">Bande passive (% </w:t>
            </w:r>
            <w:r>
              <w:rPr>
                <w:i/>
                <w:iCs/>
                <w:lang w:val="fr-CH"/>
              </w:rPr>
              <w:t>B</w:t>
            </w:r>
            <w:r>
              <w:rPr>
                <w:i/>
                <w:iCs/>
                <w:vertAlign w:val="subscript"/>
                <w:lang w:val="fr-CH"/>
              </w:rPr>
              <w:t>N</w:t>
            </w:r>
            <w:r>
              <w:rPr>
                <w:lang w:val="fr-CH"/>
              </w:rPr>
              <w:t>)</w:t>
            </w:r>
          </w:p>
        </w:tc>
        <w:tc>
          <w:tcPr>
            <w:tcW w:w="5823" w:type="dxa"/>
            <w:gridSpan w:val="5"/>
          </w:tcPr>
          <w:p w:rsidR="002B489A" w:rsidRDefault="004F19C4">
            <w:pPr>
              <w:pStyle w:val="Tabletext"/>
              <w:framePr w:hSpace="181" w:wrap="notBeside" w:vAnchor="text" w:hAnchor="text" w:xAlign="center" w:y="1"/>
              <w:jc w:val="center"/>
            </w:pPr>
            <w:r>
              <w:rPr>
                <w:lang w:val="fr-CH"/>
              </w:rPr>
              <w:t>200</w:t>
            </w:r>
          </w:p>
        </w:tc>
      </w:tr>
      <w:tr w:rsidR="002B489A">
        <w:tc>
          <w:tcPr>
            <w:tcW w:w="3832" w:type="dxa"/>
            <w:tcMar>
              <w:left w:w="85" w:type="dxa"/>
              <w:right w:w="85" w:type="dxa"/>
            </w:tcMar>
          </w:tcPr>
          <w:p w:rsidR="002B489A" w:rsidRDefault="004F19C4">
            <w:pPr>
              <w:pStyle w:val="Tabletext"/>
              <w:framePr w:hSpace="181" w:wrap="notBeside" w:vAnchor="text" w:hAnchor="text" w:xAlign="center" w:y="1"/>
              <w:jc w:val="left"/>
            </w:pPr>
            <w:r>
              <w:t>Décalage à la bande centrale</w:t>
            </w:r>
            <w:r>
              <w:rPr>
                <w:i/>
                <w:iCs/>
              </w:rPr>
              <w:t xml:space="preserve"> B</w:t>
            </w:r>
            <w:r>
              <w:rPr>
                <w:i/>
                <w:iCs/>
                <w:vertAlign w:val="subscript"/>
              </w:rPr>
              <w:t>N</w:t>
            </w:r>
            <w:r>
              <w:t xml:space="preserve"> (% </w:t>
            </w:r>
            <w:r>
              <w:rPr>
                <w:i/>
                <w:iCs/>
              </w:rPr>
              <w:t>B</w:t>
            </w:r>
            <w:r>
              <w:rPr>
                <w:i/>
                <w:iCs/>
                <w:vertAlign w:val="subscript"/>
              </w:rPr>
              <w:t>N</w:t>
            </w:r>
            <w:r>
              <w:t>)</w:t>
            </w:r>
          </w:p>
        </w:tc>
        <w:tc>
          <w:tcPr>
            <w:tcW w:w="1193" w:type="dxa"/>
          </w:tcPr>
          <w:p w:rsidR="002B489A" w:rsidRDefault="004F19C4">
            <w:pPr>
              <w:pStyle w:val="Tabletext"/>
              <w:framePr w:hSpace="181" w:wrap="notBeside" w:vAnchor="text" w:hAnchor="text" w:xAlign="center" w:y="1"/>
              <w:jc w:val="center"/>
            </w:pPr>
            <w:r>
              <w:t>91</w:t>
            </w:r>
          </w:p>
        </w:tc>
        <w:tc>
          <w:tcPr>
            <w:tcW w:w="1144" w:type="dxa"/>
          </w:tcPr>
          <w:p w:rsidR="002B489A" w:rsidRDefault="004F19C4">
            <w:pPr>
              <w:pStyle w:val="Tabletext"/>
              <w:framePr w:hSpace="181" w:wrap="notBeside" w:vAnchor="text" w:hAnchor="text" w:xAlign="center" w:y="1"/>
              <w:jc w:val="center"/>
            </w:pPr>
            <w:r>
              <w:t>138</w:t>
            </w:r>
          </w:p>
        </w:tc>
        <w:tc>
          <w:tcPr>
            <w:tcW w:w="1162" w:type="dxa"/>
          </w:tcPr>
          <w:p w:rsidR="002B489A" w:rsidRDefault="004F19C4">
            <w:pPr>
              <w:pStyle w:val="Tabletext"/>
              <w:framePr w:hSpace="181" w:wrap="notBeside" w:vAnchor="text" w:hAnchor="text" w:xAlign="center" w:y="1"/>
              <w:jc w:val="center"/>
            </w:pPr>
            <w:r>
              <w:t>84</w:t>
            </w:r>
          </w:p>
        </w:tc>
        <w:tc>
          <w:tcPr>
            <w:tcW w:w="1148" w:type="dxa"/>
          </w:tcPr>
          <w:p w:rsidR="002B489A" w:rsidRDefault="004F19C4">
            <w:pPr>
              <w:pStyle w:val="Tabletext"/>
              <w:framePr w:hSpace="181" w:wrap="notBeside" w:vAnchor="text" w:hAnchor="text" w:xAlign="center" w:y="1"/>
              <w:jc w:val="center"/>
            </w:pPr>
            <w:r>
              <w:t>76</w:t>
            </w:r>
          </w:p>
        </w:tc>
        <w:tc>
          <w:tcPr>
            <w:tcW w:w="1176" w:type="dxa"/>
          </w:tcPr>
          <w:p w:rsidR="002B489A" w:rsidRDefault="004F19C4">
            <w:pPr>
              <w:pStyle w:val="Tabletext"/>
              <w:framePr w:hSpace="181" w:wrap="notBeside" w:vAnchor="text" w:hAnchor="text" w:xAlign="center" w:y="1"/>
              <w:jc w:val="center"/>
            </w:pPr>
            <w:r>
              <w:t>86</w:t>
            </w:r>
          </w:p>
        </w:tc>
      </w:tr>
      <w:tr w:rsidR="002B489A">
        <w:tc>
          <w:tcPr>
            <w:tcW w:w="3832" w:type="dxa"/>
            <w:tcMar>
              <w:left w:w="85" w:type="dxa"/>
              <w:right w:w="85" w:type="dxa"/>
            </w:tcMar>
          </w:tcPr>
          <w:p w:rsidR="002B489A" w:rsidRDefault="004F19C4">
            <w:pPr>
              <w:pStyle w:val="Tabletext"/>
              <w:framePr w:hSpace="181" w:wrap="notBeside" w:vAnchor="text" w:hAnchor="text" w:xAlign="center" w:y="1"/>
              <w:jc w:val="left"/>
            </w:pPr>
            <w:r>
              <w:t xml:space="preserve">Décalage à la bande centrale </w:t>
            </w:r>
            <w:r>
              <w:rPr>
                <w:i/>
                <w:iCs/>
              </w:rPr>
              <w:t>B</w:t>
            </w:r>
            <w:r>
              <w:rPr>
                <w:i/>
                <w:iCs/>
                <w:vertAlign w:val="subscript"/>
              </w:rPr>
              <w:t>N</w:t>
            </w:r>
            <w:r>
              <w:t> (MHz)</w:t>
            </w:r>
          </w:p>
        </w:tc>
        <w:tc>
          <w:tcPr>
            <w:tcW w:w="1193" w:type="dxa"/>
          </w:tcPr>
          <w:p w:rsidR="002B489A" w:rsidRDefault="004F19C4">
            <w:pPr>
              <w:pStyle w:val="Tabletext"/>
              <w:framePr w:hSpace="181" w:wrap="notBeside" w:vAnchor="text" w:hAnchor="text" w:xAlign="center" w:y="1"/>
              <w:jc w:val="center"/>
            </w:pPr>
            <w:r>
              <w:rPr>
                <w:lang w:val="fr-CH"/>
              </w:rPr>
              <w:t>182</w:t>
            </w:r>
          </w:p>
        </w:tc>
        <w:tc>
          <w:tcPr>
            <w:tcW w:w="1144" w:type="dxa"/>
          </w:tcPr>
          <w:p w:rsidR="002B489A" w:rsidRDefault="004F19C4">
            <w:pPr>
              <w:pStyle w:val="Tabletext"/>
              <w:framePr w:hSpace="181" w:wrap="notBeside" w:vAnchor="text" w:hAnchor="text" w:xAlign="center" w:y="1"/>
              <w:jc w:val="center"/>
            </w:pPr>
            <w:r>
              <w:rPr>
                <w:lang w:val="fr-CH"/>
              </w:rPr>
              <w:t>276</w:t>
            </w:r>
          </w:p>
        </w:tc>
        <w:tc>
          <w:tcPr>
            <w:tcW w:w="1162" w:type="dxa"/>
          </w:tcPr>
          <w:p w:rsidR="002B489A" w:rsidRDefault="004F19C4">
            <w:pPr>
              <w:pStyle w:val="Tabletext"/>
              <w:framePr w:hSpace="181" w:wrap="notBeside" w:vAnchor="text" w:hAnchor="text" w:xAlign="center" w:y="1"/>
              <w:jc w:val="center"/>
            </w:pPr>
            <w:r>
              <w:rPr>
                <w:lang w:val="fr-CH"/>
              </w:rPr>
              <w:t>168</w:t>
            </w:r>
          </w:p>
        </w:tc>
        <w:tc>
          <w:tcPr>
            <w:tcW w:w="1148" w:type="dxa"/>
          </w:tcPr>
          <w:p w:rsidR="002B489A" w:rsidRDefault="004F19C4">
            <w:pPr>
              <w:pStyle w:val="Tabletext"/>
              <w:framePr w:hSpace="181" w:wrap="notBeside" w:vAnchor="text" w:hAnchor="text" w:xAlign="center" w:y="1"/>
              <w:jc w:val="center"/>
            </w:pPr>
            <w:r>
              <w:rPr>
                <w:lang w:val="fr-CH"/>
              </w:rPr>
              <w:t>152</w:t>
            </w:r>
          </w:p>
        </w:tc>
        <w:tc>
          <w:tcPr>
            <w:tcW w:w="1176" w:type="dxa"/>
          </w:tcPr>
          <w:p w:rsidR="002B489A" w:rsidRDefault="004F19C4">
            <w:pPr>
              <w:pStyle w:val="Tabletext"/>
              <w:framePr w:hSpace="181" w:wrap="notBeside" w:vAnchor="text" w:hAnchor="text" w:xAlign="center" w:y="1"/>
              <w:jc w:val="center"/>
            </w:pPr>
            <w:r>
              <w:rPr>
                <w:lang w:val="fr-CH"/>
              </w:rPr>
              <w:t>172</w:t>
            </w:r>
          </w:p>
        </w:tc>
      </w:tr>
      <w:tr w:rsidR="002B489A">
        <w:tc>
          <w:tcPr>
            <w:tcW w:w="3832" w:type="dxa"/>
            <w:tcMar>
              <w:left w:w="85" w:type="dxa"/>
              <w:right w:w="85" w:type="dxa"/>
            </w:tcMar>
          </w:tcPr>
          <w:p w:rsidR="002B489A" w:rsidRDefault="004F19C4">
            <w:pPr>
              <w:pStyle w:val="Tabletext"/>
              <w:framePr w:hSpace="181" w:wrap="notBeside" w:vAnchor="text" w:hAnchor="text" w:xAlign="center" w:y="1"/>
              <w:jc w:val="left"/>
            </w:pPr>
            <w:r>
              <w:rPr>
                <w:lang w:val="fr-CH"/>
              </w:rPr>
              <w:t>Bande de garde supplémentaire requise (MHz)</w:t>
            </w:r>
          </w:p>
        </w:tc>
        <w:tc>
          <w:tcPr>
            <w:tcW w:w="1193" w:type="dxa"/>
          </w:tcPr>
          <w:p w:rsidR="002B489A" w:rsidRDefault="004F19C4">
            <w:pPr>
              <w:pStyle w:val="Tabletext"/>
              <w:framePr w:hSpace="181" w:wrap="notBeside" w:vAnchor="text" w:hAnchor="text" w:xAlign="center" w:y="1"/>
              <w:jc w:val="center"/>
            </w:pPr>
            <w:r>
              <w:rPr>
                <w:lang w:val="fr-CH"/>
              </w:rPr>
              <w:t>32</w:t>
            </w:r>
          </w:p>
        </w:tc>
        <w:tc>
          <w:tcPr>
            <w:tcW w:w="1144" w:type="dxa"/>
          </w:tcPr>
          <w:p w:rsidR="002B489A" w:rsidRDefault="004F19C4">
            <w:pPr>
              <w:pStyle w:val="Tabletext"/>
              <w:framePr w:hSpace="181" w:wrap="notBeside" w:vAnchor="text" w:hAnchor="text" w:xAlign="center" w:y="1"/>
              <w:jc w:val="center"/>
            </w:pPr>
            <w:r>
              <w:rPr>
                <w:lang w:val="fr-CH"/>
              </w:rPr>
              <w:t>126</w:t>
            </w:r>
          </w:p>
        </w:tc>
        <w:tc>
          <w:tcPr>
            <w:tcW w:w="1162" w:type="dxa"/>
          </w:tcPr>
          <w:p w:rsidR="002B489A" w:rsidRDefault="004F19C4">
            <w:pPr>
              <w:pStyle w:val="Tabletext"/>
              <w:framePr w:hSpace="181" w:wrap="notBeside" w:vAnchor="text" w:hAnchor="text" w:xAlign="center" w:y="1"/>
              <w:jc w:val="center"/>
            </w:pPr>
            <w:r>
              <w:rPr>
                <w:lang w:val="fr-CH"/>
              </w:rPr>
              <w:t>18</w:t>
            </w:r>
          </w:p>
        </w:tc>
        <w:tc>
          <w:tcPr>
            <w:tcW w:w="1148" w:type="dxa"/>
          </w:tcPr>
          <w:p w:rsidR="002B489A" w:rsidRDefault="004F19C4">
            <w:pPr>
              <w:pStyle w:val="Tabletext"/>
              <w:framePr w:hSpace="181" w:wrap="notBeside" w:vAnchor="text" w:hAnchor="text" w:xAlign="center" w:y="1"/>
              <w:jc w:val="center"/>
            </w:pPr>
            <w:r>
              <w:rPr>
                <w:lang w:val="fr-CH"/>
              </w:rPr>
              <w:t>2</w:t>
            </w:r>
          </w:p>
        </w:tc>
        <w:tc>
          <w:tcPr>
            <w:tcW w:w="1176" w:type="dxa"/>
          </w:tcPr>
          <w:p w:rsidR="002B489A" w:rsidRDefault="004F19C4">
            <w:pPr>
              <w:pStyle w:val="Tabletext"/>
              <w:framePr w:hSpace="181" w:wrap="notBeside" w:vAnchor="text" w:hAnchor="text" w:xAlign="center" w:y="1"/>
              <w:jc w:val="center"/>
            </w:pPr>
            <w:r>
              <w:rPr>
                <w:lang w:val="fr-CH"/>
              </w:rPr>
              <w:t>22</w:t>
            </w:r>
          </w:p>
        </w:tc>
      </w:tr>
    </w:tbl>
    <w:p w:rsidR="002B489A" w:rsidRDefault="002B489A">
      <w:pPr>
        <w:pStyle w:val="Tablefin"/>
        <w:spacing w:before="0"/>
        <w:rPr>
          <w:lang w:val="fr-CH"/>
        </w:rPr>
      </w:pPr>
    </w:p>
    <w:p w:rsidR="002B489A" w:rsidRDefault="004F19C4">
      <w:pPr>
        <w:pStyle w:val="TableNo"/>
      </w:pPr>
      <w:r>
        <w:t>TABLEAU  52</w:t>
      </w:r>
    </w:p>
    <w:p w:rsidR="002B489A" w:rsidRDefault="004F19C4">
      <w:pPr>
        <w:pStyle w:val="Tabletitle"/>
      </w:pPr>
      <w:r>
        <w:rPr>
          <w:bCs/>
        </w:rPr>
        <w:t>Ré</w:t>
      </w:r>
      <w:r>
        <w:t>capitulation des bandes de garde nécessaires pour protéger le «détecteur en peigne» contre les liaisons SIS (largeur de bande nécessaire de 100 MHz)</w:t>
      </w: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32"/>
        <w:gridCol w:w="1193"/>
        <w:gridCol w:w="1144"/>
        <w:gridCol w:w="1162"/>
        <w:gridCol w:w="1148"/>
        <w:gridCol w:w="1176"/>
      </w:tblGrid>
      <w:tr w:rsidR="002B489A">
        <w:tc>
          <w:tcPr>
            <w:tcW w:w="3832" w:type="dxa"/>
          </w:tcPr>
          <w:p w:rsidR="002B489A" w:rsidRDefault="002B489A">
            <w:pPr>
              <w:pStyle w:val="Tablehead"/>
              <w:framePr w:hSpace="181" w:wrap="notBeside" w:vAnchor="text" w:hAnchor="text" w:xAlign="center" w:y="1"/>
            </w:pPr>
          </w:p>
        </w:tc>
        <w:tc>
          <w:tcPr>
            <w:tcW w:w="1193" w:type="dxa"/>
          </w:tcPr>
          <w:p w:rsidR="002B489A" w:rsidRDefault="004F19C4">
            <w:pPr>
              <w:pStyle w:val="Tablehead"/>
              <w:framePr w:hSpace="181" w:wrap="notBeside" w:vAnchor="text" w:hAnchor="text" w:xAlign="center" w:y="1"/>
              <w:rPr>
                <w:lang w:val="es-ES"/>
              </w:rPr>
            </w:pPr>
            <w:r>
              <w:rPr>
                <w:lang w:val="es-ES"/>
              </w:rPr>
              <w:t>LEO-1</w:t>
            </w:r>
          </w:p>
        </w:tc>
        <w:tc>
          <w:tcPr>
            <w:tcW w:w="1144" w:type="dxa"/>
          </w:tcPr>
          <w:p w:rsidR="002B489A" w:rsidRDefault="004F19C4">
            <w:pPr>
              <w:pStyle w:val="Tablehead"/>
              <w:framePr w:hSpace="181" w:wrap="notBeside" w:vAnchor="text" w:hAnchor="text" w:xAlign="center" w:y="1"/>
              <w:rPr>
                <w:lang w:val="es-ES"/>
              </w:rPr>
            </w:pPr>
            <w:r>
              <w:rPr>
                <w:lang w:val="es-ES"/>
              </w:rPr>
              <w:t>LEO-2</w:t>
            </w:r>
          </w:p>
        </w:tc>
        <w:tc>
          <w:tcPr>
            <w:tcW w:w="1162" w:type="dxa"/>
          </w:tcPr>
          <w:p w:rsidR="002B489A" w:rsidRDefault="004F19C4">
            <w:pPr>
              <w:pStyle w:val="Tablehead"/>
              <w:framePr w:hSpace="181" w:wrap="notBeside" w:vAnchor="text" w:hAnchor="text" w:xAlign="center" w:y="1"/>
              <w:rPr>
                <w:lang w:val="es-ES"/>
              </w:rPr>
            </w:pPr>
            <w:r>
              <w:rPr>
                <w:lang w:val="es-ES"/>
              </w:rPr>
              <w:t>LEO-3</w:t>
            </w:r>
          </w:p>
        </w:tc>
        <w:tc>
          <w:tcPr>
            <w:tcW w:w="1148" w:type="dxa"/>
          </w:tcPr>
          <w:p w:rsidR="002B489A" w:rsidRDefault="004F19C4">
            <w:pPr>
              <w:pStyle w:val="Tablehead"/>
              <w:framePr w:hSpace="181" w:wrap="notBeside" w:vAnchor="text" w:hAnchor="text" w:xAlign="center" w:y="1"/>
            </w:pPr>
            <w:r>
              <w:t>LEO-4</w:t>
            </w:r>
          </w:p>
        </w:tc>
        <w:tc>
          <w:tcPr>
            <w:tcW w:w="1176" w:type="dxa"/>
          </w:tcPr>
          <w:p w:rsidR="002B489A" w:rsidRDefault="004F19C4">
            <w:pPr>
              <w:pStyle w:val="Tablehead"/>
              <w:framePr w:hSpace="181" w:wrap="notBeside" w:vAnchor="text" w:hAnchor="text" w:xAlign="center" w:y="1"/>
            </w:pPr>
            <w:r>
              <w:t>GEO</w:t>
            </w:r>
          </w:p>
        </w:tc>
      </w:tr>
      <w:tr w:rsidR="002B489A">
        <w:tc>
          <w:tcPr>
            <w:tcW w:w="3832" w:type="dxa"/>
            <w:tcMar>
              <w:left w:w="85" w:type="dxa"/>
              <w:right w:w="85" w:type="dxa"/>
            </w:tcMar>
          </w:tcPr>
          <w:p w:rsidR="002B489A" w:rsidRDefault="004F19C4">
            <w:pPr>
              <w:pStyle w:val="Tabletext"/>
              <w:framePr w:hSpace="181" w:wrap="notBeside" w:vAnchor="text" w:hAnchor="text" w:xAlign="center" w:y="1"/>
              <w:jc w:val="left"/>
            </w:pPr>
            <w:r>
              <w:t>Suppression de puissance requise (dB)</w:t>
            </w:r>
          </w:p>
        </w:tc>
        <w:tc>
          <w:tcPr>
            <w:tcW w:w="1193" w:type="dxa"/>
          </w:tcPr>
          <w:p w:rsidR="002B489A" w:rsidRDefault="004F19C4">
            <w:pPr>
              <w:pStyle w:val="Tabletext"/>
              <w:framePr w:hSpace="181" w:wrap="notBeside" w:vAnchor="text" w:hAnchor="text" w:xAlign="center" w:y="1"/>
              <w:jc w:val="center"/>
            </w:pPr>
            <w:r>
              <w:t>34,75</w:t>
            </w:r>
          </w:p>
        </w:tc>
        <w:tc>
          <w:tcPr>
            <w:tcW w:w="1144" w:type="dxa"/>
          </w:tcPr>
          <w:p w:rsidR="002B489A" w:rsidRDefault="004F19C4">
            <w:pPr>
              <w:pStyle w:val="Tabletext"/>
              <w:framePr w:hSpace="181" w:wrap="notBeside" w:vAnchor="text" w:hAnchor="text" w:xAlign="center" w:y="1"/>
              <w:jc w:val="center"/>
            </w:pPr>
            <w:r>
              <w:t>44,09</w:t>
            </w:r>
          </w:p>
        </w:tc>
        <w:tc>
          <w:tcPr>
            <w:tcW w:w="1162" w:type="dxa"/>
          </w:tcPr>
          <w:p w:rsidR="002B489A" w:rsidRDefault="004F19C4">
            <w:pPr>
              <w:pStyle w:val="Tabletext"/>
              <w:framePr w:hSpace="181" w:wrap="notBeside" w:vAnchor="text" w:hAnchor="text" w:xAlign="center" w:y="1"/>
              <w:jc w:val="center"/>
            </w:pPr>
            <w:r>
              <w:t>31,01</w:t>
            </w:r>
          </w:p>
        </w:tc>
        <w:tc>
          <w:tcPr>
            <w:tcW w:w="1148" w:type="dxa"/>
          </w:tcPr>
          <w:p w:rsidR="002B489A" w:rsidRDefault="004F19C4">
            <w:pPr>
              <w:pStyle w:val="Tabletext"/>
              <w:framePr w:hSpace="181" w:wrap="notBeside" w:vAnchor="text" w:hAnchor="text" w:xAlign="center" w:y="1"/>
              <w:jc w:val="center"/>
            </w:pPr>
            <w:r>
              <w:t>25,76</w:t>
            </w:r>
          </w:p>
        </w:tc>
        <w:tc>
          <w:tcPr>
            <w:tcW w:w="1176" w:type="dxa"/>
          </w:tcPr>
          <w:p w:rsidR="002B489A" w:rsidRDefault="004F19C4">
            <w:pPr>
              <w:pStyle w:val="Tabletext"/>
              <w:framePr w:hSpace="181" w:wrap="notBeside" w:vAnchor="text" w:hAnchor="text" w:xAlign="center" w:y="1"/>
              <w:jc w:val="center"/>
            </w:pPr>
            <w:r>
              <w:t>32,06</w:t>
            </w:r>
          </w:p>
        </w:tc>
      </w:tr>
      <w:tr w:rsidR="002B489A">
        <w:tc>
          <w:tcPr>
            <w:tcW w:w="3832" w:type="dxa"/>
            <w:tcMar>
              <w:left w:w="85" w:type="dxa"/>
              <w:right w:w="85" w:type="dxa"/>
            </w:tcMar>
          </w:tcPr>
          <w:p w:rsidR="002B489A" w:rsidRDefault="004F19C4">
            <w:pPr>
              <w:pStyle w:val="Tabletext"/>
              <w:framePr w:hSpace="181" w:wrap="notBeside" w:vAnchor="text" w:hAnchor="text" w:xAlign="center" w:y="1"/>
              <w:jc w:val="left"/>
            </w:pPr>
            <w:r>
              <w:t>Largeur de bande nécessaire (MHz)</w:t>
            </w:r>
          </w:p>
        </w:tc>
        <w:tc>
          <w:tcPr>
            <w:tcW w:w="5823" w:type="dxa"/>
            <w:gridSpan w:val="5"/>
          </w:tcPr>
          <w:p w:rsidR="002B489A" w:rsidRDefault="004F19C4">
            <w:pPr>
              <w:pStyle w:val="Tabletext"/>
              <w:framePr w:hSpace="181" w:wrap="notBeside" w:vAnchor="text" w:hAnchor="text" w:xAlign="center" w:y="1"/>
              <w:jc w:val="center"/>
            </w:pPr>
            <w:r>
              <w:t>100</w:t>
            </w:r>
          </w:p>
        </w:tc>
      </w:tr>
      <w:tr w:rsidR="002B489A">
        <w:tc>
          <w:tcPr>
            <w:tcW w:w="3832" w:type="dxa"/>
            <w:tcMar>
              <w:left w:w="85" w:type="dxa"/>
              <w:right w:w="85" w:type="dxa"/>
            </w:tcMar>
          </w:tcPr>
          <w:p w:rsidR="002B489A" w:rsidRDefault="004F19C4">
            <w:pPr>
              <w:pStyle w:val="Tabletext"/>
              <w:framePr w:hSpace="181" w:wrap="notBeside" w:vAnchor="text" w:hAnchor="text" w:xAlign="center" w:y="1"/>
              <w:jc w:val="left"/>
            </w:pPr>
            <w:r>
              <w:t xml:space="preserve">Bande passive (% </w:t>
            </w:r>
            <w:r>
              <w:rPr>
                <w:i/>
                <w:iCs/>
              </w:rPr>
              <w:t>B</w:t>
            </w:r>
            <w:r>
              <w:rPr>
                <w:i/>
                <w:iCs/>
                <w:vertAlign w:val="subscript"/>
              </w:rPr>
              <w:t>N</w:t>
            </w:r>
            <w:r>
              <w:t>)</w:t>
            </w:r>
          </w:p>
        </w:tc>
        <w:tc>
          <w:tcPr>
            <w:tcW w:w="5823" w:type="dxa"/>
            <w:gridSpan w:val="5"/>
          </w:tcPr>
          <w:p w:rsidR="002B489A" w:rsidRDefault="004F19C4">
            <w:pPr>
              <w:pStyle w:val="Tabletext"/>
              <w:framePr w:hSpace="181" w:wrap="notBeside" w:vAnchor="text" w:hAnchor="text" w:xAlign="center" w:y="1"/>
              <w:jc w:val="center"/>
            </w:pPr>
            <w:r>
              <w:t>400</w:t>
            </w:r>
          </w:p>
        </w:tc>
      </w:tr>
      <w:tr w:rsidR="002B489A">
        <w:tc>
          <w:tcPr>
            <w:tcW w:w="3832" w:type="dxa"/>
            <w:tcMar>
              <w:left w:w="85" w:type="dxa"/>
              <w:right w:w="85" w:type="dxa"/>
            </w:tcMar>
          </w:tcPr>
          <w:p w:rsidR="002B489A" w:rsidRDefault="004F19C4">
            <w:pPr>
              <w:pStyle w:val="Tabletext"/>
              <w:framePr w:hSpace="181" w:wrap="notBeside" w:vAnchor="text" w:hAnchor="text" w:xAlign="center" w:y="1"/>
              <w:jc w:val="left"/>
            </w:pPr>
            <w:r>
              <w:t>Décalage à la bande centrale</w:t>
            </w:r>
            <w:r>
              <w:rPr>
                <w:i/>
                <w:iCs/>
              </w:rPr>
              <w:t xml:space="preserve"> B</w:t>
            </w:r>
            <w:r>
              <w:rPr>
                <w:i/>
                <w:iCs/>
                <w:vertAlign w:val="subscript"/>
              </w:rPr>
              <w:t>N</w:t>
            </w:r>
            <w:r>
              <w:t xml:space="preserve"> (% </w:t>
            </w:r>
            <w:r>
              <w:rPr>
                <w:i/>
                <w:iCs/>
              </w:rPr>
              <w:t>B</w:t>
            </w:r>
            <w:r>
              <w:rPr>
                <w:i/>
                <w:iCs/>
                <w:vertAlign w:val="subscript"/>
              </w:rPr>
              <w:t>N</w:t>
            </w:r>
            <w:r>
              <w:t>)</w:t>
            </w:r>
          </w:p>
        </w:tc>
        <w:tc>
          <w:tcPr>
            <w:tcW w:w="1193" w:type="dxa"/>
          </w:tcPr>
          <w:p w:rsidR="002B489A" w:rsidRDefault="004F19C4">
            <w:pPr>
              <w:pStyle w:val="Tabletext"/>
              <w:framePr w:hSpace="181" w:wrap="notBeside" w:vAnchor="text" w:hAnchor="text" w:xAlign="center" w:y="1"/>
              <w:jc w:val="center"/>
            </w:pPr>
            <w:r>
              <w:t>91</w:t>
            </w:r>
          </w:p>
        </w:tc>
        <w:tc>
          <w:tcPr>
            <w:tcW w:w="1144" w:type="dxa"/>
          </w:tcPr>
          <w:p w:rsidR="002B489A" w:rsidRDefault="004F19C4">
            <w:pPr>
              <w:pStyle w:val="Tabletext"/>
              <w:framePr w:hSpace="181" w:wrap="notBeside" w:vAnchor="text" w:hAnchor="text" w:xAlign="center" w:y="1"/>
              <w:jc w:val="center"/>
            </w:pPr>
            <w:r>
              <w:t>138</w:t>
            </w:r>
          </w:p>
        </w:tc>
        <w:tc>
          <w:tcPr>
            <w:tcW w:w="1162" w:type="dxa"/>
          </w:tcPr>
          <w:p w:rsidR="002B489A" w:rsidRDefault="004F19C4">
            <w:pPr>
              <w:pStyle w:val="Tabletext"/>
              <w:framePr w:hSpace="181" w:wrap="notBeside" w:vAnchor="text" w:hAnchor="text" w:xAlign="center" w:y="1"/>
              <w:jc w:val="center"/>
            </w:pPr>
            <w:r>
              <w:t>84</w:t>
            </w:r>
          </w:p>
        </w:tc>
        <w:tc>
          <w:tcPr>
            <w:tcW w:w="1148" w:type="dxa"/>
          </w:tcPr>
          <w:p w:rsidR="002B489A" w:rsidRDefault="004F19C4">
            <w:pPr>
              <w:pStyle w:val="Tabletext"/>
              <w:framePr w:hSpace="181" w:wrap="notBeside" w:vAnchor="text" w:hAnchor="text" w:xAlign="center" w:y="1"/>
              <w:jc w:val="center"/>
            </w:pPr>
            <w:r>
              <w:t>76</w:t>
            </w:r>
          </w:p>
        </w:tc>
        <w:tc>
          <w:tcPr>
            <w:tcW w:w="1176" w:type="dxa"/>
          </w:tcPr>
          <w:p w:rsidR="002B489A" w:rsidRDefault="004F19C4">
            <w:pPr>
              <w:pStyle w:val="Tabletext"/>
              <w:framePr w:hSpace="181" w:wrap="notBeside" w:vAnchor="text" w:hAnchor="text" w:xAlign="center" w:y="1"/>
              <w:jc w:val="center"/>
            </w:pPr>
            <w:r>
              <w:t>86</w:t>
            </w:r>
          </w:p>
        </w:tc>
      </w:tr>
      <w:tr w:rsidR="002B489A">
        <w:tc>
          <w:tcPr>
            <w:tcW w:w="3832" w:type="dxa"/>
            <w:tcMar>
              <w:left w:w="85" w:type="dxa"/>
              <w:right w:w="85" w:type="dxa"/>
            </w:tcMar>
          </w:tcPr>
          <w:p w:rsidR="002B489A" w:rsidRDefault="004F19C4">
            <w:pPr>
              <w:pStyle w:val="Tabletext"/>
              <w:framePr w:hSpace="181" w:wrap="notBeside" w:vAnchor="text" w:hAnchor="text" w:xAlign="center" w:y="1"/>
              <w:jc w:val="left"/>
            </w:pPr>
            <w:r>
              <w:t xml:space="preserve">Décalage à la bande centrale </w:t>
            </w:r>
            <w:r>
              <w:rPr>
                <w:i/>
                <w:iCs/>
              </w:rPr>
              <w:t>B</w:t>
            </w:r>
            <w:r>
              <w:rPr>
                <w:i/>
                <w:iCs/>
                <w:vertAlign w:val="subscript"/>
              </w:rPr>
              <w:t>N</w:t>
            </w:r>
            <w:r>
              <w:t> (MHz)</w:t>
            </w:r>
          </w:p>
        </w:tc>
        <w:tc>
          <w:tcPr>
            <w:tcW w:w="1193" w:type="dxa"/>
          </w:tcPr>
          <w:p w:rsidR="002B489A" w:rsidRDefault="004F19C4">
            <w:pPr>
              <w:pStyle w:val="Tabletext"/>
              <w:framePr w:hSpace="181" w:wrap="notBeside" w:vAnchor="text" w:hAnchor="text" w:xAlign="center" w:y="1"/>
              <w:jc w:val="center"/>
            </w:pPr>
            <w:r>
              <w:t>91</w:t>
            </w:r>
          </w:p>
        </w:tc>
        <w:tc>
          <w:tcPr>
            <w:tcW w:w="1144" w:type="dxa"/>
          </w:tcPr>
          <w:p w:rsidR="002B489A" w:rsidRDefault="004F19C4">
            <w:pPr>
              <w:pStyle w:val="Tabletext"/>
              <w:framePr w:hSpace="181" w:wrap="notBeside" w:vAnchor="text" w:hAnchor="text" w:xAlign="center" w:y="1"/>
              <w:jc w:val="center"/>
            </w:pPr>
            <w:r>
              <w:t>138</w:t>
            </w:r>
          </w:p>
        </w:tc>
        <w:tc>
          <w:tcPr>
            <w:tcW w:w="1162" w:type="dxa"/>
          </w:tcPr>
          <w:p w:rsidR="002B489A" w:rsidRDefault="004F19C4">
            <w:pPr>
              <w:pStyle w:val="Tabletext"/>
              <w:framePr w:hSpace="181" w:wrap="notBeside" w:vAnchor="text" w:hAnchor="text" w:xAlign="center" w:y="1"/>
              <w:jc w:val="center"/>
            </w:pPr>
            <w:r>
              <w:t>84</w:t>
            </w:r>
          </w:p>
        </w:tc>
        <w:tc>
          <w:tcPr>
            <w:tcW w:w="1148" w:type="dxa"/>
          </w:tcPr>
          <w:p w:rsidR="002B489A" w:rsidRDefault="004F19C4">
            <w:pPr>
              <w:pStyle w:val="Tabletext"/>
              <w:framePr w:hSpace="181" w:wrap="notBeside" w:vAnchor="text" w:hAnchor="text" w:xAlign="center" w:y="1"/>
              <w:jc w:val="center"/>
            </w:pPr>
            <w:r>
              <w:t>76</w:t>
            </w:r>
          </w:p>
        </w:tc>
        <w:tc>
          <w:tcPr>
            <w:tcW w:w="1176" w:type="dxa"/>
          </w:tcPr>
          <w:p w:rsidR="002B489A" w:rsidRDefault="004F19C4">
            <w:pPr>
              <w:pStyle w:val="Tabletext"/>
              <w:framePr w:hSpace="181" w:wrap="notBeside" w:vAnchor="text" w:hAnchor="text" w:xAlign="center" w:y="1"/>
              <w:jc w:val="center"/>
            </w:pPr>
            <w:r>
              <w:t>86</w:t>
            </w:r>
          </w:p>
        </w:tc>
      </w:tr>
      <w:tr w:rsidR="002B489A">
        <w:tc>
          <w:tcPr>
            <w:tcW w:w="3832" w:type="dxa"/>
            <w:tcMar>
              <w:left w:w="85" w:type="dxa"/>
              <w:right w:w="85" w:type="dxa"/>
            </w:tcMar>
          </w:tcPr>
          <w:p w:rsidR="002B489A" w:rsidRDefault="004F19C4">
            <w:pPr>
              <w:pStyle w:val="Tabletext"/>
              <w:framePr w:hSpace="181" w:wrap="notBeside" w:vAnchor="text" w:hAnchor="text" w:xAlign="center" w:y="1"/>
              <w:jc w:val="left"/>
            </w:pPr>
            <w:r>
              <w:t>Bande de garde supplémentaire requise (MHz)</w:t>
            </w:r>
          </w:p>
        </w:tc>
        <w:tc>
          <w:tcPr>
            <w:tcW w:w="1193" w:type="dxa"/>
          </w:tcPr>
          <w:p w:rsidR="002B489A" w:rsidRDefault="004F19C4">
            <w:pPr>
              <w:pStyle w:val="Tabletext"/>
              <w:framePr w:hSpace="181" w:wrap="notBeside" w:vAnchor="text" w:hAnchor="text" w:xAlign="center" w:y="1"/>
              <w:jc w:val="center"/>
            </w:pPr>
            <w:r>
              <w:t>0</w:t>
            </w:r>
          </w:p>
        </w:tc>
        <w:tc>
          <w:tcPr>
            <w:tcW w:w="1144" w:type="dxa"/>
          </w:tcPr>
          <w:p w:rsidR="002B489A" w:rsidRDefault="004F19C4">
            <w:pPr>
              <w:pStyle w:val="Tabletext"/>
              <w:framePr w:hSpace="181" w:wrap="notBeside" w:vAnchor="text" w:hAnchor="text" w:xAlign="center" w:y="1"/>
              <w:jc w:val="center"/>
            </w:pPr>
            <w:r>
              <w:t>38</w:t>
            </w:r>
          </w:p>
        </w:tc>
        <w:tc>
          <w:tcPr>
            <w:tcW w:w="1162" w:type="dxa"/>
          </w:tcPr>
          <w:p w:rsidR="002B489A" w:rsidRDefault="004F19C4">
            <w:pPr>
              <w:pStyle w:val="Tabletext"/>
              <w:framePr w:hSpace="181" w:wrap="notBeside" w:vAnchor="text" w:hAnchor="text" w:xAlign="center" w:y="1"/>
              <w:jc w:val="center"/>
            </w:pPr>
            <w:r>
              <w:t>0</w:t>
            </w:r>
          </w:p>
        </w:tc>
        <w:tc>
          <w:tcPr>
            <w:tcW w:w="1148" w:type="dxa"/>
          </w:tcPr>
          <w:p w:rsidR="002B489A" w:rsidRDefault="004F19C4">
            <w:pPr>
              <w:pStyle w:val="Tabletext"/>
              <w:framePr w:hSpace="181" w:wrap="notBeside" w:vAnchor="text" w:hAnchor="text" w:xAlign="center" w:y="1"/>
              <w:jc w:val="center"/>
            </w:pPr>
            <w:r>
              <w:t>0</w:t>
            </w:r>
          </w:p>
        </w:tc>
        <w:tc>
          <w:tcPr>
            <w:tcW w:w="1176" w:type="dxa"/>
          </w:tcPr>
          <w:p w:rsidR="002B489A" w:rsidRDefault="004F19C4">
            <w:pPr>
              <w:pStyle w:val="Tabletext"/>
              <w:framePr w:hSpace="181" w:wrap="notBeside" w:vAnchor="text" w:hAnchor="text" w:xAlign="center" w:y="1"/>
              <w:jc w:val="center"/>
            </w:pPr>
            <w:r>
              <w:t>0</w:t>
            </w:r>
          </w:p>
        </w:tc>
      </w:tr>
    </w:tbl>
    <w:p w:rsidR="002B489A" w:rsidRDefault="002B489A">
      <w:pPr>
        <w:pStyle w:val="Tablefin"/>
        <w:spacing w:before="0"/>
      </w:pPr>
    </w:p>
    <w:p w:rsidR="002B489A" w:rsidRDefault="004F19C4">
      <w:pPr>
        <w:pStyle w:val="TableNo"/>
      </w:pPr>
      <w:r>
        <w:br w:type="page"/>
        <w:t>TABLEAU  53</w:t>
      </w:r>
    </w:p>
    <w:p w:rsidR="002B489A" w:rsidRDefault="004F19C4">
      <w:pPr>
        <w:pStyle w:val="Tabletitle"/>
      </w:pPr>
      <w:r>
        <w:rPr>
          <w:bCs/>
        </w:rPr>
        <w:t>Ré</w:t>
      </w:r>
      <w:r>
        <w:t>capitulation des bandes de garde nécessaires pour protéger le «détecteur en peigne» contre les liaisons SIS (largeur de bande nécessaire de 50 MHz)</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5"/>
        <w:gridCol w:w="1158"/>
        <w:gridCol w:w="1159"/>
        <w:gridCol w:w="1159"/>
        <w:gridCol w:w="1159"/>
        <w:gridCol w:w="1159"/>
      </w:tblGrid>
      <w:tr w:rsidR="002B489A">
        <w:trPr>
          <w:trHeight w:hRule="exact" w:val="400"/>
        </w:trPr>
        <w:tc>
          <w:tcPr>
            <w:tcW w:w="3845" w:type="dxa"/>
          </w:tcPr>
          <w:p w:rsidR="002B489A" w:rsidRDefault="002B489A">
            <w:pPr>
              <w:pStyle w:val="Tablehead"/>
              <w:framePr w:hSpace="181" w:wrap="notBeside" w:vAnchor="text" w:hAnchor="text" w:xAlign="center" w:y="1"/>
            </w:pPr>
          </w:p>
        </w:tc>
        <w:tc>
          <w:tcPr>
            <w:tcW w:w="1158" w:type="dxa"/>
          </w:tcPr>
          <w:p w:rsidR="002B489A" w:rsidRDefault="004F19C4">
            <w:pPr>
              <w:pStyle w:val="Tablehead"/>
              <w:framePr w:hSpace="181" w:wrap="notBeside" w:vAnchor="text" w:hAnchor="text" w:xAlign="center" w:y="1"/>
              <w:rPr>
                <w:lang w:val="es-ES"/>
              </w:rPr>
            </w:pPr>
            <w:r>
              <w:rPr>
                <w:lang w:val="es-ES"/>
              </w:rPr>
              <w:t>LEO-1</w:t>
            </w:r>
          </w:p>
        </w:tc>
        <w:tc>
          <w:tcPr>
            <w:tcW w:w="1159" w:type="dxa"/>
          </w:tcPr>
          <w:p w:rsidR="002B489A" w:rsidRDefault="004F19C4">
            <w:pPr>
              <w:pStyle w:val="Tablehead"/>
              <w:framePr w:hSpace="181" w:wrap="notBeside" w:vAnchor="text" w:hAnchor="text" w:xAlign="center" w:y="1"/>
              <w:rPr>
                <w:lang w:val="es-ES"/>
              </w:rPr>
            </w:pPr>
            <w:r>
              <w:rPr>
                <w:lang w:val="es-ES"/>
              </w:rPr>
              <w:t>LEO-2</w:t>
            </w:r>
          </w:p>
        </w:tc>
        <w:tc>
          <w:tcPr>
            <w:tcW w:w="1159" w:type="dxa"/>
          </w:tcPr>
          <w:p w:rsidR="002B489A" w:rsidRDefault="004F19C4">
            <w:pPr>
              <w:pStyle w:val="Tablehead"/>
              <w:framePr w:hSpace="181" w:wrap="notBeside" w:vAnchor="text" w:hAnchor="text" w:xAlign="center" w:y="1"/>
              <w:rPr>
                <w:lang w:val="es-ES"/>
              </w:rPr>
            </w:pPr>
            <w:r>
              <w:rPr>
                <w:lang w:val="es-ES"/>
              </w:rPr>
              <w:t>LEO-3</w:t>
            </w:r>
          </w:p>
        </w:tc>
        <w:tc>
          <w:tcPr>
            <w:tcW w:w="1159" w:type="dxa"/>
          </w:tcPr>
          <w:p w:rsidR="002B489A" w:rsidRDefault="004F19C4">
            <w:pPr>
              <w:pStyle w:val="Tablehead"/>
              <w:framePr w:hSpace="181" w:wrap="notBeside" w:vAnchor="text" w:hAnchor="text" w:xAlign="center" w:y="1"/>
            </w:pPr>
            <w:r>
              <w:t>LEO-4</w:t>
            </w:r>
          </w:p>
        </w:tc>
        <w:tc>
          <w:tcPr>
            <w:tcW w:w="1159" w:type="dxa"/>
            <w:tcBorders>
              <w:right w:val="single" w:sz="4" w:space="0" w:color="auto"/>
            </w:tcBorders>
          </w:tcPr>
          <w:p w:rsidR="002B489A" w:rsidRDefault="004F19C4">
            <w:pPr>
              <w:pStyle w:val="Tablehead"/>
              <w:framePr w:hSpace="181" w:wrap="notBeside" w:vAnchor="text" w:hAnchor="text" w:xAlign="center" w:y="1"/>
            </w:pPr>
            <w:r>
              <w:t>GEO</w:t>
            </w:r>
          </w:p>
        </w:tc>
      </w:tr>
      <w:tr w:rsidR="002B489A">
        <w:tc>
          <w:tcPr>
            <w:tcW w:w="3845" w:type="dxa"/>
            <w:tcMar>
              <w:left w:w="85" w:type="dxa"/>
              <w:right w:w="85" w:type="dxa"/>
            </w:tcMar>
          </w:tcPr>
          <w:p w:rsidR="002B489A" w:rsidRDefault="004F19C4">
            <w:pPr>
              <w:pStyle w:val="Tabletext"/>
              <w:framePr w:hSpace="181" w:wrap="notBeside" w:vAnchor="text" w:hAnchor="text" w:xAlign="center" w:y="1"/>
              <w:jc w:val="left"/>
            </w:pPr>
            <w:r>
              <w:t>Suppression de puissance requise (dB)</w:t>
            </w:r>
          </w:p>
        </w:tc>
        <w:tc>
          <w:tcPr>
            <w:tcW w:w="1158" w:type="dxa"/>
          </w:tcPr>
          <w:p w:rsidR="002B489A" w:rsidRDefault="004F19C4">
            <w:pPr>
              <w:pStyle w:val="Tabletext"/>
              <w:framePr w:hSpace="181" w:wrap="notBeside" w:vAnchor="text" w:hAnchor="text" w:xAlign="center" w:y="1"/>
              <w:jc w:val="center"/>
            </w:pPr>
            <w:r>
              <w:t>31,75</w:t>
            </w:r>
          </w:p>
        </w:tc>
        <w:tc>
          <w:tcPr>
            <w:tcW w:w="1159" w:type="dxa"/>
          </w:tcPr>
          <w:p w:rsidR="002B489A" w:rsidRDefault="004F19C4">
            <w:pPr>
              <w:pStyle w:val="Tabletext"/>
              <w:framePr w:hSpace="181" w:wrap="notBeside" w:vAnchor="text" w:hAnchor="text" w:xAlign="center" w:y="1"/>
              <w:jc w:val="center"/>
            </w:pPr>
            <w:r>
              <w:t>41,09</w:t>
            </w:r>
          </w:p>
        </w:tc>
        <w:tc>
          <w:tcPr>
            <w:tcW w:w="1159" w:type="dxa"/>
          </w:tcPr>
          <w:p w:rsidR="002B489A" w:rsidRDefault="004F19C4">
            <w:pPr>
              <w:pStyle w:val="Tabletext"/>
              <w:framePr w:hSpace="181" w:wrap="notBeside" w:vAnchor="text" w:hAnchor="text" w:xAlign="center" w:y="1"/>
              <w:jc w:val="center"/>
            </w:pPr>
            <w:r>
              <w:t>28,01</w:t>
            </w:r>
          </w:p>
        </w:tc>
        <w:tc>
          <w:tcPr>
            <w:tcW w:w="1159" w:type="dxa"/>
          </w:tcPr>
          <w:p w:rsidR="002B489A" w:rsidRDefault="004F19C4">
            <w:pPr>
              <w:pStyle w:val="Tabletext"/>
              <w:framePr w:hSpace="181" w:wrap="notBeside" w:vAnchor="text" w:hAnchor="text" w:xAlign="center" w:y="1"/>
              <w:jc w:val="center"/>
            </w:pPr>
            <w:r>
              <w:t>22,76</w:t>
            </w:r>
          </w:p>
        </w:tc>
        <w:tc>
          <w:tcPr>
            <w:tcW w:w="1159" w:type="dxa"/>
            <w:tcBorders>
              <w:right w:val="single" w:sz="4" w:space="0" w:color="auto"/>
            </w:tcBorders>
          </w:tcPr>
          <w:p w:rsidR="002B489A" w:rsidRDefault="004F19C4">
            <w:pPr>
              <w:pStyle w:val="Tabletext"/>
              <w:framePr w:hSpace="181" w:wrap="notBeside" w:vAnchor="text" w:hAnchor="text" w:xAlign="center" w:y="1"/>
              <w:jc w:val="center"/>
            </w:pPr>
            <w:r>
              <w:t>29,06</w:t>
            </w:r>
          </w:p>
        </w:tc>
      </w:tr>
      <w:tr w:rsidR="002B489A">
        <w:tc>
          <w:tcPr>
            <w:tcW w:w="3845" w:type="dxa"/>
            <w:tcMar>
              <w:left w:w="85" w:type="dxa"/>
              <w:right w:w="85" w:type="dxa"/>
            </w:tcMar>
          </w:tcPr>
          <w:p w:rsidR="002B489A" w:rsidRDefault="004F19C4">
            <w:pPr>
              <w:pStyle w:val="Tabletext"/>
              <w:framePr w:hSpace="181" w:wrap="notBeside" w:vAnchor="text" w:hAnchor="text" w:xAlign="center" w:y="1"/>
              <w:jc w:val="left"/>
            </w:pPr>
            <w:r>
              <w:t>Largeur de bande nécessaire (MHz)</w:t>
            </w:r>
          </w:p>
        </w:tc>
        <w:tc>
          <w:tcPr>
            <w:tcW w:w="5794" w:type="dxa"/>
            <w:gridSpan w:val="5"/>
            <w:tcBorders>
              <w:right w:val="single" w:sz="4" w:space="0" w:color="auto"/>
            </w:tcBorders>
          </w:tcPr>
          <w:p w:rsidR="002B489A" w:rsidRDefault="004F19C4">
            <w:pPr>
              <w:pStyle w:val="Tabletext"/>
              <w:framePr w:hSpace="181" w:wrap="notBeside" w:vAnchor="text" w:hAnchor="text" w:xAlign="center" w:y="1"/>
              <w:jc w:val="center"/>
            </w:pPr>
            <w:r>
              <w:t>50</w:t>
            </w:r>
          </w:p>
        </w:tc>
      </w:tr>
      <w:tr w:rsidR="002B489A">
        <w:tc>
          <w:tcPr>
            <w:tcW w:w="3845" w:type="dxa"/>
            <w:tcMar>
              <w:left w:w="85" w:type="dxa"/>
              <w:right w:w="85" w:type="dxa"/>
            </w:tcMar>
          </w:tcPr>
          <w:p w:rsidR="002B489A" w:rsidRDefault="004F19C4">
            <w:pPr>
              <w:pStyle w:val="Tabletext"/>
              <w:framePr w:hSpace="181" w:wrap="notBeside" w:vAnchor="text" w:hAnchor="text" w:xAlign="center" w:y="1"/>
              <w:jc w:val="left"/>
            </w:pPr>
            <w:r>
              <w:t xml:space="preserve">Bande passive (% </w:t>
            </w:r>
            <w:r>
              <w:rPr>
                <w:i/>
                <w:iCs/>
              </w:rPr>
              <w:t>B</w:t>
            </w:r>
            <w:r>
              <w:rPr>
                <w:i/>
                <w:iCs/>
                <w:vertAlign w:val="subscript"/>
              </w:rPr>
              <w:t>N</w:t>
            </w:r>
            <w:r>
              <w:t>)</w:t>
            </w:r>
          </w:p>
        </w:tc>
        <w:tc>
          <w:tcPr>
            <w:tcW w:w="5794" w:type="dxa"/>
            <w:gridSpan w:val="5"/>
            <w:tcBorders>
              <w:right w:val="single" w:sz="4" w:space="0" w:color="auto"/>
            </w:tcBorders>
          </w:tcPr>
          <w:p w:rsidR="002B489A" w:rsidRDefault="004F19C4">
            <w:pPr>
              <w:pStyle w:val="Tabletext"/>
              <w:framePr w:hSpace="181" w:wrap="notBeside" w:vAnchor="text" w:hAnchor="text" w:xAlign="center" w:y="1"/>
              <w:jc w:val="center"/>
            </w:pPr>
            <w:r>
              <w:t>800</w:t>
            </w:r>
          </w:p>
        </w:tc>
      </w:tr>
      <w:tr w:rsidR="002B489A">
        <w:tc>
          <w:tcPr>
            <w:tcW w:w="3845" w:type="dxa"/>
            <w:tcMar>
              <w:left w:w="85" w:type="dxa"/>
              <w:right w:w="85" w:type="dxa"/>
            </w:tcMar>
          </w:tcPr>
          <w:p w:rsidR="002B489A" w:rsidRDefault="004F19C4">
            <w:pPr>
              <w:pStyle w:val="Tabletext"/>
              <w:framePr w:hSpace="181" w:wrap="notBeside" w:vAnchor="text" w:hAnchor="text" w:xAlign="center" w:y="1"/>
              <w:jc w:val="left"/>
            </w:pPr>
            <w:r>
              <w:t>Décalage à la bande centrale</w:t>
            </w:r>
            <w:r>
              <w:rPr>
                <w:i/>
                <w:iCs/>
              </w:rPr>
              <w:t xml:space="preserve"> B</w:t>
            </w:r>
            <w:r>
              <w:rPr>
                <w:i/>
                <w:iCs/>
                <w:vertAlign w:val="subscript"/>
              </w:rPr>
              <w:t>N</w:t>
            </w:r>
            <w:r>
              <w:t xml:space="preserve"> (% </w:t>
            </w:r>
            <w:r>
              <w:rPr>
                <w:i/>
                <w:iCs/>
              </w:rPr>
              <w:t>B</w:t>
            </w:r>
            <w:r>
              <w:rPr>
                <w:i/>
                <w:iCs/>
                <w:vertAlign w:val="subscript"/>
              </w:rPr>
              <w:t>N</w:t>
            </w:r>
            <w:r>
              <w:t>)</w:t>
            </w:r>
          </w:p>
        </w:tc>
        <w:tc>
          <w:tcPr>
            <w:tcW w:w="1158" w:type="dxa"/>
          </w:tcPr>
          <w:p w:rsidR="002B489A" w:rsidRDefault="004F19C4">
            <w:pPr>
              <w:pStyle w:val="Tabletext"/>
              <w:framePr w:hSpace="181" w:wrap="notBeside" w:vAnchor="text" w:hAnchor="text" w:xAlign="center" w:y="1"/>
              <w:jc w:val="center"/>
            </w:pPr>
            <w:r>
              <w:t>85</w:t>
            </w:r>
          </w:p>
        </w:tc>
        <w:tc>
          <w:tcPr>
            <w:tcW w:w="1159" w:type="dxa"/>
          </w:tcPr>
          <w:p w:rsidR="002B489A" w:rsidRDefault="004F19C4">
            <w:pPr>
              <w:pStyle w:val="Tabletext"/>
              <w:framePr w:hSpace="181" w:wrap="notBeside" w:vAnchor="text" w:hAnchor="text" w:xAlign="center" w:y="1"/>
              <w:jc w:val="center"/>
            </w:pPr>
            <w:r>
              <w:t>129</w:t>
            </w:r>
          </w:p>
        </w:tc>
        <w:tc>
          <w:tcPr>
            <w:tcW w:w="1159" w:type="dxa"/>
          </w:tcPr>
          <w:p w:rsidR="002B489A" w:rsidRDefault="004F19C4">
            <w:pPr>
              <w:pStyle w:val="Tabletext"/>
              <w:framePr w:hSpace="181" w:wrap="notBeside" w:vAnchor="text" w:hAnchor="text" w:xAlign="center" w:y="1"/>
              <w:jc w:val="center"/>
            </w:pPr>
            <w:r>
              <w:t>80</w:t>
            </w:r>
          </w:p>
        </w:tc>
        <w:tc>
          <w:tcPr>
            <w:tcW w:w="1159" w:type="dxa"/>
          </w:tcPr>
          <w:p w:rsidR="002B489A" w:rsidRDefault="004F19C4">
            <w:pPr>
              <w:pStyle w:val="Tabletext"/>
              <w:framePr w:hSpace="181" w:wrap="notBeside" w:vAnchor="text" w:hAnchor="text" w:xAlign="center" w:y="1"/>
              <w:jc w:val="center"/>
            </w:pPr>
            <w:r>
              <w:t>71</w:t>
            </w:r>
          </w:p>
        </w:tc>
        <w:tc>
          <w:tcPr>
            <w:tcW w:w="1159" w:type="dxa"/>
            <w:tcBorders>
              <w:right w:val="single" w:sz="4" w:space="0" w:color="auto"/>
            </w:tcBorders>
          </w:tcPr>
          <w:p w:rsidR="002B489A" w:rsidRDefault="004F19C4">
            <w:pPr>
              <w:pStyle w:val="Tabletext"/>
              <w:framePr w:hSpace="181" w:wrap="notBeside" w:vAnchor="text" w:hAnchor="text" w:xAlign="center" w:y="1"/>
              <w:jc w:val="center"/>
            </w:pPr>
            <w:r>
              <w:t>81</w:t>
            </w:r>
          </w:p>
        </w:tc>
      </w:tr>
      <w:tr w:rsidR="002B489A">
        <w:tc>
          <w:tcPr>
            <w:tcW w:w="3845" w:type="dxa"/>
            <w:tcMar>
              <w:left w:w="85" w:type="dxa"/>
              <w:right w:w="85" w:type="dxa"/>
            </w:tcMar>
          </w:tcPr>
          <w:p w:rsidR="002B489A" w:rsidRDefault="004F19C4">
            <w:pPr>
              <w:pStyle w:val="Tabletext"/>
              <w:framePr w:hSpace="181" w:wrap="notBeside" w:vAnchor="text" w:hAnchor="text" w:xAlign="center" w:y="1"/>
              <w:jc w:val="left"/>
            </w:pPr>
            <w:r>
              <w:t xml:space="preserve">Décalage à la bande centrale </w:t>
            </w:r>
            <w:r>
              <w:rPr>
                <w:i/>
                <w:iCs/>
              </w:rPr>
              <w:t>B</w:t>
            </w:r>
            <w:r>
              <w:rPr>
                <w:i/>
                <w:iCs/>
                <w:vertAlign w:val="subscript"/>
              </w:rPr>
              <w:t>N</w:t>
            </w:r>
            <w:r>
              <w:t> (MHz)</w:t>
            </w:r>
          </w:p>
        </w:tc>
        <w:tc>
          <w:tcPr>
            <w:tcW w:w="1158" w:type="dxa"/>
          </w:tcPr>
          <w:p w:rsidR="002B489A" w:rsidRDefault="004F19C4">
            <w:pPr>
              <w:pStyle w:val="Tabletext"/>
              <w:framePr w:hSpace="181" w:wrap="notBeside" w:vAnchor="text" w:hAnchor="text" w:xAlign="center" w:y="1"/>
              <w:jc w:val="center"/>
            </w:pPr>
            <w:r>
              <w:t>43</w:t>
            </w:r>
          </w:p>
        </w:tc>
        <w:tc>
          <w:tcPr>
            <w:tcW w:w="1159" w:type="dxa"/>
          </w:tcPr>
          <w:p w:rsidR="002B489A" w:rsidRDefault="004F19C4">
            <w:pPr>
              <w:pStyle w:val="Tabletext"/>
              <w:framePr w:hSpace="181" w:wrap="notBeside" w:vAnchor="text" w:hAnchor="text" w:xAlign="center" w:y="1"/>
              <w:jc w:val="center"/>
            </w:pPr>
            <w:r>
              <w:t>65</w:t>
            </w:r>
          </w:p>
        </w:tc>
        <w:tc>
          <w:tcPr>
            <w:tcW w:w="1159" w:type="dxa"/>
          </w:tcPr>
          <w:p w:rsidR="002B489A" w:rsidRDefault="004F19C4">
            <w:pPr>
              <w:pStyle w:val="Tabletext"/>
              <w:framePr w:hSpace="181" w:wrap="notBeside" w:vAnchor="text" w:hAnchor="text" w:xAlign="center" w:y="1"/>
              <w:jc w:val="center"/>
            </w:pPr>
            <w:r>
              <w:t>40</w:t>
            </w:r>
          </w:p>
        </w:tc>
        <w:tc>
          <w:tcPr>
            <w:tcW w:w="1159" w:type="dxa"/>
          </w:tcPr>
          <w:p w:rsidR="002B489A" w:rsidRDefault="004F19C4">
            <w:pPr>
              <w:pStyle w:val="Tabletext"/>
              <w:framePr w:hSpace="181" w:wrap="notBeside" w:vAnchor="text" w:hAnchor="text" w:xAlign="center" w:y="1"/>
              <w:jc w:val="center"/>
            </w:pPr>
            <w:r>
              <w:t>36</w:t>
            </w:r>
          </w:p>
        </w:tc>
        <w:tc>
          <w:tcPr>
            <w:tcW w:w="1159" w:type="dxa"/>
            <w:tcBorders>
              <w:right w:val="single" w:sz="4" w:space="0" w:color="auto"/>
            </w:tcBorders>
          </w:tcPr>
          <w:p w:rsidR="002B489A" w:rsidRDefault="004F19C4">
            <w:pPr>
              <w:pStyle w:val="Tabletext"/>
              <w:framePr w:hSpace="181" w:wrap="notBeside" w:vAnchor="text" w:hAnchor="text" w:xAlign="center" w:y="1"/>
              <w:jc w:val="center"/>
            </w:pPr>
            <w:r>
              <w:t>41</w:t>
            </w:r>
          </w:p>
        </w:tc>
      </w:tr>
      <w:tr w:rsidR="002B489A">
        <w:tc>
          <w:tcPr>
            <w:tcW w:w="3845" w:type="dxa"/>
            <w:tcBorders>
              <w:bottom w:val="single" w:sz="4" w:space="0" w:color="auto"/>
            </w:tcBorders>
            <w:tcMar>
              <w:left w:w="85" w:type="dxa"/>
              <w:right w:w="85" w:type="dxa"/>
            </w:tcMar>
          </w:tcPr>
          <w:p w:rsidR="002B489A" w:rsidRDefault="004F19C4">
            <w:pPr>
              <w:pStyle w:val="Tabletext"/>
              <w:framePr w:hSpace="181" w:wrap="notBeside" w:vAnchor="text" w:hAnchor="text" w:xAlign="center" w:y="1"/>
              <w:jc w:val="left"/>
            </w:pPr>
            <w:r>
              <w:t>Bande de garde supplémentaire requise (MHz)</w:t>
            </w:r>
          </w:p>
        </w:tc>
        <w:tc>
          <w:tcPr>
            <w:tcW w:w="1158" w:type="dxa"/>
            <w:tcBorders>
              <w:bottom w:val="single" w:sz="4" w:space="0" w:color="auto"/>
            </w:tcBorders>
          </w:tcPr>
          <w:p w:rsidR="002B489A" w:rsidRDefault="004F19C4">
            <w:pPr>
              <w:pStyle w:val="Tabletext"/>
              <w:framePr w:hSpace="181" w:wrap="notBeside" w:vAnchor="text" w:hAnchor="text" w:xAlign="center" w:y="1"/>
              <w:jc w:val="center"/>
            </w:pPr>
            <w:r>
              <w:t>0</w:t>
            </w:r>
          </w:p>
        </w:tc>
        <w:tc>
          <w:tcPr>
            <w:tcW w:w="1159" w:type="dxa"/>
            <w:tcBorders>
              <w:bottom w:val="single" w:sz="4" w:space="0" w:color="auto"/>
            </w:tcBorders>
          </w:tcPr>
          <w:p w:rsidR="002B489A" w:rsidRDefault="004F19C4">
            <w:pPr>
              <w:pStyle w:val="Tabletext"/>
              <w:framePr w:hSpace="181" w:wrap="notBeside" w:vAnchor="text" w:hAnchor="text" w:xAlign="center" w:y="1"/>
              <w:jc w:val="center"/>
            </w:pPr>
            <w:r>
              <w:t>0</w:t>
            </w:r>
          </w:p>
        </w:tc>
        <w:tc>
          <w:tcPr>
            <w:tcW w:w="1159" w:type="dxa"/>
            <w:tcBorders>
              <w:bottom w:val="single" w:sz="4" w:space="0" w:color="auto"/>
            </w:tcBorders>
          </w:tcPr>
          <w:p w:rsidR="002B489A" w:rsidRDefault="004F19C4">
            <w:pPr>
              <w:pStyle w:val="Tabletext"/>
              <w:framePr w:hSpace="181" w:wrap="notBeside" w:vAnchor="text" w:hAnchor="text" w:xAlign="center" w:y="1"/>
              <w:jc w:val="center"/>
            </w:pPr>
            <w:r>
              <w:t>0</w:t>
            </w:r>
          </w:p>
        </w:tc>
        <w:tc>
          <w:tcPr>
            <w:tcW w:w="1159" w:type="dxa"/>
            <w:tcBorders>
              <w:bottom w:val="single" w:sz="4" w:space="0" w:color="auto"/>
            </w:tcBorders>
          </w:tcPr>
          <w:p w:rsidR="002B489A" w:rsidRDefault="004F19C4">
            <w:pPr>
              <w:pStyle w:val="Tabletext"/>
              <w:framePr w:hSpace="181" w:wrap="notBeside" w:vAnchor="text" w:hAnchor="text" w:xAlign="center" w:y="1"/>
              <w:jc w:val="center"/>
            </w:pPr>
            <w:r>
              <w:t>0</w:t>
            </w:r>
          </w:p>
        </w:tc>
        <w:tc>
          <w:tcPr>
            <w:tcW w:w="1159" w:type="dxa"/>
            <w:tcBorders>
              <w:bottom w:val="single" w:sz="4" w:space="0" w:color="auto"/>
              <w:right w:val="single" w:sz="4" w:space="0" w:color="auto"/>
            </w:tcBorders>
          </w:tcPr>
          <w:p w:rsidR="002B489A" w:rsidRDefault="004F19C4">
            <w:pPr>
              <w:pStyle w:val="Tabletext"/>
              <w:framePr w:hSpace="181" w:wrap="notBeside" w:vAnchor="text" w:hAnchor="text" w:xAlign="center" w:y="1"/>
              <w:jc w:val="center"/>
            </w:pPr>
            <w:r>
              <w:t>0</w:t>
            </w:r>
          </w:p>
        </w:tc>
      </w:tr>
      <w:tr w:rsidR="002B489A">
        <w:trPr>
          <w:cantSplit/>
        </w:trPr>
        <w:tc>
          <w:tcPr>
            <w:tcW w:w="9639" w:type="dxa"/>
            <w:gridSpan w:val="6"/>
            <w:tcBorders>
              <w:left w:val="nil"/>
              <w:bottom w:val="nil"/>
              <w:right w:val="nil"/>
            </w:tcBorders>
            <w:tcMar>
              <w:left w:w="85" w:type="dxa"/>
              <w:right w:w="85" w:type="dxa"/>
            </w:tcMar>
          </w:tcPr>
          <w:p w:rsidR="002B489A" w:rsidRDefault="004F19C4">
            <w:pPr>
              <w:pStyle w:val="Tablelegend"/>
              <w:framePr w:hSpace="181" w:wrap="notBeside" w:vAnchor="text" w:hAnchor="text" w:xAlign="center" w:y="1"/>
              <w:ind w:left="0" w:firstLine="0"/>
            </w:pPr>
            <w:r>
              <w:t>NOTE 1 </w:t>
            </w:r>
            <w:r>
              <w:sym w:font="Symbol" w:char="F02D"/>
            </w:r>
            <w:r>
              <w:t> Dans le cas de LEO-1 et LEO-2, le cas le plus défavorable est obtenu dans le mode d'acquisition des données. Il est obtenu dans le mode étalonnage dans le cas de LEO-3, LEO-4 et GEO.</w:t>
            </w:r>
          </w:p>
        </w:tc>
      </w:tr>
    </w:tbl>
    <w:p w:rsidR="002B489A" w:rsidRDefault="002B489A">
      <w:pPr>
        <w:pStyle w:val="Tablefin"/>
        <w:rPr>
          <w:lang w:val="fr-FR"/>
        </w:rPr>
      </w:pPr>
    </w:p>
    <w:p w:rsidR="002B489A" w:rsidRDefault="004F19C4">
      <w:r>
        <w:t>Les simulations dynamiques ont montré qu'un rejet de 55,1 dB est requis: un tel rejet correspond à une bande de garde de 320 MHz.</w:t>
      </w:r>
    </w:p>
    <w:p w:rsidR="002B489A" w:rsidRDefault="004F19C4">
      <w:pPr>
        <w:pStyle w:val="Heading1"/>
        <w:spacing w:after="120"/>
      </w:pPr>
      <w:r>
        <w:t>5</w:t>
      </w:r>
      <w:r>
        <w:tab/>
        <w:t>Techniques de réduction des brouillages</w:t>
      </w:r>
    </w:p>
    <w:p w:rsidR="002B489A" w:rsidRDefault="004F19C4">
      <w:pPr>
        <w:pStyle w:val="Heading2"/>
      </w:pPr>
      <w:r>
        <w:t>5.1</w:t>
      </w:r>
      <w:r>
        <w:tab/>
        <w:t>SETS (passive)</w:t>
      </w:r>
    </w:p>
    <w:p w:rsidR="002B489A" w:rsidRDefault="004F19C4">
      <w:r>
        <w:t>Ce sujet doit faire l'objet de recherches ultérieures.</w:t>
      </w:r>
    </w:p>
    <w:p w:rsidR="002B489A" w:rsidRDefault="004F19C4">
      <w:pPr>
        <w:pStyle w:val="Heading2"/>
      </w:pPr>
      <w:r>
        <w:t>5.2</w:t>
      </w:r>
      <w:r>
        <w:tab/>
        <w:t>SIS</w:t>
      </w:r>
    </w:p>
    <w:p w:rsidR="002B489A" w:rsidRDefault="004F19C4">
      <w:r>
        <w:t>Les résultats de l'analyse (voir les Tableaux 45 à 53) indiquent que, dans les hypothèses de travail adoptées, l'application du gabarit de cosinus surélevé n'est pas suffisante lorsque la largeur de bande nécessaire est 200 MHz. D'autres techniques de réduction des brouillages peuvent aussi être employées en plus, afin de se conformer au seuil de brouillage du détecteur passif.</w:t>
      </w:r>
    </w:p>
    <w:p w:rsidR="002B489A" w:rsidRDefault="004F19C4">
      <w:pPr>
        <w:pStyle w:val="Heading3"/>
      </w:pPr>
      <w:r>
        <w:t>5.2.1</w:t>
      </w:r>
      <w:r>
        <w:tab/>
        <w:t>Limites de largeur de bande nécessaire et bande de garde</w:t>
      </w:r>
    </w:p>
    <w:p w:rsidR="002B489A" w:rsidRDefault="004F19C4">
      <w:r>
        <w:t>Les avantages de la diminution de la largeur de bande nécessaire sont clairement indiqués dans les Tableaux 48 et 53.</w:t>
      </w:r>
    </w:p>
    <w:p w:rsidR="002B489A" w:rsidRDefault="004F19C4">
      <w:pPr>
        <w:pStyle w:val="Heading3"/>
      </w:pPr>
      <w:r>
        <w:t>5.2.2</w:t>
      </w:r>
      <w:r>
        <w:tab/>
        <w:t>Filtrage en bande de base</w:t>
      </w:r>
    </w:p>
    <w:p w:rsidR="002B489A" w:rsidRDefault="004F19C4">
      <w:r>
        <w:t>Il faut noter que la plus grande part de la suppression des émissions hors bande bénéficierait pleinement de la décroissance de la forme d'onde de la modulation et du filtre analogique, s'ils sont mis en œuvre à bord. Afin de résoudre les cas pratiques de brouillage hors bande dans les bandes passives, il devient urgent d'obtenir un spectre typique des services actifs émettant hors de leur propre largeur de bande. Si ces spectres ne sont pas disponibles, l'autre moyen est d'obtenir un spectre des services actifs émettant au bord de leurs propres largeurs de bande: la connaissance de ces spectres pourrait nous donner assez d'informations pour prédire la décroissance des spectres dans les bandes adjacentes.</w:t>
      </w:r>
    </w:p>
    <w:p w:rsidR="002B489A" w:rsidRDefault="004F19C4">
      <w:pPr>
        <w:pStyle w:val="Heading3"/>
      </w:pPr>
      <w:r>
        <w:br w:type="page"/>
        <w:t>5.2.3</w:t>
      </w:r>
      <w:r>
        <w:tab/>
        <w:t>Puissance d'émission plus faible et/ou réduction de la largeur de bande nécessaire</w:t>
      </w:r>
    </w:p>
    <w:p w:rsidR="002B489A" w:rsidRDefault="004F19C4">
      <w:r>
        <w:t>La réduction de puissance et/ou de la largeur de bande nécessaire pourrait être réalisée en plaçant des applications à plus faible débit de données près du bord supérieur de la bande. Des liaisons SIS plus courtes conduiraient à une réduction de la p.i.r.e. nécessaire. De plus, une réduction des lobes latéraux de l'antenne serait aussi bénéfique.</w:t>
      </w:r>
    </w:p>
    <w:p w:rsidR="002B489A" w:rsidRDefault="004F19C4">
      <w:pPr>
        <w:pStyle w:val="Heading3"/>
      </w:pPr>
      <w:r>
        <w:t>5.2.4</w:t>
      </w:r>
      <w:r>
        <w:tab/>
        <w:t>Séparation géométrique et orbites SIS</w:t>
      </w:r>
    </w:p>
    <w:p w:rsidR="002B489A" w:rsidRDefault="004F19C4">
      <w:r>
        <w:t>Si on maintient une séparation géocentrique minimale entre le détecteur passif et les satellites actifs, cette séparation permettrait de diminuer la puissance reçue par le détecteur ou de réduire l'impact du brouillage temporel. Une telle séparation pourrait être en termes de distance orbitale, de séparation longitudinale pour les systèmes en orbites polaires ou géostationnaires, ou de séparation dans l'inclinaison de l'orbite. Les orbites SIS au-dessus de l'orbite SETS peuvent aussi améliorer la compatibilité.</w:t>
      </w:r>
    </w:p>
    <w:p w:rsidR="002B489A" w:rsidRDefault="004F19C4">
      <w:pPr>
        <w:pStyle w:val="Heading2"/>
      </w:pPr>
      <w:r>
        <w:t>5.3</w:t>
      </w:r>
      <w:r>
        <w:tab/>
        <w:t>Impact potentiel</w:t>
      </w:r>
    </w:p>
    <w:p w:rsidR="002B489A" w:rsidRDefault="004F19C4">
      <w:pPr>
        <w:pStyle w:val="Heading3"/>
      </w:pPr>
      <w:r>
        <w:t>5.3.1</w:t>
      </w:r>
      <w:r>
        <w:tab/>
        <w:t>SETS (passive)</w:t>
      </w:r>
    </w:p>
    <w:p w:rsidR="002B489A" w:rsidRDefault="004F19C4">
      <w:r>
        <w:t>Une réduction de la largeur de bande de mesure due à un brouillage inacceptable dans la partie inférieure de la bande attribuée au SETS peut dégrader la qualité des données en dessous du niveau requis. D'un autre côté, un changement de la conception du détecteur pour conserver ses performances au niveau requis accroîtra inévitablement de façon considérable les coûts de développement et de production de l'instrument.</w:t>
      </w:r>
    </w:p>
    <w:p w:rsidR="002B489A" w:rsidRDefault="004F19C4">
      <w:pPr>
        <w:pStyle w:val="Heading3"/>
      </w:pPr>
      <w:r>
        <w:t>5.3.2</w:t>
      </w:r>
      <w:r>
        <w:tab/>
        <w:t>SIS</w:t>
      </w:r>
    </w:p>
    <w:p w:rsidR="002B489A" w:rsidRDefault="004F19C4">
      <w:pPr>
        <w:spacing w:before="60"/>
      </w:pPr>
      <w:r>
        <w:t>Les techniques de réduction des brouillages pour les systèmes utilisés actuellement peuvent n'être pas pratiques. L'introduction de bandes de garde réduira le spectre disponible. Une modification possible de la configuration du canal pour diminuer la largeur de bande occupée, l'adoption de techniques de modulation améliorées et le filtrage dans la bande peuvent être faisables pour les nouveaux systèmes, mais cela va vraisemblablement augmenter les coûts.</w:t>
      </w:r>
    </w:p>
    <w:p w:rsidR="002B489A" w:rsidRDefault="004F19C4">
      <w:pPr>
        <w:spacing w:before="60"/>
      </w:pPr>
      <w:r>
        <w:t>Les constellations SIS utilisant une largeur de bande nécessaire importante pourraient être placées aussi</w:t>
      </w:r>
      <w:r>
        <w:rPr>
          <w:sz w:val="16"/>
        </w:rPr>
        <w:t xml:space="preserve"> </w:t>
      </w:r>
      <w:r>
        <w:t>loin</w:t>
      </w:r>
      <w:r>
        <w:rPr>
          <w:sz w:val="16"/>
        </w:rPr>
        <w:t xml:space="preserve"> </w:t>
      </w:r>
      <w:r>
        <w:t>que</w:t>
      </w:r>
      <w:r>
        <w:rPr>
          <w:sz w:val="16"/>
        </w:rPr>
        <w:t xml:space="preserve"> </w:t>
      </w:r>
      <w:r>
        <w:t>possible</w:t>
      </w:r>
      <w:r>
        <w:rPr>
          <w:sz w:val="16"/>
        </w:rPr>
        <w:t xml:space="preserve"> </w:t>
      </w:r>
      <w:r>
        <w:t>de</w:t>
      </w:r>
      <w:r>
        <w:rPr>
          <w:sz w:val="16"/>
        </w:rPr>
        <w:t xml:space="preserve"> </w:t>
      </w:r>
      <w:r>
        <w:t>l'attribution</w:t>
      </w:r>
      <w:r>
        <w:rPr>
          <w:sz w:val="16"/>
        </w:rPr>
        <w:t xml:space="preserve"> </w:t>
      </w:r>
      <w:r>
        <w:t>au</w:t>
      </w:r>
      <w:r>
        <w:rPr>
          <w:sz w:val="16"/>
        </w:rPr>
        <w:t xml:space="preserve"> </w:t>
      </w:r>
      <w:r>
        <w:t>SETS</w:t>
      </w:r>
      <w:r>
        <w:rPr>
          <w:sz w:val="16"/>
        </w:rPr>
        <w:t xml:space="preserve"> </w:t>
      </w:r>
      <w:r>
        <w:t>(passive),</w:t>
      </w:r>
      <w:r>
        <w:rPr>
          <w:sz w:val="16"/>
        </w:rPr>
        <w:t xml:space="preserve"> </w:t>
      </w:r>
      <w:r>
        <w:t>dans</w:t>
      </w:r>
      <w:r>
        <w:rPr>
          <w:sz w:val="16"/>
        </w:rPr>
        <w:t xml:space="preserve"> </w:t>
      </w:r>
      <w:r>
        <w:t>la</w:t>
      </w:r>
      <w:r>
        <w:rPr>
          <w:sz w:val="16"/>
        </w:rPr>
        <w:t xml:space="preserve"> </w:t>
      </w:r>
      <w:r>
        <w:t>partie</w:t>
      </w:r>
      <w:r>
        <w:rPr>
          <w:sz w:val="16"/>
        </w:rPr>
        <w:t xml:space="preserve"> </w:t>
      </w:r>
      <w:r>
        <w:t>inférieure</w:t>
      </w:r>
      <w:r>
        <w:rPr>
          <w:sz w:val="16"/>
        </w:rPr>
        <w:t xml:space="preserve"> </w:t>
      </w:r>
      <w:r>
        <w:t>de</w:t>
      </w:r>
      <w:r>
        <w:rPr>
          <w:sz w:val="16"/>
        </w:rPr>
        <w:t xml:space="preserve"> </w:t>
      </w:r>
      <w:r>
        <w:t>l'attribution</w:t>
      </w:r>
      <w:r>
        <w:rPr>
          <w:sz w:val="16"/>
        </w:rPr>
        <w:t xml:space="preserve"> </w:t>
      </w:r>
      <w:r>
        <w:t>SIS.</w:t>
      </w:r>
    </w:p>
    <w:p w:rsidR="002B489A" w:rsidRDefault="004F19C4">
      <w:pPr>
        <w:pStyle w:val="Heading1"/>
      </w:pPr>
      <w:r>
        <w:t>6</w:t>
      </w:r>
      <w:r>
        <w:tab/>
        <w:t>Résultats des études</w:t>
      </w:r>
    </w:p>
    <w:p w:rsidR="002B489A" w:rsidRDefault="004F19C4">
      <w:pPr>
        <w:pStyle w:val="Heading2"/>
      </w:pPr>
      <w:r>
        <w:t>6.1</w:t>
      </w:r>
      <w:r>
        <w:tab/>
        <w:t>Résumé</w:t>
      </w:r>
    </w:p>
    <w:p w:rsidR="002B489A" w:rsidRDefault="004F19C4">
      <w:pPr>
        <w:spacing w:before="60"/>
      </w:pPr>
      <w:r>
        <w:t>Il ressort des études réalisées qu'en utilisant le gabarit de «cosinus surélevé», les techniques de réduction des brouillages décrites ci-dessus doivent être appliquées simultanément pour assurer la compatibilité.</w:t>
      </w:r>
    </w:p>
    <w:p w:rsidR="002B489A" w:rsidRDefault="004F19C4">
      <w:pPr>
        <w:pStyle w:val="Heading2"/>
      </w:pPr>
      <w:r>
        <w:t>6.2</w:t>
      </w:r>
      <w:r>
        <w:tab/>
        <w:t>Conclusions</w:t>
      </w:r>
    </w:p>
    <w:p w:rsidR="002B489A" w:rsidRDefault="004F19C4">
      <w:pPr>
        <w:spacing w:before="60"/>
      </w:pPr>
      <w:r>
        <w:t>Un détecteur passif peut être brouillé en divers endroits de son orbite par des liaisons SIS, en fonction de nombreux paramètres du système actif. La probabilité de brouillage dépend fortement des caractéristiques relatives du détecteur et du système SIS, et du nombre de satellites qui composent le système SIS. Des simulations dynamiques impliquant le détecteur passif et les constellations SIS devraient être poursuivies pour examiner le cas des réseaux SIS qui ont des caractéristiques différentes de celles d'Hib-Leo 2.</w:t>
      </w:r>
    </w:p>
    <w:p w:rsidR="002B489A" w:rsidRDefault="004F19C4">
      <w:pPr>
        <w:spacing w:before="60"/>
      </w:pPr>
      <w:r>
        <w:t>Les techniques de réduction des brouillages ci-dessus doivent être étudiées et révisées au sein de l'UIT-R.</w:t>
      </w:r>
    </w:p>
    <w:p w:rsidR="002B489A" w:rsidRDefault="004F19C4">
      <w:pPr>
        <w:spacing w:before="60"/>
      </w:pPr>
      <w:r>
        <w:br w:type="page"/>
        <w:t>Il faut noter que les systèmes à satellites ayant des orbites similaires à celle du détecteur pourraient causer de plus longues périodes de brouillage parce que leurs positions relatives ne changent pas rapidement. Même si le brouillage ne survient que pendant 0,01% du temps sur un mois, cela peut être presque 100% du temps pendant quelques heures. Cela ne satisfait pas au critère de ne brouiller que 0,01% des pixels de mesure.</w:t>
      </w:r>
    </w:p>
    <w:p w:rsidR="002B489A" w:rsidRDefault="002B489A">
      <w:pPr>
        <w:spacing w:before="60"/>
      </w:pPr>
    </w:p>
    <w:p w:rsidR="002B489A" w:rsidRDefault="004F19C4">
      <w:pPr>
        <w:pStyle w:val="AnnexNoTitle"/>
      </w:pPr>
      <w:r>
        <w:t>Annexe 14</w:t>
      </w:r>
      <w:r>
        <w:br/>
      </w:r>
      <w:r>
        <w:br/>
        <w:t xml:space="preserve">Analyse de compatibilité entre le SETS (passive) dans la bande 31,3-31,5 GHz, le SFS (Terre vers espace) et le SMS (Terre vers espace) </w:t>
      </w:r>
      <w:r>
        <w:br/>
        <w:t>dans la bande 30-31 GHz</w:t>
      </w:r>
    </w:p>
    <w:p w:rsidR="002B489A" w:rsidRDefault="004F19C4">
      <w:pPr>
        <w:pStyle w:val="Heading1"/>
      </w:pPr>
      <w:r>
        <w:t>1</w:t>
      </w:r>
      <w:r>
        <w:tab/>
        <w:t>SETS (passive)</w:t>
      </w:r>
    </w:p>
    <w:p w:rsidR="002B489A" w:rsidRDefault="004F19C4">
      <w:pPr>
        <w:pStyle w:val="Heading2"/>
      </w:pPr>
      <w:r>
        <w:t>1.1</w:t>
      </w:r>
      <w:r>
        <w:tab/>
        <w:t>Bande attribuée</w:t>
      </w:r>
    </w:p>
    <w:p w:rsidR="002B489A" w:rsidRDefault="004F19C4">
      <w:pPr>
        <w:spacing w:before="60"/>
        <w:rPr>
          <w:caps/>
        </w:rPr>
      </w:pPr>
      <w:r>
        <w:t>La bande 31,3-31,5 GHz est attribuée au SETS (passive), au SRA et au service de recherche spatiale (passive). Il faut noter que la bande 31,3-31,5 GHz est couverte par le numéro 5.340 du RR. Les attributions adjacentes aux bandes passives 31,3</w:t>
      </w:r>
      <w:r>
        <w:noBreakHyphen/>
        <w:t>31,8 GHz sont indiquées dans le Tableau </w:t>
      </w:r>
      <w:r>
        <w:rPr>
          <w:caps/>
        </w:rPr>
        <w:t>54</w:t>
      </w:r>
      <w:r>
        <w:t>.</w:t>
      </w:r>
    </w:p>
    <w:p w:rsidR="002B489A" w:rsidRDefault="004F19C4">
      <w:pPr>
        <w:pStyle w:val="TableNo"/>
      </w:pPr>
      <w:r>
        <w:t>TABLEAU  54</w:t>
      </w:r>
    </w:p>
    <w:p w:rsidR="002B489A" w:rsidRDefault="004F19C4">
      <w:pPr>
        <w:pStyle w:val="Tabletitle"/>
      </w:pPr>
      <w:r>
        <w:t>Attributions dans les bandes adjacentes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3"/>
        <w:gridCol w:w="2092"/>
        <w:gridCol w:w="2406"/>
        <w:gridCol w:w="2948"/>
      </w:tblGrid>
      <w:tr w:rsidR="002B489A">
        <w:tc>
          <w:tcPr>
            <w:tcW w:w="2246" w:type="dxa"/>
            <w:shd w:val="clear" w:color="auto" w:fill="FFFFFF"/>
          </w:tcPr>
          <w:p w:rsidR="002B489A" w:rsidRDefault="004F19C4">
            <w:pPr>
              <w:pStyle w:val="Tablehead"/>
              <w:framePr w:hSpace="181" w:wrap="notBeside" w:vAnchor="text" w:hAnchor="text" w:xAlign="center" w:y="1"/>
            </w:pPr>
            <w:r>
              <w:t>Services spatiaux dans la bande attribuée inférieure</w:t>
            </w:r>
          </w:p>
        </w:tc>
        <w:tc>
          <w:tcPr>
            <w:tcW w:w="2143" w:type="dxa"/>
            <w:shd w:val="clear" w:color="auto" w:fill="FFFFFF"/>
          </w:tcPr>
          <w:p w:rsidR="002B489A" w:rsidRDefault="004F19C4">
            <w:pPr>
              <w:pStyle w:val="Tablehead"/>
              <w:framePr w:hSpace="181" w:wrap="notBeside" w:vAnchor="text" w:hAnchor="text" w:xAlign="center" w:y="1"/>
            </w:pPr>
            <w:r>
              <w:t>Services dans la bande attribuée inférieure</w:t>
            </w:r>
          </w:p>
        </w:tc>
        <w:tc>
          <w:tcPr>
            <w:tcW w:w="2465" w:type="dxa"/>
            <w:shd w:val="clear" w:color="auto" w:fill="FFFFFF"/>
          </w:tcPr>
          <w:p w:rsidR="002B489A" w:rsidRDefault="004F19C4">
            <w:pPr>
              <w:pStyle w:val="Tablehead"/>
              <w:framePr w:hSpace="181" w:wrap="notBeside" w:vAnchor="text" w:hAnchor="text" w:xAlign="center" w:y="1"/>
            </w:pPr>
            <w:r>
              <w:t>Bande passive</w:t>
            </w:r>
          </w:p>
        </w:tc>
        <w:tc>
          <w:tcPr>
            <w:tcW w:w="3022" w:type="dxa"/>
            <w:shd w:val="clear" w:color="auto" w:fill="FFFFFF"/>
          </w:tcPr>
          <w:p w:rsidR="002B489A" w:rsidRDefault="004F19C4">
            <w:pPr>
              <w:pStyle w:val="Tablehead"/>
              <w:framePr w:hSpace="181" w:wrap="notBeside" w:vAnchor="text" w:hAnchor="text" w:xAlign="center" w:y="1"/>
            </w:pPr>
            <w:r>
              <w:t>Services dans la bande attribuée supérieure</w:t>
            </w:r>
          </w:p>
        </w:tc>
      </w:tr>
      <w:tr w:rsidR="002B489A">
        <w:tc>
          <w:tcPr>
            <w:tcW w:w="2246" w:type="dxa"/>
          </w:tcPr>
          <w:p w:rsidR="002B489A" w:rsidRDefault="004F19C4">
            <w:pPr>
              <w:pStyle w:val="Tablehead"/>
              <w:framePr w:hSpace="181" w:wrap="notBeside" w:vAnchor="text" w:hAnchor="text" w:xAlign="center" w:y="1"/>
            </w:pPr>
            <w:r>
              <w:t>30-31 GHz</w:t>
            </w:r>
          </w:p>
        </w:tc>
        <w:tc>
          <w:tcPr>
            <w:tcW w:w="2143" w:type="dxa"/>
          </w:tcPr>
          <w:p w:rsidR="002B489A" w:rsidRDefault="004F19C4">
            <w:pPr>
              <w:pStyle w:val="Tablehead"/>
              <w:framePr w:hSpace="181" w:wrap="notBeside" w:vAnchor="text" w:hAnchor="text" w:xAlign="center" w:y="1"/>
            </w:pPr>
            <w:r>
              <w:t>31-31,3 GHz</w:t>
            </w:r>
          </w:p>
        </w:tc>
        <w:tc>
          <w:tcPr>
            <w:tcW w:w="2465" w:type="dxa"/>
          </w:tcPr>
          <w:p w:rsidR="002B489A" w:rsidRDefault="004F19C4">
            <w:pPr>
              <w:pStyle w:val="Tablehead"/>
              <w:framePr w:hSpace="181" w:wrap="notBeside" w:vAnchor="text" w:hAnchor="text" w:xAlign="center" w:y="1"/>
            </w:pPr>
            <w:r>
              <w:t>31,3-31,5 GHz</w:t>
            </w:r>
          </w:p>
        </w:tc>
        <w:tc>
          <w:tcPr>
            <w:tcW w:w="3022" w:type="dxa"/>
          </w:tcPr>
          <w:p w:rsidR="002B489A" w:rsidRDefault="004F19C4">
            <w:pPr>
              <w:pStyle w:val="Tablehead"/>
              <w:framePr w:hSpace="181" w:wrap="notBeside" w:vAnchor="text" w:hAnchor="text" w:xAlign="center" w:y="1"/>
            </w:pPr>
            <w:r>
              <w:t>31,5-31,8 GHz</w:t>
            </w:r>
          </w:p>
        </w:tc>
      </w:tr>
      <w:tr w:rsidR="002B489A">
        <w:tc>
          <w:tcPr>
            <w:tcW w:w="2246" w:type="dxa"/>
          </w:tcPr>
          <w:p w:rsidR="002B489A" w:rsidRDefault="004F19C4">
            <w:pPr>
              <w:pStyle w:val="Tabletext"/>
              <w:framePr w:hSpace="181" w:wrap="notBeside" w:vAnchor="text" w:hAnchor="text" w:xAlign="center" w:y="1"/>
              <w:jc w:val="left"/>
            </w:pPr>
            <w:r>
              <w:t xml:space="preserve">FIXE par SATELLITE </w:t>
            </w:r>
            <w:r>
              <w:br/>
              <w:t>(Terre vers espace)</w:t>
            </w:r>
          </w:p>
          <w:p w:rsidR="002B489A" w:rsidRDefault="004F19C4">
            <w:pPr>
              <w:pStyle w:val="Tabletext"/>
              <w:framePr w:hSpace="181" w:wrap="notBeside" w:vAnchor="text" w:hAnchor="text" w:xAlign="center" w:y="1"/>
              <w:jc w:val="left"/>
            </w:pPr>
            <w:r>
              <w:t xml:space="preserve">MOBILE PAR SATELLITE </w:t>
            </w:r>
            <w:r>
              <w:br/>
              <w:t>(Terre vers espace)</w:t>
            </w:r>
          </w:p>
          <w:p w:rsidR="002B489A" w:rsidRDefault="004F19C4">
            <w:pPr>
              <w:pStyle w:val="Tabletext"/>
              <w:framePr w:hSpace="181" w:wrap="notBeside" w:vAnchor="text" w:hAnchor="text" w:xAlign="center" w:y="1"/>
              <w:jc w:val="left"/>
            </w:pPr>
            <w:r>
              <w:t>Fréquences étalon et signaux horaires  par satellite (espace vers Terre)</w:t>
            </w:r>
          </w:p>
          <w:p w:rsidR="002B489A" w:rsidRDefault="004F19C4">
            <w:pPr>
              <w:pStyle w:val="Tabletext"/>
              <w:framePr w:hSpace="181" w:wrap="notBeside" w:vAnchor="text" w:hAnchor="text" w:xAlign="center" w:y="1"/>
              <w:jc w:val="left"/>
            </w:pPr>
            <w:r>
              <w:br/>
            </w:r>
          </w:p>
          <w:p w:rsidR="002B489A" w:rsidRDefault="004F19C4">
            <w:pPr>
              <w:pStyle w:val="Tabletext"/>
              <w:framePr w:hSpace="181" w:wrap="notBeside" w:vAnchor="text" w:hAnchor="text" w:xAlign="center" w:y="1"/>
              <w:jc w:val="left"/>
            </w:pPr>
            <w:r>
              <w:t>5.542</w:t>
            </w:r>
          </w:p>
        </w:tc>
        <w:tc>
          <w:tcPr>
            <w:tcW w:w="2143" w:type="dxa"/>
          </w:tcPr>
          <w:p w:rsidR="002B489A" w:rsidRDefault="004F19C4">
            <w:pPr>
              <w:pStyle w:val="Tabletext"/>
              <w:framePr w:hSpace="181" w:wrap="notBeside" w:vAnchor="text" w:hAnchor="text" w:xAlign="center" w:y="1"/>
              <w:jc w:val="left"/>
            </w:pPr>
            <w:r>
              <w:t>FIXE</w:t>
            </w:r>
          </w:p>
          <w:p w:rsidR="002B489A" w:rsidRDefault="004F19C4">
            <w:pPr>
              <w:pStyle w:val="Tabletext"/>
              <w:framePr w:hSpace="181" w:wrap="notBeside" w:vAnchor="text" w:hAnchor="text" w:xAlign="center" w:y="1"/>
              <w:jc w:val="left"/>
            </w:pPr>
            <w:r>
              <w:t>MOBILE</w:t>
            </w:r>
          </w:p>
          <w:p w:rsidR="002B489A" w:rsidRDefault="004F19C4">
            <w:pPr>
              <w:pStyle w:val="Tabletext"/>
              <w:framePr w:hSpace="181" w:wrap="notBeside" w:vAnchor="text" w:hAnchor="text" w:xAlign="center" w:y="1"/>
              <w:jc w:val="left"/>
            </w:pPr>
            <w:r>
              <w:t>Fréquences étalon et signaux horaires par satellite (espace vers Terre)</w:t>
            </w:r>
          </w:p>
          <w:p w:rsidR="002B489A" w:rsidRDefault="004F19C4">
            <w:pPr>
              <w:pStyle w:val="Tabletext"/>
              <w:framePr w:hSpace="181" w:wrap="notBeside" w:vAnchor="text" w:hAnchor="text" w:xAlign="center" w:y="1"/>
              <w:jc w:val="left"/>
            </w:pPr>
            <w:r>
              <w:t>Recherche spatiale</w:t>
            </w:r>
            <w:r>
              <w:br/>
              <w:t>5.544  5.545</w:t>
            </w:r>
          </w:p>
          <w:p w:rsidR="002B489A" w:rsidRDefault="002B489A">
            <w:pPr>
              <w:pStyle w:val="Tabletext"/>
              <w:framePr w:hSpace="181" w:wrap="notBeside" w:vAnchor="text" w:hAnchor="text" w:xAlign="center" w:y="1"/>
              <w:jc w:val="left"/>
            </w:pPr>
          </w:p>
          <w:p w:rsidR="002B489A" w:rsidRDefault="002B489A">
            <w:pPr>
              <w:pStyle w:val="Tabletext"/>
              <w:framePr w:hSpace="181" w:wrap="notBeside" w:vAnchor="text" w:hAnchor="text" w:xAlign="center" w:y="1"/>
              <w:jc w:val="left"/>
            </w:pPr>
          </w:p>
          <w:p w:rsidR="002B489A" w:rsidRDefault="002B489A">
            <w:pPr>
              <w:pStyle w:val="Tabletext"/>
              <w:framePr w:hSpace="181" w:wrap="notBeside" w:vAnchor="text" w:hAnchor="text" w:xAlign="center" w:y="1"/>
              <w:jc w:val="left"/>
            </w:pPr>
          </w:p>
          <w:p w:rsidR="002B489A" w:rsidRDefault="004F19C4">
            <w:pPr>
              <w:pStyle w:val="Tabletext"/>
              <w:framePr w:hSpace="181" w:wrap="notBeside" w:vAnchor="text" w:hAnchor="text" w:xAlign="center" w:y="1"/>
              <w:jc w:val="left"/>
            </w:pPr>
            <w:r>
              <w:t>5.149</w:t>
            </w:r>
          </w:p>
        </w:tc>
        <w:tc>
          <w:tcPr>
            <w:tcW w:w="2465" w:type="dxa"/>
          </w:tcPr>
          <w:p w:rsidR="002B489A" w:rsidRDefault="004F19C4">
            <w:pPr>
              <w:pStyle w:val="Tabletext"/>
              <w:framePr w:hSpace="181" w:wrap="notBeside" w:vAnchor="text" w:hAnchor="text" w:xAlign="center" w:y="1"/>
              <w:jc w:val="left"/>
            </w:pPr>
            <w:r>
              <w:t>EXPLORATION DE LA TERRE PAR SATELLITE (passive)</w:t>
            </w:r>
          </w:p>
          <w:p w:rsidR="002B489A" w:rsidRDefault="004F19C4">
            <w:pPr>
              <w:pStyle w:val="Tabletext"/>
              <w:framePr w:hSpace="181" w:wrap="notBeside" w:vAnchor="text" w:hAnchor="text" w:xAlign="center" w:y="1"/>
              <w:jc w:val="left"/>
            </w:pPr>
            <w:r>
              <w:t>RADIOASTRONOMIE</w:t>
            </w:r>
          </w:p>
          <w:p w:rsidR="002B489A" w:rsidRDefault="004F19C4">
            <w:pPr>
              <w:pStyle w:val="Tabletext"/>
              <w:framePr w:hSpace="181" w:wrap="notBeside" w:vAnchor="text" w:hAnchor="text" w:xAlign="center" w:y="1"/>
              <w:jc w:val="left"/>
            </w:pPr>
            <w:r>
              <w:t>RECHERCHE SPATIALE (passive)</w:t>
            </w:r>
          </w:p>
          <w:p w:rsidR="002B489A" w:rsidRDefault="004F19C4">
            <w:pPr>
              <w:pStyle w:val="Tabletext"/>
              <w:framePr w:hSpace="181" w:wrap="notBeside" w:vAnchor="text" w:hAnchor="text" w:xAlign="center" w:y="1"/>
              <w:jc w:val="left"/>
            </w:pPr>
            <w:r>
              <w:br/>
            </w:r>
          </w:p>
          <w:p w:rsidR="002B489A" w:rsidRDefault="002B489A">
            <w:pPr>
              <w:pStyle w:val="Tabletext"/>
              <w:framePr w:hSpace="181" w:wrap="notBeside" w:vAnchor="text" w:hAnchor="text" w:xAlign="center" w:y="1"/>
              <w:jc w:val="left"/>
            </w:pPr>
          </w:p>
          <w:p w:rsidR="002B489A" w:rsidRDefault="002B489A">
            <w:pPr>
              <w:pStyle w:val="Tabletext"/>
              <w:framePr w:hSpace="181" w:wrap="notBeside" w:vAnchor="text" w:hAnchor="text" w:xAlign="center" w:y="1"/>
              <w:jc w:val="left"/>
            </w:pPr>
          </w:p>
          <w:p w:rsidR="002B489A" w:rsidRDefault="002B489A">
            <w:pPr>
              <w:pStyle w:val="Tabletext"/>
              <w:framePr w:hSpace="181" w:wrap="notBeside" w:vAnchor="text" w:hAnchor="text" w:xAlign="center" w:y="1"/>
              <w:jc w:val="left"/>
            </w:pPr>
          </w:p>
          <w:p w:rsidR="002B489A" w:rsidRDefault="004F19C4">
            <w:pPr>
              <w:pStyle w:val="Tabletext"/>
              <w:framePr w:hSpace="181" w:wrap="notBeside" w:vAnchor="text" w:hAnchor="text" w:xAlign="center" w:y="1"/>
              <w:jc w:val="left"/>
            </w:pPr>
            <w:r>
              <w:t>5.340</w:t>
            </w:r>
          </w:p>
        </w:tc>
        <w:tc>
          <w:tcPr>
            <w:tcW w:w="3022" w:type="dxa"/>
          </w:tcPr>
          <w:p w:rsidR="002B489A" w:rsidRDefault="004F19C4">
            <w:pPr>
              <w:pStyle w:val="Tabletext"/>
              <w:framePr w:hSpace="181" w:wrap="notBeside" w:vAnchor="text" w:hAnchor="text" w:xAlign="center" w:y="1"/>
              <w:jc w:val="left"/>
            </w:pPr>
            <w:r>
              <w:t>EXPLORATION DE LA TERRE PAR SATELLITE (passive)</w:t>
            </w:r>
          </w:p>
          <w:p w:rsidR="002B489A" w:rsidRDefault="004F19C4">
            <w:pPr>
              <w:pStyle w:val="Tabletext"/>
              <w:framePr w:hSpace="181" w:wrap="notBeside" w:vAnchor="text" w:hAnchor="text" w:xAlign="center" w:y="1"/>
              <w:jc w:val="left"/>
            </w:pPr>
            <w:r>
              <w:t>RADIOASTRONOMIE</w:t>
            </w:r>
          </w:p>
          <w:p w:rsidR="002B489A" w:rsidRDefault="004F19C4">
            <w:pPr>
              <w:pStyle w:val="Tabletext"/>
              <w:framePr w:hSpace="181" w:wrap="notBeside" w:vAnchor="text" w:hAnchor="text" w:xAlign="center" w:y="1"/>
              <w:jc w:val="left"/>
            </w:pPr>
            <w:r>
              <w:t>RECHERCHE SPATIALE (passive)</w:t>
            </w:r>
          </w:p>
          <w:p w:rsidR="002B489A" w:rsidRDefault="004F19C4">
            <w:pPr>
              <w:pStyle w:val="Tabletext"/>
              <w:framePr w:hSpace="181" w:wrap="notBeside" w:vAnchor="text" w:hAnchor="text" w:xAlign="center" w:y="1"/>
              <w:jc w:val="left"/>
            </w:pPr>
            <w:r>
              <w:t>Fixe (Régions 1 et 3)</w:t>
            </w:r>
          </w:p>
          <w:p w:rsidR="002B489A" w:rsidRDefault="004F19C4">
            <w:pPr>
              <w:pStyle w:val="Tabletext"/>
              <w:framePr w:hSpace="181" w:wrap="notBeside" w:vAnchor="text" w:hAnchor="text" w:xAlign="center" w:y="1"/>
              <w:jc w:val="left"/>
            </w:pPr>
            <w:r>
              <w:t>Mobile sauf mobile aéronautique (Régions 1 et 3)</w:t>
            </w:r>
          </w:p>
          <w:p w:rsidR="002B489A" w:rsidRDefault="004F19C4">
            <w:pPr>
              <w:pStyle w:val="Tabletext"/>
              <w:framePr w:hSpace="181" w:wrap="notBeside" w:vAnchor="text" w:hAnchor="text" w:xAlign="center" w:y="1"/>
              <w:jc w:val="left"/>
            </w:pPr>
            <w:r>
              <w:t>5.149  5.546 (Région 1)</w:t>
            </w:r>
          </w:p>
          <w:p w:rsidR="002B489A" w:rsidRDefault="004F19C4">
            <w:pPr>
              <w:pStyle w:val="Tabletext"/>
              <w:framePr w:hSpace="181" w:wrap="notBeside" w:vAnchor="text" w:hAnchor="text" w:xAlign="center" w:y="1"/>
              <w:jc w:val="left"/>
            </w:pPr>
            <w:r>
              <w:t>5.340 (Région 2)</w:t>
            </w:r>
          </w:p>
          <w:p w:rsidR="002B489A" w:rsidRDefault="004F19C4">
            <w:pPr>
              <w:pStyle w:val="Tabletext"/>
              <w:framePr w:hSpace="181" w:wrap="notBeside" w:vAnchor="text" w:hAnchor="text" w:xAlign="center" w:y="1"/>
              <w:jc w:val="left"/>
            </w:pPr>
            <w:r>
              <w:t>5.149 (Région 3)</w:t>
            </w:r>
          </w:p>
        </w:tc>
      </w:tr>
    </w:tbl>
    <w:p w:rsidR="002B489A" w:rsidRDefault="002B489A">
      <w:pPr>
        <w:pStyle w:val="Tablefin"/>
        <w:spacing w:before="0"/>
      </w:pPr>
    </w:p>
    <w:p w:rsidR="002B489A" w:rsidRDefault="004F19C4">
      <w:pPr>
        <w:pStyle w:val="Heading2"/>
      </w:pPr>
      <w:r>
        <w:t>1.2</w:t>
      </w:r>
      <w:r>
        <w:tab/>
        <w:t>Application</w:t>
      </w:r>
    </w:p>
    <w:p w:rsidR="002B489A" w:rsidRDefault="004F19C4">
      <w:pPr>
        <w:spacing w:after="120"/>
      </w:pPr>
      <w:r>
        <w:t xml:space="preserve">Les mesures passives autour des fréquences 23,8 GHz (contenu total de vapeur d'eau), 31,5 GHz (canal fenêtre) et 90 GHz (eau liquide) fournissent des données auxiliaires qui jouent un rôle </w:t>
      </w:r>
      <w:r>
        <w:br w:type="page"/>
        <w:t>prépondérant dans le processus de recherche sur les mesures de température effectuées dans le spectre d'absorption de O</w:t>
      </w:r>
      <w:r>
        <w:rPr>
          <w:vertAlign w:val="subscript"/>
        </w:rPr>
        <w:t>2</w:t>
      </w:r>
      <w:r>
        <w:t>. Ces mesures auxiliaires doivent avoir des performances radiométriques et géométriques et des critères de disponibilité cohérents avec ceux des mesures de température.</w:t>
      </w:r>
    </w:p>
    <w:p w:rsidR="002B489A" w:rsidRDefault="004F19C4">
      <w:pPr>
        <w:pStyle w:val="Heading2"/>
      </w:pPr>
      <w:r>
        <w:t>1.3</w:t>
      </w:r>
      <w:r>
        <w:tab/>
        <w:t>Critères de protection requis</w:t>
      </w:r>
    </w:p>
    <w:p w:rsidR="002B489A" w:rsidRDefault="004F19C4">
      <w:r>
        <w:t>Les</w:t>
      </w:r>
      <w:r>
        <w:rPr>
          <w:sz w:val="18"/>
        </w:rPr>
        <w:t xml:space="preserve"> </w:t>
      </w:r>
      <w:r>
        <w:t>trois</w:t>
      </w:r>
      <w:r>
        <w:rPr>
          <w:sz w:val="18"/>
        </w:rPr>
        <w:t xml:space="preserve"> </w:t>
      </w:r>
      <w:r>
        <w:t>Recommandations</w:t>
      </w:r>
      <w:r>
        <w:rPr>
          <w:sz w:val="18"/>
        </w:rPr>
        <w:t xml:space="preserve"> </w:t>
      </w:r>
      <w:r>
        <w:t>suivantes</w:t>
      </w:r>
      <w:r>
        <w:rPr>
          <w:sz w:val="18"/>
        </w:rPr>
        <w:t xml:space="preserve"> </w:t>
      </w:r>
      <w:r>
        <w:t>établissent</w:t>
      </w:r>
      <w:r>
        <w:rPr>
          <w:sz w:val="18"/>
        </w:rPr>
        <w:t xml:space="preserve"> </w:t>
      </w:r>
      <w:r>
        <w:t>les</w:t>
      </w:r>
      <w:r>
        <w:rPr>
          <w:sz w:val="18"/>
        </w:rPr>
        <w:t xml:space="preserve"> </w:t>
      </w:r>
      <w:r>
        <w:t>critères</w:t>
      </w:r>
      <w:r>
        <w:rPr>
          <w:sz w:val="18"/>
        </w:rPr>
        <w:t xml:space="preserve"> </w:t>
      </w:r>
      <w:r>
        <w:t>de</w:t>
      </w:r>
      <w:r>
        <w:rPr>
          <w:sz w:val="18"/>
        </w:rPr>
        <w:t xml:space="preserve"> </w:t>
      </w:r>
      <w:r>
        <w:t>brouillage</w:t>
      </w:r>
      <w:r>
        <w:rPr>
          <w:sz w:val="18"/>
        </w:rPr>
        <w:t xml:space="preserve"> </w:t>
      </w:r>
      <w:r>
        <w:t>pour</w:t>
      </w:r>
      <w:r>
        <w:rPr>
          <w:sz w:val="18"/>
        </w:rPr>
        <w:t xml:space="preserve"> </w:t>
      </w:r>
      <w:r>
        <w:t>les</w:t>
      </w:r>
      <w:r>
        <w:rPr>
          <w:sz w:val="18"/>
        </w:rPr>
        <w:t xml:space="preserve"> </w:t>
      </w:r>
      <w:r>
        <w:t>détecteurs</w:t>
      </w:r>
      <w:r>
        <w:rPr>
          <w:sz w:val="18"/>
        </w:rPr>
        <w:t xml:space="preserve"> </w:t>
      </w:r>
      <w:r>
        <w:t>passifs.</w:t>
      </w:r>
    </w:p>
    <w:p w:rsidR="002B489A" w:rsidRDefault="004F19C4">
      <w:pPr>
        <w:pStyle w:val="enumlev1"/>
        <w:tabs>
          <w:tab w:val="clear" w:pos="794"/>
          <w:tab w:val="clear" w:pos="1191"/>
          <w:tab w:val="clear" w:pos="1588"/>
          <w:tab w:val="clear" w:pos="1985"/>
          <w:tab w:val="left" w:pos="3515"/>
        </w:tabs>
        <w:ind w:left="3515" w:hanging="3515"/>
      </w:pPr>
      <w:r>
        <w:t>Recommandation UIT-R SA.515 –</w:t>
      </w:r>
      <w:r>
        <w:tab/>
        <w:t xml:space="preserve">Bandes de fréquences et largeurs de bande utilisées pour la télédétection passive par satellite. </w:t>
      </w:r>
    </w:p>
    <w:p w:rsidR="002B489A" w:rsidRDefault="004F19C4">
      <w:pPr>
        <w:pStyle w:val="enumlev1"/>
        <w:tabs>
          <w:tab w:val="clear" w:pos="794"/>
          <w:tab w:val="clear" w:pos="1191"/>
          <w:tab w:val="clear" w:pos="1588"/>
          <w:tab w:val="clear" w:pos="1985"/>
          <w:tab w:val="left" w:pos="3515"/>
        </w:tabs>
        <w:spacing w:before="60"/>
        <w:ind w:left="3515" w:hanging="3515"/>
      </w:pPr>
      <w:r>
        <w:t>Recommandation UIT-R SA.1028 –</w:t>
      </w:r>
      <w:r>
        <w:tab/>
        <w:t>Critères de qualité de fonctionnement pour la télédétection passive par satellite.</w:t>
      </w:r>
    </w:p>
    <w:p w:rsidR="002B489A" w:rsidRDefault="004F19C4">
      <w:pPr>
        <w:pStyle w:val="enumlev1"/>
        <w:tabs>
          <w:tab w:val="clear" w:pos="794"/>
          <w:tab w:val="clear" w:pos="1191"/>
          <w:tab w:val="clear" w:pos="1588"/>
          <w:tab w:val="clear" w:pos="1985"/>
          <w:tab w:val="left" w:pos="3515"/>
        </w:tabs>
        <w:spacing w:before="60"/>
        <w:ind w:left="3515" w:hanging="3515"/>
      </w:pPr>
      <w:r>
        <w:t>Recommandation UIT-R SA.1029 –</w:t>
      </w:r>
      <w:r>
        <w:tab/>
        <w:t>Critères de brouillage dans la télédétection passive par satellite.</w:t>
      </w:r>
    </w:p>
    <w:p w:rsidR="002B489A" w:rsidRDefault="004F19C4">
      <w:r>
        <w:t xml:space="preserve">Le premier critère est la puissance brouilleuse acceptable reçue par le détecteur du SETS, qui est de </w:t>
      </w:r>
      <w:r>
        <w:rPr>
          <w:rFonts w:ascii="Symbol" w:hAnsi="Symbol"/>
        </w:rPr>
        <w:noBreakHyphen/>
      </w:r>
      <w:r>
        <w:t>163 dBW dans la largeur de bande de référence de 100 MHz. Ceci est un niveau de brouillage maximum provenant de toutes les sources.</w:t>
      </w:r>
    </w:p>
    <w:p w:rsidR="002B489A" w:rsidRDefault="004F19C4">
      <w:r>
        <w:t>Le second critère est la fréquence d'occurrence de dépassement de la limite du seuil. Pour les détecteurs à balayage conique, le nombre de cellules de mesure perdues à cause du dépassement du seuil ne doit pas dépasser 5% dans les cas où les évènements de brouillage sont aléatoires et 1% lorsque les évènements de brouillage sont systématiques. Dans la mesure où le SFS n'est pas aléatoire, le critère de 1% s'applique.</w:t>
      </w:r>
    </w:p>
    <w:p w:rsidR="002B489A" w:rsidRDefault="004F19C4">
      <w:r>
        <w:t>Pour les sondeurs de nadir utilisés pour les mesures tridimensionnelles de la température atmosphérique ou la concentration de gaz, la proportion de cellules de mesure perdues à cause du brouillage ne doit pas excéder 0,01%. La limite de cette fréquence d'occurrence est valide pour les sondeurs à balayage mécanique et les sondeurs de nadir en peigne.</w:t>
      </w:r>
    </w:p>
    <w:p w:rsidR="002B489A" w:rsidRDefault="004F19C4">
      <w:pPr>
        <w:pStyle w:val="Heading2"/>
      </w:pPr>
      <w:r>
        <w:t>1.4</w:t>
      </w:r>
      <w:r>
        <w:tab/>
        <w:t>Caractéristiques de fonctionnement</w:t>
      </w:r>
    </w:p>
    <w:p w:rsidR="002B489A" w:rsidRDefault="004F19C4">
      <w:pPr>
        <w:pStyle w:val="Heading2"/>
      </w:pPr>
      <w:r>
        <w:t>1.4.1</w:t>
      </w:r>
      <w:r>
        <w:tab/>
        <w:t>Détecteurs à balayage conique</w:t>
      </w:r>
    </w:p>
    <w:p w:rsidR="002B489A" w:rsidRDefault="004F19C4">
      <w:pPr>
        <w:pStyle w:val="TableNo"/>
      </w:pPr>
      <w:r>
        <w:t>TABLEAU  55</w:t>
      </w:r>
    </w:p>
    <w:p w:rsidR="002B489A" w:rsidRDefault="004F19C4">
      <w:pPr>
        <w:pStyle w:val="Tabletitle"/>
      </w:pPr>
      <w:r>
        <w:t>Spécifications pour les applications radiométriques hyperfréquences</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017"/>
        <w:gridCol w:w="1449"/>
      </w:tblGrid>
      <w:tr w:rsidR="002B489A">
        <w:trPr>
          <w:cantSplit/>
        </w:trPr>
        <w:tc>
          <w:tcPr>
            <w:tcW w:w="6017" w:type="dxa"/>
            <w:tcBorders>
              <w:top w:val="nil"/>
              <w:left w:val="nil"/>
              <w:bottom w:val="single" w:sz="6" w:space="0" w:color="000000"/>
              <w:right w:val="single" w:sz="6" w:space="0" w:color="000000"/>
            </w:tcBorders>
          </w:tcPr>
          <w:p w:rsidR="002B489A" w:rsidRDefault="002B489A">
            <w:pPr>
              <w:pStyle w:val="Tabletext"/>
              <w:spacing w:before="80" w:after="80"/>
              <w:rPr>
                <w:bCs/>
                <w:lang w:val="en-US"/>
              </w:rPr>
            </w:pPr>
          </w:p>
        </w:tc>
        <w:tc>
          <w:tcPr>
            <w:tcW w:w="1449" w:type="dxa"/>
            <w:tcBorders>
              <w:top w:val="single" w:sz="4" w:space="0" w:color="auto"/>
              <w:left w:val="single" w:sz="6" w:space="0" w:color="000000"/>
              <w:bottom w:val="single" w:sz="6" w:space="0" w:color="000000"/>
            </w:tcBorders>
          </w:tcPr>
          <w:p w:rsidR="002B489A" w:rsidRDefault="004F19C4">
            <w:pPr>
              <w:pStyle w:val="Tablehead"/>
              <w:rPr>
                <w:lang w:val="fr-CH"/>
              </w:rPr>
            </w:pPr>
            <w:r>
              <w:t>Détecteur</w:t>
            </w:r>
            <w:r>
              <w:rPr>
                <w:noProof/>
                <w:lang w:val="fr-CH"/>
              </w:rPr>
              <w:t xml:space="preserve"> </w:t>
            </w:r>
            <w:r>
              <w:t>conique</w:t>
            </w:r>
          </w:p>
        </w:tc>
      </w:tr>
      <w:tr w:rsidR="002B489A">
        <w:tc>
          <w:tcPr>
            <w:tcW w:w="6017" w:type="dxa"/>
            <w:tcBorders>
              <w:top w:val="single" w:sz="4" w:space="0" w:color="auto"/>
              <w:left w:val="single" w:sz="4" w:space="0" w:color="auto"/>
              <w:bottom w:val="single" w:sz="6" w:space="0" w:color="000000"/>
              <w:right w:val="single" w:sz="6" w:space="0" w:color="000000"/>
            </w:tcBorders>
          </w:tcPr>
          <w:p w:rsidR="002B489A" w:rsidRDefault="004F19C4">
            <w:pPr>
              <w:pStyle w:val="Tabletext"/>
              <w:rPr>
                <w:bCs/>
              </w:rPr>
            </w:pPr>
            <w:r>
              <w:rPr>
                <w:bCs/>
              </w:rPr>
              <w:t>Largeur de bande de canal (MHz)</w:t>
            </w:r>
          </w:p>
        </w:tc>
        <w:tc>
          <w:tcPr>
            <w:tcW w:w="1449" w:type="dxa"/>
            <w:tcBorders>
              <w:top w:val="single" w:sz="4" w:space="0" w:color="auto"/>
              <w:left w:val="single" w:sz="6" w:space="0" w:color="000000"/>
            </w:tcBorders>
          </w:tcPr>
          <w:p w:rsidR="002B489A" w:rsidRDefault="004F19C4">
            <w:pPr>
              <w:pStyle w:val="Tabletext"/>
              <w:jc w:val="center"/>
              <w:rPr>
                <w:bCs/>
              </w:rPr>
            </w:pPr>
            <w:r>
              <w:rPr>
                <w:bCs/>
              </w:rPr>
              <w:t>100</w:t>
            </w:r>
          </w:p>
        </w:tc>
      </w:tr>
      <w:tr w:rsidR="002B489A">
        <w:tc>
          <w:tcPr>
            <w:tcW w:w="6017" w:type="dxa"/>
            <w:tcBorders>
              <w:top w:val="single" w:sz="6" w:space="0" w:color="000000"/>
              <w:left w:val="single" w:sz="4" w:space="0" w:color="auto"/>
              <w:bottom w:val="single" w:sz="6" w:space="0" w:color="000000"/>
              <w:right w:val="single" w:sz="6" w:space="0" w:color="000000"/>
            </w:tcBorders>
          </w:tcPr>
          <w:p w:rsidR="002B489A" w:rsidRDefault="004F19C4">
            <w:pPr>
              <w:pStyle w:val="Tabletext"/>
              <w:rPr>
                <w:bCs/>
              </w:rPr>
            </w:pPr>
            <w:r>
              <w:rPr>
                <w:bCs/>
              </w:rPr>
              <w:t>Taille de pixel sur le trajet (diamètre) (km)</w:t>
            </w:r>
          </w:p>
        </w:tc>
        <w:tc>
          <w:tcPr>
            <w:tcW w:w="1449" w:type="dxa"/>
            <w:tcBorders>
              <w:left w:val="single" w:sz="6" w:space="0" w:color="000000"/>
            </w:tcBorders>
          </w:tcPr>
          <w:p w:rsidR="002B489A" w:rsidRDefault="004F19C4">
            <w:pPr>
              <w:pStyle w:val="Tabletext"/>
              <w:jc w:val="center"/>
              <w:rPr>
                <w:bCs/>
              </w:rPr>
            </w:pPr>
            <w:r>
              <w:rPr>
                <w:bCs/>
              </w:rPr>
              <w:t>26,7</w:t>
            </w:r>
          </w:p>
        </w:tc>
      </w:tr>
      <w:tr w:rsidR="002B489A">
        <w:tc>
          <w:tcPr>
            <w:tcW w:w="6017" w:type="dxa"/>
            <w:tcBorders>
              <w:top w:val="single" w:sz="6" w:space="0" w:color="000000"/>
              <w:left w:val="single" w:sz="4" w:space="0" w:color="auto"/>
              <w:bottom w:val="single" w:sz="6" w:space="0" w:color="000000"/>
              <w:right w:val="single" w:sz="6" w:space="0" w:color="000000"/>
            </w:tcBorders>
          </w:tcPr>
          <w:p w:rsidR="002B489A" w:rsidRDefault="004F19C4">
            <w:pPr>
              <w:pStyle w:val="Tabletext"/>
              <w:rPr>
                <w:bCs/>
              </w:rPr>
            </w:pPr>
            <w:r>
              <w:rPr>
                <w:bCs/>
              </w:rPr>
              <w:t>Efficacité du faisceau (%)</w:t>
            </w:r>
          </w:p>
        </w:tc>
        <w:tc>
          <w:tcPr>
            <w:tcW w:w="1449" w:type="dxa"/>
            <w:tcBorders>
              <w:left w:val="single" w:sz="6" w:space="0" w:color="000000"/>
            </w:tcBorders>
          </w:tcPr>
          <w:p w:rsidR="002B489A" w:rsidRDefault="004F19C4">
            <w:pPr>
              <w:pStyle w:val="Tabletext"/>
              <w:jc w:val="center"/>
              <w:rPr>
                <w:bCs/>
              </w:rPr>
            </w:pPr>
            <w:r>
              <w:rPr>
                <w:bCs/>
              </w:rPr>
              <w:t>95</w:t>
            </w:r>
          </w:p>
        </w:tc>
      </w:tr>
      <w:tr w:rsidR="002B489A">
        <w:tc>
          <w:tcPr>
            <w:tcW w:w="6017" w:type="dxa"/>
            <w:tcBorders>
              <w:top w:val="single" w:sz="6" w:space="0" w:color="000000"/>
              <w:left w:val="single" w:sz="4" w:space="0" w:color="auto"/>
              <w:bottom w:val="single" w:sz="6" w:space="0" w:color="000000"/>
              <w:right w:val="single" w:sz="6" w:space="0" w:color="000000"/>
            </w:tcBorders>
          </w:tcPr>
          <w:p w:rsidR="002B489A" w:rsidRDefault="004F19C4">
            <w:pPr>
              <w:pStyle w:val="Tabletext"/>
              <w:rPr>
                <w:bCs/>
              </w:rPr>
            </w:pPr>
            <w:r>
              <w:rPr>
                <w:bCs/>
              </w:rPr>
              <w:t xml:space="preserve">Angle d'incidence </w:t>
            </w:r>
            <w:r>
              <w:rPr>
                <w:bCs/>
                <w:i/>
                <w:iCs/>
              </w:rPr>
              <w:t>i</w:t>
            </w:r>
            <w:r>
              <w:rPr>
                <w:bCs/>
              </w:rPr>
              <w:t xml:space="preserve"> au centre de l'empreinte (degrés)</w:t>
            </w:r>
          </w:p>
        </w:tc>
        <w:tc>
          <w:tcPr>
            <w:tcW w:w="1449" w:type="dxa"/>
            <w:tcBorders>
              <w:left w:val="single" w:sz="6" w:space="0" w:color="000000"/>
            </w:tcBorders>
          </w:tcPr>
          <w:p w:rsidR="002B489A" w:rsidRDefault="004F19C4">
            <w:pPr>
              <w:pStyle w:val="Tabletext"/>
              <w:jc w:val="center"/>
              <w:rPr>
                <w:bCs/>
              </w:rPr>
            </w:pPr>
            <w:r>
              <w:rPr>
                <w:bCs/>
              </w:rPr>
              <w:t>52</w:t>
            </w:r>
          </w:p>
        </w:tc>
      </w:tr>
      <w:tr w:rsidR="002B489A">
        <w:tc>
          <w:tcPr>
            <w:tcW w:w="6017" w:type="dxa"/>
            <w:tcBorders>
              <w:top w:val="single" w:sz="6" w:space="0" w:color="000000"/>
              <w:left w:val="single" w:sz="4" w:space="0" w:color="auto"/>
              <w:bottom w:val="single" w:sz="6" w:space="0" w:color="000000"/>
              <w:right w:val="single" w:sz="6" w:space="0" w:color="000000"/>
            </w:tcBorders>
          </w:tcPr>
          <w:p w:rsidR="002B489A" w:rsidRDefault="004F19C4">
            <w:pPr>
              <w:pStyle w:val="Tabletext"/>
              <w:rPr>
                <w:bCs/>
              </w:rPr>
            </w:pPr>
            <w:r>
              <w:rPr>
                <w:bCs/>
              </w:rPr>
              <w:t>Polarisation (linéaire)</w:t>
            </w:r>
          </w:p>
        </w:tc>
        <w:tc>
          <w:tcPr>
            <w:tcW w:w="1449" w:type="dxa"/>
            <w:tcBorders>
              <w:left w:val="single" w:sz="6" w:space="0" w:color="000000"/>
            </w:tcBorders>
          </w:tcPr>
          <w:p w:rsidR="002B489A" w:rsidRDefault="004F19C4">
            <w:pPr>
              <w:pStyle w:val="Tabletext"/>
              <w:jc w:val="center"/>
              <w:rPr>
                <w:bCs/>
              </w:rPr>
            </w:pPr>
            <w:r>
              <w:rPr>
                <w:bCs/>
              </w:rPr>
              <w:t>H,V</w:t>
            </w:r>
          </w:p>
        </w:tc>
      </w:tr>
      <w:tr w:rsidR="002B489A">
        <w:tc>
          <w:tcPr>
            <w:tcW w:w="6017" w:type="dxa"/>
            <w:tcBorders>
              <w:top w:val="single" w:sz="6" w:space="0" w:color="000000"/>
              <w:left w:val="single" w:sz="4" w:space="0" w:color="auto"/>
              <w:bottom w:val="single" w:sz="6" w:space="0" w:color="000000"/>
              <w:right w:val="single" w:sz="6" w:space="0" w:color="000000"/>
            </w:tcBorders>
          </w:tcPr>
          <w:p w:rsidR="002B489A" w:rsidRDefault="004F19C4">
            <w:pPr>
              <w:pStyle w:val="Tabletext"/>
              <w:rPr>
                <w:bCs/>
              </w:rPr>
            </w:pPr>
            <w:r>
              <w:rPr>
                <w:bCs/>
              </w:rPr>
              <w:t>Altitude du satellite (km)</w:t>
            </w:r>
          </w:p>
        </w:tc>
        <w:tc>
          <w:tcPr>
            <w:tcW w:w="1449" w:type="dxa"/>
            <w:tcBorders>
              <w:left w:val="single" w:sz="6" w:space="0" w:color="000000"/>
            </w:tcBorders>
          </w:tcPr>
          <w:p w:rsidR="002B489A" w:rsidRDefault="004F19C4">
            <w:pPr>
              <w:pStyle w:val="Tabletext"/>
              <w:jc w:val="center"/>
              <w:rPr>
                <w:bCs/>
              </w:rPr>
            </w:pPr>
            <w:r>
              <w:rPr>
                <w:bCs/>
              </w:rPr>
              <w:t>817</w:t>
            </w:r>
          </w:p>
        </w:tc>
      </w:tr>
      <w:tr w:rsidR="002B489A">
        <w:tc>
          <w:tcPr>
            <w:tcW w:w="6017" w:type="dxa"/>
            <w:tcBorders>
              <w:top w:val="single" w:sz="6" w:space="0" w:color="000000"/>
              <w:left w:val="single" w:sz="4" w:space="0" w:color="auto"/>
              <w:bottom w:val="single" w:sz="6" w:space="0" w:color="000000"/>
              <w:right w:val="single" w:sz="6" w:space="0" w:color="000000"/>
            </w:tcBorders>
          </w:tcPr>
          <w:p w:rsidR="002B489A" w:rsidRDefault="004F19C4">
            <w:pPr>
              <w:pStyle w:val="Tabletext"/>
              <w:rPr>
                <w:bCs/>
              </w:rPr>
            </w:pPr>
            <w:r>
              <w:rPr>
                <w:bCs/>
              </w:rPr>
              <w:t>Gain d'antenne maximum (dBi)</w:t>
            </w:r>
          </w:p>
        </w:tc>
        <w:tc>
          <w:tcPr>
            <w:tcW w:w="1449" w:type="dxa"/>
            <w:tcBorders>
              <w:left w:val="single" w:sz="6" w:space="0" w:color="000000"/>
            </w:tcBorders>
          </w:tcPr>
          <w:p w:rsidR="002B489A" w:rsidRDefault="004F19C4">
            <w:pPr>
              <w:pStyle w:val="Tabletext"/>
              <w:jc w:val="center"/>
              <w:rPr>
                <w:bCs/>
              </w:rPr>
            </w:pPr>
            <w:r>
              <w:rPr>
                <w:bCs/>
              </w:rPr>
              <w:t>42</w:t>
            </w:r>
          </w:p>
        </w:tc>
      </w:tr>
      <w:tr w:rsidR="002B489A">
        <w:tc>
          <w:tcPr>
            <w:tcW w:w="6017" w:type="dxa"/>
            <w:tcBorders>
              <w:top w:val="single" w:sz="6" w:space="0" w:color="000000"/>
              <w:left w:val="single" w:sz="4" w:space="0" w:color="auto"/>
              <w:bottom w:val="single" w:sz="6" w:space="0" w:color="000000"/>
              <w:right w:val="single" w:sz="6" w:space="0" w:color="000000"/>
            </w:tcBorders>
          </w:tcPr>
          <w:p w:rsidR="002B489A" w:rsidRDefault="004F19C4">
            <w:pPr>
              <w:pStyle w:val="Tabletext"/>
              <w:rPr>
                <w:bCs/>
              </w:rPr>
            </w:pPr>
            <w:r>
              <w:rPr>
                <w:bCs/>
              </w:rPr>
              <w:t>Diamètre du réflecteur (mm)</w:t>
            </w:r>
          </w:p>
        </w:tc>
        <w:tc>
          <w:tcPr>
            <w:tcW w:w="1449" w:type="dxa"/>
            <w:tcBorders>
              <w:left w:val="single" w:sz="6" w:space="0" w:color="000000"/>
            </w:tcBorders>
          </w:tcPr>
          <w:p w:rsidR="002B489A" w:rsidRDefault="004F19C4">
            <w:pPr>
              <w:pStyle w:val="Tabletext"/>
              <w:jc w:val="center"/>
              <w:rPr>
                <w:bCs/>
              </w:rPr>
            </w:pPr>
            <w:r>
              <w:rPr>
                <w:bCs/>
              </w:rPr>
              <w:t>650</w:t>
            </w:r>
          </w:p>
        </w:tc>
      </w:tr>
      <w:tr w:rsidR="002B489A">
        <w:tc>
          <w:tcPr>
            <w:tcW w:w="6017" w:type="dxa"/>
            <w:tcBorders>
              <w:top w:val="single" w:sz="6" w:space="0" w:color="000000"/>
              <w:left w:val="single" w:sz="4" w:space="0" w:color="auto"/>
              <w:bottom w:val="single" w:sz="6" w:space="0" w:color="000000"/>
              <w:right w:val="single" w:sz="6" w:space="0" w:color="000000"/>
            </w:tcBorders>
          </w:tcPr>
          <w:p w:rsidR="002B489A" w:rsidRDefault="004F19C4">
            <w:pPr>
              <w:pStyle w:val="Tabletext"/>
              <w:rPr>
                <w:bCs/>
              </w:rPr>
            </w:pPr>
            <w:r>
              <w:rPr>
                <w:bCs/>
              </w:rPr>
              <w:t>Ouverture complète du faisceau principal (degrés)</w:t>
            </w:r>
          </w:p>
        </w:tc>
        <w:tc>
          <w:tcPr>
            <w:tcW w:w="1449" w:type="dxa"/>
            <w:tcBorders>
              <w:left w:val="single" w:sz="6" w:space="0" w:color="000000"/>
            </w:tcBorders>
          </w:tcPr>
          <w:p w:rsidR="002B489A" w:rsidRDefault="004F19C4">
            <w:pPr>
              <w:pStyle w:val="Tabletext"/>
              <w:jc w:val="center"/>
              <w:rPr>
                <w:bCs/>
              </w:rPr>
            </w:pPr>
            <w:r>
              <w:rPr>
                <w:bCs/>
              </w:rPr>
              <w:t>3,12</w:t>
            </w:r>
          </w:p>
        </w:tc>
      </w:tr>
      <w:tr w:rsidR="002B489A">
        <w:tc>
          <w:tcPr>
            <w:tcW w:w="6017" w:type="dxa"/>
            <w:tcBorders>
              <w:top w:val="single" w:sz="6" w:space="0" w:color="000000"/>
              <w:left w:val="single" w:sz="4" w:space="0" w:color="auto"/>
              <w:bottom w:val="single" w:sz="4" w:space="0" w:color="auto"/>
              <w:right w:val="single" w:sz="6" w:space="0" w:color="000000"/>
            </w:tcBorders>
          </w:tcPr>
          <w:p w:rsidR="002B489A" w:rsidRDefault="004F19C4">
            <w:pPr>
              <w:pStyle w:val="Tabletext"/>
              <w:rPr>
                <w:bCs/>
              </w:rPr>
            </w:pPr>
            <w:r>
              <w:rPr>
                <w:bCs/>
              </w:rPr>
              <w:t xml:space="preserve">Ouverture à mi-puissance du faisceau de l'antenne </w:t>
            </w:r>
            <w:r>
              <w:rPr>
                <w:rFonts w:ascii="Symbol" w:hAnsi="Symbol"/>
                <w:bCs/>
              </w:rPr>
              <w:sym w:font="Symbol" w:char="F071"/>
            </w:r>
            <w:r>
              <w:rPr>
                <w:vertAlign w:val="subscript"/>
              </w:rPr>
              <w:t>3 dB</w:t>
            </w:r>
            <w:r>
              <w:rPr>
                <w:bCs/>
                <w:vertAlign w:val="subscript"/>
              </w:rPr>
              <w:t xml:space="preserve"> </w:t>
            </w:r>
            <w:r>
              <w:rPr>
                <w:bCs/>
              </w:rPr>
              <w:t>(degrés)</w:t>
            </w:r>
          </w:p>
        </w:tc>
        <w:tc>
          <w:tcPr>
            <w:tcW w:w="1449" w:type="dxa"/>
            <w:tcBorders>
              <w:left w:val="single" w:sz="6" w:space="0" w:color="000000"/>
              <w:bottom w:val="single" w:sz="4" w:space="0" w:color="auto"/>
            </w:tcBorders>
          </w:tcPr>
          <w:p w:rsidR="002B489A" w:rsidRDefault="004F19C4">
            <w:pPr>
              <w:pStyle w:val="Tabletext"/>
              <w:jc w:val="center"/>
              <w:rPr>
                <w:bCs/>
              </w:rPr>
            </w:pPr>
            <w:r>
              <w:rPr>
                <w:bCs/>
              </w:rPr>
              <w:t>1,25</w:t>
            </w:r>
          </w:p>
        </w:tc>
      </w:tr>
    </w:tbl>
    <w:p w:rsidR="002B489A" w:rsidRDefault="002B489A">
      <w:pPr>
        <w:pStyle w:val="Tablefin"/>
        <w:spacing w:before="0"/>
      </w:pPr>
    </w:p>
    <w:p w:rsidR="002B489A" w:rsidRDefault="004F19C4">
      <w:pPr>
        <w:spacing w:line="280" w:lineRule="exact"/>
      </w:pPr>
      <w:r>
        <w:br w:type="page"/>
        <w:t>L'efficacité du faisceau se définit comme l'énergie (principal composant de polarisation seulement) au sein du faisceau principal qui se rapporte à l'énergie totale dans tous les angles (4</w:t>
      </w:r>
      <w:r>
        <w:rPr>
          <w:rFonts w:ascii="Symbol" w:hAnsi="Symbol"/>
        </w:rPr>
        <w:sym w:font="Symbol" w:char="F070"/>
      </w:r>
      <w:r>
        <w:t xml:space="preserve"> stéradians). Le faisceau principal se définit comme le cône d'angle total 2,5 </w:t>
      </w:r>
      <w:r>
        <w:sym w:font="Symbol" w:char="F071"/>
      </w:r>
      <w:r>
        <w:rPr>
          <w:vertAlign w:val="subscript"/>
        </w:rPr>
        <w:t>3 dB</w:t>
      </w:r>
      <w:r>
        <w:t xml:space="preserve"> (2,5 </w:t>
      </w:r>
      <w:r>
        <w:rPr>
          <w:rFonts w:ascii="Symbol" w:hAnsi="Symbol"/>
        </w:rPr>
        <w:sym w:font="Symbol" w:char="F071"/>
      </w:r>
      <w:r>
        <w:rPr>
          <w:vertAlign w:val="subscript"/>
        </w:rPr>
        <w:t>3 dB</w:t>
      </w:r>
      <w:r>
        <w:t xml:space="preserve"> est l'angle total de l'ouverture à mi-puissance du faisceau).</w:t>
      </w:r>
    </w:p>
    <w:p w:rsidR="002B489A" w:rsidRDefault="004F19C4">
      <w:r>
        <w:t xml:space="preserve">La taille de pixel à travers le trajet est calculée d'après le contour à –3 dB du diagramme d'antenne compte tenu de l'altitude du satellite et de l'angle d'incidence </w:t>
      </w:r>
      <w:r>
        <w:rPr>
          <w:i/>
          <w:iCs/>
        </w:rPr>
        <w:t>i</w:t>
      </w:r>
      <w:r>
        <w:t xml:space="preserve"> du point de visée du faisceau.</w:t>
      </w:r>
    </w:p>
    <w:p w:rsidR="002B489A" w:rsidRDefault="004F19C4">
      <w:r>
        <w:t>D'un point de vue général, les antennes actuellement utilisées dans des applications radiométriques ont une forte efficacité de faisceau. Le lobe principal est capable de concentrer une très forte quantité d'énergie. Les premiers lobes latéraux ont un niveau d'environ –30 dB, ce qui signifie que le niveau de rayonnement du lobe arrière devrait être d'au moins –35 dB. Les mesures en AMSU-A montrent un niveau de lobe arrière qui est à 56 dB au-dessous de celui du faisceau principal.</w:t>
      </w:r>
    </w:p>
    <w:p w:rsidR="002B489A" w:rsidRDefault="004F19C4">
      <w:r>
        <w:t xml:space="preserve">Il est important de noter que le détecteur à balayage conique n'est pas un détecteur à nadir mais a une configuration de balayage conique centrée sur la direction du nadir. Il est souhaitable pour l'interprétation des mesures de surface de maintenir un angle d'incidence au sol constant le long des lignes de balayage entières. Le détecteur à nadir a des pixels de taille différente. La géométrie des instruments à balayage conique est décrite à la Fig. 41. La vitesse de rotation de l'instrument (et pas du satellite) est </w:t>
      </w:r>
      <w:r>
        <w:rPr>
          <w:i/>
          <w:iCs/>
        </w:rPr>
        <w:t>w</w:t>
      </w:r>
      <w:r>
        <w:t> </w:t>
      </w:r>
      <w:r>
        <w:rPr>
          <w:rFonts w:ascii="Symbol" w:hAnsi="Symbol"/>
        </w:rPr>
        <w:t></w:t>
      </w:r>
      <w:r>
        <w:t> 20 tr/min.</w:t>
      </w:r>
    </w:p>
    <w:p w:rsidR="002B489A" w:rsidRDefault="0006728D">
      <w:pPr>
        <w:pStyle w:val="FigureNo"/>
      </w:pPr>
      <w:r>
        <w:rPr>
          <w:noProof/>
          <w:lang w:val="fr-CH" w:eastAsia="fr-CH"/>
        </w:rPr>
        <w:drawing>
          <wp:inline distT="0" distB="0" distL="0" distR="0">
            <wp:extent cx="4829175" cy="43148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29175" cy="4314825"/>
                    </a:xfrm>
                    <a:prstGeom prst="rect">
                      <a:avLst/>
                    </a:prstGeom>
                    <a:noFill/>
                    <a:ln>
                      <a:noFill/>
                    </a:ln>
                  </pic:spPr>
                </pic:pic>
              </a:graphicData>
            </a:graphic>
          </wp:inline>
        </w:drawing>
      </w:r>
    </w:p>
    <w:p w:rsidR="002B489A" w:rsidRDefault="004F19C4">
      <w:r>
        <w:t>Les caractéristiques géométriques typiques de cette sorte d'instrument sont fondées sur les suivantes (pour une altitude d'environ 850 km):</w:t>
      </w:r>
    </w:p>
    <w:p w:rsidR="002B489A" w:rsidRDefault="004F19C4">
      <w:pPr>
        <w:pStyle w:val="enumlev1"/>
      </w:pPr>
      <w:r>
        <w:t>–</w:t>
      </w:r>
      <w:r>
        <w:tab/>
        <w:t xml:space="preserve">l'angle d'incidence au sol </w:t>
      </w:r>
      <w:r>
        <w:rPr>
          <w:i/>
          <w:iCs/>
        </w:rPr>
        <w:t>i</w:t>
      </w:r>
      <w:r>
        <w:t xml:space="preserve"> au centre de l'empreinte est d'environ 50°;</w:t>
      </w:r>
    </w:p>
    <w:p w:rsidR="002B489A" w:rsidRDefault="004F19C4">
      <w:pPr>
        <w:pStyle w:val="enumlev1"/>
      </w:pPr>
      <w:r>
        <w:t>–</w:t>
      </w:r>
      <w:r>
        <w:tab/>
        <w:t xml:space="preserve">l'angle de décalage du SETS par rapport au nadir ou demi angle conique </w:t>
      </w:r>
      <w:r>
        <w:sym w:font="Symbol" w:char="F061"/>
      </w:r>
      <w:r>
        <w:t xml:space="preserve"> à la direction du nadir est d'environ 44°;</w:t>
      </w:r>
    </w:p>
    <w:p w:rsidR="002B489A" w:rsidRDefault="004F19C4">
      <w:pPr>
        <w:pStyle w:val="enumlev1"/>
      </w:pPr>
      <w:r>
        <w:br w:type="page"/>
        <w:t>–</w:t>
      </w:r>
      <w:r>
        <w:tab/>
        <w:t>la largeur du couloir utile est d'environ 1</w:t>
      </w:r>
      <w:r>
        <w:rPr>
          <w:rFonts w:ascii="Tms Rmn" w:hAnsi="Tms Rmn"/>
          <w:sz w:val="12"/>
        </w:rPr>
        <w:t> </w:t>
      </w:r>
      <w:r>
        <w:t>600 km; et</w:t>
      </w:r>
    </w:p>
    <w:p w:rsidR="002B489A" w:rsidRDefault="004F19C4">
      <w:pPr>
        <w:pStyle w:val="enumlev1"/>
      </w:pPr>
      <w:r>
        <w:t>–</w:t>
      </w:r>
      <w:r>
        <w:tab/>
        <w:t>la période de balayage est choisie de façon à assurer la pleine couverture et le temps d'intégration optimal (résolution radiométrique).</w:t>
      </w:r>
    </w:p>
    <w:p w:rsidR="002B489A" w:rsidRDefault="004F19C4">
      <w:pPr>
        <w:pStyle w:val="Heading3"/>
      </w:pPr>
      <w:r>
        <w:t>1.4.2</w:t>
      </w:r>
      <w:r>
        <w:tab/>
        <w:t>Détecteur à balayage du nadir</w:t>
      </w:r>
    </w:p>
    <w:p w:rsidR="002B489A" w:rsidRDefault="004F19C4">
      <w:r>
        <w:t>Le détecteur à balayage mécanique du nadir (AMSU-A) fonctionne depuis plusieurs années et c'est le système qui est utilisé actuellement. Il a les caractéristiques suivantes:</w:t>
      </w:r>
    </w:p>
    <w:p w:rsidR="002B489A" w:rsidRDefault="004F19C4">
      <w:pPr>
        <w:pStyle w:val="enumlev1"/>
      </w:pPr>
      <w:r>
        <w:t>–</w:t>
      </w:r>
      <w:r>
        <w:tab/>
        <w:t xml:space="preserve">balayage du trajet vers le nadir à </w:t>
      </w:r>
      <w:r>
        <w:rPr>
          <w:rFonts w:ascii="Symbol" w:hAnsi="Symbol"/>
        </w:rPr>
        <w:sym w:font="Symbol" w:char="F0B1"/>
      </w:r>
      <w:r>
        <w:rPr>
          <w:rFonts w:ascii="Tms Rmn" w:hAnsi="Tms Rmn"/>
          <w:sz w:val="12"/>
        </w:rPr>
        <w:t> </w:t>
      </w:r>
      <w:r>
        <w:t>48,5°;</w:t>
      </w:r>
    </w:p>
    <w:p w:rsidR="002B489A" w:rsidRDefault="004F19C4">
      <w:pPr>
        <w:pStyle w:val="enumlev1"/>
      </w:pPr>
      <w:r>
        <w:t>–</w:t>
      </w:r>
      <w:r>
        <w:tab/>
        <w:t>30 pixels par balayage;</w:t>
      </w:r>
    </w:p>
    <w:p w:rsidR="002B489A" w:rsidRDefault="004F19C4">
      <w:pPr>
        <w:pStyle w:val="enumlev1"/>
      </w:pPr>
      <w:r>
        <w:t>–</w:t>
      </w:r>
      <w:r>
        <w:tab/>
        <w:t>largeur de couloir de 2</w:t>
      </w:r>
      <w:r>
        <w:rPr>
          <w:rFonts w:ascii="Tms Rmn" w:hAnsi="Tms Rmn"/>
          <w:sz w:val="12"/>
        </w:rPr>
        <w:t> </w:t>
      </w:r>
      <w:r>
        <w:t>300 km;</w:t>
      </w:r>
    </w:p>
    <w:p w:rsidR="002B489A" w:rsidRDefault="004F19C4">
      <w:pPr>
        <w:pStyle w:val="enumlev1"/>
      </w:pPr>
      <w:r>
        <w:t>–</w:t>
      </w:r>
      <w:r>
        <w:tab/>
        <w:t>angle d'incidence avec la Terre variant selon les pixels.</w:t>
      </w:r>
    </w:p>
    <w:p w:rsidR="002B489A" w:rsidRDefault="004F19C4">
      <w:r>
        <w:t>Un détecteur en peigne a été proposé, avec des faisceaux fixes dans une largeur de couloir similaire à celle de l'AMSU-A. Le détecteur passif à nadir retenu pour la présente analyse est le sondeur vertical en peigne, parce qu'il est le plus vulnérable au brouillage. Le sondeur en peigne est un instrument purement statique sans partie mobile. La caractéristique majeure du sondeur en peigne est que tous les pixels d'une ligne de balayage sont acquis simultanément, et non pas en séquence comme pour les détecteurs à balayage mécanique (c'est-à-dire du type SHP), ce qui permet d'augmenter de façon significative le temps d'intégration et la résolution radiométrique réalisable. Le sondeur en peigne incorpore une antenne d'acquisition de données fixe pointée dans la direction du nadir et une antenne dédiée à l'étalonnage de l'espace obscur. Les principales caractéristiques de ce détecteur sont données dans le Tableau 56.</w:t>
      </w:r>
    </w:p>
    <w:p w:rsidR="002B489A" w:rsidRDefault="002B489A"/>
    <w:p w:rsidR="002B489A" w:rsidRDefault="004F19C4">
      <w:pPr>
        <w:pStyle w:val="TableNo"/>
      </w:pPr>
      <w:r>
        <w:t>TABLEAU  56</w:t>
      </w:r>
    </w:p>
    <w:p w:rsidR="002B489A" w:rsidRDefault="004F19C4">
      <w:pPr>
        <w:pStyle w:val="Tabletitle"/>
      </w:pPr>
      <w:r>
        <w:t>Caractéristiques des détecteurs de nadir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0"/>
        <w:gridCol w:w="2041"/>
      </w:tblGrid>
      <w:tr w:rsidR="002B489A">
        <w:tc>
          <w:tcPr>
            <w:tcW w:w="5330" w:type="dxa"/>
          </w:tcPr>
          <w:p w:rsidR="002B489A" w:rsidRDefault="004F19C4">
            <w:pPr>
              <w:pStyle w:val="Tablehead"/>
              <w:framePr w:hSpace="181" w:wrap="notBeside" w:vAnchor="text" w:hAnchor="text" w:xAlign="center" w:y="1"/>
            </w:pPr>
            <w:r>
              <w:t>Paramètres</w:t>
            </w:r>
          </w:p>
        </w:tc>
        <w:tc>
          <w:tcPr>
            <w:tcW w:w="2041" w:type="dxa"/>
          </w:tcPr>
          <w:p w:rsidR="002B489A" w:rsidRDefault="004F19C4">
            <w:pPr>
              <w:pStyle w:val="Tablehead"/>
              <w:framePr w:hSpace="181" w:wrap="notBeside" w:vAnchor="text" w:hAnchor="text" w:xAlign="center" w:y="1"/>
            </w:pPr>
            <w:r>
              <w:t>Sondeur en peigne</w:t>
            </w:r>
          </w:p>
        </w:tc>
      </w:tr>
      <w:tr w:rsidR="002B489A">
        <w:tc>
          <w:tcPr>
            <w:tcW w:w="5330" w:type="dxa"/>
          </w:tcPr>
          <w:p w:rsidR="002B489A" w:rsidRDefault="004F19C4">
            <w:pPr>
              <w:pStyle w:val="Tabletext"/>
              <w:framePr w:hSpace="181" w:wrap="notBeside" w:vAnchor="text" w:hAnchor="text" w:xAlign="center" w:y="1"/>
              <w:jc w:val="left"/>
            </w:pPr>
            <w:r>
              <w:t>Gain d'antenne principale (dBi)</w:t>
            </w:r>
          </w:p>
        </w:tc>
        <w:tc>
          <w:tcPr>
            <w:tcW w:w="2041" w:type="dxa"/>
          </w:tcPr>
          <w:p w:rsidR="002B489A" w:rsidRDefault="004F19C4">
            <w:pPr>
              <w:pStyle w:val="Tabletext"/>
              <w:framePr w:hSpace="181" w:wrap="notBeside" w:vAnchor="text" w:hAnchor="text" w:xAlign="center" w:y="1"/>
              <w:jc w:val="center"/>
            </w:pPr>
            <w:r>
              <w:t>45</w:t>
            </w:r>
          </w:p>
        </w:tc>
      </w:tr>
      <w:tr w:rsidR="002B489A">
        <w:tc>
          <w:tcPr>
            <w:tcW w:w="5330" w:type="dxa"/>
          </w:tcPr>
          <w:p w:rsidR="002B489A" w:rsidRDefault="004F19C4">
            <w:pPr>
              <w:pStyle w:val="Tabletext"/>
              <w:framePr w:hSpace="181" w:wrap="notBeside" w:vAnchor="text" w:hAnchor="text" w:xAlign="center" w:y="1"/>
              <w:jc w:val="left"/>
            </w:pPr>
            <w:r>
              <w:t>Gain du lobe arrière d'antenne (dBi)</w:t>
            </w:r>
          </w:p>
        </w:tc>
        <w:tc>
          <w:tcPr>
            <w:tcW w:w="2041" w:type="dxa"/>
          </w:tcPr>
          <w:p w:rsidR="002B489A" w:rsidRDefault="004F19C4">
            <w:pPr>
              <w:pStyle w:val="Tabletext"/>
              <w:framePr w:hSpace="181" w:wrap="notBeside" w:vAnchor="text" w:hAnchor="text" w:xAlign="center" w:y="1"/>
              <w:jc w:val="center"/>
            </w:pPr>
            <w:r>
              <w:t>–12</w:t>
            </w:r>
          </w:p>
        </w:tc>
      </w:tr>
      <w:tr w:rsidR="002B489A">
        <w:tc>
          <w:tcPr>
            <w:tcW w:w="5330" w:type="dxa"/>
          </w:tcPr>
          <w:p w:rsidR="002B489A" w:rsidRDefault="004F19C4">
            <w:pPr>
              <w:pStyle w:val="Tabletext"/>
              <w:framePr w:hSpace="181" w:wrap="notBeside" w:vAnchor="text" w:hAnchor="text" w:xAlign="center" w:y="1"/>
              <w:jc w:val="left"/>
            </w:pPr>
            <w:r>
              <w:t>Champ de vision instantanée à –3 dB (degrés)</w:t>
            </w:r>
          </w:p>
        </w:tc>
        <w:tc>
          <w:tcPr>
            <w:tcW w:w="2041" w:type="dxa"/>
          </w:tcPr>
          <w:p w:rsidR="002B489A" w:rsidRDefault="004F19C4">
            <w:pPr>
              <w:pStyle w:val="Tabletext"/>
              <w:framePr w:hSpace="181" w:wrap="notBeside" w:vAnchor="text" w:hAnchor="text" w:xAlign="center" w:y="1"/>
              <w:jc w:val="center"/>
            </w:pPr>
            <w:r>
              <w:t>1,1</w:t>
            </w:r>
          </w:p>
        </w:tc>
      </w:tr>
      <w:tr w:rsidR="002B489A">
        <w:tc>
          <w:tcPr>
            <w:tcW w:w="5330" w:type="dxa"/>
          </w:tcPr>
          <w:p w:rsidR="002B489A" w:rsidRDefault="004F19C4">
            <w:pPr>
              <w:pStyle w:val="Tabletext"/>
              <w:framePr w:hSpace="181" w:wrap="notBeside" w:vAnchor="text" w:hAnchor="text" w:xAlign="center" w:y="1"/>
              <w:jc w:val="left"/>
            </w:pPr>
            <w:r>
              <w:t>Champ de vision total le long/en travers de piste (degrés)</w:t>
            </w:r>
          </w:p>
        </w:tc>
        <w:tc>
          <w:tcPr>
            <w:tcW w:w="2041" w:type="dxa"/>
          </w:tcPr>
          <w:p w:rsidR="002B489A" w:rsidRDefault="004F19C4">
            <w:pPr>
              <w:pStyle w:val="Tabletext"/>
              <w:framePr w:hSpace="181" w:wrap="notBeside" w:vAnchor="text" w:hAnchor="text" w:xAlign="center" w:y="1"/>
              <w:jc w:val="center"/>
            </w:pPr>
            <w:r>
              <w:t>100/1,1</w:t>
            </w:r>
          </w:p>
        </w:tc>
      </w:tr>
      <w:tr w:rsidR="002B489A">
        <w:tc>
          <w:tcPr>
            <w:tcW w:w="5330" w:type="dxa"/>
          </w:tcPr>
          <w:p w:rsidR="002B489A" w:rsidRDefault="004F19C4">
            <w:pPr>
              <w:pStyle w:val="Tabletext"/>
              <w:framePr w:hSpace="181" w:wrap="notBeside" w:vAnchor="text" w:hAnchor="text" w:xAlign="center" w:y="1"/>
              <w:jc w:val="left"/>
            </w:pPr>
            <w:r>
              <w:t>Taille de pixel (km)</w:t>
            </w:r>
          </w:p>
        </w:tc>
        <w:tc>
          <w:tcPr>
            <w:tcW w:w="2041" w:type="dxa"/>
          </w:tcPr>
          <w:p w:rsidR="002B489A" w:rsidRDefault="004F19C4">
            <w:pPr>
              <w:pStyle w:val="Tabletext"/>
              <w:framePr w:hSpace="181" w:wrap="notBeside" w:vAnchor="text" w:hAnchor="text" w:xAlign="center" w:y="1"/>
              <w:jc w:val="center"/>
            </w:pPr>
            <w:r>
              <w:t>16</w:t>
            </w:r>
          </w:p>
        </w:tc>
      </w:tr>
      <w:tr w:rsidR="002B489A">
        <w:tc>
          <w:tcPr>
            <w:tcW w:w="5330" w:type="dxa"/>
          </w:tcPr>
          <w:p w:rsidR="002B489A" w:rsidRDefault="004F19C4">
            <w:pPr>
              <w:pStyle w:val="Tabletext"/>
              <w:framePr w:hSpace="181" w:wrap="notBeside" w:vAnchor="text" w:hAnchor="text" w:xAlign="center" w:y="1"/>
              <w:jc w:val="left"/>
            </w:pPr>
            <w:r>
              <w:t>Nombre de pixels par ligne</w:t>
            </w:r>
          </w:p>
        </w:tc>
        <w:tc>
          <w:tcPr>
            <w:tcW w:w="2041" w:type="dxa"/>
          </w:tcPr>
          <w:p w:rsidR="002B489A" w:rsidRDefault="004F19C4">
            <w:pPr>
              <w:pStyle w:val="Tabletext"/>
              <w:framePr w:hSpace="181" w:wrap="notBeside" w:vAnchor="text" w:hAnchor="text" w:xAlign="center" w:y="1"/>
              <w:jc w:val="center"/>
            </w:pPr>
            <w:r>
              <w:t>90</w:t>
            </w:r>
          </w:p>
        </w:tc>
      </w:tr>
      <w:tr w:rsidR="002B489A">
        <w:tc>
          <w:tcPr>
            <w:tcW w:w="5330" w:type="dxa"/>
          </w:tcPr>
          <w:p w:rsidR="002B489A" w:rsidRDefault="004F19C4">
            <w:pPr>
              <w:pStyle w:val="Tabletext"/>
              <w:framePr w:hSpace="181" w:wrap="notBeside" w:vAnchor="text" w:hAnchor="text" w:xAlign="center" w:y="1"/>
              <w:jc w:val="left"/>
            </w:pPr>
            <w:r>
              <w:t>Résolution radiométrique (K)</w:t>
            </w:r>
          </w:p>
        </w:tc>
        <w:tc>
          <w:tcPr>
            <w:tcW w:w="2041" w:type="dxa"/>
          </w:tcPr>
          <w:p w:rsidR="002B489A" w:rsidRDefault="004F19C4">
            <w:pPr>
              <w:pStyle w:val="Tabletext"/>
              <w:framePr w:hSpace="181" w:wrap="notBeside" w:vAnchor="text" w:hAnchor="text" w:xAlign="center" w:y="1"/>
              <w:jc w:val="center"/>
            </w:pPr>
            <w:r>
              <w:t>0,2</w:t>
            </w:r>
          </w:p>
        </w:tc>
      </w:tr>
      <w:tr w:rsidR="002B489A">
        <w:tc>
          <w:tcPr>
            <w:tcW w:w="5330" w:type="dxa"/>
          </w:tcPr>
          <w:p w:rsidR="002B489A" w:rsidRDefault="004F19C4">
            <w:pPr>
              <w:pStyle w:val="Tabletext"/>
              <w:framePr w:hSpace="181" w:wrap="notBeside" w:vAnchor="text" w:hAnchor="text" w:xAlign="center" w:y="1"/>
              <w:jc w:val="left"/>
            </w:pPr>
            <w:r>
              <w:t>Densité seuil de brouillage (dB(W/100 MHz))</w:t>
            </w:r>
          </w:p>
        </w:tc>
        <w:tc>
          <w:tcPr>
            <w:tcW w:w="2041" w:type="dxa"/>
          </w:tcPr>
          <w:p w:rsidR="002B489A" w:rsidRDefault="004F19C4">
            <w:pPr>
              <w:pStyle w:val="Tabletext"/>
              <w:framePr w:hSpace="181" w:wrap="notBeside" w:vAnchor="text" w:hAnchor="text" w:xAlign="center" w:y="1"/>
              <w:jc w:val="center"/>
            </w:pPr>
            <w:r>
              <w:t>–163</w:t>
            </w:r>
          </w:p>
        </w:tc>
      </w:tr>
      <w:tr w:rsidR="002B489A">
        <w:tc>
          <w:tcPr>
            <w:tcW w:w="5330" w:type="dxa"/>
          </w:tcPr>
          <w:p w:rsidR="002B489A" w:rsidRDefault="004F19C4">
            <w:pPr>
              <w:pStyle w:val="Tabletext"/>
              <w:framePr w:hSpace="181" w:wrap="notBeside" w:vAnchor="text" w:hAnchor="text" w:xAlign="center" w:y="1"/>
              <w:jc w:val="left"/>
            </w:pPr>
            <w:r>
              <w:t>Altitude du détecteur (km)</w:t>
            </w:r>
          </w:p>
        </w:tc>
        <w:tc>
          <w:tcPr>
            <w:tcW w:w="2041" w:type="dxa"/>
          </w:tcPr>
          <w:p w:rsidR="002B489A" w:rsidRDefault="004F19C4">
            <w:pPr>
              <w:pStyle w:val="Tabletext"/>
              <w:framePr w:hSpace="181" w:wrap="notBeside" w:vAnchor="text" w:hAnchor="text" w:xAlign="center" w:y="1"/>
              <w:jc w:val="center"/>
            </w:pPr>
            <w:r>
              <w:t>850</w:t>
            </w:r>
          </w:p>
        </w:tc>
      </w:tr>
      <w:tr w:rsidR="002B489A">
        <w:tc>
          <w:tcPr>
            <w:tcW w:w="5330" w:type="dxa"/>
          </w:tcPr>
          <w:p w:rsidR="002B489A" w:rsidRDefault="004F19C4">
            <w:pPr>
              <w:pStyle w:val="Tabletext"/>
              <w:framePr w:hSpace="181" w:wrap="notBeside" w:vAnchor="text" w:hAnchor="text" w:xAlign="center" w:y="1"/>
              <w:jc w:val="left"/>
            </w:pPr>
            <w:r>
              <w:t>Gain de l'antenne d'étalonnage de l'espace obscur (dBi)</w:t>
            </w:r>
          </w:p>
        </w:tc>
        <w:tc>
          <w:tcPr>
            <w:tcW w:w="2041" w:type="dxa"/>
          </w:tcPr>
          <w:p w:rsidR="002B489A" w:rsidRDefault="004F19C4">
            <w:pPr>
              <w:pStyle w:val="Tabletext"/>
              <w:framePr w:hSpace="181" w:wrap="notBeside" w:vAnchor="text" w:hAnchor="text" w:xAlign="center" w:y="1"/>
              <w:jc w:val="center"/>
            </w:pPr>
            <w:r>
              <w:t>35</w:t>
            </w:r>
          </w:p>
        </w:tc>
      </w:tr>
      <w:tr w:rsidR="002B489A">
        <w:tc>
          <w:tcPr>
            <w:tcW w:w="5330" w:type="dxa"/>
          </w:tcPr>
          <w:p w:rsidR="002B489A" w:rsidRDefault="004F19C4">
            <w:pPr>
              <w:pStyle w:val="Tabletext"/>
              <w:framePr w:hSpace="181" w:wrap="notBeside" w:vAnchor="text" w:hAnchor="text" w:xAlign="center" w:y="1"/>
              <w:jc w:val="left"/>
            </w:pPr>
            <w:r>
              <w:t xml:space="preserve">Angle d'étalonnage de l'espace obscur (degrés) </w:t>
            </w:r>
            <w:r>
              <w:br/>
              <w:t>(par rapport à la piste du satellite)</w:t>
            </w:r>
          </w:p>
        </w:tc>
        <w:tc>
          <w:tcPr>
            <w:tcW w:w="2041" w:type="dxa"/>
          </w:tcPr>
          <w:p w:rsidR="002B489A" w:rsidRDefault="004F19C4">
            <w:pPr>
              <w:pStyle w:val="Tabletext"/>
              <w:framePr w:hSpace="181" w:wrap="notBeside" w:vAnchor="text" w:hAnchor="text" w:xAlign="center" w:y="1"/>
              <w:jc w:val="center"/>
            </w:pPr>
            <w:r>
              <w:t>90</w:t>
            </w:r>
          </w:p>
        </w:tc>
      </w:tr>
      <w:tr w:rsidR="002B489A">
        <w:tc>
          <w:tcPr>
            <w:tcW w:w="5330" w:type="dxa"/>
          </w:tcPr>
          <w:p w:rsidR="002B489A" w:rsidRDefault="004F19C4">
            <w:pPr>
              <w:pStyle w:val="Tabletext"/>
              <w:framePr w:hSpace="181" w:wrap="notBeside" w:vAnchor="text" w:hAnchor="text" w:xAlign="center" w:y="1"/>
              <w:jc w:val="left"/>
            </w:pPr>
            <w:r>
              <w:t>Angle d'étalonnage de l'espace obscur (degrés)</w:t>
            </w:r>
            <w:r>
              <w:br/>
              <w:t>(par rapport à la direction du nadir)</w:t>
            </w:r>
          </w:p>
        </w:tc>
        <w:tc>
          <w:tcPr>
            <w:tcW w:w="2041" w:type="dxa"/>
          </w:tcPr>
          <w:p w:rsidR="002B489A" w:rsidRDefault="004F19C4">
            <w:pPr>
              <w:pStyle w:val="Tabletext"/>
              <w:framePr w:hSpace="181" w:wrap="notBeside" w:vAnchor="text" w:hAnchor="text" w:xAlign="center" w:y="1"/>
              <w:jc w:val="center"/>
            </w:pPr>
            <w:r>
              <w:t>83</w:t>
            </w:r>
          </w:p>
        </w:tc>
      </w:tr>
      <w:tr w:rsidR="002B489A">
        <w:tc>
          <w:tcPr>
            <w:tcW w:w="5330" w:type="dxa"/>
          </w:tcPr>
          <w:p w:rsidR="002B489A" w:rsidRDefault="004F19C4">
            <w:pPr>
              <w:pStyle w:val="Tabletext"/>
              <w:framePr w:hSpace="181" w:wrap="notBeside" w:vAnchor="text" w:hAnchor="text" w:xAlign="center" w:y="1"/>
              <w:jc w:val="left"/>
            </w:pPr>
            <w:r>
              <w:t>Type de balayage</w:t>
            </w:r>
          </w:p>
        </w:tc>
        <w:tc>
          <w:tcPr>
            <w:tcW w:w="2041" w:type="dxa"/>
          </w:tcPr>
          <w:p w:rsidR="002B489A" w:rsidRDefault="004F19C4">
            <w:pPr>
              <w:pStyle w:val="Tabletext"/>
              <w:framePr w:hSpace="181" w:wrap="notBeside" w:vAnchor="text" w:hAnchor="text" w:xAlign="center" w:y="1"/>
              <w:jc w:val="center"/>
            </w:pPr>
            <w:r>
              <w:t>Electronique</w:t>
            </w:r>
          </w:p>
        </w:tc>
      </w:tr>
    </w:tbl>
    <w:p w:rsidR="002B489A" w:rsidRDefault="002B489A">
      <w:pPr>
        <w:pStyle w:val="Tablefin"/>
      </w:pPr>
    </w:p>
    <w:p w:rsidR="002B489A" w:rsidRDefault="004F19C4">
      <w:r>
        <w:br w:type="page"/>
        <w:t>La configuration orbitale de ce détecteur est illustrée à la Fig. 42.</w:t>
      </w:r>
    </w:p>
    <w:p w:rsidR="002B489A" w:rsidRDefault="002B489A"/>
    <w:p w:rsidR="002B489A" w:rsidRDefault="004F19C4">
      <w:pPr>
        <w:pStyle w:val="FigureNo"/>
      </w:pPr>
      <w:r>
        <w:object w:dxaOrig="7263" w:dyaOrig="6865">
          <v:shape id="_x0000_i1052" type="#_x0000_t75" style="width:363pt;height:343.5pt" o:ole="">
            <v:imagedata r:id="rId88" o:title=""/>
          </v:shape>
          <o:OLEObject Type="Embed" ProgID="Designer.Drawing.7" ShapeID="_x0000_i1052" DrawAspect="Content" ObjectID="_1649163298" r:id="rId89"/>
        </w:object>
      </w:r>
    </w:p>
    <w:p w:rsidR="002B489A" w:rsidRDefault="002B489A"/>
    <w:p w:rsidR="002B489A" w:rsidRDefault="002B489A"/>
    <w:p w:rsidR="002B489A" w:rsidRDefault="004F19C4">
      <w:pPr>
        <w:pStyle w:val="Heading1"/>
      </w:pPr>
      <w:r>
        <w:t>2</w:t>
      </w:r>
      <w:r>
        <w:tab/>
        <w:t>SFS et SMS</w:t>
      </w:r>
    </w:p>
    <w:p w:rsidR="002B489A" w:rsidRDefault="004F19C4">
      <w:pPr>
        <w:pStyle w:val="Heading2"/>
        <w:spacing w:before="280"/>
      </w:pPr>
      <w:r>
        <w:t>2.1</w:t>
      </w:r>
      <w:r>
        <w:tab/>
        <w:t>Bande d'émission attribuée</w:t>
      </w:r>
    </w:p>
    <w:p w:rsidR="002B489A" w:rsidRDefault="004F19C4">
      <w:pPr>
        <w:spacing w:before="60"/>
      </w:pPr>
      <w:r>
        <w:t>La bande de service active est la liaison montante du SFS et les liaisons de connexion du SMS dans la bande 30</w:t>
      </w:r>
      <w:r>
        <w:rPr>
          <w:color w:val="000000"/>
        </w:rPr>
        <w:t>-</w:t>
      </w:r>
      <w:r>
        <w:t>31 GHz. Se reporter au Tableau 54.</w:t>
      </w:r>
    </w:p>
    <w:p w:rsidR="002B489A" w:rsidRDefault="004F19C4">
      <w:pPr>
        <w:pStyle w:val="Heading2"/>
        <w:spacing w:before="280"/>
      </w:pPr>
      <w:r>
        <w:t>2.2</w:t>
      </w:r>
      <w:r>
        <w:tab/>
        <w:t>Application</w:t>
      </w:r>
    </w:p>
    <w:p w:rsidR="002B489A" w:rsidRDefault="004F19C4">
      <w:pPr>
        <w:spacing w:before="60"/>
      </w:pPr>
      <w:r>
        <w:t xml:space="preserve">L'ensemble complet des caractéristiques de l'émetteur dont il est tenu compte dans la présente annexe est tiré de la Recommandation UIT-R </w:t>
      </w:r>
      <w:r>
        <w:rPr>
          <w:bCs/>
        </w:rPr>
        <w:t>S.1328-3</w:t>
      </w:r>
      <w:r>
        <w:t> – Caractéristiques de systèmes à satellites à prendre en compte dans les analyses de partage des fréquences entre systèmes à satellites sur l'orbite des satellites géostationnaires (OSG) et systèmes à satellites non OSG dans le service fixe par satellite (SFS), y compris les liaisons de connexion du service mobile par satellite (SMS). Cette Recommandation donne des informations pertinentes sur les types de systèmes.</w:t>
      </w:r>
    </w:p>
    <w:p w:rsidR="002B489A" w:rsidRDefault="004F19C4">
      <w:pPr>
        <w:pStyle w:val="Note"/>
      </w:pPr>
      <w:r>
        <w:rPr>
          <w:iCs/>
        </w:rPr>
        <w:br w:type="page"/>
        <w:t>NOTE 1 –</w:t>
      </w:r>
      <w:r>
        <w:t> La plupart des systèmes, qu'on trouve dans la Recommandation UIT-R S.1328</w:t>
      </w:r>
      <w:r>
        <w:noBreakHyphen/>
        <w:t>3 qui ont des liaisons montantes SFS dans la gamme des 30 GHz, ont généralement une gamme de fréquences qui se termine dans les 30 GHz. En dépit de ce fait, on suppose que les satellites SFS qui ont des liaisons dans la gamme des 30</w:t>
      </w:r>
      <w:r>
        <w:rPr>
          <w:color w:val="000000"/>
        </w:rPr>
        <w:sym w:font="Symbol" w:char="F02D"/>
      </w:r>
      <w:r>
        <w:t>31 GHz ont des caractéristiques similaires à celles de ceux qui fonctionnent au</w:t>
      </w:r>
      <w:r>
        <w:noBreakHyphen/>
        <w:t>dessous de 30 GHz.</w:t>
      </w:r>
    </w:p>
    <w:p w:rsidR="002B489A" w:rsidRDefault="004F19C4">
      <w:pPr>
        <w:pStyle w:val="Heading2"/>
        <w:spacing w:before="280"/>
      </w:pPr>
      <w:r>
        <w:t>2.3</w:t>
      </w:r>
      <w:r>
        <w:tab/>
        <w:t>Niveaux fondés sur des représentation spectrales</w:t>
      </w:r>
    </w:p>
    <w:p w:rsidR="002B489A" w:rsidRDefault="004F19C4">
      <w:pPr>
        <w:spacing w:before="60"/>
      </w:pPr>
      <w:r>
        <w:t>La présente Annexe utilise la représentation spectrale par «cosinus surélevé» qui est décrite à l'Annexe 1.</w:t>
      </w:r>
    </w:p>
    <w:p w:rsidR="002B489A" w:rsidRDefault="004F19C4">
      <w:pPr>
        <w:spacing w:before="60"/>
      </w:pPr>
      <w:r>
        <w:t>Cette représentation spectrale est destinée aux études bande par bande et est provisoire, en attendant un complément d'étude au sein de l'UIT-R à l'avenir. Elle représente d'une façon très générale la distribution de puissance moyenne typique à travers les domaines d'émission hors bande et non essentiel dans une attribution adjacente ou voisine.</w:t>
      </w:r>
    </w:p>
    <w:p w:rsidR="002B489A" w:rsidRDefault="004F19C4">
      <w:pPr>
        <w:pStyle w:val="Heading2"/>
        <w:spacing w:before="280"/>
      </w:pPr>
      <w:r>
        <w:t>2.4</w:t>
      </w:r>
      <w:r>
        <w:tab/>
        <w:t>Caractéristiques de l'émetteur</w:t>
      </w:r>
    </w:p>
    <w:p w:rsidR="002B489A" w:rsidRDefault="004F19C4">
      <w:pPr>
        <w:pStyle w:val="Heading3"/>
        <w:spacing w:before="160"/>
      </w:pPr>
      <w:r>
        <w:t>2.4.1</w:t>
      </w:r>
      <w:r>
        <w:tab/>
        <w:t>Réseaux à satellite OSG</w:t>
      </w:r>
    </w:p>
    <w:p w:rsidR="002B489A" w:rsidRDefault="004F19C4">
      <w:pPr>
        <w:spacing w:before="60"/>
      </w:pPr>
      <w:r>
        <w:t>Les caractéristiques utilisées pour les stations terriennes OSG sont données au Tableau 57. Chacun des réseaux du satellite OSG consiste en un seul satellite OSG. Les informations pour tous les paramètres des systèmes OSG ne sont pas disponibles. Ces paramètres sont indiqués dans les tableaux par la mention «ND».</w:t>
      </w:r>
    </w:p>
    <w:p w:rsidR="002B489A" w:rsidRDefault="004F19C4">
      <w:pPr>
        <w:pStyle w:val="TableNo"/>
      </w:pPr>
      <w:r>
        <w:t>TABLEAU  57</w:t>
      </w:r>
    </w:p>
    <w:p w:rsidR="002B489A" w:rsidRDefault="004F19C4">
      <w:pPr>
        <w:pStyle w:val="Tabletitle"/>
        <w:spacing w:after="60"/>
      </w:pPr>
      <w:r>
        <w:t>Caractéristiques de la liaison montante des stations terriennes de liaison montante OSG</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2"/>
        <w:gridCol w:w="682"/>
        <w:gridCol w:w="1605"/>
        <w:gridCol w:w="1888"/>
        <w:gridCol w:w="966"/>
        <w:gridCol w:w="882"/>
        <w:gridCol w:w="1454"/>
      </w:tblGrid>
      <w:tr w:rsidR="002B489A">
        <w:tc>
          <w:tcPr>
            <w:tcW w:w="2162" w:type="dxa"/>
            <w:shd w:val="clear" w:color="auto" w:fill="FFFFFF"/>
          </w:tcPr>
          <w:p w:rsidR="002B489A" w:rsidRDefault="004F19C4">
            <w:pPr>
              <w:pStyle w:val="Tablehead"/>
              <w:framePr w:hSpace="181" w:wrap="notBeside" w:vAnchor="text" w:hAnchor="text" w:xAlign="center" w:y="1"/>
              <w:spacing w:before="120" w:after="120"/>
              <w:jc w:val="left"/>
            </w:pPr>
            <w:r>
              <w:t>Système</w:t>
            </w:r>
          </w:p>
        </w:tc>
        <w:tc>
          <w:tcPr>
            <w:tcW w:w="682" w:type="dxa"/>
            <w:shd w:val="clear" w:color="auto" w:fill="FFFFFF"/>
          </w:tcPr>
          <w:p w:rsidR="002B489A" w:rsidRDefault="004F19C4">
            <w:pPr>
              <w:pStyle w:val="Tablehead"/>
              <w:framePr w:hSpace="181" w:wrap="notBeside" w:vAnchor="text" w:hAnchor="text" w:xAlign="center" w:y="1"/>
              <w:spacing w:before="120" w:after="120"/>
              <w:ind w:left="-57" w:right="-57"/>
            </w:pPr>
            <w:r>
              <w:t>Ka-1</w:t>
            </w:r>
          </w:p>
        </w:tc>
        <w:tc>
          <w:tcPr>
            <w:tcW w:w="1605" w:type="dxa"/>
            <w:shd w:val="clear" w:color="auto" w:fill="FFFFFF"/>
          </w:tcPr>
          <w:p w:rsidR="002B489A" w:rsidRDefault="004F19C4">
            <w:pPr>
              <w:pStyle w:val="Tablehead"/>
              <w:framePr w:hSpace="181" w:wrap="notBeside" w:vAnchor="text" w:hAnchor="text" w:xAlign="center" w:y="1"/>
              <w:spacing w:before="120" w:after="120"/>
              <w:ind w:left="-57" w:right="-57"/>
            </w:pPr>
            <w:r>
              <w:t>GSO-20</w:t>
            </w:r>
          </w:p>
        </w:tc>
        <w:tc>
          <w:tcPr>
            <w:tcW w:w="1888" w:type="dxa"/>
            <w:shd w:val="clear" w:color="auto" w:fill="FFFFFF"/>
          </w:tcPr>
          <w:p w:rsidR="002B489A" w:rsidRDefault="004F19C4">
            <w:pPr>
              <w:pStyle w:val="Tablehead"/>
              <w:framePr w:hSpace="181" w:wrap="notBeside" w:vAnchor="text" w:hAnchor="text" w:xAlign="center" w:y="1"/>
              <w:spacing w:before="120" w:after="120"/>
              <w:ind w:left="-57" w:right="-57"/>
              <w:rPr>
                <w:lang w:val="en-US"/>
              </w:rPr>
            </w:pPr>
            <w:r>
              <w:rPr>
                <w:lang w:val="en-US"/>
              </w:rPr>
              <w:t>GSO-F</w:t>
            </w:r>
          </w:p>
        </w:tc>
        <w:tc>
          <w:tcPr>
            <w:tcW w:w="966" w:type="dxa"/>
            <w:shd w:val="clear" w:color="auto" w:fill="FFFFFF"/>
          </w:tcPr>
          <w:p w:rsidR="002B489A" w:rsidRDefault="004F19C4">
            <w:pPr>
              <w:pStyle w:val="Tablehead"/>
              <w:framePr w:hSpace="181" w:wrap="notBeside" w:vAnchor="text" w:hAnchor="text" w:xAlign="center" w:y="1"/>
              <w:spacing w:before="120" w:after="120"/>
              <w:ind w:left="-57" w:right="-57"/>
              <w:rPr>
                <w:lang w:val="en-US"/>
              </w:rPr>
            </w:pPr>
            <w:r>
              <w:rPr>
                <w:lang w:val="en-US"/>
              </w:rPr>
              <w:t>GSO-G</w:t>
            </w:r>
          </w:p>
        </w:tc>
        <w:tc>
          <w:tcPr>
            <w:tcW w:w="882" w:type="dxa"/>
            <w:shd w:val="clear" w:color="auto" w:fill="FFFFFF"/>
          </w:tcPr>
          <w:p w:rsidR="002B489A" w:rsidRDefault="004F19C4">
            <w:pPr>
              <w:pStyle w:val="Tablehead"/>
              <w:framePr w:hSpace="181" w:wrap="notBeside" w:vAnchor="text" w:hAnchor="text" w:xAlign="center" w:y="1"/>
              <w:spacing w:before="120" w:after="120"/>
              <w:ind w:left="-57" w:right="-57"/>
              <w:rPr>
                <w:lang w:val="en-US"/>
              </w:rPr>
            </w:pPr>
            <w:r>
              <w:rPr>
                <w:lang w:val="en-US"/>
              </w:rPr>
              <w:t>GSO-H</w:t>
            </w:r>
          </w:p>
        </w:tc>
        <w:tc>
          <w:tcPr>
            <w:tcW w:w="1454" w:type="dxa"/>
            <w:shd w:val="clear" w:color="auto" w:fill="FFFFFF"/>
          </w:tcPr>
          <w:p w:rsidR="002B489A" w:rsidRDefault="004F19C4">
            <w:pPr>
              <w:pStyle w:val="Tablehead"/>
              <w:framePr w:hSpace="181" w:wrap="notBeside" w:vAnchor="text" w:hAnchor="text" w:xAlign="center" w:y="1"/>
              <w:spacing w:before="120" w:after="120"/>
              <w:ind w:left="-57" w:right="-57"/>
              <w:rPr>
                <w:lang w:val="en-US"/>
              </w:rPr>
            </w:pPr>
            <w:r>
              <w:rPr>
                <w:lang w:val="en-US"/>
              </w:rPr>
              <w:t>GSO-13</w:t>
            </w:r>
          </w:p>
        </w:tc>
      </w:tr>
      <w:tr w:rsidR="002B489A">
        <w:tc>
          <w:tcPr>
            <w:tcW w:w="2162"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line="230" w:lineRule="exact"/>
              <w:jc w:val="left"/>
              <w:rPr>
                <w:lang w:val="en-US"/>
              </w:rPr>
            </w:pPr>
            <w:r>
              <w:rPr>
                <w:lang w:val="en-US"/>
              </w:rPr>
              <w:t>Service</w:t>
            </w:r>
          </w:p>
        </w:tc>
        <w:tc>
          <w:tcPr>
            <w:tcW w:w="682" w:type="dxa"/>
          </w:tcPr>
          <w:p w:rsidR="002B489A" w:rsidRDefault="002B489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line="230" w:lineRule="exact"/>
              <w:jc w:val="center"/>
              <w:rPr>
                <w:lang w:val="en-US"/>
              </w:rPr>
            </w:pPr>
          </w:p>
        </w:tc>
        <w:tc>
          <w:tcPr>
            <w:tcW w:w="1605"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line="230" w:lineRule="exact"/>
              <w:jc w:val="center"/>
              <w:rPr>
                <w:lang w:val="en-US"/>
              </w:rPr>
            </w:pPr>
            <w:r>
              <w:rPr>
                <w:lang w:val="en-US"/>
              </w:rPr>
              <w:t>SFS/SMS</w:t>
            </w:r>
          </w:p>
        </w:tc>
        <w:tc>
          <w:tcPr>
            <w:tcW w:w="1888"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s>
              <w:spacing w:before="80" w:after="80" w:line="230" w:lineRule="exact"/>
              <w:jc w:val="center"/>
              <w:rPr>
                <w:lang w:val="en-US"/>
              </w:rPr>
            </w:pPr>
            <w:r>
              <w:rPr>
                <w:lang w:val="en-US"/>
              </w:rPr>
              <w:t>SMS</w:t>
            </w:r>
          </w:p>
        </w:tc>
        <w:tc>
          <w:tcPr>
            <w:tcW w:w="966"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line="230" w:lineRule="exact"/>
              <w:jc w:val="center"/>
              <w:rPr>
                <w:lang w:val="en-US"/>
              </w:rPr>
            </w:pPr>
            <w:r>
              <w:rPr>
                <w:lang w:val="en-US"/>
              </w:rPr>
              <w:t>SMS</w:t>
            </w:r>
          </w:p>
        </w:tc>
        <w:tc>
          <w:tcPr>
            <w:tcW w:w="882"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line="230" w:lineRule="exact"/>
              <w:jc w:val="center"/>
              <w:rPr>
                <w:lang w:val="en-US"/>
              </w:rPr>
            </w:pPr>
            <w:r>
              <w:rPr>
                <w:lang w:val="en-US"/>
              </w:rPr>
              <w:t>SMS</w:t>
            </w:r>
          </w:p>
        </w:tc>
        <w:tc>
          <w:tcPr>
            <w:tcW w:w="1454"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line="230" w:lineRule="exact"/>
              <w:jc w:val="center"/>
            </w:pPr>
            <w:r>
              <w:t>SFS</w:t>
            </w:r>
          </w:p>
        </w:tc>
      </w:tr>
      <w:tr w:rsidR="002B489A">
        <w:tc>
          <w:tcPr>
            <w:tcW w:w="2162"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line="230" w:lineRule="exact"/>
              <w:jc w:val="left"/>
            </w:pPr>
            <w:r>
              <w:t>Polarisation</w:t>
            </w:r>
          </w:p>
        </w:tc>
        <w:tc>
          <w:tcPr>
            <w:tcW w:w="682" w:type="dxa"/>
          </w:tcPr>
          <w:p w:rsidR="002B489A" w:rsidRDefault="002B489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line="230" w:lineRule="exact"/>
              <w:jc w:val="center"/>
            </w:pPr>
          </w:p>
        </w:tc>
        <w:tc>
          <w:tcPr>
            <w:tcW w:w="1605"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line="230" w:lineRule="exact"/>
              <w:jc w:val="center"/>
            </w:pPr>
            <w:r>
              <w:t>Circulaire gauche/droite</w:t>
            </w:r>
          </w:p>
        </w:tc>
        <w:tc>
          <w:tcPr>
            <w:tcW w:w="1888"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s>
              <w:spacing w:before="80" w:after="80" w:line="230" w:lineRule="exact"/>
              <w:jc w:val="center"/>
              <w:rPr>
                <w:lang w:val="fr-CH"/>
              </w:rPr>
            </w:pPr>
            <w:r>
              <w:rPr>
                <w:lang w:val="fr-CH"/>
              </w:rPr>
              <w:t>ND</w:t>
            </w:r>
          </w:p>
        </w:tc>
        <w:tc>
          <w:tcPr>
            <w:tcW w:w="966"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line="230" w:lineRule="exact"/>
              <w:jc w:val="center"/>
              <w:rPr>
                <w:lang w:val="en-US"/>
              </w:rPr>
            </w:pPr>
            <w:r>
              <w:rPr>
                <w:lang w:val="en-US"/>
              </w:rPr>
              <w:t>ND</w:t>
            </w:r>
          </w:p>
        </w:tc>
        <w:tc>
          <w:tcPr>
            <w:tcW w:w="882"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line="230" w:lineRule="exact"/>
              <w:jc w:val="center"/>
              <w:rPr>
                <w:lang w:val="en-US"/>
              </w:rPr>
            </w:pPr>
            <w:r>
              <w:rPr>
                <w:lang w:val="en-US"/>
              </w:rPr>
              <w:t>ND</w:t>
            </w:r>
          </w:p>
        </w:tc>
        <w:tc>
          <w:tcPr>
            <w:tcW w:w="1454"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line="230" w:lineRule="exact"/>
              <w:jc w:val="center"/>
            </w:pPr>
            <w:r>
              <w:t>Circulaire droite/gauche</w:t>
            </w:r>
          </w:p>
        </w:tc>
      </w:tr>
      <w:tr w:rsidR="002B489A">
        <w:tc>
          <w:tcPr>
            <w:tcW w:w="2162"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line="230" w:lineRule="exact"/>
              <w:jc w:val="left"/>
              <w:rPr>
                <w:lang w:val="en-US"/>
              </w:rPr>
            </w:pPr>
            <w:r>
              <w:rPr>
                <w:lang w:val="en-US"/>
              </w:rPr>
              <w:t>Modulation</w:t>
            </w:r>
          </w:p>
        </w:tc>
        <w:tc>
          <w:tcPr>
            <w:tcW w:w="682" w:type="dxa"/>
          </w:tcPr>
          <w:p w:rsidR="002B489A" w:rsidRDefault="002B489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line="230" w:lineRule="exact"/>
              <w:jc w:val="center"/>
              <w:rPr>
                <w:lang w:val="en-US"/>
              </w:rPr>
            </w:pPr>
          </w:p>
        </w:tc>
        <w:tc>
          <w:tcPr>
            <w:tcW w:w="1605"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line="230" w:lineRule="exact"/>
              <w:jc w:val="center"/>
              <w:rPr>
                <w:lang w:val="en-US"/>
              </w:rPr>
            </w:pPr>
            <w:r>
              <w:rPr>
                <w:lang w:val="en-US"/>
              </w:rPr>
              <w:t>AMRF/MDP-4</w:t>
            </w:r>
          </w:p>
        </w:tc>
        <w:tc>
          <w:tcPr>
            <w:tcW w:w="1888"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s>
              <w:spacing w:before="80" w:after="80" w:line="230" w:lineRule="exact"/>
              <w:ind w:left="-57"/>
              <w:jc w:val="center"/>
              <w:rPr>
                <w:lang w:val="en-US"/>
              </w:rPr>
            </w:pPr>
            <w:r>
              <w:rPr>
                <w:lang w:val="en-US"/>
              </w:rPr>
              <w:t>MRF/MRT/MDP-4</w:t>
            </w:r>
          </w:p>
        </w:tc>
        <w:tc>
          <w:tcPr>
            <w:tcW w:w="966"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line="230" w:lineRule="exact"/>
              <w:jc w:val="center"/>
              <w:rPr>
                <w:lang w:val="en-US"/>
              </w:rPr>
            </w:pPr>
            <w:r>
              <w:rPr>
                <w:lang w:val="en-US"/>
              </w:rPr>
              <w:t>MDP-4</w:t>
            </w:r>
          </w:p>
        </w:tc>
        <w:tc>
          <w:tcPr>
            <w:tcW w:w="882"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line="230" w:lineRule="exact"/>
              <w:jc w:val="center"/>
              <w:rPr>
                <w:lang w:val="en-US"/>
              </w:rPr>
            </w:pPr>
            <w:r>
              <w:rPr>
                <w:lang w:val="en-US"/>
              </w:rPr>
              <w:t>MDP-4</w:t>
            </w:r>
          </w:p>
        </w:tc>
        <w:tc>
          <w:tcPr>
            <w:tcW w:w="1454"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line="230" w:lineRule="exact"/>
              <w:jc w:val="center"/>
              <w:rPr>
                <w:lang w:val="en-US"/>
              </w:rPr>
            </w:pPr>
            <w:r>
              <w:rPr>
                <w:lang w:val="en-US"/>
              </w:rPr>
              <w:t>ND</w:t>
            </w:r>
          </w:p>
        </w:tc>
      </w:tr>
      <w:tr w:rsidR="002B489A">
        <w:tc>
          <w:tcPr>
            <w:tcW w:w="2162"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line="230" w:lineRule="exact"/>
              <w:jc w:val="left"/>
            </w:pPr>
            <w:r>
              <w:t>Largeur de bande (MHz)</w:t>
            </w:r>
          </w:p>
        </w:tc>
        <w:tc>
          <w:tcPr>
            <w:tcW w:w="682"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line="230" w:lineRule="exact"/>
              <w:ind w:left="-85" w:right="-85"/>
              <w:jc w:val="center"/>
            </w:pPr>
            <w:r>
              <w:t>186,6</w:t>
            </w:r>
          </w:p>
        </w:tc>
        <w:tc>
          <w:tcPr>
            <w:tcW w:w="1605"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line="230" w:lineRule="exact"/>
              <w:jc w:val="center"/>
            </w:pPr>
            <w:r>
              <w:t>500</w:t>
            </w:r>
          </w:p>
        </w:tc>
        <w:tc>
          <w:tcPr>
            <w:tcW w:w="1888"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s>
              <w:spacing w:before="80" w:after="80" w:line="230" w:lineRule="exact"/>
              <w:jc w:val="center"/>
            </w:pPr>
            <w:r>
              <w:t>125</w:t>
            </w:r>
          </w:p>
        </w:tc>
        <w:tc>
          <w:tcPr>
            <w:tcW w:w="966"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line="230" w:lineRule="exact"/>
              <w:jc w:val="center"/>
            </w:pPr>
            <w:r>
              <w:t>0,0768</w:t>
            </w:r>
          </w:p>
        </w:tc>
        <w:tc>
          <w:tcPr>
            <w:tcW w:w="882"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line="230" w:lineRule="exact"/>
              <w:jc w:val="center"/>
            </w:pPr>
            <w:r>
              <w:t>0,0768</w:t>
            </w:r>
          </w:p>
        </w:tc>
        <w:tc>
          <w:tcPr>
            <w:tcW w:w="1454"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line="230" w:lineRule="exact"/>
              <w:jc w:val="center"/>
            </w:pPr>
            <w:r>
              <w:t>0,340</w:t>
            </w:r>
          </w:p>
        </w:tc>
      </w:tr>
      <w:tr w:rsidR="002B489A">
        <w:tc>
          <w:tcPr>
            <w:tcW w:w="2162"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line="230" w:lineRule="exact"/>
              <w:jc w:val="left"/>
            </w:pPr>
            <w:r>
              <w:t>p.i.r.e. (dBW)</w:t>
            </w:r>
          </w:p>
        </w:tc>
        <w:tc>
          <w:tcPr>
            <w:tcW w:w="682"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line="230" w:lineRule="exact"/>
              <w:jc w:val="center"/>
            </w:pPr>
            <w:r>
              <w:t>77</w:t>
            </w:r>
          </w:p>
        </w:tc>
        <w:tc>
          <w:tcPr>
            <w:tcW w:w="1605"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line="230" w:lineRule="exact"/>
              <w:jc w:val="center"/>
            </w:pPr>
            <w:r>
              <w:t>62</w:t>
            </w:r>
          </w:p>
        </w:tc>
        <w:tc>
          <w:tcPr>
            <w:tcW w:w="1888"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s>
              <w:spacing w:before="80" w:after="80" w:line="230" w:lineRule="exact"/>
              <w:jc w:val="center"/>
            </w:pPr>
            <w:r>
              <w:t>53,2</w:t>
            </w:r>
          </w:p>
        </w:tc>
        <w:tc>
          <w:tcPr>
            <w:tcW w:w="966"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line="230" w:lineRule="exact"/>
              <w:jc w:val="center"/>
            </w:pPr>
            <w:r>
              <w:t>67,5</w:t>
            </w:r>
          </w:p>
        </w:tc>
        <w:tc>
          <w:tcPr>
            <w:tcW w:w="882"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line="230" w:lineRule="exact"/>
              <w:jc w:val="center"/>
            </w:pPr>
            <w:r>
              <w:t>61,5</w:t>
            </w:r>
          </w:p>
        </w:tc>
        <w:tc>
          <w:tcPr>
            <w:tcW w:w="1454"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line="230" w:lineRule="exact"/>
              <w:jc w:val="center"/>
            </w:pPr>
            <w:r>
              <w:t>44,3</w:t>
            </w:r>
          </w:p>
        </w:tc>
      </w:tr>
      <w:tr w:rsidR="002B489A">
        <w:tc>
          <w:tcPr>
            <w:tcW w:w="2162"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line="230" w:lineRule="exact"/>
              <w:jc w:val="left"/>
            </w:pPr>
            <w:r>
              <w:t>Gain d'antenne (dBW)</w:t>
            </w:r>
          </w:p>
        </w:tc>
        <w:tc>
          <w:tcPr>
            <w:tcW w:w="682"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line="230" w:lineRule="exact"/>
              <w:jc w:val="center"/>
            </w:pPr>
            <w:r>
              <w:t>63,7</w:t>
            </w:r>
          </w:p>
        </w:tc>
        <w:tc>
          <w:tcPr>
            <w:tcW w:w="1605"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line="230" w:lineRule="exact"/>
              <w:jc w:val="center"/>
            </w:pPr>
            <w:r>
              <w:t>43,9</w:t>
            </w:r>
          </w:p>
        </w:tc>
        <w:tc>
          <w:tcPr>
            <w:tcW w:w="1888"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s>
              <w:spacing w:before="80" w:after="80" w:line="230" w:lineRule="exact"/>
              <w:jc w:val="center"/>
            </w:pPr>
            <w:r>
              <w:t>57,2</w:t>
            </w:r>
          </w:p>
        </w:tc>
        <w:tc>
          <w:tcPr>
            <w:tcW w:w="966"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line="230" w:lineRule="exact"/>
              <w:jc w:val="center"/>
            </w:pPr>
            <w:r>
              <w:t>45,7</w:t>
            </w:r>
          </w:p>
        </w:tc>
        <w:tc>
          <w:tcPr>
            <w:tcW w:w="882"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line="230" w:lineRule="exact"/>
              <w:jc w:val="center"/>
            </w:pPr>
            <w:r>
              <w:t>55,2</w:t>
            </w:r>
          </w:p>
        </w:tc>
        <w:tc>
          <w:tcPr>
            <w:tcW w:w="1454"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line="230" w:lineRule="exact"/>
              <w:jc w:val="center"/>
            </w:pPr>
            <w:r>
              <w:t>44,3</w:t>
            </w:r>
          </w:p>
        </w:tc>
      </w:tr>
      <w:tr w:rsidR="002B489A">
        <w:tc>
          <w:tcPr>
            <w:tcW w:w="2162"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line="230" w:lineRule="exact"/>
              <w:jc w:val="left"/>
            </w:pPr>
            <w:r>
              <w:t>Puissance d'émission (dBW)</w:t>
            </w:r>
          </w:p>
        </w:tc>
        <w:tc>
          <w:tcPr>
            <w:tcW w:w="682"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line="230" w:lineRule="exact"/>
              <w:jc w:val="center"/>
            </w:pPr>
            <w:r>
              <w:t>13,3</w:t>
            </w:r>
          </w:p>
        </w:tc>
        <w:tc>
          <w:tcPr>
            <w:tcW w:w="1605"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line="230" w:lineRule="exact"/>
              <w:jc w:val="center"/>
            </w:pPr>
            <w:r>
              <w:t>18,1</w:t>
            </w:r>
          </w:p>
        </w:tc>
        <w:tc>
          <w:tcPr>
            <w:tcW w:w="1888"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s>
              <w:spacing w:before="80" w:after="80" w:line="230" w:lineRule="exact"/>
              <w:jc w:val="center"/>
            </w:pPr>
            <w:r>
              <w:t>–4</w:t>
            </w:r>
          </w:p>
        </w:tc>
        <w:tc>
          <w:tcPr>
            <w:tcW w:w="966"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line="230" w:lineRule="exact"/>
              <w:jc w:val="center"/>
            </w:pPr>
            <w:r>
              <w:t>21,8</w:t>
            </w:r>
          </w:p>
        </w:tc>
        <w:tc>
          <w:tcPr>
            <w:tcW w:w="882"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line="230" w:lineRule="exact"/>
              <w:jc w:val="center"/>
            </w:pPr>
            <w:r>
              <w:t>6,3</w:t>
            </w:r>
          </w:p>
        </w:tc>
        <w:tc>
          <w:tcPr>
            <w:tcW w:w="1454"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line="230" w:lineRule="exact"/>
              <w:jc w:val="center"/>
            </w:pPr>
            <w:r>
              <w:t>0</w:t>
            </w:r>
          </w:p>
        </w:tc>
      </w:tr>
      <w:tr w:rsidR="002B489A">
        <w:tc>
          <w:tcPr>
            <w:tcW w:w="2162"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line="230" w:lineRule="exact"/>
              <w:jc w:val="left"/>
            </w:pPr>
            <w:r>
              <w:t>Nombre de stations</w:t>
            </w:r>
          </w:p>
        </w:tc>
        <w:tc>
          <w:tcPr>
            <w:tcW w:w="682" w:type="dxa"/>
          </w:tcPr>
          <w:p w:rsidR="002B489A" w:rsidRDefault="002B489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line="230" w:lineRule="exact"/>
              <w:jc w:val="center"/>
            </w:pPr>
          </w:p>
        </w:tc>
        <w:tc>
          <w:tcPr>
            <w:tcW w:w="1605"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line="230" w:lineRule="exact"/>
              <w:jc w:val="center"/>
            </w:pPr>
            <w:r>
              <w:t>10</w:t>
            </w:r>
          </w:p>
        </w:tc>
        <w:tc>
          <w:tcPr>
            <w:tcW w:w="1888"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s>
              <w:spacing w:before="80" w:after="80" w:line="230" w:lineRule="exact"/>
              <w:jc w:val="center"/>
            </w:pPr>
            <w:r>
              <w:t>Illimité</w:t>
            </w:r>
          </w:p>
        </w:tc>
        <w:tc>
          <w:tcPr>
            <w:tcW w:w="966"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line="230" w:lineRule="exact"/>
              <w:jc w:val="center"/>
            </w:pPr>
            <w:r>
              <w:t>–</w:t>
            </w:r>
          </w:p>
        </w:tc>
        <w:tc>
          <w:tcPr>
            <w:tcW w:w="882"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line="230" w:lineRule="exact"/>
              <w:jc w:val="center"/>
            </w:pPr>
            <w:r>
              <w:t>–</w:t>
            </w:r>
          </w:p>
        </w:tc>
        <w:tc>
          <w:tcPr>
            <w:tcW w:w="1454"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line="230" w:lineRule="exact"/>
              <w:jc w:val="center"/>
            </w:pPr>
            <w:r>
              <w:t>600 000</w:t>
            </w:r>
          </w:p>
        </w:tc>
      </w:tr>
    </w:tbl>
    <w:p w:rsidR="002B489A" w:rsidRDefault="002B489A">
      <w:pPr>
        <w:pStyle w:val="Tablefin"/>
      </w:pPr>
    </w:p>
    <w:p w:rsidR="002B489A" w:rsidRDefault="004F19C4">
      <w:pPr>
        <w:pStyle w:val="Heading3"/>
      </w:pPr>
      <w:r>
        <w:br w:type="page"/>
        <w:t>2.4.2</w:t>
      </w:r>
      <w:r>
        <w:tab/>
        <w:t>Réseaux non OSG</w:t>
      </w:r>
    </w:p>
    <w:p w:rsidR="002B489A" w:rsidRDefault="004F19C4">
      <w:r>
        <w:t>Les caractéristiques des stations terriennes non OSG figurent au Tableau 58.</w:t>
      </w:r>
    </w:p>
    <w:p w:rsidR="002B489A" w:rsidRDefault="004F19C4">
      <w:pPr>
        <w:pStyle w:val="TableNo"/>
      </w:pPr>
      <w:r>
        <w:t>TABLEAU  58</w:t>
      </w:r>
    </w:p>
    <w:p w:rsidR="002B489A" w:rsidRDefault="004F19C4">
      <w:pPr>
        <w:pStyle w:val="Tabletitle"/>
      </w:pPr>
      <w:r>
        <w:t>Caractéristiques des stations terriennes de liaison montante non OSG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7"/>
        <w:gridCol w:w="1596"/>
        <w:gridCol w:w="1427"/>
        <w:gridCol w:w="2239"/>
        <w:gridCol w:w="1318"/>
      </w:tblGrid>
      <w:tr w:rsidR="002B489A">
        <w:tc>
          <w:tcPr>
            <w:tcW w:w="2817" w:type="dxa"/>
            <w:shd w:val="clear" w:color="auto" w:fill="FFFFFF"/>
          </w:tcPr>
          <w:p w:rsidR="002B489A" w:rsidRDefault="004F19C4">
            <w:pPr>
              <w:pStyle w:val="Tablehead"/>
              <w:framePr w:hSpace="181" w:wrap="notBeside" w:vAnchor="text" w:hAnchor="text" w:xAlign="center" w:y="1"/>
              <w:jc w:val="left"/>
            </w:pPr>
            <w:r>
              <w:t>Système</w:t>
            </w:r>
          </w:p>
        </w:tc>
        <w:tc>
          <w:tcPr>
            <w:tcW w:w="1596" w:type="dxa"/>
            <w:shd w:val="clear" w:color="auto" w:fill="FFFFFF"/>
          </w:tcPr>
          <w:p w:rsidR="002B489A" w:rsidRDefault="004F19C4">
            <w:pPr>
              <w:pStyle w:val="Tablehead"/>
              <w:framePr w:hSpace="181" w:wrap="notBeside" w:vAnchor="text" w:hAnchor="text" w:xAlign="center" w:y="1"/>
            </w:pPr>
            <w:r>
              <w:t>LEO-A</w:t>
            </w:r>
          </w:p>
        </w:tc>
        <w:tc>
          <w:tcPr>
            <w:tcW w:w="1427" w:type="dxa"/>
            <w:shd w:val="clear" w:color="auto" w:fill="FFFFFF"/>
          </w:tcPr>
          <w:p w:rsidR="002B489A" w:rsidRDefault="004F19C4">
            <w:pPr>
              <w:pStyle w:val="Tablehead"/>
              <w:framePr w:hSpace="181" w:wrap="notBeside" w:vAnchor="text" w:hAnchor="text" w:xAlign="center" w:y="1"/>
              <w:rPr>
                <w:lang w:val="es-ES"/>
              </w:rPr>
            </w:pPr>
            <w:r>
              <w:rPr>
                <w:lang w:val="es-ES"/>
              </w:rPr>
              <w:t>LEO-B</w:t>
            </w:r>
          </w:p>
        </w:tc>
        <w:tc>
          <w:tcPr>
            <w:tcW w:w="2239" w:type="dxa"/>
            <w:shd w:val="clear" w:color="auto" w:fill="FFFFFF"/>
          </w:tcPr>
          <w:p w:rsidR="002B489A" w:rsidRDefault="004F19C4">
            <w:pPr>
              <w:pStyle w:val="Tablehead"/>
              <w:framePr w:hSpace="181" w:wrap="notBeside" w:vAnchor="text" w:hAnchor="text" w:xAlign="center" w:y="1"/>
              <w:rPr>
                <w:lang w:val="es-ES"/>
              </w:rPr>
            </w:pPr>
            <w:r>
              <w:rPr>
                <w:lang w:val="es-ES"/>
              </w:rPr>
              <w:t>LEOSAT-1</w:t>
            </w:r>
          </w:p>
        </w:tc>
        <w:tc>
          <w:tcPr>
            <w:tcW w:w="1314" w:type="dxa"/>
            <w:shd w:val="clear" w:color="auto" w:fill="FFFFFF"/>
          </w:tcPr>
          <w:p w:rsidR="002B489A" w:rsidRDefault="004F19C4">
            <w:pPr>
              <w:pStyle w:val="Tablehead"/>
              <w:framePr w:hSpace="181" w:wrap="notBeside" w:vAnchor="text" w:hAnchor="text" w:xAlign="center" w:y="1"/>
              <w:rPr>
                <w:lang w:val="en-US"/>
              </w:rPr>
            </w:pPr>
            <w:r>
              <w:rPr>
                <w:lang w:val="en-US"/>
              </w:rPr>
              <w:t>LEOSAT-2</w:t>
            </w:r>
          </w:p>
        </w:tc>
      </w:tr>
      <w:tr w:rsidR="002B489A">
        <w:tc>
          <w:tcPr>
            <w:tcW w:w="2817"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left"/>
              <w:rPr>
                <w:lang w:val="en-US"/>
              </w:rPr>
            </w:pPr>
            <w:r>
              <w:rPr>
                <w:lang w:val="en-US"/>
              </w:rPr>
              <w:t>Service</w:t>
            </w:r>
          </w:p>
        </w:tc>
        <w:tc>
          <w:tcPr>
            <w:tcW w:w="1596"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en-US"/>
              </w:rPr>
            </w:pPr>
            <w:r>
              <w:rPr>
                <w:lang w:val="en-US"/>
              </w:rPr>
              <w:t>SMS</w:t>
            </w:r>
          </w:p>
        </w:tc>
        <w:tc>
          <w:tcPr>
            <w:tcW w:w="1427"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en-US"/>
              </w:rPr>
            </w:pPr>
            <w:r>
              <w:rPr>
                <w:lang w:val="en-US"/>
              </w:rPr>
              <w:t>SMS</w:t>
            </w:r>
          </w:p>
        </w:tc>
        <w:tc>
          <w:tcPr>
            <w:tcW w:w="2239"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en-US"/>
              </w:rPr>
            </w:pPr>
            <w:r>
              <w:rPr>
                <w:lang w:val="en-US"/>
              </w:rPr>
              <w:t>SFS</w:t>
            </w:r>
          </w:p>
        </w:tc>
        <w:tc>
          <w:tcPr>
            <w:tcW w:w="1314"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en-US"/>
              </w:rPr>
            </w:pPr>
            <w:r>
              <w:rPr>
                <w:lang w:val="en-US"/>
              </w:rPr>
              <w:t>SFS</w:t>
            </w:r>
          </w:p>
        </w:tc>
      </w:tr>
      <w:tr w:rsidR="002B489A">
        <w:tc>
          <w:tcPr>
            <w:tcW w:w="2817"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left"/>
            </w:pPr>
            <w:r>
              <w:t>Orbite</w:t>
            </w:r>
          </w:p>
        </w:tc>
        <w:tc>
          <w:tcPr>
            <w:tcW w:w="1596"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Circulaire</w:t>
            </w:r>
          </w:p>
        </w:tc>
        <w:tc>
          <w:tcPr>
            <w:tcW w:w="1427"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Circulaire</w:t>
            </w:r>
          </w:p>
        </w:tc>
        <w:tc>
          <w:tcPr>
            <w:tcW w:w="2239"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Circulaire</w:t>
            </w:r>
          </w:p>
        </w:tc>
        <w:tc>
          <w:tcPr>
            <w:tcW w:w="1314"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Circulaire</w:t>
            </w:r>
          </w:p>
        </w:tc>
      </w:tr>
      <w:tr w:rsidR="002B489A">
        <w:tc>
          <w:tcPr>
            <w:tcW w:w="2817"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left"/>
            </w:pPr>
            <w:r>
              <w:t>Altitude (km)</w:t>
            </w:r>
          </w:p>
        </w:tc>
        <w:tc>
          <w:tcPr>
            <w:tcW w:w="1596"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780</w:t>
            </w:r>
          </w:p>
        </w:tc>
        <w:tc>
          <w:tcPr>
            <w:tcW w:w="1427"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10</w:t>
            </w:r>
            <w:r>
              <w:rPr>
                <w:rFonts w:ascii="Tms Rmn" w:hAnsi="Tms Rmn"/>
                <w:sz w:val="12"/>
              </w:rPr>
              <w:t> </w:t>
            </w:r>
            <w:r>
              <w:t>355</w:t>
            </w:r>
          </w:p>
        </w:tc>
        <w:tc>
          <w:tcPr>
            <w:tcW w:w="2239"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700</w:t>
            </w:r>
          </w:p>
        </w:tc>
        <w:tc>
          <w:tcPr>
            <w:tcW w:w="1314"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1</w:t>
            </w:r>
            <w:r>
              <w:rPr>
                <w:rFonts w:ascii="Tms Rmn" w:hAnsi="Tms Rmn"/>
                <w:sz w:val="12"/>
              </w:rPr>
              <w:t> </w:t>
            </w:r>
            <w:r>
              <w:t>400</w:t>
            </w:r>
          </w:p>
        </w:tc>
      </w:tr>
      <w:tr w:rsidR="002B489A">
        <w:tc>
          <w:tcPr>
            <w:tcW w:w="2817"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left"/>
            </w:pPr>
            <w:r>
              <w:t>Inclinaison (degrés)</w:t>
            </w:r>
          </w:p>
        </w:tc>
        <w:tc>
          <w:tcPr>
            <w:tcW w:w="1596"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86</w:t>
            </w:r>
          </w:p>
        </w:tc>
        <w:tc>
          <w:tcPr>
            <w:tcW w:w="1427"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50</w:t>
            </w:r>
          </w:p>
        </w:tc>
        <w:tc>
          <w:tcPr>
            <w:tcW w:w="2239"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98,2</w:t>
            </w:r>
          </w:p>
        </w:tc>
        <w:tc>
          <w:tcPr>
            <w:tcW w:w="1314"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48</w:t>
            </w:r>
          </w:p>
        </w:tc>
      </w:tr>
      <w:tr w:rsidR="002B489A">
        <w:tc>
          <w:tcPr>
            <w:tcW w:w="2817"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left"/>
            </w:pPr>
            <w:r>
              <w:t>Satellites dans le plan</w:t>
            </w:r>
          </w:p>
        </w:tc>
        <w:tc>
          <w:tcPr>
            <w:tcW w:w="1596"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11</w:t>
            </w:r>
          </w:p>
        </w:tc>
        <w:tc>
          <w:tcPr>
            <w:tcW w:w="1427"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4</w:t>
            </w:r>
          </w:p>
        </w:tc>
        <w:tc>
          <w:tcPr>
            <w:tcW w:w="2239"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40</w:t>
            </w:r>
          </w:p>
        </w:tc>
        <w:tc>
          <w:tcPr>
            <w:tcW w:w="1314"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9</w:t>
            </w:r>
          </w:p>
        </w:tc>
      </w:tr>
      <w:tr w:rsidR="002B489A">
        <w:tc>
          <w:tcPr>
            <w:tcW w:w="2817"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left"/>
            </w:pPr>
            <w:r>
              <w:t>Plans</w:t>
            </w:r>
          </w:p>
        </w:tc>
        <w:tc>
          <w:tcPr>
            <w:tcW w:w="1596"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6</w:t>
            </w:r>
          </w:p>
        </w:tc>
        <w:tc>
          <w:tcPr>
            <w:tcW w:w="1427"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3</w:t>
            </w:r>
          </w:p>
        </w:tc>
        <w:tc>
          <w:tcPr>
            <w:tcW w:w="2239"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21</w:t>
            </w:r>
          </w:p>
        </w:tc>
        <w:tc>
          <w:tcPr>
            <w:tcW w:w="1314"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7</w:t>
            </w:r>
          </w:p>
        </w:tc>
      </w:tr>
      <w:tr w:rsidR="002B489A">
        <w:tc>
          <w:tcPr>
            <w:tcW w:w="2817"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left"/>
            </w:pPr>
            <w:r>
              <w:t>Séparation dans le plan (degrés)</w:t>
            </w:r>
          </w:p>
        </w:tc>
        <w:tc>
          <w:tcPr>
            <w:tcW w:w="1596"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32,7</w:t>
            </w:r>
          </w:p>
        </w:tc>
        <w:tc>
          <w:tcPr>
            <w:tcW w:w="1427"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90</w:t>
            </w:r>
          </w:p>
        </w:tc>
        <w:tc>
          <w:tcPr>
            <w:tcW w:w="2235"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9</w:t>
            </w:r>
          </w:p>
        </w:tc>
        <w:tc>
          <w:tcPr>
            <w:tcW w:w="1318" w:type="dxa"/>
          </w:tcPr>
          <w:p w:rsidR="002B489A" w:rsidRDefault="002B489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p>
        </w:tc>
      </w:tr>
      <w:tr w:rsidR="002B489A">
        <w:tc>
          <w:tcPr>
            <w:tcW w:w="2817"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left"/>
            </w:pPr>
            <w:r>
              <w:t>Phasage de plan (degrés)</w:t>
            </w:r>
          </w:p>
        </w:tc>
        <w:tc>
          <w:tcPr>
            <w:tcW w:w="1596"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31,6</w:t>
            </w:r>
          </w:p>
        </w:tc>
        <w:tc>
          <w:tcPr>
            <w:tcW w:w="1427"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30</w:t>
            </w:r>
          </w:p>
        </w:tc>
        <w:tc>
          <w:tcPr>
            <w:tcW w:w="2235"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Aléatoire</w:t>
            </w:r>
          </w:p>
        </w:tc>
        <w:tc>
          <w:tcPr>
            <w:tcW w:w="1318" w:type="dxa"/>
          </w:tcPr>
          <w:p w:rsidR="002B489A" w:rsidRDefault="002B489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p>
        </w:tc>
      </w:tr>
      <w:tr w:rsidR="002B489A">
        <w:tc>
          <w:tcPr>
            <w:tcW w:w="2817"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left"/>
            </w:pPr>
            <w:r>
              <w:t>Polarisation</w:t>
            </w:r>
          </w:p>
        </w:tc>
        <w:tc>
          <w:tcPr>
            <w:tcW w:w="1596"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Circulaire droite</w:t>
            </w:r>
          </w:p>
        </w:tc>
        <w:tc>
          <w:tcPr>
            <w:tcW w:w="1427"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Circulaire gauche</w:t>
            </w:r>
          </w:p>
        </w:tc>
        <w:tc>
          <w:tcPr>
            <w:tcW w:w="2235"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Circulaire gauche/droite</w:t>
            </w:r>
          </w:p>
        </w:tc>
        <w:tc>
          <w:tcPr>
            <w:tcW w:w="1318" w:type="dxa"/>
          </w:tcPr>
          <w:p w:rsidR="002B489A" w:rsidRDefault="002B489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p>
        </w:tc>
      </w:tr>
      <w:tr w:rsidR="002B489A">
        <w:tc>
          <w:tcPr>
            <w:tcW w:w="2817"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left"/>
            </w:pPr>
            <w:r>
              <w:t>Modulation</w:t>
            </w:r>
          </w:p>
        </w:tc>
        <w:tc>
          <w:tcPr>
            <w:tcW w:w="1596"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AMRF/MDP-4</w:t>
            </w:r>
          </w:p>
        </w:tc>
        <w:tc>
          <w:tcPr>
            <w:tcW w:w="1427"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AMRC</w:t>
            </w:r>
          </w:p>
        </w:tc>
        <w:tc>
          <w:tcPr>
            <w:tcW w:w="2235"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AMRF en MDP-4 modelé</w:t>
            </w:r>
          </w:p>
        </w:tc>
        <w:tc>
          <w:tcPr>
            <w:tcW w:w="1318" w:type="dxa"/>
          </w:tcPr>
          <w:p w:rsidR="002B489A" w:rsidRDefault="002B489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p>
        </w:tc>
      </w:tr>
      <w:tr w:rsidR="002B489A">
        <w:tc>
          <w:tcPr>
            <w:tcW w:w="2817"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left"/>
            </w:pPr>
            <w:r>
              <w:t>Largeur de bande (kHz)</w:t>
            </w:r>
          </w:p>
        </w:tc>
        <w:tc>
          <w:tcPr>
            <w:tcW w:w="1596"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4</w:t>
            </w:r>
            <w:r>
              <w:rPr>
                <w:rFonts w:ascii="Tms Rmn" w:hAnsi="Tms Rmn"/>
                <w:sz w:val="12"/>
              </w:rPr>
              <w:t> </w:t>
            </w:r>
            <w:r>
              <w:t>370</w:t>
            </w:r>
          </w:p>
        </w:tc>
        <w:tc>
          <w:tcPr>
            <w:tcW w:w="1427"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2</w:t>
            </w:r>
            <w:r>
              <w:rPr>
                <w:rFonts w:ascii="Tms Rmn" w:hAnsi="Tms Rmn"/>
                <w:sz w:val="12"/>
              </w:rPr>
              <w:t> </w:t>
            </w:r>
            <w:r>
              <w:t>500</w:t>
            </w:r>
          </w:p>
        </w:tc>
        <w:tc>
          <w:tcPr>
            <w:tcW w:w="2235"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500</w:t>
            </w:r>
            <w:r>
              <w:rPr>
                <w:rFonts w:ascii="Tms Rmn" w:hAnsi="Tms Rmn"/>
                <w:sz w:val="12"/>
              </w:rPr>
              <w:t> </w:t>
            </w:r>
            <w:r>
              <w:t>000</w:t>
            </w:r>
          </w:p>
        </w:tc>
        <w:tc>
          <w:tcPr>
            <w:tcW w:w="1318"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311</w:t>
            </w:r>
            <w:r>
              <w:rPr>
                <w:rFonts w:ascii="Tms Rmn" w:hAnsi="Tms Rmn"/>
                <w:sz w:val="12"/>
              </w:rPr>
              <w:t> </w:t>
            </w:r>
            <w:r>
              <w:t>000</w:t>
            </w:r>
          </w:p>
        </w:tc>
      </w:tr>
      <w:tr w:rsidR="002B489A">
        <w:tc>
          <w:tcPr>
            <w:tcW w:w="2817"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left"/>
            </w:pPr>
            <w:r>
              <w:t>p.i.r.e. (dBW)</w:t>
            </w:r>
          </w:p>
        </w:tc>
        <w:tc>
          <w:tcPr>
            <w:tcW w:w="1596"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43,5</w:t>
            </w:r>
          </w:p>
        </w:tc>
        <w:tc>
          <w:tcPr>
            <w:tcW w:w="1427"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54,25</w:t>
            </w:r>
          </w:p>
        </w:tc>
        <w:tc>
          <w:tcPr>
            <w:tcW w:w="2235"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15,2-33,6</w:t>
            </w:r>
          </w:p>
        </w:tc>
        <w:tc>
          <w:tcPr>
            <w:tcW w:w="1318"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50,8-60,4</w:t>
            </w:r>
          </w:p>
        </w:tc>
      </w:tr>
      <w:tr w:rsidR="002B489A">
        <w:tc>
          <w:tcPr>
            <w:tcW w:w="2817"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left"/>
            </w:pPr>
            <w:r>
              <w:t>Gain d'antenne (dBi)</w:t>
            </w:r>
          </w:p>
        </w:tc>
        <w:tc>
          <w:tcPr>
            <w:tcW w:w="1596"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56,3</w:t>
            </w:r>
          </w:p>
        </w:tc>
        <w:tc>
          <w:tcPr>
            <w:tcW w:w="1427"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64,8</w:t>
            </w:r>
          </w:p>
        </w:tc>
        <w:tc>
          <w:tcPr>
            <w:tcW w:w="2235"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36</w:t>
            </w:r>
          </w:p>
        </w:tc>
        <w:tc>
          <w:tcPr>
            <w:tcW w:w="1318" w:type="dxa"/>
          </w:tcPr>
          <w:p w:rsidR="002B489A" w:rsidRDefault="002B489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p>
        </w:tc>
      </w:tr>
      <w:tr w:rsidR="002B489A">
        <w:tc>
          <w:tcPr>
            <w:tcW w:w="2817" w:type="dxa"/>
          </w:tcPr>
          <w:p w:rsidR="002B489A" w:rsidRDefault="004F19C4">
            <w:pPr>
              <w:pStyle w:val="Tabletext"/>
              <w:framePr w:hSpace="181" w:wrap="notBeside" w:vAnchor="text" w:hAnchor="text" w:xAlign="center" w:y="1"/>
              <w:spacing w:before="30" w:after="30"/>
              <w:jc w:val="left"/>
            </w:pPr>
            <w:r>
              <w:t>Puissance d'émission (dBW)</w:t>
            </w:r>
          </w:p>
        </w:tc>
        <w:tc>
          <w:tcPr>
            <w:tcW w:w="1596" w:type="dxa"/>
          </w:tcPr>
          <w:p w:rsidR="002B489A" w:rsidRDefault="004F19C4">
            <w:pPr>
              <w:pStyle w:val="Tabletext"/>
              <w:framePr w:hSpace="181" w:wrap="notBeside" w:vAnchor="text" w:hAnchor="text" w:xAlign="center" w:y="1"/>
              <w:spacing w:before="30" w:after="30"/>
              <w:jc w:val="center"/>
            </w:pPr>
            <w:r>
              <w:t>–12,8</w:t>
            </w:r>
          </w:p>
        </w:tc>
        <w:tc>
          <w:tcPr>
            <w:tcW w:w="1427" w:type="dxa"/>
          </w:tcPr>
          <w:p w:rsidR="002B489A" w:rsidRDefault="004F19C4">
            <w:pPr>
              <w:pStyle w:val="Tabletext"/>
              <w:framePr w:hSpace="181" w:wrap="notBeside" w:vAnchor="text" w:hAnchor="text" w:xAlign="center" w:y="1"/>
              <w:spacing w:before="30" w:after="30"/>
              <w:jc w:val="center"/>
            </w:pPr>
            <w:r>
              <w:t>–10,55</w:t>
            </w:r>
          </w:p>
        </w:tc>
        <w:tc>
          <w:tcPr>
            <w:tcW w:w="2235" w:type="dxa"/>
          </w:tcPr>
          <w:p w:rsidR="002B489A" w:rsidRDefault="004F19C4">
            <w:pPr>
              <w:pStyle w:val="Tabletext"/>
              <w:framePr w:hSpace="181" w:wrap="notBeside" w:vAnchor="text" w:hAnchor="text" w:xAlign="center" w:y="1"/>
              <w:spacing w:before="30" w:after="30"/>
              <w:jc w:val="center"/>
            </w:pPr>
            <w:r>
              <w:t>–2,4</w:t>
            </w:r>
          </w:p>
        </w:tc>
        <w:tc>
          <w:tcPr>
            <w:tcW w:w="1318" w:type="dxa"/>
          </w:tcPr>
          <w:p w:rsidR="002B489A" w:rsidRDefault="002B489A">
            <w:pPr>
              <w:pStyle w:val="Tabletext"/>
              <w:framePr w:hSpace="181" w:wrap="notBeside" w:vAnchor="text" w:hAnchor="text" w:xAlign="center" w:y="1"/>
              <w:spacing w:before="30" w:after="30"/>
              <w:jc w:val="center"/>
            </w:pPr>
          </w:p>
        </w:tc>
      </w:tr>
    </w:tbl>
    <w:p w:rsidR="002B489A" w:rsidRDefault="002B489A">
      <w:pPr>
        <w:pStyle w:val="Tablefin"/>
        <w:spacing w:before="0"/>
      </w:pPr>
    </w:p>
    <w:p w:rsidR="002B489A" w:rsidRDefault="004F19C4">
      <w:pPr>
        <w:pStyle w:val="Heading1"/>
      </w:pPr>
      <w:r>
        <w:t>3</w:t>
      </w:r>
      <w:r>
        <w:tab/>
        <w:t>Seuil de brouillage</w:t>
      </w:r>
    </w:p>
    <w:p w:rsidR="002B489A" w:rsidRDefault="004F19C4">
      <w:r>
        <w:t xml:space="preserve">Le brouillage peut être simultanément reçu de plusieurs sources provenant de multiples services. Les valeurs qui figurent dans la Recommandation UIT-R </w:t>
      </w:r>
      <w:r>
        <w:rPr>
          <w:bCs/>
        </w:rPr>
        <w:t>SA.1029</w:t>
      </w:r>
      <w:r>
        <w:t xml:space="preserve"> (pour une bande spécifique) sont le niveau maximum de brouillage admissible pour le détecteur passif. Donc, le seuil de compatibilité est –163 dBW dans une largeur de bande de 100 MHz. La présente Annexe fait l'analyse du brouillage généré par un service actif unique. Des travaux ultérieurs sont nécessaires pour traiter de l'impact de ces services actifs multiples au-dessus et au-dessous de la bande passive.</w:t>
      </w:r>
    </w:p>
    <w:p w:rsidR="002B489A" w:rsidRDefault="004F19C4">
      <w:pPr>
        <w:pStyle w:val="Heading1"/>
      </w:pPr>
      <w:r>
        <w:t>4</w:t>
      </w:r>
      <w:r>
        <w:tab/>
        <w:t>Evaluation du brouillage</w:t>
      </w:r>
    </w:p>
    <w:p w:rsidR="002B489A" w:rsidRDefault="004F19C4">
      <w:pPr>
        <w:pStyle w:val="Heading2"/>
      </w:pPr>
      <w:r>
        <w:t>4.1</w:t>
      </w:r>
      <w:r>
        <w:tab/>
        <w:t>Méthode d'évaluation du niveau de brouillage</w:t>
      </w:r>
    </w:p>
    <w:p w:rsidR="002B489A" w:rsidRDefault="004F19C4">
      <w:r>
        <w:t>L'analyse suivante se fonde sur certains cas géométriques statiques qui sont assez significatifs.</w:t>
      </w:r>
    </w:p>
    <w:p w:rsidR="002B489A" w:rsidRDefault="004F19C4">
      <w:r>
        <w:t>Pour chaque cas, la méthode est appliquée en deux temps.</w:t>
      </w:r>
    </w:p>
    <w:p w:rsidR="002B489A" w:rsidRDefault="004F19C4">
      <w:r>
        <w:rPr>
          <w:bCs/>
        </w:rPr>
        <w:t>Dans un premier temps</w:t>
      </w:r>
      <w:r>
        <w:rPr>
          <w:b/>
        </w:rPr>
        <w:t xml:space="preserve"> </w:t>
      </w:r>
      <w:r>
        <w:rPr>
          <w:bCs/>
        </w:rPr>
        <w:t xml:space="preserve">on calcule </w:t>
      </w:r>
      <w:r>
        <w:t>l'affaiblissement requis lorsque les liaisons montantes du SFS sont sur la même fréquence que la bande du SETS (passive). Le brouillage reçu en provenance d'une porteuse est alors comparé avec le seuil de brouillage du détecteur. La différence est l'affaiblissement requis des émissions hors bande qui doit être obtenu pour protéger le SETS. De plus, dans l'analyse ci-après, on suppose que la densité spectrale de puissance brouilleuse reçue est constante sur toute la bande SETS de 200 MHz (31,3-31,5 GHz).</w:t>
      </w:r>
    </w:p>
    <w:p w:rsidR="002B489A" w:rsidRDefault="004F19C4">
      <w:r>
        <w:rPr>
          <w:bCs/>
        </w:rPr>
        <w:br w:type="page"/>
        <w:t>Dans un deuxième temps</w:t>
      </w:r>
      <w:r>
        <w:rPr>
          <w:b/>
        </w:rPr>
        <w:t xml:space="preserve"> </w:t>
      </w:r>
      <w:r>
        <w:rPr>
          <w:bCs/>
        </w:rPr>
        <w:t>on</w:t>
      </w:r>
      <w:r>
        <w:t xml:space="preserve"> utilise la représentation spectrale en cosinus surélevé décrite à l'Annexe 1, et on détermine la bande de garde minimale qui serait nécessaire (la séparation entre les attributions passive et active) pour protéger le détecteur passif.</w:t>
      </w:r>
    </w:p>
    <w:p w:rsidR="002B489A" w:rsidRDefault="004F19C4">
      <w:pPr>
        <w:pStyle w:val="Heading2"/>
      </w:pPr>
      <w:r>
        <w:t>4.2</w:t>
      </w:r>
      <w:r>
        <w:tab/>
        <w:t>Calculs des niveaux de brouillage pour les détecteurs à balayage conique</w:t>
      </w:r>
    </w:p>
    <w:p w:rsidR="002B489A" w:rsidRDefault="004F19C4">
      <w:r>
        <w:t>Les Tableaux 59 et 60 calculent la p.i.r.e. de la puissance rayonnée verticalement par un seul émetteur sur la Terre qui correspond au seuil de brouillage des détecteurs. Deux scénarios sont traités: celui du lobe principal de l'antenne du détecteur et celui du lobe latéral du détecteur.</w:t>
      </w:r>
    </w:p>
    <w:p w:rsidR="002B489A" w:rsidRDefault="004F19C4">
      <w:pPr>
        <w:pStyle w:val="Heading3"/>
      </w:pPr>
      <w:r>
        <w:t>4.2.1</w:t>
      </w:r>
      <w:r>
        <w:tab/>
        <w:t>Détermination de la puissance sur la Terre au niveau du seuil</w:t>
      </w:r>
    </w:p>
    <w:p w:rsidR="002B489A" w:rsidRDefault="004F19C4">
      <w:r>
        <w:t>Le Tableau 59 donne les paramètres de calcul des seuils de brouillage du faisceau principal du détecteur et des lobes latéraux à la surface de la Terre.</w:t>
      </w:r>
    </w:p>
    <w:p w:rsidR="002B489A" w:rsidRDefault="004F19C4">
      <w:pPr>
        <w:pStyle w:val="TableNo"/>
      </w:pPr>
      <w:r>
        <w:t>TABLEAU  59</w:t>
      </w:r>
    </w:p>
    <w:p w:rsidR="002B489A" w:rsidRDefault="004F19C4">
      <w:pPr>
        <w:pStyle w:val="Tabletitle"/>
      </w:pPr>
      <w:r>
        <w:t>Traduction du seuil de brouillage au faisceau principal et lobes latéraux Terre-détecteur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4"/>
        <w:gridCol w:w="2409"/>
        <w:gridCol w:w="2354"/>
      </w:tblGrid>
      <w:tr w:rsidR="002B489A">
        <w:tc>
          <w:tcPr>
            <w:tcW w:w="4564" w:type="dxa"/>
            <w:shd w:val="clear" w:color="auto" w:fill="FFFFFF"/>
            <w:vAlign w:val="center"/>
          </w:tcPr>
          <w:p w:rsidR="002B489A" w:rsidRDefault="004F19C4">
            <w:pPr>
              <w:pStyle w:val="Tablehead"/>
              <w:framePr w:hSpace="181" w:wrap="notBeside" w:vAnchor="text" w:hAnchor="text" w:xAlign="center" w:y="1"/>
              <w:spacing w:before="60" w:after="60"/>
            </w:pPr>
            <w:r>
              <w:t>Détecteur à balayage conique</w:t>
            </w:r>
          </w:p>
        </w:tc>
        <w:tc>
          <w:tcPr>
            <w:tcW w:w="2409" w:type="dxa"/>
            <w:shd w:val="clear" w:color="auto" w:fill="FFFFFF"/>
            <w:vAlign w:val="center"/>
          </w:tcPr>
          <w:p w:rsidR="002B489A" w:rsidRDefault="004F19C4">
            <w:pPr>
              <w:pStyle w:val="Tablehead"/>
              <w:framePr w:hSpace="181" w:wrap="notBeside" w:vAnchor="text" w:hAnchor="text" w:xAlign="center" w:y="1"/>
              <w:spacing w:before="60" w:after="60"/>
            </w:pPr>
            <w:r>
              <w:t>Faisceau principal du détecteur</w:t>
            </w:r>
          </w:p>
        </w:tc>
        <w:tc>
          <w:tcPr>
            <w:tcW w:w="2354" w:type="dxa"/>
            <w:shd w:val="clear" w:color="auto" w:fill="FFFFFF"/>
            <w:vAlign w:val="center"/>
          </w:tcPr>
          <w:p w:rsidR="002B489A" w:rsidRDefault="004F19C4">
            <w:pPr>
              <w:pStyle w:val="Tablehead"/>
              <w:framePr w:hSpace="181" w:wrap="notBeside" w:vAnchor="text" w:hAnchor="text" w:xAlign="center" w:y="1"/>
              <w:spacing w:before="60" w:after="60"/>
            </w:pPr>
            <w:r>
              <w:t>Lobes latéraux du détecteur</w:t>
            </w:r>
          </w:p>
        </w:tc>
      </w:tr>
      <w:tr w:rsidR="002B489A">
        <w:tc>
          <w:tcPr>
            <w:tcW w:w="4564" w:type="dxa"/>
          </w:tcPr>
          <w:p w:rsidR="002B489A" w:rsidRDefault="004F19C4">
            <w:pPr>
              <w:pStyle w:val="Tabletext"/>
              <w:framePr w:hSpace="181" w:wrap="notBeside" w:vAnchor="text" w:hAnchor="text" w:xAlign="center" w:y="1"/>
              <w:spacing w:before="30" w:after="30"/>
              <w:jc w:val="left"/>
            </w:pPr>
            <w:r>
              <w:t>Seuil de brouillage (dB(W/100 MHz))</w:t>
            </w:r>
          </w:p>
        </w:tc>
        <w:tc>
          <w:tcPr>
            <w:tcW w:w="2409" w:type="dxa"/>
          </w:tcPr>
          <w:p w:rsidR="002B489A" w:rsidRDefault="004F19C4">
            <w:pPr>
              <w:pStyle w:val="Tabletext"/>
              <w:framePr w:hSpace="181" w:wrap="notBeside" w:vAnchor="text" w:hAnchor="text" w:xAlign="center" w:y="1"/>
              <w:spacing w:before="30" w:after="30"/>
              <w:jc w:val="center"/>
            </w:pPr>
            <w:r>
              <w:t>–163</w:t>
            </w:r>
          </w:p>
        </w:tc>
        <w:tc>
          <w:tcPr>
            <w:tcW w:w="2354" w:type="dxa"/>
          </w:tcPr>
          <w:p w:rsidR="002B489A" w:rsidRDefault="004F19C4">
            <w:pPr>
              <w:pStyle w:val="Tabletext"/>
              <w:framePr w:hSpace="181" w:wrap="notBeside" w:vAnchor="text" w:hAnchor="text" w:xAlign="center" w:y="1"/>
              <w:spacing w:before="30" w:after="30"/>
              <w:jc w:val="center"/>
            </w:pPr>
            <w:r>
              <w:t>–163</w:t>
            </w:r>
          </w:p>
        </w:tc>
      </w:tr>
      <w:tr w:rsidR="002B489A">
        <w:tc>
          <w:tcPr>
            <w:tcW w:w="4564" w:type="dxa"/>
          </w:tcPr>
          <w:p w:rsidR="002B489A" w:rsidRDefault="004F19C4">
            <w:pPr>
              <w:pStyle w:val="Tabletext"/>
              <w:framePr w:hSpace="181" w:wrap="notBeside" w:vAnchor="text" w:hAnchor="text" w:xAlign="center" w:y="1"/>
              <w:spacing w:before="30" w:after="30"/>
              <w:jc w:val="left"/>
            </w:pPr>
            <w:r>
              <w:t>Gain d'antenne (dBi)</w:t>
            </w:r>
          </w:p>
        </w:tc>
        <w:tc>
          <w:tcPr>
            <w:tcW w:w="2409" w:type="dxa"/>
          </w:tcPr>
          <w:p w:rsidR="002B489A" w:rsidRDefault="004F19C4">
            <w:pPr>
              <w:pStyle w:val="Tabletext"/>
              <w:framePr w:hSpace="181" w:wrap="notBeside" w:vAnchor="text" w:hAnchor="text" w:xAlign="center" w:y="1"/>
              <w:spacing w:before="30" w:after="30"/>
              <w:jc w:val="center"/>
            </w:pPr>
            <w:r>
              <w:t>42</w:t>
            </w:r>
          </w:p>
        </w:tc>
        <w:tc>
          <w:tcPr>
            <w:tcW w:w="2354" w:type="dxa"/>
          </w:tcPr>
          <w:p w:rsidR="002B489A" w:rsidRDefault="004F19C4">
            <w:pPr>
              <w:pStyle w:val="Tabletext"/>
              <w:framePr w:hSpace="181" w:wrap="notBeside" w:vAnchor="text" w:hAnchor="text" w:xAlign="center" w:y="1"/>
              <w:spacing w:before="30" w:after="30"/>
              <w:jc w:val="center"/>
            </w:pPr>
            <w:r>
              <w:t>0</w:t>
            </w:r>
          </w:p>
        </w:tc>
      </w:tr>
      <w:tr w:rsidR="002B489A">
        <w:tc>
          <w:tcPr>
            <w:tcW w:w="4564" w:type="dxa"/>
          </w:tcPr>
          <w:p w:rsidR="002B489A" w:rsidRDefault="004F19C4">
            <w:pPr>
              <w:pStyle w:val="Tabletext"/>
              <w:framePr w:hSpace="181" w:wrap="notBeside" w:vAnchor="text" w:hAnchor="text" w:xAlign="center" w:y="1"/>
              <w:spacing w:before="30" w:after="30"/>
              <w:jc w:val="left"/>
            </w:pPr>
            <w:r>
              <w:t>Altitude (km)</w:t>
            </w:r>
          </w:p>
        </w:tc>
        <w:tc>
          <w:tcPr>
            <w:tcW w:w="2409" w:type="dxa"/>
          </w:tcPr>
          <w:p w:rsidR="002B489A" w:rsidRDefault="004F19C4">
            <w:pPr>
              <w:pStyle w:val="Tabletext"/>
              <w:framePr w:hSpace="181" w:wrap="notBeside" w:vAnchor="text" w:hAnchor="text" w:xAlign="center" w:y="1"/>
              <w:spacing w:before="30" w:after="30"/>
              <w:jc w:val="center"/>
            </w:pPr>
            <w:r>
              <w:t>815</w:t>
            </w:r>
          </w:p>
        </w:tc>
        <w:tc>
          <w:tcPr>
            <w:tcW w:w="2354" w:type="dxa"/>
          </w:tcPr>
          <w:p w:rsidR="002B489A" w:rsidRDefault="004F19C4">
            <w:pPr>
              <w:pStyle w:val="Tabletext"/>
              <w:framePr w:hSpace="181" w:wrap="notBeside" w:vAnchor="text" w:hAnchor="text" w:xAlign="center" w:y="1"/>
              <w:spacing w:before="30" w:after="30"/>
              <w:jc w:val="center"/>
            </w:pPr>
            <w:r>
              <w:t>815</w:t>
            </w:r>
          </w:p>
        </w:tc>
      </w:tr>
      <w:tr w:rsidR="002B489A">
        <w:tc>
          <w:tcPr>
            <w:tcW w:w="4564" w:type="dxa"/>
          </w:tcPr>
          <w:p w:rsidR="002B489A" w:rsidRDefault="004F19C4">
            <w:pPr>
              <w:pStyle w:val="Tabletext"/>
              <w:framePr w:hSpace="181" w:wrap="notBeside" w:vAnchor="text" w:hAnchor="text" w:xAlign="center" w:y="1"/>
              <w:spacing w:before="30" w:after="30"/>
              <w:jc w:val="left"/>
            </w:pPr>
            <w:r>
              <w:t>Portée (km)</w:t>
            </w:r>
          </w:p>
        </w:tc>
        <w:tc>
          <w:tcPr>
            <w:tcW w:w="2409" w:type="dxa"/>
          </w:tcPr>
          <w:p w:rsidR="002B489A" w:rsidRDefault="004F19C4">
            <w:pPr>
              <w:pStyle w:val="Tabletext"/>
              <w:framePr w:hSpace="181" w:wrap="notBeside" w:vAnchor="text" w:hAnchor="text" w:xAlign="center" w:y="1"/>
              <w:spacing w:before="30" w:after="30"/>
              <w:jc w:val="center"/>
            </w:pPr>
            <w:r>
              <w:t>1</w:t>
            </w:r>
            <w:r>
              <w:rPr>
                <w:rFonts w:ascii="Tms Rmn" w:hAnsi="Tms Rmn"/>
                <w:sz w:val="12"/>
              </w:rPr>
              <w:t> </w:t>
            </w:r>
            <w:r>
              <w:t>081</w:t>
            </w:r>
          </w:p>
        </w:tc>
        <w:tc>
          <w:tcPr>
            <w:tcW w:w="2354" w:type="dxa"/>
          </w:tcPr>
          <w:p w:rsidR="002B489A" w:rsidRDefault="004F19C4">
            <w:pPr>
              <w:pStyle w:val="Tabletext"/>
              <w:framePr w:hSpace="181" w:wrap="notBeside" w:vAnchor="text" w:hAnchor="text" w:xAlign="center" w:y="1"/>
              <w:spacing w:before="30" w:after="30"/>
              <w:jc w:val="center"/>
            </w:pPr>
            <w:r>
              <w:t>815</w:t>
            </w:r>
          </w:p>
        </w:tc>
      </w:tr>
      <w:tr w:rsidR="002B489A">
        <w:tc>
          <w:tcPr>
            <w:tcW w:w="4564" w:type="dxa"/>
          </w:tcPr>
          <w:p w:rsidR="002B489A" w:rsidRDefault="004F19C4">
            <w:pPr>
              <w:pStyle w:val="Tabletext"/>
              <w:framePr w:hSpace="181" w:wrap="notBeside" w:vAnchor="text" w:hAnchor="text" w:xAlign="center" w:y="1"/>
              <w:spacing w:before="30" w:after="30"/>
              <w:jc w:val="left"/>
            </w:pPr>
            <w:r>
              <w:t>Affaiblissement en espace libre (dB)</w:t>
            </w:r>
          </w:p>
        </w:tc>
        <w:tc>
          <w:tcPr>
            <w:tcW w:w="2409" w:type="dxa"/>
          </w:tcPr>
          <w:p w:rsidR="002B489A" w:rsidRDefault="004F19C4">
            <w:pPr>
              <w:pStyle w:val="Tabletext"/>
              <w:framePr w:hSpace="181" w:wrap="notBeside" w:vAnchor="text" w:hAnchor="text" w:xAlign="center" w:y="1"/>
              <w:spacing w:before="30" w:after="30"/>
              <w:jc w:val="center"/>
            </w:pPr>
            <w:r>
              <w:t>–182,8</w:t>
            </w:r>
          </w:p>
        </w:tc>
        <w:tc>
          <w:tcPr>
            <w:tcW w:w="2354" w:type="dxa"/>
          </w:tcPr>
          <w:p w:rsidR="002B489A" w:rsidRDefault="004F19C4">
            <w:pPr>
              <w:pStyle w:val="Tabletext"/>
              <w:framePr w:hSpace="181" w:wrap="notBeside" w:vAnchor="text" w:hAnchor="text" w:xAlign="center" w:y="1"/>
              <w:spacing w:before="30" w:after="30"/>
              <w:jc w:val="center"/>
            </w:pPr>
            <w:r>
              <w:t>–180,4</w:t>
            </w:r>
          </w:p>
        </w:tc>
      </w:tr>
      <w:tr w:rsidR="002B489A">
        <w:tc>
          <w:tcPr>
            <w:tcW w:w="4564" w:type="dxa"/>
          </w:tcPr>
          <w:p w:rsidR="002B489A" w:rsidRDefault="004F19C4">
            <w:pPr>
              <w:pStyle w:val="Tabletext"/>
              <w:framePr w:hSpace="181" w:wrap="notBeside" w:vAnchor="text" w:hAnchor="text" w:xAlign="center" w:y="1"/>
              <w:spacing w:before="30" w:after="30"/>
              <w:jc w:val="left"/>
            </w:pPr>
            <w:r>
              <w:t>Affaiblissement atmosphérique (dB)</w:t>
            </w:r>
          </w:p>
        </w:tc>
        <w:tc>
          <w:tcPr>
            <w:tcW w:w="2409" w:type="dxa"/>
          </w:tcPr>
          <w:p w:rsidR="002B489A" w:rsidRDefault="004F19C4">
            <w:pPr>
              <w:pStyle w:val="Tabletext"/>
              <w:framePr w:hSpace="181" w:wrap="notBeside" w:vAnchor="text" w:hAnchor="text" w:xAlign="center" w:y="1"/>
              <w:spacing w:before="30" w:after="30"/>
              <w:jc w:val="center"/>
            </w:pPr>
            <w:r>
              <w:t>–1</w:t>
            </w:r>
          </w:p>
        </w:tc>
        <w:tc>
          <w:tcPr>
            <w:tcW w:w="2354" w:type="dxa"/>
          </w:tcPr>
          <w:p w:rsidR="002B489A" w:rsidRDefault="004F19C4">
            <w:pPr>
              <w:pStyle w:val="Tabletext"/>
              <w:framePr w:hSpace="181" w:wrap="notBeside" w:vAnchor="text" w:hAnchor="text" w:xAlign="center" w:y="1"/>
              <w:spacing w:before="30" w:after="30"/>
              <w:jc w:val="center"/>
            </w:pPr>
            <w:r>
              <w:t>–1</w:t>
            </w:r>
          </w:p>
        </w:tc>
      </w:tr>
      <w:tr w:rsidR="002B489A">
        <w:tc>
          <w:tcPr>
            <w:tcW w:w="4564" w:type="dxa"/>
          </w:tcPr>
          <w:p w:rsidR="002B489A" w:rsidRDefault="004F19C4">
            <w:pPr>
              <w:pStyle w:val="Tabletext"/>
              <w:framePr w:hSpace="181" w:wrap="notBeside" w:vAnchor="text" w:hAnchor="text" w:xAlign="center" w:y="1"/>
              <w:spacing w:before="30" w:after="30"/>
              <w:jc w:val="left"/>
            </w:pPr>
            <w:r>
              <w:t>Perte de polarisation (circulaire à linéaire) (dB)</w:t>
            </w:r>
          </w:p>
        </w:tc>
        <w:tc>
          <w:tcPr>
            <w:tcW w:w="2409" w:type="dxa"/>
          </w:tcPr>
          <w:p w:rsidR="002B489A" w:rsidRDefault="004F19C4">
            <w:pPr>
              <w:pStyle w:val="Tabletext"/>
              <w:framePr w:hSpace="181" w:wrap="notBeside" w:vAnchor="text" w:hAnchor="text" w:xAlign="center" w:y="1"/>
              <w:spacing w:before="30" w:after="30"/>
              <w:jc w:val="center"/>
            </w:pPr>
            <w:r>
              <w:t>–3</w:t>
            </w:r>
          </w:p>
        </w:tc>
        <w:tc>
          <w:tcPr>
            <w:tcW w:w="2354" w:type="dxa"/>
          </w:tcPr>
          <w:p w:rsidR="002B489A" w:rsidRDefault="004F19C4">
            <w:pPr>
              <w:pStyle w:val="Tabletext"/>
              <w:framePr w:hSpace="181" w:wrap="notBeside" w:vAnchor="text" w:hAnchor="text" w:xAlign="center" w:y="1"/>
              <w:spacing w:before="30" w:after="30"/>
              <w:jc w:val="center"/>
            </w:pPr>
            <w:r>
              <w:t>–3</w:t>
            </w:r>
          </w:p>
        </w:tc>
      </w:tr>
      <w:tr w:rsidR="002B489A">
        <w:tc>
          <w:tcPr>
            <w:tcW w:w="4564" w:type="dxa"/>
          </w:tcPr>
          <w:p w:rsidR="002B489A" w:rsidRDefault="004F19C4">
            <w:pPr>
              <w:pStyle w:val="Tabletext"/>
              <w:framePr w:hSpace="181" w:wrap="notBeside" w:vAnchor="text" w:hAnchor="text" w:xAlign="center" w:y="1"/>
              <w:spacing w:before="30" w:after="30"/>
              <w:jc w:val="left"/>
            </w:pPr>
            <w:r>
              <w:t>p.i.r.e. à la Terre correspondant au seuil du détecteur (dB(W/100 MHz))</w:t>
            </w:r>
          </w:p>
        </w:tc>
        <w:tc>
          <w:tcPr>
            <w:tcW w:w="2409" w:type="dxa"/>
          </w:tcPr>
          <w:p w:rsidR="002B489A" w:rsidRDefault="004F19C4">
            <w:pPr>
              <w:pStyle w:val="Tabletext"/>
              <w:framePr w:hSpace="181" w:wrap="notBeside" w:vAnchor="text" w:hAnchor="text" w:xAlign="center" w:y="1"/>
              <w:spacing w:before="30" w:after="30"/>
              <w:jc w:val="center"/>
            </w:pPr>
            <w:r>
              <w:t>–18,2</w:t>
            </w:r>
          </w:p>
        </w:tc>
        <w:tc>
          <w:tcPr>
            <w:tcW w:w="2354" w:type="dxa"/>
          </w:tcPr>
          <w:p w:rsidR="002B489A" w:rsidRDefault="004F19C4">
            <w:pPr>
              <w:pStyle w:val="Tabletext"/>
              <w:framePr w:hSpace="181" w:wrap="notBeside" w:vAnchor="text" w:hAnchor="text" w:xAlign="center" w:y="1"/>
              <w:spacing w:before="30" w:after="30"/>
              <w:jc w:val="center"/>
            </w:pPr>
            <w:r>
              <w:t>21,5</w:t>
            </w:r>
          </w:p>
        </w:tc>
      </w:tr>
    </w:tbl>
    <w:p w:rsidR="002B489A" w:rsidRDefault="002B489A">
      <w:pPr>
        <w:pStyle w:val="Tablefin"/>
        <w:spacing w:before="0"/>
      </w:pPr>
    </w:p>
    <w:p w:rsidR="002B489A" w:rsidRDefault="004F19C4">
      <w:pPr>
        <w:pStyle w:val="Heading3"/>
      </w:pPr>
      <w:r>
        <w:t>4.2.2</w:t>
      </w:r>
      <w:r>
        <w:tab/>
        <w:t>Calculs avec les réseaux OSG et non OSG</w:t>
      </w:r>
    </w:p>
    <w:p w:rsidR="002B489A" w:rsidRDefault="004F19C4">
      <w:r>
        <w:t>Les résultats sont présentés aux Tableaux 60 et 61.</w:t>
      </w:r>
    </w:p>
    <w:p w:rsidR="002B489A" w:rsidRDefault="004F19C4">
      <w:pPr>
        <w:pStyle w:val="TableNo"/>
      </w:pPr>
      <w:r>
        <w:t>TABLEAU  60</w:t>
      </w:r>
    </w:p>
    <w:p w:rsidR="002B489A" w:rsidRDefault="004F19C4">
      <w:pPr>
        <w:pStyle w:val="Tabletitle"/>
      </w:pPr>
      <w:r>
        <w:t>Marge de brouillage à la fréquence d'accord pour systèmes OSG</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4"/>
        <w:gridCol w:w="1285"/>
        <w:gridCol w:w="1285"/>
        <w:gridCol w:w="1023"/>
        <w:gridCol w:w="988"/>
        <w:gridCol w:w="988"/>
        <w:gridCol w:w="1035"/>
        <w:gridCol w:w="941"/>
      </w:tblGrid>
      <w:tr w:rsidR="002B489A">
        <w:tc>
          <w:tcPr>
            <w:tcW w:w="2124" w:type="dxa"/>
            <w:vAlign w:val="center"/>
          </w:tcPr>
          <w:p w:rsidR="002B489A" w:rsidRDefault="004F19C4">
            <w:pPr>
              <w:pStyle w:val="Tablehead"/>
              <w:framePr w:hSpace="181" w:wrap="notBeside" w:vAnchor="text" w:hAnchor="text" w:xAlign="center" w:y="1"/>
              <w:spacing w:before="60" w:after="60"/>
              <w:jc w:val="left"/>
              <w:rPr>
                <w:sz w:val="20"/>
              </w:rPr>
            </w:pPr>
            <w:r>
              <w:rPr>
                <w:sz w:val="20"/>
              </w:rPr>
              <w:t>Système</w:t>
            </w:r>
          </w:p>
        </w:tc>
        <w:tc>
          <w:tcPr>
            <w:tcW w:w="1302" w:type="dxa"/>
            <w:vAlign w:val="center"/>
          </w:tcPr>
          <w:p w:rsidR="002B489A" w:rsidRDefault="004F19C4">
            <w:pPr>
              <w:pStyle w:val="Tablehead"/>
              <w:framePr w:hSpace="181" w:wrap="notBeside" w:vAnchor="text" w:hAnchor="text" w:xAlign="center" w:y="1"/>
              <w:spacing w:before="60" w:after="60"/>
              <w:rPr>
                <w:sz w:val="20"/>
              </w:rPr>
            </w:pPr>
            <w:r>
              <w:rPr>
                <w:sz w:val="20"/>
              </w:rPr>
              <w:t>GSO-Ka-1</w:t>
            </w:r>
          </w:p>
        </w:tc>
        <w:tc>
          <w:tcPr>
            <w:tcW w:w="1302" w:type="dxa"/>
            <w:vAlign w:val="center"/>
          </w:tcPr>
          <w:p w:rsidR="002B489A" w:rsidRDefault="004F19C4">
            <w:pPr>
              <w:pStyle w:val="Tablehead"/>
              <w:framePr w:hSpace="181" w:wrap="notBeside" w:vAnchor="text" w:hAnchor="text" w:xAlign="center" w:y="1"/>
              <w:spacing w:before="60" w:after="60"/>
              <w:rPr>
                <w:sz w:val="20"/>
              </w:rPr>
            </w:pPr>
            <w:r>
              <w:rPr>
                <w:sz w:val="20"/>
              </w:rPr>
              <w:t>Terminal résidentiel GSO</w:t>
            </w:r>
          </w:p>
        </w:tc>
        <w:tc>
          <w:tcPr>
            <w:tcW w:w="1036" w:type="dxa"/>
            <w:vAlign w:val="center"/>
          </w:tcPr>
          <w:p w:rsidR="002B489A" w:rsidRDefault="004F19C4">
            <w:pPr>
              <w:pStyle w:val="Tablehead"/>
              <w:framePr w:hSpace="181" w:wrap="notBeside" w:vAnchor="text" w:hAnchor="text" w:xAlign="center" w:y="1"/>
              <w:spacing w:before="60" w:after="60"/>
              <w:rPr>
                <w:sz w:val="20"/>
                <w:lang w:val="en-US"/>
              </w:rPr>
            </w:pPr>
            <w:r>
              <w:rPr>
                <w:sz w:val="20"/>
                <w:lang w:val="en-US"/>
              </w:rPr>
              <w:t>GSO-20</w:t>
            </w:r>
          </w:p>
        </w:tc>
        <w:tc>
          <w:tcPr>
            <w:tcW w:w="1000" w:type="dxa"/>
            <w:vAlign w:val="center"/>
          </w:tcPr>
          <w:p w:rsidR="002B489A" w:rsidRDefault="004F19C4">
            <w:pPr>
              <w:pStyle w:val="Tablehead"/>
              <w:framePr w:hSpace="181" w:wrap="notBeside" w:vAnchor="text" w:hAnchor="text" w:xAlign="center" w:y="1"/>
              <w:spacing w:before="60" w:after="60"/>
              <w:rPr>
                <w:sz w:val="20"/>
                <w:lang w:val="en-US"/>
              </w:rPr>
            </w:pPr>
            <w:r>
              <w:rPr>
                <w:sz w:val="20"/>
                <w:lang w:val="en-US"/>
              </w:rPr>
              <w:t>GSO-F</w:t>
            </w:r>
          </w:p>
        </w:tc>
        <w:tc>
          <w:tcPr>
            <w:tcW w:w="1000" w:type="dxa"/>
            <w:vAlign w:val="center"/>
          </w:tcPr>
          <w:p w:rsidR="002B489A" w:rsidRDefault="004F19C4">
            <w:pPr>
              <w:pStyle w:val="Tablehead"/>
              <w:framePr w:hSpace="181" w:wrap="notBeside" w:vAnchor="text" w:hAnchor="text" w:xAlign="center" w:y="1"/>
              <w:spacing w:before="60" w:after="60"/>
              <w:rPr>
                <w:sz w:val="20"/>
                <w:lang w:val="en-US"/>
              </w:rPr>
            </w:pPr>
            <w:r>
              <w:rPr>
                <w:sz w:val="20"/>
                <w:lang w:val="en-US"/>
              </w:rPr>
              <w:t>GSO-G</w:t>
            </w:r>
          </w:p>
        </w:tc>
        <w:tc>
          <w:tcPr>
            <w:tcW w:w="1048" w:type="dxa"/>
            <w:vAlign w:val="center"/>
          </w:tcPr>
          <w:p w:rsidR="002B489A" w:rsidRDefault="004F19C4">
            <w:pPr>
              <w:pStyle w:val="Tablehead"/>
              <w:framePr w:hSpace="181" w:wrap="notBeside" w:vAnchor="text" w:hAnchor="text" w:xAlign="center" w:y="1"/>
              <w:spacing w:before="60" w:after="60"/>
              <w:rPr>
                <w:sz w:val="20"/>
                <w:lang w:val="en-US"/>
              </w:rPr>
            </w:pPr>
            <w:r>
              <w:rPr>
                <w:sz w:val="20"/>
                <w:lang w:val="en-US"/>
              </w:rPr>
              <w:t>GSO-B</w:t>
            </w:r>
          </w:p>
        </w:tc>
        <w:tc>
          <w:tcPr>
            <w:tcW w:w="952" w:type="dxa"/>
            <w:vAlign w:val="center"/>
          </w:tcPr>
          <w:p w:rsidR="002B489A" w:rsidRDefault="004F19C4">
            <w:pPr>
              <w:pStyle w:val="Tablehead"/>
              <w:framePr w:hSpace="181" w:wrap="notBeside" w:vAnchor="text" w:hAnchor="text" w:xAlign="center" w:y="1"/>
              <w:spacing w:before="60" w:after="60"/>
              <w:rPr>
                <w:sz w:val="20"/>
              </w:rPr>
            </w:pPr>
            <w:r>
              <w:rPr>
                <w:sz w:val="20"/>
              </w:rPr>
              <w:t>GSO-13</w:t>
            </w:r>
          </w:p>
        </w:tc>
      </w:tr>
      <w:tr w:rsidR="002B489A">
        <w:tc>
          <w:tcPr>
            <w:tcW w:w="9764" w:type="dxa"/>
            <w:gridSpan w:val="8"/>
            <w:shd w:val="clear" w:color="auto" w:fill="FFFFFF"/>
          </w:tcPr>
          <w:p w:rsidR="002B489A" w:rsidRDefault="004F19C4">
            <w:pPr>
              <w:pStyle w:val="Tabletext"/>
              <w:framePr w:hSpace="181" w:wrap="notBeside" w:vAnchor="text" w:hAnchor="text" w:xAlign="center" w:y="1"/>
              <w:spacing w:before="30" w:after="30"/>
              <w:rPr>
                <w:i/>
                <w:iCs/>
                <w:sz w:val="20"/>
              </w:rPr>
            </w:pPr>
            <w:r>
              <w:rPr>
                <w:i/>
                <w:iCs/>
                <w:sz w:val="20"/>
              </w:rPr>
              <w:t>Cas 1 – Faisceau principal de l'émetteur</w:t>
            </w:r>
          </w:p>
        </w:tc>
      </w:tr>
      <w:tr w:rsidR="002B489A">
        <w:tc>
          <w:tcPr>
            <w:tcW w:w="2124" w:type="dxa"/>
          </w:tcPr>
          <w:p w:rsidR="002B489A" w:rsidRDefault="004F19C4">
            <w:pPr>
              <w:pStyle w:val="Tabletext"/>
              <w:framePr w:hSpace="181" w:wrap="notBeside" w:vAnchor="text" w:hAnchor="text" w:xAlign="center" w:y="1"/>
              <w:spacing w:before="30" w:after="30"/>
              <w:jc w:val="left"/>
              <w:rPr>
                <w:sz w:val="20"/>
              </w:rPr>
            </w:pPr>
            <w:r>
              <w:rPr>
                <w:sz w:val="20"/>
              </w:rPr>
              <w:t>Faisceau principal à balayage conique (dB)</w:t>
            </w:r>
          </w:p>
        </w:tc>
        <w:tc>
          <w:tcPr>
            <w:tcW w:w="1302" w:type="dxa"/>
          </w:tcPr>
          <w:p w:rsidR="002B489A" w:rsidRDefault="004F19C4">
            <w:pPr>
              <w:pStyle w:val="Tabletext"/>
              <w:framePr w:hSpace="181" w:wrap="notBeside" w:vAnchor="text" w:hAnchor="text" w:xAlign="center" w:y="1"/>
              <w:spacing w:before="30" w:after="30"/>
              <w:jc w:val="center"/>
              <w:rPr>
                <w:sz w:val="20"/>
              </w:rPr>
            </w:pPr>
            <w:r>
              <w:rPr>
                <w:sz w:val="20"/>
              </w:rPr>
              <w:t>–92,3</w:t>
            </w:r>
          </w:p>
        </w:tc>
        <w:tc>
          <w:tcPr>
            <w:tcW w:w="1302" w:type="dxa"/>
          </w:tcPr>
          <w:p w:rsidR="002B489A" w:rsidRDefault="004F19C4">
            <w:pPr>
              <w:pStyle w:val="Tabletext"/>
              <w:framePr w:hSpace="181" w:wrap="notBeside" w:vAnchor="text" w:hAnchor="text" w:xAlign="center" w:y="1"/>
              <w:spacing w:before="30" w:after="30"/>
              <w:jc w:val="center"/>
              <w:rPr>
                <w:sz w:val="20"/>
              </w:rPr>
            </w:pPr>
            <w:r>
              <w:rPr>
                <w:sz w:val="20"/>
              </w:rPr>
              <w:t>–66,8</w:t>
            </w:r>
          </w:p>
        </w:tc>
        <w:tc>
          <w:tcPr>
            <w:tcW w:w="1036" w:type="dxa"/>
          </w:tcPr>
          <w:p w:rsidR="002B489A" w:rsidRDefault="004F19C4">
            <w:pPr>
              <w:pStyle w:val="Tabletext"/>
              <w:framePr w:hSpace="181" w:wrap="notBeside" w:vAnchor="text" w:hAnchor="text" w:xAlign="center" w:y="1"/>
              <w:spacing w:before="30" w:after="30"/>
              <w:jc w:val="center"/>
              <w:rPr>
                <w:sz w:val="20"/>
              </w:rPr>
            </w:pPr>
            <w:r>
              <w:rPr>
                <w:sz w:val="20"/>
              </w:rPr>
              <w:t>–73,3</w:t>
            </w:r>
          </w:p>
        </w:tc>
        <w:tc>
          <w:tcPr>
            <w:tcW w:w="1000" w:type="dxa"/>
          </w:tcPr>
          <w:p w:rsidR="002B489A" w:rsidRDefault="004F19C4">
            <w:pPr>
              <w:pStyle w:val="Tabletext"/>
              <w:framePr w:hSpace="181" w:wrap="notBeside" w:vAnchor="text" w:hAnchor="text" w:xAlign="center" w:y="1"/>
              <w:spacing w:before="30" w:after="30"/>
              <w:jc w:val="center"/>
              <w:rPr>
                <w:sz w:val="20"/>
              </w:rPr>
            </w:pPr>
            <w:r>
              <w:rPr>
                <w:sz w:val="20"/>
              </w:rPr>
              <w:t>–70,5</w:t>
            </w:r>
          </w:p>
        </w:tc>
        <w:tc>
          <w:tcPr>
            <w:tcW w:w="1000" w:type="dxa"/>
          </w:tcPr>
          <w:p w:rsidR="002B489A" w:rsidRDefault="004F19C4">
            <w:pPr>
              <w:pStyle w:val="Tabletext"/>
              <w:framePr w:hSpace="181" w:wrap="notBeside" w:vAnchor="text" w:hAnchor="text" w:xAlign="center" w:y="1"/>
              <w:spacing w:before="30" w:after="30"/>
              <w:jc w:val="center"/>
              <w:rPr>
                <w:sz w:val="20"/>
              </w:rPr>
            </w:pPr>
            <w:r>
              <w:rPr>
                <w:sz w:val="20"/>
              </w:rPr>
              <w:t>–85,8</w:t>
            </w:r>
          </w:p>
        </w:tc>
        <w:tc>
          <w:tcPr>
            <w:tcW w:w="1048" w:type="dxa"/>
          </w:tcPr>
          <w:p w:rsidR="002B489A" w:rsidRDefault="004F19C4">
            <w:pPr>
              <w:pStyle w:val="Tabletext"/>
              <w:framePr w:hSpace="181" w:wrap="notBeside" w:vAnchor="text" w:hAnchor="text" w:xAlign="center" w:y="1"/>
              <w:spacing w:before="30" w:after="30"/>
              <w:jc w:val="center"/>
              <w:rPr>
                <w:sz w:val="20"/>
              </w:rPr>
            </w:pPr>
            <w:r>
              <w:rPr>
                <w:sz w:val="20"/>
              </w:rPr>
              <w:t>–79,8</w:t>
            </w:r>
          </w:p>
        </w:tc>
        <w:tc>
          <w:tcPr>
            <w:tcW w:w="952" w:type="dxa"/>
          </w:tcPr>
          <w:p w:rsidR="002B489A" w:rsidRDefault="004F19C4">
            <w:pPr>
              <w:pStyle w:val="Tabletext"/>
              <w:framePr w:hSpace="181" w:wrap="notBeside" w:vAnchor="text" w:hAnchor="text" w:xAlign="center" w:y="1"/>
              <w:spacing w:before="30" w:after="30"/>
              <w:jc w:val="center"/>
              <w:rPr>
                <w:sz w:val="20"/>
              </w:rPr>
            </w:pPr>
            <w:r>
              <w:rPr>
                <w:sz w:val="20"/>
              </w:rPr>
              <w:t>–62,6</w:t>
            </w:r>
          </w:p>
        </w:tc>
      </w:tr>
      <w:tr w:rsidR="002B489A">
        <w:tc>
          <w:tcPr>
            <w:tcW w:w="2124" w:type="dxa"/>
          </w:tcPr>
          <w:p w:rsidR="002B489A" w:rsidRDefault="004F19C4">
            <w:pPr>
              <w:pStyle w:val="Tabletext"/>
              <w:framePr w:hSpace="181" w:wrap="notBeside" w:vAnchor="text" w:hAnchor="text" w:xAlign="center" w:y="1"/>
              <w:spacing w:before="30" w:after="30"/>
              <w:jc w:val="left"/>
              <w:rPr>
                <w:sz w:val="20"/>
              </w:rPr>
            </w:pPr>
            <w:r>
              <w:rPr>
                <w:sz w:val="20"/>
              </w:rPr>
              <w:t>Lobe latéral à balayage conique (dB)</w:t>
            </w:r>
          </w:p>
        </w:tc>
        <w:tc>
          <w:tcPr>
            <w:tcW w:w="1302" w:type="dxa"/>
          </w:tcPr>
          <w:p w:rsidR="002B489A" w:rsidRDefault="004F19C4">
            <w:pPr>
              <w:pStyle w:val="Tabletext"/>
              <w:framePr w:hSpace="181" w:wrap="notBeside" w:vAnchor="text" w:hAnchor="text" w:xAlign="center" w:y="1"/>
              <w:spacing w:before="30" w:after="30"/>
              <w:jc w:val="center"/>
              <w:rPr>
                <w:sz w:val="20"/>
              </w:rPr>
            </w:pPr>
            <w:r>
              <w:rPr>
                <w:sz w:val="20"/>
              </w:rPr>
              <w:t>–52,5</w:t>
            </w:r>
          </w:p>
        </w:tc>
        <w:tc>
          <w:tcPr>
            <w:tcW w:w="1302" w:type="dxa"/>
          </w:tcPr>
          <w:p w:rsidR="002B489A" w:rsidRDefault="004F19C4">
            <w:pPr>
              <w:pStyle w:val="Tabletext"/>
              <w:framePr w:hSpace="181" w:wrap="notBeside" w:vAnchor="text" w:hAnchor="text" w:xAlign="center" w:y="1"/>
              <w:spacing w:before="30" w:after="30"/>
              <w:jc w:val="center"/>
              <w:rPr>
                <w:sz w:val="20"/>
              </w:rPr>
            </w:pPr>
            <w:r>
              <w:rPr>
                <w:sz w:val="20"/>
              </w:rPr>
              <w:t>–27</w:t>
            </w:r>
          </w:p>
        </w:tc>
        <w:tc>
          <w:tcPr>
            <w:tcW w:w="1036" w:type="dxa"/>
          </w:tcPr>
          <w:p w:rsidR="002B489A" w:rsidRDefault="004F19C4">
            <w:pPr>
              <w:pStyle w:val="Tabletext"/>
              <w:framePr w:hSpace="181" w:wrap="notBeside" w:vAnchor="text" w:hAnchor="text" w:xAlign="center" w:y="1"/>
              <w:spacing w:before="30" w:after="30"/>
              <w:jc w:val="center"/>
              <w:rPr>
                <w:sz w:val="20"/>
              </w:rPr>
            </w:pPr>
            <w:r>
              <w:rPr>
                <w:sz w:val="20"/>
              </w:rPr>
              <w:t>–33,5</w:t>
            </w:r>
          </w:p>
        </w:tc>
        <w:tc>
          <w:tcPr>
            <w:tcW w:w="1000" w:type="dxa"/>
          </w:tcPr>
          <w:p w:rsidR="002B489A" w:rsidRDefault="004F19C4">
            <w:pPr>
              <w:pStyle w:val="Tabletext"/>
              <w:framePr w:hSpace="181" w:wrap="notBeside" w:vAnchor="text" w:hAnchor="text" w:xAlign="center" w:y="1"/>
              <w:spacing w:before="30" w:after="30"/>
              <w:jc w:val="center"/>
              <w:rPr>
                <w:sz w:val="20"/>
              </w:rPr>
            </w:pPr>
            <w:r>
              <w:rPr>
                <w:sz w:val="20"/>
              </w:rPr>
              <w:t>–30,7</w:t>
            </w:r>
          </w:p>
        </w:tc>
        <w:tc>
          <w:tcPr>
            <w:tcW w:w="1000" w:type="dxa"/>
          </w:tcPr>
          <w:p w:rsidR="002B489A" w:rsidRDefault="004F19C4">
            <w:pPr>
              <w:pStyle w:val="Tabletext"/>
              <w:framePr w:hSpace="181" w:wrap="notBeside" w:vAnchor="text" w:hAnchor="text" w:xAlign="center" w:y="1"/>
              <w:spacing w:before="30" w:after="30"/>
              <w:jc w:val="center"/>
              <w:rPr>
                <w:sz w:val="20"/>
              </w:rPr>
            </w:pPr>
            <w:r>
              <w:rPr>
                <w:sz w:val="20"/>
              </w:rPr>
              <w:t>–46</w:t>
            </w:r>
          </w:p>
        </w:tc>
        <w:tc>
          <w:tcPr>
            <w:tcW w:w="1048" w:type="dxa"/>
          </w:tcPr>
          <w:p w:rsidR="002B489A" w:rsidRDefault="004F19C4">
            <w:pPr>
              <w:pStyle w:val="Tabletext"/>
              <w:framePr w:hSpace="181" w:wrap="notBeside" w:vAnchor="text" w:hAnchor="text" w:xAlign="center" w:y="1"/>
              <w:spacing w:before="30" w:after="30"/>
              <w:jc w:val="center"/>
              <w:rPr>
                <w:sz w:val="20"/>
              </w:rPr>
            </w:pPr>
            <w:r>
              <w:rPr>
                <w:sz w:val="20"/>
              </w:rPr>
              <w:t>–40</w:t>
            </w:r>
          </w:p>
        </w:tc>
        <w:tc>
          <w:tcPr>
            <w:tcW w:w="952" w:type="dxa"/>
          </w:tcPr>
          <w:p w:rsidR="002B489A" w:rsidRDefault="004F19C4">
            <w:pPr>
              <w:pStyle w:val="Tabletext"/>
              <w:framePr w:hSpace="181" w:wrap="notBeside" w:vAnchor="text" w:hAnchor="text" w:xAlign="center" w:y="1"/>
              <w:spacing w:before="30" w:after="30"/>
              <w:jc w:val="center"/>
              <w:rPr>
                <w:sz w:val="20"/>
              </w:rPr>
            </w:pPr>
            <w:r>
              <w:rPr>
                <w:sz w:val="20"/>
              </w:rPr>
              <w:t>–22,8</w:t>
            </w:r>
          </w:p>
        </w:tc>
      </w:tr>
      <w:tr w:rsidR="002B489A">
        <w:tc>
          <w:tcPr>
            <w:tcW w:w="9764" w:type="dxa"/>
            <w:gridSpan w:val="8"/>
            <w:shd w:val="clear" w:color="auto" w:fill="FFFFFF"/>
          </w:tcPr>
          <w:p w:rsidR="002B489A" w:rsidRDefault="004F19C4">
            <w:pPr>
              <w:pStyle w:val="Tabletext"/>
              <w:framePr w:hSpace="181" w:wrap="notBeside" w:vAnchor="text" w:hAnchor="text" w:xAlign="center" w:y="1"/>
              <w:spacing w:before="30" w:after="30"/>
              <w:rPr>
                <w:i/>
                <w:iCs/>
                <w:sz w:val="20"/>
              </w:rPr>
            </w:pPr>
            <w:r>
              <w:rPr>
                <w:i/>
                <w:iCs/>
                <w:sz w:val="20"/>
              </w:rPr>
              <w:t>Cas 2 – Lobe latéral de l'émetteur</w:t>
            </w:r>
          </w:p>
        </w:tc>
      </w:tr>
      <w:tr w:rsidR="002B489A">
        <w:tc>
          <w:tcPr>
            <w:tcW w:w="2124" w:type="dxa"/>
          </w:tcPr>
          <w:p w:rsidR="002B489A" w:rsidRDefault="004F19C4">
            <w:pPr>
              <w:pStyle w:val="Tabletext"/>
              <w:framePr w:hSpace="181" w:wrap="notBeside" w:vAnchor="text" w:hAnchor="text" w:xAlign="center" w:y="1"/>
              <w:spacing w:before="30" w:after="30"/>
              <w:jc w:val="left"/>
              <w:rPr>
                <w:sz w:val="20"/>
              </w:rPr>
            </w:pPr>
            <w:r>
              <w:rPr>
                <w:sz w:val="20"/>
              </w:rPr>
              <w:t>Faisceau principal à balayage conique (dB)</w:t>
            </w:r>
          </w:p>
        </w:tc>
        <w:tc>
          <w:tcPr>
            <w:tcW w:w="1302" w:type="dxa"/>
          </w:tcPr>
          <w:p w:rsidR="002B489A" w:rsidRDefault="004F19C4">
            <w:pPr>
              <w:pStyle w:val="Tabletext"/>
              <w:framePr w:hSpace="181" w:wrap="notBeside" w:vAnchor="text" w:hAnchor="text" w:xAlign="center" w:y="1"/>
              <w:spacing w:before="30" w:after="30"/>
              <w:jc w:val="center"/>
              <w:rPr>
                <w:sz w:val="20"/>
              </w:rPr>
            </w:pPr>
            <w:r>
              <w:rPr>
                <w:sz w:val="20"/>
              </w:rPr>
              <w:t>–18,9</w:t>
            </w:r>
          </w:p>
        </w:tc>
        <w:tc>
          <w:tcPr>
            <w:tcW w:w="1302" w:type="dxa"/>
          </w:tcPr>
          <w:p w:rsidR="002B489A" w:rsidRDefault="004F19C4">
            <w:pPr>
              <w:pStyle w:val="Tabletext"/>
              <w:framePr w:hSpace="181" w:wrap="notBeside" w:vAnchor="text" w:hAnchor="text" w:xAlign="center" w:y="1"/>
              <w:spacing w:before="30" w:after="30"/>
              <w:jc w:val="center"/>
              <w:rPr>
                <w:sz w:val="20"/>
              </w:rPr>
            </w:pPr>
            <w:r>
              <w:rPr>
                <w:sz w:val="20"/>
              </w:rPr>
              <w:t>–11,3</w:t>
            </w:r>
          </w:p>
        </w:tc>
        <w:tc>
          <w:tcPr>
            <w:tcW w:w="1036" w:type="dxa"/>
          </w:tcPr>
          <w:p w:rsidR="002B489A" w:rsidRDefault="004F19C4">
            <w:pPr>
              <w:pStyle w:val="Tabletext"/>
              <w:framePr w:hSpace="181" w:wrap="notBeside" w:vAnchor="text" w:hAnchor="text" w:xAlign="center" w:y="1"/>
              <w:spacing w:before="30" w:after="30"/>
              <w:jc w:val="center"/>
              <w:rPr>
                <w:sz w:val="20"/>
              </w:rPr>
            </w:pPr>
            <w:r>
              <w:rPr>
                <w:sz w:val="20"/>
              </w:rPr>
              <w:t>–19,4</w:t>
            </w:r>
          </w:p>
        </w:tc>
        <w:tc>
          <w:tcPr>
            <w:tcW w:w="1000" w:type="dxa"/>
          </w:tcPr>
          <w:p w:rsidR="002B489A" w:rsidRDefault="004F19C4">
            <w:pPr>
              <w:pStyle w:val="Tabletext"/>
              <w:framePr w:hSpace="181" w:wrap="notBeside" w:vAnchor="text" w:hAnchor="text" w:xAlign="center" w:y="1"/>
              <w:spacing w:before="30" w:after="30"/>
              <w:jc w:val="center"/>
              <w:rPr>
                <w:sz w:val="20"/>
              </w:rPr>
            </w:pPr>
            <w:r>
              <w:rPr>
                <w:sz w:val="20"/>
              </w:rPr>
              <w:t>–3,3</w:t>
            </w:r>
          </w:p>
        </w:tc>
        <w:tc>
          <w:tcPr>
            <w:tcW w:w="1000" w:type="dxa"/>
          </w:tcPr>
          <w:p w:rsidR="002B489A" w:rsidRDefault="004F19C4">
            <w:pPr>
              <w:pStyle w:val="Tabletext"/>
              <w:framePr w:hSpace="181" w:wrap="notBeside" w:vAnchor="text" w:hAnchor="text" w:xAlign="center" w:y="1"/>
              <w:spacing w:before="30" w:after="30"/>
              <w:jc w:val="center"/>
              <w:rPr>
                <w:sz w:val="20"/>
              </w:rPr>
            </w:pPr>
            <w:r>
              <w:rPr>
                <w:sz w:val="20"/>
              </w:rPr>
              <w:t>–30,1</w:t>
            </w:r>
          </w:p>
        </w:tc>
        <w:tc>
          <w:tcPr>
            <w:tcW w:w="1048" w:type="dxa"/>
          </w:tcPr>
          <w:p w:rsidR="002B489A" w:rsidRDefault="004F19C4">
            <w:pPr>
              <w:pStyle w:val="Tabletext"/>
              <w:framePr w:hSpace="181" w:wrap="notBeside" w:vAnchor="text" w:hAnchor="text" w:xAlign="center" w:y="1"/>
              <w:spacing w:before="30" w:after="30"/>
              <w:jc w:val="center"/>
              <w:rPr>
                <w:sz w:val="20"/>
              </w:rPr>
            </w:pPr>
            <w:r>
              <w:rPr>
                <w:sz w:val="20"/>
              </w:rPr>
              <w:t>–14,6</w:t>
            </w:r>
          </w:p>
        </w:tc>
        <w:tc>
          <w:tcPr>
            <w:tcW w:w="952" w:type="dxa"/>
          </w:tcPr>
          <w:p w:rsidR="002B489A" w:rsidRDefault="004F19C4">
            <w:pPr>
              <w:pStyle w:val="Tabletext"/>
              <w:framePr w:hSpace="181" w:wrap="notBeside" w:vAnchor="text" w:hAnchor="text" w:xAlign="center" w:y="1"/>
              <w:spacing w:before="30" w:after="30"/>
              <w:jc w:val="center"/>
              <w:rPr>
                <w:sz w:val="20"/>
              </w:rPr>
            </w:pPr>
            <w:r>
              <w:rPr>
                <w:sz w:val="20"/>
              </w:rPr>
              <w:t>–8,3</w:t>
            </w:r>
          </w:p>
        </w:tc>
      </w:tr>
      <w:tr w:rsidR="002B489A">
        <w:tc>
          <w:tcPr>
            <w:tcW w:w="2124" w:type="dxa"/>
          </w:tcPr>
          <w:p w:rsidR="002B489A" w:rsidRDefault="004F19C4">
            <w:pPr>
              <w:pStyle w:val="Tabletext"/>
              <w:framePr w:hSpace="181" w:wrap="notBeside" w:vAnchor="text" w:hAnchor="text" w:xAlign="center" w:y="1"/>
              <w:spacing w:before="30" w:after="30"/>
              <w:jc w:val="left"/>
              <w:rPr>
                <w:sz w:val="20"/>
              </w:rPr>
            </w:pPr>
            <w:r>
              <w:rPr>
                <w:sz w:val="20"/>
              </w:rPr>
              <w:t>Lobe latéral à balayage conique (dB)</w:t>
            </w:r>
          </w:p>
        </w:tc>
        <w:tc>
          <w:tcPr>
            <w:tcW w:w="1302" w:type="dxa"/>
            <w:shd w:val="pct10" w:color="auto" w:fill="auto"/>
          </w:tcPr>
          <w:p w:rsidR="002B489A" w:rsidRDefault="004F19C4">
            <w:pPr>
              <w:pStyle w:val="Tabletext"/>
              <w:framePr w:hSpace="181" w:wrap="notBeside" w:vAnchor="text" w:hAnchor="text" w:xAlign="center" w:y="1"/>
              <w:spacing w:before="30" w:after="30"/>
              <w:jc w:val="center"/>
              <w:rPr>
                <w:sz w:val="20"/>
              </w:rPr>
            </w:pPr>
            <w:r>
              <w:rPr>
                <w:rFonts w:ascii="Symbol" w:hAnsi="Symbol"/>
                <w:sz w:val="20"/>
              </w:rPr>
              <w:t></w:t>
            </w:r>
            <w:r>
              <w:rPr>
                <w:sz w:val="20"/>
              </w:rPr>
              <w:t>20,9</w:t>
            </w:r>
          </w:p>
        </w:tc>
        <w:tc>
          <w:tcPr>
            <w:tcW w:w="1302" w:type="dxa"/>
            <w:shd w:val="pct10" w:color="auto" w:fill="auto"/>
          </w:tcPr>
          <w:p w:rsidR="002B489A" w:rsidRDefault="004F19C4">
            <w:pPr>
              <w:pStyle w:val="Tabletext"/>
              <w:framePr w:hSpace="181" w:wrap="notBeside" w:vAnchor="text" w:hAnchor="text" w:xAlign="center" w:y="1"/>
              <w:spacing w:before="30" w:after="30"/>
              <w:jc w:val="center"/>
              <w:rPr>
                <w:sz w:val="20"/>
              </w:rPr>
            </w:pPr>
            <w:r>
              <w:rPr>
                <w:rFonts w:ascii="Symbol" w:hAnsi="Symbol"/>
                <w:sz w:val="20"/>
              </w:rPr>
              <w:t></w:t>
            </w:r>
            <w:r>
              <w:rPr>
                <w:sz w:val="20"/>
              </w:rPr>
              <w:t>28,5</w:t>
            </w:r>
          </w:p>
        </w:tc>
        <w:tc>
          <w:tcPr>
            <w:tcW w:w="1036" w:type="dxa"/>
            <w:shd w:val="pct10" w:color="auto" w:fill="auto"/>
          </w:tcPr>
          <w:p w:rsidR="002B489A" w:rsidRDefault="004F19C4">
            <w:pPr>
              <w:pStyle w:val="Tabletext"/>
              <w:framePr w:hSpace="181" w:wrap="notBeside" w:vAnchor="text" w:hAnchor="text" w:xAlign="center" w:y="1"/>
              <w:spacing w:before="30" w:after="30"/>
              <w:jc w:val="center"/>
              <w:rPr>
                <w:sz w:val="20"/>
              </w:rPr>
            </w:pPr>
            <w:r>
              <w:rPr>
                <w:rFonts w:ascii="Symbol" w:hAnsi="Symbol"/>
                <w:sz w:val="20"/>
              </w:rPr>
              <w:t></w:t>
            </w:r>
            <w:r>
              <w:rPr>
                <w:sz w:val="20"/>
              </w:rPr>
              <w:t>20,4</w:t>
            </w:r>
          </w:p>
        </w:tc>
        <w:tc>
          <w:tcPr>
            <w:tcW w:w="1000" w:type="dxa"/>
            <w:shd w:val="pct10" w:color="auto" w:fill="auto"/>
          </w:tcPr>
          <w:p w:rsidR="002B489A" w:rsidRDefault="004F19C4">
            <w:pPr>
              <w:pStyle w:val="Tabletext"/>
              <w:framePr w:hSpace="181" w:wrap="notBeside" w:vAnchor="text" w:hAnchor="text" w:xAlign="center" w:y="1"/>
              <w:spacing w:before="30" w:after="30"/>
              <w:jc w:val="center"/>
              <w:rPr>
                <w:sz w:val="20"/>
              </w:rPr>
            </w:pPr>
            <w:r>
              <w:rPr>
                <w:rFonts w:ascii="Symbol" w:hAnsi="Symbol"/>
                <w:sz w:val="20"/>
              </w:rPr>
              <w:t></w:t>
            </w:r>
            <w:r>
              <w:rPr>
                <w:sz w:val="20"/>
              </w:rPr>
              <w:t>36,5</w:t>
            </w:r>
          </w:p>
        </w:tc>
        <w:tc>
          <w:tcPr>
            <w:tcW w:w="1000" w:type="dxa"/>
            <w:shd w:val="pct10" w:color="auto" w:fill="auto"/>
          </w:tcPr>
          <w:p w:rsidR="002B489A" w:rsidRDefault="004F19C4">
            <w:pPr>
              <w:pStyle w:val="Tabletext"/>
              <w:framePr w:hSpace="181" w:wrap="notBeside" w:vAnchor="text" w:hAnchor="text" w:xAlign="center" w:y="1"/>
              <w:spacing w:before="30" w:after="30"/>
              <w:jc w:val="center"/>
              <w:rPr>
                <w:sz w:val="20"/>
              </w:rPr>
            </w:pPr>
            <w:r>
              <w:rPr>
                <w:rFonts w:ascii="Symbol" w:hAnsi="Symbol"/>
                <w:sz w:val="20"/>
              </w:rPr>
              <w:t></w:t>
            </w:r>
            <w:r>
              <w:rPr>
                <w:sz w:val="20"/>
              </w:rPr>
              <w:t>9,7</w:t>
            </w:r>
          </w:p>
        </w:tc>
        <w:tc>
          <w:tcPr>
            <w:tcW w:w="1048" w:type="dxa"/>
            <w:shd w:val="pct10" w:color="auto" w:fill="auto"/>
          </w:tcPr>
          <w:p w:rsidR="002B489A" w:rsidRDefault="004F19C4">
            <w:pPr>
              <w:pStyle w:val="Tabletext"/>
              <w:framePr w:hSpace="181" w:wrap="notBeside" w:vAnchor="text" w:hAnchor="text" w:xAlign="center" w:y="1"/>
              <w:spacing w:before="30" w:after="30"/>
              <w:jc w:val="center"/>
              <w:rPr>
                <w:sz w:val="20"/>
              </w:rPr>
            </w:pPr>
            <w:r>
              <w:rPr>
                <w:rFonts w:ascii="Symbol" w:hAnsi="Symbol"/>
                <w:sz w:val="20"/>
              </w:rPr>
              <w:t></w:t>
            </w:r>
            <w:r>
              <w:rPr>
                <w:sz w:val="20"/>
              </w:rPr>
              <w:t>15,4</w:t>
            </w:r>
          </w:p>
        </w:tc>
        <w:tc>
          <w:tcPr>
            <w:tcW w:w="952" w:type="dxa"/>
            <w:shd w:val="pct10" w:color="auto" w:fill="auto"/>
          </w:tcPr>
          <w:p w:rsidR="002B489A" w:rsidRDefault="004F19C4">
            <w:pPr>
              <w:pStyle w:val="Tabletext"/>
              <w:framePr w:hSpace="181" w:wrap="notBeside" w:vAnchor="text" w:hAnchor="text" w:xAlign="center" w:y="1"/>
              <w:spacing w:before="30" w:after="30"/>
              <w:jc w:val="center"/>
              <w:rPr>
                <w:sz w:val="20"/>
              </w:rPr>
            </w:pPr>
            <w:r>
              <w:rPr>
                <w:rFonts w:ascii="Symbol" w:hAnsi="Symbol"/>
                <w:sz w:val="20"/>
              </w:rPr>
              <w:t></w:t>
            </w:r>
            <w:r>
              <w:rPr>
                <w:sz w:val="20"/>
              </w:rPr>
              <w:t>31,5</w:t>
            </w:r>
          </w:p>
        </w:tc>
      </w:tr>
    </w:tbl>
    <w:p w:rsidR="002B489A" w:rsidRDefault="002B489A">
      <w:pPr>
        <w:pStyle w:val="Tablefin"/>
        <w:spacing w:before="0"/>
      </w:pPr>
    </w:p>
    <w:p w:rsidR="002B489A" w:rsidRDefault="004F19C4">
      <w:pPr>
        <w:pStyle w:val="TableNo"/>
        <w:spacing w:before="480"/>
      </w:pPr>
      <w:r>
        <w:br w:type="page"/>
        <w:t>TABLEAU  61</w:t>
      </w:r>
    </w:p>
    <w:p w:rsidR="002B489A" w:rsidRDefault="004F19C4">
      <w:pPr>
        <w:pStyle w:val="Tabletitle"/>
      </w:pPr>
      <w:r>
        <w:t>Marge de brouillage à la fréquence d'accord pour systèmes non OSG</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3"/>
        <w:gridCol w:w="1446"/>
        <w:gridCol w:w="1315"/>
        <w:gridCol w:w="1424"/>
        <w:gridCol w:w="1361"/>
      </w:tblGrid>
      <w:tr w:rsidR="002B489A">
        <w:trPr>
          <w:cantSplit/>
        </w:trPr>
        <w:tc>
          <w:tcPr>
            <w:tcW w:w="4093" w:type="dxa"/>
          </w:tcPr>
          <w:p w:rsidR="002B489A" w:rsidRDefault="004F19C4">
            <w:pPr>
              <w:pStyle w:val="Tablehead"/>
              <w:framePr w:hSpace="181" w:wrap="notBeside" w:vAnchor="text" w:hAnchor="text" w:xAlign="center" w:y="1"/>
              <w:spacing w:before="160" w:after="160"/>
              <w:rPr>
                <w:sz w:val="20"/>
              </w:rPr>
            </w:pPr>
            <w:r>
              <w:rPr>
                <w:sz w:val="20"/>
              </w:rPr>
              <w:t>Système</w:t>
            </w:r>
          </w:p>
        </w:tc>
        <w:tc>
          <w:tcPr>
            <w:tcW w:w="1446" w:type="dxa"/>
          </w:tcPr>
          <w:p w:rsidR="002B489A" w:rsidRDefault="004F19C4">
            <w:pPr>
              <w:pStyle w:val="Tablehead"/>
              <w:framePr w:hSpace="181" w:wrap="notBeside" w:vAnchor="text" w:hAnchor="text" w:xAlign="center" w:y="1"/>
              <w:spacing w:before="160" w:after="160"/>
              <w:rPr>
                <w:sz w:val="20"/>
              </w:rPr>
            </w:pPr>
            <w:r>
              <w:rPr>
                <w:sz w:val="20"/>
              </w:rPr>
              <w:t>LEOSAT-2</w:t>
            </w:r>
          </w:p>
        </w:tc>
        <w:tc>
          <w:tcPr>
            <w:tcW w:w="1315" w:type="dxa"/>
          </w:tcPr>
          <w:p w:rsidR="002B489A" w:rsidRDefault="004F19C4">
            <w:pPr>
              <w:pStyle w:val="Tablehead"/>
              <w:framePr w:hSpace="181" w:wrap="notBeside" w:vAnchor="text" w:hAnchor="text" w:xAlign="center" w:y="1"/>
              <w:spacing w:before="160" w:after="160"/>
              <w:rPr>
                <w:sz w:val="20"/>
              </w:rPr>
            </w:pPr>
            <w:r>
              <w:rPr>
                <w:sz w:val="20"/>
              </w:rPr>
              <w:t>LEO-A</w:t>
            </w:r>
          </w:p>
        </w:tc>
        <w:tc>
          <w:tcPr>
            <w:tcW w:w="1424" w:type="dxa"/>
          </w:tcPr>
          <w:p w:rsidR="002B489A" w:rsidRDefault="004F19C4">
            <w:pPr>
              <w:pStyle w:val="Tablehead"/>
              <w:framePr w:hSpace="181" w:wrap="notBeside" w:vAnchor="text" w:hAnchor="text" w:xAlign="center" w:y="1"/>
              <w:spacing w:before="160" w:after="160"/>
              <w:rPr>
                <w:sz w:val="20"/>
                <w:lang w:val="es-ES"/>
              </w:rPr>
            </w:pPr>
            <w:r>
              <w:rPr>
                <w:sz w:val="20"/>
                <w:lang w:val="es-ES"/>
              </w:rPr>
              <w:t>LEO-B</w:t>
            </w:r>
          </w:p>
        </w:tc>
        <w:tc>
          <w:tcPr>
            <w:tcW w:w="1361" w:type="dxa"/>
          </w:tcPr>
          <w:p w:rsidR="002B489A" w:rsidRDefault="004F19C4">
            <w:pPr>
              <w:pStyle w:val="Tablehead"/>
              <w:framePr w:hSpace="181" w:wrap="notBeside" w:vAnchor="text" w:hAnchor="text" w:xAlign="center" w:y="1"/>
              <w:spacing w:before="160" w:after="160"/>
              <w:rPr>
                <w:sz w:val="20"/>
                <w:lang w:val="es-ES"/>
              </w:rPr>
            </w:pPr>
            <w:r>
              <w:rPr>
                <w:sz w:val="20"/>
                <w:lang w:val="es-ES"/>
              </w:rPr>
              <w:t>LEOSAT-1</w:t>
            </w:r>
          </w:p>
        </w:tc>
      </w:tr>
      <w:tr w:rsidR="002B489A">
        <w:trPr>
          <w:cantSplit/>
        </w:trPr>
        <w:tc>
          <w:tcPr>
            <w:tcW w:w="9639" w:type="dxa"/>
            <w:gridSpan w:val="5"/>
            <w:shd w:val="clear" w:color="auto" w:fill="FFFFFF"/>
          </w:tcPr>
          <w:p w:rsidR="002B489A" w:rsidRDefault="004F19C4">
            <w:pPr>
              <w:pStyle w:val="Tabletext"/>
              <w:framePr w:hSpace="181" w:wrap="notBeside" w:vAnchor="text" w:hAnchor="text" w:xAlign="center" w:y="1"/>
              <w:spacing w:before="120" w:after="120"/>
              <w:rPr>
                <w:i/>
                <w:iCs/>
                <w:sz w:val="20"/>
              </w:rPr>
            </w:pPr>
            <w:r>
              <w:rPr>
                <w:i/>
                <w:iCs/>
                <w:sz w:val="20"/>
              </w:rPr>
              <w:t>Cas 1 – Faisceau principal de l'émetteur</w:t>
            </w:r>
          </w:p>
        </w:tc>
      </w:tr>
      <w:tr w:rsidR="002B489A">
        <w:trPr>
          <w:cantSplit/>
        </w:trPr>
        <w:tc>
          <w:tcPr>
            <w:tcW w:w="4093" w:type="dxa"/>
          </w:tcPr>
          <w:p w:rsidR="002B489A" w:rsidRDefault="004F19C4">
            <w:pPr>
              <w:pStyle w:val="Tabletext"/>
              <w:framePr w:hSpace="181" w:wrap="notBeside" w:vAnchor="text" w:hAnchor="text" w:xAlign="center" w:y="1"/>
              <w:spacing w:before="120" w:after="120"/>
              <w:rPr>
                <w:sz w:val="20"/>
              </w:rPr>
            </w:pPr>
            <w:r>
              <w:rPr>
                <w:sz w:val="20"/>
              </w:rPr>
              <w:t>Faisceau principal à balayage conique (dB)</w:t>
            </w:r>
          </w:p>
        </w:tc>
        <w:tc>
          <w:tcPr>
            <w:tcW w:w="1446" w:type="dxa"/>
          </w:tcPr>
          <w:p w:rsidR="002B489A" w:rsidRDefault="004F19C4">
            <w:pPr>
              <w:pStyle w:val="Tabletext"/>
              <w:framePr w:hSpace="181" w:wrap="notBeside" w:vAnchor="text" w:hAnchor="text" w:xAlign="center" w:y="1"/>
              <w:spacing w:before="120" w:after="120"/>
              <w:jc w:val="center"/>
              <w:rPr>
                <w:sz w:val="20"/>
              </w:rPr>
            </w:pPr>
            <w:r>
              <w:rPr>
                <w:sz w:val="20"/>
              </w:rPr>
              <w:t>–73,8</w:t>
            </w:r>
          </w:p>
        </w:tc>
        <w:tc>
          <w:tcPr>
            <w:tcW w:w="1315" w:type="dxa"/>
          </w:tcPr>
          <w:p w:rsidR="002B489A" w:rsidRDefault="004F19C4">
            <w:pPr>
              <w:pStyle w:val="Tabletext"/>
              <w:framePr w:hSpace="181" w:wrap="notBeside" w:vAnchor="text" w:hAnchor="text" w:xAlign="center" w:y="1"/>
              <w:spacing w:before="120" w:after="120"/>
              <w:jc w:val="center"/>
              <w:rPr>
                <w:sz w:val="20"/>
              </w:rPr>
            </w:pPr>
            <w:r>
              <w:rPr>
                <w:sz w:val="20"/>
              </w:rPr>
              <w:t>–61,8</w:t>
            </w:r>
          </w:p>
        </w:tc>
        <w:tc>
          <w:tcPr>
            <w:tcW w:w="1424" w:type="dxa"/>
          </w:tcPr>
          <w:p w:rsidR="002B489A" w:rsidRDefault="004F19C4">
            <w:pPr>
              <w:pStyle w:val="Tabletext"/>
              <w:framePr w:hSpace="181" w:wrap="notBeside" w:vAnchor="text" w:hAnchor="text" w:xAlign="center" w:y="1"/>
              <w:spacing w:before="120" w:after="120"/>
              <w:jc w:val="center"/>
              <w:rPr>
                <w:sz w:val="20"/>
              </w:rPr>
            </w:pPr>
            <w:r>
              <w:rPr>
                <w:sz w:val="20"/>
              </w:rPr>
              <w:t>–72,55</w:t>
            </w:r>
          </w:p>
        </w:tc>
        <w:tc>
          <w:tcPr>
            <w:tcW w:w="1361" w:type="dxa"/>
          </w:tcPr>
          <w:p w:rsidR="002B489A" w:rsidRDefault="004F19C4">
            <w:pPr>
              <w:pStyle w:val="Tabletext"/>
              <w:framePr w:hSpace="181" w:wrap="notBeside" w:vAnchor="text" w:hAnchor="text" w:xAlign="center" w:y="1"/>
              <w:spacing w:before="120" w:after="120"/>
              <w:jc w:val="center"/>
              <w:rPr>
                <w:sz w:val="20"/>
              </w:rPr>
            </w:pPr>
            <w:r>
              <w:rPr>
                <w:sz w:val="20"/>
              </w:rPr>
              <w:t>–44,9</w:t>
            </w:r>
          </w:p>
        </w:tc>
      </w:tr>
      <w:tr w:rsidR="002B489A">
        <w:trPr>
          <w:cantSplit/>
        </w:trPr>
        <w:tc>
          <w:tcPr>
            <w:tcW w:w="4093" w:type="dxa"/>
          </w:tcPr>
          <w:p w:rsidR="002B489A" w:rsidRDefault="004F19C4">
            <w:pPr>
              <w:pStyle w:val="Tabletext"/>
              <w:framePr w:hSpace="181" w:wrap="notBeside" w:vAnchor="text" w:hAnchor="text" w:xAlign="center" w:y="1"/>
              <w:spacing w:before="120" w:after="120"/>
              <w:rPr>
                <w:sz w:val="20"/>
              </w:rPr>
            </w:pPr>
            <w:r>
              <w:rPr>
                <w:sz w:val="20"/>
              </w:rPr>
              <w:t>Lobe latéral à balayage conique (dB)</w:t>
            </w:r>
          </w:p>
        </w:tc>
        <w:tc>
          <w:tcPr>
            <w:tcW w:w="1446" w:type="dxa"/>
          </w:tcPr>
          <w:p w:rsidR="002B489A" w:rsidRDefault="004F19C4">
            <w:pPr>
              <w:pStyle w:val="Tabletext"/>
              <w:framePr w:hSpace="181" w:wrap="notBeside" w:vAnchor="text" w:hAnchor="text" w:xAlign="center" w:y="1"/>
              <w:spacing w:before="120" w:after="120"/>
              <w:jc w:val="center"/>
              <w:rPr>
                <w:sz w:val="20"/>
              </w:rPr>
            </w:pPr>
            <w:r>
              <w:rPr>
                <w:sz w:val="20"/>
              </w:rPr>
              <w:t>–34,0</w:t>
            </w:r>
          </w:p>
        </w:tc>
        <w:tc>
          <w:tcPr>
            <w:tcW w:w="1315" w:type="dxa"/>
          </w:tcPr>
          <w:p w:rsidR="002B489A" w:rsidRDefault="004F19C4">
            <w:pPr>
              <w:pStyle w:val="Tabletext"/>
              <w:framePr w:hSpace="181" w:wrap="notBeside" w:vAnchor="text" w:hAnchor="text" w:xAlign="center" w:y="1"/>
              <w:spacing w:before="120" w:after="120"/>
              <w:jc w:val="center"/>
              <w:rPr>
                <w:sz w:val="20"/>
              </w:rPr>
            </w:pPr>
            <w:r>
              <w:rPr>
                <w:sz w:val="20"/>
              </w:rPr>
              <w:t>–22,0</w:t>
            </w:r>
          </w:p>
        </w:tc>
        <w:tc>
          <w:tcPr>
            <w:tcW w:w="1424" w:type="dxa"/>
          </w:tcPr>
          <w:p w:rsidR="002B489A" w:rsidRDefault="004F19C4">
            <w:pPr>
              <w:pStyle w:val="Tabletext"/>
              <w:framePr w:hSpace="181" w:wrap="notBeside" w:vAnchor="text" w:hAnchor="text" w:xAlign="center" w:y="1"/>
              <w:spacing w:before="120" w:after="120"/>
              <w:jc w:val="center"/>
              <w:rPr>
                <w:sz w:val="20"/>
              </w:rPr>
            </w:pPr>
            <w:r>
              <w:rPr>
                <w:sz w:val="20"/>
              </w:rPr>
              <w:t>–32,75</w:t>
            </w:r>
          </w:p>
        </w:tc>
        <w:tc>
          <w:tcPr>
            <w:tcW w:w="1361" w:type="dxa"/>
          </w:tcPr>
          <w:p w:rsidR="002B489A" w:rsidRDefault="004F19C4">
            <w:pPr>
              <w:pStyle w:val="Tabletext"/>
              <w:framePr w:hSpace="181" w:wrap="notBeside" w:vAnchor="text" w:hAnchor="text" w:xAlign="center" w:y="1"/>
              <w:spacing w:before="120" w:after="120"/>
              <w:jc w:val="center"/>
              <w:rPr>
                <w:sz w:val="20"/>
              </w:rPr>
            </w:pPr>
            <w:r>
              <w:rPr>
                <w:sz w:val="20"/>
              </w:rPr>
              <w:t>–5,1</w:t>
            </w:r>
          </w:p>
        </w:tc>
      </w:tr>
      <w:tr w:rsidR="002B489A">
        <w:trPr>
          <w:cantSplit/>
        </w:trPr>
        <w:tc>
          <w:tcPr>
            <w:tcW w:w="9639" w:type="dxa"/>
            <w:gridSpan w:val="5"/>
            <w:shd w:val="clear" w:color="auto" w:fill="FFFFFF"/>
          </w:tcPr>
          <w:p w:rsidR="002B489A" w:rsidRDefault="004F19C4">
            <w:pPr>
              <w:pStyle w:val="Tabletext"/>
              <w:framePr w:hSpace="181" w:wrap="notBeside" w:vAnchor="text" w:hAnchor="text" w:xAlign="center" w:y="1"/>
              <w:spacing w:before="120" w:after="120"/>
              <w:rPr>
                <w:i/>
                <w:iCs/>
                <w:sz w:val="20"/>
              </w:rPr>
            </w:pPr>
            <w:r>
              <w:rPr>
                <w:i/>
                <w:iCs/>
                <w:sz w:val="20"/>
              </w:rPr>
              <w:t>Cas 1 – Faisceau principal de l'émetteur</w:t>
            </w:r>
          </w:p>
        </w:tc>
      </w:tr>
      <w:tr w:rsidR="002B489A">
        <w:trPr>
          <w:cantSplit/>
        </w:trPr>
        <w:tc>
          <w:tcPr>
            <w:tcW w:w="4093" w:type="dxa"/>
          </w:tcPr>
          <w:p w:rsidR="002B489A" w:rsidRDefault="004F19C4">
            <w:pPr>
              <w:pStyle w:val="Tabletext"/>
              <w:framePr w:hSpace="181" w:wrap="notBeside" w:vAnchor="text" w:hAnchor="text" w:xAlign="center" w:y="1"/>
              <w:spacing w:before="120" w:after="120"/>
              <w:rPr>
                <w:sz w:val="20"/>
              </w:rPr>
            </w:pPr>
            <w:r>
              <w:rPr>
                <w:sz w:val="20"/>
              </w:rPr>
              <w:t>Faisceau principal à balayage conique (dB)</w:t>
            </w:r>
          </w:p>
        </w:tc>
        <w:tc>
          <w:tcPr>
            <w:tcW w:w="1446" w:type="dxa"/>
          </w:tcPr>
          <w:p w:rsidR="002B489A" w:rsidRDefault="004F19C4">
            <w:pPr>
              <w:pStyle w:val="Tabletext"/>
              <w:framePr w:hSpace="181" w:wrap="notBeside" w:vAnchor="text" w:hAnchor="text" w:xAlign="center" w:y="1"/>
              <w:spacing w:before="120" w:after="120"/>
              <w:jc w:val="center"/>
              <w:rPr>
                <w:sz w:val="20"/>
              </w:rPr>
            </w:pPr>
            <w:r>
              <w:rPr>
                <w:sz w:val="20"/>
              </w:rPr>
              <w:t>ND</w:t>
            </w:r>
          </w:p>
        </w:tc>
        <w:tc>
          <w:tcPr>
            <w:tcW w:w="1315" w:type="dxa"/>
          </w:tcPr>
          <w:p w:rsidR="002B489A" w:rsidRDefault="004F19C4">
            <w:pPr>
              <w:pStyle w:val="Tabletext"/>
              <w:framePr w:hSpace="181" w:wrap="notBeside" w:vAnchor="text" w:hAnchor="text" w:xAlign="center" w:y="1"/>
              <w:spacing w:before="120" w:after="120"/>
              <w:jc w:val="center"/>
              <w:rPr>
                <w:sz w:val="20"/>
              </w:rPr>
            </w:pPr>
            <w:r>
              <w:rPr>
                <w:sz w:val="20"/>
              </w:rPr>
              <w:t>–5,5</w:t>
            </w:r>
          </w:p>
        </w:tc>
        <w:tc>
          <w:tcPr>
            <w:tcW w:w="1424" w:type="dxa"/>
          </w:tcPr>
          <w:p w:rsidR="002B489A" w:rsidRDefault="004F19C4">
            <w:pPr>
              <w:pStyle w:val="Tabletext"/>
              <w:framePr w:hSpace="181" w:wrap="notBeside" w:vAnchor="text" w:hAnchor="text" w:xAlign="center" w:y="1"/>
              <w:spacing w:before="120" w:after="120"/>
              <w:jc w:val="center"/>
              <w:rPr>
                <w:sz w:val="20"/>
              </w:rPr>
            </w:pPr>
            <w:r>
              <w:rPr>
                <w:sz w:val="20"/>
              </w:rPr>
              <w:t>–7,75</w:t>
            </w:r>
          </w:p>
        </w:tc>
        <w:tc>
          <w:tcPr>
            <w:tcW w:w="1361" w:type="dxa"/>
          </w:tcPr>
          <w:p w:rsidR="002B489A" w:rsidRDefault="004F19C4">
            <w:pPr>
              <w:pStyle w:val="Tabletext"/>
              <w:framePr w:hSpace="181" w:wrap="notBeside" w:vAnchor="text" w:hAnchor="text" w:xAlign="center" w:y="1"/>
              <w:spacing w:before="120" w:after="120"/>
              <w:jc w:val="center"/>
              <w:rPr>
                <w:sz w:val="20"/>
              </w:rPr>
            </w:pPr>
            <w:r>
              <w:rPr>
                <w:sz w:val="20"/>
              </w:rPr>
              <w:t>–8,9</w:t>
            </w:r>
          </w:p>
        </w:tc>
      </w:tr>
      <w:tr w:rsidR="002B489A">
        <w:trPr>
          <w:cantSplit/>
        </w:trPr>
        <w:tc>
          <w:tcPr>
            <w:tcW w:w="4093" w:type="dxa"/>
          </w:tcPr>
          <w:p w:rsidR="002B489A" w:rsidRDefault="004F19C4">
            <w:pPr>
              <w:pStyle w:val="Tabletext"/>
              <w:framePr w:hSpace="181" w:wrap="notBeside" w:vAnchor="text" w:hAnchor="text" w:xAlign="center" w:y="1"/>
              <w:spacing w:before="120" w:after="120" w:line="240" w:lineRule="exact"/>
              <w:rPr>
                <w:sz w:val="20"/>
              </w:rPr>
            </w:pPr>
            <w:r>
              <w:rPr>
                <w:sz w:val="20"/>
              </w:rPr>
              <w:t>Lobe latéral à balayage conique (dB)</w:t>
            </w:r>
          </w:p>
        </w:tc>
        <w:tc>
          <w:tcPr>
            <w:tcW w:w="1446" w:type="dxa"/>
          </w:tcPr>
          <w:p w:rsidR="002B489A" w:rsidRDefault="004F19C4">
            <w:pPr>
              <w:pStyle w:val="Tabletext"/>
              <w:framePr w:hSpace="181" w:wrap="notBeside" w:vAnchor="text" w:hAnchor="text" w:xAlign="center" w:y="1"/>
              <w:spacing w:before="120" w:after="120" w:line="240" w:lineRule="exact"/>
              <w:jc w:val="center"/>
              <w:rPr>
                <w:sz w:val="20"/>
              </w:rPr>
            </w:pPr>
            <w:r>
              <w:rPr>
                <w:sz w:val="20"/>
              </w:rPr>
              <w:t>ND</w:t>
            </w:r>
          </w:p>
        </w:tc>
        <w:tc>
          <w:tcPr>
            <w:tcW w:w="1315" w:type="dxa"/>
            <w:shd w:val="pct10" w:color="auto" w:fill="auto"/>
          </w:tcPr>
          <w:p w:rsidR="002B489A" w:rsidRDefault="004F19C4">
            <w:pPr>
              <w:pStyle w:val="Tabletext"/>
              <w:framePr w:hSpace="181" w:wrap="notBeside" w:vAnchor="text" w:hAnchor="text" w:xAlign="center" w:y="1"/>
              <w:spacing w:before="120" w:after="120" w:line="240" w:lineRule="exact"/>
              <w:jc w:val="center"/>
              <w:rPr>
                <w:sz w:val="20"/>
              </w:rPr>
            </w:pPr>
            <w:r>
              <w:rPr>
                <w:rFonts w:ascii="Symbol" w:hAnsi="Symbol"/>
                <w:sz w:val="20"/>
              </w:rPr>
              <w:t></w:t>
            </w:r>
            <w:r>
              <w:rPr>
                <w:sz w:val="20"/>
              </w:rPr>
              <w:t>34,3</w:t>
            </w:r>
          </w:p>
        </w:tc>
        <w:tc>
          <w:tcPr>
            <w:tcW w:w="1424" w:type="dxa"/>
            <w:shd w:val="pct10" w:color="auto" w:fill="auto"/>
          </w:tcPr>
          <w:p w:rsidR="002B489A" w:rsidRDefault="004F19C4">
            <w:pPr>
              <w:pStyle w:val="Tabletext"/>
              <w:framePr w:hSpace="181" w:wrap="notBeside" w:vAnchor="text" w:hAnchor="text" w:xAlign="center" w:y="1"/>
              <w:spacing w:before="120" w:after="120" w:line="240" w:lineRule="exact"/>
              <w:jc w:val="center"/>
              <w:rPr>
                <w:sz w:val="20"/>
              </w:rPr>
            </w:pPr>
            <w:r>
              <w:rPr>
                <w:rFonts w:ascii="Symbol" w:hAnsi="Symbol"/>
                <w:sz w:val="20"/>
              </w:rPr>
              <w:t></w:t>
            </w:r>
            <w:r>
              <w:rPr>
                <w:sz w:val="20"/>
              </w:rPr>
              <w:t>32,05</w:t>
            </w:r>
          </w:p>
        </w:tc>
        <w:tc>
          <w:tcPr>
            <w:tcW w:w="1361" w:type="dxa"/>
            <w:shd w:val="pct10" w:color="auto" w:fill="auto"/>
          </w:tcPr>
          <w:p w:rsidR="002B489A" w:rsidRDefault="004F19C4">
            <w:pPr>
              <w:pStyle w:val="Tabletext"/>
              <w:framePr w:hSpace="181" w:wrap="notBeside" w:vAnchor="text" w:hAnchor="text" w:xAlign="center" w:y="1"/>
              <w:spacing w:before="120" w:after="120" w:line="240" w:lineRule="exact"/>
              <w:jc w:val="center"/>
              <w:rPr>
                <w:sz w:val="20"/>
              </w:rPr>
            </w:pPr>
            <w:r>
              <w:rPr>
                <w:rFonts w:ascii="Symbol" w:hAnsi="Symbol"/>
                <w:sz w:val="20"/>
              </w:rPr>
              <w:t></w:t>
            </w:r>
            <w:r>
              <w:rPr>
                <w:sz w:val="20"/>
              </w:rPr>
              <w:t>30,9</w:t>
            </w:r>
          </w:p>
        </w:tc>
      </w:tr>
    </w:tbl>
    <w:p w:rsidR="002B489A" w:rsidRDefault="002B489A">
      <w:pPr>
        <w:pStyle w:val="Tablefin"/>
      </w:pPr>
    </w:p>
    <w:p w:rsidR="002B489A" w:rsidRDefault="002B489A">
      <w:pPr>
        <w:rPr>
          <w:lang w:val="en-GB"/>
        </w:rPr>
      </w:pPr>
    </w:p>
    <w:p w:rsidR="002B489A" w:rsidRDefault="002B489A">
      <w:pPr>
        <w:rPr>
          <w:lang w:val="en-GB"/>
        </w:rPr>
      </w:pPr>
    </w:p>
    <w:p w:rsidR="002B489A" w:rsidRDefault="004F19C4">
      <w:pPr>
        <w:pStyle w:val="Heading2"/>
        <w:rPr>
          <w:color w:val="000000"/>
        </w:rPr>
      </w:pPr>
      <w:r>
        <w:t>4.3</w:t>
      </w:r>
      <w:r>
        <w:tab/>
        <w:t>Sondeur de nadir «en peigne»: Calcul du niveau de brouillage</w:t>
      </w:r>
    </w:p>
    <w:p w:rsidR="002B489A" w:rsidRDefault="004F19C4">
      <w:pPr>
        <w:spacing w:after="120"/>
        <w:rPr>
          <w:color w:val="000000"/>
        </w:rPr>
      </w:pPr>
      <w:r>
        <w:rPr>
          <w:color w:val="000000"/>
        </w:rPr>
        <w:t>Pour l'analyse, on a adopté les hypothèses de base suivantes:</w:t>
      </w:r>
    </w:p>
    <w:p w:rsidR="002B489A" w:rsidRDefault="004F19C4">
      <w:pPr>
        <w:pStyle w:val="enumlev1"/>
      </w:pPr>
      <w:r>
        <w:t>–</w:t>
      </w:r>
      <w:r>
        <w:tab/>
        <w:t>Le brouillage survient via un couplage direct entre le détecteur passif et les antennes de la station terrienne SFS.</w:t>
      </w:r>
    </w:p>
    <w:p w:rsidR="002B489A" w:rsidRDefault="004F19C4">
      <w:pPr>
        <w:pStyle w:val="enumlev1"/>
      </w:pPr>
      <w:r>
        <w:t>–</w:t>
      </w:r>
      <w:r>
        <w:tab/>
        <w:t xml:space="preserve">Les deux antennes sont modélisées selon la Recommandation UIT-R </w:t>
      </w:r>
      <w:r>
        <w:rPr>
          <w:bCs/>
        </w:rPr>
        <w:t>F.1245</w:t>
      </w:r>
      <w:r>
        <w:t>.</w:t>
      </w:r>
    </w:p>
    <w:p w:rsidR="002B489A" w:rsidRDefault="004F19C4">
      <w:pPr>
        <w:pStyle w:val="enumlev1"/>
      </w:pPr>
      <w:r>
        <w:t>–</w:t>
      </w:r>
      <w:r>
        <w:tab/>
        <w:t>En essayant d'identifier les configurations les plus défavorables possibles, on suppose que la direction de pointage de la station terrienne SFS/SMS (visant l'orbite géostationnaire dans le cas d'un système SFS/SMS OSG) est contenue dans le plan orbital du satellite d'exploration de la Terre. Cette configuration rend possible des voies de brouillage entre lobe latéral du détecteur vers lobe principal de station terrienne et de lobe principal du détecteur vers lobe latéral de station terrienne. Les voies de brouillage de lobe principal à lobe principal sont également possibles; dans le cas de systèmes OSG, cela ne peut arriver qu'avec des stations terriennes situées près de l'équateur; dans le cas de systèmes non OSG, cela peut arriver n'importe où. Leur probabilité d'apparition devrait être étudiée plus avant dans une analyse dynamique qui n'est pas effectuée dans la présente étude.</w:t>
      </w:r>
    </w:p>
    <w:p w:rsidR="002B489A" w:rsidRDefault="004F19C4">
      <w:pPr>
        <w:pStyle w:val="enumlev1"/>
      </w:pPr>
      <w:r>
        <w:t>–</w:t>
      </w:r>
      <w:r>
        <w:tab/>
        <w:t>On suppose que la station terrienne SFS est située à une latitude de 35°. Cette valeur a été choisie comme bon compromis pour représenter un scénario de «cas le plus défavorable» de lobe latéral de détecteur vers lobe principal de station terrienne, parce qu'il peut représenter la plus basse latitude au-dessus de laquelle les stations terriennes ont la distribution la plus dense et où, à cause de l'angle d'incidence relativement élevé de la voie de brouillage (environ 49°), la protection naturelle, due à l'affaiblissement du trajet plus les pertes par l'absorption atmosphérique, est la plus faible.</w:t>
      </w:r>
    </w:p>
    <w:p w:rsidR="002B489A" w:rsidRDefault="004F19C4">
      <w:pPr>
        <w:pStyle w:val="enumlev1"/>
      </w:pPr>
      <w:r>
        <w:t>–</w:t>
      </w:r>
      <w:r>
        <w:tab/>
        <w:t>L'analyse dynamique du § 4.4 considérera les latitudes entre 0° et 50° N pour obtenir une gamme étendue de résultats.</w:t>
      </w:r>
    </w:p>
    <w:p w:rsidR="002B489A" w:rsidRDefault="004F19C4">
      <w:pPr>
        <w:pStyle w:val="Heading3"/>
      </w:pPr>
      <w:r>
        <w:br w:type="page"/>
        <w:t>4.3.1</w:t>
      </w:r>
      <w:r>
        <w:tab/>
        <w:t>Calcul avec les réseaux OSG et non OSG</w:t>
      </w:r>
    </w:p>
    <w:p w:rsidR="002B489A" w:rsidRDefault="004F19C4">
      <w:r>
        <w:t xml:space="preserve">Sachant que les scénarios les plus critiques sont ceux qui impliquent simultanément une forte p.i.r.e. et/ou une grande largeur de bande nécessaire, </w:t>
      </w:r>
      <w:r>
        <w:rPr>
          <w:bCs/>
        </w:rPr>
        <w:t xml:space="preserve">trois systèmes OSG sont choisis sur ces critères pour une analyse détaillée; </w:t>
      </w:r>
      <w:r>
        <w:t>ce sont le «GSO-G», le «GSO-Ka-1» et le «GSO-20» (voir le Tableau 57).</w:t>
      </w:r>
    </w:p>
    <w:p w:rsidR="002B489A" w:rsidRDefault="004F19C4">
      <w:r>
        <w:t>En considérant seulement le faisceau de nadir du détecteur en peigne passif, on calcule les paramètres suivants, en fonction de la distance latitudinale entre le détecteur passif et la station terrienne SFS/SMS:</w:t>
      </w:r>
    </w:p>
    <w:p w:rsidR="002B489A" w:rsidRDefault="004F19C4">
      <w:pPr>
        <w:pStyle w:val="enumlev1"/>
      </w:pPr>
      <w:r>
        <w:t>–</w:t>
      </w:r>
      <w:r>
        <w:tab/>
        <w:t>distance linéaire entre le détecteur et la station terrienne (km);</w:t>
      </w:r>
    </w:p>
    <w:p w:rsidR="002B489A" w:rsidRDefault="004F19C4">
      <w:pPr>
        <w:pStyle w:val="enumlev1"/>
      </w:pPr>
      <w:r>
        <w:t>–</w:t>
      </w:r>
      <w:r>
        <w:tab/>
        <w:t>angles de décalage entre la ligne de visibilité détecteur/station terrienne et l'axe principal de l'antenne;</w:t>
      </w:r>
    </w:p>
    <w:p w:rsidR="002B489A" w:rsidRDefault="004F19C4">
      <w:pPr>
        <w:pStyle w:val="enumlev1"/>
      </w:pPr>
      <w:r>
        <w:t>–</w:t>
      </w:r>
      <w:r>
        <w:tab/>
        <w:t>les gains mutuels des antennes du détecteur et des stations terriennes en direction de chacune d'elles;</w:t>
      </w:r>
    </w:p>
    <w:p w:rsidR="002B489A" w:rsidRDefault="004F19C4">
      <w:pPr>
        <w:pStyle w:val="enumlev1"/>
      </w:pPr>
      <w:r>
        <w:t>–</w:t>
      </w:r>
      <w:r>
        <w:tab/>
        <w:t>affaiblissement spatial;</w:t>
      </w:r>
    </w:p>
    <w:p w:rsidR="002B489A" w:rsidRDefault="004F19C4">
      <w:pPr>
        <w:pStyle w:val="enumlev1"/>
      </w:pPr>
      <w:r>
        <w:t>–</w:t>
      </w:r>
      <w:r>
        <w:tab/>
        <w:t>absorption atmosphérique selon l'angle d'élévation de la voie;</w:t>
      </w:r>
    </w:p>
    <w:p w:rsidR="002B489A" w:rsidRDefault="004F19C4">
      <w:pPr>
        <w:pStyle w:val="enumlev1"/>
      </w:pPr>
      <w:r>
        <w:t>–</w:t>
      </w:r>
      <w:r>
        <w:tab/>
        <w:t>puissance reçue par le détecteur passif;</w:t>
      </w:r>
    </w:p>
    <w:p w:rsidR="002B489A" w:rsidRDefault="004F19C4">
      <w:pPr>
        <w:pStyle w:val="enumlev1"/>
      </w:pPr>
      <w:r>
        <w:t>–</w:t>
      </w:r>
      <w:r>
        <w:tab/>
        <w:t>marge par rapport au seuil de brouillage;</w:t>
      </w:r>
    </w:p>
    <w:p w:rsidR="002B489A" w:rsidRDefault="004F19C4">
      <w:pPr>
        <w:pStyle w:val="enumlev1"/>
      </w:pPr>
      <w:r>
        <w:t>–</w:t>
      </w:r>
      <w:r>
        <w:tab/>
        <w:t>taille de la zone à la surface de la Terre, où les données du sondeur sont contaminées par le brouillage.</w:t>
      </w:r>
    </w:p>
    <w:p w:rsidR="002B489A" w:rsidRDefault="004F19C4">
      <w:r>
        <w:t>Le problème est plus complexe dans le cas de stations terriennes non OSG, parce que, dans ce cas, la direction de pointage de la station terrienne est un paramètre variable: une station terrienne spécifique peut pointer dans n'importe quelle direction (angles d'élévation et d'azimut).</w:t>
      </w:r>
    </w:p>
    <w:p w:rsidR="002B489A" w:rsidRDefault="004F19C4">
      <w:r>
        <w:t>Pour simplifier, la présente étude se limite à une configuration similaire à celle adoptée pour le cas SFS OSG, où on n'examine pas les scénarios de lobe principal à lobe principal. Il est cependant clair que le résultat sera une évaluation très optimiste de la situation réelle.</w:t>
      </w:r>
    </w:p>
    <w:p w:rsidR="002B489A" w:rsidRDefault="004F19C4">
      <w:r>
        <w:t>Dans le cas de systèmes SFS OSG, les configurations de lobe principal à lobe principal ne peuvent survenir qu'avec des stations terriennes situées près de l'équateur.</w:t>
      </w:r>
    </w:p>
    <w:p w:rsidR="002B489A" w:rsidRDefault="004F19C4">
      <w:r>
        <w:t>Dans le cas de systèmes SFS non OSG, cette configuration peut survenir partout dans la zone de couverture du satellite SFS.</w:t>
      </w:r>
    </w:p>
    <w:p w:rsidR="002B489A" w:rsidRDefault="004F19C4">
      <w:r>
        <w:t>La configuration est décrite à la Fig. 42, et les principaux paramètres géométriques de l'analyse y sont indiqués.</w:t>
      </w:r>
    </w:p>
    <w:p w:rsidR="002B489A" w:rsidRDefault="004F19C4">
      <w:pPr>
        <w:pStyle w:val="Heading3"/>
      </w:pPr>
      <w:r>
        <w:t>4.3.2</w:t>
      </w:r>
      <w:r>
        <w:tab/>
        <w:t>Résultat de l'analyse</w:t>
      </w:r>
    </w:p>
    <w:p w:rsidR="002B489A" w:rsidRDefault="004F19C4">
      <w:r>
        <w:t>Les Fig. 43, 44 et 45 contiennent des résultats détaillés sous forme graphique pour les trois systèmes OSG choisis. Alors que le satellite d'exploration de la Terre se déplace dans la direction de la station terrienne, un premier événement survient lorsque le détecteur croise le lobe principal de la station terrienne. Puis survient un second événement lorsque le détecteur est proche du zénith de la station terrienne. Les configurations de lobe principal à lobe principal sont possibles près du zénith des stations terriennes situées près de l'équateur. Dans ce cas, l'excès de puissance est augmenté par la discrimination de l'antenne de la station terrienne (différence entre lobe principal et lobes distants).</w:t>
      </w:r>
    </w:p>
    <w:p w:rsidR="002B489A" w:rsidRDefault="004F19C4">
      <w:pPr>
        <w:pStyle w:val="FigureNo"/>
      </w:pPr>
      <w:r>
        <w:br w:type="page"/>
      </w:r>
      <w:r w:rsidR="0006728D">
        <w:rPr>
          <w:noProof/>
          <w:lang w:val="fr-CH" w:eastAsia="fr-CH"/>
        </w:rPr>
        <w:drawing>
          <wp:inline distT="0" distB="0" distL="0" distR="0">
            <wp:extent cx="4905375" cy="37814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905375" cy="3781425"/>
                    </a:xfrm>
                    <a:prstGeom prst="rect">
                      <a:avLst/>
                    </a:prstGeom>
                    <a:noFill/>
                    <a:ln>
                      <a:noFill/>
                    </a:ln>
                  </pic:spPr>
                </pic:pic>
              </a:graphicData>
            </a:graphic>
          </wp:inline>
        </w:drawing>
      </w:r>
    </w:p>
    <w:p w:rsidR="002B489A" w:rsidRDefault="002B489A"/>
    <w:p w:rsidR="002B489A" w:rsidRDefault="0006728D">
      <w:pPr>
        <w:pStyle w:val="FigureNo"/>
      </w:pPr>
      <w:r>
        <w:rPr>
          <w:noProof/>
          <w:lang w:val="fr-CH" w:eastAsia="fr-CH"/>
        </w:rPr>
        <w:drawing>
          <wp:inline distT="0" distB="0" distL="0" distR="0">
            <wp:extent cx="4905375" cy="36480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05375" cy="3648075"/>
                    </a:xfrm>
                    <a:prstGeom prst="rect">
                      <a:avLst/>
                    </a:prstGeom>
                    <a:noFill/>
                    <a:ln>
                      <a:noFill/>
                    </a:ln>
                  </pic:spPr>
                </pic:pic>
              </a:graphicData>
            </a:graphic>
          </wp:inline>
        </w:drawing>
      </w:r>
    </w:p>
    <w:p w:rsidR="002B489A" w:rsidRDefault="004F19C4">
      <w:pPr>
        <w:pStyle w:val="FigureNo"/>
      </w:pPr>
      <w:r>
        <w:br w:type="page"/>
      </w:r>
      <w:r w:rsidR="0006728D">
        <w:rPr>
          <w:noProof/>
          <w:lang w:val="fr-CH" w:eastAsia="fr-CH"/>
        </w:rPr>
        <w:drawing>
          <wp:inline distT="0" distB="0" distL="0" distR="0">
            <wp:extent cx="4905375" cy="38481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905375" cy="3848100"/>
                    </a:xfrm>
                    <a:prstGeom prst="rect">
                      <a:avLst/>
                    </a:prstGeom>
                    <a:noFill/>
                    <a:ln>
                      <a:noFill/>
                    </a:ln>
                  </pic:spPr>
                </pic:pic>
              </a:graphicData>
            </a:graphic>
          </wp:inline>
        </w:drawing>
      </w:r>
    </w:p>
    <w:p w:rsidR="002B489A" w:rsidRDefault="002B489A"/>
    <w:p w:rsidR="002B489A" w:rsidRDefault="004F19C4">
      <w:r>
        <w:t>Les résultats pour les autres systèmes OSG et non OSG, qui ne sont pas analysés en détail, sont déduits des résultats ci-dessus en comparant respectivement les gains d'antenne et la puissance transmise.</w:t>
      </w:r>
    </w:p>
    <w:p w:rsidR="002B489A" w:rsidRDefault="004F19C4">
      <w:pPr>
        <w:pStyle w:val="Heading3"/>
      </w:pPr>
      <w:r>
        <w:t>4.3.3</w:t>
      </w:r>
      <w:r>
        <w:tab/>
        <w:t>Discussion des résultats</w:t>
      </w:r>
    </w:p>
    <w:p w:rsidR="002B489A" w:rsidRDefault="004F19C4">
      <w:r>
        <w:t>Evènements de brouillage survenant lorsque le détecteur passif est dans le lobe principal de la station terrienne du service SFS (voir le Tableau 62).</w:t>
      </w:r>
    </w:p>
    <w:p w:rsidR="002B489A" w:rsidRDefault="004F19C4">
      <w:pPr>
        <w:pStyle w:val="TableNo"/>
      </w:pPr>
      <w:r>
        <w:t>TABLEAU  62</w:t>
      </w:r>
    </w:p>
    <w:p w:rsidR="002B489A" w:rsidRDefault="004F19C4">
      <w:pPr>
        <w:pStyle w:val="Tabletitle"/>
      </w:pPr>
      <w:r>
        <w:t xml:space="preserve">Excédent de puissance au-dessus du seuil de brouillage – Détecteur dans le lobe principal </w:t>
      </w:r>
      <w:r>
        <w:br/>
        <w:t>de la station terrienne (hypothèse de cofréquence)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9"/>
        <w:gridCol w:w="1172"/>
        <w:gridCol w:w="1172"/>
        <w:gridCol w:w="1250"/>
        <w:gridCol w:w="1199"/>
        <w:gridCol w:w="1199"/>
        <w:gridCol w:w="1198"/>
      </w:tblGrid>
      <w:tr w:rsidR="002B489A">
        <w:trPr>
          <w:cantSplit/>
          <w:tblHeader/>
        </w:trPr>
        <w:tc>
          <w:tcPr>
            <w:tcW w:w="2624" w:type="dxa"/>
            <w:vMerge w:val="restart"/>
          </w:tcPr>
          <w:p w:rsidR="002B489A" w:rsidRDefault="002B489A">
            <w:pPr>
              <w:pStyle w:val="Tablehead"/>
              <w:framePr w:hSpace="181" w:wrap="notBeside" w:vAnchor="text" w:hAnchor="text" w:xAlign="center" w:y="1"/>
              <w:ind w:right="-57"/>
            </w:pPr>
          </w:p>
        </w:tc>
        <w:tc>
          <w:tcPr>
            <w:tcW w:w="7652" w:type="dxa"/>
            <w:gridSpan w:val="6"/>
          </w:tcPr>
          <w:p w:rsidR="002B489A" w:rsidRDefault="004F19C4">
            <w:pPr>
              <w:pStyle w:val="Tablehead"/>
              <w:framePr w:hSpace="181" w:wrap="notBeside" w:vAnchor="text" w:hAnchor="text" w:xAlign="center" w:y="1"/>
            </w:pPr>
            <w:r>
              <w:t>Systèmes OSG SFS/SMS</w:t>
            </w:r>
          </w:p>
        </w:tc>
      </w:tr>
      <w:tr w:rsidR="002B489A">
        <w:trPr>
          <w:cantSplit/>
        </w:trPr>
        <w:tc>
          <w:tcPr>
            <w:tcW w:w="2449" w:type="dxa"/>
            <w:vMerge/>
          </w:tcPr>
          <w:p w:rsidR="002B489A" w:rsidRDefault="002B489A">
            <w:pPr>
              <w:pStyle w:val="Tablehead"/>
              <w:framePr w:hSpace="181" w:wrap="notBeside" w:vAnchor="text" w:hAnchor="text" w:xAlign="center" w:y="1"/>
              <w:ind w:right="-57"/>
            </w:pPr>
          </w:p>
        </w:tc>
        <w:tc>
          <w:tcPr>
            <w:tcW w:w="1247" w:type="dxa"/>
          </w:tcPr>
          <w:p w:rsidR="002B489A" w:rsidRDefault="004F19C4">
            <w:pPr>
              <w:pStyle w:val="Tablehead"/>
              <w:framePr w:hSpace="181" w:wrap="notBeside" w:vAnchor="text" w:hAnchor="text" w:xAlign="center" w:y="1"/>
              <w:ind w:left="-57" w:right="-57"/>
              <w:rPr>
                <w:lang w:val="en-US"/>
              </w:rPr>
            </w:pPr>
            <w:r>
              <w:rPr>
                <w:lang w:val="en-US"/>
              </w:rPr>
              <w:t>GSO-Ka-1</w:t>
            </w:r>
          </w:p>
        </w:tc>
        <w:tc>
          <w:tcPr>
            <w:tcW w:w="1247" w:type="dxa"/>
          </w:tcPr>
          <w:p w:rsidR="002B489A" w:rsidRDefault="004F19C4">
            <w:pPr>
              <w:pStyle w:val="Tablehead"/>
              <w:framePr w:hSpace="181" w:wrap="notBeside" w:vAnchor="text" w:hAnchor="text" w:xAlign="center" w:y="1"/>
              <w:ind w:left="-57" w:right="-57"/>
              <w:rPr>
                <w:lang w:val="en-US"/>
              </w:rPr>
            </w:pPr>
            <w:r>
              <w:rPr>
                <w:lang w:val="en-US"/>
              </w:rPr>
              <w:t>GSO-20</w:t>
            </w:r>
          </w:p>
        </w:tc>
        <w:tc>
          <w:tcPr>
            <w:tcW w:w="1331" w:type="dxa"/>
          </w:tcPr>
          <w:p w:rsidR="002B489A" w:rsidRDefault="004F19C4">
            <w:pPr>
              <w:pStyle w:val="Tablehead"/>
              <w:framePr w:hSpace="181" w:wrap="notBeside" w:vAnchor="text" w:hAnchor="text" w:xAlign="center" w:y="1"/>
              <w:ind w:left="-57" w:right="-57"/>
              <w:rPr>
                <w:lang w:val="en-US"/>
              </w:rPr>
            </w:pPr>
            <w:r>
              <w:rPr>
                <w:lang w:val="en-US"/>
              </w:rPr>
              <w:t>GSO-F</w:t>
            </w:r>
          </w:p>
        </w:tc>
        <w:tc>
          <w:tcPr>
            <w:tcW w:w="1276" w:type="dxa"/>
          </w:tcPr>
          <w:p w:rsidR="002B489A" w:rsidRDefault="004F19C4">
            <w:pPr>
              <w:pStyle w:val="Tablehead"/>
              <w:framePr w:hSpace="181" w:wrap="notBeside" w:vAnchor="text" w:hAnchor="text" w:xAlign="center" w:y="1"/>
              <w:ind w:left="-57" w:right="-57"/>
              <w:rPr>
                <w:lang w:val="en-US"/>
              </w:rPr>
            </w:pPr>
            <w:r>
              <w:rPr>
                <w:lang w:val="en-US"/>
              </w:rPr>
              <w:t>GSO-G</w:t>
            </w:r>
          </w:p>
        </w:tc>
        <w:tc>
          <w:tcPr>
            <w:tcW w:w="1276" w:type="dxa"/>
          </w:tcPr>
          <w:p w:rsidR="002B489A" w:rsidRDefault="004F19C4">
            <w:pPr>
              <w:pStyle w:val="Tablehead"/>
              <w:framePr w:hSpace="181" w:wrap="notBeside" w:vAnchor="text" w:hAnchor="text" w:xAlign="center" w:y="1"/>
              <w:ind w:left="-57" w:right="-57"/>
              <w:rPr>
                <w:lang w:val="en-US"/>
              </w:rPr>
            </w:pPr>
            <w:r>
              <w:rPr>
                <w:lang w:val="en-US"/>
              </w:rPr>
              <w:t>GSO-H</w:t>
            </w:r>
          </w:p>
        </w:tc>
        <w:tc>
          <w:tcPr>
            <w:tcW w:w="1275" w:type="dxa"/>
          </w:tcPr>
          <w:p w:rsidR="002B489A" w:rsidRDefault="004F19C4">
            <w:pPr>
              <w:pStyle w:val="Tablehead"/>
              <w:framePr w:hSpace="181" w:wrap="notBeside" w:vAnchor="text" w:hAnchor="text" w:xAlign="center" w:y="1"/>
              <w:ind w:left="-57" w:right="-57"/>
              <w:rPr>
                <w:lang w:val="en-US"/>
              </w:rPr>
            </w:pPr>
            <w:r>
              <w:rPr>
                <w:lang w:val="en-US"/>
              </w:rPr>
              <w:t>GSO-13</w:t>
            </w:r>
          </w:p>
        </w:tc>
      </w:tr>
      <w:tr w:rsidR="002B489A">
        <w:tc>
          <w:tcPr>
            <w:tcW w:w="2624" w:type="dxa"/>
          </w:tcPr>
          <w:p w:rsidR="002B489A" w:rsidRDefault="004F19C4">
            <w:pPr>
              <w:pStyle w:val="Tabletext"/>
              <w:framePr w:hSpace="181" w:wrap="notBeside" w:vAnchor="text" w:hAnchor="text" w:xAlign="center" w:y="1"/>
              <w:ind w:right="-57"/>
              <w:jc w:val="left"/>
            </w:pPr>
            <w:r>
              <w:t>Excédent dans tous les faisceaux d'antenne (dB)</w:t>
            </w:r>
          </w:p>
        </w:tc>
        <w:tc>
          <w:tcPr>
            <w:tcW w:w="1247" w:type="dxa"/>
          </w:tcPr>
          <w:p w:rsidR="002B489A" w:rsidRDefault="004F19C4">
            <w:pPr>
              <w:pStyle w:val="Tabletext"/>
              <w:framePr w:hSpace="181" w:wrap="notBeside" w:vAnchor="text" w:hAnchor="text" w:xAlign="center" w:y="1"/>
              <w:ind w:left="-57" w:right="-57"/>
              <w:jc w:val="center"/>
            </w:pPr>
            <w:r>
              <w:t>44,8</w:t>
            </w:r>
          </w:p>
        </w:tc>
        <w:tc>
          <w:tcPr>
            <w:tcW w:w="1247" w:type="dxa"/>
          </w:tcPr>
          <w:p w:rsidR="002B489A" w:rsidRDefault="004F19C4">
            <w:pPr>
              <w:pStyle w:val="Tabletext"/>
              <w:framePr w:hSpace="181" w:wrap="notBeside" w:vAnchor="text" w:hAnchor="text" w:xAlign="center" w:y="1"/>
              <w:ind w:left="-57" w:right="-57"/>
              <w:jc w:val="center"/>
            </w:pPr>
            <w:r>
              <w:t>25,8</w:t>
            </w:r>
          </w:p>
        </w:tc>
        <w:tc>
          <w:tcPr>
            <w:tcW w:w="1331" w:type="dxa"/>
          </w:tcPr>
          <w:p w:rsidR="002B489A" w:rsidRDefault="004F19C4">
            <w:pPr>
              <w:pStyle w:val="Tabletext"/>
              <w:framePr w:hSpace="181" w:wrap="notBeside" w:vAnchor="text" w:hAnchor="text" w:xAlign="center" w:y="1"/>
              <w:ind w:left="-57" w:right="-57"/>
              <w:jc w:val="center"/>
            </w:pPr>
            <w:r>
              <w:t>21</w:t>
            </w:r>
          </w:p>
        </w:tc>
        <w:tc>
          <w:tcPr>
            <w:tcW w:w="1276" w:type="dxa"/>
          </w:tcPr>
          <w:p w:rsidR="002B489A" w:rsidRDefault="004F19C4">
            <w:pPr>
              <w:pStyle w:val="Tabletext"/>
              <w:framePr w:hSpace="181" w:wrap="notBeside" w:vAnchor="text" w:hAnchor="text" w:xAlign="center" w:y="1"/>
              <w:ind w:left="-57" w:right="-57"/>
              <w:jc w:val="center"/>
            </w:pPr>
            <w:r>
              <w:t>35,3</w:t>
            </w:r>
          </w:p>
        </w:tc>
        <w:tc>
          <w:tcPr>
            <w:tcW w:w="1276" w:type="dxa"/>
          </w:tcPr>
          <w:p w:rsidR="002B489A" w:rsidRDefault="004F19C4">
            <w:pPr>
              <w:pStyle w:val="Tabletext"/>
              <w:framePr w:hSpace="181" w:wrap="notBeside" w:vAnchor="text" w:hAnchor="text" w:xAlign="center" w:y="1"/>
              <w:ind w:left="-57" w:right="-57"/>
              <w:jc w:val="center"/>
            </w:pPr>
            <w:r>
              <w:t>29,3</w:t>
            </w:r>
          </w:p>
        </w:tc>
        <w:tc>
          <w:tcPr>
            <w:tcW w:w="1275" w:type="dxa"/>
          </w:tcPr>
          <w:p w:rsidR="002B489A" w:rsidRDefault="004F19C4">
            <w:pPr>
              <w:pStyle w:val="Tabletext"/>
              <w:framePr w:hSpace="181" w:wrap="notBeside" w:vAnchor="text" w:hAnchor="text" w:xAlign="center" w:y="1"/>
              <w:ind w:left="-57" w:right="-57"/>
              <w:jc w:val="center"/>
            </w:pPr>
            <w:r>
              <w:t>12,1</w:t>
            </w:r>
          </w:p>
        </w:tc>
      </w:tr>
      <w:tr w:rsidR="002B489A">
        <w:tc>
          <w:tcPr>
            <w:tcW w:w="2624" w:type="dxa"/>
          </w:tcPr>
          <w:p w:rsidR="002B489A" w:rsidRDefault="004F19C4">
            <w:pPr>
              <w:pStyle w:val="Tabletext"/>
              <w:framePr w:hSpace="181" w:wrap="notBeside" w:vAnchor="text" w:hAnchor="text" w:xAlign="center" w:y="1"/>
              <w:ind w:right="-57"/>
              <w:jc w:val="left"/>
            </w:pPr>
            <w:r>
              <w:t>Zone contaminée (km</w:t>
            </w:r>
            <w:r>
              <w:rPr>
                <w:vertAlign w:val="superscript"/>
              </w:rPr>
              <w:t>2</w:t>
            </w:r>
            <w:r>
              <w:t>)</w:t>
            </w:r>
          </w:p>
        </w:tc>
        <w:tc>
          <w:tcPr>
            <w:tcW w:w="1247" w:type="dxa"/>
          </w:tcPr>
          <w:p w:rsidR="002B489A" w:rsidRDefault="004F19C4">
            <w:pPr>
              <w:pStyle w:val="Tabletext"/>
              <w:framePr w:hSpace="181" w:wrap="notBeside" w:vAnchor="text" w:hAnchor="text" w:xAlign="center" w:y="1"/>
              <w:ind w:left="-57" w:right="-57"/>
              <w:jc w:val="center"/>
            </w:pPr>
            <w:r>
              <w:t>100 </w:t>
            </w:r>
            <w:r>
              <w:rPr>
                <w:rFonts w:ascii="Symbol" w:hAnsi="Symbol"/>
              </w:rPr>
              <w:sym w:font="Symbol" w:char="F0B4"/>
            </w:r>
            <w:r>
              <w:t> 2</w:t>
            </w:r>
            <w:r>
              <w:rPr>
                <w:rFonts w:ascii="Tms Rmn" w:hAnsi="Tms Rmn"/>
                <w:sz w:val="12"/>
              </w:rPr>
              <w:t> </w:t>
            </w:r>
            <w:r>
              <w:t>200</w:t>
            </w:r>
          </w:p>
        </w:tc>
        <w:tc>
          <w:tcPr>
            <w:tcW w:w="1247" w:type="dxa"/>
          </w:tcPr>
          <w:p w:rsidR="002B489A" w:rsidRDefault="004F19C4">
            <w:pPr>
              <w:pStyle w:val="Tabletext"/>
              <w:framePr w:hSpace="181" w:wrap="notBeside" w:vAnchor="text" w:hAnchor="text" w:xAlign="center" w:y="1"/>
              <w:ind w:left="-57" w:right="-57"/>
              <w:jc w:val="center"/>
            </w:pPr>
            <w:r>
              <w:t>120 </w:t>
            </w:r>
            <w:r>
              <w:rPr>
                <w:rFonts w:ascii="Symbol" w:hAnsi="Symbol"/>
              </w:rPr>
              <w:sym w:font="Symbol" w:char="F0B4"/>
            </w:r>
            <w:r>
              <w:t> 2</w:t>
            </w:r>
            <w:r>
              <w:rPr>
                <w:rFonts w:ascii="Tms Rmn" w:hAnsi="Tms Rmn"/>
                <w:sz w:val="12"/>
              </w:rPr>
              <w:t> </w:t>
            </w:r>
            <w:r>
              <w:t>200</w:t>
            </w:r>
          </w:p>
        </w:tc>
        <w:tc>
          <w:tcPr>
            <w:tcW w:w="1331" w:type="dxa"/>
          </w:tcPr>
          <w:p w:rsidR="002B489A" w:rsidRDefault="004F19C4">
            <w:pPr>
              <w:pStyle w:val="Tabletext"/>
              <w:framePr w:hSpace="181" w:wrap="notBeside" w:vAnchor="text" w:hAnchor="text" w:xAlign="center" w:y="1"/>
              <w:ind w:left="-57" w:right="-57"/>
              <w:jc w:val="center"/>
            </w:pPr>
            <w:r>
              <w:t>18 </w:t>
            </w:r>
            <w:r>
              <w:rPr>
                <w:rFonts w:ascii="Symbol" w:hAnsi="Symbol"/>
              </w:rPr>
              <w:sym w:font="Symbol" w:char="F0B4"/>
            </w:r>
            <w:r>
              <w:t> 2</w:t>
            </w:r>
            <w:r>
              <w:rPr>
                <w:rFonts w:ascii="Tms Rmn" w:hAnsi="Tms Rmn"/>
                <w:sz w:val="12"/>
              </w:rPr>
              <w:t> </w:t>
            </w:r>
            <w:r>
              <w:t>200</w:t>
            </w:r>
          </w:p>
        </w:tc>
        <w:tc>
          <w:tcPr>
            <w:tcW w:w="1276" w:type="dxa"/>
          </w:tcPr>
          <w:p w:rsidR="002B489A" w:rsidRDefault="004F19C4">
            <w:pPr>
              <w:pStyle w:val="Tabletext"/>
              <w:framePr w:hSpace="181" w:wrap="notBeside" w:vAnchor="text" w:hAnchor="text" w:xAlign="center" w:y="1"/>
              <w:ind w:left="-57" w:right="-57"/>
              <w:jc w:val="center"/>
            </w:pPr>
            <w:r>
              <w:t>245 </w:t>
            </w:r>
            <w:r>
              <w:rPr>
                <w:rFonts w:ascii="Symbol" w:hAnsi="Symbol"/>
              </w:rPr>
              <w:sym w:font="Symbol" w:char="F0B4"/>
            </w:r>
            <w:r>
              <w:t> 2</w:t>
            </w:r>
            <w:r>
              <w:rPr>
                <w:rFonts w:ascii="Tms Rmn" w:hAnsi="Tms Rmn"/>
                <w:sz w:val="12"/>
              </w:rPr>
              <w:t> </w:t>
            </w:r>
            <w:r>
              <w:t>200</w:t>
            </w:r>
          </w:p>
        </w:tc>
        <w:tc>
          <w:tcPr>
            <w:tcW w:w="1276" w:type="dxa"/>
          </w:tcPr>
          <w:p w:rsidR="002B489A" w:rsidRDefault="004F19C4">
            <w:pPr>
              <w:pStyle w:val="Tabletext"/>
              <w:framePr w:hSpace="181" w:wrap="notBeside" w:vAnchor="text" w:hAnchor="text" w:xAlign="center" w:y="1"/>
              <w:ind w:left="-57" w:right="-57"/>
              <w:jc w:val="center"/>
            </w:pPr>
            <w:r>
              <w:t>42 </w:t>
            </w:r>
            <w:r>
              <w:rPr>
                <w:rFonts w:ascii="Symbol" w:hAnsi="Symbol"/>
              </w:rPr>
              <w:sym w:font="Symbol" w:char="F0B4"/>
            </w:r>
            <w:r>
              <w:t> 2</w:t>
            </w:r>
            <w:r>
              <w:rPr>
                <w:rFonts w:ascii="Tms Rmn" w:hAnsi="Tms Rmn"/>
                <w:sz w:val="12"/>
              </w:rPr>
              <w:t> </w:t>
            </w:r>
            <w:r>
              <w:t>200</w:t>
            </w:r>
          </w:p>
        </w:tc>
        <w:tc>
          <w:tcPr>
            <w:tcW w:w="1275" w:type="dxa"/>
          </w:tcPr>
          <w:p w:rsidR="002B489A" w:rsidRDefault="004F19C4">
            <w:pPr>
              <w:pStyle w:val="Tabletext"/>
              <w:framePr w:hSpace="181" w:wrap="notBeside" w:vAnchor="text" w:hAnchor="text" w:xAlign="center" w:y="1"/>
              <w:ind w:left="-57" w:right="-57"/>
              <w:jc w:val="center"/>
            </w:pPr>
            <w:r>
              <w:t>40 </w:t>
            </w:r>
            <w:r>
              <w:rPr>
                <w:rFonts w:ascii="Symbol" w:hAnsi="Symbol"/>
              </w:rPr>
              <w:sym w:font="Symbol" w:char="F0B4"/>
            </w:r>
            <w:r>
              <w:t> 2</w:t>
            </w:r>
            <w:r>
              <w:rPr>
                <w:rFonts w:ascii="Tms Rmn" w:hAnsi="Tms Rmn"/>
                <w:sz w:val="12"/>
              </w:rPr>
              <w:t> </w:t>
            </w:r>
            <w:r>
              <w:t>200</w:t>
            </w:r>
          </w:p>
        </w:tc>
      </w:tr>
      <w:tr w:rsidR="002B489A">
        <w:tc>
          <w:tcPr>
            <w:tcW w:w="2624" w:type="dxa"/>
          </w:tcPr>
          <w:p w:rsidR="002B489A" w:rsidRDefault="004F19C4">
            <w:pPr>
              <w:pStyle w:val="Tabletext"/>
              <w:framePr w:hSpace="181" w:wrap="notBeside" w:vAnchor="text" w:hAnchor="text" w:xAlign="center" w:y="1"/>
              <w:ind w:right="-57"/>
              <w:jc w:val="left"/>
            </w:pPr>
            <w:r>
              <w:t>Pixels contaminés/événement</w:t>
            </w:r>
          </w:p>
        </w:tc>
        <w:tc>
          <w:tcPr>
            <w:tcW w:w="1247" w:type="dxa"/>
          </w:tcPr>
          <w:p w:rsidR="002B489A" w:rsidRDefault="004F19C4">
            <w:pPr>
              <w:pStyle w:val="Tabletext"/>
              <w:framePr w:hSpace="181" w:wrap="notBeside" w:vAnchor="text" w:hAnchor="text" w:xAlign="center" w:y="1"/>
              <w:ind w:left="-57" w:right="-57"/>
              <w:jc w:val="center"/>
            </w:pPr>
            <w:r>
              <w:t>6 lignes de balayage</w:t>
            </w:r>
          </w:p>
        </w:tc>
        <w:tc>
          <w:tcPr>
            <w:tcW w:w="1247" w:type="dxa"/>
          </w:tcPr>
          <w:p w:rsidR="002B489A" w:rsidRDefault="004F19C4">
            <w:pPr>
              <w:pStyle w:val="Tabletext"/>
              <w:framePr w:hSpace="181" w:wrap="notBeside" w:vAnchor="text" w:hAnchor="text" w:xAlign="center" w:y="1"/>
              <w:ind w:left="-57" w:right="-57"/>
              <w:jc w:val="center"/>
            </w:pPr>
            <w:r>
              <w:t>7,5 lignes de balayage</w:t>
            </w:r>
          </w:p>
        </w:tc>
        <w:tc>
          <w:tcPr>
            <w:tcW w:w="1331" w:type="dxa"/>
          </w:tcPr>
          <w:p w:rsidR="002B489A" w:rsidRDefault="004F19C4">
            <w:pPr>
              <w:pStyle w:val="Tabletext"/>
              <w:framePr w:hSpace="181" w:wrap="notBeside" w:vAnchor="text" w:hAnchor="text" w:xAlign="center" w:y="1"/>
              <w:ind w:left="-57" w:right="-57"/>
              <w:jc w:val="center"/>
            </w:pPr>
            <w:r>
              <w:t>1 ligne de balayage</w:t>
            </w:r>
          </w:p>
        </w:tc>
        <w:tc>
          <w:tcPr>
            <w:tcW w:w="1276" w:type="dxa"/>
          </w:tcPr>
          <w:p w:rsidR="002B489A" w:rsidRDefault="004F19C4">
            <w:pPr>
              <w:pStyle w:val="Tabletext"/>
              <w:framePr w:hSpace="181" w:wrap="notBeside" w:vAnchor="text" w:hAnchor="text" w:xAlign="center" w:y="1"/>
              <w:ind w:left="-57" w:right="-57"/>
              <w:jc w:val="center"/>
            </w:pPr>
            <w:r>
              <w:t>16 lignes de balayage</w:t>
            </w:r>
          </w:p>
        </w:tc>
        <w:tc>
          <w:tcPr>
            <w:tcW w:w="1276" w:type="dxa"/>
          </w:tcPr>
          <w:p w:rsidR="002B489A" w:rsidRDefault="004F19C4">
            <w:pPr>
              <w:pStyle w:val="Tabletext"/>
              <w:framePr w:hSpace="181" w:wrap="notBeside" w:vAnchor="text" w:hAnchor="text" w:xAlign="center" w:y="1"/>
              <w:ind w:left="-57" w:right="-57"/>
              <w:jc w:val="center"/>
            </w:pPr>
            <w:r>
              <w:t>2,6 lignes de balayage</w:t>
            </w:r>
          </w:p>
        </w:tc>
        <w:tc>
          <w:tcPr>
            <w:tcW w:w="1275" w:type="dxa"/>
          </w:tcPr>
          <w:p w:rsidR="002B489A" w:rsidRDefault="004F19C4">
            <w:pPr>
              <w:pStyle w:val="Tabletext"/>
              <w:framePr w:hSpace="181" w:wrap="notBeside" w:vAnchor="text" w:hAnchor="text" w:xAlign="center" w:y="1"/>
              <w:ind w:left="-57" w:right="-57"/>
              <w:jc w:val="center"/>
            </w:pPr>
            <w:r>
              <w:t>2,5 lignes de balayage</w:t>
            </w:r>
          </w:p>
        </w:tc>
      </w:tr>
      <w:tr w:rsidR="002B489A">
        <w:tc>
          <w:tcPr>
            <w:tcW w:w="2624" w:type="dxa"/>
          </w:tcPr>
          <w:p w:rsidR="002B489A" w:rsidRDefault="004F19C4">
            <w:pPr>
              <w:pStyle w:val="Tabletext"/>
              <w:framePr w:hSpace="181" w:wrap="notBeside" w:vAnchor="text" w:hAnchor="text" w:xAlign="center" w:y="1"/>
              <w:ind w:right="-57"/>
              <w:jc w:val="left"/>
            </w:pPr>
            <w:r>
              <w:t>Durée d'un événement (s)</w:t>
            </w:r>
          </w:p>
        </w:tc>
        <w:tc>
          <w:tcPr>
            <w:tcW w:w="1247" w:type="dxa"/>
          </w:tcPr>
          <w:p w:rsidR="002B489A" w:rsidRDefault="004F19C4">
            <w:pPr>
              <w:pStyle w:val="Tabletext"/>
              <w:framePr w:hSpace="181" w:wrap="notBeside" w:vAnchor="text" w:hAnchor="text" w:xAlign="center" w:y="1"/>
              <w:ind w:left="-57" w:right="-57"/>
              <w:jc w:val="center"/>
            </w:pPr>
            <w:r>
              <w:t>15</w:t>
            </w:r>
          </w:p>
        </w:tc>
        <w:tc>
          <w:tcPr>
            <w:tcW w:w="1247" w:type="dxa"/>
          </w:tcPr>
          <w:p w:rsidR="002B489A" w:rsidRDefault="004F19C4">
            <w:pPr>
              <w:pStyle w:val="Tabletext"/>
              <w:framePr w:hSpace="181" w:wrap="notBeside" w:vAnchor="text" w:hAnchor="text" w:xAlign="center" w:y="1"/>
              <w:ind w:left="-57" w:right="-57"/>
              <w:jc w:val="center"/>
            </w:pPr>
            <w:r>
              <w:t>18</w:t>
            </w:r>
          </w:p>
        </w:tc>
        <w:tc>
          <w:tcPr>
            <w:tcW w:w="1331" w:type="dxa"/>
          </w:tcPr>
          <w:p w:rsidR="002B489A" w:rsidRDefault="004F19C4">
            <w:pPr>
              <w:pStyle w:val="Tabletext"/>
              <w:framePr w:hSpace="181" w:wrap="notBeside" w:vAnchor="text" w:hAnchor="text" w:xAlign="center" w:y="1"/>
              <w:ind w:left="-57" w:right="-57"/>
              <w:jc w:val="center"/>
            </w:pPr>
            <w:r>
              <w:t>2,7</w:t>
            </w:r>
          </w:p>
        </w:tc>
        <w:tc>
          <w:tcPr>
            <w:tcW w:w="1276" w:type="dxa"/>
          </w:tcPr>
          <w:p w:rsidR="002B489A" w:rsidRDefault="004F19C4">
            <w:pPr>
              <w:pStyle w:val="Tabletext"/>
              <w:framePr w:hSpace="181" w:wrap="notBeside" w:vAnchor="text" w:hAnchor="text" w:xAlign="center" w:y="1"/>
              <w:ind w:left="-57" w:right="-57"/>
              <w:jc w:val="center"/>
            </w:pPr>
            <w:r>
              <w:t>37</w:t>
            </w:r>
          </w:p>
        </w:tc>
        <w:tc>
          <w:tcPr>
            <w:tcW w:w="1276" w:type="dxa"/>
          </w:tcPr>
          <w:p w:rsidR="002B489A" w:rsidRDefault="004F19C4">
            <w:pPr>
              <w:pStyle w:val="Tabletext"/>
              <w:framePr w:hSpace="181" w:wrap="notBeside" w:vAnchor="text" w:hAnchor="text" w:xAlign="center" w:y="1"/>
              <w:ind w:left="-57" w:right="-57"/>
              <w:jc w:val="center"/>
            </w:pPr>
            <w:r>
              <w:t>6,3</w:t>
            </w:r>
          </w:p>
        </w:tc>
        <w:tc>
          <w:tcPr>
            <w:tcW w:w="1275" w:type="dxa"/>
          </w:tcPr>
          <w:p w:rsidR="002B489A" w:rsidRDefault="004F19C4">
            <w:pPr>
              <w:pStyle w:val="Tabletext"/>
              <w:framePr w:hSpace="181" w:wrap="notBeside" w:vAnchor="text" w:hAnchor="text" w:xAlign="center" w:y="1"/>
              <w:ind w:left="-57" w:right="-57"/>
              <w:jc w:val="center"/>
            </w:pPr>
            <w:r>
              <w:t>6</w:t>
            </w:r>
          </w:p>
        </w:tc>
      </w:tr>
    </w:tbl>
    <w:p w:rsidR="002B489A" w:rsidRDefault="002B489A">
      <w:pPr>
        <w:pStyle w:val="Tablefin"/>
      </w:pPr>
    </w:p>
    <w:p w:rsidR="002B489A" w:rsidRDefault="004F19C4">
      <w:r>
        <w:br w:type="page"/>
        <w:t>Il y a jusqu'à 35,3 dB (système GSO-G) au-dessus du seuil de brouillage du détecteur passif. Ils durent jusqu'à 37 s, ce qui est à comparer à la période orbitale du détecteur passif qui est de 100 min. Dans la mesure où les faisceaux d'antenne du détecteur sont activés en permanence, plusieurs lignes complètes de balayage (de 90 pixels chacune) peuvent être perdues à chaque événement; cela nous mène à environ 1</w:t>
      </w:r>
      <w:r>
        <w:rPr>
          <w:rFonts w:ascii="Tms Rmn" w:hAnsi="Tms Rmn"/>
          <w:sz w:val="12"/>
        </w:rPr>
        <w:t> </w:t>
      </w:r>
      <w:r>
        <w:t>440 pixels perdus par événement dans le cas du réseau OSG</w:t>
      </w:r>
      <w:r>
        <w:noBreakHyphen/>
        <w:t xml:space="preserve">G. Dans la mesure où le satellite d'exploration de la Terre est presque en orbite polaire, la condition requise pour le brouillage est une coïncidence dans les </w:t>
      </w:r>
      <w:r>
        <w:rPr>
          <w:rFonts w:ascii="Symbol" w:hAnsi="Symbol"/>
        </w:rPr>
        <w:t></w:t>
      </w:r>
      <w:r>
        <w:t>0,6° autour de la longitude de la station terrienne. La probabilité d'occurrence de tels évènements devrait être étudiée plus en détail, en considérant en particulier les paramètres de dérive d'orbite du détecteur passif, la densité et la latitude des stations terriennes et les critères de disponibilité des détecteurs passifs. Du fait de l'ampleur des évènements, on peut cependant douter que leur probabilité d'occurrence puisse être négligée.</w:t>
      </w:r>
    </w:p>
    <w:p w:rsidR="002B489A" w:rsidRDefault="004F19C4">
      <w:r>
        <w:t>Brouillage survenant lorsque le détecteur passif est proche du zénith de la station terrienne SFS (voir le Tableau 63).</w:t>
      </w:r>
    </w:p>
    <w:p w:rsidR="002B489A" w:rsidRDefault="002B489A"/>
    <w:p w:rsidR="002B489A" w:rsidRDefault="004F19C4">
      <w:pPr>
        <w:pStyle w:val="TableNo"/>
      </w:pPr>
      <w:r>
        <w:t>TABLEAU  63</w:t>
      </w:r>
    </w:p>
    <w:p w:rsidR="002B489A" w:rsidRDefault="004F19C4">
      <w:pPr>
        <w:pStyle w:val="Tabletitle"/>
      </w:pPr>
      <w:r>
        <w:t>Excès de puissance au-dessus du seuil de brouillage – Détecteur proche du zénith</w:t>
      </w:r>
      <w:r>
        <w:br/>
        <w:t>de la station terrienne (hypothèse de cofréquence)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2"/>
        <w:gridCol w:w="1122"/>
        <w:gridCol w:w="1121"/>
        <w:gridCol w:w="1121"/>
        <w:gridCol w:w="1121"/>
        <w:gridCol w:w="1121"/>
        <w:gridCol w:w="1121"/>
      </w:tblGrid>
      <w:tr w:rsidR="002B489A">
        <w:trPr>
          <w:cantSplit/>
        </w:trPr>
        <w:tc>
          <w:tcPr>
            <w:tcW w:w="2912" w:type="dxa"/>
            <w:vMerge w:val="restart"/>
          </w:tcPr>
          <w:p w:rsidR="002B489A" w:rsidRDefault="002B489A">
            <w:pPr>
              <w:pStyle w:val="Tabletext"/>
              <w:framePr w:hSpace="181" w:wrap="notBeside" w:vAnchor="text" w:hAnchor="text" w:xAlign="center" w:y="1"/>
              <w:jc w:val="left"/>
            </w:pPr>
          </w:p>
        </w:tc>
        <w:tc>
          <w:tcPr>
            <w:tcW w:w="6727" w:type="dxa"/>
            <w:gridSpan w:val="6"/>
          </w:tcPr>
          <w:p w:rsidR="002B489A" w:rsidRDefault="004F19C4">
            <w:pPr>
              <w:pStyle w:val="Tablehead"/>
              <w:framePr w:hSpace="181" w:wrap="notBeside" w:vAnchor="text" w:hAnchor="text" w:xAlign="center" w:y="1"/>
            </w:pPr>
            <w:r>
              <w:t xml:space="preserve">Systèmes SFS/SMS OSG </w:t>
            </w:r>
          </w:p>
        </w:tc>
      </w:tr>
      <w:tr w:rsidR="002B489A">
        <w:trPr>
          <w:cantSplit/>
        </w:trPr>
        <w:tc>
          <w:tcPr>
            <w:tcW w:w="2912" w:type="dxa"/>
            <w:vMerge/>
          </w:tcPr>
          <w:p w:rsidR="002B489A" w:rsidRDefault="002B489A">
            <w:pPr>
              <w:pStyle w:val="Tabletext"/>
              <w:framePr w:hSpace="181" w:wrap="notBeside" w:vAnchor="text" w:hAnchor="text" w:xAlign="center" w:y="1"/>
              <w:jc w:val="left"/>
            </w:pPr>
          </w:p>
        </w:tc>
        <w:tc>
          <w:tcPr>
            <w:tcW w:w="1122" w:type="dxa"/>
          </w:tcPr>
          <w:p w:rsidR="002B489A" w:rsidRDefault="004F19C4">
            <w:pPr>
              <w:pStyle w:val="Tablehead"/>
              <w:framePr w:hSpace="181" w:wrap="notBeside" w:vAnchor="text" w:hAnchor="text" w:xAlign="center" w:y="1"/>
              <w:ind w:left="-57" w:right="-57"/>
              <w:rPr>
                <w:lang w:val="en-US"/>
              </w:rPr>
            </w:pPr>
            <w:r>
              <w:rPr>
                <w:lang w:val="en-US"/>
              </w:rPr>
              <w:t>GSO-Ka-1</w:t>
            </w:r>
          </w:p>
        </w:tc>
        <w:tc>
          <w:tcPr>
            <w:tcW w:w="1121" w:type="dxa"/>
          </w:tcPr>
          <w:p w:rsidR="002B489A" w:rsidRDefault="004F19C4">
            <w:pPr>
              <w:pStyle w:val="Tablehead"/>
              <w:framePr w:hSpace="181" w:wrap="notBeside" w:vAnchor="text" w:hAnchor="text" w:xAlign="center" w:y="1"/>
              <w:ind w:left="-57" w:right="-57"/>
              <w:rPr>
                <w:lang w:val="en-US"/>
              </w:rPr>
            </w:pPr>
            <w:r>
              <w:rPr>
                <w:lang w:val="en-US"/>
              </w:rPr>
              <w:t>GSO-20</w:t>
            </w:r>
          </w:p>
        </w:tc>
        <w:tc>
          <w:tcPr>
            <w:tcW w:w="1121" w:type="dxa"/>
          </w:tcPr>
          <w:p w:rsidR="002B489A" w:rsidRDefault="004F19C4">
            <w:pPr>
              <w:pStyle w:val="Tablehead"/>
              <w:framePr w:hSpace="181" w:wrap="notBeside" w:vAnchor="text" w:hAnchor="text" w:xAlign="center" w:y="1"/>
              <w:ind w:left="-57" w:right="-57"/>
              <w:rPr>
                <w:lang w:val="en-US"/>
              </w:rPr>
            </w:pPr>
            <w:r>
              <w:rPr>
                <w:lang w:val="en-US"/>
              </w:rPr>
              <w:t>GSO-F</w:t>
            </w:r>
          </w:p>
        </w:tc>
        <w:tc>
          <w:tcPr>
            <w:tcW w:w="1121" w:type="dxa"/>
          </w:tcPr>
          <w:p w:rsidR="002B489A" w:rsidRDefault="004F19C4">
            <w:pPr>
              <w:pStyle w:val="Tablehead"/>
              <w:framePr w:hSpace="181" w:wrap="notBeside" w:vAnchor="text" w:hAnchor="text" w:xAlign="center" w:y="1"/>
              <w:ind w:left="-57" w:right="-57"/>
              <w:rPr>
                <w:lang w:val="en-US"/>
              </w:rPr>
            </w:pPr>
            <w:r>
              <w:rPr>
                <w:lang w:val="en-US"/>
              </w:rPr>
              <w:t>GSO-G</w:t>
            </w:r>
          </w:p>
        </w:tc>
        <w:tc>
          <w:tcPr>
            <w:tcW w:w="1121" w:type="dxa"/>
          </w:tcPr>
          <w:p w:rsidR="002B489A" w:rsidRDefault="004F19C4">
            <w:pPr>
              <w:pStyle w:val="Tablehead"/>
              <w:framePr w:hSpace="181" w:wrap="notBeside" w:vAnchor="text" w:hAnchor="text" w:xAlign="center" w:y="1"/>
              <w:ind w:left="-57" w:right="-57"/>
              <w:rPr>
                <w:lang w:val="en-US"/>
              </w:rPr>
            </w:pPr>
            <w:r>
              <w:rPr>
                <w:lang w:val="en-US"/>
              </w:rPr>
              <w:t>GSO-H</w:t>
            </w:r>
          </w:p>
        </w:tc>
        <w:tc>
          <w:tcPr>
            <w:tcW w:w="1121" w:type="dxa"/>
          </w:tcPr>
          <w:p w:rsidR="002B489A" w:rsidRDefault="004F19C4">
            <w:pPr>
              <w:pStyle w:val="Tablehead"/>
              <w:framePr w:hSpace="181" w:wrap="notBeside" w:vAnchor="text" w:hAnchor="text" w:xAlign="center" w:y="1"/>
              <w:ind w:left="-57" w:right="-57"/>
              <w:rPr>
                <w:lang w:val="en-US"/>
              </w:rPr>
            </w:pPr>
            <w:r>
              <w:rPr>
                <w:lang w:val="en-US"/>
              </w:rPr>
              <w:t>GSO-13</w:t>
            </w:r>
          </w:p>
        </w:tc>
      </w:tr>
      <w:tr w:rsidR="002B489A">
        <w:tc>
          <w:tcPr>
            <w:tcW w:w="2912" w:type="dxa"/>
          </w:tcPr>
          <w:p w:rsidR="002B489A" w:rsidRDefault="004F19C4">
            <w:pPr>
              <w:pStyle w:val="Tabletext"/>
              <w:framePr w:hSpace="181" w:wrap="notBeside" w:vAnchor="text" w:hAnchor="text" w:xAlign="center" w:y="1"/>
              <w:jc w:val="left"/>
            </w:pPr>
            <w:r>
              <w:t>Faisceau de nadir (dB)</w:t>
            </w:r>
          </w:p>
        </w:tc>
        <w:tc>
          <w:tcPr>
            <w:tcW w:w="1122" w:type="dxa"/>
          </w:tcPr>
          <w:p w:rsidR="002B489A" w:rsidRDefault="004F19C4">
            <w:pPr>
              <w:pStyle w:val="Tabletext"/>
              <w:framePr w:hSpace="181" w:wrap="notBeside" w:vAnchor="text" w:hAnchor="text" w:xAlign="center" w:y="1"/>
              <w:jc w:val="center"/>
            </w:pPr>
            <w:r>
              <w:t>25,9</w:t>
            </w:r>
          </w:p>
        </w:tc>
        <w:tc>
          <w:tcPr>
            <w:tcW w:w="1121" w:type="dxa"/>
          </w:tcPr>
          <w:p w:rsidR="002B489A" w:rsidRDefault="004F19C4">
            <w:pPr>
              <w:pStyle w:val="Tabletext"/>
              <w:framePr w:hSpace="181" w:wrap="notBeside" w:vAnchor="text" w:hAnchor="text" w:xAlign="center" w:y="1"/>
              <w:jc w:val="center"/>
            </w:pPr>
            <w:r>
              <w:t>27,7</w:t>
            </w:r>
          </w:p>
        </w:tc>
        <w:tc>
          <w:tcPr>
            <w:tcW w:w="1121" w:type="dxa"/>
          </w:tcPr>
          <w:p w:rsidR="002B489A" w:rsidRDefault="004F19C4">
            <w:pPr>
              <w:pStyle w:val="Tabletext"/>
              <w:framePr w:hSpace="181" w:wrap="notBeside" w:vAnchor="text" w:hAnchor="text" w:xAlign="center" w:y="1"/>
              <w:jc w:val="center"/>
            </w:pPr>
            <w:r>
              <w:t>8,7</w:t>
            </w:r>
          </w:p>
        </w:tc>
        <w:tc>
          <w:tcPr>
            <w:tcW w:w="1121" w:type="dxa"/>
          </w:tcPr>
          <w:p w:rsidR="002B489A" w:rsidRDefault="004F19C4">
            <w:pPr>
              <w:pStyle w:val="Tabletext"/>
              <w:framePr w:hSpace="181" w:wrap="notBeside" w:vAnchor="text" w:hAnchor="text" w:xAlign="center" w:y="1"/>
              <w:jc w:val="center"/>
            </w:pPr>
            <w:r>
              <w:t>34,9</w:t>
            </w:r>
          </w:p>
        </w:tc>
        <w:tc>
          <w:tcPr>
            <w:tcW w:w="1121" w:type="dxa"/>
          </w:tcPr>
          <w:p w:rsidR="002B489A" w:rsidRDefault="004F19C4">
            <w:pPr>
              <w:pStyle w:val="Tabletext"/>
              <w:framePr w:hSpace="181" w:wrap="notBeside" w:vAnchor="text" w:hAnchor="text" w:xAlign="center" w:y="1"/>
              <w:jc w:val="center"/>
            </w:pPr>
            <w:r>
              <w:t>17,1</w:t>
            </w:r>
          </w:p>
        </w:tc>
        <w:tc>
          <w:tcPr>
            <w:tcW w:w="1121" w:type="dxa"/>
          </w:tcPr>
          <w:p w:rsidR="002B489A" w:rsidRDefault="004F19C4">
            <w:pPr>
              <w:pStyle w:val="Tabletext"/>
              <w:framePr w:hSpace="181" w:wrap="notBeside" w:vAnchor="text" w:hAnchor="text" w:xAlign="center" w:y="1"/>
              <w:jc w:val="center"/>
            </w:pPr>
            <w:r>
              <w:t>13,5</w:t>
            </w:r>
          </w:p>
        </w:tc>
      </w:tr>
      <w:tr w:rsidR="002B489A">
        <w:tc>
          <w:tcPr>
            <w:tcW w:w="2912" w:type="dxa"/>
          </w:tcPr>
          <w:p w:rsidR="002B489A" w:rsidRDefault="004F19C4">
            <w:pPr>
              <w:pStyle w:val="Tabletext"/>
              <w:framePr w:hSpace="181" w:wrap="notBeside" w:vAnchor="text" w:hAnchor="text" w:xAlign="center" w:y="1"/>
              <w:jc w:val="left"/>
            </w:pPr>
            <w:r>
              <w:t xml:space="preserve">Faisceaux hors nadir de </w:t>
            </w:r>
            <w:r>
              <w:br/>
            </w:r>
            <w:r>
              <w:rPr>
                <w:rFonts w:ascii="Symbol" w:hAnsi="Symbol"/>
              </w:rPr>
              <w:sym w:font="Symbol" w:char="F0B1"/>
            </w:r>
            <w:r>
              <w:rPr>
                <w:rFonts w:ascii="Tms Rmn" w:hAnsi="Tms Rmn"/>
                <w:sz w:val="12"/>
              </w:rPr>
              <w:t> </w:t>
            </w:r>
            <w:r>
              <w:t>50° (dB)</w:t>
            </w:r>
          </w:p>
        </w:tc>
        <w:tc>
          <w:tcPr>
            <w:tcW w:w="1122" w:type="dxa"/>
          </w:tcPr>
          <w:p w:rsidR="002B489A" w:rsidRDefault="004F19C4">
            <w:pPr>
              <w:pStyle w:val="Tabletext"/>
              <w:framePr w:hSpace="181" w:wrap="notBeside" w:vAnchor="text" w:hAnchor="text" w:xAlign="center" w:y="1"/>
              <w:jc w:val="center"/>
            </w:pPr>
            <w:r>
              <w:t>22,1</w:t>
            </w:r>
          </w:p>
        </w:tc>
        <w:tc>
          <w:tcPr>
            <w:tcW w:w="1121" w:type="dxa"/>
          </w:tcPr>
          <w:p w:rsidR="002B489A" w:rsidRDefault="004F19C4">
            <w:pPr>
              <w:pStyle w:val="Tabletext"/>
              <w:framePr w:hSpace="181" w:wrap="notBeside" w:vAnchor="text" w:hAnchor="text" w:xAlign="center" w:y="1"/>
              <w:jc w:val="center"/>
            </w:pPr>
            <w:r>
              <w:t>23,86</w:t>
            </w:r>
          </w:p>
        </w:tc>
        <w:tc>
          <w:tcPr>
            <w:tcW w:w="1121" w:type="dxa"/>
          </w:tcPr>
          <w:p w:rsidR="002B489A" w:rsidRDefault="004F19C4">
            <w:pPr>
              <w:pStyle w:val="Tabletext"/>
              <w:framePr w:hSpace="181" w:wrap="notBeside" w:vAnchor="text" w:hAnchor="text" w:xAlign="center" w:y="1"/>
              <w:jc w:val="center"/>
            </w:pPr>
            <w:r>
              <w:t>4,86</w:t>
            </w:r>
          </w:p>
        </w:tc>
        <w:tc>
          <w:tcPr>
            <w:tcW w:w="1121" w:type="dxa"/>
          </w:tcPr>
          <w:p w:rsidR="002B489A" w:rsidRDefault="004F19C4">
            <w:pPr>
              <w:pStyle w:val="Tabletext"/>
              <w:framePr w:hSpace="181" w:wrap="notBeside" w:vAnchor="text" w:hAnchor="text" w:xAlign="center" w:y="1"/>
              <w:jc w:val="center"/>
            </w:pPr>
            <w:r>
              <w:t>31,06</w:t>
            </w:r>
          </w:p>
        </w:tc>
        <w:tc>
          <w:tcPr>
            <w:tcW w:w="1121" w:type="dxa"/>
          </w:tcPr>
          <w:p w:rsidR="002B489A" w:rsidRDefault="004F19C4">
            <w:pPr>
              <w:pStyle w:val="Tabletext"/>
              <w:framePr w:hSpace="181" w:wrap="notBeside" w:vAnchor="text" w:hAnchor="text" w:xAlign="center" w:y="1"/>
              <w:jc w:val="center"/>
            </w:pPr>
            <w:r>
              <w:t>13,26</w:t>
            </w:r>
          </w:p>
        </w:tc>
        <w:tc>
          <w:tcPr>
            <w:tcW w:w="1121" w:type="dxa"/>
          </w:tcPr>
          <w:p w:rsidR="002B489A" w:rsidRDefault="004F19C4">
            <w:pPr>
              <w:pStyle w:val="Tabletext"/>
              <w:framePr w:hSpace="181" w:wrap="notBeside" w:vAnchor="text" w:hAnchor="text" w:xAlign="center" w:y="1"/>
              <w:jc w:val="center"/>
            </w:pPr>
            <w:r>
              <w:t>9,7</w:t>
            </w:r>
          </w:p>
        </w:tc>
      </w:tr>
      <w:tr w:rsidR="002B489A">
        <w:tc>
          <w:tcPr>
            <w:tcW w:w="2912" w:type="dxa"/>
          </w:tcPr>
          <w:p w:rsidR="002B489A" w:rsidRDefault="004F19C4">
            <w:pPr>
              <w:pStyle w:val="Tabletext"/>
              <w:framePr w:hSpace="181" w:wrap="notBeside" w:vAnchor="text" w:hAnchor="text" w:xAlign="center" w:y="1"/>
              <w:jc w:val="left"/>
            </w:pPr>
            <w:r>
              <w:t>Zone contaminée (km)</w:t>
            </w:r>
          </w:p>
        </w:tc>
        <w:tc>
          <w:tcPr>
            <w:tcW w:w="1122" w:type="dxa"/>
          </w:tcPr>
          <w:p w:rsidR="002B489A" w:rsidRDefault="004F19C4">
            <w:pPr>
              <w:pStyle w:val="Tabletext"/>
              <w:framePr w:hSpace="181" w:wrap="notBeside" w:vAnchor="text" w:hAnchor="text" w:xAlign="center" w:y="1"/>
              <w:jc w:val="center"/>
            </w:pPr>
            <w:r>
              <w:rPr>
                <w:rFonts w:ascii="Symbol" w:hAnsi="Symbol"/>
              </w:rPr>
              <w:t></w:t>
            </w:r>
            <w:r>
              <w:t>: 78</w:t>
            </w:r>
          </w:p>
        </w:tc>
        <w:tc>
          <w:tcPr>
            <w:tcW w:w="1121" w:type="dxa"/>
          </w:tcPr>
          <w:p w:rsidR="002B489A" w:rsidRDefault="004F19C4">
            <w:pPr>
              <w:pStyle w:val="Tabletext"/>
              <w:framePr w:hSpace="181" w:wrap="notBeside" w:vAnchor="text" w:hAnchor="text" w:xAlign="center" w:y="1"/>
              <w:jc w:val="center"/>
            </w:pPr>
            <w:r>
              <w:rPr>
                <w:rFonts w:ascii="Symbol" w:hAnsi="Symbol"/>
              </w:rPr>
              <w:t></w:t>
            </w:r>
            <w:r>
              <w:t>: 94</w:t>
            </w:r>
          </w:p>
        </w:tc>
        <w:tc>
          <w:tcPr>
            <w:tcW w:w="1121" w:type="dxa"/>
          </w:tcPr>
          <w:p w:rsidR="002B489A" w:rsidRDefault="004F19C4">
            <w:pPr>
              <w:pStyle w:val="Tabletext"/>
              <w:framePr w:hSpace="181" w:wrap="notBeside" w:vAnchor="text" w:hAnchor="text" w:xAlign="center" w:y="1"/>
              <w:jc w:val="center"/>
            </w:pPr>
            <w:r>
              <w:rPr>
                <w:rFonts w:ascii="Symbol" w:hAnsi="Symbol"/>
              </w:rPr>
              <w:t></w:t>
            </w:r>
            <w:r>
              <w:t>: 23</w:t>
            </w:r>
          </w:p>
        </w:tc>
        <w:tc>
          <w:tcPr>
            <w:tcW w:w="1121" w:type="dxa"/>
          </w:tcPr>
          <w:p w:rsidR="002B489A" w:rsidRDefault="004F19C4">
            <w:pPr>
              <w:pStyle w:val="Tabletext"/>
              <w:framePr w:hSpace="181" w:wrap="notBeside" w:vAnchor="text" w:hAnchor="text" w:xAlign="center" w:y="1"/>
              <w:jc w:val="center"/>
            </w:pPr>
            <w:r>
              <w:rPr>
                <w:rFonts w:ascii="Symbol" w:hAnsi="Symbol"/>
              </w:rPr>
              <w:t></w:t>
            </w:r>
            <w:r>
              <w:t>: 191</w:t>
            </w:r>
          </w:p>
        </w:tc>
        <w:tc>
          <w:tcPr>
            <w:tcW w:w="1121" w:type="dxa"/>
          </w:tcPr>
          <w:p w:rsidR="002B489A" w:rsidRDefault="004F19C4">
            <w:pPr>
              <w:pStyle w:val="Tabletext"/>
              <w:framePr w:hSpace="181" w:wrap="notBeside" w:vAnchor="text" w:hAnchor="text" w:xAlign="center" w:y="1"/>
              <w:jc w:val="center"/>
            </w:pPr>
            <w:r>
              <w:rPr>
                <w:rFonts w:ascii="Symbol" w:hAnsi="Symbol"/>
              </w:rPr>
              <w:t></w:t>
            </w:r>
            <w:r>
              <w:t>: 34</w:t>
            </w:r>
          </w:p>
        </w:tc>
        <w:tc>
          <w:tcPr>
            <w:tcW w:w="1121" w:type="dxa"/>
          </w:tcPr>
          <w:p w:rsidR="002B489A" w:rsidRDefault="004F19C4">
            <w:pPr>
              <w:pStyle w:val="Tabletext"/>
              <w:framePr w:hSpace="181" w:wrap="notBeside" w:vAnchor="text" w:hAnchor="text" w:xAlign="center" w:y="1"/>
              <w:jc w:val="center"/>
            </w:pPr>
            <w:r>
              <w:rPr>
                <w:rFonts w:ascii="Symbol" w:hAnsi="Symbol"/>
              </w:rPr>
              <w:t></w:t>
            </w:r>
            <w:r>
              <w:t>: 27</w:t>
            </w:r>
          </w:p>
        </w:tc>
      </w:tr>
      <w:tr w:rsidR="002B489A">
        <w:tc>
          <w:tcPr>
            <w:tcW w:w="2912" w:type="dxa"/>
          </w:tcPr>
          <w:p w:rsidR="002B489A" w:rsidRDefault="004F19C4">
            <w:pPr>
              <w:pStyle w:val="Tabletext"/>
              <w:framePr w:hSpace="181" w:wrap="notBeside" w:vAnchor="text" w:hAnchor="text" w:xAlign="center" w:y="1"/>
              <w:jc w:val="left"/>
            </w:pPr>
            <w:r>
              <w:t>Pixels contaminés/événement</w:t>
            </w:r>
          </w:p>
        </w:tc>
        <w:tc>
          <w:tcPr>
            <w:tcW w:w="1122" w:type="dxa"/>
          </w:tcPr>
          <w:p w:rsidR="002B489A" w:rsidRDefault="004F19C4">
            <w:pPr>
              <w:pStyle w:val="Tabletext"/>
              <w:framePr w:hSpace="181" w:wrap="notBeside" w:vAnchor="text" w:hAnchor="text" w:xAlign="center" w:y="1"/>
              <w:jc w:val="center"/>
            </w:pPr>
            <w:r>
              <w:t>24</w:t>
            </w:r>
          </w:p>
        </w:tc>
        <w:tc>
          <w:tcPr>
            <w:tcW w:w="1121" w:type="dxa"/>
          </w:tcPr>
          <w:p w:rsidR="002B489A" w:rsidRDefault="004F19C4">
            <w:pPr>
              <w:pStyle w:val="Tabletext"/>
              <w:framePr w:hSpace="181" w:wrap="notBeside" w:vAnchor="text" w:hAnchor="text" w:xAlign="center" w:y="1"/>
              <w:jc w:val="center"/>
            </w:pPr>
            <w:r>
              <w:t>35</w:t>
            </w:r>
          </w:p>
        </w:tc>
        <w:tc>
          <w:tcPr>
            <w:tcW w:w="1121" w:type="dxa"/>
          </w:tcPr>
          <w:p w:rsidR="002B489A" w:rsidRDefault="004F19C4">
            <w:pPr>
              <w:pStyle w:val="Tabletext"/>
              <w:framePr w:hSpace="181" w:wrap="notBeside" w:vAnchor="text" w:hAnchor="text" w:xAlign="center" w:y="1"/>
              <w:jc w:val="center"/>
            </w:pPr>
            <w:r>
              <w:t>2</w:t>
            </w:r>
          </w:p>
        </w:tc>
        <w:tc>
          <w:tcPr>
            <w:tcW w:w="1121" w:type="dxa"/>
          </w:tcPr>
          <w:p w:rsidR="002B489A" w:rsidRDefault="004F19C4">
            <w:pPr>
              <w:pStyle w:val="Tabletext"/>
              <w:framePr w:hSpace="181" w:wrap="notBeside" w:vAnchor="text" w:hAnchor="text" w:xAlign="center" w:y="1"/>
              <w:jc w:val="center"/>
            </w:pPr>
            <w:r>
              <w:t>143</w:t>
            </w:r>
          </w:p>
        </w:tc>
        <w:tc>
          <w:tcPr>
            <w:tcW w:w="1121" w:type="dxa"/>
          </w:tcPr>
          <w:p w:rsidR="002B489A" w:rsidRDefault="004F19C4">
            <w:pPr>
              <w:pStyle w:val="Tabletext"/>
              <w:framePr w:hSpace="181" w:wrap="notBeside" w:vAnchor="text" w:hAnchor="text" w:xAlign="center" w:y="1"/>
              <w:jc w:val="center"/>
            </w:pPr>
            <w:r>
              <w:t>4,4</w:t>
            </w:r>
          </w:p>
        </w:tc>
        <w:tc>
          <w:tcPr>
            <w:tcW w:w="1121" w:type="dxa"/>
          </w:tcPr>
          <w:p w:rsidR="002B489A" w:rsidRDefault="004F19C4">
            <w:pPr>
              <w:pStyle w:val="Tabletext"/>
              <w:framePr w:hSpace="181" w:wrap="notBeside" w:vAnchor="text" w:hAnchor="text" w:xAlign="center" w:y="1"/>
              <w:jc w:val="center"/>
            </w:pPr>
            <w:r>
              <w:t>2,8</w:t>
            </w:r>
          </w:p>
        </w:tc>
      </w:tr>
      <w:tr w:rsidR="002B489A">
        <w:trPr>
          <w:trHeight w:val="298"/>
        </w:trPr>
        <w:tc>
          <w:tcPr>
            <w:tcW w:w="2912" w:type="dxa"/>
          </w:tcPr>
          <w:p w:rsidR="002B489A" w:rsidRDefault="004F19C4">
            <w:pPr>
              <w:pStyle w:val="Tabletext"/>
              <w:framePr w:hSpace="181" w:wrap="notBeside" w:vAnchor="text" w:hAnchor="text" w:xAlign="center" w:y="1"/>
              <w:jc w:val="left"/>
            </w:pPr>
            <w:r>
              <w:t>Durée d'un événement (s)</w:t>
            </w:r>
          </w:p>
        </w:tc>
        <w:tc>
          <w:tcPr>
            <w:tcW w:w="1122" w:type="dxa"/>
          </w:tcPr>
          <w:p w:rsidR="002B489A" w:rsidRDefault="004F19C4">
            <w:pPr>
              <w:pStyle w:val="Tabletext"/>
              <w:framePr w:hSpace="181" w:wrap="notBeside" w:vAnchor="text" w:hAnchor="text" w:xAlign="center" w:y="1"/>
              <w:jc w:val="center"/>
            </w:pPr>
            <w:r>
              <w:t>12</w:t>
            </w:r>
          </w:p>
        </w:tc>
        <w:tc>
          <w:tcPr>
            <w:tcW w:w="1121" w:type="dxa"/>
          </w:tcPr>
          <w:p w:rsidR="002B489A" w:rsidRDefault="004F19C4">
            <w:pPr>
              <w:pStyle w:val="Tabletext"/>
              <w:framePr w:hSpace="181" w:wrap="notBeside" w:vAnchor="text" w:hAnchor="text" w:xAlign="center" w:y="1"/>
              <w:jc w:val="center"/>
            </w:pPr>
            <w:r>
              <w:t>14</w:t>
            </w:r>
          </w:p>
        </w:tc>
        <w:tc>
          <w:tcPr>
            <w:tcW w:w="1121" w:type="dxa"/>
          </w:tcPr>
          <w:p w:rsidR="002B489A" w:rsidRDefault="004F19C4">
            <w:pPr>
              <w:pStyle w:val="Tabletext"/>
              <w:framePr w:hSpace="181" w:wrap="notBeside" w:vAnchor="text" w:hAnchor="text" w:xAlign="center" w:y="1"/>
              <w:jc w:val="center"/>
            </w:pPr>
            <w:r>
              <w:t>3,4</w:t>
            </w:r>
          </w:p>
        </w:tc>
        <w:tc>
          <w:tcPr>
            <w:tcW w:w="1121" w:type="dxa"/>
          </w:tcPr>
          <w:p w:rsidR="002B489A" w:rsidRDefault="004F19C4">
            <w:pPr>
              <w:pStyle w:val="Tabletext"/>
              <w:framePr w:hSpace="181" w:wrap="notBeside" w:vAnchor="text" w:hAnchor="text" w:xAlign="center" w:y="1"/>
              <w:jc w:val="center"/>
            </w:pPr>
            <w:r>
              <w:t>29</w:t>
            </w:r>
          </w:p>
        </w:tc>
        <w:tc>
          <w:tcPr>
            <w:tcW w:w="1121" w:type="dxa"/>
          </w:tcPr>
          <w:p w:rsidR="002B489A" w:rsidRDefault="004F19C4">
            <w:pPr>
              <w:pStyle w:val="Tabletext"/>
              <w:framePr w:hSpace="181" w:wrap="notBeside" w:vAnchor="text" w:hAnchor="text" w:xAlign="center" w:y="1"/>
              <w:jc w:val="center"/>
            </w:pPr>
            <w:r>
              <w:t>5</w:t>
            </w:r>
          </w:p>
        </w:tc>
        <w:tc>
          <w:tcPr>
            <w:tcW w:w="1121" w:type="dxa"/>
          </w:tcPr>
          <w:p w:rsidR="002B489A" w:rsidRDefault="004F19C4">
            <w:pPr>
              <w:pStyle w:val="Tabletext"/>
              <w:framePr w:hSpace="181" w:wrap="notBeside" w:vAnchor="text" w:hAnchor="text" w:xAlign="center" w:y="1"/>
              <w:jc w:val="center"/>
            </w:pPr>
            <w:r>
              <w:t>4</w:t>
            </w:r>
          </w:p>
        </w:tc>
      </w:tr>
    </w:tbl>
    <w:p w:rsidR="002B489A" w:rsidRDefault="002B489A">
      <w:pPr>
        <w:pStyle w:val="Tablefin"/>
        <w:rPr>
          <w:lang w:val="fr-FR"/>
        </w:rPr>
      </w:pPr>
    </w:p>
    <w:p w:rsidR="002B489A" w:rsidRDefault="002B489A"/>
    <w:p w:rsidR="002B489A" w:rsidRDefault="004F19C4">
      <w:pPr>
        <w:spacing w:line="280" w:lineRule="exact"/>
      </w:pPr>
      <w:r>
        <w:t xml:space="preserve">Il atteint 35 dB au-dessus du seuil de brouillage du détecteur. Cela est très préoccupant parce que le champ de vision à 100° du détecteur en peigne (traversant la piste) est composé d'environ 90 faisceaux d'antenne adjacents, activés en permanence, créant une zone longitudinale de </w:t>
      </w:r>
      <w:r>
        <w:rPr>
          <w:rFonts w:ascii="Symbol" w:hAnsi="Symbol"/>
        </w:rPr>
        <w:sym w:font="Symbol" w:char="F0B1"/>
      </w:r>
      <w:r>
        <w:rPr>
          <w:rFonts w:ascii="Tms Rmn" w:hAnsi="Tms Rmn"/>
          <w:sz w:val="12"/>
        </w:rPr>
        <w:t> </w:t>
      </w:r>
      <w:r>
        <w:t>10,25° autour de la position de la station terrienne, où le détecteur peut recevoir un brouillage préjudiciable dans tout faisceau d'antenne;</w:t>
      </w:r>
    </w:p>
    <w:p w:rsidR="002B489A" w:rsidRDefault="004F19C4">
      <w:r>
        <w:t>Le brouillage va donc intervenir lorsque l'une ou l'autre des conditions géométriques suivantes sont satisfaites:</w:t>
      </w:r>
    </w:p>
    <w:p w:rsidR="002B489A" w:rsidRDefault="004F19C4">
      <w:pPr>
        <w:pStyle w:val="enumlev1"/>
      </w:pPr>
      <w:r>
        <w:t>–</w:t>
      </w:r>
      <w:r>
        <w:tab/>
        <w:t>le détecteur croise la latitude de la station terrienne;</w:t>
      </w:r>
    </w:p>
    <w:p w:rsidR="002B489A" w:rsidRDefault="004F19C4">
      <w:pPr>
        <w:pStyle w:val="enumlev1"/>
      </w:pPr>
      <w:r>
        <w:t>–</w:t>
      </w:r>
      <w:r>
        <w:tab/>
        <w:t xml:space="preserve">le détecteur est à une distance longitudinale de </w:t>
      </w:r>
      <w:r>
        <w:sym w:font="Symbol" w:char="F0B1"/>
      </w:r>
      <w:r>
        <w:rPr>
          <w:rFonts w:ascii="Tms Rmn" w:hAnsi="Tms Rmn"/>
          <w:sz w:val="12"/>
        </w:rPr>
        <w:t> </w:t>
      </w:r>
      <w:r>
        <w:t>10,25° de la station terrienne.</w:t>
      </w:r>
    </w:p>
    <w:p w:rsidR="002B489A" w:rsidRDefault="004F19C4">
      <w:r>
        <w:t>Cette configuration est décrite à la Fig. 46.</w:t>
      </w:r>
    </w:p>
    <w:p w:rsidR="002B489A" w:rsidRDefault="004F19C4">
      <w:r>
        <w:t xml:space="preserve">En considérant que la distance longitudinale entre deux orbites successives est d'environ 25° à l'équateur, la conséquence est que le fonctionnement d'un détecteur passif sera grevé par un événement de brouillage environ deux fois par jour de la part d'une seule station terrienne, en </w:t>
      </w:r>
      <w:r>
        <w:br w:type="page"/>
        <w:t>considérant les trajets orbitaux ascendant et descendant. La probabilité est de 100%. Le nombre d'évènements augmente avec la latitude de la station terrienne, alors que la distance entre les orbites successives décroît avec le cosinus de la latitude. Il est directement proportionnel au nombre des stations terriennes.</w:t>
      </w:r>
    </w:p>
    <w:p w:rsidR="002B489A" w:rsidRDefault="002B489A"/>
    <w:p w:rsidR="002B489A" w:rsidRDefault="0006728D">
      <w:pPr>
        <w:pStyle w:val="FigureNo"/>
      </w:pPr>
      <w:r>
        <w:rPr>
          <w:noProof/>
          <w:lang w:val="fr-CH" w:eastAsia="fr-CH"/>
        </w:rPr>
        <w:drawing>
          <wp:inline distT="0" distB="0" distL="0" distR="0">
            <wp:extent cx="4610100" cy="42767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10100" cy="4276725"/>
                    </a:xfrm>
                    <a:prstGeom prst="rect">
                      <a:avLst/>
                    </a:prstGeom>
                    <a:noFill/>
                    <a:ln>
                      <a:noFill/>
                    </a:ln>
                  </pic:spPr>
                </pic:pic>
              </a:graphicData>
            </a:graphic>
          </wp:inline>
        </w:drawing>
      </w:r>
    </w:p>
    <w:p w:rsidR="002B489A" w:rsidRDefault="002B489A"/>
    <w:p w:rsidR="002B489A" w:rsidRDefault="002B489A"/>
    <w:p w:rsidR="002B489A" w:rsidRDefault="004F19C4">
      <w:r>
        <w:t>Les principales caractéristiques de chaque événement de brouillage sont les suivantes, dans le cas d'une station terrienne SFS GSO-G:</w:t>
      </w:r>
    </w:p>
    <w:p w:rsidR="002B489A" w:rsidRDefault="004F19C4">
      <w:pPr>
        <w:pStyle w:val="enumlev1"/>
      </w:pPr>
      <w:r>
        <w:t>–</w:t>
      </w:r>
      <w:r>
        <w:tab/>
        <w:t>la durée est d'environ 29 s;</w:t>
      </w:r>
    </w:p>
    <w:p w:rsidR="002B489A" w:rsidRDefault="004F19C4">
      <w:pPr>
        <w:pStyle w:val="enumlev1"/>
      </w:pPr>
      <w:r>
        <w:t>–</w:t>
      </w:r>
      <w:r>
        <w:tab/>
        <w:t>une zone circulaire de la surface de la Terre d'environ 191 km de diamètre autour de la position de la station terrienne est contaminée par le brouillage préjudiciable;</w:t>
      </w:r>
    </w:p>
    <w:p w:rsidR="002B489A" w:rsidRDefault="004F19C4">
      <w:pPr>
        <w:pStyle w:val="enumlev1"/>
      </w:pPr>
      <w:r>
        <w:t>–</w:t>
      </w:r>
      <w:r>
        <w:tab/>
        <w:t>cette zone de 28</w:t>
      </w:r>
      <w:r>
        <w:rPr>
          <w:rFonts w:ascii="Tms Rmn" w:hAnsi="Tms Rmn"/>
          <w:sz w:val="12"/>
        </w:rPr>
        <w:t> </w:t>
      </w:r>
      <w:r>
        <w:t>600 km</w:t>
      </w:r>
      <w:r>
        <w:rPr>
          <w:vertAlign w:val="superscript"/>
        </w:rPr>
        <w:t>2</w:t>
      </w:r>
      <w:r>
        <w:t>, correspondant à 140 pixels, est à comparer à la zone de service de référence du détecteur de 2</w:t>
      </w:r>
      <w:r>
        <w:rPr>
          <w:rFonts w:ascii="Tms Rmn" w:hAnsi="Tms Rmn"/>
          <w:sz w:val="12"/>
        </w:rPr>
        <w:t> </w:t>
      </w:r>
      <w:r>
        <w:t>000</w:t>
      </w:r>
      <w:r>
        <w:rPr>
          <w:rFonts w:ascii="Tms Rmn" w:hAnsi="Tms Rmn"/>
          <w:sz w:val="12"/>
        </w:rPr>
        <w:t> </w:t>
      </w:r>
      <w:r>
        <w:t>000 km</w:t>
      </w:r>
      <w:r>
        <w:rPr>
          <w:vertAlign w:val="superscript"/>
        </w:rPr>
        <w:t>2</w:t>
      </w:r>
      <w:r>
        <w:t xml:space="preserve"> qui est décrite dans les Recommandations UIT</w:t>
      </w:r>
      <w:r>
        <w:noBreakHyphen/>
        <w:t>R </w:t>
      </w:r>
      <w:r>
        <w:rPr>
          <w:bCs/>
        </w:rPr>
        <w:t>SA.1028</w:t>
      </w:r>
      <w:r>
        <w:t xml:space="preserve"> et UIT-R </w:t>
      </w:r>
      <w:r>
        <w:rPr>
          <w:bCs/>
        </w:rPr>
        <w:t>SA.1029;</w:t>
      </w:r>
    </w:p>
    <w:p w:rsidR="002B489A" w:rsidRDefault="004F19C4">
      <w:pPr>
        <w:pStyle w:val="enumlev1"/>
      </w:pPr>
      <w:r>
        <w:t>–</w:t>
      </w:r>
      <w:r>
        <w:tab/>
        <w:t>le critère de non-disponibilité de 0,01 % est largement dépassé dans le voisinage des stations terriennes.</w:t>
      </w:r>
    </w:p>
    <w:p w:rsidR="002B489A" w:rsidRDefault="004F19C4">
      <w:r>
        <w:t>Noter que l'excès de puissance peut dépasser 100 dB dans le cas de stations terriennes situées près de l'équateur (coïncidences de lobe principal à lobe principal). A côté de la perte massive de données, cela peut causer des dommages aux récepteurs du détecteur passif.</w:t>
      </w:r>
    </w:p>
    <w:p w:rsidR="002B489A" w:rsidRDefault="004F19C4">
      <w:r>
        <w:br w:type="page"/>
        <w:t>Brouillage provenant de stations terriennes SFS non OSG (voir le Tableau 64).</w:t>
      </w:r>
    </w:p>
    <w:p w:rsidR="002B489A" w:rsidRDefault="004F19C4">
      <w:pPr>
        <w:pStyle w:val="TableNo"/>
      </w:pPr>
      <w:r>
        <w:t>TABLEAU  64</w:t>
      </w:r>
    </w:p>
    <w:p w:rsidR="002B489A" w:rsidRDefault="004F19C4">
      <w:pPr>
        <w:pStyle w:val="Tabletitle"/>
      </w:pPr>
      <w:r>
        <w:t>Excédent de puissance au-dessus du seuil de brouillage (hypothèse de cofréquence)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68"/>
        <w:gridCol w:w="1457"/>
        <w:gridCol w:w="1457"/>
        <w:gridCol w:w="1457"/>
      </w:tblGrid>
      <w:tr w:rsidR="002B489A">
        <w:trPr>
          <w:cantSplit/>
        </w:trPr>
        <w:tc>
          <w:tcPr>
            <w:tcW w:w="5335" w:type="dxa"/>
          </w:tcPr>
          <w:p w:rsidR="002B489A" w:rsidRDefault="002B489A">
            <w:pPr>
              <w:pStyle w:val="Tablehead"/>
              <w:framePr w:hSpace="181" w:wrap="notBeside" w:vAnchor="text" w:hAnchor="text" w:xAlign="center" w:y="1"/>
            </w:pPr>
          </w:p>
        </w:tc>
        <w:tc>
          <w:tcPr>
            <w:tcW w:w="4304" w:type="dxa"/>
            <w:gridSpan w:val="3"/>
          </w:tcPr>
          <w:p w:rsidR="002B489A" w:rsidRDefault="004F19C4">
            <w:pPr>
              <w:pStyle w:val="Tablehead"/>
              <w:framePr w:hSpace="181" w:wrap="notBeside" w:vAnchor="text" w:hAnchor="text" w:xAlign="center" w:y="1"/>
            </w:pPr>
            <w:r>
              <w:t>Systèmes SFS/SMS non OSG</w:t>
            </w:r>
          </w:p>
        </w:tc>
      </w:tr>
      <w:tr w:rsidR="002B489A">
        <w:tc>
          <w:tcPr>
            <w:tcW w:w="5335" w:type="dxa"/>
          </w:tcPr>
          <w:p w:rsidR="002B489A" w:rsidRDefault="004F19C4">
            <w:pPr>
              <w:pStyle w:val="Tablehead"/>
              <w:framePr w:hSpace="181" w:wrap="notBeside" w:vAnchor="text" w:hAnchor="text" w:xAlign="center" w:y="1"/>
              <w:jc w:val="left"/>
            </w:pPr>
            <w:r>
              <w:t>Détecteur proche du zénith de la station terrienne</w:t>
            </w:r>
          </w:p>
        </w:tc>
        <w:tc>
          <w:tcPr>
            <w:tcW w:w="1474" w:type="dxa"/>
          </w:tcPr>
          <w:p w:rsidR="002B489A" w:rsidRDefault="004F19C4">
            <w:pPr>
              <w:pStyle w:val="Tablehead"/>
              <w:framePr w:hSpace="181" w:wrap="notBeside" w:vAnchor="text" w:hAnchor="text" w:xAlign="center" w:y="1"/>
              <w:rPr>
                <w:lang w:val="es-ES"/>
              </w:rPr>
            </w:pPr>
            <w:r>
              <w:rPr>
                <w:lang w:val="es-ES"/>
              </w:rPr>
              <w:t>LEO-A</w:t>
            </w:r>
          </w:p>
        </w:tc>
        <w:tc>
          <w:tcPr>
            <w:tcW w:w="1474" w:type="dxa"/>
          </w:tcPr>
          <w:p w:rsidR="002B489A" w:rsidRDefault="004F19C4">
            <w:pPr>
              <w:pStyle w:val="Tablehead"/>
              <w:framePr w:hSpace="181" w:wrap="notBeside" w:vAnchor="text" w:hAnchor="text" w:xAlign="center" w:y="1"/>
              <w:rPr>
                <w:lang w:val="es-ES"/>
              </w:rPr>
            </w:pPr>
            <w:r>
              <w:rPr>
                <w:lang w:val="es-ES"/>
              </w:rPr>
              <w:t>LEO-B</w:t>
            </w:r>
          </w:p>
        </w:tc>
        <w:tc>
          <w:tcPr>
            <w:tcW w:w="1474" w:type="dxa"/>
          </w:tcPr>
          <w:p w:rsidR="002B489A" w:rsidRDefault="004F19C4">
            <w:pPr>
              <w:pStyle w:val="Tablehead"/>
              <w:framePr w:hSpace="181" w:wrap="notBeside" w:vAnchor="text" w:hAnchor="text" w:xAlign="center" w:y="1"/>
            </w:pPr>
            <w:r>
              <w:t>LEOSAT-1</w:t>
            </w:r>
          </w:p>
        </w:tc>
      </w:tr>
      <w:tr w:rsidR="002B489A">
        <w:tc>
          <w:tcPr>
            <w:tcW w:w="5335" w:type="dxa"/>
          </w:tcPr>
          <w:p w:rsidR="002B489A" w:rsidRDefault="004F19C4">
            <w:pPr>
              <w:pStyle w:val="Tabletext"/>
              <w:framePr w:hSpace="181" w:wrap="notBeside" w:vAnchor="text" w:hAnchor="text" w:xAlign="center" w:y="1"/>
              <w:jc w:val="left"/>
            </w:pPr>
            <w:r>
              <w:t>Excédent minimum, faisceau de nadir du détecteur (dB)</w:t>
            </w:r>
          </w:p>
        </w:tc>
        <w:tc>
          <w:tcPr>
            <w:tcW w:w="1474" w:type="dxa"/>
          </w:tcPr>
          <w:p w:rsidR="002B489A" w:rsidRDefault="004F19C4">
            <w:pPr>
              <w:pStyle w:val="Tabletext"/>
              <w:framePr w:hSpace="181" w:wrap="notBeside" w:vAnchor="text" w:hAnchor="text" w:xAlign="center" w:y="1"/>
              <w:jc w:val="center"/>
            </w:pPr>
            <w:r>
              <w:t>12,7</w:t>
            </w:r>
          </w:p>
        </w:tc>
        <w:tc>
          <w:tcPr>
            <w:tcW w:w="1474" w:type="dxa"/>
          </w:tcPr>
          <w:p w:rsidR="002B489A" w:rsidRDefault="004F19C4">
            <w:pPr>
              <w:pStyle w:val="Tabletext"/>
              <w:framePr w:hSpace="181" w:wrap="notBeside" w:vAnchor="text" w:hAnchor="text" w:xAlign="center" w:y="1"/>
              <w:jc w:val="center"/>
            </w:pPr>
            <w:r>
              <w:t>4,5</w:t>
            </w:r>
          </w:p>
        </w:tc>
        <w:tc>
          <w:tcPr>
            <w:tcW w:w="1474" w:type="dxa"/>
          </w:tcPr>
          <w:p w:rsidR="002B489A" w:rsidRDefault="004F19C4">
            <w:pPr>
              <w:pStyle w:val="Tabletext"/>
              <w:framePr w:hSpace="181" w:wrap="notBeside" w:vAnchor="text" w:hAnchor="text" w:xAlign="center" w:y="1"/>
              <w:jc w:val="center"/>
            </w:pPr>
            <w:r>
              <w:t>12</w:t>
            </w:r>
          </w:p>
        </w:tc>
      </w:tr>
      <w:tr w:rsidR="002B489A">
        <w:tc>
          <w:tcPr>
            <w:tcW w:w="5335" w:type="dxa"/>
          </w:tcPr>
          <w:p w:rsidR="002B489A" w:rsidRDefault="004F19C4">
            <w:pPr>
              <w:pStyle w:val="Tabletext"/>
              <w:framePr w:hSpace="181" w:wrap="notBeside" w:vAnchor="text" w:hAnchor="text" w:xAlign="center" w:y="1"/>
              <w:jc w:val="left"/>
            </w:pPr>
            <w:r>
              <w:t>Excédent maximum, faisceau de nadir du détecteur (dB)</w:t>
            </w:r>
          </w:p>
        </w:tc>
        <w:tc>
          <w:tcPr>
            <w:tcW w:w="1474" w:type="dxa"/>
          </w:tcPr>
          <w:p w:rsidR="002B489A" w:rsidRDefault="004F19C4">
            <w:pPr>
              <w:pStyle w:val="Tabletext"/>
              <w:framePr w:hSpace="181" w:wrap="notBeside" w:vAnchor="text" w:hAnchor="text" w:xAlign="center" w:y="1"/>
              <w:jc w:val="center"/>
            </w:pPr>
            <w:r>
              <w:t>80</w:t>
            </w:r>
          </w:p>
        </w:tc>
        <w:tc>
          <w:tcPr>
            <w:tcW w:w="1474" w:type="dxa"/>
          </w:tcPr>
          <w:p w:rsidR="002B489A" w:rsidRDefault="004F19C4">
            <w:pPr>
              <w:pStyle w:val="Tabletext"/>
              <w:framePr w:hSpace="181" w:wrap="notBeside" w:vAnchor="text" w:hAnchor="text" w:xAlign="center" w:y="1"/>
              <w:jc w:val="center"/>
            </w:pPr>
            <w:r>
              <w:t>70</w:t>
            </w:r>
          </w:p>
        </w:tc>
        <w:tc>
          <w:tcPr>
            <w:tcW w:w="1474" w:type="dxa"/>
          </w:tcPr>
          <w:p w:rsidR="002B489A" w:rsidRDefault="004F19C4">
            <w:pPr>
              <w:pStyle w:val="Tabletext"/>
              <w:framePr w:hSpace="181" w:wrap="notBeside" w:vAnchor="text" w:hAnchor="text" w:xAlign="center" w:y="1"/>
              <w:jc w:val="center"/>
            </w:pPr>
            <w:r>
              <w:t>80</w:t>
            </w:r>
          </w:p>
        </w:tc>
      </w:tr>
      <w:tr w:rsidR="002B489A">
        <w:tc>
          <w:tcPr>
            <w:tcW w:w="5335" w:type="dxa"/>
          </w:tcPr>
          <w:p w:rsidR="002B489A" w:rsidRDefault="004F19C4">
            <w:pPr>
              <w:pStyle w:val="Tabletext"/>
              <w:framePr w:hSpace="181" w:wrap="notBeside" w:vAnchor="text" w:hAnchor="text" w:xAlign="center" w:y="1"/>
              <w:jc w:val="left"/>
            </w:pPr>
            <w:r>
              <w:t xml:space="preserve">Excédent minimum, faisceaux hors nadir de </w:t>
            </w:r>
            <w:r>
              <w:sym w:font="Symbol" w:char="F0B1"/>
            </w:r>
            <w:r>
              <w:t xml:space="preserve"> 50° (dB)</w:t>
            </w:r>
          </w:p>
        </w:tc>
        <w:tc>
          <w:tcPr>
            <w:tcW w:w="1474" w:type="dxa"/>
          </w:tcPr>
          <w:p w:rsidR="002B489A" w:rsidRDefault="004F19C4">
            <w:pPr>
              <w:pStyle w:val="Tabletext"/>
              <w:framePr w:hSpace="181" w:wrap="notBeside" w:vAnchor="text" w:hAnchor="text" w:xAlign="center" w:y="1"/>
              <w:jc w:val="center"/>
            </w:pPr>
            <w:r>
              <w:t>6,7</w:t>
            </w:r>
          </w:p>
        </w:tc>
        <w:tc>
          <w:tcPr>
            <w:tcW w:w="1474" w:type="dxa"/>
          </w:tcPr>
          <w:p w:rsidR="002B489A" w:rsidRDefault="004F19C4">
            <w:pPr>
              <w:pStyle w:val="Tabletext"/>
              <w:framePr w:hSpace="181" w:wrap="notBeside" w:vAnchor="text" w:hAnchor="text" w:xAlign="center" w:y="1"/>
              <w:jc w:val="center"/>
            </w:pPr>
            <w:r>
              <w:t>aucun</w:t>
            </w:r>
          </w:p>
        </w:tc>
        <w:tc>
          <w:tcPr>
            <w:tcW w:w="1474" w:type="dxa"/>
          </w:tcPr>
          <w:p w:rsidR="002B489A" w:rsidRDefault="004F19C4">
            <w:pPr>
              <w:pStyle w:val="Tabletext"/>
              <w:framePr w:hSpace="181" w:wrap="notBeside" w:vAnchor="text" w:hAnchor="text" w:xAlign="center" w:y="1"/>
              <w:jc w:val="center"/>
            </w:pPr>
            <w:r>
              <w:t>6</w:t>
            </w:r>
          </w:p>
        </w:tc>
      </w:tr>
    </w:tbl>
    <w:p w:rsidR="002B489A" w:rsidRDefault="002B489A">
      <w:pPr>
        <w:pStyle w:val="Tablefin"/>
        <w:spacing w:before="0"/>
      </w:pPr>
    </w:p>
    <w:p w:rsidR="002B489A" w:rsidRDefault="004F19C4">
      <w:pPr>
        <w:widowControl w:val="0"/>
      </w:pPr>
      <w:r>
        <w:t>Comme dans le cas SFS OSG, l'événement «proche du zénith» (voir la Fig. 47) survient deux fois par jour à toutes les stations terriennes avec en plus, la possibilité d'une voie de brouillage de lobe principal à lobe principal pour laquelle une analyse dynamique est nécessaire.</w:t>
      </w:r>
    </w:p>
    <w:p w:rsidR="002B489A" w:rsidRDefault="004F19C4">
      <w:r>
        <w:t>Le Tableau 64 récapitule les résultats, en montrant le cas «minimum» où survient le brouillage de lobe principal à lobe distant (la station terrienne), et le cas «maximum» où la coïncidence de lobe principal à lobe principal est établie.</w:t>
      </w:r>
    </w:p>
    <w:p w:rsidR="002B489A" w:rsidRDefault="004F19C4">
      <w:r>
        <w:t>On voit clairement que si le cas «minimum» n'induit que des brouillages relativement mineurs similaires aux cas SFS OSG les plus faibles, la survenance possible de «pointes de dépassement» est un sérieux sujet de préoccupation avec les systèmes qui ont une grande largeur de bande nécessaire. Des études ultérieures du cas «maximum» conduiront vraisemblablement à une situation difficile dans laquelle l'application de gabarits hors bande pourrait être insuffisante.</w:t>
      </w:r>
    </w:p>
    <w:p w:rsidR="002B489A" w:rsidRDefault="004F19C4">
      <w:pPr>
        <w:pStyle w:val="Heading2"/>
      </w:pPr>
      <w:r>
        <w:t>4.4</w:t>
      </w:r>
      <w:r>
        <w:tab/>
        <w:t>Analyse de brouillage dynamique</w:t>
      </w:r>
    </w:p>
    <w:p w:rsidR="002B489A" w:rsidRDefault="004F19C4">
      <w:r>
        <w:t>En plus des cas statique et semi-statique ci-dessus, une analyse dynamique est nécessaire afin de prendre en compte le pourcentage du temps pendant lequel intervient le brouillage. Comme indiqué ci-dessus, le seuil de –163 dBW ne doit pas être dépassé de plus de 0,01% du temps dans une largeur de bande de 100 MHz.</w:t>
      </w:r>
    </w:p>
    <w:p w:rsidR="002B489A" w:rsidRDefault="004F19C4">
      <w:r>
        <w:t>On a fait des simulations pour déterminer la probabilité de brouillage en utilisant un incrément de temps de 5 s afin d'obtenir des résultats précis. Les simulations sont arrêtées lorsque la fonction de distribution cumulative devient stable. De plus, on a noté que toutes les simulations présentées ci</w:t>
      </w:r>
      <w:r>
        <w:noBreakHyphen/>
        <w:t>dessous ne traitent que du satellite à sondeur de nadir «en peigne» parce que les cas statique et semi-statique ci-dessus ont montré qu'il s'agit du cas le plus défavorable.</w:t>
      </w:r>
    </w:p>
    <w:p w:rsidR="002B489A" w:rsidRDefault="004F19C4">
      <w:pPr>
        <w:pStyle w:val="Heading3"/>
      </w:pPr>
      <w:r>
        <w:t>4.4.1</w:t>
      </w:r>
      <w:r>
        <w:tab/>
        <w:t>Modélisation de l'antenne en peigne</w:t>
      </w:r>
    </w:p>
    <w:p w:rsidR="002B489A" w:rsidRDefault="004F19C4">
      <w:r>
        <w:t xml:space="preserve">Comme expliqué ci-dessus, l'antenne en peigne est capable de voir une ligne complète de pixels situés autour du nadir à </w:t>
      </w:r>
      <w:r>
        <w:sym w:font="Symbol" w:char="F0B1"/>
      </w:r>
      <w:r>
        <w:t xml:space="preserve"> 50° pour l'azimut, et dans les </w:t>
      </w:r>
      <w:r>
        <w:rPr>
          <w:rFonts w:ascii="Symbol" w:hAnsi="Symbol"/>
        </w:rPr>
        <w:sym w:font="Symbol" w:char="F0B1"/>
      </w:r>
      <w:r>
        <w:rPr>
          <w:rFonts w:ascii="Tms Rmn" w:hAnsi="Tms Rmn"/>
          <w:sz w:val="12"/>
        </w:rPr>
        <w:t> </w:t>
      </w:r>
      <w:r>
        <w:t>0,55° pour l'élévation. Le gain d'antenne maximum est de 45 dBi, et, comme il est habituel pour les antennes de radiomètre, il y a une forte décroissance du niveau du lobe latéral de –12 dBi. La Fig. 47 suivante montre le diagramme d'antenne selon l'angle hors axe de l'azimut.</w:t>
      </w:r>
    </w:p>
    <w:p w:rsidR="002B489A" w:rsidRDefault="004F19C4">
      <w:pPr>
        <w:pStyle w:val="FigureNo"/>
      </w:pPr>
      <w:r>
        <w:br w:type="page"/>
      </w:r>
      <w:r>
        <w:object w:dxaOrig="6855" w:dyaOrig="3879">
          <v:shape id="_x0000_i1053" type="#_x0000_t75" style="width:343pt;height:194.5pt" o:ole="">
            <v:imagedata r:id="rId94" o:title=""/>
          </v:shape>
          <o:OLEObject Type="Embed" ProgID="Designer.Drawing.7" ShapeID="_x0000_i1053" DrawAspect="Content" ObjectID="_1649163299" r:id="rId95"/>
        </w:object>
      </w:r>
    </w:p>
    <w:p w:rsidR="002B489A" w:rsidRDefault="004F19C4">
      <w:pPr>
        <w:pStyle w:val="Heading3"/>
      </w:pPr>
      <w:r>
        <w:t>4.4.2</w:t>
      </w:r>
      <w:r>
        <w:tab/>
        <w:t>Calculs dynamiques avec des systèmes OSG</w:t>
      </w:r>
    </w:p>
    <w:p w:rsidR="002B489A" w:rsidRDefault="004F19C4">
      <w:pPr>
        <w:pStyle w:val="TableNo"/>
      </w:pPr>
      <w:r>
        <w:t>TABLEAU  65</w:t>
      </w:r>
    </w:p>
    <w:p w:rsidR="002B489A" w:rsidRDefault="004F19C4">
      <w:pPr>
        <w:pStyle w:val="Tabletitle"/>
      </w:pPr>
      <w:r>
        <w:t xml:space="preserve">Analyse dynamique entre système GSO-20 et SETS avec une seule station </w:t>
      </w:r>
      <w:r>
        <w:br/>
        <w:t>terrienne fonctionnant sur le site N0, E0</w:t>
      </w:r>
    </w:p>
    <w:tbl>
      <w:tblPr>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381"/>
        <w:gridCol w:w="877"/>
        <w:gridCol w:w="877"/>
        <w:gridCol w:w="876"/>
        <w:gridCol w:w="876"/>
        <w:gridCol w:w="876"/>
        <w:gridCol w:w="876"/>
      </w:tblGrid>
      <w:tr w:rsidR="002B489A">
        <w:tc>
          <w:tcPr>
            <w:tcW w:w="4253" w:type="dxa"/>
            <w:vAlign w:val="center"/>
          </w:tcPr>
          <w:p w:rsidR="002B489A" w:rsidRDefault="004F19C4">
            <w:pPr>
              <w:pStyle w:val="Tabletext"/>
              <w:framePr w:hSpace="181" w:wrap="notBeside" w:vAnchor="text" w:hAnchor="text" w:xAlign="center" w:y="1"/>
              <w:jc w:val="left"/>
            </w:pPr>
            <w:r>
              <w:t>Distribution cumulative (</w:t>
            </w:r>
            <w:r>
              <w:rPr>
                <w:rFonts w:ascii="Symbol" w:hAnsi="Symbol"/>
              </w:rPr>
              <w:t></w:t>
            </w:r>
            <w:r>
              <w:t>)</w:t>
            </w:r>
          </w:p>
        </w:tc>
        <w:tc>
          <w:tcPr>
            <w:tcW w:w="851" w:type="dxa"/>
            <w:vAlign w:val="center"/>
          </w:tcPr>
          <w:p w:rsidR="002B489A" w:rsidRDefault="004F19C4">
            <w:pPr>
              <w:pStyle w:val="Tabletext"/>
              <w:framePr w:hSpace="181" w:wrap="notBeside" w:vAnchor="text" w:hAnchor="text" w:xAlign="center" w:y="1"/>
              <w:jc w:val="center"/>
            </w:pPr>
            <w:r>
              <w:t>4,2</w:t>
            </w:r>
          </w:p>
        </w:tc>
        <w:tc>
          <w:tcPr>
            <w:tcW w:w="851" w:type="dxa"/>
            <w:vAlign w:val="center"/>
          </w:tcPr>
          <w:p w:rsidR="002B489A" w:rsidRDefault="004F19C4">
            <w:pPr>
              <w:pStyle w:val="Tabletext"/>
              <w:framePr w:hSpace="181" w:wrap="notBeside" w:vAnchor="text" w:hAnchor="text" w:xAlign="center" w:y="1"/>
              <w:jc w:val="center"/>
            </w:pPr>
            <w:r>
              <w:t>1</w:t>
            </w:r>
          </w:p>
        </w:tc>
        <w:tc>
          <w:tcPr>
            <w:tcW w:w="851" w:type="dxa"/>
            <w:vAlign w:val="center"/>
          </w:tcPr>
          <w:p w:rsidR="002B489A" w:rsidRDefault="004F19C4">
            <w:pPr>
              <w:pStyle w:val="Tabletext"/>
              <w:framePr w:hSpace="181" w:wrap="notBeside" w:vAnchor="text" w:hAnchor="text" w:xAlign="center" w:y="1"/>
              <w:jc w:val="center"/>
            </w:pPr>
            <w:r>
              <w:t>0,1</w:t>
            </w:r>
          </w:p>
        </w:tc>
        <w:tc>
          <w:tcPr>
            <w:tcW w:w="851" w:type="dxa"/>
            <w:vAlign w:val="center"/>
          </w:tcPr>
          <w:p w:rsidR="002B489A" w:rsidRDefault="004F19C4">
            <w:pPr>
              <w:pStyle w:val="Tabletext"/>
              <w:framePr w:hSpace="181" w:wrap="notBeside" w:vAnchor="text" w:hAnchor="text" w:xAlign="center" w:y="1"/>
              <w:jc w:val="center"/>
            </w:pPr>
            <w:r>
              <w:t>0,08</w:t>
            </w:r>
          </w:p>
        </w:tc>
        <w:tc>
          <w:tcPr>
            <w:tcW w:w="851" w:type="dxa"/>
            <w:vAlign w:val="center"/>
          </w:tcPr>
          <w:p w:rsidR="002B489A" w:rsidRDefault="004F19C4">
            <w:pPr>
              <w:pStyle w:val="Tabletext"/>
              <w:framePr w:hSpace="181" w:wrap="notBeside" w:vAnchor="text" w:hAnchor="text" w:xAlign="center" w:y="1"/>
              <w:jc w:val="center"/>
            </w:pPr>
            <w:r>
              <w:t>0,01</w:t>
            </w:r>
          </w:p>
        </w:tc>
        <w:tc>
          <w:tcPr>
            <w:tcW w:w="851" w:type="dxa"/>
            <w:vAlign w:val="center"/>
          </w:tcPr>
          <w:p w:rsidR="002B489A" w:rsidRDefault="004F19C4">
            <w:pPr>
              <w:pStyle w:val="Tabletext"/>
              <w:framePr w:hSpace="181" w:wrap="notBeside" w:vAnchor="text" w:hAnchor="text" w:xAlign="center" w:y="1"/>
              <w:jc w:val="center"/>
            </w:pPr>
            <w:r>
              <w:t>0,003</w:t>
            </w:r>
          </w:p>
        </w:tc>
      </w:tr>
      <w:tr w:rsidR="002B489A">
        <w:tc>
          <w:tcPr>
            <w:tcW w:w="4253" w:type="dxa"/>
            <w:vAlign w:val="center"/>
          </w:tcPr>
          <w:p w:rsidR="002B489A" w:rsidRDefault="004F19C4">
            <w:pPr>
              <w:pStyle w:val="Tabletext"/>
              <w:framePr w:hSpace="181" w:wrap="notBeside" w:vAnchor="text" w:hAnchor="text" w:xAlign="center" w:y="1"/>
              <w:jc w:val="left"/>
            </w:pPr>
            <w:r>
              <w:t>Sondeur en peigne: puissance brouilleuse correspondante reçue par le SETS (dBW) (largeur de bande de 500 MHz)</w:t>
            </w:r>
          </w:p>
        </w:tc>
        <w:tc>
          <w:tcPr>
            <w:tcW w:w="851" w:type="dxa"/>
            <w:vAlign w:val="center"/>
          </w:tcPr>
          <w:p w:rsidR="002B489A" w:rsidRDefault="004F19C4">
            <w:pPr>
              <w:pStyle w:val="Tabletext"/>
              <w:framePr w:hSpace="181" w:wrap="notBeside" w:vAnchor="text" w:hAnchor="text" w:xAlign="center" w:y="1"/>
              <w:jc w:val="center"/>
            </w:pPr>
            <w:r>
              <w:t>–210</w:t>
            </w:r>
          </w:p>
        </w:tc>
        <w:tc>
          <w:tcPr>
            <w:tcW w:w="851" w:type="dxa"/>
            <w:vAlign w:val="center"/>
          </w:tcPr>
          <w:p w:rsidR="002B489A" w:rsidRDefault="004F19C4">
            <w:pPr>
              <w:pStyle w:val="Tabletext"/>
              <w:framePr w:hSpace="181" w:wrap="notBeside" w:vAnchor="text" w:hAnchor="text" w:xAlign="center" w:y="1"/>
              <w:jc w:val="center"/>
            </w:pPr>
            <w:r>
              <w:t>–193</w:t>
            </w:r>
          </w:p>
        </w:tc>
        <w:tc>
          <w:tcPr>
            <w:tcW w:w="851" w:type="dxa"/>
            <w:vAlign w:val="center"/>
          </w:tcPr>
          <w:p w:rsidR="002B489A" w:rsidRDefault="004F19C4">
            <w:pPr>
              <w:pStyle w:val="Tabletext"/>
              <w:framePr w:hSpace="181" w:wrap="notBeside" w:vAnchor="text" w:hAnchor="text" w:xAlign="center" w:y="1"/>
              <w:jc w:val="center"/>
            </w:pPr>
            <w:r>
              <w:t>–175</w:t>
            </w:r>
          </w:p>
        </w:tc>
        <w:tc>
          <w:tcPr>
            <w:tcW w:w="851" w:type="dxa"/>
            <w:vAlign w:val="center"/>
          </w:tcPr>
          <w:p w:rsidR="002B489A" w:rsidRDefault="004F19C4">
            <w:pPr>
              <w:pStyle w:val="Tabletext"/>
              <w:framePr w:hSpace="181" w:wrap="notBeside" w:vAnchor="text" w:hAnchor="text" w:xAlign="center" w:y="1"/>
              <w:jc w:val="center"/>
            </w:pPr>
            <w:r>
              <w:t>–163</w:t>
            </w:r>
          </w:p>
        </w:tc>
        <w:tc>
          <w:tcPr>
            <w:tcW w:w="851" w:type="dxa"/>
            <w:vAlign w:val="center"/>
          </w:tcPr>
          <w:p w:rsidR="002B489A" w:rsidRDefault="004F19C4">
            <w:pPr>
              <w:pStyle w:val="Tabletext"/>
              <w:framePr w:hSpace="181" w:wrap="notBeside" w:vAnchor="text" w:hAnchor="text" w:xAlign="center" w:y="1"/>
              <w:jc w:val="center"/>
            </w:pPr>
            <w:r>
              <w:t>–134</w:t>
            </w:r>
          </w:p>
        </w:tc>
        <w:tc>
          <w:tcPr>
            <w:tcW w:w="851" w:type="dxa"/>
            <w:vAlign w:val="center"/>
          </w:tcPr>
          <w:p w:rsidR="002B489A" w:rsidRDefault="004F19C4">
            <w:pPr>
              <w:pStyle w:val="Tabletext"/>
              <w:framePr w:hSpace="181" w:wrap="notBeside" w:vAnchor="text" w:hAnchor="text" w:xAlign="center" w:y="1"/>
              <w:jc w:val="center"/>
            </w:pPr>
            <w:r>
              <w:t>–75</w:t>
            </w:r>
          </w:p>
        </w:tc>
      </w:tr>
    </w:tbl>
    <w:p w:rsidR="002B489A" w:rsidRDefault="002B489A">
      <w:pPr>
        <w:pStyle w:val="Tablefin"/>
        <w:spacing w:before="0"/>
      </w:pPr>
    </w:p>
    <w:p w:rsidR="002B489A" w:rsidRDefault="004F19C4">
      <w:r>
        <w:t xml:space="preserve">Le Tableau 65 montre qu'il est possible de trouver une différence de 88 dB entre le seuil de </w:t>
      </w:r>
      <w:r>
        <w:rPr>
          <w:rFonts w:ascii="Symbol" w:hAnsi="Symbol"/>
        </w:rPr>
        <w:noBreakHyphen/>
      </w:r>
      <w:r>
        <w:t>163 dBW et la puissance maximum reçue par le radiomètre de –75 dBW. Un tel niveau risque de causer un dommage au détecteur.</w:t>
      </w:r>
    </w:p>
    <w:p w:rsidR="002B489A" w:rsidRDefault="004F19C4">
      <w:pPr>
        <w:pStyle w:val="TableNo"/>
      </w:pPr>
      <w:r>
        <w:t>TABLEAU  66</w:t>
      </w:r>
    </w:p>
    <w:p w:rsidR="002B489A" w:rsidRDefault="004F19C4">
      <w:pPr>
        <w:pStyle w:val="Tabletitle"/>
      </w:pPr>
      <w:r>
        <w:t xml:space="preserve">Analyse dynamique entre système GSO-20 et SETS avec une seule station </w:t>
      </w:r>
      <w:r>
        <w:br/>
        <w:t>terrienne fonctionnant sur le site N50, E0</w:t>
      </w:r>
    </w:p>
    <w:tbl>
      <w:tblPr>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449"/>
        <w:gridCol w:w="1038"/>
        <w:gridCol w:w="1038"/>
        <w:gridCol w:w="1038"/>
        <w:gridCol w:w="1038"/>
        <w:gridCol w:w="1038"/>
      </w:tblGrid>
      <w:tr w:rsidR="002B489A">
        <w:tc>
          <w:tcPr>
            <w:tcW w:w="4253" w:type="dxa"/>
            <w:vAlign w:val="center"/>
          </w:tcPr>
          <w:p w:rsidR="002B489A" w:rsidRDefault="004F19C4">
            <w:pPr>
              <w:pStyle w:val="Tabletext"/>
              <w:framePr w:hSpace="181" w:wrap="notBeside" w:vAnchor="text" w:hAnchor="text" w:xAlign="center" w:y="1"/>
              <w:jc w:val="left"/>
            </w:pPr>
            <w:r>
              <w:t>Distribution cumulative (</w:t>
            </w:r>
            <w:r>
              <w:rPr>
                <w:rFonts w:ascii="Symbol" w:hAnsi="Symbol"/>
              </w:rPr>
              <w:t></w:t>
            </w:r>
            <w:r>
              <w:t>)</w:t>
            </w:r>
          </w:p>
        </w:tc>
        <w:tc>
          <w:tcPr>
            <w:tcW w:w="992" w:type="dxa"/>
            <w:vAlign w:val="center"/>
          </w:tcPr>
          <w:p w:rsidR="002B489A" w:rsidRDefault="004F19C4">
            <w:pPr>
              <w:pStyle w:val="Tabletext"/>
              <w:framePr w:hSpace="181" w:wrap="notBeside" w:vAnchor="text" w:hAnchor="text" w:xAlign="center" w:y="1"/>
              <w:jc w:val="center"/>
            </w:pPr>
            <w:r>
              <w:t>6,8</w:t>
            </w:r>
          </w:p>
        </w:tc>
        <w:tc>
          <w:tcPr>
            <w:tcW w:w="992" w:type="dxa"/>
            <w:vAlign w:val="center"/>
          </w:tcPr>
          <w:p w:rsidR="002B489A" w:rsidRDefault="004F19C4">
            <w:pPr>
              <w:pStyle w:val="Tabletext"/>
              <w:framePr w:hSpace="181" w:wrap="notBeside" w:vAnchor="text" w:hAnchor="text" w:xAlign="center" w:y="1"/>
              <w:jc w:val="center"/>
            </w:pPr>
            <w:r>
              <w:t>1</w:t>
            </w:r>
          </w:p>
        </w:tc>
        <w:tc>
          <w:tcPr>
            <w:tcW w:w="992" w:type="dxa"/>
            <w:vAlign w:val="center"/>
          </w:tcPr>
          <w:p w:rsidR="002B489A" w:rsidRDefault="004F19C4">
            <w:pPr>
              <w:pStyle w:val="Tabletext"/>
              <w:framePr w:hSpace="181" w:wrap="notBeside" w:vAnchor="text" w:hAnchor="text" w:xAlign="center" w:y="1"/>
              <w:jc w:val="center"/>
            </w:pPr>
            <w:r>
              <w:t>0,09</w:t>
            </w:r>
          </w:p>
        </w:tc>
        <w:tc>
          <w:tcPr>
            <w:tcW w:w="992" w:type="dxa"/>
            <w:vAlign w:val="center"/>
          </w:tcPr>
          <w:p w:rsidR="002B489A" w:rsidRDefault="004F19C4">
            <w:pPr>
              <w:pStyle w:val="Tabletext"/>
              <w:framePr w:hSpace="181" w:wrap="notBeside" w:vAnchor="text" w:hAnchor="text" w:xAlign="center" w:y="1"/>
              <w:jc w:val="center"/>
            </w:pPr>
            <w:r>
              <w:t>0,01</w:t>
            </w:r>
          </w:p>
        </w:tc>
        <w:tc>
          <w:tcPr>
            <w:tcW w:w="992" w:type="dxa"/>
            <w:vAlign w:val="center"/>
          </w:tcPr>
          <w:p w:rsidR="002B489A" w:rsidRDefault="004F19C4">
            <w:pPr>
              <w:pStyle w:val="Tabletext"/>
              <w:framePr w:hSpace="181" w:wrap="notBeside" w:vAnchor="text" w:hAnchor="text" w:xAlign="center" w:y="1"/>
              <w:jc w:val="center"/>
            </w:pPr>
            <w:r>
              <w:t>0,003</w:t>
            </w:r>
          </w:p>
        </w:tc>
      </w:tr>
      <w:tr w:rsidR="002B489A">
        <w:tc>
          <w:tcPr>
            <w:tcW w:w="4253" w:type="dxa"/>
            <w:vAlign w:val="center"/>
          </w:tcPr>
          <w:p w:rsidR="002B489A" w:rsidRDefault="004F19C4">
            <w:pPr>
              <w:pStyle w:val="Tabletext"/>
              <w:framePr w:hSpace="181" w:wrap="notBeside" w:vAnchor="text" w:hAnchor="text" w:xAlign="center" w:y="1"/>
              <w:jc w:val="left"/>
            </w:pPr>
            <w:r>
              <w:t>Sondeur en peigne: puissance brouilleuse correspondante reçue par le SETS (dBW) (largeur de bande de 500 MHz)</w:t>
            </w:r>
          </w:p>
        </w:tc>
        <w:tc>
          <w:tcPr>
            <w:tcW w:w="992" w:type="dxa"/>
            <w:vAlign w:val="center"/>
          </w:tcPr>
          <w:p w:rsidR="002B489A" w:rsidRDefault="004F19C4">
            <w:pPr>
              <w:pStyle w:val="Tabletext"/>
              <w:framePr w:hSpace="181" w:wrap="notBeside" w:vAnchor="text" w:hAnchor="text" w:xAlign="center" w:y="1"/>
              <w:jc w:val="center"/>
            </w:pPr>
            <w:r>
              <w:t>–212</w:t>
            </w:r>
          </w:p>
        </w:tc>
        <w:tc>
          <w:tcPr>
            <w:tcW w:w="992" w:type="dxa"/>
            <w:vAlign w:val="center"/>
          </w:tcPr>
          <w:p w:rsidR="002B489A" w:rsidRDefault="004F19C4">
            <w:pPr>
              <w:pStyle w:val="Tabletext"/>
              <w:framePr w:hSpace="181" w:wrap="notBeside" w:vAnchor="text" w:hAnchor="text" w:xAlign="center" w:y="1"/>
              <w:jc w:val="center"/>
            </w:pPr>
            <w:r>
              <w:t>–188</w:t>
            </w:r>
          </w:p>
        </w:tc>
        <w:tc>
          <w:tcPr>
            <w:tcW w:w="992" w:type="dxa"/>
            <w:vAlign w:val="center"/>
          </w:tcPr>
          <w:p w:rsidR="002B489A" w:rsidRDefault="004F19C4">
            <w:pPr>
              <w:pStyle w:val="Tabletext"/>
              <w:framePr w:hSpace="181" w:wrap="notBeside" w:vAnchor="text" w:hAnchor="text" w:xAlign="center" w:y="1"/>
              <w:jc w:val="center"/>
            </w:pPr>
            <w:r>
              <w:t>–163</w:t>
            </w:r>
          </w:p>
        </w:tc>
        <w:tc>
          <w:tcPr>
            <w:tcW w:w="992" w:type="dxa"/>
            <w:vAlign w:val="center"/>
          </w:tcPr>
          <w:p w:rsidR="002B489A" w:rsidRDefault="004F19C4">
            <w:pPr>
              <w:pStyle w:val="Tabletext"/>
              <w:framePr w:hSpace="181" w:wrap="notBeside" w:vAnchor="text" w:hAnchor="text" w:xAlign="center" w:y="1"/>
              <w:jc w:val="center"/>
            </w:pPr>
            <w:r>
              <w:t>–134</w:t>
            </w:r>
          </w:p>
        </w:tc>
        <w:tc>
          <w:tcPr>
            <w:tcW w:w="992" w:type="dxa"/>
            <w:vAlign w:val="center"/>
          </w:tcPr>
          <w:p w:rsidR="002B489A" w:rsidRDefault="004F19C4">
            <w:pPr>
              <w:pStyle w:val="Tabletext"/>
              <w:framePr w:hSpace="181" w:wrap="notBeside" w:vAnchor="text" w:hAnchor="text" w:xAlign="center" w:y="1"/>
              <w:jc w:val="center"/>
            </w:pPr>
            <w:r>
              <w:t>–129</w:t>
            </w:r>
          </w:p>
        </w:tc>
      </w:tr>
    </w:tbl>
    <w:p w:rsidR="002B489A" w:rsidRDefault="002B489A">
      <w:pPr>
        <w:pStyle w:val="Tablefin"/>
        <w:spacing w:before="0"/>
      </w:pPr>
    </w:p>
    <w:p w:rsidR="002B489A" w:rsidRDefault="004F19C4">
      <w:pPr>
        <w:pStyle w:val="TableNo"/>
      </w:pPr>
      <w:r>
        <w:t>TABLEAU  67</w:t>
      </w:r>
    </w:p>
    <w:p w:rsidR="002B489A" w:rsidRDefault="004F19C4">
      <w:pPr>
        <w:pStyle w:val="Tabletitle"/>
      </w:pPr>
      <w:r>
        <w:t>Analyse dynamique entre système GSO-Ka-1 et SETS avec une seule station</w:t>
      </w:r>
      <w:r>
        <w:br/>
        <w:t>terrienne fonctionnant sur le site N0, E0</w:t>
      </w:r>
    </w:p>
    <w:tbl>
      <w:tblPr>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449"/>
        <w:gridCol w:w="1038"/>
        <w:gridCol w:w="1038"/>
        <w:gridCol w:w="1038"/>
        <w:gridCol w:w="1038"/>
        <w:gridCol w:w="1038"/>
      </w:tblGrid>
      <w:tr w:rsidR="002B489A">
        <w:tc>
          <w:tcPr>
            <w:tcW w:w="4253" w:type="dxa"/>
            <w:vAlign w:val="center"/>
          </w:tcPr>
          <w:p w:rsidR="002B489A" w:rsidRDefault="004F19C4">
            <w:pPr>
              <w:pStyle w:val="Tabletext"/>
              <w:framePr w:hSpace="181" w:wrap="notBeside" w:vAnchor="text" w:hAnchor="text" w:xAlign="center" w:y="1"/>
              <w:jc w:val="left"/>
            </w:pPr>
            <w:r>
              <w:t>Distribution cumulative (</w:t>
            </w:r>
            <w:r>
              <w:rPr>
                <w:rFonts w:ascii="Symbol" w:hAnsi="Symbol"/>
              </w:rPr>
              <w:t></w:t>
            </w:r>
            <w:r>
              <w:t>)</w:t>
            </w:r>
          </w:p>
        </w:tc>
        <w:tc>
          <w:tcPr>
            <w:tcW w:w="992" w:type="dxa"/>
            <w:vAlign w:val="center"/>
          </w:tcPr>
          <w:p w:rsidR="002B489A" w:rsidRDefault="004F19C4">
            <w:pPr>
              <w:pStyle w:val="Tabletext"/>
              <w:framePr w:hSpace="181" w:wrap="notBeside" w:vAnchor="text" w:hAnchor="text" w:xAlign="center" w:y="1"/>
              <w:jc w:val="center"/>
            </w:pPr>
            <w:r>
              <w:t>4,2</w:t>
            </w:r>
          </w:p>
        </w:tc>
        <w:tc>
          <w:tcPr>
            <w:tcW w:w="992" w:type="dxa"/>
            <w:vAlign w:val="center"/>
          </w:tcPr>
          <w:p w:rsidR="002B489A" w:rsidRDefault="004F19C4">
            <w:pPr>
              <w:pStyle w:val="Tabletext"/>
              <w:framePr w:hSpace="181" w:wrap="notBeside" w:vAnchor="text" w:hAnchor="text" w:xAlign="center" w:y="1"/>
              <w:jc w:val="center"/>
            </w:pPr>
            <w:r>
              <w:t>1</w:t>
            </w:r>
          </w:p>
        </w:tc>
        <w:tc>
          <w:tcPr>
            <w:tcW w:w="992" w:type="dxa"/>
            <w:vAlign w:val="center"/>
          </w:tcPr>
          <w:p w:rsidR="002B489A" w:rsidRDefault="004F19C4">
            <w:pPr>
              <w:pStyle w:val="Tabletext"/>
              <w:framePr w:hSpace="181" w:wrap="notBeside" w:vAnchor="text" w:hAnchor="text" w:xAlign="center" w:y="1"/>
              <w:jc w:val="center"/>
            </w:pPr>
            <w:r>
              <w:t>0,07</w:t>
            </w:r>
          </w:p>
        </w:tc>
        <w:tc>
          <w:tcPr>
            <w:tcW w:w="992" w:type="dxa"/>
            <w:vAlign w:val="center"/>
          </w:tcPr>
          <w:p w:rsidR="002B489A" w:rsidRDefault="004F19C4">
            <w:pPr>
              <w:pStyle w:val="Tabletext"/>
              <w:framePr w:hSpace="181" w:wrap="notBeside" w:vAnchor="text" w:hAnchor="text" w:xAlign="center" w:y="1"/>
              <w:jc w:val="center"/>
            </w:pPr>
            <w:r>
              <w:t>0,01</w:t>
            </w:r>
          </w:p>
        </w:tc>
        <w:tc>
          <w:tcPr>
            <w:tcW w:w="992" w:type="dxa"/>
            <w:vAlign w:val="center"/>
          </w:tcPr>
          <w:p w:rsidR="002B489A" w:rsidRDefault="004F19C4">
            <w:pPr>
              <w:pStyle w:val="Tabletext"/>
              <w:framePr w:hSpace="181" w:wrap="notBeside" w:vAnchor="text" w:hAnchor="text" w:xAlign="center" w:y="1"/>
              <w:jc w:val="center"/>
            </w:pPr>
            <w:r>
              <w:t>0,003</w:t>
            </w:r>
          </w:p>
        </w:tc>
      </w:tr>
      <w:tr w:rsidR="002B489A">
        <w:tc>
          <w:tcPr>
            <w:tcW w:w="4253" w:type="dxa"/>
            <w:vAlign w:val="center"/>
          </w:tcPr>
          <w:p w:rsidR="002B489A" w:rsidRDefault="004F19C4">
            <w:pPr>
              <w:pStyle w:val="Tabletext"/>
              <w:framePr w:hSpace="181" w:wrap="notBeside" w:vAnchor="text" w:hAnchor="text" w:xAlign="center" w:y="1"/>
              <w:jc w:val="left"/>
            </w:pPr>
            <w:r>
              <w:t>Sondeur en peigne: puissance brouilleuse correspondante reçue par le SETS (dBW) (largeur de bande de 186,6 MHz)</w:t>
            </w:r>
          </w:p>
        </w:tc>
        <w:tc>
          <w:tcPr>
            <w:tcW w:w="992" w:type="dxa"/>
            <w:vAlign w:val="center"/>
          </w:tcPr>
          <w:p w:rsidR="002B489A" w:rsidRDefault="004F19C4">
            <w:pPr>
              <w:pStyle w:val="Tabletext"/>
              <w:framePr w:hSpace="181" w:wrap="notBeside" w:vAnchor="text" w:hAnchor="text" w:xAlign="center" w:y="1"/>
              <w:jc w:val="center"/>
            </w:pPr>
            <w:r>
              <w:t>–212</w:t>
            </w:r>
          </w:p>
        </w:tc>
        <w:tc>
          <w:tcPr>
            <w:tcW w:w="992" w:type="dxa"/>
            <w:vAlign w:val="center"/>
          </w:tcPr>
          <w:p w:rsidR="002B489A" w:rsidRDefault="004F19C4">
            <w:pPr>
              <w:pStyle w:val="Tabletext"/>
              <w:framePr w:hSpace="181" w:wrap="notBeside" w:vAnchor="text" w:hAnchor="text" w:xAlign="center" w:y="1"/>
              <w:jc w:val="center"/>
            </w:pPr>
            <w:r>
              <w:t>–197</w:t>
            </w:r>
          </w:p>
        </w:tc>
        <w:tc>
          <w:tcPr>
            <w:tcW w:w="992" w:type="dxa"/>
            <w:vAlign w:val="center"/>
          </w:tcPr>
          <w:p w:rsidR="002B489A" w:rsidRDefault="004F19C4">
            <w:pPr>
              <w:pStyle w:val="Tabletext"/>
              <w:framePr w:hSpace="181" w:wrap="notBeside" w:vAnchor="text" w:hAnchor="text" w:xAlign="center" w:y="1"/>
              <w:jc w:val="center"/>
            </w:pPr>
            <w:r>
              <w:t>–163</w:t>
            </w:r>
          </w:p>
        </w:tc>
        <w:tc>
          <w:tcPr>
            <w:tcW w:w="992" w:type="dxa"/>
            <w:vAlign w:val="center"/>
          </w:tcPr>
          <w:p w:rsidR="002B489A" w:rsidRDefault="004F19C4">
            <w:pPr>
              <w:pStyle w:val="Tabletext"/>
              <w:framePr w:hSpace="181" w:wrap="notBeside" w:vAnchor="text" w:hAnchor="text" w:xAlign="center" w:y="1"/>
              <w:jc w:val="center"/>
            </w:pPr>
            <w:r>
              <w:t>–136</w:t>
            </w:r>
          </w:p>
        </w:tc>
        <w:tc>
          <w:tcPr>
            <w:tcW w:w="992" w:type="dxa"/>
            <w:vAlign w:val="center"/>
          </w:tcPr>
          <w:p w:rsidR="002B489A" w:rsidRDefault="004F19C4">
            <w:pPr>
              <w:pStyle w:val="Tabletext"/>
              <w:framePr w:hSpace="181" w:wrap="notBeside" w:vAnchor="text" w:hAnchor="text" w:xAlign="center" w:y="1"/>
              <w:jc w:val="center"/>
            </w:pPr>
            <w:r>
              <w:t>–129</w:t>
            </w:r>
          </w:p>
        </w:tc>
      </w:tr>
    </w:tbl>
    <w:p w:rsidR="002B489A" w:rsidRDefault="002B489A">
      <w:pPr>
        <w:pStyle w:val="Tablefin"/>
        <w:spacing w:before="0"/>
      </w:pPr>
    </w:p>
    <w:p w:rsidR="002B489A" w:rsidRDefault="004F19C4">
      <w:r>
        <w:br w:type="page"/>
        <w:t>Selon les Tableaux ci-dessus, il y a un risque que le satellite SETS subisse un brouillage lorsqu'une seule station fonctionne (ou que le pourcentage de données brouillées soit supérieur à ce qui est acceptable). En les prenant dans la largeur de bande relative, les affaiblissements spectraux requis sont de 22 dB pour GSO-20 et 24,3 dB pour Ka-1.</w:t>
      </w:r>
    </w:p>
    <w:p w:rsidR="002B489A" w:rsidRDefault="004F19C4">
      <w:r>
        <w:t>On s'attend à ce qu'un nombre significativement plus élevé de stations terriennes fonctionnent dans les systèmes à satellites pour lesquels les résultats des simulations dynamiques sont rapportés dans les Tableaux 65 à 67. Accroître le nombre de stations terriennes incluses dans les simulations dynamiques augmentera vraisemblablement le pourcentage du temps pendant lequel le critère du SETS sera dépassé. Dans cette éventualité, les conclusions tirées au § 4.5 au sujet de la taille des bandes de garde requises devront être réévaluées.</w:t>
      </w:r>
    </w:p>
    <w:p w:rsidR="002B489A" w:rsidRDefault="004F19C4">
      <w:pPr>
        <w:pStyle w:val="Heading3"/>
      </w:pPr>
      <w:r>
        <w:t>4.4.3</w:t>
      </w:r>
      <w:r>
        <w:tab/>
        <w:t>Calculs dynamiques avec des systèmes non OSG</w:t>
      </w:r>
    </w:p>
    <w:p w:rsidR="002B489A" w:rsidRDefault="004F19C4">
      <w:pPr>
        <w:pStyle w:val="TableNo"/>
      </w:pPr>
      <w:r>
        <w:t>TABLEAU  68</w:t>
      </w:r>
    </w:p>
    <w:p w:rsidR="002B489A" w:rsidRDefault="004F19C4">
      <w:pPr>
        <w:pStyle w:val="Tabletitle"/>
      </w:pPr>
      <w:r>
        <w:t>Analyse dynamique entre un système non OSG SMS-LEO-B et le SETS avec six stations terriennes fonctionnant à intervalles réguliers le long de l'équateur</w:t>
      </w:r>
    </w:p>
    <w:tbl>
      <w:tblPr>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448"/>
        <w:gridCol w:w="1038"/>
        <w:gridCol w:w="1039"/>
        <w:gridCol w:w="1038"/>
        <w:gridCol w:w="1038"/>
        <w:gridCol w:w="1038"/>
      </w:tblGrid>
      <w:tr w:rsidR="002B489A">
        <w:tc>
          <w:tcPr>
            <w:tcW w:w="4253" w:type="dxa"/>
            <w:vAlign w:val="center"/>
          </w:tcPr>
          <w:p w:rsidR="002B489A" w:rsidRDefault="004F19C4">
            <w:pPr>
              <w:pStyle w:val="Tabletext"/>
              <w:framePr w:hSpace="181" w:wrap="notBeside" w:vAnchor="text" w:hAnchor="text" w:xAlign="center" w:y="1"/>
              <w:jc w:val="left"/>
            </w:pPr>
            <w:r>
              <w:t>Distribution cumulative (</w:t>
            </w:r>
            <w:r>
              <w:rPr>
                <w:rFonts w:ascii="Symbol" w:hAnsi="Symbol"/>
              </w:rPr>
              <w:t></w:t>
            </w:r>
            <w:r>
              <w:t>)</w:t>
            </w:r>
          </w:p>
        </w:tc>
        <w:tc>
          <w:tcPr>
            <w:tcW w:w="992" w:type="dxa"/>
            <w:vAlign w:val="center"/>
          </w:tcPr>
          <w:p w:rsidR="002B489A" w:rsidRDefault="004F19C4">
            <w:pPr>
              <w:pStyle w:val="Tabletext"/>
              <w:framePr w:hSpace="181" w:wrap="notBeside" w:vAnchor="text" w:hAnchor="text" w:xAlign="center" w:y="1"/>
              <w:jc w:val="center"/>
            </w:pPr>
            <w:r>
              <w:t>24,2</w:t>
            </w:r>
          </w:p>
        </w:tc>
        <w:tc>
          <w:tcPr>
            <w:tcW w:w="993" w:type="dxa"/>
            <w:vAlign w:val="center"/>
          </w:tcPr>
          <w:p w:rsidR="002B489A" w:rsidRDefault="004F19C4">
            <w:pPr>
              <w:pStyle w:val="Tabletext"/>
              <w:framePr w:hSpace="181" w:wrap="notBeside" w:vAnchor="text" w:hAnchor="text" w:xAlign="center" w:y="1"/>
              <w:jc w:val="center"/>
            </w:pPr>
            <w:r>
              <w:t>1</w:t>
            </w:r>
          </w:p>
        </w:tc>
        <w:tc>
          <w:tcPr>
            <w:tcW w:w="992" w:type="dxa"/>
            <w:vAlign w:val="center"/>
          </w:tcPr>
          <w:p w:rsidR="002B489A" w:rsidRDefault="004F19C4">
            <w:pPr>
              <w:pStyle w:val="Tabletext"/>
              <w:framePr w:hSpace="181" w:wrap="notBeside" w:vAnchor="text" w:hAnchor="text" w:xAlign="center" w:y="1"/>
              <w:jc w:val="center"/>
            </w:pPr>
            <w:r>
              <w:t>0,1</w:t>
            </w:r>
          </w:p>
        </w:tc>
        <w:tc>
          <w:tcPr>
            <w:tcW w:w="992" w:type="dxa"/>
            <w:vAlign w:val="center"/>
          </w:tcPr>
          <w:p w:rsidR="002B489A" w:rsidRDefault="004F19C4">
            <w:pPr>
              <w:pStyle w:val="Tabletext"/>
              <w:framePr w:hSpace="181" w:wrap="notBeside" w:vAnchor="text" w:hAnchor="text" w:xAlign="center" w:y="1"/>
              <w:jc w:val="center"/>
            </w:pPr>
            <w:r>
              <w:t>0,01</w:t>
            </w:r>
          </w:p>
        </w:tc>
        <w:tc>
          <w:tcPr>
            <w:tcW w:w="992" w:type="dxa"/>
            <w:vAlign w:val="center"/>
          </w:tcPr>
          <w:p w:rsidR="002B489A" w:rsidRDefault="004F19C4">
            <w:pPr>
              <w:pStyle w:val="Tabletext"/>
              <w:framePr w:hSpace="181" w:wrap="notBeside" w:vAnchor="text" w:hAnchor="text" w:xAlign="center" w:y="1"/>
              <w:jc w:val="center"/>
            </w:pPr>
            <w:r>
              <w:t>0,003</w:t>
            </w:r>
          </w:p>
        </w:tc>
      </w:tr>
      <w:tr w:rsidR="002B489A">
        <w:tc>
          <w:tcPr>
            <w:tcW w:w="4253" w:type="dxa"/>
            <w:vAlign w:val="center"/>
          </w:tcPr>
          <w:p w:rsidR="002B489A" w:rsidRDefault="004F19C4">
            <w:pPr>
              <w:pStyle w:val="Tabletext"/>
              <w:framePr w:hSpace="181" w:wrap="notBeside" w:vAnchor="text" w:hAnchor="text" w:xAlign="center" w:y="1"/>
              <w:jc w:val="left"/>
            </w:pPr>
            <w:r>
              <w:t>Sondeur en peigne: puissance brouilleuse correspondante reçue par le SETS (dBW) (largeur de bande de 2,5 MHz)</w:t>
            </w:r>
          </w:p>
        </w:tc>
        <w:tc>
          <w:tcPr>
            <w:tcW w:w="992" w:type="dxa"/>
            <w:vAlign w:val="center"/>
          </w:tcPr>
          <w:p w:rsidR="002B489A" w:rsidRDefault="004F19C4">
            <w:pPr>
              <w:pStyle w:val="Tabletext"/>
              <w:framePr w:hSpace="181" w:wrap="notBeside" w:vAnchor="text" w:hAnchor="text" w:xAlign="center" w:y="1"/>
              <w:jc w:val="center"/>
            </w:pPr>
            <w:r>
              <w:t>–236</w:t>
            </w:r>
          </w:p>
        </w:tc>
        <w:tc>
          <w:tcPr>
            <w:tcW w:w="993" w:type="dxa"/>
            <w:vAlign w:val="center"/>
          </w:tcPr>
          <w:p w:rsidR="002B489A" w:rsidRDefault="004F19C4">
            <w:pPr>
              <w:pStyle w:val="Tabletext"/>
              <w:framePr w:hSpace="181" w:wrap="notBeside" w:vAnchor="text" w:hAnchor="text" w:xAlign="center" w:y="1"/>
              <w:jc w:val="center"/>
            </w:pPr>
            <w:r>
              <w:t>–208</w:t>
            </w:r>
          </w:p>
        </w:tc>
        <w:tc>
          <w:tcPr>
            <w:tcW w:w="992" w:type="dxa"/>
            <w:vAlign w:val="center"/>
          </w:tcPr>
          <w:p w:rsidR="002B489A" w:rsidRDefault="004F19C4">
            <w:pPr>
              <w:pStyle w:val="Tabletext"/>
              <w:framePr w:hSpace="181" w:wrap="notBeside" w:vAnchor="text" w:hAnchor="text" w:xAlign="center" w:y="1"/>
              <w:jc w:val="center"/>
            </w:pPr>
            <w:r>
              <w:t>–163</w:t>
            </w:r>
          </w:p>
        </w:tc>
        <w:tc>
          <w:tcPr>
            <w:tcW w:w="992" w:type="dxa"/>
            <w:vAlign w:val="center"/>
          </w:tcPr>
          <w:p w:rsidR="002B489A" w:rsidRDefault="004F19C4">
            <w:pPr>
              <w:pStyle w:val="Tabletext"/>
              <w:framePr w:hSpace="181" w:wrap="notBeside" w:vAnchor="text" w:hAnchor="text" w:xAlign="center" w:y="1"/>
              <w:jc w:val="center"/>
            </w:pPr>
            <w:r>
              <w:t>–152</w:t>
            </w:r>
          </w:p>
        </w:tc>
        <w:tc>
          <w:tcPr>
            <w:tcW w:w="992" w:type="dxa"/>
            <w:vAlign w:val="center"/>
          </w:tcPr>
          <w:p w:rsidR="002B489A" w:rsidRDefault="004F19C4">
            <w:pPr>
              <w:pStyle w:val="Tabletext"/>
              <w:framePr w:hSpace="181" w:wrap="notBeside" w:vAnchor="text" w:hAnchor="text" w:xAlign="center" w:y="1"/>
              <w:jc w:val="center"/>
            </w:pPr>
            <w:r>
              <w:t>–150</w:t>
            </w:r>
          </w:p>
        </w:tc>
      </w:tr>
    </w:tbl>
    <w:p w:rsidR="002B489A" w:rsidRDefault="002B489A">
      <w:pPr>
        <w:pStyle w:val="Tablefin"/>
      </w:pPr>
    </w:p>
    <w:p w:rsidR="002B489A" w:rsidRDefault="004F19C4">
      <w:r>
        <w:t>Selon le Tableau 68, il y a un risque que le satellite SETS subisse du brouillage lorsque six stations terriennes fonctionnent (ou que le pourcentage de données brouillées est supérieur à ce qui est acceptable). Dans ce cas, l'affaiblissement spectral requis est de 11 dB pour SMS-LEO-B.</w:t>
      </w:r>
    </w:p>
    <w:p w:rsidR="002B489A" w:rsidRDefault="004F19C4">
      <w:r>
        <w:t>On s'attend à ce qu'un nombre significativement plus élevé de stations terriennes fonctionnent dans les systèmes à satellites pour lesquels les résultats des simulations dynamiques sont rapportés dans le Tableau 68. Accroître le nombre de stations terriennes incluses dans les simulations dynamiques augmentera vraisemblablement le pourcentage du temps pendant lequel le critère du service SETS est dépassé. Dans cette éventualité, les conclusions tirées au § 4.5 au sujet de la taille des bandes de garde requises devront être réévaluées.</w:t>
      </w:r>
    </w:p>
    <w:p w:rsidR="002B489A" w:rsidRDefault="004F19C4">
      <w:pPr>
        <w:pStyle w:val="Heading2"/>
      </w:pPr>
      <w:r>
        <w:t>4.5</w:t>
      </w:r>
      <w:r>
        <w:tab/>
        <w:t>Application des gabarits hors bande à l'émission d'une station terrienne SFS</w:t>
      </w:r>
    </w:p>
    <w:p w:rsidR="002B489A" w:rsidRDefault="004F19C4">
      <w:r>
        <w:t>Considérons maintenant que les stations terriennes SFS émettent dans leur propre bande de fréquences. La suppression de leur puissance émise dans la bande adjacente attribuée au service SETS (passive) devrait être, par exemple:</w:t>
      </w:r>
    </w:p>
    <w:p w:rsidR="002B489A" w:rsidRDefault="004F19C4">
      <w:pPr>
        <w:pStyle w:val="enumlev1"/>
      </w:pPr>
      <w:r>
        <w:t>–</w:t>
      </w:r>
      <w:r>
        <w:tab/>
        <w:t>25,9 à 44,8 dB pour le système GSO Ka-1 (24,3 dB en utilisant l'analyse dynamique), sans prendre en compte l'occurrence possible des configurations de lobe principal à lobe principal dans le cas de stations terriennes proches de l'équateur.</w:t>
      </w:r>
    </w:p>
    <w:p w:rsidR="002B489A" w:rsidRDefault="004F19C4">
      <w:pPr>
        <w:pStyle w:val="enumlev1"/>
      </w:pPr>
      <w:r>
        <w:t>–</w:t>
      </w:r>
      <w:r>
        <w:tab/>
        <w:t>12,7 dB pour le système LEO-A non OSG.</w:t>
      </w:r>
    </w:p>
    <w:p w:rsidR="002B489A" w:rsidRDefault="004F19C4">
      <w:pPr>
        <w:pStyle w:val="enumlev1"/>
      </w:pPr>
      <w:r>
        <w:t>–</w:t>
      </w:r>
      <w:r>
        <w:tab/>
        <w:t>11 dB pour le système LEO-B non OSG.</w:t>
      </w:r>
    </w:p>
    <w:p w:rsidR="002B489A" w:rsidRDefault="004F19C4">
      <w:r>
        <w:t>La Fig. 48 représente la puissance tombant dans l'attribution au SETS, en fonction de la bande de garde. Pour couvrir les diverses caractéristiques des émissions SFS, on effectue l'intégration glissante pour trois valeurs de la bande passive, exprimées en terme de pourcentage de la largeur de bande nécessaire du SFS (1</w:t>
      </w:r>
      <w:r>
        <w:rPr>
          <w:rFonts w:ascii="Tms Rmn" w:hAnsi="Tms Rmn"/>
          <w:sz w:val="12"/>
        </w:rPr>
        <w:t> </w:t>
      </w:r>
      <w:r>
        <w:t>000, 100 et 50%). Il y a seulement une différence mineure entre les trois courbes.</w:t>
      </w:r>
    </w:p>
    <w:p w:rsidR="002B489A" w:rsidRDefault="004F19C4">
      <w:pPr>
        <w:pStyle w:val="FigureNo"/>
      </w:pPr>
      <w:r>
        <w:br w:type="page"/>
      </w:r>
      <w:r>
        <w:object w:dxaOrig="8535" w:dyaOrig="7479">
          <v:shape id="_x0000_i1054" type="#_x0000_t75" style="width:427pt;height:374.5pt" o:ole="">
            <v:imagedata r:id="rId96" o:title=""/>
          </v:shape>
          <o:OLEObject Type="Embed" ProgID="Designer.Drawing.7" ShapeID="_x0000_i1054" DrawAspect="Content" ObjectID="_1649163300" r:id="rId97"/>
        </w:object>
      </w:r>
    </w:p>
    <w:p w:rsidR="002B489A" w:rsidRDefault="002B489A"/>
    <w:p w:rsidR="002B489A" w:rsidRDefault="004F19C4">
      <w:r>
        <w:t>Noter qu'à la Fig. 48, le décalage de fréquence est pris à partir du centre de la largeur de bande nécessaire. Ceci servira à déterminer la distance minimale entre le centre de la largeur de bande nécessaire et la limite supérieure de la bande attribuée au SFS, qui est requise pour protéger la bande adjacente attribuée au SETS contre les rayonnements non désirés du SFS.</w:t>
      </w:r>
    </w:p>
    <w:p w:rsidR="002B489A" w:rsidRDefault="004F19C4">
      <w:r>
        <w:t xml:space="preserve">De plus, une séparation de 300 MHz est fournie par l'attribution aux services fixe et mobile entre les bandes attribuées au SFS et au SETS, dans la bande 31-31,3 GHz. Donc la séparation de fréquence minimum entre le centre de la largeur de bande nécessaire, qui est la référence dans le gabarit, est définie comme </w:t>
      </w:r>
      <w:r>
        <w:rPr>
          <w:bCs/>
          <w:i/>
          <w:iCs/>
        </w:rPr>
        <w:t>B</w:t>
      </w:r>
      <w:r>
        <w:rPr>
          <w:bCs/>
          <w:i/>
          <w:iCs/>
          <w:vertAlign w:val="subscript"/>
        </w:rPr>
        <w:t>N</w:t>
      </w:r>
      <w:r>
        <w:rPr>
          <w:rFonts w:ascii="Tms Rmn" w:hAnsi="Tms Rmn"/>
          <w:bCs/>
          <w:sz w:val="12"/>
        </w:rPr>
        <w:t> </w:t>
      </w:r>
      <w:r>
        <w:rPr>
          <w:bCs/>
        </w:rPr>
        <w:t>/2 </w:t>
      </w:r>
      <w:r>
        <w:rPr>
          <w:rFonts w:ascii="Symbol" w:hAnsi="Symbol"/>
          <w:bCs/>
        </w:rPr>
        <w:t></w:t>
      </w:r>
      <w:r>
        <w:rPr>
          <w:bCs/>
        </w:rPr>
        <w:t> 300 MHz</w:t>
      </w:r>
      <w:r>
        <w:t>.</w:t>
      </w:r>
    </w:p>
    <w:p w:rsidR="002B489A" w:rsidRDefault="004F19C4">
      <w:pPr>
        <w:rPr>
          <w:bCs/>
        </w:rPr>
      </w:pPr>
      <w:r>
        <w:t xml:space="preserve">Donc la bande de garde supplémentaire requise a un décalage par rapport au centre de </w:t>
      </w:r>
      <w:r>
        <w:rPr>
          <w:bCs/>
          <w:i/>
          <w:iCs/>
        </w:rPr>
        <w:t>B</w:t>
      </w:r>
      <w:r>
        <w:rPr>
          <w:bCs/>
          <w:i/>
          <w:iCs/>
          <w:vertAlign w:val="subscript"/>
        </w:rPr>
        <w:t>N</w:t>
      </w:r>
      <w:r>
        <w:rPr>
          <w:bCs/>
        </w:rPr>
        <w:t> </w:t>
      </w:r>
      <w:r>
        <w:rPr>
          <w:rFonts w:ascii="Symbol" w:hAnsi="Symbol"/>
          <w:bCs/>
        </w:rPr>
        <w:noBreakHyphen/>
      </w:r>
      <w:r>
        <w:rPr>
          <w:bCs/>
        </w:rPr>
        <w:t> (</w:t>
      </w:r>
      <w:r>
        <w:rPr>
          <w:bCs/>
          <w:i/>
          <w:iCs/>
        </w:rPr>
        <w:t>B</w:t>
      </w:r>
      <w:r>
        <w:rPr>
          <w:bCs/>
          <w:i/>
          <w:iCs/>
          <w:vertAlign w:val="subscript"/>
        </w:rPr>
        <w:t>N</w:t>
      </w:r>
      <w:r>
        <w:rPr>
          <w:rFonts w:ascii="Tms Rmn" w:hAnsi="Tms Rmn"/>
          <w:bCs/>
          <w:sz w:val="12"/>
        </w:rPr>
        <w:t> </w:t>
      </w:r>
      <w:r>
        <w:rPr>
          <w:bCs/>
        </w:rPr>
        <w:t>/2 </w:t>
      </w:r>
      <w:r>
        <w:rPr>
          <w:rFonts w:ascii="Symbol" w:hAnsi="Symbol"/>
          <w:bCs/>
        </w:rPr>
        <w:t></w:t>
      </w:r>
      <w:r>
        <w:rPr>
          <w:bCs/>
        </w:rPr>
        <w:t> 300 MHz).</w:t>
      </w:r>
    </w:p>
    <w:p w:rsidR="002B489A" w:rsidRDefault="004F19C4">
      <w:pPr>
        <w:pStyle w:val="Heading3"/>
      </w:pPr>
      <w:r>
        <w:t>4.5.1</w:t>
      </w:r>
      <w:r>
        <w:tab/>
        <w:t>Sondeur de nadir en peigne</w:t>
      </w:r>
    </w:p>
    <w:p w:rsidR="002B489A" w:rsidRDefault="004F19C4">
      <w:r>
        <w:t>En supposant que ce gabarit soit adopté et représente de façon fiable les caractéristiques spectrales réelles des émetteurs SFS, les conditions suivantes peuvent être calculées, et elles sont résumées dans les Tableaux 69 et 70 pour les systèmes SFS OSG, et dans le Tableau 71 pour les systèmes SFS non OSG (cas minimum et maximum). La dernière ligne de ces Tableaux indique la bande de garde supplémentaire qui serait nécessaire pour protéger les détecteurs passifs contre les rayonnements non désirés dans la bande 31,3-31,5 GHz.</w:t>
      </w:r>
    </w:p>
    <w:p w:rsidR="002B489A" w:rsidRDefault="004F19C4">
      <w:pPr>
        <w:pStyle w:val="TableNo"/>
      </w:pPr>
      <w:r>
        <w:br w:type="page"/>
        <w:t>TABLEAU  69</w:t>
      </w:r>
    </w:p>
    <w:p w:rsidR="002B489A" w:rsidRDefault="004F19C4">
      <w:pPr>
        <w:pStyle w:val="Tabletitle"/>
      </w:pPr>
      <w:r>
        <w:t>Récapitulation des bandes de garde nécessaires pour protéger les détecteurs passifs</w:t>
      </w:r>
      <w:r>
        <w:br/>
        <w:t>contre les stations terriennes SFS OSG (lobes distants du détecteur</w:t>
      </w:r>
      <w:r>
        <w:br/>
        <w:t>dans le lobe principal de la station terrienne)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7"/>
        <w:gridCol w:w="1197"/>
        <w:gridCol w:w="1197"/>
        <w:gridCol w:w="1197"/>
        <w:gridCol w:w="1197"/>
        <w:gridCol w:w="1197"/>
        <w:gridCol w:w="1197"/>
      </w:tblGrid>
      <w:tr w:rsidR="002B489A">
        <w:tc>
          <w:tcPr>
            <w:tcW w:w="2457" w:type="dxa"/>
          </w:tcPr>
          <w:p w:rsidR="002B489A" w:rsidRDefault="002B489A">
            <w:pPr>
              <w:pStyle w:val="Tablehead"/>
              <w:framePr w:hSpace="181" w:wrap="notBeside" w:vAnchor="text" w:hAnchor="text" w:xAlign="center" w:y="1"/>
              <w:spacing w:before="120" w:after="120"/>
            </w:pPr>
          </w:p>
        </w:tc>
        <w:tc>
          <w:tcPr>
            <w:tcW w:w="1197" w:type="dxa"/>
          </w:tcPr>
          <w:p w:rsidR="002B489A" w:rsidRDefault="004F19C4">
            <w:pPr>
              <w:pStyle w:val="Tablehead"/>
              <w:framePr w:hSpace="181" w:wrap="notBeside" w:vAnchor="text" w:hAnchor="text" w:xAlign="center" w:y="1"/>
              <w:spacing w:before="120" w:after="120"/>
              <w:ind w:left="-57" w:right="-57"/>
              <w:rPr>
                <w:lang w:val="fr-CH"/>
              </w:rPr>
            </w:pPr>
            <w:r>
              <w:rPr>
                <w:lang w:val="fr-CH"/>
              </w:rPr>
              <w:t>GSO-Ka-1</w:t>
            </w:r>
          </w:p>
        </w:tc>
        <w:tc>
          <w:tcPr>
            <w:tcW w:w="1197" w:type="dxa"/>
          </w:tcPr>
          <w:p w:rsidR="002B489A" w:rsidRDefault="004F19C4">
            <w:pPr>
              <w:pStyle w:val="Tablehead"/>
              <w:framePr w:hSpace="181" w:wrap="notBeside" w:vAnchor="text" w:hAnchor="text" w:xAlign="center" w:y="1"/>
              <w:spacing w:before="120" w:after="120"/>
              <w:ind w:left="-57" w:right="-57"/>
              <w:rPr>
                <w:lang w:val="fr-CH"/>
              </w:rPr>
            </w:pPr>
            <w:r>
              <w:rPr>
                <w:lang w:val="fr-CH"/>
              </w:rPr>
              <w:t>GSO-20</w:t>
            </w:r>
          </w:p>
        </w:tc>
        <w:tc>
          <w:tcPr>
            <w:tcW w:w="1197" w:type="dxa"/>
          </w:tcPr>
          <w:p w:rsidR="002B489A" w:rsidRDefault="004F19C4">
            <w:pPr>
              <w:pStyle w:val="Tablehead"/>
              <w:framePr w:hSpace="181" w:wrap="notBeside" w:vAnchor="text" w:hAnchor="text" w:xAlign="center" w:y="1"/>
              <w:spacing w:before="120" w:after="120"/>
              <w:ind w:left="-57" w:right="-57"/>
              <w:rPr>
                <w:lang w:val="fr-CH"/>
              </w:rPr>
            </w:pPr>
            <w:r>
              <w:rPr>
                <w:lang w:val="fr-CH"/>
              </w:rPr>
              <w:t>GSO-F</w:t>
            </w:r>
          </w:p>
        </w:tc>
        <w:tc>
          <w:tcPr>
            <w:tcW w:w="1197" w:type="dxa"/>
          </w:tcPr>
          <w:p w:rsidR="002B489A" w:rsidRDefault="004F19C4">
            <w:pPr>
              <w:pStyle w:val="Tablehead"/>
              <w:framePr w:hSpace="181" w:wrap="notBeside" w:vAnchor="text" w:hAnchor="text" w:xAlign="center" w:y="1"/>
              <w:spacing w:before="120" w:after="120"/>
              <w:ind w:left="-57" w:right="-57"/>
              <w:rPr>
                <w:lang w:val="fr-CH"/>
              </w:rPr>
            </w:pPr>
            <w:r>
              <w:rPr>
                <w:lang w:val="fr-CH"/>
              </w:rPr>
              <w:t>GSO-G</w:t>
            </w:r>
          </w:p>
        </w:tc>
        <w:tc>
          <w:tcPr>
            <w:tcW w:w="1197" w:type="dxa"/>
          </w:tcPr>
          <w:p w:rsidR="002B489A" w:rsidRDefault="004F19C4">
            <w:pPr>
              <w:pStyle w:val="Tablehead"/>
              <w:framePr w:hSpace="181" w:wrap="notBeside" w:vAnchor="text" w:hAnchor="text" w:xAlign="center" w:y="1"/>
              <w:spacing w:before="120" w:after="120"/>
              <w:ind w:left="-57" w:right="-57"/>
              <w:rPr>
                <w:lang w:val="fr-CH"/>
              </w:rPr>
            </w:pPr>
            <w:r>
              <w:rPr>
                <w:lang w:val="fr-CH"/>
              </w:rPr>
              <w:t>GSO-H</w:t>
            </w:r>
          </w:p>
        </w:tc>
        <w:tc>
          <w:tcPr>
            <w:tcW w:w="1197" w:type="dxa"/>
          </w:tcPr>
          <w:p w:rsidR="002B489A" w:rsidRDefault="004F19C4">
            <w:pPr>
              <w:pStyle w:val="Tablehead"/>
              <w:framePr w:hSpace="181" w:wrap="notBeside" w:vAnchor="text" w:hAnchor="text" w:xAlign="center" w:y="1"/>
              <w:spacing w:before="120" w:after="120"/>
              <w:ind w:left="-57" w:right="-57"/>
              <w:rPr>
                <w:lang w:val="fr-CH"/>
              </w:rPr>
            </w:pPr>
            <w:r>
              <w:rPr>
                <w:lang w:val="fr-CH"/>
              </w:rPr>
              <w:t>GSO-13</w:t>
            </w:r>
          </w:p>
        </w:tc>
      </w:tr>
      <w:tr w:rsidR="002B489A">
        <w:trPr>
          <w:trHeight w:hRule="exact" w:val="567"/>
        </w:trPr>
        <w:tc>
          <w:tcPr>
            <w:tcW w:w="2457" w:type="dxa"/>
          </w:tcPr>
          <w:p w:rsidR="002B489A" w:rsidRDefault="004F19C4">
            <w:pPr>
              <w:pStyle w:val="Tabletext"/>
              <w:framePr w:hSpace="181" w:wrap="notBeside" w:vAnchor="text" w:hAnchor="text" w:xAlign="center" w:y="1"/>
              <w:spacing w:line="240" w:lineRule="exact"/>
              <w:jc w:val="left"/>
            </w:pPr>
            <w:r>
              <w:t>Suppression de puissance requise (dB)</w:t>
            </w:r>
          </w:p>
        </w:tc>
        <w:tc>
          <w:tcPr>
            <w:tcW w:w="1197" w:type="dxa"/>
            <w:vAlign w:val="center"/>
          </w:tcPr>
          <w:p w:rsidR="002B489A" w:rsidRDefault="004F19C4">
            <w:pPr>
              <w:pStyle w:val="Tabletext"/>
              <w:framePr w:hSpace="181" w:wrap="notBeside" w:vAnchor="text" w:hAnchor="text" w:xAlign="center" w:y="1"/>
              <w:spacing w:line="240" w:lineRule="exact"/>
              <w:jc w:val="center"/>
            </w:pPr>
            <w:r>
              <w:t>44,8</w:t>
            </w:r>
          </w:p>
        </w:tc>
        <w:tc>
          <w:tcPr>
            <w:tcW w:w="1197" w:type="dxa"/>
            <w:vAlign w:val="center"/>
          </w:tcPr>
          <w:p w:rsidR="002B489A" w:rsidRDefault="004F19C4">
            <w:pPr>
              <w:pStyle w:val="Tabletext"/>
              <w:framePr w:hSpace="181" w:wrap="notBeside" w:vAnchor="text" w:hAnchor="text" w:xAlign="center" w:y="1"/>
              <w:spacing w:line="240" w:lineRule="exact"/>
              <w:jc w:val="center"/>
            </w:pPr>
            <w:r>
              <w:t>25,8</w:t>
            </w:r>
          </w:p>
        </w:tc>
        <w:tc>
          <w:tcPr>
            <w:tcW w:w="1197" w:type="dxa"/>
            <w:vAlign w:val="center"/>
          </w:tcPr>
          <w:p w:rsidR="002B489A" w:rsidRDefault="004F19C4">
            <w:pPr>
              <w:pStyle w:val="Tabletext"/>
              <w:framePr w:hSpace="181" w:wrap="notBeside" w:vAnchor="text" w:hAnchor="text" w:xAlign="center" w:y="1"/>
              <w:spacing w:line="240" w:lineRule="exact"/>
              <w:jc w:val="center"/>
            </w:pPr>
            <w:r>
              <w:t>21</w:t>
            </w:r>
          </w:p>
        </w:tc>
        <w:tc>
          <w:tcPr>
            <w:tcW w:w="1197" w:type="dxa"/>
            <w:vAlign w:val="center"/>
          </w:tcPr>
          <w:p w:rsidR="002B489A" w:rsidRDefault="004F19C4">
            <w:pPr>
              <w:pStyle w:val="Tabletext"/>
              <w:framePr w:hSpace="181" w:wrap="notBeside" w:vAnchor="text" w:hAnchor="text" w:xAlign="center" w:y="1"/>
              <w:spacing w:line="240" w:lineRule="exact"/>
              <w:jc w:val="center"/>
            </w:pPr>
            <w:r>
              <w:t>35,3</w:t>
            </w:r>
          </w:p>
        </w:tc>
        <w:tc>
          <w:tcPr>
            <w:tcW w:w="1197" w:type="dxa"/>
            <w:vAlign w:val="center"/>
          </w:tcPr>
          <w:p w:rsidR="002B489A" w:rsidRDefault="004F19C4">
            <w:pPr>
              <w:pStyle w:val="Tabletext"/>
              <w:framePr w:hSpace="181" w:wrap="notBeside" w:vAnchor="text" w:hAnchor="text" w:xAlign="center" w:y="1"/>
              <w:spacing w:line="240" w:lineRule="exact"/>
              <w:jc w:val="center"/>
            </w:pPr>
            <w:r>
              <w:t>29,3</w:t>
            </w:r>
          </w:p>
        </w:tc>
        <w:tc>
          <w:tcPr>
            <w:tcW w:w="1197" w:type="dxa"/>
            <w:vAlign w:val="center"/>
          </w:tcPr>
          <w:p w:rsidR="002B489A" w:rsidRDefault="004F19C4">
            <w:pPr>
              <w:pStyle w:val="Tabletext"/>
              <w:framePr w:hSpace="181" w:wrap="notBeside" w:vAnchor="text" w:hAnchor="text" w:xAlign="center" w:y="1"/>
              <w:spacing w:line="240" w:lineRule="exact"/>
              <w:jc w:val="center"/>
            </w:pPr>
            <w:r>
              <w:t>12,1</w:t>
            </w:r>
          </w:p>
        </w:tc>
      </w:tr>
      <w:tr w:rsidR="002B489A">
        <w:trPr>
          <w:trHeight w:hRule="exact" w:val="567"/>
        </w:trPr>
        <w:tc>
          <w:tcPr>
            <w:tcW w:w="2457" w:type="dxa"/>
          </w:tcPr>
          <w:p w:rsidR="002B489A" w:rsidRDefault="004F19C4">
            <w:pPr>
              <w:pStyle w:val="Tabletext"/>
              <w:framePr w:hSpace="181" w:wrap="notBeside" w:vAnchor="text" w:hAnchor="text" w:xAlign="center" w:y="1"/>
              <w:spacing w:line="240" w:lineRule="exact"/>
              <w:jc w:val="left"/>
            </w:pPr>
            <w:r>
              <w:t>Largeur de bande nécessaire (MHz)</w:t>
            </w:r>
          </w:p>
        </w:tc>
        <w:tc>
          <w:tcPr>
            <w:tcW w:w="1197" w:type="dxa"/>
            <w:vAlign w:val="center"/>
          </w:tcPr>
          <w:p w:rsidR="002B489A" w:rsidRDefault="004F19C4">
            <w:pPr>
              <w:pStyle w:val="Tabletext"/>
              <w:framePr w:hSpace="181" w:wrap="notBeside" w:vAnchor="text" w:hAnchor="text" w:xAlign="center" w:y="1"/>
              <w:spacing w:line="240" w:lineRule="exact"/>
              <w:jc w:val="center"/>
            </w:pPr>
            <w:r>
              <w:t>186,6</w:t>
            </w:r>
          </w:p>
        </w:tc>
        <w:tc>
          <w:tcPr>
            <w:tcW w:w="1197" w:type="dxa"/>
            <w:vAlign w:val="center"/>
          </w:tcPr>
          <w:p w:rsidR="002B489A" w:rsidRDefault="004F19C4">
            <w:pPr>
              <w:pStyle w:val="Tabletext"/>
              <w:framePr w:hSpace="181" w:wrap="notBeside" w:vAnchor="text" w:hAnchor="text" w:xAlign="center" w:y="1"/>
              <w:spacing w:line="240" w:lineRule="exact"/>
              <w:jc w:val="center"/>
            </w:pPr>
            <w:r>
              <w:t>500</w:t>
            </w:r>
          </w:p>
        </w:tc>
        <w:tc>
          <w:tcPr>
            <w:tcW w:w="1197" w:type="dxa"/>
            <w:vAlign w:val="center"/>
          </w:tcPr>
          <w:p w:rsidR="002B489A" w:rsidRDefault="004F19C4">
            <w:pPr>
              <w:pStyle w:val="Tabletext"/>
              <w:framePr w:hSpace="181" w:wrap="notBeside" w:vAnchor="text" w:hAnchor="text" w:xAlign="center" w:y="1"/>
              <w:spacing w:line="240" w:lineRule="exact"/>
              <w:jc w:val="center"/>
            </w:pPr>
            <w:r>
              <w:t>125</w:t>
            </w:r>
          </w:p>
        </w:tc>
        <w:tc>
          <w:tcPr>
            <w:tcW w:w="1197" w:type="dxa"/>
            <w:vAlign w:val="center"/>
          </w:tcPr>
          <w:p w:rsidR="002B489A" w:rsidRDefault="004F19C4">
            <w:pPr>
              <w:pStyle w:val="Tabletext"/>
              <w:framePr w:hSpace="181" w:wrap="notBeside" w:vAnchor="text" w:hAnchor="text" w:xAlign="center" w:y="1"/>
              <w:spacing w:line="240" w:lineRule="exact"/>
              <w:jc w:val="center"/>
            </w:pPr>
            <w:r>
              <w:t>0,0768</w:t>
            </w:r>
          </w:p>
        </w:tc>
        <w:tc>
          <w:tcPr>
            <w:tcW w:w="1197" w:type="dxa"/>
            <w:vAlign w:val="center"/>
          </w:tcPr>
          <w:p w:rsidR="002B489A" w:rsidRDefault="004F19C4">
            <w:pPr>
              <w:pStyle w:val="Tabletext"/>
              <w:framePr w:hSpace="181" w:wrap="notBeside" w:vAnchor="text" w:hAnchor="text" w:xAlign="center" w:y="1"/>
              <w:spacing w:line="240" w:lineRule="exact"/>
              <w:jc w:val="center"/>
            </w:pPr>
            <w:r>
              <w:t>0,0768</w:t>
            </w:r>
          </w:p>
        </w:tc>
        <w:tc>
          <w:tcPr>
            <w:tcW w:w="1197" w:type="dxa"/>
            <w:vAlign w:val="center"/>
          </w:tcPr>
          <w:p w:rsidR="002B489A" w:rsidRDefault="004F19C4">
            <w:pPr>
              <w:pStyle w:val="Tabletext"/>
              <w:framePr w:hSpace="181" w:wrap="notBeside" w:vAnchor="text" w:hAnchor="text" w:xAlign="center" w:y="1"/>
              <w:spacing w:line="240" w:lineRule="exact"/>
              <w:jc w:val="center"/>
            </w:pPr>
            <w:r>
              <w:t>0,340</w:t>
            </w:r>
          </w:p>
        </w:tc>
      </w:tr>
      <w:tr w:rsidR="002B489A">
        <w:trPr>
          <w:trHeight w:hRule="exact" w:val="403"/>
        </w:trPr>
        <w:tc>
          <w:tcPr>
            <w:tcW w:w="2457" w:type="dxa"/>
          </w:tcPr>
          <w:p w:rsidR="002B489A" w:rsidRDefault="004F19C4">
            <w:pPr>
              <w:pStyle w:val="Tabletext"/>
              <w:framePr w:hSpace="181" w:wrap="notBeside" w:vAnchor="text" w:hAnchor="text" w:xAlign="center" w:y="1"/>
              <w:spacing w:line="240" w:lineRule="exact"/>
              <w:jc w:val="left"/>
            </w:pPr>
            <w:r>
              <w:t>Bande passive (</w:t>
            </w:r>
            <w:r>
              <w:rPr>
                <w:rFonts w:ascii="Symbol" w:hAnsi="Symbol"/>
              </w:rPr>
              <w:t></w:t>
            </w:r>
            <w:r>
              <w:rPr>
                <w:rFonts w:ascii="Symbol" w:hAnsi="Symbol"/>
              </w:rPr>
              <w:t></w:t>
            </w:r>
            <w:r>
              <w:rPr>
                <w:i/>
                <w:iCs/>
              </w:rPr>
              <w:t>B</w:t>
            </w:r>
            <w:r>
              <w:rPr>
                <w:i/>
                <w:iCs/>
                <w:vertAlign w:val="subscript"/>
              </w:rPr>
              <w:t>N</w:t>
            </w:r>
            <w:r>
              <w:t>)</w:t>
            </w:r>
          </w:p>
        </w:tc>
        <w:tc>
          <w:tcPr>
            <w:tcW w:w="1197" w:type="dxa"/>
          </w:tcPr>
          <w:p w:rsidR="002B489A" w:rsidRDefault="004F19C4">
            <w:pPr>
              <w:pStyle w:val="Tabletext"/>
              <w:framePr w:hSpace="181" w:wrap="notBeside" w:vAnchor="text" w:hAnchor="text" w:xAlign="center" w:y="1"/>
              <w:spacing w:line="240" w:lineRule="exact"/>
              <w:jc w:val="center"/>
            </w:pPr>
            <w:r>
              <w:t>107</w:t>
            </w:r>
          </w:p>
        </w:tc>
        <w:tc>
          <w:tcPr>
            <w:tcW w:w="1197" w:type="dxa"/>
          </w:tcPr>
          <w:p w:rsidR="002B489A" w:rsidRDefault="004F19C4">
            <w:pPr>
              <w:pStyle w:val="Tabletext"/>
              <w:framePr w:hSpace="181" w:wrap="notBeside" w:vAnchor="text" w:hAnchor="text" w:xAlign="center" w:y="1"/>
              <w:spacing w:line="240" w:lineRule="exact"/>
              <w:jc w:val="center"/>
            </w:pPr>
            <w:r>
              <w:t>40</w:t>
            </w:r>
          </w:p>
        </w:tc>
        <w:tc>
          <w:tcPr>
            <w:tcW w:w="1197" w:type="dxa"/>
          </w:tcPr>
          <w:p w:rsidR="002B489A" w:rsidRDefault="004F19C4">
            <w:pPr>
              <w:pStyle w:val="Tabletext"/>
              <w:framePr w:hSpace="181" w:wrap="notBeside" w:vAnchor="text" w:hAnchor="text" w:xAlign="center" w:y="1"/>
              <w:spacing w:line="240" w:lineRule="exact"/>
              <w:jc w:val="center"/>
            </w:pPr>
            <w:r>
              <w:t>160</w:t>
            </w:r>
          </w:p>
        </w:tc>
        <w:tc>
          <w:tcPr>
            <w:tcW w:w="1197" w:type="dxa"/>
          </w:tcPr>
          <w:p w:rsidR="002B489A" w:rsidRDefault="004F19C4">
            <w:pPr>
              <w:pStyle w:val="Tabletext"/>
              <w:framePr w:hSpace="181" w:wrap="notBeside" w:vAnchor="text" w:hAnchor="text" w:xAlign="center" w:y="1"/>
              <w:spacing w:line="240" w:lineRule="exact"/>
              <w:jc w:val="center"/>
            </w:pPr>
            <w:r>
              <w:rPr>
                <w:rFonts w:ascii="Symbol" w:hAnsi="Symbol"/>
              </w:rPr>
              <w:t></w:t>
            </w:r>
            <w:r>
              <w:rPr>
                <w:rFonts w:ascii="Tms Rmn" w:hAnsi="Tms Rmn"/>
                <w:sz w:val="12"/>
              </w:rPr>
              <w:t> </w:t>
            </w:r>
            <w:r>
              <w:t>1</w:t>
            </w:r>
            <w:r>
              <w:rPr>
                <w:rFonts w:ascii="Tms Rmn" w:hAnsi="Tms Rmn"/>
                <w:sz w:val="12"/>
              </w:rPr>
              <w:t> </w:t>
            </w:r>
            <w:r>
              <w:t>000</w:t>
            </w:r>
          </w:p>
        </w:tc>
        <w:tc>
          <w:tcPr>
            <w:tcW w:w="1197" w:type="dxa"/>
          </w:tcPr>
          <w:p w:rsidR="002B489A" w:rsidRDefault="004F19C4">
            <w:pPr>
              <w:pStyle w:val="Tabletext"/>
              <w:framePr w:hSpace="181" w:wrap="notBeside" w:vAnchor="text" w:hAnchor="text" w:xAlign="center" w:y="1"/>
              <w:spacing w:line="240" w:lineRule="exact"/>
              <w:jc w:val="center"/>
            </w:pPr>
            <w:r>
              <w:rPr>
                <w:rFonts w:ascii="Symbol" w:hAnsi="Symbol"/>
              </w:rPr>
              <w:t></w:t>
            </w:r>
            <w:r>
              <w:rPr>
                <w:rFonts w:ascii="Tms Rmn" w:hAnsi="Tms Rmn"/>
                <w:sz w:val="12"/>
              </w:rPr>
              <w:t> </w:t>
            </w:r>
            <w:r>
              <w:t>1</w:t>
            </w:r>
            <w:r>
              <w:rPr>
                <w:rFonts w:ascii="Tms Rmn" w:hAnsi="Tms Rmn"/>
                <w:sz w:val="12"/>
              </w:rPr>
              <w:t> </w:t>
            </w:r>
            <w:r>
              <w:t>000</w:t>
            </w:r>
          </w:p>
        </w:tc>
        <w:tc>
          <w:tcPr>
            <w:tcW w:w="1197" w:type="dxa"/>
          </w:tcPr>
          <w:p w:rsidR="002B489A" w:rsidRDefault="004F19C4">
            <w:pPr>
              <w:pStyle w:val="Tabletext"/>
              <w:framePr w:hSpace="181" w:wrap="notBeside" w:vAnchor="text" w:hAnchor="text" w:xAlign="center" w:y="1"/>
              <w:spacing w:line="240" w:lineRule="exact"/>
              <w:jc w:val="center"/>
            </w:pPr>
            <w:r>
              <w:rPr>
                <w:rFonts w:ascii="Symbol" w:hAnsi="Symbol"/>
              </w:rPr>
              <w:t></w:t>
            </w:r>
            <w:r>
              <w:rPr>
                <w:rFonts w:ascii="Tms Rmn" w:hAnsi="Tms Rmn"/>
                <w:sz w:val="12"/>
              </w:rPr>
              <w:t> </w:t>
            </w:r>
            <w:r>
              <w:t>1</w:t>
            </w:r>
            <w:r>
              <w:rPr>
                <w:rFonts w:ascii="Tms Rmn" w:hAnsi="Tms Rmn"/>
                <w:sz w:val="12"/>
              </w:rPr>
              <w:t> </w:t>
            </w:r>
            <w:r>
              <w:t>000</w:t>
            </w:r>
          </w:p>
        </w:tc>
      </w:tr>
      <w:tr w:rsidR="002B489A">
        <w:trPr>
          <w:trHeight w:hRule="exact" w:val="567"/>
        </w:trPr>
        <w:tc>
          <w:tcPr>
            <w:tcW w:w="2457" w:type="dxa"/>
          </w:tcPr>
          <w:p w:rsidR="002B489A" w:rsidRDefault="004F19C4">
            <w:pPr>
              <w:pStyle w:val="Tabletext"/>
              <w:framePr w:hSpace="181" w:wrap="notBeside" w:vAnchor="text" w:hAnchor="text" w:xAlign="center" w:y="1"/>
              <w:spacing w:line="240" w:lineRule="exact"/>
              <w:jc w:val="left"/>
            </w:pPr>
            <w:r>
              <w:t xml:space="preserve">Décalage par rapport au centre </w:t>
            </w:r>
            <w:r>
              <w:rPr>
                <w:i/>
                <w:iCs/>
              </w:rPr>
              <w:t>B</w:t>
            </w:r>
            <w:r>
              <w:rPr>
                <w:i/>
                <w:iCs/>
                <w:vertAlign w:val="subscript"/>
              </w:rPr>
              <w:t>N</w:t>
            </w:r>
            <w:r>
              <w:t> (</w:t>
            </w:r>
            <w:r>
              <w:rPr>
                <w:rFonts w:ascii="Symbol" w:hAnsi="Symbol"/>
              </w:rPr>
              <w:t></w:t>
            </w:r>
            <w:r>
              <w:t xml:space="preserve"> </w:t>
            </w:r>
            <w:r>
              <w:rPr>
                <w:i/>
                <w:iCs/>
              </w:rPr>
              <w:t>B</w:t>
            </w:r>
            <w:r>
              <w:rPr>
                <w:i/>
                <w:iCs/>
                <w:vertAlign w:val="subscript"/>
              </w:rPr>
              <w:t>N</w:t>
            </w:r>
            <w:r>
              <w:t>)</w:t>
            </w:r>
          </w:p>
        </w:tc>
        <w:tc>
          <w:tcPr>
            <w:tcW w:w="1197" w:type="dxa"/>
            <w:vAlign w:val="center"/>
          </w:tcPr>
          <w:p w:rsidR="002B489A" w:rsidRDefault="004F19C4">
            <w:pPr>
              <w:pStyle w:val="Tabletext"/>
              <w:framePr w:hSpace="181" w:wrap="notBeside" w:vAnchor="text" w:hAnchor="text" w:xAlign="center" w:y="1"/>
              <w:spacing w:line="240" w:lineRule="exact"/>
              <w:jc w:val="center"/>
            </w:pPr>
            <w:r>
              <w:t>145</w:t>
            </w:r>
          </w:p>
        </w:tc>
        <w:tc>
          <w:tcPr>
            <w:tcW w:w="1197" w:type="dxa"/>
            <w:vAlign w:val="center"/>
          </w:tcPr>
          <w:p w:rsidR="002B489A" w:rsidRDefault="004F19C4">
            <w:pPr>
              <w:pStyle w:val="Tabletext"/>
              <w:framePr w:hSpace="181" w:wrap="notBeside" w:vAnchor="text" w:hAnchor="text" w:xAlign="center" w:y="1"/>
              <w:spacing w:line="240" w:lineRule="exact"/>
              <w:jc w:val="center"/>
            </w:pPr>
            <w:r>
              <w:t>75</w:t>
            </w:r>
          </w:p>
        </w:tc>
        <w:tc>
          <w:tcPr>
            <w:tcW w:w="1197" w:type="dxa"/>
            <w:vAlign w:val="center"/>
          </w:tcPr>
          <w:p w:rsidR="002B489A" w:rsidRDefault="004F19C4">
            <w:pPr>
              <w:pStyle w:val="Tabletext"/>
              <w:framePr w:hSpace="181" w:wrap="notBeside" w:vAnchor="text" w:hAnchor="text" w:xAlign="center" w:y="1"/>
              <w:spacing w:line="240" w:lineRule="exact"/>
              <w:jc w:val="center"/>
            </w:pPr>
            <w:r>
              <w:t>70</w:t>
            </w:r>
          </w:p>
        </w:tc>
        <w:tc>
          <w:tcPr>
            <w:tcW w:w="1197" w:type="dxa"/>
            <w:vAlign w:val="center"/>
          </w:tcPr>
          <w:p w:rsidR="002B489A" w:rsidRDefault="004F19C4">
            <w:pPr>
              <w:pStyle w:val="Tabletext"/>
              <w:framePr w:hSpace="181" w:wrap="notBeside" w:vAnchor="text" w:hAnchor="text" w:xAlign="center" w:y="1"/>
              <w:spacing w:line="240" w:lineRule="exact"/>
              <w:jc w:val="center"/>
            </w:pPr>
            <w:r>
              <w:t>90</w:t>
            </w:r>
          </w:p>
        </w:tc>
        <w:tc>
          <w:tcPr>
            <w:tcW w:w="1197" w:type="dxa"/>
            <w:vAlign w:val="center"/>
          </w:tcPr>
          <w:p w:rsidR="002B489A" w:rsidRDefault="004F19C4">
            <w:pPr>
              <w:pStyle w:val="Tabletext"/>
              <w:framePr w:hSpace="181" w:wrap="notBeside" w:vAnchor="text" w:hAnchor="text" w:xAlign="center" w:y="1"/>
              <w:spacing w:line="240" w:lineRule="exact"/>
              <w:jc w:val="center"/>
            </w:pPr>
            <w:r>
              <w:t>80</w:t>
            </w:r>
          </w:p>
        </w:tc>
        <w:tc>
          <w:tcPr>
            <w:tcW w:w="1197" w:type="dxa"/>
            <w:vAlign w:val="center"/>
          </w:tcPr>
          <w:p w:rsidR="002B489A" w:rsidRDefault="004F19C4">
            <w:pPr>
              <w:pStyle w:val="Tabletext"/>
              <w:framePr w:hSpace="181" w:wrap="notBeside" w:vAnchor="text" w:hAnchor="text" w:xAlign="center" w:y="1"/>
              <w:spacing w:line="240" w:lineRule="exact"/>
              <w:jc w:val="center"/>
            </w:pPr>
            <w:r>
              <w:t>50</w:t>
            </w:r>
          </w:p>
        </w:tc>
      </w:tr>
      <w:tr w:rsidR="002B489A">
        <w:trPr>
          <w:trHeight w:hRule="exact" w:val="567"/>
        </w:trPr>
        <w:tc>
          <w:tcPr>
            <w:tcW w:w="2457" w:type="dxa"/>
          </w:tcPr>
          <w:p w:rsidR="002B489A" w:rsidRDefault="004F19C4">
            <w:pPr>
              <w:pStyle w:val="Tabletext"/>
              <w:framePr w:hSpace="181" w:wrap="notBeside" w:vAnchor="text" w:hAnchor="text" w:xAlign="center" w:y="1"/>
              <w:spacing w:line="240" w:lineRule="exact"/>
              <w:jc w:val="left"/>
            </w:pPr>
            <w:r>
              <w:t xml:space="preserve">Décalage par rapport au centre </w:t>
            </w:r>
            <w:r>
              <w:rPr>
                <w:i/>
                <w:iCs/>
              </w:rPr>
              <w:t>B</w:t>
            </w:r>
            <w:r>
              <w:rPr>
                <w:i/>
                <w:iCs/>
                <w:vertAlign w:val="subscript"/>
              </w:rPr>
              <w:t>N</w:t>
            </w:r>
            <w:r>
              <w:t> (MHz)</w:t>
            </w:r>
          </w:p>
        </w:tc>
        <w:tc>
          <w:tcPr>
            <w:tcW w:w="1197" w:type="dxa"/>
            <w:vAlign w:val="center"/>
          </w:tcPr>
          <w:p w:rsidR="002B489A" w:rsidRDefault="004F19C4">
            <w:pPr>
              <w:pStyle w:val="Tabletext"/>
              <w:framePr w:hSpace="181" w:wrap="notBeside" w:vAnchor="text" w:hAnchor="text" w:xAlign="center" w:y="1"/>
              <w:spacing w:line="240" w:lineRule="exact"/>
              <w:jc w:val="center"/>
            </w:pPr>
            <w:r>
              <w:t>271</w:t>
            </w:r>
          </w:p>
        </w:tc>
        <w:tc>
          <w:tcPr>
            <w:tcW w:w="1197" w:type="dxa"/>
            <w:vAlign w:val="center"/>
          </w:tcPr>
          <w:p w:rsidR="002B489A" w:rsidRDefault="004F19C4">
            <w:pPr>
              <w:pStyle w:val="Tabletext"/>
              <w:framePr w:hSpace="181" w:wrap="notBeside" w:vAnchor="text" w:hAnchor="text" w:xAlign="center" w:y="1"/>
              <w:spacing w:line="240" w:lineRule="exact"/>
              <w:jc w:val="center"/>
            </w:pPr>
            <w:r>
              <w:t>375</w:t>
            </w:r>
          </w:p>
        </w:tc>
        <w:tc>
          <w:tcPr>
            <w:tcW w:w="1197" w:type="dxa"/>
            <w:vAlign w:val="center"/>
          </w:tcPr>
          <w:p w:rsidR="002B489A" w:rsidRDefault="004F19C4">
            <w:pPr>
              <w:pStyle w:val="Tabletext"/>
              <w:framePr w:hSpace="181" w:wrap="notBeside" w:vAnchor="text" w:hAnchor="text" w:xAlign="center" w:y="1"/>
              <w:spacing w:line="240" w:lineRule="exact"/>
              <w:jc w:val="center"/>
            </w:pPr>
            <w:r>
              <w:t>88</w:t>
            </w:r>
          </w:p>
        </w:tc>
        <w:tc>
          <w:tcPr>
            <w:tcW w:w="1197" w:type="dxa"/>
            <w:vAlign w:val="center"/>
          </w:tcPr>
          <w:p w:rsidR="002B489A" w:rsidRDefault="004F19C4">
            <w:pPr>
              <w:pStyle w:val="Tabletext"/>
              <w:framePr w:hSpace="181" w:wrap="notBeside" w:vAnchor="text" w:hAnchor="text" w:xAlign="center" w:y="1"/>
              <w:spacing w:line="240" w:lineRule="exact"/>
              <w:ind w:left="-57" w:right="-57"/>
              <w:jc w:val="center"/>
            </w:pPr>
            <w:r>
              <w:t>Négligeable</w:t>
            </w:r>
          </w:p>
        </w:tc>
        <w:tc>
          <w:tcPr>
            <w:tcW w:w="1197" w:type="dxa"/>
            <w:vAlign w:val="center"/>
          </w:tcPr>
          <w:p w:rsidR="002B489A" w:rsidRDefault="004F19C4">
            <w:pPr>
              <w:pStyle w:val="Tabletext"/>
              <w:framePr w:hSpace="181" w:wrap="notBeside" w:vAnchor="text" w:hAnchor="text" w:xAlign="center" w:y="1"/>
              <w:spacing w:line="240" w:lineRule="exact"/>
              <w:ind w:left="-57" w:right="-57"/>
              <w:jc w:val="center"/>
            </w:pPr>
            <w:r>
              <w:t>Négligeable</w:t>
            </w:r>
          </w:p>
        </w:tc>
        <w:tc>
          <w:tcPr>
            <w:tcW w:w="1197" w:type="dxa"/>
            <w:vAlign w:val="center"/>
          </w:tcPr>
          <w:p w:rsidR="002B489A" w:rsidRDefault="004F19C4">
            <w:pPr>
              <w:pStyle w:val="Tabletext"/>
              <w:framePr w:hSpace="181" w:wrap="notBeside" w:vAnchor="text" w:hAnchor="text" w:xAlign="center" w:y="1"/>
              <w:spacing w:line="240" w:lineRule="exact"/>
              <w:ind w:left="-57" w:right="-57"/>
              <w:jc w:val="center"/>
            </w:pPr>
            <w:r>
              <w:t>Négligeable</w:t>
            </w:r>
          </w:p>
        </w:tc>
      </w:tr>
      <w:tr w:rsidR="002B489A">
        <w:trPr>
          <w:trHeight w:hRule="exact" w:val="851"/>
        </w:trPr>
        <w:tc>
          <w:tcPr>
            <w:tcW w:w="2457" w:type="dxa"/>
          </w:tcPr>
          <w:p w:rsidR="002B489A" w:rsidRDefault="004F19C4">
            <w:pPr>
              <w:pStyle w:val="Tabletext"/>
              <w:framePr w:hSpace="181" w:wrap="notBeside" w:vAnchor="text" w:hAnchor="text" w:xAlign="center" w:y="1"/>
              <w:spacing w:line="240" w:lineRule="exact"/>
              <w:jc w:val="left"/>
            </w:pPr>
            <w:r>
              <w:t>Bande de garde supplémentaire requise (MHz)</w:t>
            </w:r>
          </w:p>
        </w:tc>
        <w:tc>
          <w:tcPr>
            <w:tcW w:w="1197" w:type="dxa"/>
            <w:vAlign w:val="center"/>
          </w:tcPr>
          <w:p w:rsidR="002B489A" w:rsidRDefault="004F19C4">
            <w:pPr>
              <w:pStyle w:val="Tabletext"/>
              <w:framePr w:hSpace="181" w:wrap="notBeside" w:vAnchor="text" w:hAnchor="text" w:xAlign="center" w:y="1"/>
              <w:spacing w:line="240" w:lineRule="exact"/>
              <w:jc w:val="center"/>
            </w:pPr>
            <w:r>
              <w:t>0</w:t>
            </w:r>
          </w:p>
        </w:tc>
        <w:tc>
          <w:tcPr>
            <w:tcW w:w="1197" w:type="dxa"/>
            <w:vAlign w:val="center"/>
          </w:tcPr>
          <w:p w:rsidR="002B489A" w:rsidRDefault="004F19C4">
            <w:pPr>
              <w:pStyle w:val="Tabletext"/>
              <w:framePr w:hSpace="181" w:wrap="notBeside" w:vAnchor="text" w:hAnchor="text" w:xAlign="center" w:y="1"/>
              <w:spacing w:line="240" w:lineRule="exact"/>
              <w:jc w:val="center"/>
            </w:pPr>
            <w:r>
              <w:t>0</w:t>
            </w:r>
          </w:p>
        </w:tc>
        <w:tc>
          <w:tcPr>
            <w:tcW w:w="1197" w:type="dxa"/>
            <w:vAlign w:val="center"/>
          </w:tcPr>
          <w:p w:rsidR="002B489A" w:rsidRDefault="004F19C4">
            <w:pPr>
              <w:pStyle w:val="Tabletext"/>
              <w:framePr w:hSpace="181" w:wrap="notBeside" w:vAnchor="text" w:hAnchor="text" w:xAlign="center" w:y="1"/>
              <w:spacing w:line="240" w:lineRule="exact"/>
              <w:jc w:val="center"/>
            </w:pPr>
            <w:r>
              <w:t>0</w:t>
            </w:r>
          </w:p>
        </w:tc>
        <w:tc>
          <w:tcPr>
            <w:tcW w:w="1197" w:type="dxa"/>
            <w:vAlign w:val="center"/>
          </w:tcPr>
          <w:p w:rsidR="002B489A" w:rsidRDefault="004F19C4">
            <w:pPr>
              <w:pStyle w:val="Tabletext"/>
              <w:framePr w:hSpace="181" w:wrap="notBeside" w:vAnchor="text" w:hAnchor="text" w:xAlign="center" w:y="1"/>
              <w:spacing w:line="240" w:lineRule="exact"/>
              <w:jc w:val="center"/>
            </w:pPr>
            <w:r>
              <w:t>0</w:t>
            </w:r>
          </w:p>
        </w:tc>
        <w:tc>
          <w:tcPr>
            <w:tcW w:w="1197" w:type="dxa"/>
            <w:vAlign w:val="center"/>
          </w:tcPr>
          <w:p w:rsidR="002B489A" w:rsidRDefault="004F19C4">
            <w:pPr>
              <w:pStyle w:val="Tabletext"/>
              <w:framePr w:hSpace="181" w:wrap="notBeside" w:vAnchor="text" w:hAnchor="text" w:xAlign="center" w:y="1"/>
              <w:spacing w:line="240" w:lineRule="exact"/>
              <w:jc w:val="center"/>
            </w:pPr>
            <w:r>
              <w:t>0</w:t>
            </w:r>
          </w:p>
        </w:tc>
        <w:tc>
          <w:tcPr>
            <w:tcW w:w="1197" w:type="dxa"/>
            <w:vAlign w:val="center"/>
          </w:tcPr>
          <w:p w:rsidR="002B489A" w:rsidRDefault="004F19C4">
            <w:pPr>
              <w:pStyle w:val="Tabletext"/>
              <w:framePr w:hSpace="181" w:wrap="notBeside" w:vAnchor="text" w:hAnchor="text" w:xAlign="center" w:y="1"/>
              <w:spacing w:line="240" w:lineRule="exact"/>
              <w:jc w:val="center"/>
            </w:pPr>
            <w:r>
              <w:t>0</w:t>
            </w:r>
          </w:p>
        </w:tc>
      </w:tr>
    </w:tbl>
    <w:p w:rsidR="002B489A" w:rsidRDefault="002B489A">
      <w:pPr>
        <w:pStyle w:val="Tablefin"/>
      </w:pPr>
    </w:p>
    <w:p w:rsidR="002B489A" w:rsidRDefault="002B489A">
      <w:pPr>
        <w:rPr>
          <w:lang w:val="en-GB"/>
        </w:rPr>
      </w:pPr>
    </w:p>
    <w:p w:rsidR="002B489A" w:rsidRDefault="004F19C4">
      <w:pPr>
        <w:pStyle w:val="TableNo"/>
      </w:pPr>
      <w:r>
        <w:t>TABLEAU  70</w:t>
      </w:r>
    </w:p>
    <w:p w:rsidR="002B489A" w:rsidRDefault="004F19C4">
      <w:pPr>
        <w:pStyle w:val="Tabletitle"/>
      </w:pPr>
      <w:r>
        <w:t>Récapitulation des bandes de garde nécessaires pour protéger les</w:t>
      </w:r>
      <w:r>
        <w:br/>
        <w:t>détecteurs passifs contre les stations terriennes SFS OSG</w:t>
      </w:r>
      <w:r>
        <w:br/>
        <w:t>(détecteur proche du zénith de la station terrienne)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7"/>
        <w:gridCol w:w="1197"/>
        <w:gridCol w:w="1197"/>
        <w:gridCol w:w="1197"/>
        <w:gridCol w:w="1197"/>
        <w:gridCol w:w="1197"/>
        <w:gridCol w:w="1197"/>
      </w:tblGrid>
      <w:tr w:rsidR="002B489A">
        <w:tc>
          <w:tcPr>
            <w:tcW w:w="2457" w:type="dxa"/>
          </w:tcPr>
          <w:p w:rsidR="002B489A" w:rsidRDefault="002B489A">
            <w:pPr>
              <w:pStyle w:val="Tablehead"/>
              <w:framePr w:hSpace="181" w:wrap="notBeside" w:vAnchor="text" w:hAnchor="text" w:xAlign="center" w:y="1"/>
              <w:spacing w:before="120" w:after="120"/>
            </w:pPr>
          </w:p>
        </w:tc>
        <w:tc>
          <w:tcPr>
            <w:tcW w:w="1197" w:type="dxa"/>
          </w:tcPr>
          <w:p w:rsidR="002B489A" w:rsidRDefault="004F19C4">
            <w:pPr>
              <w:pStyle w:val="Tablehead"/>
              <w:framePr w:hSpace="181" w:wrap="notBeside" w:vAnchor="text" w:hAnchor="text" w:xAlign="center" w:y="1"/>
              <w:spacing w:before="120" w:after="120"/>
              <w:ind w:left="-57" w:right="-57"/>
              <w:rPr>
                <w:lang w:val="fr-CH"/>
              </w:rPr>
            </w:pPr>
            <w:r>
              <w:rPr>
                <w:lang w:val="fr-CH"/>
              </w:rPr>
              <w:t>GSO-Ka-1</w:t>
            </w:r>
          </w:p>
        </w:tc>
        <w:tc>
          <w:tcPr>
            <w:tcW w:w="1197" w:type="dxa"/>
          </w:tcPr>
          <w:p w:rsidR="002B489A" w:rsidRDefault="004F19C4">
            <w:pPr>
              <w:pStyle w:val="Tablehead"/>
              <w:framePr w:hSpace="181" w:wrap="notBeside" w:vAnchor="text" w:hAnchor="text" w:xAlign="center" w:y="1"/>
              <w:spacing w:before="120" w:after="120"/>
              <w:rPr>
                <w:lang w:val="fr-CH"/>
              </w:rPr>
            </w:pPr>
            <w:r>
              <w:rPr>
                <w:lang w:val="fr-CH"/>
              </w:rPr>
              <w:t>GSO-20</w:t>
            </w:r>
          </w:p>
        </w:tc>
        <w:tc>
          <w:tcPr>
            <w:tcW w:w="1197" w:type="dxa"/>
          </w:tcPr>
          <w:p w:rsidR="002B489A" w:rsidRDefault="004F19C4">
            <w:pPr>
              <w:pStyle w:val="Tablehead"/>
              <w:framePr w:hSpace="181" w:wrap="notBeside" w:vAnchor="text" w:hAnchor="text" w:xAlign="center" w:y="1"/>
              <w:spacing w:before="120" w:after="120"/>
              <w:rPr>
                <w:lang w:val="fr-CH"/>
              </w:rPr>
            </w:pPr>
            <w:r>
              <w:rPr>
                <w:lang w:val="fr-CH"/>
              </w:rPr>
              <w:t>GSO-F</w:t>
            </w:r>
          </w:p>
        </w:tc>
        <w:tc>
          <w:tcPr>
            <w:tcW w:w="1197" w:type="dxa"/>
          </w:tcPr>
          <w:p w:rsidR="002B489A" w:rsidRDefault="004F19C4">
            <w:pPr>
              <w:pStyle w:val="Tablehead"/>
              <w:framePr w:hSpace="181" w:wrap="notBeside" w:vAnchor="text" w:hAnchor="text" w:xAlign="center" w:y="1"/>
              <w:spacing w:before="120" w:after="120"/>
              <w:rPr>
                <w:lang w:val="fr-CH"/>
              </w:rPr>
            </w:pPr>
            <w:r>
              <w:rPr>
                <w:lang w:val="fr-CH"/>
              </w:rPr>
              <w:t>GSO-G</w:t>
            </w:r>
          </w:p>
        </w:tc>
        <w:tc>
          <w:tcPr>
            <w:tcW w:w="1197" w:type="dxa"/>
          </w:tcPr>
          <w:p w:rsidR="002B489A" w:rsidRDefault="004F19C4">
            <w:pPr>
              <w:pStyle w:val="Tablehead"/>
              <w:framePr w:hSpace="181" w:wrap="notBeside" w:vAnchor="text" w:hAnchor="text" w:xAlign="center" w:y="1"/>
              <w:spacing w:before="120" w:after="120"/>
              <w:rPr>
                <w:lang w:val="fr-CH"/>
              </w:rPr>
            </w:pPr>
            <w:r>
              <w:rPr>
                <w:lang w:val="fr-CH"/>
              </w:rPr>
              <w:t>GSO-H</w:t>
            </w:r>
          </w:p>
        </w:tc>
        <w:tc>
          <w:tcPr>
            <w:tcW w:w="1197" w:type="dxa"/>
          </w:tcPr>
          <w:p w:rsidR="002B489A" w:rsidRDefault="004F19C4">
            <w:pPr>
              <w:pStyle w:val="Tablehead"/>
              <w:framePr w:hSpace="181" w:wrap="notBeside" w:vAnchor="text" w:hAnchor="text" w:xAlign="center" w:y="1"/>
              <w:spacing w:before="120" w:after="120"/>
              <w:rPr>
                <w:lang w:val="fr-CH"/>
              </w:rPr>
            </w:pPr>
            <w:r>
              <w:rPr>
                <w:lang w:val="fr-CH"/>
              </w:rPr>
              <w:t>GSO-13</w:t>
            </w:r>
          </w:p>
        </w:tc>
      </w:tr>
      <w:tr w:rsidR="002B489A">
        <w:trPr>
          <w:trHeight w:hRule="exact" w:val="567"/>
        </w:trPr>
        <w:tc>
          <w:tcPr>
            <w:tcW w:w="2457" w:type="dxa"/>
          </w:tcPr>
          <w:p w:rsidR="002B489A" w:rsidRDefault="004F19C4">
            <w:pPr>
              <w:pStyle w:val="Tabletext"/>
              <w:framePr w:hSpace="181" w:wrap="notBeside" w:vAnchor="text" w:hAnchor="text" w:xAlign="center" w:y="1"/>
              <w:spacing w:line="240" w:lineRule="exact"/>
              <w:jc w:val="left"/>
            </w:pPr>
            <w:r>
              <w:t>Suppression de puissance requise (dB)</w:t>
            </w:r>
          </w:p>
        </w:tc>
        <w:tc>
          <w:tcPr>
            <w:tcW w:w="1197" w:type="dxa"/>
          </w:tcPr>
          <w:p w:rsidR="002B489A" w:rsidRDefault="004F19C4">
            <w:pPr>
              <w:pStyle w:val="Tabletext"/>
              <w:framePr w:hSpace="181" w:wrap="notBeside" w:vAnchor="text" w:hAnchor="text" w:xAlign="center" w:y="1"/>
              <w:spacing w:line="240" w:lineRule="exact"/>
              <w:jc w:val="center"/>
            </w:pPr>
            <w:r>
              <w:t>25,9</w:t>
            </w:r>
          </w:p>
        </w:tc>
        <w:tc>
          <w:tcPr>
            <w:tcW w:w="1197" w:type="dxa"/>
          </w:tcPr>
          <w:p w:rsidR="002B489A" w:rsidRDefault="004F19C4">
            <w:pPr>
              <w:pStyle w:val="Tabletext"/>
              <w:framePr w:hSpace="181" w:wrap="notBeside" w:vAnchor="text" w:hAnchor="text" w:xAlign="center" w:y="1"/>
              <w:spacing w:line="240" w:lineRule="exact"/>
              <w:jc w:val="center"/>
            </w:pPr>
            <w:r>
              <w:t>27,7</w:t>
            </w:r>
          </w:p>
        </w:tc>
        <w:tc>
          <w:tcPr>
            <w:tcW w:w="1197" w:type="dxa"/>
          </w:tcPr>
          <w:p w:rsidR="002B489A" w:rsidRDefault="004F19C4">
            <w:pPr>
              <w:pStyle w:val="Tabletext"/>
              <w:framePr w:hSpace="181" w:wrap="notBeside" w:vAnchor="text" w:hAnchor="text" w:xAlign="center" w:y="1"/>
              <w:spacing w:line="240" w:lineRule="exact"/>
              <w:jc w:val="center"/>
            </w:pPr>
            <w:r>
              <w:t>8,7</w:t>
            </w:r>
          </w:p>
        </w:tc>
        <w:tc>
          <w:tcPr>
            <w:tcW w:w="1197" w:type="dxa"/>
          </w:tcPr>
          <w:p w:rsidR="002B489A" w:rsidRDefault="004F19C4">
            <w:pPr>
              <w:pStyle w:val="Tabletext"/>
              <w:framePr w:hSpace="181" w:wrap="notBeside" w:vAnchor="text" w:hAnchor="text" w:xAlign="center" w:y="1"/>
              <w:spacing w:line="240" w:lineRule="exact"/>
              <w:jc w:val="center"/>
            </w:pPr>
            <w:r>
              <w:t>34,9</w:t>
            </w:r>
          </w:p>
        </w:tc>
        <w:tc>
          <w:tcPr>
            <w:tcW w:w="1197" w:type="dxa"/>
          </w:tcPr>
          <w:p w:rsidR="002B489A" w:rsidRDefault="004F19C4">
            <w:pPr>
              <w:pStyle w:val="Tabletext"/>
              <w:framePr w:hSpace="181" w:wrap="notBeside" w:vAnchor="text" w:hAnchor="text" w:xAlign="center" w:y="1"/>
              <w:spacing w:line="240" w:lineRule="exact"/>
              <w:jc w:val="center"/>
            </w:pPr>
            <w:r>
              <w:t>17,1</w:t>
            </w:r>
          </w:p>
        </w:tc>
        <w:tc>
          <w:tcPr>
            <w:tcW w:w="1197" w:type="dxa"/>
          </w:tcPr>
          <w:p w:rsidR="002B489A" w:rsidRDefault="004F19C4">
            <w:pPr>
              <w:pStyle w:val="Tabletext"/>
              <w:framePr w:hSpace="181" w:wrap="notBeside" w:vAnchor="text" w:hAnchor="text" w:xAlign="center" w:y="1"/>
              <w:spacing w:line="240" w:lineRule="exact"/>
              <w:jc w:val="center"/>
            </w:pPr>
            <w:r>
              <w:t>13,5</w:t>
            </w:r>
          </w:p>
        </w:tc>
      </w:tr>
      <w:tr w:rsidR="002B489A">
        <w:trPr>
          <w:trHeight w:hRule="exact" w:val="567"/>
        </w:trPr>
        <w:tc>
          <w:tcPr>
            <w:tcW w:w="2457" w:type="dxa"/>
          </w:tcPr>
          <w:p w:rsidR="002B489A" w:rsidRDefault="004F19C4">
            <w:pPr>
              <w:pStyle w:val="Tabletext"/>
              <w:framePr w:hSpace="181" w:wrap="notBeside" w:vAnchor="text" w:hAnchor="text" w:xAlign="center" w:y="1"/>
              <w:spacing w:line="240" w:lineRule="exact"/>
              <w:jc w:val="left"/>
            </w:pPr>
            <w:r>
              <w:t>Largeur de bande nécessaire (MHz)</w:t>
            </w:r>
          </w:p>
        </w:tc>
        <w:tc>
          <w:tcPr>
            <w:tcW w:w="1197" w:type="dxa"/>
          </w:tcPr>
          <w:p w:rsidR="002B489A" w:rsidRDefault="004F19C4">
            <w:pPr>
              <w:pStyle w:val="Tabletext"/>
              <w:framePr w:hSpace="181" w:wrap="notBeside" w:vAnchor="text" w:hAnchor="text" w:xAlign="center" w:y="1"/>
              <w:spacing w:line="240" w:lineRule="exact"/>
              <w:jc w:val="center"/>
            </w:pPr>
            <w:r>
              <w:t>186,6</w:t>
            </w:r>
          </w:p>
        </w:tc>
        <w:tc>
          <w:tcPr>
            <w:tcW w:w="1197" w:type="dxa"/>
          </w:tcPr>
          <w:p w:rsidR="002B489A" w:rsidRDefault="004F19C4">
            <w:pPr>
              <w:pStyle w:val="Tabletext"/>
              <w:framePr w:hSpace="181" w:wrap="notBeside" w:vAnchor="text" w:hAnchor="text" w:xAlign="center" w:y="1"/>
              <w:spacing w:line="240" w:lineRule="exact"/>
              <w:jc w:val="center"/>
            </w:pPr>
            <w:r>
              <w:t>500</w:t>
            </w:r>
          </w:p>
        </w:tc>
        <w:tc>
          <w:tcPr>
            <w:tcW w:w="1197" w:type="dxa"/>
          </w:tcPr>
          <w:p w:rsidR="002B489A" w:rsidRDefault="004F19C4">
            <w:pPr>
              <w:pStyle w:val="Tabletext"/>
              <w:framePr w:hSpace="181" w:wrap="notBeside" w:vAnchor="text" w:hAnchor="text" w:xAlign="center" w:y="1"/>
              <w:spacing w:line="240" w:lineRule="exact"/>
              <w:jc w:val="center"/>
            </w:pPr>
            <w:r>
              <w:t>125</w:t>
            </w:r>
          </w:p>
        </w:tc>
        <w:tc>
          <w:tcPr>
            <w:tcW w:w="1197" w:type="dxa"/>
          </w:tcPr>
          <w:p w:rsidR="002B489A" w:rsidRDefault="004F19C4">
            <w:pPr>
              <w:pStyle w:val="Tabletext"/>
              <w:framePr w:hSpace="181" w:wrap="notBeside" w:vAnchor="text" w:hAnchor="text" w:xAlign="center" w:y="1"/>
              <w:spacing w:line="240" w:lineRule="exact"/>
              <w:jc w:val="center"/>
            </w:pPr>
            <w:r>
              <w:t>0,0768</w:t>
            </w:r>
          </w:p>
        </w:tc>
        <w:tc>
          <w:tcPr>
            <w:tcW w:w="1197" w:type="dxa"/>
          </w:tcPr>
          <w:p w:rsidR="002B489A" w:rsidRDefault="004F19C4">
            <w:pPr>
              <w:pStyle w:val="Tabletext"/>
              <w:framePr w:hSpace="181" w:wrap="notBeside" w:vAnchor="text" w:hAnchor="text" w:xAlign="center" w:y="1"/>
              <w:spacing w:line="240" w:lineRule="exact"/>
              <w:jc w:val="center"/>
            </w:pPr>
            <w:r>
              <w:t>0,0768</w:t>
            </w:r>
          </w:p>
        </w:tc>
        <w:tc>
          <w:tcPr>
            <w:tcW w:w="1197" w:type="dxa"/>
          </w:tcPr>
          <w:p w:rsidR="002B489A" w:rsidRDefault="004F19C4">
            <w:pPr>
              <w:pStyle w:val="Tabletext"/>
              <w:framePr w:hSpace="181" w:wrap="notBeside" w:vAnchor="text" w:hAnchor="text" w:xAlign="center" w:y="1"/>
              <w:spacing w:line="240" w:lineRule="exact"/>
              <w:jc w:val="center"/>
            </w:pPr>
            <w:r>
              <w:t>0,340</w:t>
            </w:r>
          </w:p>
        </w:tc>
      </w:tr>
      <w:tr w:rsidR="002B489A">
        <w:trPr>
          <w:trHeight w:hRule="exact" w:val="400"/>
        </w:trPr>
        <w:tc>
          <w:tcPr>
            <w:tcW w:w="2457" w:type="dxa"/>
          </w:tcPr>
          <w:p w:rsidR="002B489A" w:rsidRDefault="004F19C4">
            <w:pPr>
              <w:pStyle w:val="Tabletext"/>
              <w:framePr w:hSpace="181" w:wrap="notBeside" w:vAnchor="text" w:hAnchor="text" w:xAlign="center" w:y="1"/>
              <w:spacing w:line="240" w:lineRule="exact"/>
              <w:jc w:val="left"/>
            </w:pPr>
            <w:r>
              <w:t>Bande passive (</w:t>
            </w:r>
            <w:r>
              <w:rPr>
                <w:rFonts w:ascii="Symbol" w:hAnsi="Symbol"/>
              </w:rPr>
              <w:t></w:t>
            </w:r>
            <w:r>
              <w:t xml:space="preserve"> </w:t>
            </w:r>
            <w:r>
              <w:rPr>
                <w:i/>
                <w:iCs/>
              </w:rPr>
              <w:t>B</w:t>
            </w:r>
            <w:r>
              <w:rPr>
                <w:i/>
                <w:iCs/>
                <w:vertAlign w:val="subscript"/>
              </w:rPr>
              <w:t>N</w:t>
            </w:r>
            <w:r>
              <w:t>)</w:t>
            </w:r>
          </w:p>
        </w:tc>
        <w:tc>
          <w:tcPr>
            <w:tcW w:w="1197" w:type="dxa"/>
          </w:tcPr>
          <w:p w:rsidR="002B489A" w:rsidRDefault="004F19C4">
            <w:pPr>
              <w:pStyle w:val="Tabletext"/>
              <w:framePr w:hSpace="181" w:wrap="notBeside" w:vAnchor="text" w:hAnchor="text" w:xAlign="center" w:y="1"/>
              <w:spacing w:line="240" w:lineRule="exact"/>
              <w:jc w:val="center"/>
            </w:pPr>
            <w:r>
              <w:t>107</w:t>
            </w:r>
          </w:p>
        </w:tc>
        <w:tc>
          <w:tcPr>
            <w:tcW w:w="1197" w:type="dxa"/>
          </w:tcPr>
          <w:p w:rsidR="002B489A" w:rsidRDefault="004F19C4">
            <w:pPr>
              <w:pStyle w:val="Tabletext"/>
              <w:framePr w:hSpace="181" w:wrap="notBeside" w:vAnchor="text" w:hAnchor="text" w:xAlign="center" w:y="1"/>
              <w:spacing w:line="240" w:lineRule="exact"/>
              <w:jc w:val="center"/>
            </w:pPr>
            <w:r>
              <w:t>40</w:t>
            </w:r>
          </w:p>
        </w:tc>
        <w:tc>
          <w:tcPr>
            <w:tcW w:w="1197" w:type="dxa"/>
          </w:tcPr>
          <w:p w:rsidR="002B489A" w:rsidRDefault="004F19C4">
            <w:pPr>
              <w:pStyle w:val="Tabletext"/>
              <w:framePr w:hSpace="181" w:wrap="notBeside" w:vAnchor="text" w:hAnchor="text" w:xAlign="center" w:y="1"/>
              <w:spacing w:line="240" w:lineRule="exact"/>
              <w:jc w:val="center"/>
            </w:pPr>
            <w:r>
              <w:t>160</w:t>
            </w:r>
          </w:p>
        </w:tc>
        <w:tc>
          <w:tcPr>
            <w:tcW w:w="1197" w:type="dxa"/>
          </w:tcPr>
          <w:p w:rsidR="002B489A" w:rsidRDefault="004F19C4">
            <w:pPr>
              <w:pStyle w:val="Tabletext"/>
              <w:framePr w:hSpace="181" w:wrap="notBeside" w:vAnchor="text" w:hAnchor="text" w:xAlign="center" w:y="1"/>
              <w:spacing w:line="240" w:lineRule="exact"/>
              <w:jc w:val="center"/>
            </w:pPr>
            <w:r>
              <w:rPr>
                <w:rFonts w:ascii="Symbol" w:hAnsi="Symbol"/>
              </w:rPr>
              <w:t></w:t>
            </w:r>
            <w:r>
              <w:rPr>
                <w:rFonts w:ascii="Tms Rmn" w:hAnsi="Tms Rmn"/>
                <w:sz w:val="12"/>
              </w:rPr>
              <w:t> </w:t>
            </w:r>
            <w:r>
              <w:t>1</w:t>
            </w:r>
            <w:r>
              <w:rPr>
                <w:rFonts w:ascii="Tms Rmn" w:hAnsi="Tms Rmn"/>
                <w:sz w:val="12"/>
              </w:rPr>
              <w:t> </w:t>
            </w:r>
            <w:r>
              <w:t>000</w:t>
            </w:r>
          </w:p>
        </w:tc>
        <w:tc>
          <w:tcPr>
            <w:tcW w:w="1197" w:type="dxa"/>
          </w:tcPr>
          <w:p w:rsidR="002B489A" w:rsidRDefault="004F19C4">
            <w:pPr>
              <w:pStyle w:val="Tabletext"/>
              <w:framePr w:hSpace="181" w:wrap="notBeside" w:vAnchor="text" w:hAnchor="text" w:xAlign="center" w:y="1"/>
              <w:spacing w:line="240" w:lineRule="exact"/>
              <w:jc w:val="center"/>
            </w:pPr>
            <w:r>
              <w:rPr>
                <w:rFonts w:ascii="Symbol" w:hAnsi="Symbol"/>
              </w:rPr>
              <w:t></w:t>
            </w:r>
            <w:r>
              <w:rPr>
                <w:rFonts w:ascii="Tms Rmn" w:hAnsi="Tms Rmn"/>
                <w:sz w:val="12"/>
              </w:rPr>
              <w:t> </w:t>
            </w:r>
            <w:r>
              <w:t>1</w:t>
            </w:r>
            <w:r>
              <w:rPr>
                <w:rFonts w:ascii="Tms Rmn" w:hAnsi="Tms Rmn"/>
                <w:sz w:val="12"/>
              </w:rPr>
              <w:t> </w:t>
            </w:r>
            <w:r>
              <w:t>000</w:t>
            </w:r>
          </w:p>
        </w:tc>
        <w:tc>
          <w:tcPr>
            <w:tcW w:w="1197" w:type="dxa"/>
          </w:tcPr>
          <w:p w:rsidR="002B489A" w:rsidRDefault="004F19C4">
            <w:pPr>
              <w:pStyle w:val="Tabletext"/>
              <w:framePr w:hSpace="181" w:wrap="notBeside" w:vAnchor="text" w:hAnchor="text" w:xAlign="center" w:y="1"/>
              <w:spacing w:line="240" w:lineRule="exact"/>
              <w:jc w:val="center"/>
            </w:pPr>
            <w:r>
              <w:rPr>
                <w:rFonts w:ascii="Symbol" w:hAnsi="Symbol"/>
              </w:rPr>
              <w:t></w:t>
            </w:r>
            <w:r>
              <w:rPr>
                <w:rFonts w:ascii="Tms Rmn" w:hAnsi="Tms Rmn"/>
                <w:sz w:val="12"/>
              </w:rPr>
              <w:t> </w:t>
            </w:r>
            <w:r>
              <w:t>1</w:t>
            </w:r>
            <w:r>
              <w:rPr>
                <w:rFonts w:ascii="Tms Rmn" w:hAnsi="Tms Rmn"/>
                <w:sz w:val="12"/>
              </w:rPr>
              <w:t> </w:t>
            </w:r>
            <w:r>
              <w:t>000</w:t>
            </w:r>
          </w:p>
        </w:tc>
      </w:tr>
      <w:tr w:rsidR="002B489A">
        <w:trPr>
          <w:trHeight w:hRule="exact" w:val="567"/>
        </w:trPr>
        <w:tc>
          <w:tcPr>
            <w:tcW w:w="2457" w:type="dxa"/>
          </w:tcPr>
          <w:p w:rsidR="002B489A" w:rsidRDefault="004F19C4">
            <w:pPr>
              <w:pStyle w:val="Tabletext"/>
              <w:framePr w:hSpace="181" w:wrap="notBeside" w:vAnchor="text" w:hAnchor="text" w:xAlign="center" w:y="1"/>
              <w:spacing w:line="240" w:lineRule="exact"/>
              <w:jc w:val="left"/>
            </w:pPr>
            <w:r>
              <w:t xml:space="preserve">Décalage par rapport au centre </w:t>
            </w:r>
            <w:r>
              <w:rPr>
                <w:i/>
                <w:iCs/>
              </w:rPr>
              <w:t>B</w:t>
            </w:r>
            <w:r>
              <w:rPr>
                <w:i/>
                <w:iCs/>
                <w:vertAlign w:val="subscript"/>
              </w:rPr>
              <w:t>N</w:t>
            </w:r>
            <w:r>
              <w:t xml:space="preserve"> (</w:t>
            </w:r>
            <w:r>
              <w:rPr>
                <w:rFonts w:ascii="Symbol" w:hAnsi="Symbol"/>
              </w:rPr>
              <w:t></w:t>
            </w:r>
            <w:r>
              <w:t xml:space="preserve"> </w:t>
            </w:r>
            <w:r>
              <w:rPr>
                <w:i/>
                <w:iCs/>
              </w:rPr>
              <w:t>B</w:t>
            </w:r>
            <w:r>
              <w:rPr>
                <w:i/>
                <w:iCs/>
                <w:vertAlign w:val="subscript"/>
              </w:rPr>
              <w:t>N</w:t>
            </w:r>
            <w:r>
              <w:t>)</w:t>
            </w:r>
          </w:p>
        </w:tc>
        <w:tc>
          <w:tcPr>
            <w:tcW w:w="1197" w:type="dxa"/>
          </w:tcPr>
          <w:p w:rsidR="002B489A" w:rsidRDefault="004F19C4">
            <w:pPr>
              <w:pStyle w:val="Tabletext"/>
              <w:framePr w:hSpace="181" w:wrap="notBeside" w:vAnchor="text" w:hAnchor="text" w:xAlign="center" w:y="1"/>
              <w:spacing w:line="240" w:lineRule="exact"/>
              <w:jc w:val="center"/>
            </w:pPr>
            <w:r>
              <w:t>80</w:t>
            </w:r>
          </w:p>
        </w:tc>
        <w:tc>
          <w:tcPr>
            <w:tcW w:w="1197" w:type="dxa"/>
          </w:tcPr>
          <w:p w:rsidR="002B489A" w:rsidRDefault="004F19C4">
            <w:pPr>
              <w:pStyle w:val="Tabletext"/>
              <w:framePr w:hSpace="181" w:wrap="notBeside" w:vAnchor="text" w:hAnchor="text" w:xAlign="center" w:y="1"/>
              <w:spacing w:line="240" w:lineRule="exact"/>
              <w:jc w:val="center"/>
            </w:pPr>
            <w:r>
              <w:t>80</w:t>
            </w:r>
          </w:p>
        </w:tc>
        <w:tc>
          <w:tcPr>
            <w:tcW w:w="1197" w:type="dxa"/>
          </w:tcPr>
          <w:p w:rsidR="002B489A" w:rsidRDefault="004F19C4">
            <w:pPr>
              <w:pStyle w:val="Tabletext"/>
              <w:framePr w:hSpace="181" w:wrap="notBeside" w:vAnchor="text" w:hAnchor="text" w:xAlign="center" w:y="1"/>
              <w:spacing w:line="240" w:lineRule="exact"/>
              <w:jc w:val="center"/>
            </w:pPr>
            <w:r>
              <w:t>50</w:t>
            </w:r>
          </w:p>
        </w:tc>
        <w:tc>
          <w:tcPr>
            <w:tcW w:w="1197" w:type="dxa"/>
          </w:tcPr>
          <w:p w:rsidR="002B489A" w:rsidRDefault="004F19C4">
            <w:pPr>
              <w:pStyle w:val="Tabletext"/>
              <w:framePr w:hSpace="181" w:wrap="notBeside" w:vAnchor="text" w:hAnchor="text" w:xAlign="center" w:y="1"/>
              <w:spacing w:line="240" w:lineRule="exact"/>
              <w:jc w:val="center"/>
            </w:pPr>
            <w:r>
              <w:t>–</w:t>
            </w:r>
          </w:p>
        </w:tc>
        <w:tc>
          <w:tcPr>
            <w:tcW w:w="1197" w:type="dxa"/>
          </w:tcPr>
          <w:p w:rsidR="002B489A" w:rsidRDefault="004F19C4">
            <w:pPr>
              <w:pStyle w:val="Tabletext"/>
              <w:framePr w:hSpace="181" w:wrap="notBeside" w:vAnchor="text" w:hAnchor="text" w:xAlign="center" w:y="1"/>
              <w:spacing w:line="240" w:lineRule="exact"/>
              <w:jc w:val="center"/>
            </w:pPr>
            <w:r>
              <w:t>–</w:t>
            </w:r>
          </w:p>
        </w:tc>
        <w:tc>
          <w:tcPr>
            <w:tcW w:w="1197" w:type="dxa"/>
          </w:tcPr>
          <w:p w:rsidR="002B489A" w:rsidRDefault="004F19C4">
            <w:pPr>
              <w:pStyle w:val="Tabletext"/>
              <w:framePr w:hSpace="181" w:wrap="notBeside" w:vAnchor="text" w:hAnchor="text" w:xAlign="center" w:y="1"/>
              <w:spacing w:line="240" w:lineRule="exact"/>
              <w:jc w:val="center"/>
            </w:pPr>
            <w:r>
              <w:t>–</w:t>
            </w:r>
          </w:p>
        </w:tc>
      </w:tr>
      <w:tr w:rsidR="002B489A">
        <w:trPr>
          <w:trHeight w:hRule="exact" w:val="567"/>
        </w:trPr>
        <w:tc>
          <w:tcPr>
            <w:tcW w:w="2457" w:type="dxa"/>
          </w:tcPr>
          <w:p w:rsidR="002B489A" w:rsidRDefault="004F19C4">
            <w:pPr>
              <w:pStyle w:val="Tabletext"/>
              <w:framePr w:hSpace="181" w:wrap="notBeside" w:vAnchor="text" w:hAnchor="text" w:xAlign="center" w:y="1"/>
              <w:spacing w:line="240" w:lineRule="exact"/>
              <w:jc w:val="left"/>
            </w:pPr>
            <w:r>
              <w:t xml:space="preserve">Décalage par rapport au centre </w:t>
            </w:r>
            <w:r>
              <w:rPr>
                <w:i/>
                <w:iCs/>
              </w:rPr>
              <w:t>B</w:t>
            </w:r>
            <w:r>
              <w:rPr>
                <w:i/>
                <w:iCs/>
                <w:vertAlign w:val="subscript"/>
              </w:rPr>
              <w:t>N</w:t>
            </w:r>
            <w:r>
              <w:t xml:space="preserve"> (MHz)</w:t>
            </w:r>
          </w:p>
        </w:tc>
        <w:tc>
          <w:tcPr>
            <w:tcW w:w="1197" w:type="dxa"/>
          </w:tcPr>
          <w:p w:rsidR="002B489A" w:rsidRDefault="004F19C4">
            <w:pPr>
              <w:pStyle w:val="Tabletext"/>
              <w:framePr w:hSpace="181" w:wrap="notBeside" w:vAnchor="text" w:hAnchor="text" w:xAlign="center" w:y="1"/>
              <w:spacing w:line="240" w:lineRule="exact"/>
              <w:jc w:val="center"/>
            </w:pPr>
            <w:r>
              <w:t>150</w:t>
            </w:r>
          </w:p>
        </w:tc>
        <w:tc>
          <w:tcPr>
            <w:tcW w:w="1197" w:type="dxa"/>
          </w:tcPr>
          <w:p w:rsidR="002B489A" w:rsidRDefault="004F19C4">
            <w:pPr>
              <w:pStyle w:val="Tabletext"/>
              <w:framePr w:hSpace="181" w:wrap="notBeside" w:vAnchor="text" w:hAnchor="text" w:xAlign="center" w:y="1"/>
              <w:spacing w:line="240" w:lineRule="exact"/>
              <w:jc w:val="center"/>
            </w:pPr>
            <w:r>
              <w:t>400</w:t>
            </w:r>
          </w:p>
        </w:tc>
        <w:tc>
          <w:tcPr>
            <w:tcW w:w="1197" w:type="dxa"/>
          </w:tcPr>
          <w:p w:rsidR="002B489A" w:rsidRDefault="004F19C4">
            <w:pPr>
              <w:pStyle w:val="Tabletext"/>
              <w:framePr w:hSpace="181" w:wrap="notBeside" w:vAnchor="text" w:hAnchor="text" w:xAlign="center" w:y="1"/>
              <w:spacing w:line="240" w:lineRule="exact"/>
              <w:jc w:val="center"/>
            </w:pPr>
            <w:r>
              <w:t>63</w:t>
            </w:r>
          </w:p>
        </w:tc>
        <w:tc>
          <w:tcPr>
            <w:tcW w:w="1197" w:type="dxa"/>
          </w:tcPr>
          <w:p w:rsidR="002B489A" w:rsidRDefault="004F19C4">
            <w:pPr>
              <w:pStyle w:val="Tabletext"/>
              <w:framePr w:hSpace="181" w:wrap="notBeside" w:vAnchor="text" w:hAnchor="text" w:xAlign="center" w:y="1"/>
              <w:spacing w:line="240" w:lineRule="exact"/>
              <w:jc w:val="center"/>
            </w:pPr>
            <w:r>
              <w:t>–</w:t>
            </w:r>
          </w:p>
        </w:tc>
        <w:tc>
          <w:tcPr>
            <w:tcW w:w="1197" w:type="dxa"/>
          </w:tcPr>
          <w:p w:rsidR="002B489A" w:rsidRDefault="004F19C4">
            <w:pPr>
              <w:pStyle w:val="Tabletext"/>
              <w:framePr w:hSpace="181" w:wrap="notBeside" w:vAnchor="text" w:hAnchor="text" w:xAlign="center" w:y="1"/>
              <w:spacing w:line="240" w:lineRule="exact"/>
              <w:jc w:val="center"/>
            </w:pPr>
            <w:r>
              <w:t>–</w:t>
            </w:r>
          </w:p>
        </w:tc>
        <w:tc>
          <w:tcPr>
            <w:tcW w:w="1197" w:type="dxa"/>
          </w:tcPr>
          <w:p w:rsidR="002B489A" w:rsidRDefault="004F19C4">
            <w:pPr>
              <w:pStyle w:val="Tabletext"/>
              <w:framePr w:hSpace="181" w:wrap="notBeside" w:vAnchor="text" w:hAnchor="text" w:xAlign="center" w:y="1"/>
              <w:spacing w:line="240" w:lineRule="exact"/>
              <w:jc w:val="center"/>
            </w:pPr>
            <w:r>
              <w:t>–</w:t>
            </w:r>
          </w:p>
        </w:tc>
      </w:tr>
      <w:tr w:rsidR="002B489A">
        <w:trPr>
          <w:trHeight w:hRule="exact" w:val="826"/>
        </w:trPr>
        <w:tc>
          <w:tcPr>
            <w:tcW w:w="2457" w:type="dxa"/>
          </w:tcPr>
          <w:p w:rsidR="002B489A" w:rsidRDefault="004F19C4">
            <w:pPr>
              <w:pStyle w:val="Tabletext"/>
              <w:framePr w:hSpace="181" w:wrap="notBeside" w:vAnchor="text" w:hAnchor="text" w:xAlign="center" w:y="1"/>
              <w:spacing w:line="240" w:lineRule="exact"/>
              <w:jc w:val="left"/>
            </w:pPr>
            <w:r>
              <w:t>Bande de garde supplémentaire requise (MHz)</w:t>
            </w:r>
          </w:p>
        </w:tc>
        <w:tc>
          <w:tcPr>
            <w:tcW w:w="1197" w:type="dxa"/>
          </w:tcPr>
          <w:p w:rsidR="002B489A" w:rsidRDefault="004F19C4">
            <w:pPr>
              <w:pStyle w:val="Tabletext"/>
              <w:framePr w:hSpace="181" w:wrap="notBeside" w:vAnchor="text" w:hAnchor="text" w:xAlign="center" w:y="1"/>
              <w:spacing w:line="240" w:lineRule="exact"/>
              <w:jc w:val="center"/>
            </w:pPr>
            <w:r>
              <w:t>0</w:t>
            </w:r>
          </w:p>
        </w:tc>
        <w:tc>
          <w:tcPr>
            <w:tcW w:w="1197" w:type="dxa"/>
          </w:tcPr>
          <w:p w:rsidR="002B489A" w:rsidRDefault="004F19C4">
            <w:pPr>
              <w:pStyle w:val="Tabletext"/>
              <w:framePr w:hSpace="181" w:wrap="notBeside" w:vAnchor="text" w:hAnchor="text" w:xAlign="center" w:y="1"/>
              <w:spacing w:line="240" w:lineRule="exact"/>
              <w:jc w:val="center"/>
            </w:pPr>
            <w:r>
              <w:t>0</w:t>
            </w:r>
          </w:p>
        </w:tc>
        <w:tc>
          <w:tcPr>
            <w:tcW w:w="1197" w:type="dxa"/>
          </w:tcPr>
          <w:p w:rsidR="002B489A" w:rsidRDefault="004F19C4">
            <w:pPr>
              <w:pStyle w:val="Tabletext"/>
              <w:framePr w:hSpace="181" w:wrap="notBeside" w:vAnchor="text" w:hAnchor="text" w:xAlign="center" w:y="1"/>
              <w:spacing w:line="240" w:lineRule="exact"/>
              <w:jc w:val="center"/>
            </w:pPr>
            <w:r>
              <w:t>0</w:t>
            </w:r>
          </w:p>
        </w:tc>
        <w:tc>
          <w:tcPr>
            <w:tcW w:w="1197" w:type="dxa"/>
          </w:tcPr>
          <w:p w:rsidR="002B489A" w:rsidRDefault="004F19C4">
            <w:pPr>
              <w:pStyle w:val="Tabletext"/>
              <w:framePr w:hSpace="181" w:wrap="notBeside" w:vAnchor="text" w:hAnchor="text" w:xAlign="center" w:y="1"/>
              <w:spacing w:line="240" w:lineRule="exact"/>
              <w:jc w:val="center"/>
            </w:pPr>
            <w:r>
              <w:t>0</w:t>
            </w:r>
          </w:p>
        </w:tc>
        <w:tc>
          <w:tcPr>
            <w:tcW w:w="1197" w:type="dxa"/>
          </w:tcPr>
          <w:p w:rsidR="002B489A" w:rsidRDefault="004F19C4">
            <w:pPr>
              <w:pStyle w:val="Tabletext"/>
              <w:framePr w:hSpace="181" w:wrap="notBeside" w:vAnchor="text" w:hAnchor="text" w:xAlign="center" w:y="1"/>
              <w:spacing w:line="240" w:lineRule="exact"/>
              <w:jc w:val="center"/>
            </w:pPr>
            <w:r>
              <w:t>0</w:t>
            </w:r>
          </w:p>
        </w:tc>
        <w:tc>
          <w:tcPr>
            <w:tcW w:w="1197" w:type="dxa"/>
          </w:tcPr>
          <w:p w:rsidR="002B489A" w:rsidRDefault="004F19C4">
            <w:pPr>
              <w:pStyle w:val="Tabletext"/>
              <w:framePr w:hSpace="181" w:wrap="notBeside" w:vAnchor="text" w:hAnchor="text" w:xAlign="center" w:y="1"/>
              <w:spacing w:line="240" w:lineRule="exact"/>
              <w:jc w:val="center"/>
            </w:pPr>
            <w:r>
              <w:t>0</w:t>
            </w:r>
          </w:p>
        </w:tc>
      </w:tr>
    </w:tbl>
    <w:p w:rsidR="002B489A" w:rsidRDefault="002B489A">
      <w:pPr>
        <w:pStyle w:val="Tablefin"/>
      </w:pPr>
    </w:p>
    <w:p w:rsidR="002B489A" w:rsidRDefault="002B489A">
      <w:pPr>
        <w:rPr>
          <w:lang w:val="en-GB"/>
        </w:rPr>
      </w:pPr>
    </w:p>
    <w:p w:rsidR="002B489A" w:rsidRDefault="004F19C4">
      <w:pPr>
        <w:pStyle w:val="TableNo"/>
      </w:pPr>
      <w:r>
        <w:br w:type="page"/>
        <w:t>TABLEAU  71</w:t>
      </w:r>
    </w:p>
    <w:p w:rsidR="002B489A" w:rsidRDefault="004F19C4">
      <w:pPr>
        <w:pStyle w:val="Tabletitle"/>
      </w:pPr>
      <w:r>
        <w:t>Récapitulation des bandes de garde nécessaires pour protéger les</w:t>
      </w:r>
      <w:r>
        <w:br/>
        <w:t>détecteurs passifs contre les stations terriennes SFS non OSG</w:t>
      </w:r>
      <w:r>
        <w:br/>
        <w:t>(détecteur proche du zénith de la station terrienne)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41"/>
        <w:gridCol w:w="1566"/>
        <w:gridCol w:w="1566"/>
        <w:gridCol w:w="1566"/>
      </w:tblGrid>
      <w:tr w:rsidR="002B489A">
        <w:trPr>
          <w:trHeight w:hRule="exact" w:val="400"/>
        </w:trPr>
        <w:tc>
          <w:tcPr>
            <w:tcW w:w="4649" w:type="dxa"/>
          </w:tcPr>
          <w:p w:rsidR="002B489A" w:rsidRDefault="002B489A">
            <w:pPr>
              <w:pStyle w:val="Tablehead"/>
              <w:framePr w:hSpace="181" w:wrap="notBeside" w:vAnchor="text" w:hAnchor="text" w:xAlign="center" w:y="1"/>
            </w:pPr>
          </w:p>
        </w:tc>
        <w:tc>
          <w:tcPr>
            <w:tcW w:w="1474" w:type="dxa"/>
          </w:tcPr>
          <w:p w:rsidR="002B489A" w:rsidRDefault="004F19C4">
            <w:pPr>
              <w:pStyle w:val="Tablehead"/>
              <w:framePr w:hSpace="181" w:wrap="notBeside" w:vAnchor="text" w:hAnchor="text" w:xAlign="center" w:y="1"/>
              <w:rPr>
                <w:lang w:val="fr-CH"/>
              </w:rPr>
            </w:pPr>
            <w:r>
              <w:rPr>
                <w:lang w:val="fr-CH"/>
              </w:rPr>
              <w:t>LEO-A</w:t>
            </w:r>
          </w:p>
        </w:tc>
        <w:tc>
          <w:tcPr>
            <w:tcW w:w="1474" w:type="dxa"/>
          </w:tcPr>
          <w:p w:rsidR="002B489A" w:rsidRDefault="004F19C4">
            <w:pPr>
              <w:pStyle w:val="Tablehead"/>
              <w:framePr w:hSpace="181" w:wrap="notBeside" w:vAnchor="text" w:hAnchor="text" w:xAlign="center" w:y="1"/>
              <w:rPr>
                <w:lang w:val="fr-CH"/>
              </w:rPr>
            </w:pPr>
            <w:r>
              <w:rPr>
                <w:lang w:val="fr-CH"/>
              </w:rPr>
              <w:t>LEO-B</w:t>
            </w:r>
          </w:p>
        </w:tc>
        <w:tc>
          <w:tcPr>
            <w:tcW w:w="1474" w:type="dxa"/>
          </w:tcPr>
          <w:p w:rsidR="002B489A" w:rsidRDefault="004F19C4">
            <w:pPr>
              <w:pStyle w:val="Tablehead"/>
              <w:framePr w:hSpace="181" w:wrap="notBeside" w:vAnchor="text" w:hAnchor="text" w:xAlign="center" w:y="1"/>
            </w:pPr>
            <w:r>
              <w:t>LEOSAT-1</w:t>
            </w:r>
          </w:p>
        </w:tc>
      </w:tr>
      <w:tr w:rsidR="002B489A">
        <w:trPr>
          <w:trHeight w:hRule="exact" w:val="400"/>
        </w:trPr>
        <w:tc>
          <w:tcPr>
            <w:tcW w:w="4649" w:type="dxa"/>
          </w:tcPr>
          <w:p w:rsidR="002B489A" w:rsidRDefault="004F19C4">
            <w:pPr>
              <w:pStyle w:val="Tabletext"/>
              <w:framePr w:hSpace="181" w:wrap="notBeside" w:vAnchor="text" w:hAnchor="text" w:xAlign="center" w:y="1"/>
              <w:spacing w:line="240" w:lineRule="exact"/>
              <w:jc w:val="left"/>
            </w:pPr>
            <w:r>
              <w:t>Suppression minimum de puissance requise (dB)</w:t>
            </w:r>
          </w:p>
        </w:tc>
        <w:tc>
          <w:tcPr>
            <w:tcW w:w="1474" w:type="dxa"/>
          </w:tcPr>
          <w:p w:rsidR="002B489A" w:rsidRDefault="004F19C4">
            <w:pPr>
              <w:pStyle w:val="Tabletext"/>
              <w:framePr w:hSpace="181" w:wrap="notBeside" w:vAnchor="text" w:hAnchor="text" w:xAlign="center" w:y="1"/>
              <w:spacing w:line="240" w:lineRule="exact"/>
              <w:jc w:val="center"/>
            </w:pPr>
            <w:r>
              <w:t>12,7</w:t>
            </w:r>
          </w:p>
        </w:tc>
        <w:tc>
          <w:tcPr>
            <w:tcW w:w="1474" w:type="dxa"/>
          </w:tcPr>
          <w:p w:rsidR="002B489A" w:rsidRDefault="004F19C4">
            <w:pPr>
              <w:pStyle w:val="Tabletext"/>
              <w:framePr w:hSpace="181" w:wrap="notBeside" w:vAnchor="text" w:hAnchor="text" w:xAlign="center" w:y="1"/>
              <w:spacing w:line="240" w:lineRule="exact"/>
              <w:jc w:val="center"/>
            </w:pPr>
            <w:r>
              <w:t>4,5</w:t>
            </w:r>
          </w:p>
        </w:tc>
        <w:tc>
          <w:tcPr>
            <w:tcW w:w="1474" w:type="dxa"/>
          </w:tcPr>
          <w:p w:rsidR="002B489A" w:rsidRDefault="004F19C4">
            <w:pPr>
              <w:pStyle w:val="Tabletext"/>
              <w:framePr w:hSpace="181" w:wrap="notBeside" w:vAnchor="text" w:hAnchor="text" w:xAlign="center" w:y="1"/>
              <w:spacing w:line="240" w:lineRule="exact"/>
              <w:jc w:val="center"/>
            </w:pPr>
            <w:r>
              <w:t>12</w:t>
            </w:r>
          </w:p>
        </w:tc>
      </w:tr>
      <w:tr w:rsidR="002B489A">
        <w:trPr>
          <w:trHeight w:hRule="exact" w:val="400"/>
        </w:trPr>
        <w:tc>
          <w:tcPr>
            <w:tcW w:w="4649" w:type="dxa"/>
          </w:tcPr>
          <w:p w:rsidR="002B489A" w:rsidRDefault="004F19C4">
            <w:pPr>
              <w:pStyle w:val="Tabletext"/>
              <w:framePr w:hSpace="181" w:wrap="notBeside" w:vAnchor="text" w:hAnchor="text" w:xAlign="center" w:y="1"/>
              <w:spacing w:line="240" w:lineRule="exact"/>
              <w:jc w:val="left"/>
            </w:pPr>
            <w:r>
              <w:t>Largeur de bande nécessaire (MHz)</w:t>
            </w:r>
          </w:p>
        </w:tc>
        <w:tc>
          <w:tcPr>
            <w:tcW w:w="1474" w:type="dxa"/>
          </w:tcPr>
          <w:p w:rsidR="002B489A" w:rsidRDefault="004F19C4">
            <w:pPr>
              <w:pStyle w:val="Tabletext"/>
              <w:framePr w:hSpace="181" w:wrap="notBeside" w:vAnchor="text" w:hAnchor="text" w:xAlign="center" w:y="1"/>
              <w:spacing w:line="240" w:lineRule="exact"/>
              <w:jc w:val="center"/>
            </w:pPr>
            <w:r>
              <w:t>4,37</w:t>
            </w:r>
          </w:p>
        </w:tc>
        <w:tc>
          <w:tcPr>
            <w:tcW w:w="1474" w:type="dxa"/>
          </w:tcPr>
          <w:p w:rsidR="002B489A" w:rsidRDefault="004F19C4">
            <w:pPr>
              <w:pStyle w:val="Tabletext"/>
              <w:framePr w:hSpace="181" w:wrap="notBeside" w:vAnchor="text" w:hAnchor="text" w:xAlign="center" w:y="1"/>
              <w:spacing w:line="240" w:lineRule="exact"/>
              <w:jc w:val="center"/>
            </w:pPr>
            <w:r>
              <w:t>2,5</w:t>
            </w:r>
          </w:p>
        </w:tc>
        <w:tc>
          <w:tcPr>
            <w:tcW w:w="1474" w:type="dxa"/>
          </w:tcPr>
          <w:p w:rsidR="002B489A" w:rsidRDefault="004F19C4">
            <w:pPr>
              <w:pStyle w:val="Tabletext"/>
              <w:framePr w:hSpace="181" w:wrap="notBeside" w:vAnchor="text" w:hAnchor="text" w:xAlign="center" w:y="1"/>
              <w:spacing w:line="240" w:lineRule="exact"/>
              <w:jc w:val="center"/>
            </w:pPr>
            <w:r>
              <w:t>500</w:t>
            </w:r>
          </w:p>
        </w:tc>
      </w:tr>
      <w:tr w:rsidR="002B489A">
        <w:trPr>
          <w:trHeight w:hRule="exact" w:val="400"/>
        </w:trPr>
        <w:tc>
          <w:tcPr>
            <w:tcW w:w="4649" w:type="dxa"/>
          </w:tcPr>
          <w:p w:rsidR="002B489A" w:rsidRDefault="004F19C4">
            <w:pPr>
              <w:pStyle w:val="Tabletext"/>
              <w:framePr w:hSpace="181" w:wrap="notBeside" w:vAnchor="text" w:hAnchor="text" w:xAlign="center" w:y="1"/>
              <w:spacing w:line="240" w:lineRule="exact"/>
              <w:jc w:val="left"/>
            </w:pPr>
            <w:r>
              <w:t>Bande passive (</w:t>
            </w:r>
            <w:r>
              <w:rPr>
                <w:rFonts w:ascii="Symbol" w:hAnsi="Symbol"/>
              </w:rPr>
              <w:t></w:t>
            </w:r>
            <w:r>
              <w:t xml:space="preserve"> </w:t>
            </w:r>
            <w:r>
              <w:rPr>
                <w:i/>
                <w:iCs/>
              </w:rPr>
              <w:t>B</w:t>
            </w:r>
            <w:r>
              <w:rPr>
                <w:i/>
                <w:iCs/>
                <w:vertAlign w:val="subscript"/>
              </w:rPr>
              <w:t>N</w:t>
            </w:r>
            <w:r>
              <w:t>)</w:t>
            </w:r>
          </w:p>
        </w:tc>
        <w:tc>
          <w:tcPr>
            <w:tcW w:w="1474" w:type="dxa"/>
          </w:tcPr>
          <w:p w:rsidR="002B489A" w:rsidRDefault="004F19C4">
            <w:pPr>
              <w:pStyle w:val="Tabletext"/>
              <w:framePr w:hSpace="181" w:wrap="notBeside" w:vAnchor="text" w:hAnchor="text" w:xAlign="center" w:y="1"/>
              <w:spacing w:line="240" w:lineRule="exact"/>
              <w:jc w:val="center"/>
            </w:pPr>
            <w:r>
              <w:rPr>
                <w:rFonts w:ascii="Symbol" w:hAnsi="Symbol"/>
              </w:rPr>
              <w:t></w:t>
            </w:r>
            <w:r>
              <w:rPr>
                <w:rFonts w:ascii="Tms Rmn" w:hAnsi="Tms Rmn"/>
                <w:sz w:val="12"/>
              </w:rPr>
              <w:t> </w:t>
            </w:r>
            <w:r>
              <w:t>1</w:t>
            </w:r>
            <w:r>
              <w:rPr>
                <w:rFonts w:ascii="Tms Rmn" w:hAnsi="Tms Rmn"/>
                <w:sz w:val="12"/>
              </w:rPr>
              <w:t> </w:t>
            </w:r>
            <w:r>
              <w:t>000</w:t>
            </w:r>
          </w:p>
        </w:tc>
        <w:tc>
          <w:tcPr>
            <w:tcW w:w="1474" w:type="dxa"/>
          </w:tcPr>
          <w:p w:rsidR="002B489A" w:rsidRDefault="004F19C4">
            <w:pPr>
              <w:pStyle w:val="Tabletext"/>
              <w:framePr w:hSpace="181" w:wrap="notBeside" w:vAnchor="text" w:hAnchor="text" w:xAlign="center" w:y="1"/>
              <w:spacing w:line="240" w:lineRule="exact"/>
              <w:jc w:val="center"/>
            </w:pPr>
            <w:r>
              <w:rPr>
                <w:rFonts w:ascii="Symbol" w:hAnsi="Symbol"/>
              </w:rPr>
              <w:t></w:t>
            </w:r>
            <w:r>
              <w:rPr>
                <w:rFonts w:ascii="Tms Rmn" w:hAnsi="Tms Rmn"/>
                <w:sz w:val="12"/>
              </w:rPr>
              <w:t> </w:t>
            </w:r>
            <w:r>
              <w:t>1</w:t>
            </w:r>
            <w:r>
              <w:rPr>
                <w:rFonts w:ascii="Tms Rmn" w:hAnsi="Tms Rmn"/>
                <w:sz w:val="12"/>
              </w:rPr>
              <w:t> </w:t>
            </w:r>
            <w:r>
              <w:t>000</w:t>
            </w:r>
          </w:p>
        </w:tc>
        <w:tc>
          <w:tcPr>
            <w:tcW w:w="1474" w:type="dxa"/>
          </w:tcPr>
          <w:p w:rsidR="002B489A" w:rsidRDefault="004F19C4">
            <w:pPr>
              <w:pStyle w:val="Tabletext"/>
              <w:framePr w:hSpace="181" w:wrap="notBeside" w:vAnchor="text" w:hAnchor="text" w:xAlign="center" w:y="1"/>
              <w:spacing w:line="240" w:lineRule="exact"/>
              <w:jc w:val="center"/>
            </w:pPr>
            <w:r>
              <w:t>40</w:t>
            </w:r>
          </w:p>
        </w:tc>
      </w:tr>
      <w:tr w:rsidR="002B489A">
        <w:trPr>
          <w:trHeight w:hRule="exact" w:val="400"/>
        </w:trPr>
        <w:tc>
          <w:tcPr>
            <w:tcW w:w="4649" w:type="dxa"/>
          </w:tcPr>
          <w:p w:rsidR="002B489A" w:rsidRDefault="004F19C4">
            <w:pPr>
              <w:pStyle w:val="Tabletext"/>
              <w:framePr w:hSpace="181" w:wrap="notBeside" w:vAnchor="text" w:hAnchor="text" w:xAlign="center" w:y="1"/>
              <w:spacing w:line="240" w:lineRule="exact"/>
              <w:jc w:val="left"/>
            </w:pPr>
            <w:r>
              <w:t xml:space="preserve">Décalage par rapport au centre </w:t>
            </w:r>
            <w:r>
              <w:rPr>
                <w:i/>
                <w:iCs/>
              </w:rPr>
              <w:t>B</w:t>
            </w:r>
            <w:r>
              <w:rPr>
                <w:i/>
                <w:iCs/>
                <w:vertAlign w:val="subscript"/>
              </w:rPr>
              <w:t>N</w:t>
            </w:r>
            <w:r>
              <w:t xml:space="preserve"> (</w:t>
            </w:r>
            <w:r>
              <w:rPr>
                <w:rFonts w:ascii="Symbol" w:hAnsi="Symbol"/>
              </w:rPr>
              <w:t></w:t>
            </w:r>
            <w:r>
              <w:t> </w:t>
            </w:r>
            <w:r>
              <w:rPr>
                <w:i/>
                <w:iCs/>
              </w:rPr>
              <w:t>B</w:t>
            </w:r>
            <w:r>
              <w:rPr>
                <w:i/>
                <w:iCs/>
                <w:vertAlign w:val="subscript"/>
              </w:rPr>
              <w:t>N</w:t>
            </w:r>
            <w:r>
              <w:t>)</w:t>
            </w:r>
          </w:p>
        </w:tc>
        <w:tc>
          <w:tcPr>
            <w:tcW w:w="1474" w:type="dxa"/>
          </w:tcPr>
          <w:p w:rsidR="002B489A" w:rsidRDefault="004F19C4">
            <w:pPr>
              <w:pStyle w:val="Tabletext"/>
              <w:framePr w:hSpace="181" w:wrap="notBeside" w:vAnchor="text" w:hAnchor="text" w:xAlign="center" w:y="1"/>
              <w:spacing w:line="240" w:lineRule="exact"/>
              <w:jc w:val="center"/>
            </w:pPr>
            <w:r>
              <w:t>50</w:t>
            </w:r>
          </w:p>
        </w:tc>
        <w:tc>
          <w:tcPr>
            <w:tcW w:w="1474" w:type="dxa"/>
          </w:tcPr>
          <w:p w:rsidR="002B489A" w:rsidRDefault="004F19C4">
            <w:pPr>
              <w:pStyle w:val="Tabletext"/>
              <w:framePr w:hSpace="181" w:wrap="notBeside" w:vAnchor="text" w:hAnchor="text" w:xAlign="center" w:y="1"/>
              <w:spacing w:line="240" w:lineRule="exact"/>
              <w:jc w:val="center"/>
            </w:pPr>
            <w:r>
              <w:rPr>
                <w:rFonts w:ascii="Symbol" w:hAnsi="Symbol"/>
              </w:rPr>
              <w:t></w:t>
            </w:r>
            <w:r>
              <w:rPr>
                <w:rFonts w:ascii="Tms Rmn" w:hAnsi="Tms Rmn"/>
                <w:sz w:val="12"/>
              </w:rPr>
              <w:t> </w:t>
            </w:r>
            <w:r>
              <w:t>50</w:t>
            </w:r>
          </w:p>
        </w:tc>
        <w:tc>
          <w:tcPr>
            <w:tcW w:w="1474" w:type="dxa"/>
          </w:tcPr>
          <w:p w:rsidR="002B489A" w:rsidRDefault="004F19C4">
            <w:pPr>
              <w:pStyle w:val="Tabletext"/>
              <w:framePr w:hSpace="181" w:wrap="notBeside" w:vAnchor="text" w:hAnchor="text" w:xAlign="center" w:y="1"/>
              <w:spacing w:line="240" w:lineRule="exact"/>
              <w:jc w:val="center"/>
            </w:pPr>
            <w:r>
              <w:t>50</w:t>
            </w:r>
          </w:p>
        </w:tc>
      </w:tr>
      <w:tr w:rsidR="002B489A">
        <w:trPr>
          <w:trHeight w:hRule="exact" w:val="400"/>
        </w:trPr>
        <w:tc>
          <w:tcPr>
            <w:tcW w:w="4649" w:type="dxa"/>
          </w:tcPr>
          <w:p w:rsidR="002B489A" w:rsidRDefault="004F19C4">
            <w:pPr>
              <w:pStyle w:val="Tabletext"/>
              <w:framePr w:hSpace="181" w:wrap="notBeside" w:vAnchor="text" w:hAnchor="text" w:xAlign="center" w:y="1"/>
              <w:spacing w:line="240" w:lineRule="exact"/>
              <w:jc w:val="left"/>
            </w:pPr>
            <w:r>
              <w:t xml:space="preserve">Décalage par rapport au centre </w:t>
            </w:r>
            <w:r>
              <w:rPr>
                <w:i/>
                <w:iCs/>
              </w:rPr>
              <w:t>B</w:t>
            </w:r>
            <w:r>
              <w:rPr>
                <w:i/>
                <w:iCs/>
                <w:vertAlign w:val="subscript"/>
              </w:rPr>
              <w:t>N</w:t>
            </w:r>
            <w:r>
              <w:t xml:space="preserve"> (MHz)</w:t>
            </w:r>
          </w:p>
        </w:tc>
        <w:tc>
          <w:tcPr>
            <w:tcW w:w="1474" w:type="dxa"/>
          </w:tcPr>
          <w:p w:rsidR="002B489A" w:rsidRDefault="004F19C4">
            <w:pPr>
              <w:pStyle w:val="Tabletext"/>
              <w:framePr w:hSpace="181" w:wrap="notBeside" w:vAnchor="text" w:hAnchor="text" w:xAlign="center" w:y="1"/>
              <w:spacing w:line="240" w:lineRule="exact"/>
              <w:jc w:val="center"/>
            </w:pPr>
            <w:r>
              <w:t>Négligeable</w:t>
            </w:r>
          </w:p>
        </w:tc>
        <w:tc>
          <w:tcPr>
            <w:tcW w:w="1474" w:type="dxa"/>
          </w:tcPr>
          <w:p w:rsidR="002B489A" w:rsidRDefault="004F19C4">
            <w:pPr>
              <w:pStyle w:val="Tabletext"/>
              <w:framePr w:hSpace="181" w:wrap="notBeside" w:vAnchor="text" w:hAnchor="text" w:xAlign="center" w:y="1"/>
              <w:spacing w:line="240" w:lineRule="exact"/>
              <w:jc w:val="center"/>
            </w:pPr>
            <w:r>
              <w:t>Négligeable</w:t>
            </w:r>
          </w:p>
        </w:tc>
        <w:tc>
          <w:tcPr>
            <w:tcW w:w="1474" w:type="dxa"/>
          </w:tcPr>
          <w:p w:rsidR="002B489A" w:rsidRDefault="004F19C4">
            <w:pPr>
              <w:pStyle w:val="Tabletext"/>
              <w:framePr w:hSpace="181" w:wrap="notBeside" w:vAnchor="text" w:hAnchor="text" w:xAlign="center" w:y="1"/>
              <w:spacing w:line="240" w:lineRule="exact"/>
              <w:jc w:val="center"/>
            </w:pPr>
            <w:r>
              <w:t>250</w:t>
            </w:r>
          </w:p>
        </w:tc>
      </w:tr>
      <w:tr w:rsidR="002B489A">
        <w:trPr>
          <w:trHeight w:hRule="exact" w:val="400"/>
        </w:trPr>
        <w:tc>
          <w:tcPr>
            <w:tcW w:w="4649" w:type="dxa"/>
          </w:tcPr>
          <w:p w:rsidR="002B489A" w:rsidRDefault="004F19C4">
            <w:pPr>
              <w:pStyle w:val="Tabletext"/>
              <w:framePr w:hSpace="181" w:wrap="notBeside" w:vAnchor="text" w:hAnchor="text" w:xAlign="center" w:y="1"/>
              <w:spacing w:line="240" w:lineRule="exact"/>
              <w:jc w:val="left"/>
            </w:pPr>
            <w:r>
              <w:t>Bande de garde supplémentaire requise (MHz)</w:t>
            </w:r>
          </w:p>
        </w:tc>
        <w:tc>
          <w:tcPr>
            <w:tcW w:w="1474" w:type="dxa"/>
          </w:tcPr>
          <w:p w:rsidR="002B489A" w:rsidRDefault="004F19C4">
            <w:pPr>
              <w:pStyle w:val="Tabletext"/>
              <w:framePr w:hSpace="181" w:wrap="notBeside" w:vAnchor="text" w:hAnchor="text" w:xAlign="center" w:y="1"/>
              <w:spacing w:line="240" w:lineRule="exact"/>
              <w:jc w:val="center"/>
            </w:pPr>
            <w:r>
              <w:t>0</w:t>
            </w:r>
          </w:p>
        </w:tc>
        <w:tc>
          <w:tcPr>
            <w:tcW w:w="1474" w:type="dxa"/>
          </w:tcPr>
          <w:p w:rsidR="002B489A" w:rsidRDefault="004F19C4">
            <w:pPr>
              <w:pStyle w:val="Tabletext"/>
              <w:framePr w:hSpace="181" w:wrap="notBeside" w:vAnchor="text" w:hAnchor="text" w:xAlign="center" w:y="1"/>
              <w:spacing w:line="240" w:lineRule="exact"/>
              <w:jc w:val="center"/>
            </w:pPr>
            <w:r>
              <w:t>0</w:t>
            </w:r>
          </w:p>
        </w:tc>
        <w:tc>
          <w:tcPr>
            <w:tcW w:w="1474" w:type="dxa"/>
          </w:tcPr>
          <w:p w:rsidR="002B489A" w:rsidRDefault="004F19C4">
            <w:pPr>
              <w:pStyle w:val="Tabletext"/>
              <w:framePr w:hSpace="181" w:wrap="notBeside" w:vAnchor="text" w:hAnchor="text" w:xAlign="center" w:y="1"/>
              <w:spacing w:line="240" w:lineRule="exact"/>
              <w:jc w:val="center"/>
            </w:pPr>
            <w:r>
              <w:t>0</w:t>
            </w:r>
          </w:p>
        </w:tc>
      </w:tr>
      <w:tr w:rsidR="002B489A">
        <w:trPr>
          <w:trHeight w:hRule="exact" w:val="400"/>
        </w:trPr>
        <w:tc>
          <w:tcPr>
            <w:tcW w:w="4649" w:type="dxa"/>
          </w:tcPr>
          <w:p w:rsidR="002B489A" w:rsidRDefault="004F19C4">
            <w:pPr>
              <w:pStyle w:val="Tabletext"/>
              <w:framePr w:hSpace="181" w:wrap="notBeside" w:vAnchor="text" w:hAnchor="text" w:xAlign="center" w:y="1"/>
              <w:spacing w:line="240" w:lineRule="exact"/>
              <w:jc w:val="left"/>
            </w:pPr>
            <w:r>
              <w:t>Suppression maximale de puissance requise (dB)</w:t>
            </w:r>
          </w:p>
        </w:tc>
        <w:tc>
          <w:tcPr>
            <w:tcW w:w="1474" w:type="dxa"/>
          </w:tcPr>
          <w:p w:rsidR="002B489A" w:rsidRDefault="004F19C4">
            <w:pPr>
              <w:pStyle w:val="Tabletext"/>
              <w:framePr w:hSpace="181" w:wrap="notBeside" w:vAnchor="text" w:hAnchor="text" w:xAlign="center" w:y="1"/>
              <w:spacing w:line="240" w:lineRule="exact"/>
              <w:jc w:val="center"/>
            </w:pPr>
            <w:r>
              <w:t>80</w:t>
            </w:r>
          </w:p>
        </w:tc>
        <w:tc>
          <w:tcPr>
            <w:tcW w:w="1474" w:type="dxa"/>
          </w:tcPr>
          <w:p w:rsidR="002B489A" w:rsidRDefault="004F19C4">
            <w:pPr>
              <w:pStyle w:val="Tabletext"/>
              <w:framePr w:hSpace="181" w:wrap="notBeside" w:vAnchor="text" w:hAnchor="text" w:xAlign="center" w:y="1"/>
              <w:spacing w:line="240" w:lineRule="exact"/>
              <w:jc w:val="center"/>
            </w:pPr>
            <w:r>
              <w:t>70</w:t>
            </w:r>
          </w:p>
        </w:tc>
        <w:tc>
          <w:tcPr>
            <w:tcW w:w="1474" w:type="dxa"/>
          </w:tcPr>
          <w:p w:rsidR="002B489A" w:rsidRDefault="004F19C4">
            <w:pPr>
              <w:pStyle w:val="Tabletext"/>
              <w:framePr w:hSpace="181" w:wrap="notBeside" w:vAnchor="text" w:hAnchor="text" w:xAlign="center" w:y="1"/>
              <w:spacing w:line="240" w:lineRule="exact"/>
              <w:jc w:val="center"/>
            </w:pPr>
            <w:r>
              <w:t>80</w:t>
            </w:r>
          </w:p>
        </w:tc>
      </w:tr>
      <w:tr w:rsidR="002B489A">
        <w:trPr>
          <w:trHeight w:hRule="exact" w:val="400"/>
        </w:trPr>
        <w:tc>
          <w:tcPr>
            <w:tcW w:w="4649" w:type="dxa"/>
          </w:tcPr>
          <w:p w:rsidR="002B489A" w:rsidRDefault="004F19C4">
            <w:pPr>
              <w:pStyle w:val="Tabletext"/>
              <w:framePr w:hSpace="181" w:wrap="notBeside" w:vAnchor="text" w:hAnchor="text" w:xAlign="center" w:y="1"/>
              <w:spacing w:line="240" w:lineRule="exact"/>
              <w:jc w:val="left"/>
            </w:pPr>
            <w:r>
              <w:t xml:space="preserve">Décalage par rapport au centre </w:t>
            </w:r>
            <w:r>
              <w:rPr>
                <w:i/>
                <w:iCs/>
              </w:rPr>
              <w:t>B</w:t>
            </w:r>
            <w:r>
              <w:rPr>
                <w:i/>
                <w:iCs/>
                <w:vertAlign w:val="subscript"/>
              </w:rPr>
              <w:t>N</w:t>
            </w:r>
            <w:r>
              <w:t xml:space="preserve"> (</w:t>
            </w:r>
            <w:r>
              <w:rPr>
                <w:rFonts w:ascii="Symbol" w:hAnsi="Symbol"/>
              </w:rPr>
              <w:t></w:t>
            </w:r>
            <w:r>
              <w:t> </w:t>
            </w:r>
            <w:r>
              <w:rPr>
                <w:i/>
                <w:iCs/>
              </w:rPr>
              <w:t>B</w:t>
            </w:r>
            <w:r>
              <w:rPr>
                <w:i/>
                <w:iCs/>
                <w:vertAlign w:val="subscript"/>
              </w:rPr>
              <w:t>N</w:t>
            </w:r>
            <w:r>
              <w:t>)</w:t>
            </w:r>
          </w:p>
        </w:tc>
        <w:tc>
          <w:tcPr>
            <w:tcW w:w="1474" w:type="dxa"/>
          </w:tcPr>
          <w:p w:rsidR="002B489A" w:rsidRDefault="004F19C4">
            <w:pPr>
              <w:pStyle w:val="Tabletext"/>
              <w:framePr w:hSpace="181" w:wrap="notBeside" w:vAnchor="text" w:hAnchor="text" w:xAlign="center" w:y="1"/>
              <w:spacing w:line="240" w:lineRule="exact"/>
              <w:jc w:val="center"/>
            </w:pPr>
            <w:r>
              <w:t>550</w:t>
            </w:r>
          </w:p>
        </w:tc>
        <w:tc>
          <w:tcPr>
            <w:tcW w:w="1474" w:type="dxa"/>
          </w:tcPr>
          <w:p w:rsidR="002B489A" w:rsidRDefault="004F19C4">
            <w:pPr>
              <w:pStyle w:val="Tabletext"/>
              <w:framePr w:hSpace="181" w:wrap="notBeside" w:vAnchor="text" w:hAnchor="text" w:xAlign="center" w:y="1"/>
              <w:spacing w:line="240" w:lineRule="exact"/>
              <w:jc w:val="center"/>
            </w:pPr>
            <w:r>
              <w:t>450</w:t>
            </w:r>
          </w:p>
        </w:tc>
        <w:tc>
          <w:tcPr>
            <w:tcW w:w="1474" w:type="dxa"/>
          </w:tcPr>
          <w:p w:rsidR="002B489A" w:rsidRDefault="004F19C4">
            <w:pPr>
              <w:pStyle w:val="Tabletext"/>
              <w:framePr w:hSpace="181" w:wrap="notBeside" w:vAnchor="text" w:hAnchor="text" w:xAlign="center" w:y="1"/>
              <w:spacing w:line="240" w:lineRule="exact"/>
              <w:jc w:val="center"/>
            </w:pPr>
            <w:r>
              <w:t>550</w:t>
            </w:r>
          </w:p>
        </w:tc>
      </w:tr>
      <w:tr w:rsidR="002B489A">
        <w:trPr>
          <w:trHeight w:hRule="exact" w:val="400"/>
        </w:trPr>
        <w:tc>
          <w:tcPr>
            <w:tcW w:w="4649" w:type="dxa"/>
          </w:tcPr>
          <w:p w:rsidR="002B489A" w:rsidRDefault="004F19C4">
            <w:pPr>
              <w:pStyle w:val="Tabletext"/>
              <w:framePr w:hSpace="181" w:wrap="notBeside" w:vAnchor="text" w:hAnchor="text" w:xAlign="center" w:y="1"/>
              <w:spacing w:line="240" w:lineRule="exact"/>
              <w:jc w:val="left"/>
            </w:pPr>
            <w:r>
              <w:t xml:space="preserve">Décalage par rapport au centre </w:t>
            </w:r>
            <w:r>
              <w:rPr>
                <w:i/>
                <w:iCs/>
              </w:rPr>
              <w:t>B</w:t>
            </w:r>
            <w:r>
              <w:rPr>
                <w:i/>
                <w:iCs/>
                <w:vertAlign w:val="subscript"/>
              </w:rPr>
              <w:t>N</w:t>
            </w:r>
            <w:r>
              <w:t xml:space="preserve"> (MHz)</w:t>
            </w:r>
          </w:p>
        </w:tc>
        <w:tc>
          <w:tcPr>
            <w:tcW w:w="1474" w:type="dxa"/>
          </w:tcPr>
          <w:p w:rsidR="002B489A" w:rsidRDefault="004F19C4">
            <w:pPr>
              <w:pStyle w:val="Tabletext"/>
              <w:framePr w:hSpace="181" w:wrap="notBeside" w:vAnchor="text" w:hAnchor="text" w:xAlign="center" w:y="1"/>
              <w:spacing w:line="240" w:lineRule="exact"/>
              <w:jc w:val="center"/>
            </w:pPr>
            <w:r>
              <w:t>24</w:t>
            </w:r>
          </w:p>
        </w:tc>
        <w:tc>
          <w:tcPr>
            <w:tcW w:w="1474" w:type="dxa"/>
          </w:tcPr>
          <w:p w:rsidR="002B489A" w:rsidRDefault="004F19C4">
            <w:pPr>
              <w:pStyle w:val="Tabletext"/>
              <w:framePr w:hSpace="181" w:wrap="notBeside" w:vAnchor="text" w:hAnchor="text" w:xAlign="center" w:y="1"/>
              <w:spacing w:line="240" w:lineRule="exact"/>
              <w:jc w:val="center"/>
            </w:pPr>
            <w:r>
              <w:t>6,25</w:t>
            </w:r>
          </w:p>
        </w:tc>
        <w:tc>
          <w:tcPr>
            <w:tcW w:w="1474" w:type="dxa"/>
          </w:tcPr>
          <w:p w:rsidR="002B489A" w:rsidRDefault="004F19C4">
            <w:pPr>
              <w:pStyle w:val="Tabletext"/>
              <w:framePr w:hSpace="181" w:wrap="notBeside" w:vAnchor="text" w:hAnchor="text" w:xAlign="center" w:y="1"/>
              <w:spacing w:line="240" w:lineRule="exact"/>
              <w:jc w:val="center"/>
            </w:pPr>
            <w:r>
              <w:t>2</w:t>
            </w:r>
            <w:r>
              <w:rPr>
                <w:rFonts w:ascii="Tms Rmn" w:hAnsi="Tms Rmn"/>
                <w:sz w:val="12"/>
              </w:rPr>
              <w:t> </w:t>
            </w:r>
            <w:r>
              <w:t>750</w:t>
            </w:r>
          </w:p>
        </w:tc>
      </w:tr>
      <w:tr w:rsidR="002B489A">
        <w:trPr>
          <w:trHeight w:hRule="exact" w:val="400"/>
        </w:trPr>
        <w:tc>
          <w:tcPr>
            <w:tcW w:w="4649" w:type="dxa"/>
          </w:tcPr>
          <w:p w:rsidR="002B489A" w:rsidRDefault="004F19C4">
            <w:pPr>
              <w:pStyle w:val="Tabletext"/>
              <w:framePr w:hSpace="181" w:wrap="notBeside" w:vAnchor="text" w:hAnchor="text" w:xAlign="center" w:y="1"/>
              <w:spacing w:line="240" w:lineRule="exact"/>
              <w:jc w:val="left"/>
            </w:pPr>
            <w:r>
              <w:t>Bande de garde supplémentaire requise (MHz)</w:t>
            </w:r>
          </w:p>
        </w:tc>
        <w:tc>
          <w:tcPr>
            <w:tcW w:w="1474" w:type="dxa"/>
          </w:tcPr>
          <w:p w:rsidR="002B489A" w:rsidRDefault="004F19C4">
            <w:pPr>
              <w:pStyle w:val="Tabletext"/>
              <w:framePr w:hSpace="181" w:wrap="notBeside" w:vAnchor="text" w:hAnchor="text" w:xAlign="center" w:y="1"/>
              <w:spacing w:line="240" w:lineRule="exact"/>
              <w:jc w:val="center"/>
            </w:pPr>
            <w:r>
              <w:t>0</w:t>
            </w:r>
          </w:p>
        </w:tc>
        <w:tc>
          <w:tcPr>
            <w:tcW w:w="1474" w:type="dxa"/>
          </w:tcPr>
          <w:p w:rsidR="002B489A" w:rsidRDefault="004F19C4">
            <w:pPr>
              <w:pStyle w:val="Tabletext"/>
              <w:framePr w:hSpace="181" w:wrap="notBeside" w:vAnchor="text" w:hAnchor="text" w:xAlign="center" w:y="1"/>
              <w:spacing w:line="240" w:lineRule="exact"/>
              <w:jc w:val="center"/>
            </w:pPr>
            <w:r>
              <w:t>0</w:t>
            </w:r>
          </w:p>
        </w:tc>
        <w:tc>
          <w:tcPr>
            <w:tcW w:w="1474" w:type="dxa"/>
          </w:tcPr>
          <w:p w:rsidR="002B489A" w:rsidRDefault="004F19C4">
            <w:pPr>
              <w:pStyle w:val="Tabletext"/>
              <w:framePr w:hSpace="181" w:wrap="notBeside" w:vAnchor="text" w:hAnchor="text" w:xAlign="center" w:y="1"/>
              <w:spacing w:line="240" w:lineRule="exact"/>
              <w:jc w:val="center"/>
            </w:pPr>
            <w:r>
              <w:t>2</w:t>
            </w:r>
            <w:r>
              <w:rPr>
                <w:rFonts w:ascii="Tms Rmn" w:hAnsi="Tms Rmn"/>
                <w:sz w:val="12"/>
              </w:rPr>
              <w:t> </w:t>
            </w:r>
            <w:r>
              <w:t>200</w:t>
            </w:r>
          </w:p>
        </w:tc>
      </w:tr>
    </w:tbl>
    <w:p w:rsidR="002B489A" w:rsidRDefault="002B489A">
      <w:pPr>
        <w:pStyle w:val="Tablefin"/>
      </w:pPr>
    </w:p>
    <w:p w:rsidR="002B489A" w:rsidRDefault="004F19C4">
      <w:pPr>
        <w:pStyle w:val="enumlev1"/>
      </w:pPr>
      <w:r>
        <w:t>–</w:t>
      </w:r>
      <w:r>
        <w:tab/>
        <w:t>Pour tous les systèmes OSG considérés dans cette étude, l'application d'un gabarit «à cosinus surélevé» résout la plupart des problèmes de risques de brouillage causés par les liaisons Terre vers espace entre stations terriennes et satellites. Cependant, il faut étudier plus avant (par analyse dynamique) la probabilité de configurations de lobe principal à lobe principal qui existent pour les stations terriennes situées près de l'équateur, qui pourraient conduire à une augmentation très significative des niveaux de brouillage indiqués dans le Tableau 65 (jusqu'à environ 88 dB);</w:t>
      </w:r>
    </w:p>
    <w:p w:rsidR="002B489A" w:rsidRDefault="004F19C4">
      <w:pPr>
        <w:pStyle w:val="enumlev1"/>
      </w:pPr>
      <w:r>
        <w:t>–</w:t>
      </w:r>
      <w:r>
        <w:tab/>
        <w:t>La conclusion est similaire avec les réseaux non OSG, excepté pour les systèmes ayant une forte largeur de bande nécessaire due à la plus forte probabilité de coïncidences de lobe principal à lobe principal. Le système LEOSAT-1 soulève des problèmes particuliers du fait de la grande largeur de bande nécessaire et à cause de son orbite, proche d'une orbite SETS. Il pourrait en résulter des coïncidences de lobe principal à lobe principal de longue durée, conduisant à des évènements de brouillage inacceptables et la possibilité de dommages aux récepteurs du détecteur, même avec l'application du gabarit à cosinus surélevé. Cependant, en considérant le grand nombre de satellites spécifiés dans le concept du système ci-dessus, la mise en œuvre réelle de ce réseau est peu vraisemblable dans cette configuration (840 satellites initialement prévus).</w:t>
      </w:r>
    </w:p>
    <w:p w:rsidR="002B489A" w:rsidRDefault="004F19C4">
      <w:pPr>
        <w:pStyle w:val="Heading3"/>
      </w:pPr>
      <w:r>
        <w:t>4.5.2</w:t>
      </w:r>
      <w:r>
        <w:tab/>
        <w:t>Détecteurs à balayage conique</w:t>
      </w:r>
    </w:p>
    <w:p w:rsidR="002B489A" w:rsidRDefault="004F19C4">
      <w:r>
        <w:t>Sur la base des résultats présentés aux Tableaux 60 et 61, les Tableaux 72 et 73 présentent le décalage minimum de fréquence entre le centre de la largeur de bande nécessaire et la limite inférieure de la bande attribuée, qui est requise pour protéger le détecteur passif contre le brouillage généré par les liaisons montantes SFS. Les décalages de fréquence sont calculés sur la base du gabarit à cosinus surélevé.</w:t>
      </w:r>
    </w:p>
    <w:p w:rsidR="002B489A" w:rsidRDefault="004F19C4">
      <w:r>
        <w:t>Noter que le décalage minimum de fréquence est de la moitié de la largeur de bande nécessaire, c'est-à-dire 50%.</w:t>
      </w:r>
    </w:p>
    <w:p w:rsidR="002B489A" w:rsidRDefault="004F19C4">
      <w:r>
        <w:br w:type="page"/>
        <w:t xml:space="preserve">Il faut noter qu'il y a une séparation de 300 MHz entre l'attribution SFS/SMS et l'attribution SETS (passive). Donc la séparation minimum de fréquence entre le centre de la largeur de bande nécessaire, qui est la référence dans le gabarit, est de </w:t>
      </w:r>
      <w:r>
        <w:rPr>
          <w:i/>
          <w:iCs/>
        </w:rPr>
        <w:t>B</w:t>
      </w:r>
      <w:r>
        <w:rPr>
          <w:i/>
          <w:iCs/>
          <w:vertAlign w:val="subscript"/>
        </w:rPr>
        <w:t>N</w:t>
      </w:r>
      <w:r>
        <w:rPr>
          <w:rFonts w:ascii="Tms Rmn" w:hAnsi="Tms Rmn"/>
          <w:i/>
          <w:iCs/>
          <w:sz w:val="12"/>
          <w:vertAlign w:val="subscript"/>
        </w:rPr>
        <w:t> </w:t>
      </w:r>
      <w:r>
        <w:rPr>
          <w:bCs/>
        </w:rPr>
        <w:t>/2 </w:t>
      </w:r>
      <w:r>
        <w:rPr>
          <w:rFonts w:ascii="Symbol" w:hAnsi="Symbol"/>
          <w:bCs/>
        </w:rPr>
        <w:t></w:t>
      </w:r>
      <w:r>
        <w:rPr>
          <w:bCs/>
        </w:rPr>
        <w:t> 300 MHz</w:t>
      </w:r>
      <w:r>
        <w:t>.</w:t>
      </w:r>
    </w:p>
    <w:p w:rsidR="002B489A" w:rsidRDefault="004F19C4">
      <w:pPr>
        <w:shd w:val="pct10" w:color="auto" w:fill="auto"/>
      </w:pPr>
      <w:r>
        <w:t>Les zones ombrées dans les tableaux indiquent que les marges sont positives et qu'aucun brouillage préjudiciable n'est prévu. Elles figurent comme aide à la lecture pour visualiser l'étendue du problème du brouillage</w:t>
      </w:r>
    </w:p>
    <w:p w:rsidR="002B489A" w:rsidRDefault="004F19C4">
      <w:pPr>
        <w:pStyle w:val="TableNo"/>
      </w:pPr>
      <w:r>
        <w:t>TABLEAU  72</w:t>
      </w:r>
    </w:p>
    <w:p w:rsidR="002B489A" w:rsidRDefault="004F19C4">
      <w:pPr>
        <w:pStyle w:val="Tabletitle"/>
      </w:pPr>
      <w:r>
        <w:t>Calcul du décalage de fréquence requis pour protéger la bande passive attribuée</w:t>
      </w:r>
      <w:r>
        <w:br/>
        <w:t>en utilisant le gabarit à cosinus surélevé (systèmes OSG)</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0"/>
        <w:gridCol w:w="15"/>
        <w:gridCol w:w="1044"/>
        <w:gridCol w:w="1087"/>
        <w:gridCol w:w="1022"/>
        <w:gridCol w:w="14"/>
        <w:gridCol w:w="14"/>
        <w:gridCol w:w="1014"/>
        <w:gridCol w:w="35"/>
        <w:gridCol w:w="948"/>
        <w:gridCol w:w="980"/>
        <w:gridCol w:w="1116"/>
      </w:tblGrid>
      <w:tr w:rsidR="002B489A">
        <w:tc>
          <w:tcPr>
            <w:tcW w:w="2347" w:type="dxa"/>
            <w:tcBorders>
              <w:bottom w:val="single" w:sz="4" w:space="0" w:color="auto"/>
            </w:tcBorders>
            <w:vAlign w:val="center"/>
          </w:tcPr>
          <w:p w:rsidR="002B489A" w:rsidRDefault="004F19C4">
            <w:pPr>
              <w:pStyle w:val="Tablehead"/>
              <w:framePr w:hSpace="181" w:wrap="notBeside" w:vAnchor="text" w:hAnchor="text" w:xAlign="center" w:y="1"/>
              <w:ind w:left="-57" w:right="-57"/>
              <w:jc w:val="left"/>
              <w:rPr>
                <w:sz w:val="20"/>
              </w:rPr>
            </w:pPr>
            <w:r>
              <w:rPr>
                <w:sz w:val="20"/>
              </w:rPr>
              <w:t>Système</w:t>
            </w:r>
          </w:p>
        </w:tc>
        <w:tc>
          <w:tcPr>
            <w:tcW w:w="1058" w:type="dxa"/>
            <w:gridSpan w:val="2"/>
            <w:tcBorders>
              <w:bottom w:val="single" w:sz="4" w:space="0" w:color="auto"/>
            </w:tcBorders>
            <w:vAlign w:val="center"/>
          </w:tcPr>
          <w:p w:rsidR="002B489A" w:rsidRDefault="004F19C4">
            <w:pPr>
              <w:pStyle w:val="Tablehead"/>
              <w:framePr w:hSpace="181" w:wrap="notBeside" w:vAnchor="text" w:hAnchor="text" w:xAlign="center" w:y="1"/>
              <w:ind w:left="-57" w:right="-57"/>
              <w:rPr>
                <w:sz w:val="20"/>
              </w:rPr>
            </w:pPr>
            <w:r>
              <w:rPr>
                <w:sz w:val="20"/>
              </w:rPr>
              <w:t>GSO-Ka-1</w:t>
            </w:r>
          </w:p>
        </w:tc>
        <w:tc>
          <w:tcPr>
            <w:tcW w:w="1086" w:type="dxa"/>
            <w:tcBorders>
              <w:bottom w:val="single" w:sz="4" w:space="0" w:color="auto"/>
            </w:tcBorders>
            <w:vAlign w:val="center"/>
          </w:tcPr>
          <w:p w:rsidR="002B489A" w:rsidRDefault="004F19C4">
            <w:pPr>
              <w:pStyle w:val="Tablehead"/>
              <w:framePr w:hSpace="181" w:wrap="notBeside" w:vAnchor="text" w:hAnchor="text" w:xAlign="center" w:y="1"/>
              <w:ind w:left="-57" w:right="-57"/>
              <w:rPr>
                <w:sz w:val="20"/>
              </w:rPr>
            </w:pPr>
            <w:r>
              <w:rPr>
                <w:sz w:val="20"/>
              </w:rPr>
              <w:t>Terminal résidentiel GSO</w:t>
            </w:r>
          </w:p>
        </w:tc>
        <w:tc>
          <w:tcPr>
            <w:tcW w:w="1021" w:type="dxa"/>
            <w:tcBorders>
              <w:bottom w:val="single" w:sz="4" w:space="0" w:color="auto"/>
            </w:tcBorders>
            <w:vAlign w:val="center"/>
          </w:tcPr>
          <w:p w:rsidR="002B489A" w:rsidRDefault="004F19C4">
            <w:pPr>
              <w:pStyle w:val="Tablehead"/>
              <w:framePr w:hSpace="181" w:wrap="notBeside" w:vAnchor="text" w:hAnchor="text" w:xAlign="center" w:y="1"/>
              <w:ind w:left="-57" w:right="-57"/>
              <w:rPr>
                <w:sz w:val="20"/>
                <w:lang w:val="fr-CH"/>
              </w:rPr>
            </w:pPr>
            <w:r>
              <w:rPr>
                <w:sz w:val="20"/>
                <w:lang w:val="fr-CH"/>
              </w:rPr>
              <w:t>GSO-20</w:t>
            </w:r>
          </w:p>
        </w:tc>
        <w:tc>
          <w:tcPr>
            <w:tcW w:w="1041" w:type="dxa"/>
            <w:gridSpan w:val="3"/>
            <w:tcBorders>
              <w:bottom w:val="single" w:sz="4" w:space="0" w:color="auto"/>
            </w:tcBorders>
            <w:vAlign w:val="center"/>
          </w:tcPr>
          <w:p w:rsidR="002B489A" w:rsidRDefault="004F19C4">
            <w:pPr>
              <w:pStyle w:val="Tablehead"/>
              <w:framePr w:hSpace="181" w:wrap="notBeside" w:vAnchor="text" w:hAnchor="text" w:xAlign="center" w:y="1"/>
              <w:ind w:left="-57" w:right="-57"/>
              <w:rPr>
                <w:sz w:val="20"/>
                <w:lang w:val="fr-CH"/>
              </w:rPr>
            </w:pPr>
            <w:r>
              <w:rPr>
                <w:sz w:val="20"/>
                <w:lang w:val="fr-CH"/>
              </w:rPr>
              <w:t>GSO-F</w:t>
            </w:r>
          </w:p>
        </w:tc>
        <w:tc>
          <w:tcPr>
            <w:tcW w:w="982" w:type="dxa"/>
            <w:gridSpan w:val="2"/>
            <w:tcBorders>
              <w:bottom w:val="single" w:sz="4" w:space="0" w:color="auto"/>
            </w:tcBorders>
            <w:vAlign w:val="center"/>
          </w:tcPr>
          <w:p w:rsidR="002B489A" w:rsidRDefault="004F19C4">
            <w:pPr>
              <w:pStyle w:val="Tablehead"/>
              <w:framePr w:hSpace="181" w:wrap="notBeside" w:vAnchor="text" w:hAnchor="text" w:xAlign="center" w:y="1"/>
              <w:ind w:left="-57" w:right="-57"/>
              <w:rPr>
                <w:sz w:val="20"/>
                <w:lang w:val="fr-CH"/>
              </w:rPr>
            </w:pPr>
            <w:r>
              <w:rPr>
                <w:sz w:val="20"/>
                <w:lang w:val="fr-CH"/>
              </w:rPr>
              <w:t>GSO-G</w:t>
            </w:r>
          </w:p>
        </w:tc>
        <w:tc>
          <w:tcPr>
            <w:tcW w:w="979" w:type="dxa"/>
            <w:tcBorders>
              <w:bottom w:val="single" w:sz="4" w:space="0" w:color="auto"/>
            </w:tcBorders>
            <w:vAlign w:val="center"/>
          </w:tcPr>
          <w:p w:rsidR="002B489A" w:rsidRDefault="004F19C4">
            <w:pPr>
              <w:pStyle w:val="Tablehead"/>
              <w:framePr w:hSpace="181" w:wrap="notBeside" w:vAnchor="text" w:hAnchor="text" w:xAlign="center" w:y="1"/>
              <w:ind w:left="-57" w:right="-57"/>
              <w:rPr>
                <w:sz w:val="20"/>
                <w:lang w:val="fr-CH"/>
              </w:rPr>
            </w:pPr>
            <w:r>
              <w:rPr>
                <w:sz w:val="20"/>
                <w:lang w:val="fr-CH"/>
              </w:rPr>
              <w:t>GSO-H</w:t>
            </w:r>
          </w:p>
        </w:tc>
        <w:tc>
          <w:tcPr>
            <w:tcW w:w="1115" w:type="dxa"/>
            <w:tcBorders>
              <w:bottom w:val="single" w:sz="4" w:space="0" w:color="auto"/>
            </w:tcBorders>
            <w:vAlign w:val="center"/>
          </w:tcPr>
          <w:p w:rsidR="002B489A" w:rsidRDefault="004F19C4">
            <w:pPr>
              <w:pStyle w:val="Tablehead"/>
              <w:framePr w:hSpace="181" w:wrap="notBeside" w:vAnchor="text" w:hAnchor="text" w:xAlign="center" w:y="1"/>
              <w:ind w:left="-57" w:right="-57"/>
              <w:rPr>
                <w:sz w:val="20"/>
              </w:rPr>
            </w:pPr>
            <w:r>
              <w:rPr>
                <w:sz w:val="20"/>
              </w:rPr>
              <w:t>GSO-13</w:t>
            </w:r>
          </w:p>
        </w:tc>
      </w:tr>
      <w:tr w:rsidR="002B489A">
        <w:trPr>
          <w:cantSplit/>
        </w:trPr>
        <w:tc>
          <w:tcPr>
            <w:tcW w:w="2347" w:type="dxa"/>
            <w:tcBorders>
              <w:bottom w:val="single" w:sz="4" w:space="0" w:color="auto"/>
            </w:tcBorders>
            <w:shd w:val="clear" w:color="auto" w:fill="FFFFFF"/>
          </w:tcPr>
          <w:p w:rsidR="002B489A" w:rsidRDefault="004F19C4">
            <w:pPr>
              <w:pStyle w:val="Tabletext"/>
              <w:framePr w:hSpace="181" w:wrap="notBeside" w:vAnchor="text" w:hAnchor="text" w:xAlign="center" w:y="1"/>
              <w:jc w:val="left"/>
              <w:rPr>
                <w:sz w:val="20"/>
              </w:rPr>
            </w:pPr>
            <w:r>
              <w:rPr>
                <w:sz w:val="20"/>
              </w:rPr>
              <w:t>Largeur de bande nécessaire (MHz)</w:t>
            </w:r>
          </w:p>
        </w:tc>
        <w:tc>
          <w:tcPr>
            <w:tcW w:w="1058" w:type="dxa"/>
            <w:gridSpan w:val="2"/>
            <w:tcBorders>
              <w:bottom w:val="single" w:sz="4" w:space="0" w:color="auto"/>
            </w:tcBorders>
            <w:shd w:val="clear" w:color="auto" w:fill="FFFFFF"/>
          </w:tcPr>
          <w:p w:rsidR="002B489A" w:rsidRDefault="004F19C4">
            <w:pPr>
              <w:pStyle w:val="Tabletext"/>
              <w:framePr w:hSpace="181" w:wrap="notBeside" w:vAnchor="text" w:hAnchor="text" w:xAlign="center" w:y="1"/>
              <w:jc w:val="center"/>
              <w:rPr>
                <w:sz w:val="20"/>
              </w:rPr>
            </w:pPr>
            <w:r>
              <w:rPr>
                <w:sz w:val="20"/>
              </w:rPr>
              <w:t>186,6</w:t>
            </w:r>
          </w:p>
        </w:tc>
        <w:tc>
          <w:tcPr>
            <w:tcW w:w="1086" w:type="dxa"/>
            <w:tcBorders>
              <w:bottom w:val="single" w:sz="4" w:space="0" w:color="auto"/>
            </w:tcBorders>
            <w:shd w:val="clear" w:color="auto" w:fill="FFFFFF"/>
          </w:tcPr>
          <w:p w:rsidR="002B489A" w:rsidRDefault="004F19C4">
            <w:pPr>
              <w:pStyle w:val="Tabletext"/>
              <w:framePr w:hSpace="181" w:wrap="notBeside" w:vAnchor="text" w:hAnchor="text" w:xAlign="center" w:y="1"/>
              <w:jc w:val="center"/>
              <w:rPr>
                <w:sz w:val="20"/>
              </w:rPr>
            </w:pPr>
            <w:r>
              <w:rPr>
                <w:sz w:val="20"/>
              </w:rPr>
              <w:t>3</w:t>
            </w:r>
          </w:p>
        </w:tc>
        <w:tc>
          <w:tcPr>
            <w:tcW w:w="1021" w:type="dxa"/>
            <w:tcBorders>
              <w:bottom w:val="single" w:sz="4" w:space="0" w:color="auto"/>
            </w:tcBorders>
            <w:shd w:val="clear" w:color="auto" w:fill="FFFFFF"/>
          </w:tcPr>
          <w:p w:rsidR="002B489A" w:rsidRDefault="004F19C4">
            <w:pPr>
              <w:pStyle w:val="Tabletext"/>
              <w:framePr w:hSpace="181" w:wrap="notBeside" w:vAnchor="text" w:hAnchor="text" w:xAlign="center" w:y="1"/>
              <w:jc w:val="center"/>
              <w:rPr>
                <w:sz w:val="20"/>
              </w:rPr>
            </w:pPr>
            <w:r>
              <w:rPr>
                <w:sz w:val="20"/>
              </w:rPr>
              <w:t>500</w:t>
            </w:r>
          </w:p>
        </w:tc>
        <w:tc>
          <w:tcPr>
            <w:tcW w:w="1041" w:type="dxa"/>
            <w:gridSpan w:val="3"/>
            <w:tcBorders>
              <w:bottom w:val="single" w:sz="4" w:space="0" w:color="auto"/>
            </w:tcBorders>
            <w:shd w:val="clear" w:color="auto" w:fill="FFFFFF"/>
          </w:tcPr>
          <w:p w:rsidR="002B489A" w:rsidRDefault="004F19C4">
            <w:pPr>
              <w:pStyle w:val="Tabletext"/>
              <w:framePr w:hSpace="181" w:wrap="notBeside" w:vAnchor="text" w:hAnchor="text" w:xAlign="center" w:y="1"/>
              <w:jc w:val="center"/>
              <w:rPr>
                <w:sz w:val="20"/>
              </w:rPr>
            </w:pPr>
            <w:r>
              <w:rPr>
                <w:sz w:val="20"/>
              </w:rPr>
              <w:t>125</w:t>
            </w:r>
          </w:p>
        </w:tc>
        <w:tc>
          <w:tcPr>
            <w:tcW w:w="982" w:type="dxa"/>
            <w:gridSpan w:val="2"/>
            <w:tcBorders>
              <w:bottom w:val="single" w:sz="4" w:space="0" w:color="auto"/>
            </w:tcBorders>
            <w:shd w:val="clear" w:color="auto" w:fill="FFFFFF"/>
          </w:tcPr>
          <w:p w:rsidR="002B489A" w:rsidRDefault="004F19C4">
            <w:pPr>
              <w:pStyle w:val="Tabletext"/>
              <w:framePr w:hSpace="181" w:wrap="notBeside" w:vAnchor="text" w:hAnchor="text" w:xAlign="center" w:y="1"/>
              <w:jc w:val="center"/>
              <w:rPr>
                <w:sz w:val="20"/>
              </w:rPr>
            </w:pPr>
            <w:r>
              <w:rPr>
                <w:sz w:val="20"/>
              </w:rPr>
              <w:t>0,0768</w:t>
            </w:r>
          </w:p>
        </w:tc>
        <w:tc>
          <w:tcPr>
            <w:tcW w:w="979" w:type="dxa"/>
            <w:tcBorders>
              <w:bottom w:val="single" w:sz="4" w:space="0" w:color="auto"/>
            </w:tcBorders>
            <w:shd w:val="clear" w:color="auto" w:fill="FFFFFF"/>
          </w:tcPr>
          <w:p w:rsidR="002B489A" w:rsidRDefault="004F19C4">
            <w:pPr>
              <w:pStyle w:val="Tabletext"/>
              <w:framePr w:hSpace="181" w:wrap="notBeside" w:vAnchor="text" w:hAnchor="text" w:xAlign="center" w:y="1"/>
              <w:jc w:val="center"/>
              <w:rPr>
                <w:sz w:val="20"/>
              </w:rPr>
            </w:pPr>
            <w:r>
              <w:rPr>
                <w:sz w:val="20"/>
              </w:rPr>
              <w:t>0,0768</w:t>
            </w:r>
          </w:p>
        </w:tc>
        <w:tc>
          <w:tcPr>
            <w:tcW w:w="1115" w:type="dxa"/>
            <w:tcBorders>
              <w:bottom w:val="single" w:sz="4" w:space="0" w:color="auto"/>
            </w:tcBorders>
            <w:shd w:val="clear" w:color="auto" w:fill="FFFFFF"/>
          </w:tcPr>
          <w:p w:rsidR="002B489A" w:rsidRDefault="004F19C4">
            <w:pPr>
              <w:pStyle w:val="Tabletext"/>
              <w:framePr w:hSpace="181" w:wrap="notBeside" w:vAnchor="text" w:hAnchor="text" w:xAlign="center" w:y="1"/>
              <w:jc w:val="center"/>
              <w:rPr>
                <w:sz w:val="20"/>
              </w:rPr>
            </w:pPr>
            <w:r>
              <w:rPr>
                <w:sz w:val="20"/>
              </w:rPr>
              <w:t>0,340</w:t>
            </w:r>
          </w:p>
        </w:tc>
      </w:tr>
      <w:tr w:rsidR="002B489A">
        <w:trPr>
          <w:cantSplit/>
        </w:trPr>
        <w:tc>
          <w:tcPr>
            <w:tcW w:w="9629" w:type="dxa"/>
            <w:gridSpan w:val="12"/>
            <w:shd w:val="clear" w:color="auto" w:fill="FFFFFF"/>
          </w:tcPr>
          <w:p w:rsidR="002B489A" w:rsidRDefault="004F19C4">
            <w:pPr>
              <w:pStyle w:val="Tablehead"/>
              <w:framePr w:hSpace="181" w:wrap="notBeside" w:vAnchor="text" w:hAnchor="text" w:xAlign="center" w:y="1"/>
              <w:jc w:val="left"/>
              <w:rPr>
                <w:b w:val="0"/>
                <w:i/>
                <w:iCs/>
                <w:sz w:val="20"/>
              </w:rPr>
            </w:pPr>
            <w:r>
              <w:rPr>
                <w:b w:val="0"/>
                <w:i/>
                <w:iCs/>
                <w:sz w:val="20"/>
              </w:rPr>
              <w:t>Cas 1 – Lobe principal de l'émetteur</w:t>
            </w:r>
          </w:p>
        </w:tc>
      </w:tr>
      <w:tr w:rsidR="002B489A">
        <w:tc>
          <w:tcPr>
            <w:tcW w:w="2362" w:type="dxa"/>
            <w:gridSpan w:val="2"/>
          </w:tcPr>
          <w:p w:rsidR="002B489A" w:rsidRDefault="004F19C4">
            <w:pPr>
              <w:pStyle w:val="Tabletext"/>
              <w:framePr w:hSpace="181" w:wrap="notBeside" w:vAnchor="text" w:hAnchor="text" w:xAlign="center" w:y="1"/>
              <w:jc w:val="left"/>
              <w:rPr>
                <w:sz w:val="20"/>
              </w:rPr>
            </w:pPr>
            <w:r>
              <w:rPr>
                <w:sz w:val="20"/>
              </w:rPr>
              <w:t>Lobe principal à balayage conique (dB)</w:t>
            </w:r>
          </w:p>
        </w:tc>
        <w:tc>
          <w:tcPr>
            <w:tcW w:w="1043" w:type="dxa"/>
          </w:tcPr>
          <w:p w:rsidR="002B489A" w:rsidRDefault="004F19C4">
            <w:pPr>
              <w:pStyle w:val="Tabletext"/>
              <w:framePr w:hSpace="181" w:wrap="notBeside" w:vAnchor="text" w:hAnchor="text" w:xAlign="center" w:y="1"/>
              <w:jc w:val="center"/>
              <w:rPr>
                <w:sz w:val="20"/>
              </w:rPr>
            </w:pPr>
            <w:r>
              <w:rPr>
                <w:sz w:val="20"/>
              </w:rPr>
              <w:t>–92,3</w:t>
            </w:r>
          </w:p>
        </w:tc>
        <w:tc>
          <w:tcPr>
            <w:tcW w:w="1086" w:type="dxa"/>
          </w:tcPr>
          <w:p w:rsidR="002B489A" w:rsidRDefault="004F19C4">
            <w:pPr>
              <w:pStyle w:val="Tabletext"/>
              <w:framePr w:hSpace="181" w:wrap="notBeside" w:vAnchor="text" w:hAnchor="text" w:xAlign="center" w:y="1"/>
              <w:jc w:val="center"/>
              <w:rPr>
                <w:sz w:val="20"/>
              </w:rPr>
            </w:pPr>
            <w:r>
              <w:rPr>
                <w:sz w:val="20"/>
              </w:rPr>
              <w:t>–66,8</w:t>
            </w:r>
          </w:p>
        </w:tc>
        <w:tc>
          <w:tcPr>
            <w:tcW w:w="1049" w:type="dxa"/>
            <w:gridSpan w:val="3"/>
          </w:tcPr>
          <w:p w:rsidR="002B489A" w:rsidRDefault="004F19C4">
            <w:pPr>
              <w:pStyle w:val="Tabletext"/>
              <w:framePr w:hSpace="181" w:wrap="notBeside" w:vAnchor="text" w:hAnchor="text" w:xAlign="center" w:y="1"/>
              <w:jc w:val="center"/>
              <w:rPr>
                <w:sz w:val="20"/>
              </w:rPr>
            </w:pPr>
            <w:r>
              <w:rPr>
                <w:sz w:val="20"/>
              </w:rPr>
              <w:t>–73,3</w:t>
            </w:r>
          </w:p>
        </w:tc>
        <w:tc>
          <w:tcPr>
            <w:tcW w:w="1048" w:type="dxa"/>
            <w:gridSpan w:val="2"/>
          </w:tcPr>
          <w:p w:rsidR="002B489A" w:rsidRDefault="004F19C4">
            <w:pPr>
              <w:pStyle w:val="Tabletext"/>
              <w:framePr w:hSpace="181" w:wrap="notBeside" w:vAnchor="text" w:hAnchor="text" w:xAlign="center" w:y="1"/>
              <w:jc w:val="center"/>
              <w:rPr>
                <w:sz w:val="20"/>
              </w:rPr>
            </w:pPr>
            <w:r>
              <w:rPr>
                <w:sz w:val="20"/>
              </w:rPr>
              <w:t>–70,5</w:t>
            </w:r>
          </w:p>
        </w:tc>
        <w:tc>
          <w:tcPr>
            <w:tcW w:w="947" w:type="dxa"/>
          </w:tcPr>
          <w:p w:rsidR="002B489A" w:rsidRDefault="004F19C4">
            <w:pPr>
              <w:pStyle w:val="Tabletext"/>
              <w:framePr w:hSpace="181" w:wrap="notBeside" w:vAnchor="text" w:hAnchor="text" w:xAlign="center" w:y="1"/>
              <w:jc w:val="center"/>
              <w:rPr>
                <w:sz w:val="20"/>
              </w:rPr>
            </w:pPr>
            <w:r>
              <w:rPr>
                <w:sz w:val="20"/>
              </w:rPr>
              <w:t>–85,8</w:t>
            </w:r>
          </w:p>
        </w:tc>
        <w:tc>
          <w:tcPr>
            <w:tcW w:w="979" w:type="dxa"/>
          </w:tcPr>
          <w:p w:rsidR="002B489A" w:rsidRDefault="004F19C4">
            <w:pPr>
              <w:pStyle w:val="Tabletext"/>
              <w:framePr w:hSpace="181" w:wrap="notBeside" w:vAnchor="text" w:hAnchor="text" w:xAlign="center" w:y="1"/>
              <w:jc w:val="center"/>
              <w:rPr>
                <w:sz w:val="20"/>
              </w:rPr>
            </w:pPr>
            <w:r>
              <w:rPr>
                <w:sz w:val="20"/>
              </w:rPr>
              <w:t>–79,8</w:t>
            </w:r>
          </w:p>
        </w:tc>
        <w:tc>
          <w:tcPr>
            <w:tcW w:w="1115" w:type="dxa"/>
          </w:tcPr>
          <w:p w:rsidR="002B489A" w:rsidRDefault="004F19C4">
            <w:pPr>
              <w:pStyle w:val="Tabletext"/>
              <w:framePr w:hSpace="181" w:wrap="notBeside" w:vAnchor="text" w:hAnchor="text" w:xAlign="center" w:y="1"/>
              <w:jc w:val="center"/>
              <w:rPr>
                <w:sz w:val="20"/>
              </w:rPr>
            </w:pPr>
            <w:r>
              <w:rPr>
                <w:sz w:val="20"/>
              </w:rPr>
              <w:t>–62,6</w:t>
            </w:r>
          </w:p>
        </w:tc>
      </w:tr>
      <w:tr w:rsidR="002B489A">
        <w:tc>
          <w:tcPr>
            <w:tcW w:w="2362" w:type="dxa"/>
            <w:gridSpan w:val="2"/>
          </w:tcPr>
          <w:p w:rsidR="002B489A" w:rsidRDefault="004F19C4">
            <w:pPr>
              <w:pStyle w:val="Tabletext"/>
              <w:framePr w:hSpace="181" w:wrap="notBeside" w:vAnchor="text" w:hAnchor="text" w:xAlign="center" w:y="1"/>
              <w:jc w:val="left"/>
              <w:rPr>
                <w:sz w:val="20"/>
              </w:rPr>
            </w:pPr>
            <w:r>
              <w:rPr>
                <w:sz w:val="20"/>
              </w:rPr>
              <w:t xml:space="preserve">Décalage par rapport au centre </w:t>
            </w:r>
            <w:r>
              <w:rPr>
                <w:i/>
                <w:iCs/>
                <w:sz w:val="20"/>
              </w:rPr>
              <w:t>B</w:t>
            </w:r>
            <w:r>
              <w:rPr>
                <w:i/>
                <w:iCs/>
                <w:sz w:val="20"/>
                <w:vertAlign w:val="subscript"/>
              </w:rPr>
              <w:t>N</w:t>
            </w:r>
            <w:r>
              <w:rPr>
                <w:sz w:val="20"/>
              </w:rPr>
              <w:t xml:space="preserve"> (%)</w:t>
            </w:r>
          </w:p>
        </w:tc>
        <w:tc>
          <w:tcPr>
            <w:tcW w:w="1043" w:type="dxa"/>
          </w:tcPr>
          <w:p w:rsidR="002B489A" w:rsidRDefault="004F19C4">
            <w:pPr>
              <w:pStyle w:val="Tabletext"/>
              <w:framePr w:hSpace="181" w:wrap="notBeside" w:vAnchor="text" w:hAnchor="text" w:xAlign="center" w:y="1"/>
              <w:jc w:val="center"/>
              <w:rPr>
                <w:sz w:val="20"/>
              </w:rPr>
            </w:pPr>
            <w:r>
              <w:rPr>
                <w:rFonts w:ascii="Symbol" w:hAnsi="Symbol"/>
                <w:sz w:val="20"/>
              </w:rPr>
              <w:t></w:t>
            </w:r>
            <w:r>
              <w:rPr>
                <w:rFonts w:ascii="Tms Rmn" w:hAnsi="Tms Rmn"/>
                <w:sz w:val="12"/>
              </w:rPr>
              <w:t> </w:t>
            </w:r>
            <w:r>
              <w:rPr>
                <w:sz w:val="20"/>
              </w:rPr>
              <w:t>1 000</w:t>
            </w:r>
          </w:p>
        </w:tc>
        <w:tc>
          <w:tcPr>
            <w:tcW w:w="1086" w:type="dxa"/>
          </w:tcPr>
          <w:p w:rsidR="002B489A" w:rsidRDefault="004F19C4">
            <w:pPr>
              <w:pStyle w:val="Tabletext"/>
              <w:framePr w:hSpace="181" w:wrap="notBeside" w:vAnchor="text" w:hAnchor="text" w:xAlign="center" w:y="1"/>
              <w:jc w:val="center"/>
              <w:rPr>
                <w:sz w:val="20"/>
              </w:rPr>
            </w:pPr>
            <w:r>
              <w:rPr>
                <w:sz w:val="20"/>
              </w:rPr>
              <w:t>394</w:t>
            </w:r>
          </w:p>
        </w:tc>
        <w:tc>
          <w:tcPr>
            <w:tcW w:w="1049" w:type="dxa"/>
            <w:gridSpan w:val="3"/>
          </w:tcPr>
          <w:p w:rsidR="002B489A" w:rsidRDefault="004F19C4">
            <w:pPr>
              <w:pStyle w:val="Tabletext"/>
              <w:framePr w:hSpace="181" w:wrap="notBeside" w:vAnchor="text" w:hAnchor="text" w:xAlign="center" w:y="1"/>
              <w:jc w:val="center"/>
              <w:rPr>
                <w:sz w:val="20"/>
              </w:rPr>
            </w:pPr>
            <w:r>
              <w:rPr>
                <w:sz w:val="20"/>
              </w:rPr>
              <w:t>533</w:t>
            </w:r>
          </w:p>
        </w:tc>
        <w:tc>
          <w:tcPr>
            <w:tcW w:w="1048" w:type="dxa"/>
            <w:gridSpan w:val="2"/>
          </w:tcPr>
          <w:p w:rsidR="002B489A" w:rsidRDefault="004F19C4">
            <w:pPr>
              <w:pStyle w:val="Tabletext"/>
              <w:framePr w:hSpace="181" w:wrap="notBeside" w:vAnchor="text" w:hAnchor="text" w:xAlign="center" w:y="1"/>
              <w:jc w:val="center"/>
              <w:rPr>
                <w:sz w:val="20"/>
              </w:rPr>
            </w:pPr>
            <w:r>
              <w:rPr>
                <w:sz w:val="20"/>
              </w:rPr>
              <w:t>475</w:t>
            </w:r>
          </w:p>
        </w:tc>
        <w:tc>
          <w:tcPr>
            <w:tcW w:w="947" w:type="dxa"/>
          </w:tcPr>
          <w:p w:rsidR="002B489A" w:rsidRDefault="004F19C4">
            <w:pPr>
              <w:pStyle w:val="Tabletext"/>
              <w:framePr w:hSpace="181" w:wrap="notBeside" w:vAnchor="text" w:hAnchor="text" w:xAlign="center" w:y="1"/>
              <w:jc w:val="center"/>
              <w:rPr>
                <w:sz w:val="20"/>
              </w:rPr>
            </w:pPr>
            <w:r>
              <w:rPr>
                <w:sz w:val="20"/>
              </w:rPr>
              <w:t>957</w:t>
            </w:r>
          </w:p>
        </w:tc>
        <w:tc>
          <w:tcPr>
            <w:tcW w:w="979" w:type="dxa"/>
          </w:tcPr>
          <w:p w:rsidR="002B489A" w:rsidRDefault="004F19C4">
            <w:pPr>
              <w:pStyle w:val="Tabletext"/>
              <w:framePr w:hSpace="181" w:wrap="notBeside" w:vAnchor="text" w:hAnchor="text" w:xAlign="center" w:y="1"/>
              <w:jc w:val="center"/>
              <w:rPr>
                <w:sz w:val="20"/>
              </w:rPr>
            </w:pPr>
            <w:r>
              <w:rPr>
                <w:sz w:val="20"/>
              </w:rPr>
              <w:t>725</w:t>
            </w:r>
          </w:p>
        </w:tc>
        <w:tc>
          <w:tcPr>
            <w:tcW w:w="1115" w:type="dxa"/>
          </w:tcPr>
          <w:p w:rsidR="002B489A" w:rsidRDefault="004F19C4">
            <w:pPr>
              <w:pStyle w:val="Tabletext"/>
              <w:framePr w:hSpace="181" w:wrap="notBeside" w:vAnchor="text" w:hAnchor="text" w:xAlign="center" w:y="1"/>
              <w:jc w:val="center"/>
              <w:rPr>
                <w:sz w:val="20"/>
              </w:rPr>
            </w:pPr>
            <w:r>
              <w:rPr>
                <w:sz w:val="20"/>
              </w:rPr>
              <w:t>329</w:t>
            </w:r>
          </w:p>
        </w:tc>
      </w:tr>
      <w:tr w:rsidR="002B489A">
        <w:tc>
          <w:tcPr>
            <w:tcW w:w="2362" w:type="dxa"/>
            <w:gridSpan w:val="2"/>
          </w:tcPr>
          <w:p w:rsidR="002B489A" w:rsidRDefault="004F19C4">
            <w:pPr>
              <w:pStyle w:val="Tabletext"/>
              <w:framePr w:hSpace="181" w:wrap="notBeside" w:vAnchor="text" w:hAnchor="text" w:xAlign="center" w:y="1"/>
              <w:jc w:val="left"/>
              <w:rPr>
                <w:sz w:val="20"/>
              </w:rPr>
            </w:pPr>
            <w:r>
              <w:rPr>
                <w:sz w:val="20"/>
              </w:rPr>
              <w:t xml:space="preserve">Décalage par rapport au centre </w:t>
            </w:r>
            <w:r>
              <w:rPr>
                <w:i/>
                <w:iCs/>
                <w:sz w:val="20"/>
              </w:rPr>
              <w:t>B</w:t>
            </w:r>
            <w:r>
              <w:rPr>
                <w:i/>
                <w:iCs/>
                <w:sz w:val="20"/>
                <w:vertAlign w:val="subscript"/>
              </w:rPr>
              <w:t>N</w:t>
            </w:r>
          </w:p>
        </w:tc>
        <w:tc>
          <w:tcPr>
            <w:tcW w:w="1043" w:type="dxa"/>
          </w:tcPr>
          <w:p w:rsidR="002B489A" w:rsidRDefault="004F19C4">
            <w:pPr>
              <w:pStyle w:val="Tabletext"/>
              <w:framePr w:hSpace="181" w:wrap="notBeside" w:vAnchor="text" w:hAnchor="text" w:xAlign="center" w:y="1"/>
              <w:jc w:val="center"/>
              <w:rPr>
                <w:sz w:val="20"/>
              </w:rPr>
            </w:pPr>
            <w:r>
              <w:rPr>
                <w:rFonts w:ascii="Symbol" w:hAnsi="Symbol"/>
                <w:sz w:val="20"/>
              </w:rPr>
              <w:t></w:t>
            </w:r>
            <w:r>
              <w:rPr>
                <w:rFonts w:ascii="Tms Rmn" w:hAnsi="Tms Rmn"/>
                <w:sz w:val="12"/>
              </w:rPr>
              <w:t> </w:t>
            </w:r>
            <w:r>
              <w:rPr>
                <w:sz w:val="20"/>
              </w:rPr>
              <w:t>1,9 GHz</w:t>
            </w:r>
          </w:p>
        </w:tc>
        <w:tc>
          <w:tcPr>
            <w:tcW w:w="1086" w:type="dxa"/>
          </w:tcPr>
          <w:p w:rsidR="002B489A" w:rsidRDefault="004F19C4">
            <w:pPr>
              <w:pStyle w:val="Tabletext"/>
              <w:framePr w:hSpace="181" w:wrap="notBeside" w:vAnchor="text" w:hAnchor="text" w:xAlign="center" w:y="1"/>
              <w:jc w:val="center"/>
              <w:rPr>
                <w:sz w:val="20"/>
              </w:rPr>
            </w:pPr>
            <w:r>
              <w:rPr>
                <w:sz w:val="20"/>
              </w:rPr>
              <w:t>11,8 MHz</w:t>
            </w:r>
          </w:p>
        </w:tc>
        <w:tc>
          <w:tcPr>
            <w:tcW w:w="1049" w:type="dxa"/>
            <w:gridSpan w:val="3"/>
          </w:tcPr>
          <w:p w:rsidR="002B489A" w:rsidRDefault="004F19C4">
            <w:pPr>
              <w:pStyle w:val="Tabletext"/>
              <w:framePr w:hSpace="181" w:wrap="notBeside" w:vAnchor="text" w:hAnchor="text" w:xAlign="center" w:y="1"/>
              <w:jc w:val="center"/>
              <w:rPr>
                <w:sz w:val="20"/>
              </w:rPr>
            </w:pPr>
            <w:r>
              <w:rPr>
                <w:sz w:val="20"/>
              </w:rPr>
              <w:t>2,7 GHz</w:t>
            </w:r>
          </w:p>
        </w:tc>
        <w:tc>
          <w:tcPr>
            <w:tcW w:w="1048" w:type="dxa"/>
            <w:gridSpan w:val="2"/>
          </w:tcPr>
          <w:p w:rsidR="002B489A" w:rsidRDefault="004F19C4">
            <w:pPr>
              <w:pStyle w:val="Tabletext"/>
              <w:framePr w:hSpace="181" w:wrap="notBeside" w:vAnchor="text" w:hAnchor="text" w:xAlign="center" w:y="1"/>
              <w:jc w:val="center"/>
              <w:rPr>
                <w:sz w:val="20"/>
              </w:rPr>
            </w:pPr>
            <w:r>
              <w:rPr>
                <w:sz w:val="20"/>
              </w:rPr>
              <w:t>594 MHz</w:t>
            </w:r>
          </w:p>
        </w:tc>
        <w:tc>
          <w:tcPr>
            <w:tcW w:w="947" w:type="dxa"/>
          </w:tcPr>
          <w:p w:rsidR="002B489A" w:rsidRDefault="004F19C4">
            <w:pPr>
              <w:pStyle w:val="Tabletext"/>
              <w:framePr w:hSpace="181" w:wrap="notBeside" w:vAnchor="text" w:hAnchor="text" w:xAlign="center" w:y="1"/>
              <w:jc w:val="center"/>
              <w:rPr>
                <w:sz w:val="20"/>
              </w:rPr>
            </w:pPr>
            <w:r>
              <w:rPr>
                <w:sz w:val="20"/>
              </w:rPr>
              <w:t>0,8 MHz</w:t>
            </w:r>
          </w:p>
        </w:tc>
        <w:tc>
          <w:tcPr>
            <w:tcW w:w="979" w:type="dxa"/>
          </w:tcPr>
          <w:p w:rsidR="002B489A" w:rsidRDefault="004F19C4">
            <w:pPr>
              <w:pStyle w:val="Tabletext"/>
              <w:framePr w:hSpace="181" w:wrap="notBeside" w:vAnchor="text" w:hAnchor="text" w:xAlign="center" w:y="1"/>
              <w:jc w:val="center"/>
              <w:rPr>
                <w:sz w:val="20"/>
              </w:rPr>
            </w:pPr>
            <w:r>
              <w:rPr>
                <w:sz w:val="20"/>
              </w:rPr>
              <w:t>0,6 MHz</w:t>
            </w:r>
          </w:p>
        </w:tc>
        <w:tc>
          <w:tcPr>
            <w:tcW w:w="1115" w:type="dxa"/>
          </w:tcPr>
          <w:p w:rsidR="002B489A" w:rsidRDefault="004F19C4">
            <w:pPr>
              <w:pStyle w:val="Tabletext"/>
              <w:framePr w:hSpace="181" w:wrap="notBeside" w:vAnchor="text" w:hAnchor="text" w:xAlign="center" w:y="1"/>
              <w:jc w:val="center"/>
              <w:rPr>
                <w:sz w:val="20"/>
              </w:rPr>
            </w:pPr>
            <w:r>
              <w:rPr>
                <w:sz w:val="20"/>
              </w:rPr>
              <w:t>1,2 MHz</w:t>
            </w:r>
          </w:p>
        </w:tc>
      </w:tr>
      <w:tr w:rsidR="002B489A">
        <w:tc>
          <w:tcPr>
            <w:tcW w:w="2362" w:type="dxa"/>
            <w:gridSpan w:val="2"/>
          </w:tcPr>
          <w:p w:rsidR="002B489A" w:rsidRDefault="004F19C4">
            <w:pPr>
              <w:pStyle w:val="Tabletext"/>
              <w:framePr w:hSpace="181" w:wrap="notBeside" w:vAnchor="text" w:hAnchor="text" w:xAlign="center" w:y="1"/>
              <w:jc w:val="left"/>
              <w:rPr>
                <w:sz w:val="20"/>
              </w:rPr>
            </w:pPr>
            <w:r>
              <w:rPr>
                <w:sz w:val="20"/>
              </w:rPr>
              <w:t>Bande de garde supplémentaire requise</w:t>
            </w:r>
          </w:p>
        </w:tc>
        <w:tc>
          <w:tcPr>
            <w:tcW w:w="1043" w:type="dxa"/>
          </w:tcPr>
          <w:p w:rsidR="002B489A" w:rsidRDefault="004F19C4">
            <w:pPr>
              <w:pStyle w:val="Tabletext"/>
              <w:framePr w:hSpace="181" w:wrap="notBeside" w:vAnchor="text" w:hAnchor="text" w:xAlign="center" w:y="1"/>
              <w:jc w:val="center"/>
              <w:rPr>
                <w:sz w:val="20"/>
              </w:rPr>
            </w:pPr>
            <w:r>
              <w:rPr>
                <w:rFonts w:ascii="Symbol" w:hAnsi="Symbol"/>
                <w:sz w:val="20"/>
              </w:rPr>
              <w:t></w:t>
            </w:r>
            <w:r>
              <w:rPr>
                <w:rFonts w:ascii="Tms Rmn" w:hAnsi="Tms Rmn"/>
                <w:sz w:val="12"/>
              </w:rPr>
              <w:t> </w:t>
            </w:r>
            <w:r>
              <w:rPr>
                <w:sz w:val="20"/>
              </w:rPr>
              <w:t>1,5 GHz</w:t>
            </w:r>
          </w:p>
        </w:tc>
        <w:tc>
          <w:tcPr>
            <w:tcW w:w="1086" w:type="dxa"/>
          </w:tcPr>
          <w:p w:rsidR="002B489A" w:rsidRDefault="004F19C4">
            <w:pPr>
              <w:pStyle w:val="Tabletext"/>
              <w:framePr w:hSpace="181" w:wrap="notBeside" w:vAnchor="text" w:hAnchor="text" w:xAlign="center" w:y="1"/>
              <w:jc w:val="center"/>
              <w:rPr>
                <w:sz w:val="20"/>
              </w:rPr>
            </w:pPr>
            <w:r>
              <w:rPr>
                <w:sz w:val="20"/>
              </w:rPr>
              <w:t>0</w:t>
            </w:r>
          </w:p>
        </w:tc>
        <w:tc>
          <w:tcPr>
            <w:tcW w:w="1049" w:type="dxa"/>
            <w:gridSpan w:val="3"/>
          </w:tcPr>
          <w:p w:rsidR="002B489A" w:rsidRDefault="004F19C4">
            <w:pPr>
              <w:pStyle w:val="Tabletext"/>
              <w:framePr w:hSpace="181" w:wrap="notBeside" w:vAnchor="text" w:hAnchor="text" w:xAlign="center" w:y="1"/>
              <w:jc w:val="center"/>
              <w:rPr>
                <w:sz w:val="20"/>
              </w:rPr>
            </w:pPr>
            <w:r>
              <w:rPr>
                <w:sz w:val="20"/>
              </w:rPr>
              <w:t>2,15 GHz</w:t>
            </w:r>
          </w:p>
        </w:tc>
        <w:tc>
          <w:tcPr>
            <w:tcW w:w="1048" w:type="dxa"/>
            <w:gridSpan w:val="2"/>
          </w:tcPr>
          <w:p w:rsidR="002B489A" w:rsidRDefault="004F19C4">
            <w:pPr>
              <w:pStyle w:val="Tabletext"/>
              <w:framePr w:hSpace="181" w:wrap="notBeside" w:vAnchor="text" w:hAnchor="text" w:xAlign="center" w:y="1"/>
              <w:jc w:val="center"/>
              <w:rPr>
                <w:sz w:val="20"/>
              </w:rPr>
            </w:pPr>
            <w:r>
              <w:rPr>
                <w:sz w:val="20"/>
              </w:rPr>
              <w:t>232 MHz</w:t>
            </w:r>
          </w:p>
        </w:tc>
        <w:tc>
          <w:tcPr>
            <w:tcW w:w="947" w:type="dxa"/>
          </w:tcPr>
          <w:p w:rsidR="002B489A" w:rsidRDefault="004F19C4">
            <w:pPr>
              <w:pStyle w:val="Tabletext"/>
              <w:framePr w:hSpace="181" w:wrap="notBeside" w:vAnchor="text" w:hAnchor="text" w:xAlign="center" w:y="1"/>
              <w:jc w:val="center"/>
              <w:rPr>
                <w:sz w:val="20"/>
              </w:rPr>
            </w:pPr>
            <w:r>
              <w:rPr>
                <w:sz w:val="20"/>
              </w:rPr>
              <w:t>0</w:t>
            </w:r>
          </w:p>
        </w:tc>
        <w:tc>
          <w:tcPr>
            <w:tcW w:w="979" w:type="dxa"/>
          </w:tcPr>
          <w:p w:rsidR="002B489A" w:rsidRDefault="004F19C4">
            <w:pPr>
              <w:pStyle w:val="Tabletext"/>
              <w:framePr w:hSpace="181" w:wrap="notBeside" w:vAnchor="text" w:hAnchor="text" w:xAlign="center" w:y="1"/>
              <w:jc w:val="center"/>
              <w:rPr>
                <w:sz w:val="20"/>
              </w:rPr>
            </w:pPr>
            <w:r>
              <w:rPr>
                <w:sz w:val="20"/>
              </w:rPr>
              <w:t>0</w:t>
            </w:r>
          </w:p>
        </w:tc>
        <w:tc>
          <w:tcPr>
            <w:tcW w:w="1115" w:type="dxa"/>
          </w:tcPr>
          <w:p w:rsidR="002B489A" w:rsidRDefault="004F19C4">
            <w:pPr>
              <w:pStyle w:val="Tabletext"/>
              <w:framePr w:hSpace="181" w:wrap="notBeside" w:vAnchor="text" w:hAnchor="text" w:xAlign="center" w:y="1"/>
              <w:jc w:val="center"/>
              <w:rPr>
                <w:sz w:val="20"/>
              </w:rPr>
            </w:pPr>
            <w:r>
              <w:rPr>
                <w:sz w:val="20"/>
              </w:rPr>
              <w:t>0</w:t>
            </w:r>
          </w:p>
        </w:tc>
      </w:tr>
      <w:tr w:rsidR="002B489A">
        <w:tc>
          <w:tcPr>
            <w:tcW w:w="2362" w:type="dxa"/>
            <w:gridSpan w:val="2"/>
          </w:tcPr>
          <w:p w:rsidR="002B489A" w:rsidRDefault="004F19C4">
            <w:pPr>
              <w:pStyle w:val="Tabletext"/>
              <w:framePr w:hSpace="181" w:wrap="notBeside" w:vAnchor="text" w:hAnchor="text" w:xAlign="center" w:y="1"/>
              <w:jc w:val="left"/>
              <w:rPr>
                <w:sz w:val="20"/>
              </w:rPr>
            </w:pPr>
            <w:r>
              <w:rPr>
                <w:sz w:val="20"/>
              </w:rPr>
              <w:t>Lobe latéral à balayage conique (dB)</w:t>
            </w:r>
          </w:p>
        </w:tc>
        <w:tc>
          <w:tcPr>
            <w:tcW w:w="1043" w:type="dxa"/>
          </w:tcPr>
          <w:p w:rsidR="002B489A" w:rsidRDefault="004F19C4">
            <w:pPr>
              <w:pStyle w:val="Tabletext"/>
              <w:framePr w:hSpace="181" w:wrap="notBeside" w:vAnchor="text" w:hAnchor="text" w:xAlign="center" w:y="1"/>
              <w:jc w:val="center"/>
              <w:rPr>
                <w:sz w:val="20"/>
              </w:rPr>
            </w:pPr>
            <w:r>
              <w:rPr>
                <w:sz w:val="20"/>
              </w:rPr>
              <w:sym w:font="Symbol" w:char="F02D"/>
            </w:r>
            <w:r>
              <w:rPr>
                <w:sz w:val="20"/>
              </w:rPr>
              <w:t>52,5</w:t>
            </w:r>
          </w:p>
        </w:tc>
        <w:tc>
          <w:tcPr>
            <w:tcW w:w="1086" w:type="dxa"/>
          </w:tcPr>
          <w:p w:rsidR="002B489A" w:rsidRDefault="004F19C4">
            <w:pPr>
              <w:pStyle w:val="Tabletext"/>
              <w:framePr w:hSpace="181" w:wrap="notBeside" w:vAnchor="text" w:hAnchor="text" w:xAlign="center" w:y="1"/>
              <w:jc w:val="center"/>
              <w:rPr>
                <w:sz w:val="20"/>
              </w:rPr>
            </w:pPr>
            <w:r>
              <w:rPr>
                <w:sz w:val="20"/>
              </w:rPr>
              <w:sym w:font="Symbol" w:char="F02D"/>
            </w:r>
            <w:r>
              <w:rPr>
                <w:sz w:val="20"/>
              </w:rPr>
              <w:t>27</w:t>
            </w:r>
          </w:p>
        </w:tc>
        <w:tc>
          <w:tcPr>
            <w:tcW w:w="1049" w:type="dxa"/>
            <w:gridSpan w:val="3"/>
          </w:tcPr>
          <w:p w:rsidR="002B489A" w:rsidRDefault="004F19C4">
            <w:pPr>
              <w:pStyle w:val="Tabletext"/>
              <w:framePr w:hSpace="181" w:wrap="notBeside" w:vAnchor="text" w:hAnchor="text" w:xAlign="center" w:y="1"/>
              <w:jc w:val="center"/>
              <w:rPr>
                <w:sz w:val="20"/>
              </w:rPr>
            </w:pPr>
            <w:r>
              <w:rPr>
                <w:sz w:val="20"/>
              </w:rPr>
              <w:sym w:font="Symbol" w:char="F02D"/>
            </w:r>
            <w:r>
              <w:rPr>
                <w:sz w:val="20"/>
              </w:rPr>
              <w:t>33,5</w:t>
            </w:r>
          </w:p>
        </w:tc>
        <w:tc>
          <w:tcPr>
            <w:tcW w:w="1048" w:type="dxa"/>
            <w:gridSpan w:val="2"/>
          </w:tcPr>
          <w:p w:rsidR="002B489A" w:rsidRDefault="004F19C4">
            <w:pPr>
              <w:pStyle w:val="Tabletext"/>
              <w:framePr w:hSpace="181" w:wrap="notBeside" w:vAnchor="text" w:hAnchor="text" w:xAlign="center" w:y="1"/>
              <w:jc w:val="center"/>
              <w:rPr>
                <w:sz w:val="20"/>
              </w:rPr>
            </w:pPr>
            <w:r>
              <w:rPr>
                <w:sz w:val="20"/>
              </w:rPr>
              <w:sym w:font="Symbol" w:char="F02D"/>
            </w:r>
            <w:r>
              <w:rPr>
                <w:sz w:val="20"/>
              </w:rPr>
              <w:t>30,7</w:t>
            </w:r>
          </w:p>
        </w:tc>
        <w:tc>
          <w:tcPr>
            <w:tcW w:w="947" w:type="dxa"/>
          </w:tcPr>
          <w:p w:rsidR="002B489A" w:rsidRDefault="004F19C4">
            <w:pPr>
              <w:pStyle w:val="Tabletext"/>
              <w:framePr w:hSpace="181" w:wrap="notBeside" w:vAnchor="text" w:hAnchor="text" w:xAlign="center" w:y="1"/>
              <w:jc w:val="center"/>
              <w:rPr>
                <w:sz w:val="20"/>
              </w:rPr>
            </w:pPr>
            <w:r>
              <w:rPr>
                <w:sz w:val="20"/>
              </w:rPr>
              <w:sym w:font="Symbol" w:char="F02D"/>
            </w:r>
            <w:r>
              <w:rPr>
                <w:sz w:val="20"/>
              </w:rPr>
              <w:t>46</w:t>
            </w:r>
          </w:p>
        </w:tc>
        <w:tc>
          <w:tcPr>
            <w:tcW w:w="979" w:type="dxa"/>
          </w:tcPr>
          <w:p w:rsidR="002B489A" w:rsidRDefault="004F19C4">
            <w:pPr>
              <w:pStyle w:val="Tabletext"/>
              <w:framePr w:hSpace="181" w:wrap="notBeside" w:vAnchor="text" w:hAnchor="text" w:xAlign="center" w:y="1"/>
              <w:jc w:val="center"/>
              <w:rPr>
                <w:sz w:val="20"/>
              </w:rPr>
            </w:pPr>
            <w:r>
              <w:rPr>
                <w:sz w:val="20"/>
              </w:rPr>
              <w:sym w:font="Symbol" w:char="F02D"/>
            </w:r>
            <w:r>
              <w:rPr>
                <w:sz w:val="20"/>
              </w:rPr>
              <w:t>40</w:t>
            </w:r>
          </w:p>
        </w:tc>
        <w:tc>
          <w:tcPr>
            <w:tcW w:w="1115" w:type="dxa"/>
          </w:tcPr>
          <w:p w:rsidR="002B489A" w:rsidRDefault="004F19C4">
            <w:pPr>
              <w:pStyle w:val="Tabletext"/>
              <w:framePr w:hSpace="181" w:wrap="notBeside" w:vAnchor="text" w:hAnchor="text" w:xAlign="center" w:y="1"/>
              <w:jc w:val="center"/>
              <w:rPr>
                <w:sz w:val="20"/>
              </w:rPr>
            </w:pPr>
            <w:r>
              <w:rPr>
                <w:sz w:val="20"/>
              </w:rPr>
              <w:sym w:font="Symbol" w:char="F02D"/>
            </w:r>
            <w:r>
              <w:rPr>
                <w:sz w:val="20"/>
              </w:rPr>
              <w:t>22,8</w:t>
            </w:r>
          </w:p>
        </w:tc>
      </w:tr>
      <w:tr w:rsidR="002B489A">
        <w:tc>
          <w:tcPr>
            <w:tcW w:w="2362" w:type="dxa"/>
            <w:gridSpan w:val="2"/>
          </w:tcPr>
          <w:p w:rsidR="002B489A" w:rsidRDefault="004F19C4">
            <w:pPr>
              <w:pStyle w:val="Tabletext"/>
              <w:framePr w:hSpace="181" w:wrap="notBeside" w:vAnchor="text" w:hAnchor="text" w:xAlign="center" w:y="1"/>
              <w:jc w:val="left"/>
              <w:rPr>
                <w:sz w:val="20"/>
              </w:rPr>
            </w:pPr>
            <w:r>
              <w:rPr>
                <w:sz w:val="20"/>
              </w:rPr>
              <w:t xml:space="preserve">Décalage par rapport au centre </w:t>
            </w:r>
            <w:r>
              <w:rPr>
                <w:i/>
                <w:iCs/>
                <w:sz w:val="20"/>
              </w:rPr>
              <w:t>B</w:t>
            </w:r>
            <w:r>
              <w:rPr>
                <w:i/>
                <w:iCs/>
                <w:sz w:val="20"/>
                <w:vertAlign w:val="subscript"/>
              </w:rPr>
              <w:t>N</w:t>
            </w:r>
            <w:r>
              <w:rPr>
                <w:sz w:val="20"/>
              </w:rPr>
              <w:t xml:space="preserve"> (%)</w:t>
            </w:r>
          </w:p>
        </w:tc>
        <w:tc>
          <w:tcPr>
            <w:tcW w:w="1043" w:type="dxa"/>
          </w:tcPr>
          <w:p w:rsidR="002B489A" w:rsidRDefault="004F19C4">
            <w:pPr>
              <w:pStyle w:val="Tabletext"/>
              <w:framePr w:hSpace="181" w:wrap="notBeside" w:vAnchor="text" w:hAnchor="text" w:xAlign="center" w:y="1"/>
              <w:jc w:val="center"/>
              <w:rPr>
                <w:sz w:val="20"/>
              </w:rPr>
            </w:pPr>
            <w:r>
              <w:rPr>
                <w:sz w:val="20"/>
              </w:rPr>
              <w:t>217</w:t>
            </w:r>
          </w:p>
        </w:tc>
        <w:tc>
          <w:tcPr>
            <w:tcW w:w="1086" w:type="dxa"/>
          </w:tcPr>
          <w:p w:rsidR="002B489A" w:rsidRDefault="004F19C4">
            <w:pPr>
              <w:pStyle w:val="Tabletext"/>
              <w:framePr w:hSpace="181" w:wrap="notBeside" w:vAnchor="text" w:hAnchor="text" w:xAlign="center" w:y="1"/>
              <w:jc w:val="center"/>
              <w:rPr>
                <w:sz w:val="20"/>
              </w:rPr>
            </w:pPr>
            <w:r>
              <w:rPr>
                <w:sz w:val="20"/>
              </w:rPr>
              <w:t>78</w:t>
            </w:r>
          </w:p>
        </w:tc>
        <w:tc>
          <w:tcPr>
            <w:tcW w:w="1049" w:type="dxa"/>
            <w:gridSpan w:val="3"/>
          </w:tcPr>
          <w:p w:rsidR="002B489A" w:rsidRDefault="004F19C4">
            <w:pPr>
              <w:pStyle w:val="Tabletext"/>
              <w:framePr w:hSpace="181" w:wrap="notBeside" w:vAnchor="text" w:hAnchor="text" w:xAlign="center" w:y="1"/>
              <w:jc w:val="center"/>
              <w:rPr>
                <w:sz w:val="20"/>
              </w:rPr>
            </w:pPr>
            <w:r>
              <w:rPr>
                <w:sz w:val="20"/>
              </w:rPr>
              <w:t>88</w:t>
            </w:r>
          </w:p>
        </w:tc>
        <w:tc>
          <w:tcPr>
            <w:tcW w:w="1048" w:type="dxa"/>
            <w:gridSpan w:val="2"/>
          </w:tcPr>
          <w:p w:rsidR="002B489A" w:rsidRDefault="004F19C4">
            <w:pPr>
              <w:pStyle w:val="Tabletext"/>
              <w:framePr w:hSpace="181" w:wrap="notBeside" w:vAnchor="text" w:hAnchor="text" w:xAlign="center" w:y="1"/>
              <w:jc w:val="center"/>
              <w:rPr>
                <w:sz w:val="20"/>
              </w:rPr>
            </w:pPr>
            <w:r>
              <w:rPr>
                <w:sz w:val="20"/>
              </w:rPr>
              <w:t>83</w:t>
            </w:r>
          </w:p>
        </w:tc>
        <w:tc>
          <w:tcPr>
            <w:tcW w:w="947" w:type="dxa"/>
          </w:tcPr>
          <w:p w:rsidR="002B489A" w:rsidRDefault="004F19C4">
            <w:pPr>
              <w:pStyle w:val="Tabletext"/>
              <w:framePr w:hSpace="181" w:wrap="notBeside" w:vAnchor="text" w:hAnchor="text" w:xAlign="center" w:y="1"/>
              <w:jc w:val="center"/>
              <w:rPr>
                <w:sz w:val="20"/>
              </w:rPr>
            </w:pPr>
            <w:r>
              <w:rPr>
                <w:sz w:val="20"/>
              </w:rPr>
              <w:t>165</w:t>
            </w:r>
          </w:p>
        </w:tc>
        <w:tc>
          <w:tcPr>
            <w:tcW w:w="979" w:type="dxa"/>
          </w:tcPr>
          <w:p w:rsidR="002B489A" w:rsidRDefault="004F19C4">
            <w:pPr>
              <w:pStyle w:val="Tabletext"/>
              <w:framePr w:hSpace="181" w:wrap="notBeside" w:vAnchor="text" w:hAnchor="text" w:xAlign="center" w:y="1"/>
              <w:jc w:val="center"/>
              <w:rPr>
                <w:sz w:val="20"/>
              </w:rPr>
            </w:pPr>
            <w:r>
              <w:rPr>
                <w:sz w:val="20"/>
              </w:rPr>
              <w:t>125</w:t>
            </w:r>
          </w:p>
        </w:tc>
        <w:tc>
          <w:tcPr>
            <w:tcW w:w="1115" w:type="dxa"/>
          </w:tcPr>
          <w:p w:rsidR="002B489A" w:rsidRDefault="004F19C4">
            <w:pPr>
              <w:pStyle w:val="Tabletext"/>
              <w:framePr w:hSpace="181" w:wrap="notBeside" w:vAnchor="text" w:hAnchor="text" w:xAlign="center" w:y="1"/>
              <w:jc w:val="center"/>
              <w:rPr>
                <w:sz w:val="20"/>
              </w:rPr>
            </w:pPr>
            <w:r>
              <w:rPr>
                <w:sz w:val="20"/>
              </w:rPr>
              <w:t>71</w:t>
            </w:r>
          </w:p>
        </w:tc>
      </w:tr>
      <w:tr w:rsidR="002B489A">
        <w:tc>
          <w:tcPr>
            <w:tcW w:w="2362" w:type="dxa"/>
            <w:gridSpan w:val="2"/>
          </w:tcPr>
          <w:p w:rsidR="002B489A" w:rsidRDefault="004F19C4">
            <w:pPr>
              <w:pStyle w:val="Tabletext"/>
              <w:framePr w:hSpace="181" w:wrap="notBeside" w:vAnchor="text" w:hAnchor="text" w:xAlign="center" w:y="1"/>
              <w:jc w:val="left"/>
              <w:rPr>
                <w:sz w:val="20"/>
              </w:rPr>
            </w:pPr>
            <w:r>
              <w:rPr>
                <w:sz w:val="20"/>
              </w:rPr>
              <w:t xml:space="preserve">Décalage par raport au centre </w:t>
            </w:r>
            <w:r>
              <w:rPr>
                <w:i/>
                <w:iCs/>
                <w:sz w:val="20"/>
              </w:rPr>
              <w:t>B</w:t>
            </w:r>
            <w:r>
              <w:rPr>
                <w:i/>
                <w:iCs/>
                <w:sz w:val="20"/>
                <w:vertAlign w:val="subscript"/>
              </w:rPr>
              <w:t>N</w:t>
            </w:r>
            <w:r>
              <w:rPr>
                <w:sz w:val="20"/>
              </w:rPr>
              <w:t xml:space="preserve"> (MHz)</w:t>
            </w:r>
          </w:p>
        </w:tc>
        <w:tc>
          <w:tcPr>
            <w:tcW w:w="1043" w:type="dxa"/>
          </w:tcPr>
          <w:p w:rsidR="002B489A" w:rsidRDefault="004F19C4">
            <w:pPr>
              <w:pStyle w:val="Tabletext"/>
              <w:framePr w:hSpace="181" w:wrap="notBeside" w:vAnchor="text" w:hAnchor="text" w:xAlign="center" w:y="1"/>
              <w:jc w:val="center"/>
              <w:rPr>
                <w:sz w:val="20"/>
              </w:rPr>
            </w:pPr>
            <w:r>
              <w:rPr>
                <w:sz w:val="20"/>
              </w:rPr>
              <w:t>405</w:t>
            </w:r>
          </w:p>
        </w:tc>
        <w:tc>
          <w:tcPr>
            <w:tcW w:w="1086" w:type="dxa"/>
          </w:tcPr>
          <w:p w:rsidR="002B489A" w:rsidRDefault="004F19C4">
            <w:pPr>
              <w:pStyle w:val="Tabletext"/>
              <w:framePr w:hSpace="181" w:wrap="notBeside" w:vAnchor="text" w:hAnchor="text" w:xAlign="center" w:y="1"/>
              <w:jc w:val="center"/>
              <w:rPr>
                <w:sz w:val="20"/>
              </w:rPr>
            </w:pPr>
            <w:r>
              <w:rPr>
                <w:sz w:val="20"/>
              </w:rPr>
              <w:t>2,4</w:t>
            </w:r>
          </w:p>
        </w:tc>
        <w:tc>
          <w:tcPr>
            <w:tcW w:w="1049" w:type="dxa"/>
            <w:gridSpan w:val="3"/>
          </w:tcPr>
          <w:p w:rsidR="002B489A" w:rsidRDefault="004F19C4">
            <w:pPr>
              <w:pStyle w:val="Tabletext"/>
              <w:framePr w:hSpace="181" w:wrap="notBeside" w:vAnchor="text" w:hAnchor="text" w:xAlign="center" w:y="1"/>
              <w:jc w:val="center"/>
              <w:rPr>
                <w:sz w:val="20"/>
              </w:rPr>
            </w:pPr>
            <w:r>
              <w:rPr>
                <w:sz w:val="20"/>
              </w:rPr>
              <w:t>440</w:t>
            </w:r>
          </w:p>
        </w:tc>
        <w:tc>
          <w:tcPr>
            <w:tcW w:w="1048" w:type="dxa"/>
            <w:gridSpan w:val="2"/>
          </w:tcPr>
          <w:p w:rsidR="002B489A" w:rsidRDefault="004F19C4">
            <w:pPr>
              <w:pStyle w:val="Tabletext"/>
              <w:framePr w:hSpace="181" w:wrap="notBeside" w:vAnchor="text" w:hAnchor="text" w:xAlign="center" w:y="1"/>
              <w:jc w:val="center"/>
              <w:rPr>
                <w:sz w:val="20"/>
              </w:rPr>
            </w:pPr>
            <w:r>
              <w:rPr>
                <w:sz w:val="20"/>
              </w:rPr>
              <w:t>104</w:t>
            </w:r>
          </w:p>
        </w:tc>
        <w:tc>
          <w:tcPr>
            <w:tcW w:w="947" w:type="dxa"/>
          </w:tcPr>
          <w:p w:rsidR="002B489A" w:rsidRDefault="004F19C4">
            <w:pPr>
              <w:pStyle w:val="Tabletext"/>
              <w:framePr w:hSpace="181" w:wrap="notBeside" w:vAnchor="text" w:hAnchor="text" w:xAlign="center" w:y="1"/>
              <w:jc w:val="center"/>
              <w:rPr>
                <w:sz w:val="20"/>
              </w:rPr>
            </w:pPr>
            <w:r>
              <w:rPr>
                <w:sz w:val="20"/>
              </w:rPr>
              <w:t>0,13</w:t>
            </w:r>
          </w:p>
        </w:tc>
        <w:tc>
          <w:tcPr>
            <w:tcW w:w="979" w:type="dxa"/>
          </w:tcPr>
          <w:p w:rsidR="002B489A" w:rsidRDefault="004F19C4">
            <w:pPr>
              <w:pStyle w:val="Tabletext"/>
              <w:framePr w:hSpace="181" w:wrap="notBeside" w:vAnchor="text" w:hAnchor="text" w:xAlign="center" w:y="1"/>
              <w:jc w:val="center"/>
              <w:rPr>
                <w:sz w:val="20"/>
              </w:rPr>
            </w:pPr>
            <w:r>
              <w:rPr>
                <w:sz w:val="20"/>
              </w:rPr>
              <w:t>0,96</w:t>
            </w:r>
          </w:p>
        </w:tc>
        <w:tc>
          <w:tcPr>
            <w:tcW w:w="1115" w:type="dxa"/>
          </w:tcPr>
          <w:p w:rsidR="002B489A" w:rsidRDefault="004F19C4">
            <w:pPr>
              <w:pStyle w:val="Tabletext"/>
              <w:framePr w:hSpace="181" w:wrap="notBeside" w:vAnchor="text" w:hAnchor="text" w:xAlign="center" w:y="1"/>
              <w:jc w:val="center"/>
              <w:rPr>
                <w:sz w:val="20"/>
              </w:rPr>
            </w:pPr>
            <w:r>
              <w:rPr>
                <w:sz w:val="20"/>
              </w:rPr>
              <w:t>0,25</w:t>
            </w:r>
          </w:p>
        </w:tc>
      </w:tr>
      <w:tr w:rsidR="002B489A">
        <w:tc>
          <w:tcPr>
            <w:tcW w:w="2362" w:type="dxa"/>
            <w:gridSpan w:val="2"/>
          </w:tcPr>
          <w:p w:rsidR="002B489A" w:rsidRDefault="004F19C4">
            <w:pPr>
              <w:pStyle w:val="Tabletext"/>
              <w:framePr w:hSpace="181" w:wrap="notBeside" w:vAnchor="text" w:hAnchor="text" w:xAlign="center" w:y="1"/>
              <w:jc w:val="left"/>
              <w:rPr>
                <w:sz w:val="20"/>
              </w:rPr>
            </w:pPr>
            <w:r>
              <w:rPr>
                <w:sz w:val="20"/>
              </w:rPr>
              <w:t>Bande de garde supplémentaire requise (MHz)</w:t>
            </w:r>
          </w:p>
        </w:tc>
        <w:tc>
          <w:tcPr>
            <w:tcW w:w="1043" w:type="dxa"/>
          </w:tcPr>
          <w:p w:rsidR="002B489A" w:rsidRDefault="004F19C4">
            <w:pPr>
              <w:pStyle w:val="Tabletext"/>
              <w:framePr w:hSpace="181" w:wrap="notBeside" w:vAnchor="text" w:hAnchor="text" w:xAlign="center" w:y="1"/>
              <w:jc w:val="center"/>
              <w:rPr>
                <w:sz w:val="20"/>
              </w:rPr>
            </w:pPr>
            <w:r>
              <w:rPr>
                <w:sz w:val="20"/>
              </w:rPr>
              <w:t>12</w:t>
            </w:r>
          </w:p>
        </w:tc>
        <w:tc>
          <w:tcPr>
            <w:tcW w:w="1086" w:type="dxa"/>
          </w:tcPr>
          <w:p w:rsidR="002B489A" w:rsidRDefault="004F19C4">
            <w:pPr>
              <w:pStyle w:val="Tabletext"/>
              <w:framePr w:hSpace="181" w:wrap="notBeside" w:vAnchor="text" w:hAnchor="text" w:xAlign="center" w:y="1"/>
              <w:jc w:val="center"/>
              <w:rPr>
                <w:sz w:val="20"/>
              </w:rPr>
            </w:pPr>
            <w:r>
              <w:rPr>
                <w:sz w:val="20"/>
              </w:rPr>
              <w:t>0</w:t>
            </w:r>
          </w:p>
        </w:tc>
        <w:tc>
          <w:tcPr>
            <w:tcW w:w="1049" w:type="dxa"/>
            <w:gridSpan w:val="3"/>
          </w:tcPr>
          <w:p w:rsidR="002B489A" w:rsidRDefault="004F19C4">
            <w:pPr>
              <w:pStyle w:val="Tabletext"/>
              <w:framePr w:hSpace="181" w:wrap="notBeside" w:vAnchor="text" w:hAnchor="text" w:xAlign="center" w:y="1"/>
              <w:jc w:val="center"/>
              <w:rPr>
                <w:sz w:val="20"/>
              </w:rPr>
            </w:pPr>
            <w:r>
              <w:rPr>
                <w:sz w:val="20"/>
              </w:rPr>
              <w:t>0</w:t>
            </w:r>
          </w:p>
        </w:tc>
        <w:tc>
          <w:tcPr>
            <w:tcW w:w="1048" w:type="dxa"/>
            <w:gridSpan w:val="2"/>
          </w:tcPr>
          <w:p w:rsidR="002B489A" w:rsidRDefault="004F19C4">
            <w:pPr>
              <w:pStyle w:val="Tabletext"/>
              <w:framePr w:hSpace="181" w:wrap="notBeside" w:vAnchor="text" w:hAnchor="text" w:xAlign="center" w:y="1"/>
              <w:jc w:val="center"/>
              <w:rPr>
                <w:sz w:val="20"/>
              </w:rPr>
            </w:pPr>
            <w:r>
              <w:rPr>
                <w:sz w:val="20"/>
              </w:rPr>
              <w:t>0</w:t>
            </w:r>
          </w:p>
        </w:tc>
        <w:tc>
          <w:tcPr>
            <w:tcW w:w="947" w:type="dxa"/>
          </w:tcPr>
          <w:p w:rsidR="002B489A" w:rsidRDefault="004F19C4">
            <w:pPr>
              <w:pStyle w:val="Tabletext"/>
              <w:framePr w:hSpace="181" w:wrap="notBeside" w:vAnchor="text" w:hAnchor="text" w:xAlign="center" w:y="1"/>
              <w:jc w:val="center"/>
              <w:rPr>
                <w:sz w:val="20"/>
              </w:rPr>
            </w:pPr>
            <w:r>
              <w:rPr>
                <w:sz w:val="20"/>
              </w:rPr>
              <w:t>0</w:t>
            </w:r>
          </w:p>
        </w:tc>
        <w:tc>
          <w:tcPr>
            <w:tcW w:w="979" w:type="dxa"/>
          </w:tcPr>
          <w:p w:rsidR="002B489A" w:rsidRDefault="004F19C4">
            <w:pPr>
              <w:pStyle w:val="Tabletext"/>
              <w:framePr w:hSpace="181" w:wrap="notBeside" w:vAnchor="text" w:hAnchor="text" w:xAlign="center" w:y="1"/>
              <w:jc w:val="center"/>
              <w:rPr>
                <w:sz w:val="20"/>
              </w:rPr>
            </w:pPr>
            <w:r>
              <w:rPr>
                <w:sz w:val="20"/>
              </w:rPr>
              <w:t>0</w:t>
            </w:r>
          </w:p>
        </w:tc>
        <w:tc>
          <w:tcPr>
            <w:tcW w:w="1115" w:type="dxa"/>
          </w:tcPr>
          <w:p w:rsidR="002B489A" w:rsidRDefault="004F19C4">
            <w:pPr>
              <w:pStyle w:val="Tabletext"/>
              <w:framePr w:hSpace="181" w:wrap="notBeside" w:vAnchor="text" w:hAnchor="text" w:xAlign="center" w:y="1"/>
              <w:jc w:val="center"/>
              <w:rPr>
                <w:sz w:val="20"/>
              </w:rPr>
            </w:pPr>
            <w:r>
              <w:rPr>
                <w:sz w:val="20"/>
              </w:rPr>
              <w:t>0</w:t>
            </w:r>
          </w:p>
        </w:tc>
      </w:tr>
      <w:tr w:rsidR="002B489A">
        <w:trPr>
          <w:cantSplit/>
        </w:trPr>
        <w:tc>
          <w:tcPr>
            <w:tcW w:w="9629" w:type="dxa"/>
            <w:gridSpan w:val="12"/>
            <w:shd w:val="clear" w:color="auto" w:fill="FFFFFF"/>
          </w:tcPr>
          <w:p w:rsidR="002B489A" w:rsidRDefault="004F19C4">
            <w:pPr>
              <w:pStyle w:val="Tablehead"/>
              <w:framePr w:hSpace="181" w:wrap="notBeside" w:vAnchor="text" w:hAnchor="text" w:xAlign="center" w:y="1"/>
              <w:jc w:val="left"/>
              <w:rPr>
                <w:b w:val="0"/>
                <w:i/>
                <w:iCs/>
                <w:sz w:val="20"/>
              </w:rPr>
            </w:pPr>
            <w:r>
              <w:rPr>
                <w:b w:val="0"/>
                <w:i/>
                <w:iCs/>
                <w:sz w:val="20"/>
              </w:rPr>
              <w:t>Cas 2 – Lobe latéral de l'émetteur</w:t>
            </w:r>
          </w:p>
        </w:tc>
      </w:tr>
      <w:tr w:rsidR="002B489A">
        <w:tc>
          <w:tcPr>
            <w:tcW w:w="2347" w:type="dxa"/>
          </w:tcPr>
          <w:p w:rsidR="002B489A" w:rsidRDefault="004F19C4">
            <w:pPr>
              <w:pStyle w:val="Tabletext"/>
              <w:framePr w:hSpace="181" w:wrap="notBeside" w:vAnchor="text" w:hAnchor="text" w:xAlign="center" w:y="1"/>
              <w:jc w:val="left"/>
              <w:rPr>
                <w:sz w:val="20"/>
              </w:rPr>
            </w:pPr>
            <w:r>
              <w:rPr>
                <w:sz w:val="20"/>
              </w:rPr>
              <w:t>Lobe principal à balayage conique (dB)</w:t>
            </w:r>
          </w:p>
        </w:tc>
        <w:tc>
          <w:tcPr>
            <w:tcW w:w="1058" w:type="dxa"/>
            <w:gridSpan w:val="2"/>
            <w:tcBorders>
              <w:bottom w:val="nil"/>
            </w:tcBorders>
          </w:tcPr>
          <w:p w:rsidR="002B489A" w:rsidRDefault="004F19C4">
            <w:pPr>
              <w:pStyle w:val="Tabletext"/>
              <w:framePr w:hSpace="181" w:wrap="notBeside" w:vAnchor="text" w:hAnchor="text" w:xAlign="center" w:y="1"/>
              <w:jc w:val="center"/>
              <w:rPr>
                <w:sz w:val="20"/>
              </w:rPr>
            </w:pPr>
            <w:r>
              <w:rPr>
                <w:sz w:val="20"/>
              </w:rPr>
              <w:t>–18,9</w:t>
            </w:r>
          </w:p>
        </w:tc>
        <w:tc>
          <w:tcPr>
            <w:tcW w:w="1086" w:type="dxa"/>
            <w:tcBorders>
              <w:bottom w:val="nil"/>
            </w:tcBorders>
          </w:tcPr>
          <w:p w:rsidR="002B489A" w:rsidRDefault="004F19C4">
            <w:pPr>
              <w:pStyle w:val="Tabletext"/>
              <w:framePr w:hSpace="181" w:wrap="notBeside" w:vAnchor="text" w:hAnchor="text" w:xAlign="center" w:y="1"/>
              <w:jc w:val="center"/>
              <w:rPr>
                <w:sz w:val="20"/>
              </w:rPr>
            </w:pPr>
            <w:r>
              <w:rPr>
                <w:sz w:val="20"/>
              </w:rPr>
              <w:t>–11,3</w:t>
            </w:r>
          </w:p>
        </w:tc>
        <w:tc>
          <w:tcPr>
            <w:tcW w:w="1035" w:type="dxa"/>
            <w:gridSpan w:val="2"/>
            <w:tcBorders>
              <w:bottom w:val="nil"/>
            </w:tcBorders>
          </w:tcPr>
          <w:p w:rsidR="002B489A" w:rsidRDefault="004F19C4">
            <w:pPr>
              <w:pStyle w:val="Tabletext"/>
              <w:framePr w:hSpace="181" w:wrap="notBeside" w:vAnchor="text" w:hAnchor="text" w:xAlign="center" w:y="1"/>
              <w:jc w:val="center"/>
              <w:rPr>
                <w:sz w:val="20"/>
              </w:rPr>
            </w:pPr>
            <w:r>
              <w:rPr>
                <w:sz w:val="20"/>
              </w:rPr>
              <w:t>–19,4</w:t>
            </w:r>
          </w:p>
        </w:tc>
        <w:tc>
          <w:tcPr>
            <w:tcW w:w="1027" w:type="dxa"/>
            <w:gridSpan w:val="2"/>
            <w:tcBorders>
              <w:bottom w:val="nil"/>
            </w:tcBorders>
          </w:tcPr>
          <w:p w:rsidR="002B489A" w:rsidRDefault="004F19C4">
            <w:pPr>
              <w:pStyle w:val="Tabletext"/>
              <w:framePr w:hSpace="181" w:wrap="notBeside" w:vAnchor="text" w:hAnchor="text" w:xAlign="center" w:y="1"/>
              <w:jc w:val="center"/>
              <w:rPr>
                <w:sz w:val="20"/>
              </w:rPr>
            </w:pPr>
            <w:r>
              <w:rPr>
                <w:sz w:val="20"/>
              </w:rPr>
              <w:t>–3,3</w:t>
            </w:r>
          </w:p>
        </w:tc>
        <w:tc>
          <w:tcPr>
            <w:tcW w:w="982" w:type="dxa"/>
            <w:gridSpan w:val="2"/>
            <w:tcBorders>
              <w:bottom w:val="nil"/>
            </w:tcBorders>
          </w:tcPr>
          <w:p w:rsidR="002B489A" w:rsidRDefault="004F19C4">
            <w:pPr>
              <w:pStyle w:val="Tabletext"/>
              <w:framePr w:hSpace="181" w:wrap="notBeside" w:vAnchor="text" w:hAnchor="text" w:xAlign="center" w:y="1"/>
              <w:jc w:val="center"/>
              <w:rPr>
                <w:sz w:val="20"/>
              </w:rPr>
            </w:pPr>
            <w:r>
              <w:rPr>
                <w:sz w:val="20"/>
              </w:rPr>
              <w:t>–30,1</w:t>
            </w:r>
          </w:p>
        </w:tc>
        <w:tc>
          <w:tcPr>
            <w:tcW w:w="979" w:type="dxa"/>
            <w:tcBorders>
              <w:bottom w:val="nil"/>
            </w:tcBorders>
          </w:tcPr>
          <w:p w:rsidR="002B489A" w:rsidRDefault="004F19C4">
            <w:pPr>
              <w:pStyle w:val="Tabletext"/>
              <w:framePr w:hSpace="181" w:wrap="notBeside" w:vAnchor="text" w:hAnchor="text" w:xAlign="center" w:y="1"/>
              <w:jc w:val="center"/>
              <w:rPr>
                <w:sz w:val="20"/>
              </w:rPr>
            </w:pPr>
            <w:r>
              <w:rPr>
                <w:sz w:val="20"/>
              </w:rPr>
              <w:t>–14,6</w:t>
            </w:r>
          </w:p>
        </w:tc>
        <w:tc>
          <w:tcPr>
            <w:tcW w:w="1115" w:type="dxa"/>
            <w:tcBorders>
              <w:bottom w:val="nil"/>
            </w:tcBorders>
          </w:tcPr>
          <w:p w:rsidR="002B489A" w:rsidRDefault="004F19C4">
            <w:pPr>
              <w:pStyle w:val="Tabletext"/>
              <w:framePr w:hSpace="181" w:wrap="notBeside" w:vAnchor="text" w:hAnchor="text" w:xAlign="center" w:y="1"/>
              <w:jc w:val="center"/>
              <w:rPr>
                <w:sz w:val="20"/>
              </w:rPr>
            </w:pPr>
            <w:r>
              <w:rPr>
                <w:sz w:val="20"/>
              </w:rPr>
              <w:t>–8,3</w:t>
            </w:r>
          </w:p>
        </w:tc>
      </w:tr>
      <w:tr w:rsidR="002B489A">
        <w:tc>
          <w:tcPr>
            <w:tcW w:w="2347" w:type="dxa"/>
          </w:tcPr>
          <w:p w:rsidR="002B489A" w:rsidRDefault="004F19C4">
            <w:pPr>
              <w:pStyle w:val="Tabletext"/>
              <w:framePr w:hSpace="181" w:wrap="notBeside" w:vAnchor="text" w:hAnchor="text" w:xAlign="center" w:y="1"/>
              <w:jc w:val="left"/>
              <w:rPr>
                <w:sz w:val="20"/>
              </w:rPr>
            </w:pPr>
            <w:r>
              <w:rPr>
                <w:sz w:val="20"/>
              </w:rPr>
              <w:t xml:space="preserve">Décalage par rapport au centre </w:t>
            </w:r>
            <w:r>
              <w:rPr>
                <w:i/>
                <w:iCs/>
                <w:sz w:val="20"/>
              </w:rPr>
              <w:t>B</w:t>
            </w:r>
            <w:r>
              <w:rPr>
                <w:i/>
                <w:iCs/>
                <w:sz w:val="20"/>
                <w:vertAlign w:val="subscript"/>
              </w:rPr>
              <w:t>N</w:t>
            </w:r>
            <w:r>
              <w:rPr>
                <w:sz w:val="20"/>
              </w:rPr>
              <w:t xml:space="preserve"> (%)</w:t>
            </w:r>
          </w:p>
        </w:tc>
        <w:tc>
          <w:tcPr>
            <w:tcW w:w="1058" w:type="dxa"/>
            <w:gridSpan w:val="2"/>
          </w:tcPr>
          <w:p w:rsidR="002B489A" w:rsidRDefault="004F19C4">
            <w:pPr>
              <w:pStyle w:val="Tabletext"/>
              <w:framePr w:hSpace="181" w:wrap="notBeside" w:vAnchor="text" w:hAnchor="text" w:xAlign="center" w:y="1"/>
              <w:jc w:val="center"/>
              <w:rPr>
                <w:sz w:val="20"/>
              </w:rPr>
            </w:pPr>
            <w:r>
              <w:rPr>
                <w:sz w:val="20"/>
              </w:rPr>
              <w:t>65</w:t>
            </w:r>
          </w:p>
        </w:tc>
        <w:tc>
          <w:tcPr>
            <w:tcW w:w="1086" w:type="dxa"/>
          </w:tcPr>
          <w:p w:rsidR="002B489A" w:rsidRDefault="004F19C4">
            <w:pPr>
              <w:pStyle w:val="Tabletext"/>
              <w:framePr w:hSpace="181" w:wrap="notBeside" w:vAnchor="text" w:hAnchor="text" w:xAlign="center" w:y="1"/>
              <w:jc w:val="center"/>
              <w:rPr>
                <w:sz w:val="20"/>
              </w:rPr>
            </w:pPr>
            <w:r>
              <w:rPr>
                <w:sz w:val="20"/>
              </w:rPr>
              <w:t>50</w:t>
            </w:r>
          </w:p>
        </w:tc>
        <w:tc>
          <w:tcPr>
            <w:tcW w:w="1035" w:type="dxa"/>
            <w:gridSpan w:val="2"/>
          </w:tcPr>
          <w:p w:rsidR="002B489A" w:rsidRDefault="004F19C4">
            <w:pPr>
              <w:pStyle w:val="Tabletext"/>
              <w:framePr w:hSpace="181" w:wrap="notBeside" w:vAnchor="text" w:hAnchor="text" w:xAlign="center" w:y="1"/>
              <w:jc w:val="center"/>
              <w:rPr>
                <w:sz w:val="20"/>
              </w:rPr>
            </w:pPr>
            <w:r>
              <w:rPr>
                <w:sz w:val="20"/>
              </w:rPr>
              <w:t>70</w:t>
            </w:r>
          </w:p>
        </w:tc>
        <w:tc>
          <w:tcPr>
            <w:tcW w:w="1027" w:type="dxa"/>
            <w:gridSpan w:val="2"/>
          </w:tcPr>
          <w:p w:rsidR="002B489A" w:rsidRDefault="004F19C4">
            <w:pPr>
              <w:pStyle w:val="Tabletext"/>
              <w:framePr w:hSpace="181" w:wrap="notBeside" w:vAnchor="text" w:hAnchor="text" w:xAlign="center" w:y="1"/>
              <w:jc w:val="center"/>
              <w:rPr>
                <w:sz w:val="20"/>
              </w:rPr>
            </w:pPr>
            <w:r>
              <w:rPr>
                <w:sz w:val="20"/>
              </w:rPr>
              <w:t>50</w:t>
            </w:r>
          </w:p>
        </w:tc>
        <w:tc>
          <w:tcPr>
            <w:tcW w:w="982" w:type="dxa"/>
            <w:gridSpan w:val="2"/>
          </w:tcPr>
          <w:p w:rsidR="002B489A" w:rsidRDefault="004F19C4">
            <w:pPr>
              <w:pStyle w:val="Tabletext"/>
              <w:framePr w:hSpace="181" w:wrap="notBeside" w:vAnchor="text" w:hAnchor="text" w:xAlign="center" w:y="1"/>
              <w:jc w:val="center"/>
              <w:rPr>
                <w:sz w:val="20"/>
              </w:rPr>
            </w:pPr>
            <w:r>
              <w:rPr>
                <w:sz w:val="20"/>
              </w:rPr>
              <w:t>80</w:t>
            </w:r>
          </w:p>
        </w:tc>
        <w:tc>
          <w:tcPr>
            <w:tcW w:w="979" w:type="dxa"/>
          </w:tcPr>
          <w:p w:rsidR="002B489A" w:rsidRDefault="004F19C4">
            <w:pPr>
              <w:pStyle w:val="Tabletext"/>
              <w:framePr w:hSpace="181" w:wrap="notBeside" w:vAnchor="text" w:hAnchor="text" w:xAlign="center" w:y="1"/>
              <w:jc w:val="center"/>
              <w:rPr>
                <w:sz w:val="20"/>
              </w:rPr>
            </w:pPr>
            <w:r>
              <w:rPr>
                <w:sz w:val="20"/>
              </w:rPr>
              <w:t>50</w:t>
            </w:r>
          </w:p>
        </w:tc>
        <w:tc>
          <w:tcPr>
            <w:tcW w:w="1115" w:type="dxa"/>
          </w:tcPr>
          <w:p w:rsidR="002B489A" w:rsidRDefault="004F19C4">
            <w:pPr>
              <w:pStyle w:val="Tabletext"/>
              <w:framePr w:hSpace="181" w:wrap="notBeside" w:vAnchor="text" w:hAnchor="text" w:xAlign="center" w:y="1"/>
              <w:jc w:val="center"/>
              <w:rPr>
                <w:sz w:val="20"/>
              </w:rPr>
            </w:pPr>
            <w:r>
              <w:rPr>
                <w:sz w:val="20"/>
              </w:rPr>
              <w:t>50</w:t>
            </w:r>
          </w:p>
        </w:tc>
      </w:tr>
      <w:tr w:rsidR="002B489A">
        <w:tc>
          <w:tcPr>
            <w:tcW w:w="2347" w:type="dxa"/>
            <w:tcBorders>
              <w:bottom w:val="nil"/>
            </w:tcBorders>
          </w:tcPr>
          <w:p w:rsidR="002B489A" w:rsidRDefault="004F19C4">
            <w:pPr>
              <w:pStyle w:val="Tabletext"/>
              <w:framePr w:hSpace="181" w:wrap="notBeside" w:vAnchor="text" w:hAnchor="text" w:xAlign="center" w:y="1"/>
              <w:jc w:val="left"/>
              <w:rPr>
                <w:sz w:val="20"/>
              </w:rPr>
            </w:pPr>
            <w:r>
              <w:rPr>
                <w:sz w:val="20"/>
              </w:rPr>
              <w:t xml:space="preserve">Décalage par rapport au centre </w:t>
            </w:r>
            <w:r>
              <w:rPr>
                <w:i/>
                <w:iCs/>
                <w:sz w:val="20"/>
              </w:rPr>
              <w:t>B</w:t>
            </w:r>
            <w:r>
              <w:rPr>
                <w:i/>
                <w:iCs/>
                <w:sz w:val="20"/>
                <w:vertAlign w:val="subscript"/>
              </w:rPr>
              <w:t>N</w:t>
            </w:r>
            <w:r>
              <w:rPr>
                <w:sz w:val="20"/>
              </w:rPr>
              <w:t xml:space="preserve"> (MHz)</w:t>
            </w:r>
          </w:p>
        </w:tc>
        <w:tc>
          <w:tcPr>
            <w:tcW w:w="1058" w:type="dxa"/>
            <w:gridSpan w:val="2"/>
            <w:tcBorders>
              <w:bottom w:val="nil"/>
            </w:tcBorders>
          </w:tcPr>
          <w:p w:rsidR="002B489A" w:rsidRDefault="004F19C4">
            <w:pPr>
              <w:pStyle w:val="Tabletext"/>
              <w:framePr w:hSpace="181" w:wrap="notBeside" w:vAnchor="text" w:hAnchor="text" w:xAlign="center" w:y="1"/>
              <w:jc w:val="center"/>
              <w:rPr>
                <w:sz w:val="20"/>
              </w:rPr>
            </w:pPr>
            <w:r>
              <w:rPr>
                <w:sz w:val="20"/>
              </w:rPr>
              <w:t>122</w:t>
            </w:r>
          </w:p>
        </w:tc>
        <w:tc>
          <w:tcPr>
            <w:tcW w:w="1086" w:type="dxa"/>
            <w:tcBorders>
              <w:bottom w:val="nil"/>
            </w:tcBorders>
          </w:tcPr>
          <w:p w:rsidR="002B489A" w:rsidRDefault="004F19C4">
            <w:pPr>
              <w:pStyle w:val="Tabletext"/>
              <w:framePr w:hSpace="181" w:wrap="notBeside" w:vAnchor="text" w:hAnchor="text" w:xAlign="center" w:y="1"/>
              <w:jc w:val="center"/>
              <w:rPr>
                <w:sz w:val="20"/>
              </w:rPr>
            </w:pPr>
            <w:r>
              <w:rPr>
                <w:sz w:val="20"/>
              </w:rPr>
              <w:t>1,5</w:t>
            </w:r>
          </w:p>
        </w:tc>
        <w:tc>
          <w:tcPr>
            <w:tcW w:w="1035" w:type="dxa"/>
            <w:gridSpan w:val="2"/>
            <w:tcBorders>
              <w:bottom w:val="nil"/>
            </w:tcBorders>
          </w:tcPr>
          <w:p w:rsidR="002B489A" w:rsidRDefault="004F19C4">
            <w:pPr>
              <w:pStyle w:val="Tabletext"/>
              <w:framePr w:hSpace="181" w:wrap="notBeside" w:vAnchor="text" w:hAnchor="text" w:xAlign="center" w:y="1"/>
              <w:jc w:val="center"/>
              <w:rPr>
                <w:sz w:val="20"/>
              </w:rPr>
            </w:pPr>
            <w:r>
              <w:rPr>
                <w:sz w:val="20"/>
              </w:rPr>
              <w:t>350</w:t>
            </w:r>
          </w:p>
        </w:tc>
        <w:tc>
          <w:tcPr>
            <w:tcW w:w="1027" w:type="dxa"/>
            <w:gridSpan w:val="2"/>
            <w:tcBorders>
              <w:bottom w:val="nil"/>
            </w:tcBorders>
          </w:tcPr>
          <w:p w:rsidR="002B489A" w:rsidRDefault="004F19C4">
            <w:pPr>
              <w:pStyle w:val="Tabletext"/>
              <w:framePr w:hSpace="181" w:wrap="notBeside" w:vAnchor="text" w:hAnchor="text" w:xAlign="center" w:y="1"/>
              <w:jc w:val="center"/>
              <w:rPr>
                <w:sz w:val="20"/>
              </w:rPr>
            </w:pPr>
            <w:r>
              <w:rPr>
                <w:sz w:val="20"/>
              </w:rPr>
              <w:t>125</w:t>
            </w:r>
          </w:p>
        </w:tc>
        <w:tc>
          <w:tcPr>
            <w:tcW w:w="982" w:type="dxa"/>
            <w:gridSpan w:val="2"/>
            <w:tcBorders>
              <w:bottom w:val="nil"/>
            </w:tcBorders>
          </w:tcPr>
          <w:p w:rsidR="002B489A" w:rsidRDefault="004F19C4">
            <w:pPr>
              <w:pStyle w:val="Tabletext"/>
              <w:framePr w:hSpace="181" w:wrap="notBeside" w:vAnchor="text" w:hAnchor="text" w:xAlign="center" w:y="1"/>
              <w:jc w:val="center"/>
              <w:rPr>
                <w:sz w:val="20"/>
              </w:rPr>
            </w:pPr>
            <w:r>
              <w:rPr>
                <w:sz w:val="20"/>
              </w:rPr>
              <w:t>0,07</w:t>
            </w:r>
          </w:p>
        </w:tc>
        <w:tc>
          <w:tcPr>
            <w:tcW w:w="979" w:type="dxa"/>
            <w:tcBorders>
              <w:bottom w:val="nil"/>
            </w:tcBorders>
          </w:tcPr>
          <w:p w:rsidR="002B489A" w:rsidRDefault="004F19C4">
            <w:pPr>
              <w:pStyle w:val="Tabletext"/>
              <w:framePr w:hSpace="181" w:wrap="notBeside" w:vAnchor="text" w:hAnchor="text" w:xAlign="center" w:y="1"/>
              <w:jc w:val="center"/>
              <w:rPr>
                <w:sz w:val="20"/>
              </w:rPr>
            </w:pPr>
            <w:r>
              <w:rPr>
                <w:sz w:val="20"/>
              </w:rPr>
              <w:t>0,04</w:t>
            </w:r>
          </w:p>
        </w:tc>
        <w:tc>
          <w:tcPr>
            <w:tcW w:w="1115" w:type="dxa"/>
            <w:tcBorders>
              <w:bottom w:val="nil"/>
            </w:tcBorders>
          </w:tcPr>
          <w:p w:rsidR="002B489A" w:rsidRDefault="004F19C4">
            <w:pPr>
              <w:pStyle w:val="Tabletext"/>
              <w:framePr w:hSpace="181" w:wrap="notBeside" w:vAnchor="text" w:hAnchor="text" w:xAlign="center" w:y="1"/>
              <w:jc w:val="center"/>
              <w:rPr>
                <w:sz w:val="20"/>
              </w:rPr>
            </w:pPr>
            <w:r>
              <w:rPr>
                <w:sz w:val="20"/>
              </w:rPr>
              <w:t>0,17</w:t>
            </w:r>
          </w:p>
        </w:tc>
      </w:tr>
      <w:tr w:rsidR="002B489A">
        <w:tc>
          <w:tcPr>
            <w:tcW w:w="2347" w:type="dxa"/>
            <w:tcBorders>
              <w:bottom w:val="nil"/>
            </w:tcBorders>
          </w:tcPr>
          <w:p w:rsidR="002B489A" w:rsidRDefault="004F19C4">
            <w:pPr>
              <w:pStyle w:val="Tabletext"/>
              <w:framePr w:hSpace="181" w:wrap="notBeside" w:vAnchor="text" w:hAnchor="text" w:xAlign="center" w:y="1"/>
              <w:jc w:val="left"/>
              <w:rPr>
                <w:sz w:val="20"/>
              </w:rPr>
            </w:pPr>
            <w:r>
              <w:rPr>
                <w:sz w:val="20"/>
              </w:rPr>
              <w:t>Bande de garde supplémentaire requise (MHz)</w:t>
            </w:r>
          </w:p>
        </w:tc>
        <w:tc>
          <w:tcPr>
            <w:tcW w:w="1058" w:type="dxa"/>
            <w:gridSpan w:val="2"/>
            <w:tcBorders>
              <w:bottom w:val="single" w:sz="4" w:space="0" w:color="auto"/>
            </w:tcBorders>
          </w:tcPr>
          <w:p w:rsidR="002B489A" w:rsidRDefault="004F19C4">
            <w:pPr>
              <w:pStyle w:val="Tabletext"/>
              <w:framePr w:hSpace="181" w:wrap="notBeside" w:vAnchor="text" w:hAnchor="text" w:xAlign="center" w:y="1"/>
              <w:jc w:val="center"/>
              <w:rPr>
                <w:sz w:val="20"/>
              </w:rPr>
            </w:pPr>
            <w:r>
              <w:rPr>
                <w:sz w:val="20"/>
              </w:rPr>
              <w:t>0</w:t>
            </w:r>
          </w:p>
        </w:tc>
        <w:tc>
          <w:tcPr>
            <w:tcW w:w="1086" w:type="dxa"/>
            <w:tcBorders>
              <w:bottom w:val="single" w:sz="4" w:space="0" w:color="auto"/>
            </w:tcBorders>
          </w:tcPr>
          <w:p w:rsidR="002B489A" w:rsidRDefault="004F19C4">
            <w:pPr>
              <w:pStyle w:val="Tabletext"/>
              <w:framePr w:hSpace="181" w:wrap="notBeside" w:vAnchor="text" w:hAnchor="text" w:xAlign="center" w:y="1"/>
              <w:jc w:val="center"/>
              <w:rPr>
                <w:sz w:val="20"/>
              </w:rPr>
            </w:pPr>
            <w:r>
              <w:rPr>
                <w:sz w:val="20"/>
              </w:rPr>
              <w:t>0</w:t>
            </w:r>
          </w:p>
        </w:tc>
        <w:tc>
          <w:tcPr>
            <w:tcW w:w="1035" w:type="dxa"/>
            <w:gridSpan w:val="2"/>
            <w:tcBorders>
              <w:bottom w:val="single" w:sz="4" w:space="0" w:color="auto"/>
            </w:tcBorders>
          </w:tcPr>
          <w:p w:rsidR="002B489A" w:rsidRDefault="004F19C4">
            <w:pPr>
              <w:pStyle w:val="Tabletext"/>
              <w:framePr w:hSpace="181" w:wrap="notBeside" w:vAnchor="text" w:hAnchor="text" w:xAlign="center" w:y="1"/>
              <w:jc w:val="center"/>
              <w:rPr>
                <w:sz w:val="20"/>
              </w:rPr>
            </w:pPr>
            <w:r>
              <w:rPr>
                <w:sz w:val="20"/>
              </w:rPr>
              <w:t>0</w:t>
            </w:r>
          </w:p>
        </w:tc>
        <w:tc>
          <w:tcPr>
            <w:tcW w:w="1027" w:type="dxa"/>
            <w:gridSpan w:val="2"/>
            <w:tcBorders>
              <w:bottom w:val="single" w:sz="4" w:space="0" w:color="auto"/>
            </w:tcBorders>
          </w:tcPr>
          <w:p w:rsidR="002B489A" w:rsidRDefault="004F19C4">
            <w:pPr>
              <w:pStyle w:val="Tabletext"/>
              <w:framePr w:hSpace="181" w:wrap="notBeside" w:vAnchor="text" w:hAnchor="text" w:xAlign="center" w:y="1"/>
              <w:jc w:val="center"/>
              <w:rPr>
                <w:sz w:val="20"/>
              </w:rPr>
            </w:pPr>
            <w:r>
              <w:rPr>
                <w:sz w:val="20"/>
              </w:rPr>
              <w:t>0</w:t>
            </w:r>
          </w:p>
        </w:tc>
        <w:tc>
          <w:tcPr>
            <w:tcW w:w="982" w:type="dxa"/>
            <w:gridSpan w:val="2"/>
            <w:tcBorders>
              <w:bottom w:val="single" w:sz="4" w:space="0" w:color="auto"/>
            </w:tcBorders>
          </w:tcPr>
          <w:p w:rsidR="002B489A" w:rsidRDefault="004F19C4">
            <w:pPr>
              <w:pStyle w:val="Tabletext"/>
              <w:framePr w:hSpace="181" w:wrap="notBeside" w:vAnchor="text" w:hAnchor="text" w:xAlign="center" w:y="1"/>
              <w:jc w:val="center"/>
              <w:rPr>
                <w:sz w:val="20"/>
              </w:rPr>
            </w:pPr>
            <w:r>
              <w:rPr>
                <w:sz w:val="20"/>
              </w:rPr>
              <w:t>0</w:t>
            </w:r>
          </w:p>
        </w:tc>
        <w:tc>
          <w:tcPr>
            <w:tcW w:w="979" w:type="dxa"/>
            <w:tcBorders>
              <w:bottom w:val="single" w:sz="4" w:space="0" w:color="auto"/>
            </w:tcBorders>
          </w:tcPr>
          <w:p w:rsidR="002B489A" w:rsidRDefault="004F19C4">
            <w:pPr>
              <w:pStyle w:val="Tabletext"/>
              <w:framePr w:hSpace="181" w:wrap="notBeside" w:vAnchor="text" w:hAnchor="text" w:xAlign="center" w:y="1"/>
              <w:jc w:val="center"/>
              <w:rPr>
                <w:sz w:val="20"/>
              </w:rPr>
            </w:pPr>
            <w:r>
              <w:rPr>
                <w:sz w:val="20"/>
              </w:rPr>
              <w:t>0</w:t>
            </w:r>
          </w:p>
        </w:tc>
        <w:tc>
          <w:tcPr>
            <w:tcW w:w="1115" w:type="dxa"/>
            <w:tcBorders>
              <w:bottom w:val="single" w:sz="4" w:space="0" w:color="auto"/>
            </w:tcBorders>
          </w:tcPr>
          <w:p w:rsidR="002B489A" w:rsidRDefault="004F19C4">
            <w:pPr>
              <w:pStyle w:val="Tabletext"/>
              <w:framePr w:hSpace="181" w:wrap="notBeside" w:vAnchor="text" w:hAnchor="text" w:xAlign="center" w:y="1"/>
              <w:jc w:val="center"/>
              <w:rPr>
                <w:sz w:val="20"/>
              </w:rPr>
            </w:pPr>
            <w:r>
              <w:rPr>
                <w:sz w:val="20"/>
              </w:rPr>
              <w:t>0</w:t>
            </w:r>
          </w:p>
        </w:tc>
      </w:tr>
      <w:tr w:rsidR="002B489A">
        <w:tc>
          <w:tcPr>
            <w:tcW w:w="2347" w:type="dxa"/>
          </w:tcPr>
          <w:p w:rsidR="002B489A" w:rsidRDefault="004F19C4">
            <w:pPr>
              <w:pStyle w:val="Tabletext"/>
              <w:framePr w:hSpace="181" w:wrap="notBeside" w:vAnchor="text" w:hAnchor="text" w:xAlign="center" w:y="1"/>
              <w:jc w:val="left"/>
              <w:rPr>
                <w:sz w:val="20"/>
              </w:rPr>
            </w:pPr>
            <w:r>
              <w:rPr>
                <w:sz w:val="20"/>
              </w:rPr>
              <w:t>Lobe latéral à balayage conique (dB)</w:t>
            </w:r>
          </w:p>
        </w:tc>
        <w:tc>
          <w:tcPr>
            <w:tcW w:w="1058" w:type="dxa"/>
            <w:gridSpan w:val="2"/>
            <w:shd w:val="pct10" w:color="auto" w:fill="auto"/>
          </w:tcPr>
          <w:p w:rsidR="002B489A" w:rsidRDefault="004F19C4">
            <w:pPr>
              <w:pStyle w:val="Tabletext"/>
              <w:framePr w:hSpace="181" w:wrap="notBeside" w:vAnchor="text" w:hAnchor="text" w:xAlign="center" w:y="1"/>
              <w:jc w:val="center"/>
              <w:rPr>
                <w:sz w:val="20"/>
              </w:rPr>
            </w:pPr>
            <w:r>
              <w:rPr>
                <w:rFonts w:ascii="Symbol" w:hAnsi="Symbol"/>
                <w:sz w:val="20"/>
                <w:lang w:val="en-US"/>
              </w:rPr>
              <w:t></w:t>
            </w:r>
            <w:r>
              <w:rPr>
                <w:sz w:val="20"/>
              </w:rPr>
              <w:t>20,9</w:t>
            </w:r>
          </w:p>
        </w:tc>
        <w:tc>
          <w:tcPr>
            <w:tcW w:w="1086" w:type="dxa"/>
            <w:shd w:val="pct10" w:color="auto" w:fill="auto"/>
          </w:tcPr>
          <w:p w:rsidR="002B489A" w:rsidRDefault="004F19C4">
            <w:pPr>
              <w:pStyle w:val="Tabletext"/>
              <w:framePr w:hSpace="181" w:wrap="notBeside" w:vAnchor="text" w:hAnchor="text" w:xAlign="center" w:y="1"/>
              <w:jc w:val="center"/>
              <w:rPr>
                <w:sz w:val="20"/>
              </w:rPr>
            </w:pPr>
            <w:r>
              <w:rPr>
                <w:rFonts w:ascii="Symbol" w:hAnsi="Symbol"/>
                <w:sz w:val="20"/>
                <w:lang w:val="en-US"/>
              </w:rPr>
              <w:t></w:t>
            </w:r>
            <w:r>
              <w:rPr>
                <w:sz w:val="20"/>
              </w:rPr>
              <w:t>28,5</w:t>
            </w:r>
          </w:p>
        </w:tc>
        <w:tc>
          <w:tcPr>
            <w:tcW w:w="1035" w:type="dxa"/>
            <w:gridSpan w:val="2"/>
            <w:shd w:val="pct10" w:color="auto" w:fill="auto"/>
          </w:tcPr>
          <w:p w:rsidR="002B489A" w:rsidRDefault="004F19C4">
            <w:pPr>
              <w:pStyle w:val="Tabletext"/>
              <w:framePr w:hSpace="181" w:wrap="notBeside" w:vAnchor="text" w:hAnchor="text" w:xAlign="center" w:y="1"/>
              <w:jc w:val="center"/>
              <w:rPr>
                <w:sz w:val="20"/>
              </w:rPr>
            </w:pPr>
            <w:r>
              <w:rPr>
                <w:rFonts w:ascii="Symbol" w:hAnsi="Symbol"/>
                <w:sz w:val="20"/>
                <w:lang w:val="en-US"/>
              </w:rPr>
              <w:t></w:t>
            </w:r>
            <w:r>
              <w:rPr>
                <w:sz w:val="20"/>
              </w:rPr>
              <w:t>20,4</w:t>
            </w:r>
          </w:p>
        </w:tc>
        <w:tc>
          <w:tcPr>
            <w:tcW w:w="1027" w:type="dxa"/>
            <w:gridSpan w:val="2"/>
            <w:shd w:val="pct10" w:color="auto" w:fill="auto"/>
          </w:tcPr>
          <w:p w:rsidR="002B489A" w:rsidRDefault="004F19C4">
            <w:pPr>
              <w:pStyle w:val="Tabletext"/>
              <w:framePr w:hSpace="181" w:wrap="notBeside" w:vAnchor="text" w:hAnchor="text" w:xAlign="center" w:y="1"/>
              <w:jc w:val="center"/>
              <w:rPr>
                <w:sz w:val="20"/>
              </w:rPr>
            </w:pPr>
            <w:r>
              <w:rPr>
                <w:rFonts w:ascii="Symbol" w:hAnsi="Symbol"/>
                <w:sz w:val="20"/>
                <w:lang w:val="en-US"/>
              </w:rPr>
              <w:t></w:t>
            </w:r>
            <w:r>
              <w:rPr>
                <w:sz w:val="20"/>
              </w:rPr>
              <w:t>36,5</w:t>
            </w:r>
          </w:p>
        </w:tc>
        <w:tc>
          <w:tcPr>
            <w:tcW w:w="982" w:type="dxa"/>
            <w:gridSpan w:val="2"/>
            <w:shd w:val="pct10" w:color="auto" w:fill="auto"/>
          </w:tcPr>
          <w:p w:rsidR="002B489A" w:rsidRDefault="004F19C4">
            <w:pPr>
              <w:pStyle w:val="Tabletext"/>
              <w:framePr w:hSpace="181" w:wrap="notBeside" w:vAnchor="text" w:hAnchor="text" w:xAlign="center" w:y="1"/>
              <w:jc w:val="center"/>
              <w:rPr>
                <w:sz w:val="20"/>
              </w:rPr>
            </w:pPr>
            <w:r>
              <w:rPr>
                <w:rFonts w:ascii="Symbol" w:hAnsi="Symbol"/>
                <w:sz w:val="20"/>
                <w:lang w:val="en-US"/>
              </w:rPr>
              <w:t></w:t>
            </w:r>
            <w:r>
              <w:rPr>
                <w:sz w:val="20"/>
              </w:rPr>
              <w:t>9,7</w:t>
            </w:r>
          </w:p>
        </w:tc>
        <w:tc>
          <w:tcPr>
            <w:tcW w:w="979" w:type="dxa"/>
            <w:shd w:val="pct10" w:color="auto" w:fill="auto"/>
          </w:tcPr>
          <w:p w:rsidR="002B489A" w:rsidRDefault="004F19C4">
            <w:pPr>
              <w:pStyle w:val="Tabletext"/>
              <w:framePr w:hSpace="181" w:wrap="notBeside" w:vAnchor="text" w:hAnchor="text" w:xAlign="center" w:y="1"/>
              <w:jc w:val="center"/>
              <w:rPr>
                <w:sz w:val="20"/>
              </w:rPr>
            </w:pPr>
            <w:r>
              <w:rPr>
                <w:rFonts w:ascii="Symbol" w:hAnsi="Symbol"/>
                <w:sz w:val="20"/>
                <w:lang w:val="en-US"/>
              </w:rPr>
              <w:t></w:t>
            </w:r>
            <w:r>
              <w:rPr>
                <w:sz w:val="20"/>
              </w:rPr>
              <w:t>15,4</w:t>
            </w:r>
          </w:p>
        </w:tc>
        <w:tc>
          <w:tcPr>
            <w:tcW w:w="1115" w:type="dxa"/>
            <w:shd w:val="pct10" w:color="auto" w:fill="auto"/>
          </w:tcPr>
          <w:p w:rsidR="002B489A" w:rsidRDefault="004F19C4">
            <w:pPr>
              <w:pStyle w:val="Tabletext"/>
              <w:framePr w:hSpace="181" w:wrap="notBeside" w:vAnchor="text" w:hAnchor="text" w:xAlign="center" w:y="1"/>
              <w:jc w:val="center"/>
              <w:rPr>
                <w:sz w:val="20"/>
              </w:rPr>
            </w:pPr>
            <w:r>
              <w:rPr>
                <w:rFonts w:ascii="Symbol" w:hAnsi="Symbol"/>
                <w:sz w:val="20"/>
              </w:rPr>
              <w:t></w:t>
            </w:r>
            <w:r>
              <w:rPr>
                <w:sz w:val="20"/>
              </w:rPr>
              <w:t>31,5</w:t>
            </w:r>
          </w:p>
        </w:tc>
      </w:tr>
    </w:tbl>
    <w:p w:rsidR="002B489A" w:rsidRDefault="002B489A">
      <w:pPr>
        <w:pStyle w:val="Tablefin"/>
      </w:pPr>
    </w:p>
    <w:p w:rsidR="002B489A" w:rsidRDefault="004F19C4">
      <w:pPr>
        <w:pStyle w:val="TableNo"/>
      </w:pPr>
      <w:r>
        <w:br w:type="page"/>
        <w:t>TABLEAU  73</w:t>
      </w:r>
    </w:p>
    <w:p w:rsidR="002B489A" w:rsidRDefault="004F19C4">
      <w:pPr>
        <w:pStyle w:val="Tabletitle"/>
      </w:pPr>
      <w:r>
        <w:t>Calcul du décalage de fréquence requis pour protéger la bande passive attribuée</w:t>
      </w:r>
      <w:r>
        <w:br/>
        <w:t>en utilisant le gabarit à cosinus surélevé (systèmes non OSG)</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71"/>
        <w:gridCol w:w="1477"/>
        <w:gridCol w:w="1161"/>
        <w:gridCol w:w="1055"/>
        <w:gridCol w:w="1375"/>
      </w:tblGrid>
      <w:tr w:rsidR="002B489A">
        <w:trPr>
          <w:cantSplit/>
        </w:trPr>
        <w:tc>
          <w:tcPr>
            <w:tcW w:w="4571" w:type="dxa"/>
          </w:tcPr>
          <w:p w:rsidR="002B489A" w:rsidRDefault="004F19C4">
            <w:pPr>
              <w:pStyle w:val="Tablehead"/>
              <w:framePr w:hSpace="181" w:wrap="notBeside" w:vAnchor="text" w:hAnchor="text" w:xAlign="center" w:y="1"/>
              <w:spacing w:before="120" w:after="120"/>
              <w:jc w:val="left"/>
            </w:pPr>
            <w:r>
              <w:t>Système</w:t>
            </w:r>
          </w:p>
        </w:tc>
        <w:tc>
          <w:tcPr>
            <w:tcW w:w="1477" w:type="dxa"/>
          </w:tcPr>
          <w:p w:rsidR="002B489A" w:rsidRDefault="004F19C4">
            <w:pPr>
              <w:pStyle w:val="Tablehead"/>
              <w:framePr w:hSpace="181" w:wrap="notBeside" w:vAnchor="text" w:hAnchor="text" w:xAlign="center" w:y="1"/>
              <w:spacing w:before="120" w:after="120"/>
            </w:pPr>
            <w:r>
              <w:t>LEOSAT-2</w:t>
            </w:r>
          </w:p>
        </w:tc>
        <w:tc>
          <w:tcPr>
            <w:tcW w:w="1161" w:type="dxa"/>
          </w:tcPr>
          <w:p w:rsidR="002B489A" w:rsidRDefault="004F19C4">
            <w:pPr>
              <w:pStyle w:val="Tablehead"/>
              <w:framePr w:hSpace="181" w:wrap="notBeside" w:vAnchor="text" w:hAnchor="text" w:xAlign="center" w:y="1"/>
              <w:spacing w:before="120" w:after="120"/>
            </w:pPr>
            <w:r>
              <w:t>LEO-A</w:t>
            </w:r>
          </w:p>
        </w:tc>
        <w:tc>
          <w:tcPr>
            <w:tcW w:w="1055" w:type="dxa"/>
          </w:tcPr>
          <w:p w:rsidR="002B489A" w:rsidRDefault="004F19C4">
            <w:pPr>
              <w:pStyle w:val="Tablehead"/>
              <w:framePr w:hSpace="181" w:wrap="notBeside" w:vAnchor="text" w:hAnchor="text" w:xAlign="center" w:y="1"/>
              <w:spacing w:before="120" w:after="120"/>
              <w:rPr>
                <w:lang w:val="fr-CH"/>
              </w:rPr>
            </w:pPr>
            <w:r>
              <w:rPr>
                <w:lang w:val="fr-CH"/>
              </w:rPr>
              <w:t>LEO-B</w:t>
            </w:r>
          </w:p>
        </w:tc>
        <w:tc>
          <w:tcPr>
            <w:tcW w:w="1375" w:type="dxa"/>
          </w:tcPr>
          <w:p w:rsidR="002B489A" w:rsidRDefault="004F19C4">
            <w:pPr>
              <w:pStyle w:val="Tablehead"/>
              <w:framePr w:hSpace="181" w:wrap="notBeside" w:vAnchor="text" w:hAnchor="text" w:xAlign="center" w:y="1"/>
              <w:spacing w:before="120" w:after="120"/>
              <w:rPr>
                <w:lang w:val="fr-CH"/>
              </w:rPr>
            </w:pPr>
            <w:r>
              <w:rPr>
                <w:lang w:val="fr-CH"/>
              </w:rPr>
              <w:t>LEOSAT-1</w:t>
            </w:r>
          </w:p>
        </w:tc>
      </w:tr>
      <w:tr w:rsidR="002B489A">
        <w:trPr>
          <w:cantSplit/>
        </w:trPr>
        <w:tc>
          <w:tcPr>
            <w:tcW w:w="4571" w:type="dxa"/>
            <w:tcBorders>
              <w:bottom w:val="single" w:sz="4" w:space="0" w:color="auto"/>
            </w:tcBorders>
          </w:tcPr>
          <w:p w:rsidR="002B489A" w:rsidRDefault="004F19C4">
            <w:pPr>
              <w:pStyle w:val="Tabletext"/>
              <w:framePr w:hSpace="181" w:wrap="notBeside" w:vAnchor="text" w:hAnchor="text" w:xAlign="center" w:y="1"/>
              <w:spacing w:before="80" w:after="80"/>
              <w:jc w:val="left"/>
            </w:pPr>
            <w:r>
              <w:t>Largeur de bande nécessaire (MHz)</w:t>
            </w:r>
          </w:p>
        </w:tc>
        <w:tc>
          <w:tcPr>
            <w:tcW w:w="1477" w:type="dxa"/>
            <w:tcBorders>
              <w:bottom w:val="single" w:sz="4" w:space="0" w:color="auto"/>
            </w:tcBorders>
          </w:tcPr>
          <w:p w:rsidR="002B489A" w:rsidRDefault="004F19C4">
            <w:pPr>
              <w:pStyle w:val="Tabletext"/>
              <w:framePr w:hSpace="181" w:wrap="notBeside" w:vAnchor="text" w:hAnchor="text" w:xAlign="center" w:y="1"/>
              <w:spacing w:before="80" w:after="80"/>
              <w:jc w:val="center"/>
            </w:pPr>
            <w:r>
              <w:t>311</w:t>
            </w:r>
          </w:p>
        </w:tc>
        <w:tc>
          <w:tcPr>
            <w:tcW w:w="1161" w:type="dxa"/>
            <w:tcBorders>
              <w:bottom w:val="single" w:sz="4" w:space="0" w:color="auto"/>
            </w:tcBorders>
          </w:tcPr>
          <w:p w:rsidR="002B489A" w:rsidRDefault="004F19C4">
            <w:pPr>
              <w:pStyle w:val="Tabletext"/>
              <w:framePr w:hSpace="181" w:wrap="notBeside" w:vAnchor="text" w:hAnchor="text" w:xAlign="center" w:y="1"/>
              <w:spacing w:before="80" w:after="80"/>
              <w:jc w:val="center"/>
            </w:pPr>
            <w:r>
              <w:t>4,37</w:t>
            </w:r>
          </w:p>
        </w:tc>
        <w:tc>
          <w:tcPr>
            <w:tcW w:w="1055" w:type="dxa"/>
            <w:tcBorders>
              <w:bottom w:val="single" w:sz="4" w:space="0" w:color="auto"/>
            </w:tcBorders>
          </w:tcPr>
          <w:p w:rsidR="002B489A" w:rsidRDefault="004F19C4">
            <w:pPr>
              <w:pStyle w:val="Tabletext"/>
              <w:framePr w:hSpace="181" w:wrap="notBeside" w:vAnchor="text" w:hAnchor="text" w:xAlign="center" w:y="1"/>
              <w:spacing w:before="80" w:after="80"/>
              <w:jc w:val="center"/>
            </w:pPr>
            <w:r>
              <w:t>2,5</w:t>
            </w:r>
          </w:p>
        </w:tc>
        <w:tc>
          <w:tcPr>
            <w:tcW w:w="1375" w:type="dxa"/>
            <w:tcBorders>
              <w:bottom w:val="single" w:sz="4" w:space="0" w:color="auto"/>
            </w:tcBorders>
          </w:tcPr>
          <w:p w:rsidR="002B489A" w:rsidRDefault="004F19C4">
            <w:pPr>
              <w:pStyle w:val="Tabletext"/>
              <w:framePr w:hSpace="181" w:wrap="notBeside" w:vAnchor="text" w:hAnchor="text" w:xAlign="center" w:y="1"/>
              <w:spacing w:before="80" w:after="80"/>
              <w:jc w:val="center"/>
            </w:pPr>
            <w:r>
              <w:t>500</w:t>
            </w:r>
          </w:p>
        </w:tc>
      </w:tr>
      <w:tr w:rsidR="002B489A">
        <w:trPr>
          <w:cantSplit/>
        </w:trPr>
        <w:tc>
          <w:tcPr>
            <w:tcW w:w="9639" w:type="dxa"/>
            <w:gridSpan w:val="5"/>
            <w:shd w:val="clear" w:color="auto" w:fill="FFFFFF"/>
          </w:tcPr>
          <w:p w:rsidR="002B489A" w:rsidRDefault="004F19C4">
            <w:pPr>
              <w:pStyle w:val="Tabletext"/>
              <w:framePr w:hSpace="181" w:wrap="notBeside" w:vAnchor="text" w:hAnchor="text" w:xAlign="center" w:y="1"/>
              <w:spacing w:before="80" w:after="80"/>
              <w:jc w:val="left"/>
              <w:rPr>
                <w:i/>
                <w:iCs/>
              </w:rPr>
            </w:pPr>
            <w:r>
              <w:rPr>
                <w:i/>
                <w:iCs/>
              </w:rPr>
              <w:t>Cas 1 – Faisceau principal de l'émetteur</w:t>
            </w:r>
          </w:p>
        </w:tc>
      </w:tr>
      <w:tr w:rsidR="002B489A">
        <w:trPr>
          <w:cantSplit/>
        </w:trPr>
        <w:tc>
          <w:tcPr>
            <w:tcW w:w="4571" w:type="dxa"/>
          </w:tcPr>
          <w:p w:rsidR="002B489A" w:rsidRDefault="004F19C4">
            <w:pPr>
              <w:pStyle w:val="Tabletext"/>
              <w:framePr w:hSpace="181" w:wrap="notBeside" w:vAnchor="text" w:hAnchor="text" w:xAlign="center" w:y="1"/>
              <w:spacing w:before="80" w:after="80"/>
              <w:jc w:val="left"/>
            </w:pPr>
            <w:r>
              <w:t>Lobe principal à balayage conique (dB)</w:t>
            </w:r>
          </w:p>
        </w:tc>
        <w:tc>
          <w:tcPr>
            <w:tcW w:w="1477" w:type="dxa"/>
          </w:tcPr>
          <w:p w:rsidR="002B489A" w:rsidRDefault="004F19C4">
            <w:pPr>
              <w:pStyle w:val="Tabletext"/>
              <w:framePr w:hSpace="181" w:wrap="notBeside" w:vAnchor="text" w:hAnchor="text" w:xAlign="center" w:y="1"/>
              <w:spacing w:before="80" w:after="80"/>
              <w:jc w:val="center"/>
            </w:pPr>
            <w:r>
              <w:t>–73,8</w:t>
            </w:r>
          </w:p>
        </w:tc>
        <w:tc>
          <w:tcPr>
            <w:tcW w:w="1161" w:type="dxa"/>
          </w:tcPr>
          <w:p w:rsidR="002B489A" w:rsidRDefault="004F19C4">
            <w:pPr>
              <w:pStyle w:val="Tabletext"/>
              <w:framePr w:hSpace="181" w:wrap="notBeside" w:vAnchor="text" w:hAnchor="text" w:xAlign="center" w:y="1"/>
              <w:spacing w:before="80" w:after="80"/>
              <w:jc w:val="center"/>
            </w:pPr>
            <w:r>
              <w:t>–61,8</w:t>
            </w:r>
          </w:p>
        </w:tc>
        <w:tc>
          <w:tcPr>
            <w:tcW w:w="1055" w:type="dxa"/>
          </w:tcPr>
          <w:p w:rsidR="002B489A" w:rsidRDefault="004F19C4">
            <w:pPr>
              <w:pStyle w:val="Tabletext"/>
              <w:framePr w:hSpace="181" w:wrap="notBeside" w:vAnchor="text" w:hAnchor="text" w:xAlign="center" w:y="1"/>
              <w:spacing w:before="80" w:after="80"/>
              <w:jc w:val="center"/>
            </w:pPr>
            <w:r>
              <w:t>–72,55</w:t>
            </w:r>
          </w:p>
        </w:tc>
        <w:tc>
          <w:tcPr>
            <w:tcW w:w="1375" w:type="dxa"/>
          </w:tcPr>
          <w:p w:rsidR="002B489A" w:rsidRDefault="004F19C4">
            <w:pPr>
              <w:pStyle w:val="Tabletext"/>
              <w:framePr w:hSpace="181" w:wrap="notBeside" w:vAnchor="text" w:hAnchor="text" w:xAlign="center" w:y="1"/>
              <w:spacing w:before="80" w:after="80"/>
              <w:jc w:val="center"/>
            </w:pPr>
            <w:r>
              <w:t>–44,9</w:t>
            </w:r>
          </w:p>
        </w:tc>
      </w:tr>
      <w:tr w:rsidR="002B489A">
        <w:trPr>
          <w:cantSplit/>
        </w:trPr>
        <w:tc>
          <w:tcPr>
            <w:tcW w:w="4571" w:type="dxa"/>
          </w:tcPr>
          <w:p w:rsidR="002B489A" w:rsidRDefault="004F19C4">
            <w:pPr>
              <w:pStyle w:val="Tabletext"/>
              <w:framePr w:hSpace="181" w:wrap="notBeside" w:vAnchor="text" w:hAnchor="text" w:xAlign="center" w:y="1"/>
              <w:spacing w:before="80" w:after="80"/>
              <w:jc w:val="left"/>
            </w:pPr>
            <w:r>
              <w:t xml:space="preserve">Décalage par rapport au centre </w:t>
            </w:r>
            <w:r>
              <w:rPr>
                <w:i/>
                <w:iCs/>
              </w:rPr>
              <w:t>B</w:t>
            </w:r>
            <w:r>
              <w:rPr>
                <w:i/>
                <w:iCs/>
                <w:vertAlign w:val="subscript"/>
              </w:rPr>
              <w:t xml:space="preserve">N </w:t>
            </w:r>
            <w:r>
              <w:t>(%)</w:t>
            </w:r>
          </w:p>
        </w:tc>
        <w:tc>
          <w:tcPr>
            <w:tcW w:w="1477" w:type="dxa"/>
          </w:tcPr>
          <w:p w:rsidR="002B489A" w:rsidRDefault="004F19C4">
            <w:pPr>
              <w:pStyle w:val="Tabletext"/>
              <w:framePr w:hSpace="181" w:wrap="notBeside" w:vAnchor="text" w:hAnchor="text" w:xAlign="center" w:y="1"/>
              <w:spacing w:before="80" w:after="80"/>
              <w:jc w:val="center"/>
            </w:pPr>
            <w:r>
              <w:t>547</w:t>
            </w:r>
          </w:p>
        </w:tc>
        <w:tc>
          <w:tcPr>
            <w:tcW w:w="1161" w:type="dxa"/>
          </w:tcPr>
          <w:p w:rsidR="002B489A" w:rsidRDefault="004F19C4">
            <w:pPr>
              <w:pStyle w:val="Tabletext"/>
              <w:framePr w:hSpace="181" w:wrap="notBeside" w:vAnchor="text" w:hAnchor="text" w:xAlign="center" w:y="1"/>
              <w:spacing w:before="80" w:after="80"/>
              <w:jc w:val="center"/>
            </w:pPr>
            <w:r>
              <w:t>323</w:t>
            </w:r>
          </w:p>
        </w:tc>
        <w:tc>
          <w:tcPr>
            <w:tcW w:w="1055" w:type="dxa"/>
          </w:tcPr>
          <w:p w:rsidR="002B489A" w:rsidRDefault="004F19C4">
            <w:pPr>
              <w:pStyle w:val="Tabletext"/>
              <w:framePr w:hSpace="181" w:wrap="notBeside" w:vAnchor="text" w:hAnchor="text" w:xAlign="center" w:y="1"/>
              <w:spacing w:before="80" w:after="80"/>
              <w:jc w:val="center"/>
            </w:pPr>
            <w:r>
              <w:t>523</w:t>
            </w:r>
          </w:p>
        </w:tc>
        <w:tc>
          <w:tcPr>
            <w:tcW w:w="1375" w:type="dxa"/>
          </w:tcPr>
          <w:p w:rsidR="002B489A" w:rsidRDefault="004F19C4">
            <w:pPr>
              <w:pStyle w:val="Tabletext"/>
              <w:framePr w:hSpace="181" w:wrap="notBeside" w:vAnchor="text" w:hAnchor="text" w:xAlign="center" w:y="1"/>
              <w:spacing w:before="80" w:after="80"/>
              <w:jc w:val="center"/>
            </w:pPr>
            <w:r>
              <w:t>142</w:t>
            </w:r>
          </w:p>
        </w:tc>
      </w:tr>
      <w:tr w:rsidR="002B489A">
        <w:trPr>
          <w:cantSplit/>
        </w:trPr>
        <w:tc>
          <w:tcPr>
            <w:tcW w:w="4571" w:type="dxa"/>
          </w:tcPr>
          <w:p w:rsidR="002B489A" w:rsidRDefault="004F19C4">
            <w:pPr>
              <w:pStyle w:val="Tabletext"/>
              <w:framePr w:hSpace="181" w:wrap="notBeside" w:vAnchor="text" w:hAnchor="text" w:xAlign="center" w:y="1"/>
              <w:spacing w:before="80" w:after="80"/>
              <w:jc w:val="left"/>
            </w:pPr>
            <w:r>
              <w:t xml:space="preserve">Décalage par rapport au centre </w:t>
            </w:r>
            <w:r>
              <w:rPr>
                <w:i/>
                <w:iCs/>
              </w:rPr>
              <w:t>B</w:t>
            </w:r>
            <w:r>
              <w:rPr>
                <w:i/>
                <w:iCs/>
                <w:vertAlign w:val="subscript"/>
              </w:rPr>
              <w:t xml:space="preserve">N </w:t>
            </w:r>
            <w:r>
              <w:t>(MHz)</w:t>
            </w:r>
          </w:p>
        </w:tc>
        <w:tc>
          <w:tcPr>
            <w:tcW w:w="1477" w:type="dxa"/>
          </w:tcPr>
          <w:p w:rsidR="002B489A" w:rsidRDefault="004F19C4">
            <w:pPr>
              <w:pStyle w:val="Tabletext"/>
              <w:framePr w:hSpace="181" w:wrap="notBeside" w:vAnchor="text" w:hAnchor="text" w:xAlign="center" w:y="1"/>
              <w:spacing w:before="80" w:after="80"/>
              <w:jc w:val="center"/>
            </w:pPr>
            <w:r>
              <w:t>1</w:t>
            </w:r>
            <w:r>
              <w:rPr>
                <w:rFonts w:ascii="Tms Rmn" w:hAnsi="Tms Rmn"/>
                <w:sz w:val="12"/>
              </w:rPr>
              <w:t> </w:t>
            </w:r>
            <w:r>
              <w:t>700</w:t>
            </w:r>
          </w:p>
        </w:tc>
        <w:tc>
          <w:tcPr>
            <w:tcW w:w="1161" w:type="dxa"/>
          </w:tcPr>
          <w:p w:rsidR="002B489A" w:rsidRDefault="004F19C4">
            <w:pPr>
              <w:pStyle w:val="Tabletext"/>
              <w:framePr w:hSpace="181" w:wrap="notBeside" w:vAnchor="text" w:hAnchor="text" w:xAlign="center" w:y="1"/>
              <w:spacing w:before="80" w:after="80"/>
              <w:jc w:val="center"/>
            </w:pPr>
            <w:r>
              <w:t>14,2</w:t>
            </w:r>
          </w:p>
        </w:tc>
        <w:tc>
          <w:tcPr>
            <w:tcW w:w="1055" w:type="dxa"/>
          </w:tcPr>
          <w:p w:rsidR="002B489A" w:rsidRDefault="004F19C4">
            <w:pPr>
              <w:pStyle w:val="Tabletext"/>
              <w:framePr w:hSpace="181" w:wrap="notBeside" w:vAnchor="text" w:hAnchor="text" w:xAlign="center" w:y="1"/>
              <w:spacing w:before="80" w:after="80"/>
              <w:jc w:val="center"/>
            </w:pPr>
            <w:r>
              <w:t>13,1</w:t>
            </w:r>
          </w:p>
        </w:tc>
        <w:tc>
          <w:tcPr>
            <w:tcW w:w="1375" w:type="dxa"/>
          </w:tcPr>
          <w:p w:rsidR="002B489A" w:rsidRDefault="004F19C4">
            <w:pPr>
              <w:pStyle w:val="Tabletext"/>
              <w:framePr w:hSpace="181" w:wrap="notBeside" w:vAnchor="text" w:hAnchor="text" w:xAlign="center" w:y="1"/>
              <w:spacing w:before="80" w:after="80"/>
              <w:jc w:val="center"/>
            </w:pPr>
            <w:r>
              <w:t>710</w:t>
            </w:r>
          </w:p>
        </w:tc>
      </w:tr>
      <w:tr w:rsidR="002B489A">
        <w:trPr>
          <w:cantSplit/>
        </w:trPr>
        <w:tc>
          <w:tcPr>
            <w:tcW w:w="4571" w:type="dxa"/>
          </w:tcPr>
          <w:p w:rsidR="002B489A" w:rsidRDefault="004F19C4">
            <w:pPr>
              <w:pStyle w:val="Tabletext"/>
              <w:framePr w:hSpace="181" w:wrap="notBeside" w:vAnchor="text" w:hAnchor="text" w:xAlign="center" w:y="1"/>
              <w:spacing w:before="80" w:after="80"/>
              <w:jc w:val="left"/>
            </w:pPr>
            <w:r>
              <w:t>Bande de garde supplémentaire requise (MHz)</w:t>
            </w:r>
          </w:p>
        </w:tc>
        <w:tc>
          <w:tcPr>
            <w:tcW w:w="1477" w:type="dxa"/>
          </w:tcPr>
          <w:p w:rsidR="002B489A" w:rsidRDefault="004F19C4">
            <w:pPr>
              <w:pStyle w:val="Tabletext"/>
              <w:framePr w:hSpace="181" w:wrap="notBeside" w:vAnchor="text" w:hAnchor="text" w:xAlign="center" w:y="1"/>
              <w:spacing w:before="80" w:after="80"/>
              <w:jc w:val="center"/>
            </w:pPr>
            <w:r>
              <w:t>1</w:t>
            </w:r>
            <w:r>
              <w:rPr>
                <w:rFonts w:ascii="Tms Rmn" w:hAnsi="Tms Rmn"/>
                <w:sz w:val="12"/>
              </w:rPr>
              <w:t> </w:t>
            </w:r>
            <w:r>
              <w:t>250</w:t>
            </w:r>
          </w:p>
        </w:tc>
        <w:tc>
          <w:tcPr>
            <w:tcW w:w="1161" w:type="dxa"/>
          </w:tcPr>
          <w:p w:rsidR="002B489A" w:rsidRDefault="004F19C4">
            <w:pPr>
              <w:pStyle w:val="Tabletext"/>
              <w:framePr w:hSpace="181" w:wrap="notBeside" w:vAnchor="text" w:hAnchor="text" w:xAlign="center" w:y="1"/>
              <w:spacing w:before="80" w:after="80"/>
              <w:jc w:val="center"/>
            </w:pPr>
            <w:r>
              <w:t>0</w:t>
            </w:r>
          </w:p>
        </w:tc>
        <w:tc>
          <w:tcPr>
            <w:tcW w:w="1055" w:type="dxa"/>
          </w:tcPr>
          <w:p w:rsidR="002B489A" w:rsidRDefault="004F19C4">
            <w:pPr>
              <w:pStyle w:val="Tabletext"/>
              <w:framePr w:hSpace="181" w:wrap="notBeside" w:vAnchor="text" w:hAnchor="text" w:xAlign="center" w:y="1"/>
              <w:spacing w:before="80" w:after="80"/>
              <w:jc w:val="center"/>
            </w:pPr>
            <w:r>
              <w:t>0</w:t>
            </w:r>
          </w:p>
        </w:tc>
        <w:tc>
          <w:tcPr>
            <w:tcW w:w="1375" w:type="dxa"/>
          </w:tcPr>
          <w:p w:rsidR="002B489A" w:rsidRDefault="004F19C4">
            <w:pPr>
              <w:pStyle w:val="Tabletext"/>
              <w:framePr w:hSpace="181" w:wrap="notBeside" w:vAnchor="text" w:hAnchor="text" w:xAlign="center" w:y="1"/>
              <w:spacing w:before="80" w:after="80"/>
              <w:jc w:val="center"/>
            </w:pPr>
            <w:r>
              <w:t>160</w:t>
            </w:r>
          </w:p>
        </w:tc>
      </w:tr>
      <w:tr w:rsidR="002B489A">
        <w:trPr>
          <w:cantSplit/>
        </w:trPr>
        <w:tc>
          <w:tcPr>
            <w:tcW w:w="4571" w:type="dxa"/>
          </w:tcPr>
          <w:p w:rsidR="002B489A" w:rsidRDefault="004F19C4">
            <w:pPr>
              <w:pStyle w:val="Tabletext"/>
              <w:framePr w:hSpace="181" w:wrap="notBeside" w:vAnchor="text" w:hAnchor="text" w:xAlign="center" w:y="1"/>
              <w:spacing w:before="80" w:after="80"/>
              <w:jc w:val="left"/>
            </w:pPr>
            <w:r>
              <w:t>Lobe latéral à balayage conique (dB)</w:t>
            </w:r>
          </w:p>
        </w:tc>
        <w:tc>
          <w:tcPr>
            <w:tcW w:w="1477" w:type="dxa"/>
          </w:tcPr>
          <w:p w:rsidR="002B489A" w:rsidRDefault="004F19C4">
            <w:pPr>
              <w:pStyle w:val="Tabletext"/>
              <w:framePr w:hSpace="181" w:wrap="notBeside" w:vAnchor="text" w:hAnchor="text" w:xAlign="center" w:y="1"/>
              <w:spacing w:before="80" w:after="80"/>
              <w:jc w:val="center"/>
            </w:pPr>
            <w:r>
              <w:t>–34,0</w:t>
            </w:r>
          </w:p>
        </w:tc>
        <w:tc>
          <w:tcPr>
            <w:tcW w:w="1161" w:type="dxa"/>
          </w:tcPr>
          <w:p w:rsidR="002B489A" w:rsidRDefault="004F19C4">
            <w:pPr>
              <w:pStyle w:val="Tabletext"/>
              <w:framePr w:hSpace="181" w:wrap="notBeside" w:vAnchor="text" w:hAnchor="text" w:xAlign="center" w:y="1"/>
              <w:spacing w:before="80" w:after="80"/>
              <w:jc w:val="center"/>
            </w:pPr>
            <w:r>
              <w:t>–22,0</w:t>
            </w:r>
          </w:p>
        </w:tc>
        <w:tc>
          <w:tcPr>
            <w:tcW w:w="1055" w:type="dxa"/>
          </w:tcPr>
          <w:p w:rsidR="002B489A" w:rsidRDefault="004F19C4">
            <w:pPr>
              <w:pStyle w:val="Tabletext"/>
              <w:framePr w:hSpace="181" w:wrap="notBeside" w:vAnchor="text" w:hAnchor="text" w:xAlign="center" w:y="1"/>
              <w:spacing w:before="80" w:after="80"/>
              <w:jc w:val="center"/>
            </w:pPr>
            <w:r>
              <w:t>–32,75</w:t>
            </w:r>
          </w:p>
        </w:tc>
        <w:tc>
          <w:tcPr>
            <w:tcW w:w="1375" w:type="dxa"/>
          </w:tcPr>
          <w:p w:rsidR="002B489A" w:rsidRDefault="004F19C4">
            <w:pPr>
              <w:pStyle w:val="Tabletext"/>
              <w:framePr w:hSpace="181" w:wrap="notBeside" w:vAnchor="text" w:hAnchor="text" w:xAlign="center" w:y="1"/>
              <w:spacing w:before="80" w:after="80"/>
              <w:jc w:val="center"/>
            </w:pPr>
            <w:r>
              <w:t>–5,1</w:t>
            </w:r>
          </w:p>
        </w:tc>
      </w:tr>
      <w:tr w:rsidR="002B489A">
        <w:trPr>
          <w:cantSplit/>
        </w:trPr>
        <w:tc>
          <w:tcPr>
            <w:tcW w:w="4571" w:type="dxa"/>
          </w:tcPr>
          <w:p w:rsidR="002B489A" w:rsidRDefault="004F19C4">
            <w:pPr>
              <w:pStyle w:val="Tabletext"/>
              <w:framePr w:hSpace="181" w:wrap="notBeside" w:vAnchor="text" w:hAnchor="text" w:xAlign="center" w:y="1"/>
              <w:spacing w:before="80" w:after="80"/>
              <w:jc w:val="left"/>
            </w:pPr>
            <w:r>
              <w:t xml:space="preserve">Décalage par rapport au centre </w:t>
            </w:r>
            <w:r>
              <w:rPr>
                <w:i/>
                <w:iCs/>
              </w:rPr>
              <w:t>B</w:t>
            </w:r>
            <w:r>
              <w:rPr>
                <w:i/>
                <w:iCs/>
                <w:vertAlign w:val="subscript"/>
              </w:rPr>
              <w:t xml:space="preserve">N </w:t>
            </w:r>
            <w:r>
              <w:t>(%)</w:t>
            </w:r>
          </w:p>
        </w:tc>
        <w:tc>
          <w:tcPr>
            <w:tcW w:w="1477" w:type="dxa"/>
          </w:tcPr>
          <w:p w:rsidR="002B489A" w:rsidRDefault="004F19C4">
            <w:pPr>
              <w:pStyle w:val="Tabletext"/>
              <w:framePr w:hSpace="181" w:wrap="notBeside" w:vAnchor="text" w:hAnchor="text" w:xAlign="center" w:y="1"/>
              <w:spacing w:before="80" w:after="80"/>
              <w:jc w:val="center"/>
            </w:pPr>
            <w:r>
              <w:t>89</w:t>
            </w:r>
          </w:p>
        </w:tc>
        <w:tc>
          <w:tcPr>
            <w:tcW w:w="1161" w:type="dxa"/>
          </w:tcPr>
          <w:p w:rsidR="002B489A" w:rsidRDefault="004F19C4">
            <w:pPr>
              <w:pStyle w:val="Tabletext"/>
              <w:framePr w:hSpace="181" w:wrap="notBeside" w:vAnchor="text" w:hAnchor="text" w:xAlign="center" w:y="1"/>
              <w:spacing w:before="80" w:after="80"/>
              <w:jc w:val="center"/>
            </w:pPr>
            <w:r>
              <w:t>75</w:t>
            </w:r>
          </w:p>
        </w:tc>
        <w:tc>
          <w:tcPr>
            <w:tcW w:w="1055" w:type="dxa"/>
          </w:tcPr>
          <w:p w:rsidR="002B489A" w:rsidRDefault="004F19C4">
            <w:pPr>
              <w:pStyle w:val="Tabletext"/>
              <w:framePr w:hSpace="181" w:wrap="notBeside" w:vAnchor="text" w:hAnchor="text" w:xAlign="center" w:y="1"/>
              <w:spacing w:before="80" w:after="80"/>
              <w:jc w:val="center"/>
            </w:pPr>
            <w:r>
              <w:t>87</w:t>
            </w:r>
          </w:p>
        </w:tc>
        <w:tc>
          <w:tcPr>
            <w:tcW w:w="1375" w:type="dxa"/>
          </w:tcPr>
          <w:p w:rsidR="002B489A" w:rsidRDefault="004F19C4">
            <w:pPr>
              <w:pStyle w:val="Tabletext"/>
              <w:framePr w:hSpace="181" w:wrap="notBeside" w:vAnchor="text" w:hAnchor="text" w:xAlign="center" w:y="1"/>
              <w:spacing w:before="80" w:after="80"/>
              <w:jc w:val="center"/>
            </w:pPr>
            <w:r>
              <w:t>50</w:t>
            </w:r>
          </w:p>
        </w:tc>
      </w:tr>
      <w:tr w:rsidR="002B489A">
        <w:trPr>
          <w:cantSplit/>
        </w:trPr>
        <w:tc>
          <w:tcPr>
            <w:tcW w:w="4571" w:type="dxa"/>
          </w:tcPr>
          <w:p w:rsidR="002B489A" w:rsidRDefault="004F19C4">
            <w:pPr>
              <w:pStyle w:val="Tabletext"/>
              <w:framePr w:hSpace="181" w:wrap="notBeside" w:vAnchor="text" w:hAnchor="text" w:xAlign="center" w:y="1"/>
              <w:spacing w:before="80" w:after="80"/>
              <w:jc w:val="left"/>
            </w:pPr>
            <w:r>
              <w:t xml:space="preserve">Décalage par rapport au centre </w:t>
            </w:r>
            <w:r>
              <w:rPr>
                <w:i/>
                <w:iCs/>
              </w:rPr>
              <w:t>B</w:t>
            </w:r>
            <w:r>
              <w:rPr>
                <w:i/>
                <w:iCs/>
                <w:vertAlign w:val="subscript"/>
              </w:rPr>
              <w:t xml:space="preserve">N </w:t>
            </w:r>
            <w:r>
              <w:t>(MHz)</w:t>
            </w:r>
          </w:p>
        </w:tc>
        <w:tc>
          <w:tcPr>
            <w:tcW w:w="1477" w:type="dxa"/>
          </w:tcPr>
          <w:p w:rsidR="002B489A" w:rsidRDefault="004F19C4">
            <w:pPr>
              <w:pStyle w:val="Tabletext"/>
              <w:framePr w:hSpace="181" w:wrap="notBeside" w:vAnchor="text" w:hAnchor="text" w:xAlign="center" w:y="1"/>
              <w:spacing w:before="80" w:after="80"/>
              <w:jc w:val="center"/>
            </w:pPr>
            <w:r>
              <w:t>277</w:t>
            </w:r>
          </w:p>
        </w:tc>
        <w:tc>
          <w:tcPr>
            <w:tcW w:w="1161" w:type="dxa"/>
          </w:tcPr>
          <w:p w:rsidR="002B489A" w:rsidRDefault="004F19C4">
            <w:pPr>
              <w:pStyle w:val="Tabletext"/>
              <w:framePr w:hSpace="181" w:wrap="notBeside" w:vAnchor="text" w:hAnchor="text" w:xAlign="center" w:y="1"/>
              <w:spacing w:before="80" w:after="80"/>
              <w:jc w:val="center"/>
            </w:pPr>
            <w:r>
              <w:t>3,3</w:t>
            </w:r>
          </w:p>
        </w:tc>
        <w:tc>
          <w:tcPr>
            <w:tcW w:w="1055" w:type="dxa"/>
          </w:tcPr>
          <w:p w:rsidR="002B489A" w:rsidRDefault="004F19C4">
            <w:pPr>
              <w:pStyle w:val="Tabletext"/>
              <w:framePr w:hSpace="181" w:wrap="notBeside" w:vAnchor="text" w:hAnchor="text" w:xAlign="center" w:y="1"/>
              <w:spacing w:before="80" w:after="80"/>
              <w:jc w:val="center"/>
            </w:pPr>
            <w:r>
              <w:t>2,2</w:t>
            </w:r>
          </w:p>
        </w:tc>
        <w:tc>
          <w:tcPr>
            <w:tcW w:w="1375" w:type="dxa"/>
          </w:tcPr>
          <w:p w:rsidR="002B489A" w:rsidRDefault="004F19C4">
            <w:pPr>
              <w:pStyle w:val="Tabletext"/>
              <w:framePr w:hSpace="181" w:wrap="notBeside" w:vAnchor="text" w:hAnchor="text" w:xAlign="center" w:y="1"/>
              <w:spacing w:before="80" w:after="80"/>
              <w:jc w:val="center"/>
            </w:pPr>
            <w:r>
              <w:t>250</w:t>
            </w:r>
          </w:p>
        </w:tc>
      </w:tr>
      <w:tr w:rsidR="002B489A">
        <w:trPr>
          <w:cantSplit/>
        </w:trPr>
        <w:tc>
          <w:tcPr>
            <w:tcW w:w="4571" w:type="dxa"/>
            <w:tcBorders>
              <w:bottom w:val="single" w:sz="4" w:space="0" w:color="auto"/>
            </w:tcBorders>
          </w:tcPr>
          <w:p w:rsidR="002B489A" w:rsidRDefault="004F19C4">
            <w:pPr>
              <w:pStyle w:val="Tabletext"/>
              <w:framePr w:hSpace="181" w:wrap="notBeside" w:vAnchor="text" w:hAnchor="text" w:xAlign="center" w:y="1"/>
              <w:spacing w:before="80" w:after="80"/>
              <w:jc w:val="left"/>
            </w:pPr>
            <w:r>
              <w:t>Bande de garde supplémentaire requise (MHz)</w:t>
            </w:r>
          </w:p>
        </w:tc>
        <w:tc>
          <w:tcPr>
            <w:tcW w:w="1477" w:type="dxa"/>
            <w:tcBorders>
              <w:bottom w:val="single" w:sz="4" w:space="0" w:color="auto"/>
            </w:tcBorders>
          </w:tcPr>
          <w:p w:rsidR="002B489A" w:rsidRDefault="004F19C4">
            <w:pPr>
              <w:pStyle w:val="Tabletext"/>
              <w:framePr w:hSpace="181" w:wrap="notBeside" w:vAnchor="text" w:hAnchor="text" w:xAlign="center" w:y="1"/>
              <w:spacing w:before="80" w:after="80"/>
              <w:jc w:val="center"/>
            </w:pPr>
            <w:r>
              <w:t>0</w:t>
            </w:r>
          </w:p>
        </w:tc>
        <w:tc>
          <w:tcPr>
            <w:tcW w:w="1161" w:type="dxa"/>
            <w:tcBorders>
              <w:bottom w:val="single" w:sz="4" w:space="0" w:color="auto"/>
            </w:tcBorders>
          </w:tcPr>
          <w:p w:rsidR="002B489A" w:rsidRDefault="004F19C4">
            <w:pPr>
              <w:pStyle w:val="Tabletext"/>
              <w:framePr w:hSpace="181" w:wrap="notBeside" w:vAnchor="text" w:hAnchor="text" w:xAlign="center" w:y="1"/>
              <w:spacing w:before="80" w:after="80"/>
              <w:jc w:val="center"/>
            </w:pPr>
            <w:r>
              <w:t>0</w:t>
            </w:r>
          </w:p>
        </w:tc>
        <w:tc>
          <w:tcPr>
            <w:tcW w:w="1055" w:type="dxa"/>
            <w:tcBorders>
              <w:bottom w:val="single" w:sz="4" w:space="0" w:color="auto"/>
            </w:tcBorders>
          </w:tcPr>
          <w:p w:rsidR="002B489A" w:rsidRDefault="004F19C4">
            <w:pPr>
              <w:pStyle w:val="Tabletext"/>
              <w:framePr w:hSpace="181" w:wrap="notBeside" w:vAnchor="text" w:hAnchor="text" w:xAlign="center" w:y="1"/>
              <w:spacing w:before="80" w:after="80"/>
              <w:jc w:val="center"/>
            </w:pPr>
            <w:r>
              <w:t>0</w:t>
            </w:r>
          </w:p>
        </w:tc>
        <w:tc>
          <w:tcPr>
            <w:tcW w:w="1375" w:type="dxa"/>
            <w:tcBorders>
              <w:bottom w:val="single" w:sz="4" w:space="0" w:color="auto"/>
            </w:tcBorders>
          </w:tcPr>
          <w:p w:rsidR="002B489A" w:rsidRDefault="004F19C4">
            <w:pPr>
              <w:pStyle w:val="Tabletext"/>
              <w:framePr w:hSpace="181" w:wrap="notBeside" w:vAnchor="text" w:hAnchor="text" w:xAlign="center" w:y="1"/>
              <w:spacing w:before="80" w:after="80"/>
              <w:jc w:val="center"/>
            </w:pPr>
            <w:r>
              <w:t>0</w:t>
            </w:r>
          </w:p>
        </w:tc>
      </w:tr>
      <w:tr w:rsidR="002B489A">
        <w:trPr>
          <w:cantSplit/>
        </w:trPr>
        <w:tc>
          <w:tcPr>
            <w:tcW w:w="9639" w:type="dxa"/>
            <w:gridSpan w:val="5"/>
            <w:shd w:val="clear" w:color="auto" w:fill="FFFFFF"/>
          </w:tcPr>
          <w:p w:rsidR="002B489A" w:rsidRDefault="004F19C4">
            <w:pPr>
              <w:pStyle w:val="Tabletext"/>
              <w:framePr w:hSpace="181" w:wrap="notBeside" w:vAnchor="text" w:hAnchor="text" w:xAlign="center" w:y="1"/>
              <w:spacing w:before="80" w:after="80"/>
              <w:jc w:val="left"/>
              <w:rPr>
                <w:i/>
                <w:iCs/>
              </w:rPr>
            </w:pPr>
            <w:r>
              <w:rPr>
                <w:i/>
                <w:iCs/>
              </w:rPr>
              <w:t>Cas 2 – Lobe latéral de l'émetteur</w:t>
            </w:r>
          </w:p>
        </w:tc>
      </w:tr>
      <w:tr w:rsidR="002B489A">
        <w:trPr>
          <w:cantSplit/>
        </w:trPr>
        <w:tc>
          <w:tcPr>
            <w:tcW w:w="4571" w:type="dxa"/>
          </w:tcPr>
          <w:p w:rsidR="002B489A" w:rsidRDefault="004F19C4">
            <w:pPr>
              <w:pStyle w:val="Tabletext"/>
              <w:framePr w:hSpace="181" w:wrap="notBeside" w:vAnchor="text" w:hAnchor="text" w:xAlign="center" w:y="1"/>
              <w:spacing w:before="80" w:after="80"/>
              <w:jc w:val="left"/>
            </w:pPr>
            <w:r>
              <w:t>Lobe principal à balayage conique (dB)</w:t>
            </w:r>
          </w:p>
        </w:tc>
        <w:tc>
          <w:tcPr>
            <w:tcW w:w="1477" w:type="dxa"/>
          </w:tcPr>
          <w:p w:rsidR="002B489A" w:rsidRDefault="004F19C4">
            <w:pPr>
              <w:pStyle w:val="Tabletext"/>
              <w:framePr w:hSpace="181" w:wrap="notBeside" w:vAnchor="text" w:hAnchor="text" w:xAlign="center" w:y="1"/>
              <w:spacing w:before="80" w:after="80"/>
              <w:jc w:val="center"/>
            </w:pPr>
            <w:r>
              <w:t>ND</w:t>
            </w:r>
          </w:p>
        </w:tc>
        <w:tc>
          <w:tcPr>
            <w:tcW w:w="1161" w:type="dxa"/>
            <w:tcBorders>
              <w:bottom w:val="nil"/>
            </w:tcBorders>
          </w:tcPr>
          <w:p w:rsidR="002B489A" w:rsidRDefault="004F19C4">
            <w:pPr>
              <w:pStyle w:val="Tabletext"/>
              <w:framePr w:hSpace="181" w:wrap="notBeside" w:vAnchor="text" w:hAnchor="text" w:xAlign="center" w:y="1"/>
              <w:spacing w:before="80" w:after="80"/>
              <w:jc w:val="center"/>
            </w:pPr>
            <w:r>
              <w:t>–5,5</w:t>
            </w:r>
          </w:p>
        </w:tc>
        <w:tc>
          <w:tcPr>
            <w:tcW w:w="1055" w:type="dxa"/>
            <w:tcBorders>
              <w:bottom w:val="nil"/>
            </w:tcBorders>
          </w:tcPr>
          <w:p w:rsidR="002B489A" w:rsidRDefault="004F19C4">
            <w:pPr>
              <w:pStyle w:val="Tabletext"/>
              <w:framePr w:hSpace="181" w:wrap="notBeside" w:vAnchor="text" w:hAnchor="text" w:xAlign="center" w:y="1"/>
              <w:spacing w:before="80" w:after="80"/>
              <w:jc w:val="center"/>
            </w:pPr>
            <w:r>
              <w:t>–7,75</w:t>
            </w:r>
          </w:p>
        </w:tc>
        <w:tc>
          <w:tcPr>
            <w:tcW w:w="1375" w:type="dxa"/>
            <w:tcBorders>
              <w:bottom w:val="nil"/>
            </w:tcBorders>
          </w:tcPr>
          <w:p w:rsidR="002B489A" w:rsidRDefault="004F19C4">
            <w:pPr>
              <w:pStyle w:val="Tabletext"/>
              <w:framePr w:hSpace="181" w:wrap="notBeside" w:vAnchor="text" w:hAnchor="text" w:xAlign="center" w:y="1"/>
              <w:spacing w:before="80" w:after="80"/>
              <w:jc w:val="center"/>
            </w:pPr>
            <w:r>
              <w:t>–8,9</w:t>
            </w:r>
          </w:p>
        </w:tc>
      </w:tr>
      <w:tr w:rsidR="002B489A">
        <w:trPr>
          <w:cantSplit/>
        </w:trPr>
        <w:tc>
          <w:tcPr>
            <w:tcW w:w="4571" w:type="dxa"/>
          </w:tcPr>
          <w:p w:rsidR="002B489A" w:rsidRDefault="004F19C4">
            <w:pPr>
              <w:pStyle w:val="Tabletext"/>
              <w:framePr w:hSpace="181" w:wrap="notBeside" w:vAnchor="text" w:hAnchor="text" w:xAlign="center" w:y="1"/>
              <w:spacing w:before="80" w:after="80"/>
              <w:jc w:val="left"/>
            </w:pPr>
            <w:r>
              <w:t xml:space="preserve">Décalage par rapport au centre </w:t>
            </w:r>
            <w:r>
              <w:rPr>
                <w:i/>
                <w:iCs/>
              </w:rPr>
              <w:t>B</w:t>
            </w:r>
            <w:r>
              <w:rPr>
                <w:i/>
                <w:iCs/>
                <w:vertAlign w:val="subscript"/>
              </w:rPr>
              <w:t xml:space="preserve">N </w:t>
            </w:r>
            <w:r>
              <w:t>(%)</w:t>
            </w:r>
          </w:p>
        </w:tc>
        <w:tc>
          <w:tcPr>
            <w:tcW w:w="1477" w:type="dxa"/>
          </w:tcPr>
          <w:p w:rsidR="002B489A" w:rsidRDefault="002B489A">
            <w:pPr>
              <w:pStyle w:val="Tabletext"/>
              <w:framePr w:hSpace="181" w:wrap="notBeside" w:vAnchor="text" w:hAnchor="text" w:xAlign="center" w:y="1"/>
              <w:spacing w:before="80" w:after="80"/>
              <w:jc w:val="center"/>
            </w:pPr>
          </w:p>
        </w:tc>
        <w:tc>
          <w:tcPr>
            <w:tcW w:w="1161" w:type="dxa"/>
          </w:tcPr>
          <w:p w:rsidR="002B489A" w:rsidRDefault="004F19C4">
            <w:pPr>
              <w:pStyle w:val="Tabletext"/>
              <w:framePr w:hSpace="181" w:wrap="notBeside" w:vAnchor="text" w:hAnchor="text" w:xAlign="center" w:y="1"/>
              <w:spacing w:before="80" w:after="80"/>
              <w:jc w:val="center"/>
            </w:pPr>
            <w:r>
              <w:t>50</w:t>
            </w:r>
          </w:p>
        </w:tc>
        <w:tc>
          <w:tcPr>
            <w:tcW w:w="1055" w:type="dxa"/>
          </w:tcPr>
          <w:p w:rsidR="002B489A" w:rsidRDefault="004F19C4">
            <w:pPr>
              <w:pStyle w:val="Tabletext"/>
              <w:framePr w:hSpace="181" w:wrap="notBeside" w:vAnchor="text" w:hAnchor="text" w:xAlign="center" w:y="1"/>
              <w:spacing w:before="80" w:after="80"/>
              <w:jc w:val="center"/>
            </w:pPr>
            <w:r>
              <w:t>50</w:t>
            </w:r>
          </w:p>
        </w:tc>
        <w:tc>
          <w:tcPr>
            <w:tcW w:w="1375" w:type="dxa"/>
          </w:tcPr>
          <w:p w:rsidR="002B489A" w:rsidRDefault="004F19C4">
            <w:pPr>
              <w:pStyle w:val="Tabletext"/>
              <w:framePr w:hSpace="181" w:wrap="notBeside" w:vAnchor="text" w:hAnchor="text" w:xAlign="center" w:y="1"/>
              <w:spacing w:before="80" w:after="80"/>
              <w:jc w:val="center"/>
            </w:pPr>
            <w:r>
              <w:t>50</w:t>
            </w:r>
          </w:p>
        </w:tc>
      </w:tr>
      <w:tr w:rsidR="002B489A">
        <w:trPr>
          <w:cantSplit/>
        </w:trPr>
        <w:tc>
          <w:tcPr>
            <w:tcW w:w="4571" w:type="dxa"/>
          </w:tcPr>
          <w:p w:rsidR="002B489A" w:rsidRDefault="004F19C4">
            <w:pPr>
              <w:pStyle w:val="Tabletext"/>
              <w:framePr w:hSpace="181" w:wrap="notBeside" w:vAnchor="text" w:hAnchor="text" w:xAlign="center" w:y="1"/>
              <w:spacing w:before="80" w:after="80"/>
              <w:jc w:val="left"/>
            </w:pPr>
            <w:r>
              <w:t xml:space="preserve">Décalage par rapport au centre </w:t>
            </w:r>
            <w:r>
              <w:rPr>
                <w:i/>
                <w:iCs/>
              </w:rPr>
              <w:t>B</w:t>
            </w:r>
            <w:r>
              <w:rPr>
                <w:i/>
                <w:iCs/>
                <w:vertAlign w:val="subscript"/>
              </w:rPr>
              <w:t xml:space="preserve">N </w:t>
            </w:r>
            <w:r>
              <w:t>(MHz)</w:t>
            </w:r>
          </w:p>
        </w:tc>
        <w:tc>
          <w:tcPr>
            <w:tcW w:w="1477" w:type="dxa"/>
          </w:tcPr>
          <w:p w:rsidR="002B489A" w:rsidRDefault="002B489A">
            <w:pPr>
              <w:pStyle w:val="Tabletext"/>
              <w:framePr w:hSpace="181" w:wrap="notBeside" w:vAnchor="text" w:hAnchor="text" w:xAlign="center" w:y="1"/>
              <w:spacing w:before="80" w:after="80"/>
              <w:jc w:val="center"/>
            </w:pPr>
          </w:p>
        </w:tc>
        <w:tc>
          <w:tcPr>
            <w:tcW w:w="1161" w:type="dxa"/>
          </w:tcPr>
          <w:p w:rsidR="002B489A" w:rsidRDefault="004F19C4">
            <w:pPr>
              <w:pStyle w:val="Tabletext"/>
              <w:framePr w:hSpace="181" w:wrap="notBeside" w:vAnchor="text" w:hAnchor="text" w:xAlign="center" w:y="1"/>
              <w:spacing w:before="80" w:after="80"/>
              <w:jc w:val="center"/>
            </w:pPr>
            <w:r>
              <w:t>2,2</w:t>
            </w:r>
          </w:p>
        </w:tc>
        <w:tc>
          <w:tcPr>
            <w:tcW w:w="1055" w:type="dxa"/>
          </w:tcPr>
          <w:p w:rsidR="002B489A" w:rsidRDefault="004F19C4">
            <w:pPr>
              <w:pStyle w:val="Tabletext"/>
              <w:framePr w:hSpace="181" w:wrap="notBeside" w:vAnchor="text" w:hAnchor="text" w:xAlign="center" w:y="1"/>
              <w:spacing w:before="80" w:after="80"/>
              <w:jc w:val="center"/>
            </w:pPr>
            <w:r>
              <w:t>1,25</w:t>
            </w:r>
          </w:p>
        </w:tc>
        <w:tc>
          <w:tcPr>
            <w:tcW w:w="1375" w:type="dxa"/>
          </w:tcPr>
          <w:p w:rsidR="002B489A" w:rsidRDefault="004F19C4">
            <w:pPr>
              <w:pStyle w:val="Tabletext"/>
              <w:framePr w:hSpace="181" w:wrap="notBeside" w:vAnchor="text" w:hAnchor="text" w:xAlign="center" w:y="1"/>
              <w:spacing w:before="80" w:after="80"/>
              <w:jc w:val="center"/>
            </w:pPr>
            <w:r>
              <w:t>250</w:t>
            </w:r>
          </w:p>
        </w:tc>
      </w:tr>
      <w:tr w:rsidR="002B489A">
        <w:trPr>
          <w:cantSplit/>
        </w:trPr>
        <w:tc>
          <w:tcPr>
            <w:tcW w:w="4571" w:type="dxa"/>
          </w:tcPr>
          <w:p w:rsidR="002B489A" w:rsidRDefault="004F19C4">
            <w:pPr>
              <w:pStyle w:val="Tabletext"/>
              <w:framePr w:hSpace="181" w:wrap="notBeside" w:vAnchor="text" w:hAnchor="text" w:xAlign="center" w:y="1"/>
              <w:spacing w:before="80" w:after="80"/>
              <w:jc w:val="left"/>
            </w:pPr>
            <w:r>
              <w:t>Bande de garde supplémentaire requise (MHz)</w:t>
            </w:r>
          </w:p>
        </w:tc>
        <w:tc>
          <w:tcPr>
            <w:tcW w:w="1477" w:type="dxa"/>
          </w:tcPr>
          <w:p w:rsidR="002B489A" w:rsidRDefault="002B489A">
            <w:pPr>
              <w:pStyle w:val="Tabletext"/>
              <w:framePr w:hSpace="181" w:wrap="notBeside" w:vAnchor="text" w:hAnchor="text" w:xAlign="center" w:y="1"/>
              <w:spacing w:before="80" w:after="80"/>
              <w:jc w:val="center"/>
            </w:pPr>
          </w:p>
        </w:tc>
        <w:tc>
          <w:tcPr>
            <w:tcW w:w="1161" w:type="dxa"/>
            <w:tcBorders>
              <w:bottom w:val="single" w:sz="4" w:space="0" w:color="auto"/>
            </w:tcBorders>
          </w:tcPr>
          <w:p w:rsidR="002B489A" w:rsidRDefault="004F19C4">
            <w:pPr>
              <w:pStyle w:val="Tabletext"/>
              <w:framePr w:hSpace="181" w:wrap="notBeside" w:vAnchor="text" w:hAnchor="text" w:xAlign="center" w:y="1"/>
              <w:spacing w:before="80" w:after="80"/>
              <w:jc w:val="center"/>
            </w:pPr>
            <w:r>
              <w:t>0</w:t>
            </w:r>
          </w:p>
        </w:tc>
        <w:tc>
          <w:tcPr>
            <w:tcW w:w="1055" w:type="dxa"/>
            <w:tcBorders>
              <w:bottom w:val="single" w:sz="4" w:space="0" w:color="auto"/>
            </w:tcBorders>
          </w:tcPr>
          <w:p w:rsidR="002B489A" w:rsidRDefault="004F19C4">
            <w:pPr>
              <w:pStyle w:val="Tabletext"/>
              <w:framePr w:hSpace="181" w:wrap="notBeside" w:vAnchor="text" w:hAnchor="text" w:xAlign="center" w:y="1"/>
              <w:spacing w:before="80" w:after="80"/>
              <w:jc w:val="center"/>
            </w:pPr>
            <w:r>
              <w:t>0</w:t>
            </w:r>
          </w:p>
        </w:tc>
        <w:tc>
          <w:tcPr>
            <w:tcW w:w="1375" w:type="dxa"/>
            <w:tcBorders>
              <w:bottom w:val="single" w:sz="4" w:space="0" w:color="auto"/>
            </w:tcBorders>
          </w:tcPr>
          <w:p w:rsidR="002B489A" w:rsidRDefault="004F19C4">
            <w:pPr>
              <w:pStyle w:val="Tabletext"/>
              <w:framePr w:hSpace="181" w:wrap="notBeside" w:vAnchor="text" w:hAnchor="text" w:xAlign="center" w:y="1"/>
              <w:spacing w:before="80" w:after="80"/>
              <w:jc w:val="center"/>
            </w:pPr>
            <w:r>
              <w:t>0</w:t>
            </w:r>
          </w:p>
        </w:tc>
      </w:tr>
      <w:tr w:rsidR="002B489A">
        <w:trPr>
          <w:cantSplit/>
        </w:trPr>
        <w:tc>
          <w:tcPr>
            <w:tcW w:w="4571" w:type="dxa"/>
          </w:tcPr>
          <w:p w:rsidR="002B489A" w:rsidRDefault="004F19C4">
            <w:pPr>
              <w:pStyle w:val="Tabletext"/>
              <w:framePr w:hSpace="181" w:wrap="notBeside" w:vAnchor="text" w:hAnchor="text" w:xAlign="center" w:y="1"/>
              <w:spacing w:before="80" w:after="80"/>
              <w:jc w:val="left"/>
            </w:pPr>
            <w:r>
              <w:t>Lobe latéral à balayage conique (dB)</w:t>
            </w:r>
          </w:p>
        </w:tc>
        <w:tc>
          <w:tcPr>
            <w:tcW w:w="1477" w:type="dxa"/>
          </w:tcPr>
          <w:p w:rsidR="002B489A" w:rsidRDefault="004F19C4">
            <w:pPr>
              <w:pStyle w:val="Tabletext"/>
              <w:framePr w:hSpace="181" w:wrap="notBeside" w:vAnchor="text" w:hAnchor="text" w:xAlign="center" w:y="1"/>
              <w:spacing w:before="80" w:after="80"/>
              <w:jc w:val="center"/>
            </w:pPr>
            <w:r>
              <w:t>ND</w:t>
            </w:r>
          </w:p>
        </w:tc>
        <w:tc>
          <w:tcPr>
            <w:tcW w:w="1161" w:type="dxa"/>
            <w:shd w:val="pct10" w:color="auto" w:fill="auto"/>
          </w:tcPr>
          <w:p w:rsidR="002B489A" w:rsidRDefault="004F19C4">
            <w:pPr>
              <w:pStyle w:val="Tabletext"/>
              <w:framePr w:hSpace="181" w:wrap="notBeside" w:vAnchor="text" w:hAnchor="text" w:xAlign="center" w:y="1"/>
              <w:spacing w:before="80" w:after="80"/>
              <w:jc w:val="center"/>
            </w:pPr>
            <w:r>
              <w:rPr>
                <w:rFonts w:ascii="Symbol" w:hAnsi="Symbol"/>
                <w:lang w:val="en-US"/>
              </w:rPr>
              <w:t></w:t>
            </w:r>
            <w:r>
              <w:t>34,3</w:t>
            </w:r>
          </w:p>
        </w:tc>
        <w:tc>
          <w:tcPr>
            <w:tcW w:w="1055" w:type="dxa"/>
            <w:shd w:val="pct10" w:color="auto" w:fill="auto"/>
          </w:tcPr>
          <w:p w:rsidR="002B489A" w:rsidRDefault="004F19C4">
            <w:pPr>
              <w:pStyle w:val="Tabletext"/>
              <w:framePr w:hSpace="181" w:wrap="notBeside" w:vAnchor="text" w:hAnchor="text" w:xAlign="center" w:y="1"/>
              <w:spacing w:before="80" w:after="80"/>
              <w:jc w:val="center"/>
            </w:pPr>
            <w:r>
              <w:rPr>
                <w:rFonts w:ascii="Symbol" w:hAnsi="Symbol"/>
                <w:lang w:val="en-US"/>
              </w:rPr>
              <w:t></w:t>
            </w:r>
            <w:r>
              <w:t>32,05</w:t>
            </w:r>
          </w:p>
        </w:tc>
        <w:tc>
          <w:tcPr>
            <w:tcW w:w="1375" w:type="dxa"/>
            <w:shd w:val="pct10" w:color="auto" w:fill="auto"/>
          </w:tcPr>
          <w:p w:rsidR="002B489A" w:rsidRDefault="004F19C4">
            <w:pPr>
              <w:pStyle w:val="Tabletext"/>
              <w:framePr w:hSpace="181" w:wrap="notBeside" w:vAnchor="text" w:hAnchor="text" w:xAlign="center" w:y="1"/>
              <w:spacing w:before="80" w:after="80"/>
              <w:jc w:val="center"/>
            </w:pPr>
            <w:r>
              <w:rPr>
                <w:rFonts w:ascii="Symbol" w:hAnsi="Symbol"/>
              </w:rPr>
              <w:t></w:t>
            </w:r>
            <w:r>
              <w:t>30,9</w:t>
            </w:r>
          </w:p>
        </w:tc>
      </w:tr>
    </w:tbl>
    <w:p w:rsidR="002B489A" w:rsidRDefault="002B489A">
      <w:pPr>
        <w:pStyle w:val="Tablefin"/>
      </w:pPr>
    </w:p>
    <w:p w:rsidR="002B489A" w:rsidRDefault="004F19C4">
      <w:r>
        <w:t>Dans la plupart des cas, il apparaît que l'application du gabarit à cosinus surélevé est une solution satisfaisante pour protéger les détecteur passifs contre les rayonnements non désirés générés par les stations terriennes non OSG et OSG du service SFS, sauf dans le cas de coïncidences de lobe principal à lobe principal et de l'impact agrégé de multiples stations terriennes dans des simulations dynamiques qui demandent encore à être étudiées plus avant.</w:t>
      </w:r>
    </w:p>
    <w:p w:rsidR="002B489A" w:rsidRDefault="004F19C4">
      <w:r>
        <w:t>Cependant, quelques systèmes utilisant simultanément une forte largeur de bande nécessaire et une forte p.i.r.e. soulèvent de sérieux problèmes dans le cas de configurations de lobe principal à lobe principal. Ce sont les GSO-Ka-1, le GSO-20 et le LEOSAT-2 pour lesquels le décalage de fréquence requis pour protéger la bande passive n'est pas praticable. Ces systèmes devraient être examinés à nouveau.</w:t>
      </w:r>
    </w:p>
    <w:p w:rsidR="002B489A" w:rsidRDefault="004F19C4">
      <w:pPr>
        <w:pStyle w:val="Heading1"/>
        <w:ind w:left="0" w:firstLine="0"/>
      </w:pPr>
      <w:r>
        <w:t>5</w:t>
      </w:r>
      <w:r>
        <w:tab/>
        <w:t>Technique de réduction des brouillages</w:t>
      </w:r>
    </w:p>
    <w:p w:rsidR="002B489A" w:rsidRDefault="004F19C4">
      <w:pPr>
        <w:pStyle w:val="Heading2"/>
      </w:pPr>
      <w:r>
        <w:t>5.1</w:t>
      </w:r>
      <w:r>
        <w:tab/>
        <w:t>SETS (passive)</w:t>
      </w:r>
    </w:p>
    <w:p w:rsidR="002B489A" w:rsidRDefault="004F19C4">
      <w:r>
        <w:t>Ce sujet doit faire l'objet d'études supplémentaires.</w:t>
      </w:r>
    </w:p>
    <w:p w:rsidR="002B489A" w:rsidRDefault="004F19C4">
      <w:pPr>
        <w:pStyle w:val="Heading2"/>
        <w:rPr>
          <w:b w:val="0"/>
        </w:rPr>
      </w:pPr>
      <w:r>
        <w:br w:type="page"/>
        <w:t>5.2</w:t>
      </w:r>
      <w:r>
        <w:tab/>
        <w:t>SFS et SMS</w:t>
      </w:r>
    </w:p>
    <w:p w:rsidR="002B489A" w:rsidRDefault="004F19C4">
      <w:r>
        <w:t>Les résultats de l'analyse (voir les Tableaux 60 et 61 pour le détecteur à balayage conique et les Tableaux 62 à 64 pour le détecteur de nadir) indiquent que dans la plupart des cas, la séparation de 300 MHz entre les attributions SFS et SETS et l'application du gabarit de cosinus surélevé offrent une protection adéquate des détecteurs passifs. Certaines questions critiques impliquant l'alignement de lobe principal à lobe principal avec les systèmes mettant simultanément en œuvre une forte p.i.r.e. et une largeur de bande nécessaire importante restent non résolues et devront être étudiées plus avant. Comme la probabilité de coïncidences de lobe principal à lobe principal peut être forte dans le cas de systèmes SFS non OSG et dans le cas de stations terriennes SFS OSG proches de l'équateur, on ne peut pas mettre en œuvre de décalages de fréquence supplémentaires avec de tels systèmes, dans le but de fournir une protection de l'attribution passive adjacente.</w:t>
      </w:r>
    </w:p>
    <w:p w:rsidR="002B489A" w:rsidRDefault="004F19C4">
      <w:pPr>
        <w:pStyle w:val="Heading2"/>
      </w:pPr>
      <w:r>
        <w:t>5.3</w:t>
      </w:r>
      <w:r>
        <w:tab/>
        <w:t>Impact potentiel</w:t>
      </w:r>
    </w:p>
    <w:p w:rsidR="002B489A" w:rsidRDefault="004F19C4">
      <w:pPr>
        <w:pStyle w:val="Heading3"/>
      </w:pPr>
      <w:r>
        <w:t>5.3.1</w:t>
      </w:r>
      <w:r>
        <w:tab/>
        <w:t>SETS (passive)</w:t>
      </w:r>
    </w:p>
    <w:p w:rsidR="002B489A" w:rsidRDefault="004F19C4">
      <w:r>
        <w:t>L'impact potentiel sur le SETS (passive) ne peut pas être évalué tant que les techniques de réduction des brouillages (§ 5.1) ne sont pas finalisées.</w:t>
      </w:r>
    </w:p>
    <w:p w:rsidR="002B489A" w:rsidRDefault="004F19C4">
      <w:pPr>
        <w:pStyle w:val="Heading3"/>
      </w:pPr>
      <w:r>
        <w:t>5.3.2</w:t>
      </w:r>
      <w:r>
        <w:tab/>
        <w:t>SFS et SMS</w:t>
      </w:r>
    </w:p>
    <w:p w:rsidR="002B489A" w:rsidRDefault="004F19C4">
      <w:r>
        <w:t>La présente Annexe se fonde sur l'utilisation de la représentation spectrale par cosinus surélevé. Les implications d'une telle représentation spectrale sont en cours d'examen au sein de l'UIT-R.</w:t>
      </w:r>
    </w:p>
    <w:p w:rsidR="002B489A" w:rsidRDefault="004F19C4">
      <w:pPr>
        <w:pStyle w:val="Heading1"/>
      </w:pPr>
      <w:r>
        <w:t>6</w:t>
      </w:r>
      <w:r>
        <w:tab/>
        <w:t>Résultats des études</w:t>
      </w:r>
    </w:p>
    <w:p w:rsidR="002B489A" w:rsidRDefault="004F19C4">
      <w:pPr>
        <w:pStyle w:val="Heading2"/>
      </w:pPr>
      <w:r>
        <w:t>6.1</w:t>
      </w:r>
      <w:r>
        <w:tab/>
        <w:t>Résumé</w:t>
      </w:r>
    </w:p>
    <w:p w:rsidR="002B489A" w:rsidRDefault="004F19C4">
      <w:r>
        <w:t>La présente Annexe a traité de la question de la protection de la bande passive 31,3-31,5 GHz en tenant compte de divers détecteurs SETS. Selon les caractéristiques SFS, le niveau au-dessus du seuil peut être de l'ordre de 88 dB dans le cas d'alignement de lobe principal à lobe principal: un tel niveau peut endommager les détecteurs.</w:t>
      </w:r>
    </w:p>
    <w:p w:rsidR="002B489A" w:rsidRDefault="004F19C4">
      <w:r>
        <w:t>Il faut noter que, pour la plupart des réseaux OSG et non OSG qui ont été examinés dans l'étude, la protection de la bande SETS (passive) de 31,3-31,5 GHz tire parti de la séparation de 300 MHz entre les deux services si un affaiblissement approprié est utilisé. Cependant, il sera nécessaire de procéder à des études complémentaires pour d'autres types de réseau.</w:t>
      </w:r>
    </w:p>
    <w:p w:rsidR="002B489A" w:rsidRDefault="004F19C4">
      <w:r>
        <w:t>Il faut noter que, en raison du manque d'informations sur l'utilisation réelle de la bande 30-31 GHz par les systèmes SFS/SMS et sur les caractéristiques appropriées des systèmes, les caractéristiques des systèmes SFS/SMS utilisés dans une bande voisine ont été supposées pour les besoins de l'étude. Donc, on peut s'attendre à ce que certaines des conclusions de la présente Annexe soient modifiées.</w:t>
      </w:r>
    </w:p>
    <w:p w:rsidR="002B489A" w:rsidRDefault="004F19C4">
      <w:pPr>
        <w:pStyle w:val="Heading2"/>
      </w:pPr>
      <w:r>
        <w:t>6.2</w:t>
      </w:r>
      <w:r>
        <w:tab/>
        <w:t>Conclusions</w:t>
      </w:r>
    </w:p>
    <w:p w:rsidR="002B489A" w:rsidRDefault="004F19C4">
      <w:pPr>
        <w:rPr>
          <w:lang w:val="fr-CH"/>
        </w:rPr>
      </w:pPr>
      <w:r>
        <w:t>Cette analyse montre que des travaux complémentaires sur les techniques de réduction des brouillages applicables sont nécessaires. Sauf pour le cas spécifique de l'alignement de lobe principal à lobe principal (qui a une probabilité inférieure à 0,01% de survenir conformément à l'analyse dynamique) et de l'impact cumulé de stations terriennes multiples dans la simulation dynamique qui requiert des travaux complémentaires sur la base des caractéristiques connues des systèmes SFS/SMS utilisés dans l'étude, la bande 31,3-31,5 GHz peut être protégée si la réduction du brouillage par la méthode du cosinus surélevé est utilisée ou toute technique de modulation procurant une réduction similaire ou meilleure.</w:t>
      </w:r>
    </w:p>
    <w:p w:rsidR="002B489A" w:rsidRDefault="004F19C4">
      <w:pPr>
        <w:pStyle w:val="AnnexNoTitle"/>
      </w:pPr>
      <w:r>
        <w:br w:type="page"/>
        <w:t>Annexe 15</w:t>
      </w:r>
      <w:r>
        <w:br/>
      </w:r>
      <w:r>
        <w:br/>
        <w:t xml:space="preserve">Analyse de compatibilité entre les systèmes du SETS (passive) fonctionnant </w:t>
      </w:r>
      <w:r>
        <w:br/>
        <w:t xml:space="preserve">dans la bande 31,3-31,5 GHz et les systèmes du service fixe fonctionnant </w:t>
      </w:r>
      <w:r>
        <w:br/>
        <w:t>dans la bande 31</w:t>
      </w:r>
      <w:r>
        <w:noBreakHyphen/>
        <w:t>31,3 GHz</w:t>
      </w:r>
    </w:p>
    <w:p w:rsidR="002B489A" w:rsidRDefault="004F19C4">
      <w:pPr>
        <w:pStyle w:val="Heading1"/>
        <w:ind w:left="0" w:firstLine="0"/>
      </w:pPr>
      <w:r>
        <w:t>1</w:t>
      </w:r>
      <w:r>
        <w:tab/>
        <w:t>SETS (passive)</w:t>
      </w:r>
    </w:p>
    <w:p w:rsidR="002B489A" w:rsidRDefault="004F19C4">
      <w:pPr>
        <w:pStyle w:val="Heading2"/>
      </w:pPr>
      <w:r>
        <w:t>1.1</w:t>
      </w:r>
      <w:r>
        <w:tab/>
        <w:t>Bande attribuée</w:t>
      </w:r>
    </w:p>
    <w:p w:rsidR="002B489A" w:rsidRDefault="004F19C4">
      <w:r>
        <w:t>La bande 31</w:t>
      </w:r>
      <w:r>
        <w:noBreakHyphen/>
        <w:t>31,3 GHz est attribuée au service fixe et est adjacente à la bande 31,3</w:t>
      </w:r>
      <w:r>
        <w:noBreakHyphen/>
        <w:t>31,5 GHz attribuée au SETS. La présente Annexe donne les calculs des niveaux de rayonnements non désirés provenant des systèmes du service fixe fonctionnant au-dessous de 31,3 GHz qui peuvent tomber dans la bande 31,3-31,5 GHz.</w:t>
      </w:r>
    </w:p>
    <w:p w:rsidR="002B489A" w:rsidRDefault="004F19C4">
      <w:r>
        <w:t>Il faut noter que conformément au numéro 5.340 du RR, toutes les émissions sont interdites dans la bande 31,3-31,5 GHz.</w:t>
      </w:r>
    </w:p>
    <w:p w:rsidR="002B489A" w:rsidRDefault="004F19C4">
      <w:r>
        <w:t>Les attributions adjacentes à la bande passive 31,3</w:t>
      </w:r>
      <w:r>
        <w:noBreakHyphen/>
        <w:t>31,5 GHz sont indiquées dans le Tableau 74.</w:t>
      </w:r>
    </w:p>
    <w:p w:rsidR="002B489A" w:rsidRDefault="002B489A">
      <w:pPr>
        <w:spacing w:before="0"/>
      </w:pPr>
    </w:p>
    <w:p w:rsidR="002B489A" w:rsidRDefault="004F19C4">
      <w:pPr>
        <w:pStyle w:val="TableNo"/>
      </w:pPr>
      <w:r>
        <w:t>TABLEAU  74</w:t>
      </w:r>
    </w:p>
    <w:p w:rsidR="002B489A" w:rsidRDefault="004F19C4">
      <w:pPr>
        <w:pStyle w:val="Tabletitle"/>
      </w:pPr>
      <w:r>
        <w:t>Attributions dans les bandes adjacentes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7"/>
        <w:gridCol w:w="2732"/>
        <w:gridCol w:w="3410"/>
      </w:tblGrid>
      <w:tr w:rsidR="002B489A">
        <w:tc>
          <w:tcPr>
            <w:tcW w:w="3375" w:type="dxa"/>
          </w:tcPr>
          <w:p w:rsidR="002B489A" w:rsidRDefault="004F19C4">
            <w:pPr>
              <w:pStyle w:val="Tablehead"/>
              <w:framePr w:hSpace="181" w:wrap="notBeside" w:vAnchor="text" w:hAnchor="text" w:xAlign="center" w:y="1"/>
            </w:pPr>
            <w:r>
              <w:t>Services dans la bande attribuée inférieure</w:t>
            </w:r>
          </w:p>
        </w:tc>
        <w:tc>
          <w:tcPr>
            <w:tcW w:w="2636" w:type="dxa"/>
          </w:tcPr>
          <w:p w:rsidR="002B489A" w:rsidRDefault="004F19C4">
            <w:pPr>
              <w:pStyle w:val="Tablehead"/>
              <w:framePr w:hSpace="181" w:wrap="notBeside" w:vAnchor="text" w:hAnchor="text" w:xAlign="center" w:y="1"/>
            </w:pPr>
            <w:r>
              <w:t>Bande passive</w:t>
            </w:r>
          </w:p>
        </w:tc>
        <w:tc>
          <w:tcPr>
            <w:tcW w:w="3290" w:type="dxa"/>
          </w:tcPr>
          <w:p w:rsidR="002B489A" w:rsidRDefault="004F19C4">
            <w:pPr>
              <w:pStyle w:val="Tablehead"/>
              <w:framePr w:hSpace="181" w:wrap="notBeside" w:vAnchor="text" w:hAnchor="text" w:xAlign="center" w:y="1"/>
            </w:pPr>
            <w:r>
              <w:t>Services dans la bande attribuée supérieure</w:t>
            </w:r>
          </w:p>
        </w:tc>
      </w:tr>
      <w:tr w:rsidR="002B489A">
        <w:tc>
          <w:tcPr>
            <w:tcW w:w="3375" w:type="dxa"/>
          </w:tcPr>
          <w:p w:rsidR="002B489A" w:rsidRDefault="004F19C4">
            <w:pPr>
              <w:pStyle w:val="Tablehead"/>
              <w:framePr w:hSpace="181" w:wrap="notBeside" w:vAnchor="text" w:hAnchor="text" w:xAlign="center" w:y="1"/>
            </w:pPr>
            <w:r>
              <w:t>31-31,3 GHz</w:t>
            </w:r>
          </w:p>
        </w:tc>
        <w:tc>
          <w:tcPr>
            <w:tcW w:w="2636" w:type="dxa"/>
          </w:tcPr>
          <w:p w:rsidR="002B489A" w:rsidRDefault="004F19C4">
            <w:pPr>
              <w:pStyle w:val="Tablehead"/>
              <w:framePr w:hSpace="181" w:wrap="notBeside" w:vAnchor="text" w:hAnchor="text" w:xAlign="center" w:y="1"/>
            </w:pPr>
            <w:r>
              <w:t>31,3</w:t>
            </w:r>
            <w:r>
              <w:noBreakHyphen/>
              <w:t>31,5 GHz</w:t>
            </w:r>
          </w:p>
        </w:tc>
        <w:tc>
          <w:tcPr>
            <w:tcW w:w="3290" w:type="dxa"/>
          </w:tcPr>
          <w:p w:rsidR="002B489A" w:rsidRDefault="004F19C4">
            <w:pPr>
              <w:pStyle w:val="Tablehead"/>
              <w:framePr w:hSpace="181" w:wrap="notBeside" w:vAnchor="text" w:hAnchor="text" w:xAlign="center" w:y="1"/>
            </w:pPr>
            <w:r>
              <w:t>31,5</w:t>
            </w:r>
            <w:r>
              <w:noBreakHyphen/>
              <w:t>31,8 GHz</w:t>
            </w:r>
          </w:p>
        </w:tc>
      </w:tr>
      <w:tr w:rsidR="002B489A">
        <w:tc>
          <w:tcPr>
            <w:tcW w:w="3375" w:type="dxa"/>
          </w:tcPr>
          <w:p w:rsidR="002B489A" w:rsidRDefault="004F19C4">
            <w:pPr>
              <w:pStyle w:val="Tabletext"/>
              <w:framePr w:hSpace="181" w:wrap="notBeside" w:vAnchor="text" w:hAnchor="text" w:xAlign="center" w:y="1"/>
              <w:jc w:val="left"/>
              <w:rPr>
                <w:lang w:val="fr-CH"/>
              </w:rPr>
            </w:pPr>
            <w:r>
              <w:rPr>
                <w:lang w:val="fr-CH"/>
              </w:rPr>
              <w:t>FIXE</w:t>
            </w:r>
          </w:p>
          <w:p w:rsidR="002B489A" w:rsidRDefault="004F19C4">
            <w:pPr>
              <w:pStyle w:val="Tabletext"/>
              <w:framePr w:hSpace="181" w:wrap="notBeside" w:vAnchor="text" w:hAnchor="text" w:xAlign="center" w:y="1"/>
              <w:jc w:val="left"/>
              <w:rPr>
                <w:lang w:val="fr-CH"/>
              </w:rPr>
            </w:pPr>
            <w:r>
              <w:rPr>
                <w:lang w:val="fr-CH"/>
              </w:rPr>
              <w:t>MOBILE</w:t>
            </w:r>
          </w:p>
          <w:p w:rsidR="002B489A" w:rsidRDefault="004F19C4">
            <w:pPr>
              <w:pStyle w:val="Tabletext"/>
              <w:framePr w:hSpace="181" w:wrap="notBeside" w:vAnchor="text" w:hAnchor="text" w:xAlign="center" w:y="1"/>
              <w:jc w:val="left"/>
              <w:rPr>
                <w:lang w:val="fr-CH"/>
              </w:rPr>
            </w:pPr>
            <w:r>
              <w:rPr>
                <w:lang w:val="fr-CH"/>
              </w:rPr>
              <w:t>Fréquences étalon et signaux horaires par satellite (espace vers Terre)</w:t>
            </w:r>
          </w:p>
          <w:p w:rsidR="002B489A" w:rsidRDefault="004F19C4">
            <w:pPr>
              <w:pStyle w:val="Tabletext"/>
              <w:framePr w:hSpace="181" w:wrap="notBeside" w:vAnchor="text" w:hAnchor="text" w:xAlign="center" w:y="1"/>
              <w:jc w:val="left"/>
              <w:rPr>
                <w:rStyle w:val="Artref"/>
                <w:lang w:val="fr-CH"/>
              </w:rPr>
            </w:pPr>
            <w:r>
              <w:rPr>
                <w:lang w:val="fr-CH"/>
              </w:rPr>
              <w:t xml:space="preserve">Recherche spatiale  </w:t>
            </w:r>
            <w:r>
              <w:rPr>
                <w:rStyle w:val="Artref"/>
                <w:lang w:val="fr-CH"/>
              </w:rPr>
              <w:t>5.544</w:t>
            </w:r>
          </w:p>
          <w:p w:rsidR="002B489A" w:rsidRDefault="004F19C4">
            <w:pPr>
              <w:pStyle w:val="Tabletext"/>
              <w:framePr w:hSpace="181" w:wrap="notBeside" w:vAnchor="text" w:hAnchor="text" w:xAlign="center" w:y="1"/>
              <w:jc w:val="left"/>
              <w:rPr>
                <w:lang w:val="fr-CH"/>
              </w:rPr>
            </w:pPr>
            <w:r>
              <w:rPr>
                <w:rStyle w:val="Artref"/>
                <w:lang w:val="fr-CH"/>
              </w:rPr>
              <w:br/>
            </w:r>
          </w:p>
        </w:tc>
        <w:tc>
          <w:tcPr>
            <w:tcW w:w="2636" w:type="dxa"/>
          </w:tcPr>
          <w:p w:rsidR="002B489A" w:rsidRDefault="004F19C4">
            <w:pPr>
              <w:pStyle w:val="Tabletext"/>
              <w:framePr w:hSpace="181" w:wrap="notBeside" w:vAnchor="text" w:hAnchor="text" w:xAlign="center" w:y="1"/>
              <w:jc w:val="left"/>
              <w:rPr>
                <w:lang w:val="fr-CH"/>
              </w:rPr>
            </w:pPr>
            <w:r>
              <w:rPr>
                <w:lang w:val="fr-CH"/>
              </w:rPr>
              <w:t>EXPLORATION DE LA TERRE PAR SATELLITE (passive)</w:t>
            </w:r>
          </w:p>
          <w:p w:rsidR="002B489A" w:rsidRDefault="004F19C4">
            <w:pPr>
              <w:pStyle w:val="Tabletext"/>
              <w:framePr w:hSpace="181" w:wrap="notBeside" w:vAnchor="text" w:hAnchor="text" w:xAlign="center" w:y="1"/>
              <w:jc w:val="left"/>
              <w:rPr>
                <w:lang w:val="fr-CH"/>
              </w:rPr>
            </w:pPr>
            <w:r>
              <w:rPr>
                <w:lang w:val="fr-CH"/>
              </w:rPr>
              <w:t>RADIOASTRONOMIE</w:t>
            </w:r>
          </w:p>
          <w:p w:rsidR="002B489A" w:rsidRDefault="004F19C4">
            <w:pPr>
              <w:pStyle w:val="Tabletext"/>
              <w:framePr w:hSpace="181" w:wrap="notBeside" w:vAnchor="text" w:hAnchor="text" w:xAlign="center" w:y="1"/>
              <w:jc w:val="left"/>
              <w:rPr>
                <w:lang w:val="fr-CH"/>
              </w:rPr>
            </w:pPr>
            <w:r>
              <w:rPr>
                <w:lang w:val="fr-CH"/>
              </w:rPr>
              <w:t>RECHERCHE SPATIALE (passive)</w:t>
            </w:r>
          </w:p>
          <w:p w:rsidR="002B489A" w:rsidRDefault="002B489A">
            <w:pPr>
              <w:pStyle w:val="Tabletext"/>
              <w:framePr w:hSpace="181" w:wrap="notBeside" w:vAnchor="text" w:hAnchor="text" w:xAlign="center" w:y="1"/>
              <w:jc w:val="left"/>
              <w:rPr>
                <w:rStyle w:val="Artref"/>
                <w:lang w:val="fr-CH"/>
              </w:rPr>
            </w:pPr>
          </w:p>
          <w:p w:rsidR="002B489A" w:rsidRDefault="002B489A">
            <w:pPr>
              <w:framePr w:hSpace="181" w:wrap="notBeside" w:vAnchor="text" w:hAnchor="text" w:xAlign="center" w:y="1"/>
              <w:jc w:val="left"/>
              <w:rPr>
                <w:lang w:val="fr-CH"/>
              </w:rPr>
            </w:pPr>
          </w:p>
        </w:tc>
        <w:tc>
          <w:tcPr>
            <w:tcW w:w="3290" w:type="dxa"/>
          </w:tcPr>
          <w:p w:rsidR="002B489A" w:rsidRDefault="004F19C4">
            <w:pPr>
              <w:pStyle w:val="Tabletext"/>
              <w:framePr w:hSpace="181" w:wrap="notBeside" w:vAnchor="text" w:hAnchor="text" w:xAlign="center" w:y="1"/>
              <w:jc w:val="left"/>
              <w:rPr>
                <w:lang w:val="fr-CH"/>
              </w:rPr>
            </w:pPr>
            <w:r>
              <w:rPr>
                <w:lang w:val="fr-CH"/>
              </w:rPr>
              <w:t>EXPLORATION DE LA TERRE PAR SATELLITE (passive)</w:t>
            </w:r>
          </w:p>
          <w:p w:rsidR="002B489A" w:rsidRDefault="004F19C4">
            <w:pPr>
              <w:pStyle w:val="Tabletext"/>
              <w:framePr w:hSpace="181" w:wrap="notBeside" w:vAnchor="text" w:hAnchor="text" w:xAlign="center" w:y="1"/>
              <w:jc w:val="left"/>
              <w:rPr>
                <w:lang w:val="fr-CH"/>
              </w:rPr>
            </w:pPr>
            <w:r>
              <w:rPr>
                <w:lang w:val="fr-CH"/>
              </w:rPr>
              <w:t>RADIOASTRONOMIE</w:t>
            </w:r>
          </w:p>
          <w:p w:rsidR="002B489A" w:rsidRDefault="004F19C4">
            <w:pPr>
              <w:pStyle w:val="Tabletext"/>
              <w:framePr w:hSpace="181" w:wrap="notBeside" w:vAnchor="text" w:hAnchor="text" w:xAlign="center" w:y="1"/>
              <w:jc w:val="left"/>
              <w:rPr>
                <w:lang w:val="fr-CH"/>
              </w:rPr>
            </w:pPr>
            <w:r>
              <w:rPr>
                <w:lang w:val="fr-CH"/>
              </w:rPr>
              <w:t>RECHERCHE SPATIALE (passive)</w:t>
            </w:r>
          </w:p>
          <w:p w:rsidR="002B489A" w:rsidRDefault="004F19C4">
            <w:pPr>
              <w:pStyle w:val="Tabletext"/>
              <w:framePr w:hSpace="181" w:wrap="notBeside" w:vAnchor="text" w:hAnchor="text" w:xAlign="center" w:y="1"/>
              <w:jc w:val="left"/>
              <w:rPr>
                <w:lang w:val="fr-CH"/>
              </w:rPr>
            </w:pPr>
            <w:r>
              <w:rPr>
                <w:lang w:val="fr-CH"/>
              </w:rPr>
              <w:t>Fixe (Régions 1 et 3)</w:t>
            </w:r>
          </w:p>
          <w:p w:rsidR="002B489A" w:rsidRDefault="004F19C4">
            <w:pPr>
              <w:pStyle w:val="Tabletext"/>
              <w:framePr w:hSpace="181" w:wrap="notBeside" w:vAnchor="text" w:hAnchor="text" w:xAlign="center" w:y="1"/>
              <w:jc w:val="left"/>
              <w:rPr>
                <w:lang w:val="fr-CH"/>
              </w:rPr>
            </w:pPr>
            <w:r>
              <w:rPr>
                <w:lang w:val="fr-CH"/>
              </w:rPr>
              <w:t>Mobile sauf mobile aéronautique</w:t>
            </w:r>
            <w:r>
              <w:rPr>
                <w:lang w:val="fr-CH"/>
              </w:rPr>
              <w:br/>
              <w:t>(Régions 1 et 3)</w:t>
            </w:r>
          </w:p>
        </w:tc>
      </w:tr>
    </w:tbl>
    <w:p w:rsidR="002B489A" w:rsidRDefault="002B489A">
      <w:pPr>
        <w:pStyle w:val="Tablefin"/>
      </w:pPr>
    </w:p>
    <w:p w:rsidR="002B489A" w:rsidRDefault="004F19C4">
      <w:pPr>
        <w:pStyle w:val="Heading2"/>
      </w:pPr>
      <w:r>
        <w:t>1.2</w:t>
      </w:r>
      <w:r>
        <w:tab/>
        <w:t>Application</w:t>
      </w:r>
    </w:p>
    <w:p w:rsidR="002B489A" w:rsidRDefault="004F19C4">
      <w:r>
        <w:t>Cette bande est une des bandes utilisées pour le sondage atmosphérique proche du nadir avec des bandes telles que celles des 23,8 GHz et des 50,3 GHz pour la caractérisation de chaque couche de l'atmosphère terrestre.</w:t>
      </w:r>
    </w:p>
    <w:p w:rsidR="002B489A" w:rsidRDefault="004F19C4">
      <w:pPr>
        <w:rPr>
          <w:lang w:eastAsia="fr-FR"/>
        </w:rPr>
      </w:pPr>
      <w:r>
        <w:rPr>
          <w:lang w:eastAsia="fr-FR"/>
        </w:rPr>
        <w:t>Dans la bande des 31 GHz, il faut une largeur de bande de 416 MHz pour obtenir une précision à 0,2 K près. Cela signifie que la communauté des utilisateurs des systèmes passifs à hyperfréquences doit protéger à la fois la bande 31,3</w:t>
      </w:r>
      <w:r>
        <w:rPr>
          <w:lang w:eastAsia="fr-FR"/>
        </w:rPr>
        <w:noBreakHyphen/>
        <w:t>31,5 GHz et la bande 31,5</w:t>
      </w:r>
      <w:r>
        <w:rPr>
          <w:lang w:eastAsia="fr-FR"/>
        </w:rPr>
        <w:noBreakHyphen/>
        <w:t>31,8 GHz.</w:t>
      </w:r>
    </w:p>
    <w:p w:rsidR="002B489A" w:rsidRDefault="004F19C4">
      <w:r>
        <w:br w:type="page"/>
        <w:t>Cette bande sera aussi utilisée conjointement avec la bande 31,5</w:t>
      </w:r>
      <w:r>
        <w:noBreakHyphen/>
        <w:t>31,8 GHz comme «fenêtre partagée». Cela permettra une comparaison des mesures effectuées dans les deux sous-bandes pour vérifier la qualité des données. Cela permettra alors d'utiliser la bande complète, lorsque la qualité est bonne, pour augmenter la sensibilité du détecteur.</w:t>
      </w:r>
    </w:p>
    <w:p w:rsidR="002B489A" w:rsidRDefault="004F19C4">
      <w:pPr>
        <w:pStyle w:val="Heading2"/>
      </w:pPr>
      <w:r>
        <w:t>1.3</w:t>
      </w:r>
      <w:r>
        <w:tab/>
        <w:t>Critères de protection requis</w:t>
      </w:r>
    </w:p>
    <w:p w:rsidR="002B489A" w:rsidRDefault="004F19C4">
      <w:pPr>
        <w:pStyle w:val="enumlev1"/>
        <w:tabs>
          <w:tab w:val="clear" w:pos="794"/>
          <w:tab w:val="clear" w:pos="1191"/>
          <w:tab w:val="clear" w:pos="1588"/>
          <w:tab w:val="clear" w:pos="1985"/>
          <w:tab w:val="left" w:pos="3515"/>
        </w:tabs>
        <w:ind w:left="3515" w:hanging="3515"/>
      </w:pPr>
      <w:r>
        <w:t>Recommandation UIT-R SA.515 –</w:t>
      </w:r>
      <w:r>
        <w:tab/>
        <w:t xml:space="preserve">Bandes de fréquences et largeurs de bande utilisées pour la télédétection passive par satellite. </w:t>
      </w:r>
    </w:p>
    <w:p w:rsidR="002B489A" w:rsidRDefault="004F19C4">
      <w:pPr>
        <w:pStyle w:val="enumlev1"/>
        <w:tabs>
          <w:tab w:val="clear" w:pos="794"/>
          <w:tab w:val="clear" w:pos="1191"/>
          <w:tab w:val="clear" w:pos="1588"/>
          <w:tab w:val="clear" w:pos="1985"/>
          <w:tab w:val="left" w:pos="3515"/>
        </w:tabs>
        <w:spacing w:before="60"/>
        <w:ind w:left="3515" w:hanging="3515"/>
      </w:pPr>
      <w:r>
        <w:t>Recommandation UIT-R SA.1028 –</w:t>
      </w:r>
      <w:r>
        <w:tab/>
        <w:t>Critères de qualité de fonctionnement pour la télédétection passive par satellite.</w:t>
      </w:r>
    </w:p>
    <w:p w:rsidR="002B489A" w:rsidRDefault="004F19C4">
      <w:pPr>
        <w:pStyle w:val="enumlev1"/>
        <w:tabs>
          <w:tab w:val="clear" w:pos="794"/>
          <w:tab w:val="clear" w:pos="1191"/>
          <w:tab w:val="clear" w:pos="1588"/>
          <w:tab w:val="clear" w:pos="1985"/>
          <w:tab w:val="left" w:pos="3515"/>
        </w:tabs>
        <w:spacing w:before="60"/>
        <w:ind w:left="3515" w:hanging="3515"/>
      </w:pPr>
      <w:r>
        <w:t>Recommandation UIT-R SA.1029 –</w:t>
      </w:r>
      <w:r>
        <w:tab/>
        <w:t>Critères de brouillage dans la télédétection passive par satellite.</w:t>
      </w:r>
    </w:p>
    <w:p w:rsidR="002B489A" w:rsidRDefault="004F19C4">
      <w:pPr>
        <w:pStyle w:val="Heading2"/>
      </w:pPr>
      <w:r>
        <w:t>1.4</w:t>
      </w:r>
      <w:r>
        <w:tab/>
        <w:t>Caractéristiques de fonctionnement</w:t>
      </w:r>
    </w:p>
    <w:p w:rsidR="002B489A" w:rsidRDefault="004F19C4">
      <w:r>
        <w:t>On considère les caractéristiques de fonctionnement suivantes pour le système SETS:</w:t>
      </w:r>
    </w:p>
    <w:p w:rsidR="002B489A" w:rsidRDefault="004F19C4">
      <w:pPr>
        <w:pStyle w:val="enumlev1"/>
      </w:pPr>
      <w:r>
        <w:t>–</w:t>
      </w:r>
      <w:r>
        <w:tab/>
        <w:t>Le détecteur SETS est supposé avoir une antenne avec un gain de crête de 45 dBi.</w:t>
      </w:r>
    </w:p>
    <w:p w:rsidR="002B489A" w:rsidRDefault="004F19C4">
      <w:pPr>
        <w:pStyle w:val="enumlev1"/>
      </w:pPr>
      <w:r>
        <w:t>–</w:t>
      </w:r>
      <w:r>
        <w:tab/>
        <w:t>Le détecteur SETS pointe dans la direction du nadir.</w:t>
      </w:r>
    </w:p>
    <w:p w:rsidR="002B489A" w:rsidRDefault="004F19C4">
      <w:pPr>
        <w:pStyle w:val="enumlev1"/>
      </w:pPr>
      <w:r>
        <w:t>–</w:t>
      </w:r>
      <w:r>
        <w:tab/>
        <w:t>La taille de pixel pour un détecteur à une altitude de 850 km est de 201 km</w:t>
      </w:r>
      <w:r>
        <w:rPr>
          <w:vertAlign w:val="superscript"/>
        </w:rPr>
        <w:t>2</w:t>
      </w:r>
      <w:r>
        <w:t xml:space="preserve"> (16 km de diamètre).</w:t>
      </w:r>
    </w:p>
    <w:p w:rsidR="002B489A" w:rsidRDefault="004F19C4">
      <w:pPr>
        <w:pStyle w:val="Heading1"/>
      </w:pPr>
      <w:r>
        <w:t>2</w:t>
      </w:r>
      <w:r>
        <w:tab/>
        <w:t>Service fixe</w:t>
      </w:r>
    </w:p>
    <w:p w:rsidR="002B489A" w:rsidRDefault="004F19C4">
      <w:pPr>
        <w:pStyle w:val="Heading2"/>
      </w:pPr>
      <w:r>
        <w:t>2.1</w:t>
      </w:r>
      <w:r>
        <w:tab/>
        <w:t>Bande attribuée</w:t>
      </w:r>
    </w:p>
    <w:p w:rsidR="002B489A" w:rsidRDefault="004F19C4">
      <w:r>
        <w:t>Voir le Tableau 74.</w:t>
      </w:r>
    </w:p>
    <w:p w:rsidR="002B489A" w:rsidRDefault="004F19C4">
      <w:pPr>
        <w:pStyle w:val="Heading2"/>
      </w:pPr>
      <w:r>
        <w:t>2.2</w:t>
      </w:r>
      <w:r>
        <w:tab/>
        <w:t>Application</w:t>
      </w:r>
    </w:p>
    <w:p w:rsidR="002B489A" w:rsidRDefault="004F19C4">
      <w:r>
        <w:t>Cette bande peut être utilisée à la fois pour les systèmes du service fixe point à point et pour les systèmes du service fixe P</w:t>
      </w:r>
      <w:r>
        <w:noBreakHyphen/>
        <w:t>MP.</w:t>
      </w:r>
    </w:p>
    <w:p w:rsidR="002B489A" w:rsidRDefault="004F19C4">
      <w:pPr>
        <w:pStyle w:val="Heading2"/>
      </w:pPr>
      <w:r>
        <w:t>2.3</w:t>
      </w:r>
      <w:r>
        <w:tab/>
        <w:t>Niveaux fondés sur des documents existants de l'UIT</w:t>
      </w:r>
    </w:p>
    <w:p w:rsidR="002B489A" w:rsidRDefault="004F19C4">
      <w:r>
        <w:t>Les Recommandations suivantes de l'UIT-R donnent des informations sur les rayonnements non désirés des systèmes du service fixe:</w:t>
      </w:r>
    </w:p>
    <w:p w:rsidR="002B489A" w:rsidRDefault="004F19C4">
      <w:pPr>
        <w:pStyle w:val="enumlev1"/>
        <w:tabs>
          <w:tab w:val="clear" w:pos="794"/>
          <w:tab w:val="clear" w:pos="1191"/>
          <w:tab w:val="clear" w:pos="1588"/>
          <w:tab w:val="clear" w:pos="1985"/>
          <w:tab w:val="left" w:pos="3515"/>
        </w:tabs>
        <w:spacing w:before="60"/>
        <w:ind w:left="3600" w:hanging="3600"/>
      </w:pPr>
      <w:r>
        <w:t>Recommandation UIT-R F.1191 –</w:t>
      </w:r>
      <w:r>
        <w:tab/>
      </w:r>
      <w:r>
        <w:tab/>
        <w:t>Largeurs de bande et rayonnements non désirés des systèmes numériques du service fixe.</w:t>
      </w:r>
    </w:p>
    <w:p w:rsidR="002B489A" w:rsidRDefault="004F19C4">
      <w:pPr>
        <w:pStyle w:val="enumlev1"/>
        <w:tabs>
          <w:tab w:val="clear" w:pos="794"/>
          <w:tab w:val="clear" w:pos="1191"/>
          <w:tab w:val="clear" w:pos="1588"/>
          <w:tab w:val="clear" w:pos="1985"/>
          <w:tab w:val="left" w:pos="3515"/>
        </w:tabs>
        <w:spacing w:before="60"/>
        <w:ind w:left="3600" w:hanging="3600"/>
      </w:pPr>
      <w:r>
        <w:t>Recommandation UIT-R SM.329 –</w:t>
      </w:r>
      <w:r>
        <w:tab/>
      </w:r>
      <w:r>
        <w:tab/>
        <w:t>Rayonnements non désirés dans le domaine des rayonnements non essentiels.</w:t>
      </w:r>
    </w:p>
    <w:p w:rsidR="002B489A" w:rsidRDefault="004F19C4">
      <w:pPr>
        <w:pStyle w:val="enumlev1"/>
        <w:tabs>
          <w:tab w:val="clear" w:pos="794"/>
          <w:tab w:val="clear" w:pos="1191"/>
          <w:tab w:val="clear" w:pos="1588"/>
          <w:tab w:val="clear" w:pos="1985"/>
          <w:tab w:val="left" w:pos="3515"/>
        </w:tabs>
        <w:spacing w:before="60"/>
        <w:ind w:left="3600" w:hanging="3600"/>
      </w:pPr>
      <w:r>
        <w:t>Recommandation UIT-R SM.1541 –</w:t>
      </w:r>
      <w:r>
        <w:tab/>
        <w:t>Rayonnements non désirés dans le domaine des émissions hors bande.</w:t>
      </w:r>
    </w:p>
    <w:p w:rsidR="002B489A" w:rsidRDefault="004F19C4">
      <w:pPr>
        <w:pStyle w:val="Heading2"/>
      </w:pPr>
      <w:r>
        <w:t>2.4</w:t>
      </w:r>
      <w:r>
        <w:tab/>
        <w:t>Caractéristiques de l'émetteur</w:t>
      </w:r>
    </w:p>
    <w:p w:rsidR="002B489A" w:rsidRDefault="004F19C4">
      <w:r>
        <w:t>Les caractéristiques suivantes ont été prises en compte pour les systèmes du service fixe point à point et P</w:t>
      </w:r>
      <w:r>
        <w:noBreakHyphen/>
        <w:t>MP fonctionnant dans cette bande.</w:t>
      </w:r>
    </w:p>
    <w:p w:rsidR="002B489A" w:rsidRDefault="004F19C4">
      <w:pPr>
        <w:pStyle w:val="TableNo"/>
      </w:pPr>
      <w:r>
        <w:br w:type="page"/>
        <w:t>TABLEAU  75</w:t>
      </w:r>
    </w:p>
    <w:p w:rsidR="002B489A" w:rsidRDefault="004F19C4">
      <w:pPr>
        <w:pStyle w:val="Tabletitle"/>
      </w:pPr>
      <w:r>
        <w:t xml:space="preserve">Caractéristiques des systèmes point à point </w:t>
      </w:r>
      <w:r>
        <w:br/>
        <w:t>(Recommandation UIT-R F.758)*</w:t>
      </w:r>
    </w:p>
    <w:tbl>
      <w:tblPr>
        <w:tblW w:w="9639" w:type="dxa"/>
        <w:tblLayout w:type="fixed"/>
        <w:tblCellMar>
          <w:left w:w="107" w:type="dxa"/>
          <w:right w:w="107" w:type="dxa"/>
        </w:tblCellMar>
        <w:tblLook w:val="0000" w:firstRow="0" w:lastRow="0" w:firstColumn="0" w:lastColumn="0" w:noHBand="0" w:noVBand="0"/>
      </w:tblPr>
      <w:tblGrid>
        <w:gridCol w:w="5421"/>
        <w:gridCol w:w="2109"/>
        <w:gridCol w:w="2109"/>
      </w:tblGrid>
      <w:tr w:rsidR="002B489A">
        <w:trPr>
          <w:cantSplit/>
        </w:trPr>
        <w:tc>
          <w:tcPr>
            <w:tcW w:w="5103"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left"/>
              <w:rPr>
                <w:lang w:val="fr-CH"/>
              </w:rPr>
            </w:pPr>
            <w:r>
              <w:rPr>
                <w:lang w:val="fr-CH"/>
              </w:rPr>
              <w:t>Espacement entre canaux (MHz)</w:t>
            </w:r>
          </w:p>
        </w:tc>
        <w:tc>
          <w:tcPr>
            <w:tcW w:w="1985"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fr-CH"/>
              </w:rPr>
            </w:pPr>
            <w:r>
              <w:rPr>
                <w:lang w:val="fr-CH"/>
              </w:rPr>
              <w:t>56</w:t>
            </w:r>
          </w:p>
        </w:tc>
        <w:tc>
          <w:tcPr>
            <w:tcW w:w="1985"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fr-CH"/>
              </w:rPr>
            </w:pPr>
            <w:r>
              <w:rPr>
                <w:lang w:val="fr-CH"/>
              </w:rPr>
              <w:t>3,5</w:t>
            </w:r>
          </w:p>
        </w:tc>
      </w:tr>
      <w:tr w:rsidR="002B489A">
        <w:trPr>
          <w:cantSplit/>
        </w:trPr>
        <w:tc>
          <w:tcPr>
            <w:tcW w:w="5103"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left"/>
              <w:rPr>
                <w:lang w:val="fr-CH"/>
              </w:rPr>
            </w:pPr>
            <w:r>
              <w:rPr>
                <w:lang w:val="fr-CH"/>
              </w:rPr>
              <w:t>Gain d'antenne (maximum) (dBi)</w:t>
            </w:r>
          </w:p>
        </w:tc>
        <w:tc>
          <w:tcPr>
            <w:tcW w:w="1985"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fr-CH"/>
              </w:rPr>
            </w:pPr>
            <w:r>
              <w:rPr>
                <w:lang w:val="fr-CH"/>
              </w:rPr>
              <w:t>45</w:t>
            </w:r>
          </w:p>
        </w:tc>
        <w:tc>
          <w:tcPr>
            <w:tcW w:w="1985"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fr-CH"/>
              </w:rPr>
            </w:pPr>
            <w:r>
              <w:rPr>
                <w:lang w:val="fr-CH"/>
              </w:rPr>
              <w:t>45</w:t>
            </w:r>
          </w:p>
        </w:tc>
      </w:tr>
      <w:tr w:rsidR="002B489A">
        <w:trPr>
          <w:cantSplit/>
        </w:trPr>
        <w:tc>
          <w:tcPr>
            <w:tcW w:w="5103"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left"/>
              <w:rPr>
                <w:lang w:val="fr-CH"/>
              </w:rPr>
            </w:pPr>
            <w:r>
              <w:rPr>
                <w:lang w:val="fr-CH"/>
              </w:rPr>
              <w:t>Affaiblissement alim./multiplexeur (minimum) (dB)</w:t>
            </w:r>
          </w:p>
        </w:tc>
        <w:tc>
          <w:tcPr>
            <w:tcW w:w="1985"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fr-CH"/>
              </w:rPr>
            </w:pPr>
            <w:r>
              <w:rPr>
                <w:lang w:val="fr-CH"/>
              </w:rPr>
              <w:t>0</w:t>
            </w:r>
          </w:p>
        </w:tc>
        <w:tc>
          <w:tcPr>
            <w:tcW w:w="1985"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fr-CH"/>
              </w:rPr>
            </w:pPr>
            <w:r>
              <w:rPr>
                <w:lang w:val="fr-CH"/>
              </w:rPr>
              <w:t>0</w:t>
            </w:r>
          </w:p>
        </w:tc>
      </w:tr>
      <w:tr w:rsidR="002B489A">
        <w:trPr>
          <w:cantSplit/>
        </w:trPr>
        <w:tc>
          <w:tcPr>
            <w:tcW w:w="5103"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left"/>
              <w:rPr>
                <w:lang w:val="fr-CH"/>
              </w:rPr>
            </w:pPr>
            <w:r>
              <w:rPr>
                <w:lang w:val="fr-CH"/>
              </w:rPr>
              <w:t>Type d'antenne</w:t>
            </w:r>
          </w:p>
        </w:tc>
        <w:tc>
          <w:tcPr>
            <w:tcW w:w="1985"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fr-CH"/>
              </w:rPr>
            </w:pPr>
            <w:r>
              <w:rPr>
                <w:lang w:val="fr-CH"/>
              </w:rPr>
              <w:t>Parabolique</w:t>
            </w:r>
          </w:p>
        </w:tc>
        <w:tc>
          <w:tcPr>
            <w:tcW w:w="1985"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fr-CH"/>
              </w:rPr>
            </w:pPr>
            <w:r>
              <w:rPr>
                <w:lang w:val="fr-CH"/>
              </w:rPr>
              <w:t>Parabolique</w:t>
            </w:r>
          </w:p>
        </w:tc>
      </w:tr>
      <w:tr w:rsidR="002B489A">
        <w:trPr>
          <w:cantSplit/>
        </w:trPr>
        <w:tc>
          <w:tcPr>
            <w:tcW w:w="5103"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left"/>
              <w:rPr>
                <w:lang w:val="fr-CH"/>
              </w:rPr>
            </w:pPr>
            <w:r>
              <w:rPr>
                <w:lang w:val="fr-CH"/>
              </w:rPr>
              <w:t>Puissance de sortie d'émission maximum (dBW)</w:t>
            </w:r>
          </w:p>
        </w:tc>
        <w:tc>
          <w:tcPr>
            <w:tcW w:w="1985"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0</w:t>
            </w:r>
          </w:p>
        </w:tc>
        <w:tc>
          <w:tcPr>
            <w:tcW w:w="1985"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0</w:t>
            </w:r>
          </w:p>
        </w:tc>
      </w:tr>
      <w:tr w:rsidR="002B489A">
        <w:trPr>
          <w:cantSplit/>
        </w:trPr>
        <w:tc>
          <w:tcPr>
            <w:tcW w:w="5103"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left"/>
            </w:pPr>
            <w:r>
              <w:t>p.i.r.e. (maximum) (dBW)</w:t>
            </w:r>
          </w:p>
        </w:tc>
        <w:tc>
          <w:tcPr>
            <w:tcW w:w="1985"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45</w:t>
            </w:r>
          </w:p>
        </w:tc>
        <w:tc>
          <w:tcPr>
            <w:tcW w:w="1985"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45</w:t>
            </w:r>
          </w:p>
        </w:tc>
      </w:tr>
      <w:tr w:rsidR="002B489A">
        <w:trPr>
          <w:cantSplit/>
        </w:trPr>
        <w:tc>
          <w:tcPr>
            <w:tcW w:w="1985" w:type="dxa"/>
            <w:gridSpan w:val="3"/>
            <w:tcBorders>
              <w:top w:val="single" w:sz="4" w:space="0" w:color="auto"/>
            </w:tcBorders>
          </w:tcPr>
          <w:p w:rsidR="002B489A" w:rsidRDefault="004F19C4">
            <w:pPr>
              <w:pStyle w:val="Tablelegend"/>
              <w:framePr w:hSpace="181" w:wrap="notBeside" w:vAnchor="text" w:hAnchor="text" w:xAlign="center" w:y="1"/>
            </w:pPr>
            <w:r>
              <w:t>*</w:t>
            </w:r>
            <w:r>
              <w:tab/>
              <w:t xml:space="preserve">La Recommandation UIT-R </w:t>
            </w:r>
            <w:r>
              <w:rPr>
                <w:bCs/>
              </w:rPr>
              <w:t xml:space="preserve">F.758 </w:t>
            </w:r>
            <w:r>
              <w:t>ne fournissant aucune information sur les systèmes point à point à déployer dans cette bande, ces paramètres se fondent sur ceux de systèmes à déployer dans la bande 37</w:t>
            </w:r>
            <w:r>
              <w:noBreakHyphen/>
              <w:t>39,5 GHz, avec le gain d'antenne approprié.</w:t>
            </w:r>
          </w:p>
        </w:tc>
      </w:tr>
    </w:tbl>
    <w:p w:rsidR="002B489A" w:rsidRDefault="002B489A">
      <w:pPr>
        <w:pStyle w:val="Tablefin"/>
        <w:spacing w:before="0"/>
        <w:rPr>
          <w:lang w:val="fr-FR"/>
        </w:rPr>
      </w:pPr>
    </w:p>
    <w:p w:rsidR="002B489A" w:rsidRDefault="004F19C4">
      <w:pPr>
        <w:pStyle w:val="TableNo"/>
      </w:pPr>
      <w:r>
        <w:t>TABLEAU  76</w:t>
      </w:r>
    </w:p>
    <w:p w:rsidR="002B489A" w:rsidRDefault="004F19C4">
      <w:pPr>
        <w:pStyle w:val="Tabletitle"/>
      </w:pPr>
      <w:r>
        <w:t xml:space="preserve">Caractéristiques des systèmes P-MP </w:t>
      </w:r>
      <w:r>
        <w:br/>
        <w:t>(Recommandation UIT-R F.758)</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421"/>
        <w:gridCol w:w="2109"/>
        <w:gridCol w:w="2109"/>
      </w:tblGrid>
      <w:tr w:rsidR="002B489A">
        <w:trPr>
          <w:cantSplit/>
        </w:trPr>
        <w:tc>
          <w:tcPr>
            <w:tcW w:w="5421" w:type="dxa"/>
          </w:tcPr>
          <w:p w:rsidR="002B489A" w:rsidRDefault="004F19C4">
            <w:pPr>
              <w:pStyle w:val="Tabletext"/>
              <w:framePr w:hSpace="181" w:wrap="notBeside" w:vAnchor="text" w:hAnchor="text" w:xAlign="center" w:y="1"/>
            </w:pPr>
            <w:r>
              <w:t>Espacement entre canaux (MHz)</w:t>
            </w:r>
          </w:p>
        </w:tc>
        <w:tc>
          <w:tcPr>
            <w:tcW w:w="2109" w:type="dxa"/>
          </w:tcPr>
          <w:p w:rsidR="002B489A" w:rsidRDefault="004F19C4">
            <w:pPr>
              <w:pStyle w:val="Tabletext"/>
              <w:framePr w:hSpace="181" w:wrap="notBeside" w:vAnchor="text" w:hAnchor="text" w:xAlign="center" w:y="1"/>
              <w:jc w:val="center"/>
            </w:pPr>
            <w:r>
              <w:t>50</w:t>
            </w:r>
          </w:p>
        </w:tc>
        <w:tc>
          <w:tcPr>
            <w:tcW w:w="2109" w:type="dxa"/>
          </w:tcPr>
          <w:p w:rsidR="002B489A" w:rsidRDefault="004F19C4">
            <w:pPr>
              <w:pStyle w:val="Tabletext"/>
              <w:framePr w:hSpace="181" w:wrap="notBeside" w:vAnchor="text" w:hAnchor="text" w:xAlign="center" w:y="1"/>
              <w:jc w:val="center"/>
            </w:pPr>
            <w:r>
              <w:t>2,5</w:t>
            </w:r>
          </w:p>
        </w:tc>
      </w:tr>
      <w:tr w:rsidR="002B489A">
        <w:trPr>
          <w:cantSplit/>
        </w:trPr>
        <w:tc>
          <w:tcPr>
            <w:tcW w:w="5421" w:type="dxa"/>
          </w:tcPr>
          <w:p w:rsidR="002B489A" w:rsidRDefault="004F19C4">
            <w:pPr>
              <w:pStyle w:val="Tabletext"/>
              <w:framePr w:hSpace="181" w:wrap="notBeside" w:vAnchor="text" w:hAnchor="text" w:xAlign="center" w:y="1"/>
            </w:pPr>
            <w:r>
              <w:t>Direction d'émission</w:t>
            </w:r>
          </w:p>
        </w:tc>
        <w:tc>
          <w:tcPr>
            <w:tcW w:w="2109" w:type="dxa"/>
          </w:tcPr>
          <w:p w:rsidR="002B489A" w:rsidRDefault="004F19C4">
            <w:pPr>
              <w:pStyle w:val="Tabletext"/>
              <w:framePr w:hSpace="181" w:wrap="notBeside" w:vAnchor="text" w:hAnchor="text" w:xAlign="center" w:y="1"/>
              <w:jc w:val="center"/>
            </w:pPr>
            <w:r>
              <w:t>Concentrateur à RT</w:t>
            </w:r>
          </w:p>
        </w:tc>
        <w:tc>
          <w:tcPr>
            <w:tcW w:w="2109" w:type="dxa"/>
          </w:tcPr>
          <w:p w:rsidR="002B489A" w:rsidRDefault="004F19C4">
            <w:pPr>
              <w:pStyle w:val="Tabletext"/>
              <w:framePr w:hSpace="181" w:wrap="notBeside" w:vAnchor="text" w:hAnchor="text" w:xAlign="center" w:y="1"/>
              <w:jc w:val="center"/>
            </w:pPr>
            <w:r>
              <w:t>RT à concentrateur</w:t>
            </w:r>
          </w:p>
        </w:tc>
      </w:tr>
      <w:tr w:rsidR="002B489A">
        <w:trPr>
          <w:cantSplit/>
        </w:trPr>
        <w:tc>
          <w:tcPr>
            <w:tcW w:w="5421" w:type="dxa"/>
          </w:tcPr>
          <w:p w:rsidR="002B489A" w:rsidRDefault="004F19C4">
            <w:pPr>
              <w:pStyle w:val="Tabletext"/>
              <w:framePr w:hSpace="181" w:wrap="notBeside" w:vAnchor="text" w:hAnchor="text" w:xAlign="center" w:y="1"/>
            </w:pPr>
            <w:r>
              <w:t>Gain d'antenne (maximum) (dBi)</w:t>
            </w:r>
          </w:p>
        </w:tc>
        <w:tc>
          <w:tcPr>
            <w:tcW w:w="2109" w:type="dxa"/>
          </w:tcPr>
          <w:p w:rsidR="002B489A" w:rsidRDefault="004F19C4">
            <w:pPr>
              <w:pStyle w:val="Tabletext"/>
              <w:framePr w:hSpace="181" w:wrap="notBeside" w:vAnchor="text" w:hAnchor="text" w:xAlign="center" w:y="1"/>
              <w:jc w:val="center"/>
            </w:pPr>
            <w:r>
              <w:t>15</w:t>
            </w:r>
          </w:p>
        </w:tc>
        <w:tc>
          <w:tcPr>
            <w:tcW w:w="2109" w:type="dxa"/>
          </w:tcPr>
          <w:p w:rsidR="002B489A" w:rsidRDefault="004F19C4">
            <w:pPr>
              <w:pStyle w:val="Tabletext"/>
              <w:framePr w:hSpace="181" w:wrap="notBeside" w:vAnchor="text" w:hAnchor="text" w:xAlign="center" w:y="1"/>
              <w:jc w:val="center"/>
            </w:pPr>
            <w:r>
              <w:t>36</w:t>
            </w:r>
          </w:p>
        </w:tc>
      </w:tr>
      <w:tr w:rsidR="002B489A">
        <w:trPr>
          <w:cantSplit/>
        </w:trPr>
        <w:tc>
          <w:tcPr>
            <w:tcW w:w="5421" w:type="dxa"/>
          </w:tcPr>
          <w:p w:rsidR="002B489A" w:rsidRDefault="004F19C4">
            <w:pPr>
              <w:pStyle w:val="Tabletext"/>
              <w:framePr w:hSpace="181" w:wrap="notBeside" w:vAnchor="text" w:hAnchor="text" w:xAlign="center" w:y="1"/>
            </w:pPr>
            <w:r>
              <w:t>Affaiblissement alim./multiplexeur (minimum) (dB)</w:t>
            </w:r>
          </w:p>
        </w:tc>
        <w:tc>
          <w:tcPr>
            <w:tcW w:w="2109" w:type="dxa"/>
          </w:tcPr>
          <w:p w:rsidR="002B489A" w:rsidRDefault="004F19C4">
            <w:pPr>
              <w:pStyle w:val="Tabletext"/>
              <w:framePr w:hSpace="181" w:wrap="notBeside" w:vAnchor="text" w:hAnchor="text" w:xAlign="center" w:y="1"/>
              <w:jc w:val="center"/>
            </w:pPr>
            <w:r>
              <w:t>0</w:t>
            </w:r>
          </w:p>
        </w:tc>
        <w:tc>
          <w:tcPr>
            <w:tcW w:w="2109" w:type="dxa"/>
          </w:tcPr>
          <w:p w:rsidR="002B489A" w:rsidRDefault="004F19C4">
            <w:pPr>
              <w:pStyle w:val="Tabletext"/>
              <w:framePr w:hSpace="181" w:wrap="notBeside" w:vAnchor="text" w:hAnchor="text" w:xAlign="center" w:y="1"/>
              <w:jc w:val="center"/>
            </w:pPr>
            <w:r>
              <w:t>0</w:t>
            </w:r>
          </w:p>
        </w:tc>
      </w:tr>
      <w:tr w:rsidR="002B489A">
        <w:trPr>
          <w:cantSplit/>
        </w:trPr>
        <w:tc>
          <w:tcPr>
            <w:tcW w:w="5421" w:type="dxa"/>
          </w:tcPr>
          <w:p w:rsidR="002B489A" w:rsidRDefault="004F19C4">
            <w:pPr>
              <w:pStyle w:val="Tabletext"/>
              <w:framePr w:hSpace="181" w:wrap="notBeside" w:vAnchor="text" w:hAnchor="text" w:xAlign="center" w:y="1"/>
            </w:pPr>
            <w:r>
              <w:t>Type d'antenne</w:t>
            </w:r>
          </w:p>
        </w:tc>
        <w:tc>
          <w:tcPr>
            <w:tcW w:w="2109" w:type="dxa"/>
          </w:tcPr>
          <w:p w:rsidR="002B489A" w:rsidRDefault="004F19C4">
            <w:pPr>
              <w:pStyle w:val="Tabletext"/>
              <w:framePr w:hSpace="181" w:wrap="notBeside" w:vAnchor="text" w:hAnchor="text" w:xAlign="center" w:y="1"/>
              <w:jc w:val="center"/>
            </w:pPr>
            <w:r>
              <w:t>Cornet 15° </w:t>
            </w:r>
            <w:r>
              <w:rPr>
                <w:rFonts w:ascii="Symbol" w:hAnsi="Symbol"/>
              </w:rPr>
              <w:t></w:t>
            </w:r>
            <w:r>
              <w:t> 90°</w:t>
            </w:r>
          </w:p>
        </w:tc>
        <w:tc>
          <w:tcPr>
            <w:tcW w:w="2109" w:type="dxa"/>
          </w:tcPr>
          <w:p w:rsidR="002B489A" w:rsidRDefault="004F19C4">
            <w:pPr>
              <w:pStyle w:val="Tabletext"/>
              <w:framePr w:hSpace="181" w:wrap="notBeside" w:vAnchor="text" w:hAnchor="text" w:xAlign="center" w:y="1"/>
              <w:jc w:val="center"/>
            </w:pPr>
            <w:r>
              <w:t>Parabolique 2° </w:t>
            </w:r>
            <w:r>
              <w:rPr>
                <w:rFonts w:ascii="Symbol" w:hAnsi="Symbol"/>
              </w:rPr>
              <w:t></w:t>
            </w:r>
            <w:r>
              <w:t> 2°</w:t>
            </w:r>
          </w:p>
        </w:tc>
      </w:tr>
      <w:tr w:rsidR="002B489A">
        <w:trPr>
          <w:cantSplit/>
        </w:trPr>
        <w:tc>
          <w:tcPr>
            <w:tcW w:w="5421" w:type="dxa"/>
          </w:tcPr>
          <w:p w:rsidR="002B489A" w:rsidRDefault="004F19C4">
            <w:pPr>
              <w:pStyle w:val="Tabletext"/>
              <w:framePr w:hSpace="181" w:wrap="notBeside" w:vAnchor="text" w:hAnchor="text" w:xAlign="center" w:y="1"/>
            </w:pPr>
            <w:r>
              <w:t>Puissance de sortie d'émission maximum (dBW)</w:t>
            </w:r>
          </w:p>
        </w:tc>
        <w:tc>
          <w:tcPr>
            <w:tcW w:w="2109" w:type="dxa"/>
          </w:tcPr>
          <w:p w:rsidR="002B489A" w:rsidRDefault="004F19C4">
            <w:pPr>
              <w:pStyle w:val="Tabletext"/>
              <w:framePr w:hSpace="181" w:wrap="notBeside" w:vAnchor="text" w:hAnchor="text" w:xAlign="center" w:y="1"/>
              <w:jc w:val="center"/>
            </w:pPr>
            <w:r>
              <w:t>10</w:t>
            </w:r>
          </w:p>
        </w:tc>
        <w:tc>
          <w:tcPr>
            <w:tcW w:w="2109" w:type="dxa"/>
          </w:tcPr>
          <w:p w:rsidR="002B489A" w:rsidRDefault="004F19C4">
            <w:pPr>
              <w:pStyle w:val="Tabletext"/>
              <w:framePr w:hSpace="181" w:wrap="notBeside" w:vAnchor="text" w:hAnchor="text" w:xAlign="center" w:y="1"/>
              <w:jc w:val="center"/>
            </w:pPr>
            <w:r>
              <w:t>4</w:t>
            </w:r>
          </w:p>
        </w:tc>
      </w:tr>
      <w:tr w:rsidR="002B489A">
        <w:trPr>
          <w:cantSplit/>
        </w:trPr>
        <w:tc>
          <w:tcPr>
            <w:tcW w:w="5421" w:type="dxa"/>
            <w:tcBorders>
              <w:bottom w:val="single" w:sz="4" w:space="0" w:color="auto"/>
            </w:tcBorders>
          </w:tcPr>
          <w:p w:rsidR="002B489A" w:rsidRDefault="004F19C4">
            <w:pPr>
              <w:pStyle w:val="Tabletext"/>
              <w:framePr w:hSpace="181" w:wrap="notBeside" w:vAnchor="text" w:hAnchor="text" w:xAlign="center" w:y="1"/>
            </w:pPr>
            <w:r>
              <w:t>p.i.r.e. (maximum) (dBW)</w:t>
            </w:r>
          </w:p>
        </w:tc>
        <w:tc>
          <w:tcPr>
            <w:tcW w:w="2109" w:type="dxa"/>
            <w:tcBorders>
              <w:bottom w:val="single" w:sz="4" w:space="0" w:color="auto"/>
            </w:tcBorders>
          </w:tcPr>
          <w:p w:rsidR="002B489A" w:rsidRDefault="004F19C4">
            <w:pPr>
              <w:pStyle w:val="Tabletext"/>
              <w:framePr w:hSpace="181" w:wrap="notBeside" w:vAnchor="text" w:hAnchor="text" w:xAlign="center" w:y="1"/>
              <w:jc w:val="center"/>
            </w:pPr>
            <w:r>
              <w:t>25</w:t>
            </w:r>
          </w:p>
        </w:tc>
        <w:tc>
          <w:tcPr>
            <w:tcW w:w="2109" w:type="dxa"/>
            <w:tcBorders>
              <w:bottom w:val="single" w:sz="4" w:space="0" w:color="auto"/>
            </w:tcBorders>
          </w:tcPr>
          <w:p w:rsidR="002B489A" w:rsidRDefault="004F19C4">
            <w:pPr>
              <w:pStyle w:val="Tabletext"/>
              <w:framePr w:hSpace="181" w:wrap="notBeside" w:vAnchor="text" w:hAnchor="text" w:xAlign="center" w:y="1"/>
              <w:jc w:val="center"/>
            </w:pPr>
            <w:r>
              <w:t>40</w:t>
            </w:r>
          </w:p>
        </w:tc>
      </w:tr>
      <w:tr w:rsidR="002B489A">
        <w:trPr>
          <w:cantSplit/>
        </w:trPr>
        <w:tc>
          <w:tcPr>
            <w:tcW w:w="9639" w:type="dxa"/>
            <w:gridSpan w:val="3"/>
            <w:tcBorders>
              <w:left w:val="nil"/>
              <w:bottom w:val="nil"/>
              <w:right w:val="nil"/>
            </w:tcBorders>
          </w:tcPr>
          <w:p w:rsidR="002B489A" w:rsidRDefault="004F19C4">
            <w:pPr>
              <w:pStyle w:val="Tablelegend"/>
              <w:framePr w:hSpace="181" w:wrap="notBeside" w:vAnchor="text" w:hAnchor="text" w:xAlign="center" w:y="1"/>
            </w:pPr>
            <w:r>
              <w:t>RT:  terminal distant (</w:t>
            </w:r>
            <w:r>
              <w:rPr>
                <w:i/>
                <w:iCs/>
              </w:rPr>
              <w:t>remote terminal</w:t>
            </w:r>
            <w:r>
              <w:t>)</w:t>
            </w:r>
          </w:p>
        </w:tc>
      </w:tr>
    </w:tbl>
    <w:p w:rsidR="002B489A" w:rsidRDefault="002B489A">
      <w:pPr>
        <w:pStyle w:val="Tablefin"/>
        <w:spacing w:before="0"/>
        <w:rPr>
          <w:lang w:val="fr-FR"/>
        </w:rPr>
      </w:pPr>
    </w:p>
    <w:p w:rsidR="002B489A" w:rsidRDefault="004F19C4">
      <w:pPr>
        <w:pStyle w:val="Heading2"/>
        <w:spacing w:before="360"/>
      </w:pPr>
      <w:r>
        <w:t>2.5</w:t>
      </w:r>
      <w:r>
        <w:tab/>
        <w:t>Caractéristiques de fonctionnement</w:t>
      </w:r>
    </w:p>
    <w:p w:rsidR="002B489A" w:rsidRDefault="004F19C4">
      <w:pPr>
        <w:pStyle w:val="Heading3"/>
      </w:pPr>
      <w:r>
        <w:t>2.5.1</w:t>
      </w:r>
      <w:r>
        <w:tab/>
        <w:t xml:space="preserve">Caractéristiques de fonctionnement point à point </w:t>
      </w:r>
    </w:p>
    <w:p w:rsidR="002B489A" w:rsidRDefault="004F19C4">
      <w:r>
        <w:t>On propose d'utiliser dans un premier temps une densité de terminaux de 1 terminal par km</w:t>
      </w:r>
      <w:r>
        <w:rPr>
          <w:vertAlign w:val="superscript"/>
        </w:rPr>
        <w:t>2</w:t>
      </w:r>
      <w:r>
        <w:rPr>
          <w:rStyle w:val="FootnoteReference"/>
          <w:position w:val="0"/>
          <w:sz w:val="24"/>
          <w:vertAlign w:val="superscript"/>
        </w:rPr>
        <w:footnoteReference w:customMarkFollows="1" w:id="5"/>
        <w:t>*</w:t>
      </w:r>
      <w:r>
        <w:t>.</w:t>
      </w:r>
    </w:p>
    <w:p w:rsidR="002B489A" w:rsidRDefault="004F19C4">
      <w:pPr>
        <w:pStyle w:val="Heading3"/>
      </w:pPr>
      <w:r>
        <w:t>2.5.2</w:t>
      </w:r>
      <w:r>
        <w:tab/>
        <w:t>Caractéristiques de fonctionnement P</w:t>
      </w:r>
      <w:r>
        <w:noBreakHyphen/>
        <w:t>MP</w:t>
      </w:r>
    </w:p>
    <w:p w:rsidR="002B489A" w:rsidRDefault="004F19C4">
      <w:r>
        <w:t>On propose d'utiliser dans un premier temps une densité de terminaux de 0,3 terminal par km</w:t>
      </w:r>
      <w:r>
        <w:rPr>
          <w:vertAlign w:val="superscript"/>
        </w:rPr>
        <w:t>2</w:t>
      </w:r>
      <w:r>
        <w:rPr>
          <w:rStyle w:val="FootnoteReference"/>
          <w:position w:val="0"/>
          <w:sz w:val="24"/>
          <w:vertAlign w:val="superscript"/>
        </w:rPr>
        <w:t>*</w:t>
      </w:r>
      <w:r>
        <w:t>.</w:t>
      </w:r>
    </w:p>
    <w:p w:rsidR="002B489A" w:rsidRDefault="004F19C4">
      <w:pPr>
        <w:pStyle w:val="enumlev1"/>
      </w:pPr>
      <w:r>
        <w:rPr>
          <w:b/>
        </w:rPr>
        <w:t>–</w:t>
      </w:r>
      <w:r>
        <w:rPr>
          <w:b/>
        </w:rPr>
        <w:tab/>
      </w:r>
      <w:r>
        <w:rPr>
          <w:bCs/>
          <w:i/>
          <w:iCs/>
        </w:rPr>
        <w:t>Réutilisation des fréquences</w:t>
      </w:r>
      <w:r>
        <w:t>: une réutilisation des fréquences de 2 est habituellement utilisée et est considérée comme un scénario typique. Un facteur de réutilisation des fréquences de 1 est à considérer comme une situation de cas le plus défavorable, ce qui arrive rarement.</w:t>
      </w:r>
    </w:p>
    <w:p w:rsidR="002B489A" w:rsidRDefault="002B489A"/>
    <w:p w:rsidR="002B489A" w:rsidRDefault="004F19C4">
      <w:pPr>
        <w:pStyle w:val="enumlev1"/>
      </w:pPr>
      <w:r>
        <w:rPr>
          <w:b/>
        </w:rPr>
        <w:br w:type="page"/>
        <w:t>–</w:t>
      </w:r>
      <w:r>
        <w:rPr>
          <w:b/>
        </w:rPr>
        <w:tab/>
      </w:r>
      <w:r>
        <w:rPr>
          <w:bCs/>
          <w:i/>
          <w:iCs/>
        </w:rPr>
        <w:t>Antenne sectorielle</w:t>
      </w:r>
      <w:r>
        <w:rPr>
          <w:bCs/>
        </w:rPr>
        <w:t>:</w:t>
      </w:r>
      <w:r>
        <w:t> la largeur type d'antenne sectorielle est 90°. Dans certains cas, des antennes sectorielles de 45° sont prévues lorsque de grandes quantités de capacités de trafic doivent être transportées à partir du site d'une station.</w:t>
      </w:r>
    </w:p>
    <w:p w:rsidR="002B489A" w:rsidRDefault="004F19C4">
      <w:r>
        <w:t>Sur la base de ces considérations, un concentrateur de cellule de diffusion P</w:t>
      </w:r>
      <w:r>
        <w:noBreakHyphen/>
        <w:t>MP peut typiquement desservir deux abonnés sur le même canal au sein d'une cellule donnée.</w:t>
      </w:r>
    </w:p>
    <w:p w:rsidR="002B489A" w:rsidRDefault="004F19C4">
      <w:pPr>
        <w:pStyle w:val="Heading2"/>
      </w:pPr>
      <w:r>
        <w:t>2.6</w:t>
      </w:r>
      <w:r>
        <w:tab/>
        <w:t>Puissance émise dans la bande</w:t>
      </w:r>
    </w:p>
    <w:p w:rsidR="002B489A" w:rsidRDefault="004F19C4">
      <w:r>
        <w:t>Voir le Tableau 75 et le Tableau 76.</w:t>
      </w:r>
    </w:p>
    <w:p w:rsidR="002B489A" w:rsidRDefault="004F19C4">
      <w:pPr>
        <w:pStyle w:val="Heading1"/>
      </w:pPr>
      <w:r>
        <w:t>3</w:t>
      </w:r>
      <w:r>
        <w:tab/>
        <w:t>Seuil de compatibilité (le cas échéant)</w:t>
      </w:r>
    </w:p>
    <w:p w:rsidR="002B489A" w:rsidRDefault="004F19C4">
      <w:r>
        <w:t xml:space="preserve">Le critère de protection du détecteur passif est de </w:t>
      </w:r>
      <w:r>
        <w:sym w:font="Symbol" w:char="F02D"/>
      </w:r>
      <w:r>
        <w:t>163 dBW dans une largeur de bande de 100 MHz (à ne pas dépasser de plus de 0,01% du temps comme stipulé par la Recommandation UIT-R SA.1029).</w:t>
      </w:r>
    </w:p>
    <w:p w:rsidR="002B489A" w:rsidRDefault="004F19C4">
      <w:r>
        <w:t>Le brouillage peut être reçu simultanément de plusieurs sources provenant de plusieurs services. Les valeurs dont la liste figure dans la Recommandation UIT-R SA.1029 (pour une bande spécifique) sont le niveau de brouillage maximum admissible pour le détecteur passif.</w:t>
      </w:r>
    </w:p>
    <w:p w:rsidR="002B489A" w:rsidRDefault="004F19C4">
      <w:r>
        <w:t>La présente Annexe fait l'analyse du brouillage généré par un seul service actif.</w:t>
      </w:r>
    </w:p>
    <w:p w:rsidR="002B489A" w:rsidRDefault="004F19C4">
      <w:r>
        <w:t>Des travaux complémentaires sont nécessaires pour traiter de l'impact de ces services actifs multiples fonctionnant au-dessus et au-dessous de la bande passive.</w:t>
      </w:r>
    </w:p>
    <w:p w:rsidR="002B489A" w:rsidRDefault="004F19C4">
      <w:pPr>
        <w:pStyle w:val="Heading1"/>
      </w:pPr>
      <w:r>
        <w:t>4</w:t>
      </w:r>
      <w:r>
        <w:tab/>
        <w:t>Evaluation du brouillage</w:t>
      </w:r>
    </w:p>
    <w:p w:rsidR="002B489A" w:rsidRDefault="004F19C4">
      <w:pPr>
        <w:pStyle w:val="Heading2"/>
      </w:pPr>
      <w:r>
        <w:t>4.1</w:t>
      </w:r>
      <w:r>
        <w:tab/>
        <w:t>Méthode d'évaluation du niveau de brouillage</w:t>
      </w:r>
    </w:p>
    <w:p w:rsidR="002B489A" w:rsidRDefault="004F19C4">
      <w:r>
        <w:t>La première étape de cette approche est de calculer la puissance acceptable résultant du déploiement de systèmes de services fixe qui peuvent tomber dans un pixel du SETS.</w:t>
      </w:r>
    </w:p>
    <w:p w:rsidR="002B489A" w:rsidRDefault="004F19C4">
      <w:pPr>
        <w:jc w:val="center"/>
      </w:pPr>
      <w:r>
        <w:t>La puissance agrégée à la Terre dans 100 MHz </w:t>
      </w:r>
      <w:r>
        <w:rPr>
          <w:rFonts w:ascii="Symbol" w:hAnsi="Symbol"/>
        </w:rPr>
        <w:t></w:t>
      </w:r>
      <w:r>
        <w:t> critères de protection SETS (dB(W/100 MHz)) – gain SETS </w:t>
      </w:r>
      <w:r>
        <w:rPr>
          <w:rFonts w:ascii="Symbol" w:hAnsi="Symbol"/>
        </w:rPr>
        <w:t></w:t>
      </w:r>
      <w:r>
        <w:t> affaiblissement en espace libre.</w:t>
      </w:r>
    </w:p>
    <w:p w:rsidR="002B489A" w:rsidRDefault="004F19C4">
      <w:r>
        <w:t>Il est alors possible de calculer le niveau des rayonnements non désirés par système du service fixe tombant dans la largeur de bande de référence SETS de 100 MHz:</w:t>
      </w:r>
    </w:p>
    <w:p w:rsidR="002B489A" w:rsidRDefault="004F19C4">
      <w:pPr>
        <w:pStyle w:val="Equation"/>
        <w:jc w:val="center"/>
      </w:pPr>
      <w:r>
        <w:t>Puissance par émetteur (dB(W/100 MHz)) </w:t>
      </w:r>
      <w:r>
        <w:rPr>
          <w:rFonts w:ascii="Symbol" w:hAnsi="Symbol"/>
        </w:rPr>
        <w:t></w:t>
      </w:r>
      <w:r>
        <w:t> puissance agrégée à la Terre dans 100 MHz –nombre d'émetteurs (en pixels SETS) – gain service fixe dans la direction SETS</w:t>
      </w:r>
    </w:p>
    <w:p w:rsidR="002B489A" w:rsidRDefault="004F19C4">
      <w:pPr>
        <w:pStyle w:val="Heading2"/>
      </w:pPr>
      <w:r>
        <w:t>4.2</w:t>
      </w:r>
      <w:r>
        <w:tab/>
        <w:t>Calcul</w:t>
      </w:r>
    </w:p>
    <w:p w:rsidR="002B489A" w:rsidRDefault="004F19C4">
      <w:r>
        <w:t>Pour les systèmes point à point, la Recommandation UIT-R F.1245 a été utilisée pour calculer le gain d'antenne dans la direction du zénith. La densité de terminaux fonctionnant à la même fréquence est supposée être d'un par km</w:t>
      </w:r>
      <w:r>
        <w:rPr>
          <w:vertAlign w:val="superscript"/>
        </w:rPr>
        <w:t>2</w:t>
      </w:r>
      <w:r>
        <w:t>.</w:t>
      </w:r>
    </w:p>
    <w:p w:rsidR="002B489A" w:rsidRDefault="004F19C4">
      <w:r>
        <w:t>Pour les stations terminales P</w:t>
      </w:r>
      <w:r>
        <w:noBreakHyphen/>
        <w:t>MP, la Recommandation UIT-R F.1245 a été utilisée pour calculer le gain d'antenne dans la direction du zénith. Pour les stations centrales P</w:t>
      </w:r>
      <w:r>
        <w:noBreakHyphen/>
        <w:t>MP, la Recommandation UIT</w:t>
      </w:r>
      <w:r>
        <w:noBreakHyphen/>
        <w:t>R F.1336 a été utilisée pour calculer le gain d'antenne dans la direction du zénith. La densité de sites de stations centrales fonctionnant à la même fréquence est supposée être de 0,3 terminal par km</w:t>
      </w:r>
      <w:r>
        <w:rPr>
          <w:vertAlign w:val="superscript"/>
        </w:rPr>
        <w:t>2</w:t>
      </w:r>
      <w:r>
        <w:t>. Sur le même site, deux stations centrales peuvent utiliser la même fréquence en supposant une antenne sectorielle de 90°. Donc au sein de la même cellule, deux stations terminales peuvent utiliser la même fréquence.</w:t>
      </w:r>
    </w:p>
    <w:p w:rsidR="002B489A" w:rsidRDefault="004F19C4">
      <w:pPr>
        <w:pStyle w:val="TableNo"/>
        <w:spacing w:before="240"/>
      </w:pPr>
      <w:r>
        <w:br w:type="page"/>
        <w:t>TABLEAU  77</w:t>
      </w:r>
    </w:p>
    <w:p w:rsidR="002B489A" w:rsidRDefault="004F19C4">
      <w:pPr>
        <w:pStyle w:val="Tabletitle"/>
      </w:pPr>
      <w:r>
        <w:t xml:space="preserve">Niveau des rayonnements non désirés acceptables par système </w:t>
      </w:r>
      <w:r>
        <w:br/>
        <w:t>point à point du service fixe tombant dans la bande SETS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1418"/>
        <w:gridCol w:w="1418"/>
      </w:tblGrid>
      <w:tr w:rsidR="002B489A">
        <w:tc>
          <w:tcPr>
            <w:tcW w:w="4536" w:type="dxa"/>
            <w:vAlign w:val="center"/>
          </w:tcPr>
          <w:p w:rsidR="002B489A" w:rsidRDefault="004F19C4">
            <w:pPr>
              <w:pStyle w:val="Tabletext"/>
              <w:framePr w:hSpace="181" w:wrap="notBeside" w:vAnchor="text" w:hAnchor="text" w:xAlign="center" w:y="1"/>
              <w:spacing w:before="30" w:after="30"/>
              <w:ind w:left="57"/>
              <w:rPr>
                <w:rFonts w:eastAsia="Arial Unicode MS"/>
              </w:rPr>
            </w:pPr>
            <w:r>
              <w:t>Fréquence (GHz)</w:t>
            </w:r>
          </w:p>
        </w:tc>
        <w:tc>
          <w:tcPr>
            <w:tcW w:w="2836" w:type="dxa"/>
            <w:gridSpan w:val="2"/>
            <w:vAlign w:val="center"/>
          </w:tcPr>
          <w:p w:rsidR="002B489A" w:rsidRDefault="004F19C4">
            <w:pPr>
              <w:pStyle w:val="Tabletext"/>
              <w:framePr w:hSpace="181" w:wrap="notBeside" w:vAnchor="text" w:hAnchor="text" w:xAlign="center" w:y="1"/>
              <w:spacing w:before="30" w:after="30"/>
              <w:jc w:val="center"/>
              <w:rPr>
                <w:rFonts w:eastAsia="Arial Unicode MS"/>
              </w:rPr>
            </w:pPr>
            <w:r>
              <w:t>31,3</w:t>
            </w:r>
          </w:p>
        </w:tc>
      </w:tr>
      <w:tr w:rsidR="002B489A">
        <w:tc>
          <w:tcPr>
            <w:tcW w:w="4536" w:type="dxa"/>
            <w:vAlign w:val="center"/>
          </w:tcPr>
          <w:p w:rsidR="002B489A" w:rsidRDefault="004F19C4">
            <w:pPr>
              <w:pStyle w:val="Tabletext"/>
              <w:framePr w:hSpace="181" w:wrap="notBeside" w:vAnchor="text" w:hAnchor="text" w:xAlign="center" w:y="1"/>
              <w:spacing w:before="30" w:after="30"/>
              <w:ind w:left="57"/>
              <w:rPr>
                <w:rFonts w:eastAsia="Arial Unicode MS"/>
              </w:rPr>
            </w:pPr>
            <w:r>
              <w:t>Critères de brouillage (dB(W/100 MHz))</w:t>
            </w:r>
          </w:p>
        </w:tc>
        <w:tc>
          <w:tcPr>
            <w:tcW w:w="2836" w:type="dxa"/>
            <w:gridSpan w:val="2"/>
            <w:vAlign w:val="center"/>
          </w:tcPr>
          <w:p w:rsidR="002B489A" w:rsidRDefault="004F19C4">
            <w:pPr>
              <w:pStyle w:val="Tabletext"/>
              <w:framePr w:hSpace="181" w:wrap="notBeside" w:vAnchor="text" w:hAnchor="text" w:xAlign="center" w:y="1"/>
              <w:spacing w:before="30" w:after="30"/>
              <w:jc w:val="center"/>
              <w:rPr>
                <w:rFonts w:eastAsia="Arial Unicode MS"/>
              </w:rPr>
            </w:pPr>
            <w:r>
              <w:t>–163</w:t>
            </w:r>
          </w:p>
        </w:tc>
      </w:tr>
      <w:tr w:rsidR="002B489A">
        <w:tc>
          <w:tcPr>
            <w:tcW w:w="4536" w:type="dxa"/>
            <w:vAlign w:val="center"/>
          </w:tcPr>
          <w:p w:rsidR="002B489A" w:rsidRDefault="004F19C4">
            <w:pPr>
              <w:pStyle w:val="Tabletext"/>
              <w:framePr w:hSpace="181" w:wrap="notBeside" w:vAnchor="text" w:hAnchor="text" w:xAlign="center" w:y="1"/>
              <w:spacing w:before="30" w:after="30"/>
              <w:ind w:left="57"/>
              <w:rPr>
                <w:rFonts w:eastAsia="Arial Unicode MS"/>
              </w:rPr>
            </w:pPr>
            <w:r>
              <w:t>Altitude (km)</w:t>
            </w:r>
          </w:p>
        </w:tc>
        <w:tc>
          <w:tcPr>
            <w:tcW w:w="2836" w:type="dxa"/>
            <w:gridSpan w:val="2"/>
            <w:vAlign w:val="center"/>
          </w:tcPr>
          <w:p w:rsidR="002B489A" w:rsidRDefault="004F19C4">
            <w:pPr>
              <w:pStyle w:val="Tabletext"/>
              <w:framePr w:hSpace="181" w:wrap="notBeside" w:vAnchor="text" w:hAnchor="text" w:xAlign="center" w:y="1"/>
              <w:spacing w:before="30" w:after="30"/>
              <w:jc w:val="center"/>
              <w:rPr>
                <w:rFonts w:eastAsia="Arial Unicode MS"/>
              </w:rPr>
            </w:pPr>
            <w:r>
              <w:t>850</w:t>
            </w:r>
          </w:p>
        </w:tc>
      </w:tr>
      <w:tr w:rsidR="002B489A">
        <w:tc>
          <w:tcPr>
            <w:tcW w:w="4536" w:type="dxa"/>
            <w:vAlign w:val="center"/>
          </w:tcPr>
          <w:p w:rsidR="002B489A" w:rsidRDefault="004F19C4">
            <w:pPr>
              <w:pStyle w:val="Tabletext"/>
              <w:framePr w:hSpace="181" w:wrap="notBeside" w:vAnchor="text" w:hAnchor="text" w:xAlign="center" w:y="1"/>
              <w:spacing w:before="30" w:after="30"/>
              <w:ind w:left="57"/>
              <w:rPr>
                <w:rFonts w:eastAsia="Arial Unicode MS"/>
              </w:rPr>
            </w:pPr>
            <w:r>
              <w:t>Largeur de bande de référence (MHz)</w:t>
            </w:r>
          </w:p>
        </w:tc>
        <w:tc>
          <w:tcPr>
            <w:tcW w:w="2836" w:type="dxa"/>
            <w:gridSpan w:val="2"/>
            <w:vAlign w:val="center"/>
          </w:tcPr>
          <w:p w:rsidR="002B489A" w:rsidRDefault="004F19C4">
            <w:pPr>
              <w:pStyle w:val="Tabletext"/>
              <w:framePr w:hSpace="181" w:wrap="notBeside" w:vAnchor="text" w:hAnchor="text" w:xAlign="center" w:y="1"/>
              <w:spacing w:before="30" w:after="30"/>
              <w:jc w:val="center"/>
              <w:rPr>
                <w:rFonts w:eastAsia="Arial Unicode MS"/>
              </w:rPr>
            </w:pPr>
            <w:r>
              <w:t>100</w:t>
            </w:r>
          </w:p>
        </w:tc>
      </w:tr>
      <w:tr w:rsidR="002B489A">
        <w:tc>
          <w:tcPr>
            <w:tcW w:w="4536" w:type="dxa"/>
            <w:vAlign w:val="center"/>
          </w:tcPr>
          <w:p w:rsidR="002B489A" w:rsidRDefault="004F19C4">
            <w:pPr>
              <w:pStyle w:val="Tabletext"/>
              <w:framePr w:hSpace="181" w:wrap="notBeside" w:vAnchor="text" w:hAnchor="text" w:xAlign="center" w:y="1"/>
              <w:spacing w:before="30" w:after="30"/>
              <w:ind w:left="57"/>
              <w:rPr>
                <w:rFonts w:eastAsia="Arial Unicode MS"/>
              </w:rPr>
            </w:pPr>
            <w:r>
              <w:t>Gain SETS</w:t>
            </w:r>
          </w:p>
        </w:tc>
        <w:tc>
          <w:tcPr>
            <w:tcW w:w="2836" w:type="dxa"/>
            <w:gridSpan w:val="2"/>
            <w:vAlign w:val="center"/>
          </w:tcPr>
          <w:p w:rsidR="002B489A" w:rsidRDefault="004F19C4">
            <w:pPr>
              <w:pStyle w:val="Tabletext"/>
              <w:framePr w:hSpace="181" w:wrap="notBeside" w:vAnchor="text" w:hAnchor="text" w:xAlign="center" w:y="1"/>
              <w:spacing w:before="30" w:after="30"/>
              <w:jc w:val="center"/>
              <w:rPr>
                <w:rFonts w:eastAsia="Arial Unicode MS"/>
              </w:rPr>
            </w:pPr>
            <w:r>
              <w:t>45</w:t>
            </w:r>
          </w:p>
        </w:tc>
      </w:tr>
      <w:tr w:rsidR="002B489A">
        <w:tc>
          <w:tcPr>
            <w:tcW w:w="4536" w:type="dxa"/>
            <w:vAlign w:val="center"/>
          </w:tcPr>
          <w:p w:rsidR="002B489A" w:rsidRDefault="004F19C4">
            <w:pPr>
              <w:pStyle w:val="Tabletext"/>
              <w:framePr w:hSpace="181" w:wrap="notBeside" w:vAnchor="text" w:hAnchor="text" w:xAlign="center" w:y="1"/>
              <w:spacing w:before="30" w:after="30"/>
              <w:ind w:left="57"/>
              <w:rPr>
                <w:rFonts w:eastAsia="Arial Unicode MS"/>
              </w:rPr>
            </w:pPr>
            <w:r>
              <w:t>Affaiblissement en espace libre</w:t>
            </w:r>
          </w:p>
        </w:tc>
        <w:tc>
          <w:tcPr>
            <w:tcW w:w="2836" w:type="dxa"/>
            <w:gridSpan w:val="2"/>
            <w:vAlign w:val="center"/>
          </w:tcPr>
          <w:p w:rsidR="002B489A" w:rsidRDefault="004F19C4">
            <w:pPr>
              <w:pStyle w:val="Tabletext"/>
              <w:framePr w:hSpace="181" w:wrap="notBeside" w:vAnchor="text" w:hAnchor="text" w:xAlign="center" w:y="1"/>
              <w:spacing w:before="30" w:after="30"/>
              <w:jc w:val="center"/>
              <w:rPr>
                <w:rFonts w:eastAsia="Arial Unicode MS"/>
              </w:rPr>
            </w:pPr>
            <w:r>
              <w:t>181</w:t>
            </w:r>
          </w:p>
        </w:tc>
      </w:tr>
      <w:tr w:rsidR="002B489A">
        <w:tc>
          <w:tcPr>
            <w:tcW w:w="4536" w:type="dxa"/>
            <w:vAlign w:val="center"/>
          </w:tcPr>
          <w:p w:rsidR="002B489A" w:rsidRDefault="004F19C4">
            <w:pPr>
              <w:pStyle w:val="Tabletext"/>
              <w:framePr w:hSpace="181" w:wrap="notBeside" w:vAnchor="text" w:hAnchor="text" w:xAlign="center" w:y="1"/>
              <w:spacing w:before="30" w:after="30"/>
              <w:ind w:left="57"/>
              <w:rPr>
                <w:rFonts w:eastAsia="Arial Unicode MS"/>
              </w:rPr>
            </w:pPr>
            <w:r>
              <w:t>Agrégé à la Terre (dB(W/100 MHz))</w:t>
            </w:r>
          </w:p>
        </w:tc>
        <w:tc>
          <w:tcPr>
            <w:tcW w:w="2836" w:type="dxa"/>
            <w:gridSpan w:val="2"/>
            <w:vAlign w:val="center"/>
          </w:tcPr>
          <w:p w:rsidR="002B489A" w:rsidRDefault="004F19C4">
            <w:pPr>
              <w:pStyle w:val="Tabletext"/>
              <w:framePr w:hSpace="181" w:wrap="notBeside" w:vAnchor="text" w:hAnchor="text" w:xAlign="center" w:y="1"/>
              <w:spacing w:before="30" w:after="30"/>
              <w:jc w:val="center"/>
              <w:rPr>
                <w:rFonts w:eastAsia="Arial Unicode MS"/>
              </w:rPr>
            </w:pPr>
            <w:r>
              <w:t>–27</w:t>
            </w:r>
          </w:p>
        </w:tc>
      </w:tr>
      <w:tr w:rsidR="002B489A">
        <w:tc>
          <w:tcPr>
            <w:tcW w:w="4536" w:type="dxa"/>
            <w:vAlign w:val="center"/>
          </w:tcPr>
          <w:p w:rsidR="002B489A" w:rsidRDefault="004F19C4">
            <w:pPr>
              <w:pStyle w:val="Tabletext"/>
              <w:framePr w:hSpace="181" w:wrap="notBeside" w:vAnchor="text" w:hAnchor="text" w:xAlign="center" w:y="1"/>
              <w:spacing w:before="30" w:after="30"/>
              <w:ind w:left="57"/>
              <w:rPr>
                <w:rFonts w:eastAsia="Arial Unicode MS"/>
              </w:rPr>
            </w:pPr>
            <w:r>
              <w:t>Agrégé à la Terre (dB(W/MHz))</w:t>
            </w:r>
          </w:p>
        </w:tc>
        <w:tc>
          <w:tcPr>
            <w:tcW w:w="2836" w:type="dxa"/>
            <w:gridSpan w:val="2"/>
            <w:vAlign w:val="center"/>
          </w:tcPr>
          <w:p w:rsidR="002B489A" w:rsidRDefault="004F19C4">
            <w:pPr>
              <w:pStyle w:val="Tabletext"/>
              <w:framePr w:hSpace="181" w:wrap="notBeside" w:vAnchor="text" w:hAnchor="text" w:xAlign="center" w:y="1"/>
              <w:spacing w:before="30" w:after="30"/>
              <w:jc w:val="center"/>
              <w:rPr>
                <w:rFonts w:eastAsia="Arial Unicode MS"/>
              </w:rPr>
            </w:pPr>
            <w:r>
              <w:t>–47,1</w:t>
            </w:r>
          </w:p>
        </w:tc>
      </w:tr>
      <w:tr w:rsidR="002B489A">
        <w:tc>
          <w:tcPr>
            <w:tcW w:w="4536" w:type="dxa"/>
            <w:vAlign w:val="center"/>
          </w:tcPr>
          <w:p w:rsidR="002B489A" w:rsidRDefault="004F19C4">
            <w:pPr>
              <w:pStyle w:val="Tabletext"/>
              <w:framePr w:hSpace="181" w:wrap="notBeside" w:vAnchor="text" w:hAnchor="text" w:xAlign="center" w:y="1"/>
              <w:spacing w:before="30" w:after="30"/>
              <w:ind w:left="57"/>
              <w:rPr>
                <w:rFonts w:eastAsia="Arial Unicode MS"/>
                <w:i/>
                <w:iCs/>
              </w:rPr>
            </w:pPr>
            <w:r>
              <w:rPr>
                <w:rFonts w:eastAsia="Arial Unicode MS"/>
                <w:i/>
                <w:iCs/>
              </w:rPr>
              <w:t>Type de station</w:t>
            </w:r>
          </w:p>
        </w:tc>
        <w:tc>
          <w:tcPr>
            <w:tcW w:w="1418" w:type="dxa"/>
            <w:vAlign w:val="center"/>
          </w:tcPr>
          <w:p w:rsidR="002B489A" w:rsidRDefault="004F19C4">
            <w:pPr>
              <w:pStyle w:val="Tabletext"/>
              <w:framePr w:hSpace="181" w:wrap="notBeside" w:vAnchor="text" w:hAnchor="text" w:xAlign="center" w:y="1"/>
              <w:spacing w:before="30" w:after="30"/>
              <w:jc w:val="center"/>
              <w:rPr>
                <w:rFonts w:eastAsia="Arial Unicode MS"/>
              </w:rPr>
            </w:pPr>
            <w:r>
              <w:rPr>
                <w:rFonts w:eastAsia="Arial Unicode MS"/>
              </w:rPr>
              <w:t>Centrale</w:t>
            </w:r>
          </w:p>
        </w:tc>
        <w:tc>
          <w:tcPr>
            <w:tcW w:w="1418" w:type="dxa"/>
            <w:vAlign w:val="center"/>
          </w:tcPr>
          <w:p w:rsidR="002B489A" w:rsidRDefault="004F19C4">
            <w:pPr>
              <w:pStyle w:val="Tabletext"/>
              <w:framePr w:hSpace="181" w:wrap="notBeside" w:vAnchor="text" w:hAnchor="text" w:xAlign="center" w:y="1"/>
              <w:spacing w:before="30" w:after="30"/>
              <w:jc w:val="center"/>
              <w:rPr>
                <w:rFonts w:eastAsia="Arial Unicode MS"/>
              </w:rPr>
            </w:pPr>
            <w:r>
              <w:rPr>
                <w:rFonts w:eastAsia="Arial Unicode MS"/>
              </w:rPr>
              <w:t>Terminale</w:t>
            </w:r>
          </w:p>
        </w:tc>
      </w:tr>
      <w:tr w:rsidR="002B489A">
        <w:tc>
          <w:tcPr>
            <w:tcW w:w="4536" w:type="dxa"/>
            <w:vAlign w:val="center"/>
          </w:tcPr>
          <w:p w:rsidR="002B489A" w:rsidRDefault="004F19C4">
            <w:pPr>
              <w:pStyle w:val="Tabletext"/>
              <w:framePr w:hSpace="181" w:wrap="notBeside" w:vAnchor="text" w:hAnchor="text" w:xAlign="center" w:y="1"/>
              <w:spacing w:before="30" w:after="30"/>
              <w:ind w:left="284" w:right="284"/>
              <w:rPr>
                <w:rFonts w:eastAsia="Arial Unicode MS"/>
              </w:rPr>
            </w:pPr>
            <w:r>
              <w:t>Espacement entre canaux (MHz)</w:t>
            </w:r>
          </w:p>
        </w:tc>
        <w:tc>
          <w:tcPr>
            <w:tcW w:w="1418" w:type="dxa"/>
            <w:vAlign w:val="center"/>
          </w:tcPr>
          <w:p w:rsidR="002B489A" w:rsidRDefault="004F19C4">
            <w:pPr>
              <w:pStyle w:val="Tabletext"/>
              <w:framePr w:hSpace="181" w:wrap="notBeside" w:vAnchor="text" w:hAnchor="text" w:xAlign="center" w:y="1"/>
              <w:spacing w:before="30" w:after="30"/>
              <w:jc w:val="center"/>
              <w:rPr>
                <w:rFonts w:eastAsia="Arial Unicode MS"/>
              </w:rPr>
            </w:pPr>
            <w:r>
              <w:t>56</w:t>
            </w:r>
          </w:p>
        </w:tc>
        <w:tc>
          <w:tcPr>
            <w:tcW w:w="1418" w:type="dxa"/>
            <w:vAlign w:val="center"/>
          </w:tcPr>
          <w:p w:rsidR="002B489A" w:rsidRDefault="004F19C4">
            <w:pPr>
              <w:pStyle w:val="Tabletext"/>
              <w:framePr w:hSpace="181" w:wrap="notBeside" w:vAnchor="text" w:hAnchor="text" w:xAlign="center" w:y="1"/>
              <w:spacing w:before="30" w:after="30"/>
              <w:jc w:val="center"/>
              <w:rPr>
                <w:rFonts w:eastAsia="Arial Unicode MS"/>
              </w:rPr>
            </w:pPr>
            <w:r>
              <w:t>3,5</w:t>
            </w:r>
          </w:p>
        </w:tc>
      </w:tr>
      <w:tr w:rsidR="002B489A">
        <w:tc>
          <w:tcPr>
            <w:tcW w:w="4536" w:type="dxa"/>
            <w:vAlign w:val="center"/>
          </w:tcPr>
          <w:p w:rsidR="002B489A" w:rsidRDefault="004F19C4">
            <w:pPr>
              <w:pStyle w:val="Tabletext"/>
              <w:framePr w:hSpace="181" w:wrap="notBeside" w:vAnchor="text" w:hAnchor="text" w:xAlign="center" w:y="1"/>
              <w:spacing w:before="30" w:after="30"/>
              <w:ind w:left="284" w:right="284"/>
              <w:rPr>
                <w:rFonts w:eastAsia="Arial Unicode MS"/>
              </w:rPr>
            </w:pPr>
            <w:r>
              <w:t>Gain d'antenne service fixe</w:t>
            </w:r>
          </w:p>
        </w:tc>
        <w:tc>
          <w:tcPr>
            <w:tcW w:w="1418" w:type="dxa"/>
            <w:vAlign w:val="center"/>
          </w:tcPr>
          <w:p w:rsidR="002B489A" w:rsidRDefault="004F19C4">
            <w:pPr>
              <w:pStyle w:val="Tabletext"/>
              <w:framePr w:hSpace="181" w:wrap="notBeside" w:vAnchor="text" w:hAnchor="text" w:xAlign="center" w:y="1"/>
              <w:spacing w:before="30" w:after="30"/>
              <w:jc w:val="center"/>
              <w:rPr>
                <w:rFonts w:eastAsia="Arial Unicode MS"/>
              </w:rPr>
            </w:pPr>
            <w:r>
              <w:t>45</w:t>
            </w:r>
          </w:p>
        </w:tc>
        <w:tc>
          <w:tcPr>
            <w:tcW w:w="1418" w:type="dxa"/>
            <w:vAlign w:val="center"/>
          </w:tcPr>
          <w:p w:rsidR="002B489A" w:rsidRDefault="004F19C4">
            <w:pPr>
              <w:pStyle w:val="Tabletext"/>
              <w:framePr w:hSpace="181" w:wrap="notBeside" w:vAnchor="text" w:hAnchor="text" w:xAlign="center" w:y="1"/>
              <w:spacing w:before="30" w:after="30"/>
              <w:jc w:val="center"/>
              <w:rPr>
                <w:rFonts w:eastAsia="Arial Unicode MS"/>
              </w:rPr>
            </w:pPr>
            <w:r>
              <w:t>45</w:t>
            </w:r>
          </w:p>
        </w:tc>
      </w:tr>
      <w:tr w:rsidR="002B489A">
        <w:tc>
          <w:tcPr>
            <w:tcW w:w="4536" w:type="dxa"/>
            <w:vAlign w:val="center"/>
          </w:tcPr>
          <w:p w:rsidR="002B489A" w:rsidRDefault="004F19C4">
            <w:pPr>
              <w:pStyle w:val="Tabletext"/>
              <w:framePr w:hSpace="181" w:wrap="notBeside" w:vAnchor="text" w:hAnchor="text" w:xAlign="center" w:y="1"/>
              <w:spacing w:before="30" w:after="30"/>
              <w:ind w:left="284" w:right="284"/>
              <w:rPr>
                <w:rFonts w:eastAsia="Arial Unicode MS"/>
              </w:rPr>
            </w:pPr>
            <w:r>
              <w:t>Gain service fixe dans la direction SETS</w:t>
            </w:r>
          </w:p>
        </w:tc>
        <w:tc>
          <w:tcPr>
            <w:tcW w:w="1418" w:type="dxa"/>
            <w:vAlign w:val="center"/>
          </w:tcPr>
          <w:p w:rsidR="002B489A" w:rsidRDefault="004F19C4">
            <w:pPr>
              <w:pStyle w:val="Tabletext"/>
              <w:framePr w:hSpace="181" w:wrap="notBeside" w:vAnchor="text" w:hAnchor="text" w:xAlign="center" w:y="1"/>
              <w:spacing w:before="30" w:after="30"/>
              <w:jc w:val="center"/>
              <w:rPr>
                <w:rFonts w:eastAsia="Arial Unicode MS"/>
              </w:rPr>
            </w:pPr>
            <w:r>
              <w:t>–12,3</w:t>
            </w:r>
          </w:p>
        </w:tc>
        <w:tc>
          <w:tcPr>
            <w:tcW w:w="1418" w:type="dxa"/>
            <w:vAlign w:val="center"/>
          </w:tcPr>
          <w:p w:rsidR="002B489A" w:rsidRDefault="004F19C4">
            <w:pPr>
              <w:pStyle w:val="Tabletext"/>
              <w:framePr w:hSpace="181" w:wrap="notBeside" w:vAnchor="text" w:hAnchor="text" w:xAlign="center" w:y="1"/>
              <w:spacing w:before="30" w:after="30"/>
              <w:jc w:val="center"/>
              <w:rPr>
                <w:rFonts w:eastAsia="Arial Unicode MS"/>
              </w:rPr>
            </w:pPr>
            <w:r>
              <w:t>–12,3</w:t>
            </w:r>
          </w:p>
        </w:tc>
      </w:tr>
      <w:tr w:rsidR="002B489A">
        <w:tc>
          <w:tcPr>
            <w:tcW w:w="4536" w:type="dxa"/>
            <w:vAlign w:val="center"/>
          </w:tcPr>
          <w:p w:rsidR="002B489A" w:rsidRDefault="004F19C4">
            <w:pPr>
              <w:pStyle w:val="Tabletext"/>
              <w:framePr w:hSpace="181" w:wrap="notBeside" w:vAnchor="text" w:hAnchor="text" w:xAlign="center" w:y="1"/>
              <w:spacing w:before="30" w:after="30"/>
              <w:ind w:left="284" w:right="284"/>
              <w:rPr>
                <w:rFonts w:eastAsia="Arial Unicode MS"/>
              </w:rPr>
            </w:pPr>
            <w:r>
              <w:t>Puissance cumulée (dB(W/MHz))</w:t>
            </w:r>
          </w:p>
        </w:tc>
        <w:tc>
          <w:tcPr>
            <w:tcW w:w="1418" w:type="dxa"/>
            <w:vAlign w:val="center"/>
          </w:tcPr>
          <w:p w:rsidR="002B489A" w:rsidRDefault="004F19C4">
            <w:pPr>
              <w:pStyle w:val="Tabletext"/>
              <w:framePr w:hSpace="181" w:wrap="notBeside" w:vAnchor="text" w:hAnchor="text" w:xAlign="center" w:y="1"/>
              <w:spacing w:before="30" w:after="30"/>
              <w:jc w:val="center"/>
              <w:rPr>
                <w:rFonts w:eastAsia="Arial Unicode MS"/>
              </w:rPr>
            </w:pPr>
            <w:r>
              <w:t>–34,8</w:t>
            </w:r>
          </w:p>
        </w:tc>
        <w:tc>
          <w:tcPr>
            <w:tcW w:w="1418" w:type="dxa"/>
            <w:vAlign w:val="center"/>
          </w:tcPr>
          <w:p w:rsidR="002B489A" w:rsidRDefault="004F19C4">
            <w:pPr>
              <w:pStyle w:val="Tabletext"/>
              <w:framePr w:hSpace="181" w:wrap="notBeside" w:vAnchor="text" w:hAnchor="text" w:xAlign="center" w:y="1"/>
              <w:spacing w:before="30" w:after="30"/>
              <w:jc w:val="center"/>
              <w:rPr>
                <w:rFonts w:eastAsia="Arial Unicode MS"/>
              </w:rPr>
            </w:pPr>
            <w:r>
              <w:t>–34,8</w:t>
            </w:r>
          </w:p>
        </w:tc>
      </w:tr>
      <w:tr w:rsidR="002B489A">
        <w:tc>
          <w:tcPr>
            <w:tcW w:w="4536" w:type="dxa"/>
            <w:vAlign w:val="center"/>
          </w:tcPr>
          <w:p w:rsidR="002B489A" w:rsidRDefault="004F19C4">
            <w:pPr>
              <w:pStyle w:val="Tabletext"/>
              <w:framePr w:hSpace="181" w:wrap="notBeside" w:vAnchor="text" w:hAnchor="text" w:xAlign="center" w:y="1"/>
              <w:spacing w:before="30" w:after="30"/>
              <w:ind w:left="284" w:right="284"/>
              <w:rPr>
                <w:rFonts w:eastAsia="Arial Unicode MS"/>
              </w:rPr>
            </w:pPr>
            <w:r>
              <w:t>Densité de systèmes par km</w:t>
            </w:r>
            <w:r>
              <w:rPr>
                <w:vertAlign w:val="superscript"/>
              </w:rPr>
              <w:t>2</w:t>
            </w:r>
          </w:p>
        </w:tc>
        <w:tc>
          <w:tcPr>
            <w:tcW w:w="1418" w:type="dxa"/>
            <w:vAlign w:val="center"/>
          </w:tcPr>
          <w:p w:rsidR="002B489A" w:rsidRDefault="004F19C4">
            <w:pPr>
              <w:pStyle w:val="Tabletext"/>
              <w:framePr w:hSpace="181" w:wrap="notBeside" w:vAnchor="text" w:hAnchor="text" w:xAlign="center" w:y="1"/>
              <w:spacing w:before="30" w:after="30"/>
              <w:jc w:val="center"/>
              <w:rPr>
                <w:rFonts w:eastAsia="Arial Unicode MS"/>
              </w:rPr>
            </w:pPr>
            <w:r>
              <w:t>1,0</w:t>
            </w:r>
          </w:p>
        </w:tc>
        <w:tc>
          <w:tcPr>
            <w:tcW w:w="1418" w:type="dxa"/>
            <w:vAlign w:val="center"/>
          </w:tcPr>
          <w:p w:rsidR="002B489A" w:rsidRDefault="004F19C4">
            <w:pPr>
              <w:pStyle w:val="Tabletext"/>
              <w:framePr w:hSpace="181" w:wrap="notBeside" w:vAnchor="text" w:hAnchor="text" w:xAlign="center" w:y="1"/>
              <w:spacing w:before="30" w:after="30"/>
              <w:jc w:val="center"/>
              <w:rPr>
                <w:rFonts w:eastAsia="Arial Unicode MS"/>
              </w:rPr>
            </w:pPr>
            <w:r>
              <w:t>1,0</w:t>
            </w:r>
          </w:p>
        </w:tc>
      </w:tr>
      <w:tr w:rsidR="002B489A">
        <w:tc>
          <w:tcPr>
            <w:tcW w:w="4536" w:type="dxa"/>
            <w:vAlign w:val="center"/>
          </w:tcPr>
          <w:p w:rsidR="002B489A" w:rsidRDefault="004F19C4">
            <w:pPr>
              <w:pStyle w:val="Tabletext"/>
              <w:framePr w:hSpace="181" w:wrap="notBeside" w:vAnchor="text" w:hAnchor="text" w:xAlign="center" w:y="1"/>
              <w:spacing w:before="30" w:after="30"/>
              <w:ind w:left="284" w:right="284"/>
              <w:rPr>
                <w:rFonts w:eastAsia="Arial Unicode MS"/>
              </w:rPr>
            </w:pPr>
            <w:r>
              <w:t>Taille de pixel (km</w:t>
            </w:r>
            <w:r>
              <w:rPr>
                <w:vertAlign w:val="superscript"/>
              </w:rPr>
              <w:t>2</w:t>
            </w:r>
            <w:r>
              <w:t>)</w:t>
            </w:r>
          </w:p>
        </w:tc>
        <w:tc>
          <w:tcPr>
            <w:tcW w:w="1418" w:type="dxa"/>
            <w:vAlign w:val="center"/>
          </w:tcPr>
          <w:p w:rsidR="002B489A" w:rsidRDefault="004F19C4">
            <w:pPr>
              <w:pStyle w:val="Tabletext"/>
              <w:framePr w:hSpace="181" w:wrap="notBeside" w:vAnchor="text" w:hAnchor="text" w:xAlign="center" w:y="1"/>
              <w:spacing w:before="30" w:after="30"/>
              <w:jc w:val="center"/>
              <w:rPr>
                <w:rFonts w:eastAsia="Arial Unicode MS"/>
              </w:rPr>
            </w:pPr>
            <w:r>
              <w:t>201</w:t>
            </w:r>
          </w:p>
        </w:tc>
        <w:tc>
          <w:tcPr>
            <w:tcW w:w="1418" w:type="dxa"/>
            <w:vAlign w:val="center"/>
          </w:tcPr>
          <w:p w:rsidR="002B489A" w:rsidRDefault="004F19C4">
            <w:pPr>
              <w:pStyle w:val="Tabletext"/>
              <w:framePr w:hSpace="181" w:wrap="notBeside" w:vAnchor="text" w:hAnchor="text" w:xAlign="center" w:y="1"/>
              <w:spacing w:before="30" w:after="30"/>
              <w:jc w:val="center"/>
              <w:rPr>
                <w:rFonts w:eastAsia="Arial Unicode MS"/>
              </w:rPr>
            </w:pPr>
            <w:r>
              <w:t>201</w:t>
            </w:r>
          </w:p>
        </w:tc>
      </w:tr>
      <w:tr w:rsidR="002B489A">
        <w:tc>
          <w:tcPr>
            <w:tcW w:w="4536" w:type="dxa"/>
            <w:vAlign w:val="center"/>
          </w:tcPr>
          <w:p w:rsidR="002B489A" w:rsidRDefault="004F19C4">
            <w:pPr>
              <w:pStyle w:val="Tabletext"/>
              <w:framePr w:hSpace="181" w:wrap="notBeside" w:vAnchor="text" w:hAnchor="text" w:xAlign="center" w:y="1"/>
              <w:spacing w:before="30" w:after="30"/>
              <w:ind w:left="284" w:right="284"/>
              <w:rPr>
                <w:rFonts w:eastAsia="Arial Unicode MS"/>
              </w:rPr>
            </w:pPr>
            <w:r>
              <w:t>Nombre d'émetteurs</w:t>
            </w:r>
          </w:p>
        </w:tc>
        <w:tc>
          <w:tcPr>
            <w:tcW w:w="1418" w:type="dxa"/>
            <w:vAlign w:val="center"/>
          </w:tcPr>
          <w:p w:rsidR="002B489A" w:rsidRDefault="004F19C4">
            <w:pPr>
              <w:pStyle w:val="Tabletext"/>
              <w:framePr w:hSpace="181" w:wrap="notBeside" w:vAnchor="text" w:hAnchor="text" w:xAlign="center" w:y="1"/>
              <w:spacing w:before="30" w:after="30"/>
              <w:jc w:val="center"/>
              <w:rPr>
                <w:rFonts w:eastAsia="Arial Unicode MS"/>
              </w:rPr>
            </w:pPr>
            <w:r>
              <w:t>201</w:t>
            </w:r>
          </w:p>
        </w:tc>
        <w:tc>
          <w:tcPr>
            <w:tcW w:w="1418" w:type="dxa"/>
            <w:vAlign w:val="center"/>
          </w:tcPr>
          <w:p w:rsidR="002B489A" w:rsidRDefault="004F19C4">
            <w:pPr>
              <w:pStyle w:val="Tabletext"/>
              <w:framePr w:hSpace="181" w:wrap="notBeside" w:vAnchor="text" w:hAnchor="text" w:xAlign="center" w:y="1"/>
              <w:spacing w:before="30" w:after="30"/>
              <w:jc w:val="center"/>
              <w:rPr>
                <w:rFonts w:eastAsia="Arial Unicode MS"/>
              </w:rPr>
            </w:pPr>
            <w:r>
              <w:t>201</w:t>
            </w:r>
          </w:p>
        </w:tc>
      </w:tr>
      <w:tr w:rsidR="002B489A">
        <w:tc>
          <w:tcPr>
            <w:tcW w:w="4536" w:type="dxa"/>
            <w:vAlign w:val="center"/>
          </w:tcPr>
          <w:p w:rsidR="002B489A" w:rsidRDefault="004F19C4">
            <w:pPr>
              <w:pStyle w:val="Tabletext"/>
              <w:framePr w:hSpace="181" w:wrap="notBeside" w:vAnchor="text" w:hAnchor="text" w:xAlign="center" w:y="1"/>
              <w:spacing w:before="30" w:after="30"/>
              <w:ind w:left="284" w:right="284"/>
              <w:rPr>
                <w:rFonts w:eastAsia="Arial Unicode MS"/>
              </w:rPr>
            </w:pPr>
            <w:r>
              <w:t>Puissance par émetteur (dB(W/MHz))</w:t>
            </w:r>
          </w:p>
        </w:tc>
        <w:tc>
          <w:tcPr>
            <w:tcW w:w="1418" w:type="dxa"/>
            <w:vAlign w:val="center"/>
          </w:tcPr>
          <w:p w:rsidR="002B489A" w:rsidRDefault="004F19C4">
            <w:pPr>
              <w:pStyle w:val="Tabletext"/>
              <w:framePr w:hSpace="181" w:wrap="notBeside" w:vAnchor="text" w:hAnchor="text" w:xAlign="center" w:y="1"/>
              <w:spacing w:before="30" w:after="30"/>
              <w:jc w:val="center"/>
              <w:rPr>
                <w:rFonts w:eastAsia="Arial Unicode MS"/>
              </w:rPr>
            </w:pPr>
            <w:r>
              <w:t>–57,8</w:t>
            </w:r>
          </w:p>
        </w:tc>
        <w:tc>
          <w:tcPr>
            <w:tcW w:w="1418" w:type="dxa"/>
            <w:vAlign w:val="center"/>
          </w:tcPr>
          <w:p w:rsidR="002B489A" w:rsidRDefault="004F19C4">
            <w:pPr>
              <w:pStyle w:val="Tabletext"/>
              <w:framePr w:hSpace="181" w:wrap="notBeside" w:vAnchor="text" w:hAnchor="text" w:xAlign="center" w:y="1"/>
              <w:spacing w:before="30" w:after="30"/>
              <w:jc w:val="center"/>
              <w:rPr>
                <w:rFonts w:eastAsia="Arial Unicode MS"/>
              </w:rPr>
            </w:pPr>
            <w:r>
              <w:t>–57,8</w:t>
            </w:r>
          </w:p>
        </w:tc>
      </w:tr>
      <w:tr w:rsidR="002B489A">
        <w:tc>
          <w:tcPr>
            <w:tcW w:w="4536" w:type="dxa"/>
            <w:vAlign w:val="center"/>
          </w:tcPr>
          <w:p w:rsidR="002B489A" w:rsidRDefault="004F19C4">
            <w:pPr>
              <w:pStyle w:val="Tabletext"/>
              <w:framePr w:hSpace="181" w:wrap="notBeside" w:vAnchor="text" w:hAnchor="text" w:xAlign="center" w:y="1"/>
              <w:spacing w:before="30" w:after="30"/>
              <w:ind w:left="284" w:right="284"/>
              <w:rPr>
                <w:rFonts w:eastAsia="Arial Unicode MS"/>
              </w:rPr>
            </w:pPr>
            <w:r>
              <w:t>Puissance par émetteur (dB(W/100 MHz))</w:t>
            </w:r>
          </w:p>
        </w:tc>
        <w:tc>
          <w:tcPr>
            <w:tcW w:w="1418" w:type="dxa"/>
            <w:vAlign w:val="center"/>
          </w:tcPr>
          <w:p w:rsidR="002B489A" w:rsidRDefault="004F19C4">
            <w:pPr>
              <w:pStyle w:val="Tabletext"/>
              <w:framePr w:hSpace="181" w:wrap="notBeside" w:vAnchor="text" w:hAnchor="text" w:xAlign="center" w:y="1"/>
              <w:spacing w:before="30" w:after="30"/>
              <w:jc w:val="center"/>
              <w:rPr>
                <w:rFonts w:eastAsia="Arial Unicode MS"/>
              </w:rPr>
            </w:pPr>
            <w:r>
              <w:t>–37,8</w:t>
            </w:r>
          </w:p>
        </w:tc>
        <w:tc>
          <w:tcPr>
            <w:tcW w:w="1418" w:type="dxa"/>
            <w:vAlign w:val="center"/>
          </w:tcPr>
          <w:p w:rsidR="002B489A" w:rsidRDefault="004F19C4">
            <w:pPr>
              <w:pStyle w:val="Tabletext"/>
              <w:framePr w:hSpace="181" w:wrap="notBeside" w:vAnchor="text" w:hAnchor="text" w:xAlign="center" w:y="1"/>
              <w:spacing w:before="30" w:after="30"/>
              <w:jc w:val="center"/>
              <w:rPr>
                <w:rFonts w:eastAsia="Arial Unicode MS"/>
              </w:rPr>
            </w:pPr>
            <w:r>
              <w:t>–37,8</w:t>
            </w:r>
          </w:p>
        </w:tc>
      </w:tr>
    </w:tbl>
    <w:p w:rsidR="002B489A" w:rsidRDefault="002B489A">
      <w:pPr>
        <w:pStyle w:val="Tablefin"/>
        <w:spacing w:before="0"/>
        <w:rPr>
          <w:sz w:val="2"/>
        </w:rPr>
      </w:pPr>
    </w:p>
    <w:p w:rsidR="002B489A" w:rsidRDefault="004F19C4">
      <w:pPr>
        <w:pStyle w:val="TableNo"/>
        <w:rPr>
          <w:lang w:eastAsia="fr-FR"/>
        </w:rPr>
      </w:pPr>
      <w:r>
        <w:rPr>
          <w:lang w:eastAsia="fr-FR"/>
        </w:rPr>
        <w:t>TABLEAU  78</w:t>
      </w:r>
    </w:p>
    <w:p w:rsidR="002B489A" w:rsidRDefault="004F19C4">
      <w:pPr>
        <w:pStyle w:val="Tabletitle"/>
      </w:pPr>
      <w:r>
        <w:t xml:space="preserve">Niveau des rayonnements non désirés acceptables par système </w:t>
      </w:r>
      <w:r>
        <w:br/>
        <w:t>du service fixe P</w:t>
      </w:r>
      <w:r>
        <w:noBreakHyphen/>
        <w:t>MP tombant dans la bande SETS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1418"/>
        <w:gridCol w:w="1418"/>
      </w:tblGrid>
      <w:tr w:rsidR="002B489A">
        <w:tc>
          <w:tcPr>
            <w:tcW w:w="4536" w:type="dxa"/>
            <w:vAlign w:val="bottom"/>
          </w:tcPr>
          <w:p w:rsidR="002B489A" w:rsidRDefault="004F19C4">
            <w:pPr>
              <w:pStyle w:val="Tabletext"/>
              <w:framePr w:hSpace="181" w:wrap="notBeside" w:vAnchor="text" w:hAnchor="text" w:xAlign="center" w:y="1"/>
              <w:spacing w:before="30" w:after="30"/>
              <w:ind w:left="57"/>
              <w:jc w:val="left"/>
              <w:rPr>
                <w:rFonts w:eastAsia="Arial Unicode MS"/>
              </w:rPr>
            </w:pPr>
            <w:r>
              <w:t>Fréquence (GHz)</w:t>
            </w:r>
          </w:p>
        </w:tc>
        <w:tc>
          <w:tcPr>
            <w:tcW w:w="2835" w:type="dxa"/>
            <w:gridSpan w:val="2"/>
            <w:vAlign w:val="bottom"/>
          </w:tcPr>
          <w:p w:rsidR="002B489A" w:rsidRDefault="004F19C4">
            <w:pPr>
              <w:pStyle w:val="Tabletext"/>
              <w:framePr w:hSpace="181" w:wrap="notBeside" w:vAnchor="text" w:hAnchor="text" w:xAlign="center" w:y="1"/>
              <w:spacing w:before="30" w:after="30"/>
              <w:jc w:val="center"/>
              <w:rPr>
                <w:rFonts w:eastAsia="Arial Unicode MS"/>
              </w:rPr>
            </w:pPr>
            <w:r>
              <w:t>31,3</w:t>
            </w:r>
          </w:p>
        </w:tc>
      </w:tr>
      <w:tr w:rsidR="002B489A">
        <w:tc>
          <w:tcPr>
            <w:tcW w:w="4536" w:type="dxa"/>
            <w:vAlign w:val="bottom"/>
          </w:tcPr>
          <w:p w:rsidR="002B489A" w:rsidRDefault="004F19C4">
            <w:pPr>
              <w:pStyle w:val="Tabletext"/>
              <w:framePr w:hSpace="181" w:wrap="notBeside" w:vAnchor="text" w:hAnchor="text" w:xAlign="center" w:y="1"/>
              <w:spacing w:before="30" w:after="30"/>
              <w:ind w:left="57"/>
              <w:jc w:val="left"/>
              <w:rPr>
                <w:rFonts w:eastAsia="Arial Unicode MS"/>
              </w:rPr>
            </w:pPr>
            <w:r>
              <w:t>Critères de brouillage (dB(W/100 MHz))</w:t>
            </w:r>
          </w:p>
        </w:tc>
        <w:tc>
          <w:tcPr>
            <w:tcW w:w="2835" w:type="dxa"/>
            <w:gridSpan w:val="2"/>
            <w:vAlign w:val="bottom"/>
          </w:tcPr>
          <w:p w:rsidR="002B489A" w:rsidRDefault="004F19C4">
            <w:pPr>
              <w:pStyle w:val="Tabletext"/>
              <w:framePr w:hSpace="181" w:wrap="notBeside" w:vAnchor="text" w:hAnchor="text" w:xAlign="center" w:y="1"/>
              <w:spacing w:before="30" w:after="30"/>
              <w:jc w:val="center"/>
              <w:rPr>
                <w:rFonts w:eastAsia="Arial Unicode MS"/>
              </w:rPr>
            </w:pPr>
            <w:r>
              <w:t>–163</w:t>
            </w:r>
          </w:p>
        </w:tc>
      </w:tr>
      <w:tr w:rsidR="002B489A">
        <w:tc>
          <w:tcPr>
            <w:tcW w:w="4536" w:type="dxa"/>
            <w:vAlign w:val="bottom"/>
          </w:tcPr>
          <w:p w:rsidR="002B489A" w:rsidRDefault="004F19C4">
            <w:pPr>
              <w:pStyle w:val="Tabletext"/>
              <w:framePr w:hSpace="181" w:wrap="notBeside" w:vAnchor="text" w:hAnchor="text" w:xAlign="center" w:y="1"/>
              <w:spacing w:before="30" w:after="30"/>
              <w:ind w:left="57"/>
              <w:jc w:val="left"/>
              <w:rPr>
                <w:rFonts w:eastAsia="Arial Unicode MS"/>
              </w:rPr>
            </w:pPr>
            <w:r>
              <w:t>Altitude (km)</w:t>
            </w:r>
          </w:p>
        </w:tc>
        <w:tc>
          <w:tcPr>
            <w:tcW w:w="2835" w:type="dxa"/>
            <w:gridSpan w:val="2"/>
            <w:vAlign w:val="bottom"/>
          </w:tcPr>
          <w:p w:rsidR="002B489A" w:rsidRDefault="004F19C4">
            <w:pPr>
              <w:pStyle w:val="Tabletext"/>
              <w:framePr w:hSpace="181" w:wrap="notBeside" w:vAnchor="text" w:hAnchor="text" w:xAlign="center" w:y="1"/>
              <w:spacing w:before="30" w:after="30"/>
              <w:jc w:val="center"/>
              <w:rPr>
                <w:rFonts w:eastAsia="Arial Unicode MS"/>
              </w:rPr>
            </w:pPr>
            <w:r>
              <w:t>850</w:t>
            </w:r>
          </w:p>
        </w:tc>
      </w:tr>
      <w:tr w:rsidR="002B489A">
        <w:tc>
          <w:tcPr>
            <w:tcW w:w="4536" w:type="dxa"/>
            <w:vAlign w:val="bottom"/>
          </w:tcPr>
          <w:p w:rsidR="002B489A" w:rsidRDefault="004F19C4">
            <w:pPr>
              <w:pStyle w:val="Tabletext"/>
              <w:framePr w:hSpace="181" w:wrap="notBeside" w:vAnchor="text" w:hAnchor="text" w:xAlign="center" w:y="1"/>
              <w:spacing w:before="30" w:after="30"/>
              <w:ind w:left="57"/>
              <w:jc w:val="left"/>
              <w:rPr>
                <w:rFonts w:eastAsia="Arial Unicode MS"/>
              </w:rPr>
            </w:pPr>
            <w:r>
              <w:t>Largeur de bande de référence (MHz)</w:t>
            </w:r>
          </w:p>
        </w:tc>
        <w:tc>
          <w:tcPr>
            <w:tcW w:w="2835" w:type="dxa"/>
            <w:gridSpan w:val="2"/>
            <w:vAlign w:val="bottom"/>
          </w:tcPr>
          <w:p w:rsidR="002B489A" w:rsidRDefault="004F19C4">
            <w:pPr>
              <w:pStyle w:val="Tabletext"/>
              <w:framePr w:hSpace="181" w:wrap="notBeside" w:vAnchor="text" w:hAnchor="text" w:xAlign="center" w:y="1"/>
              <w:spacing w:before="30" w:after="30"/>
              <w:jc w:val="center"/>
              <w:rPr>
                <w:rFonts w:eastAsia="Arial Unicode MS"/>
              </w:rPr>
            </w:pPr>
            <w:r>
              <w:t>100</w:t>
            </w:r>
          </w:p>
        </w:tc>
      </w:tr>
      <w:tr w:rsidR="002B489A">
        <w:tc>
          <w:tcPr>
            <w:tcW w:w="4536" w:type="dxa"/>
            <w:vAlign w:val="bottom"/>
          </w:tcPr>
          <w:p w:rsidR="002B489A" w:rsidRDefault="004F19C4">
            <w:pPr>
              <w:pStyle w:val="Tabletext"/>
              <w:framePr w:hSpace="181" w:wrap="notBeside" w:vAnchor="text" w:hAnchor="text" w:xAlign="center" w:y="1"/>
              <w:spacing w:before="30" w:after="30"/>
              <w:ind w:left="57"/>
              <w:jc w:val="left"/>
              <w:rPr>
                <w:rFonts w:eastAsia="Arial Unicode MS"/>
              </w:rPr>
            </w:pPr>
            <w:r>
              <w:t>Gain SETS</w:t>
            </w:r>
          </w:p>
        </w:tc>
        <w:tc>
          <w:tcPr>
            <w:tcW w:w="2835" w:type="dxa"/>
            <w:gridSpan w:val="2"/>
            <w:vAlign w:val="bottom"/>
          </w:tcPr>
          <w:p w:rsidR="002B489A" w:rsidRDefault="004F19C4">
            <w:pPr>
              <w:pStyle w:val="Tabletext"/>
              <w:framePr w:hSpace="181" w:wrap="notBeside" w:vAnchor="text" w:hAnchor="text" w:xAlign="center" w:y="1"/>
              <w:spacing w:before="30" w:after="30"/>
              <w:jc w:val="center"/>
              <w:rPr>
                <w:rFonts w:eastAsia="Arial Unicode MS"/>
              </w:rPr>
            </w:pPr>
            <w:r>
              <w:t>45</w:t>
            </w:r>
          </w:p>
        </w:tc>
      </w:tr>
      <w:tr w:rsidR="002B489A">
        <w:tc>
          <w:tcPr>
            <w:tcW w:w="4536" w:type="dxa"/>
            <w:vAlign w:val="bottom"/>
          </w:tcPr>
          <w:p w:rsidR="002B489A" w:rsidRDefault="004F19C4">
            <w:pPr>
              <w:pStyle w:val="Tabletext"/>
              <w:framePr w:hSpace="181" w:wrap="notBeside" w:vAnchor="text" w:hAnchor="text" w:xAlign="center" w:y="1"/>
              <w:spacing w:before="30" w:after="30"/>
              <w:ind w:left="57"/>
              <w:jc w:val="left"/>
              <w:rPr>
                <w:rFonts w:eastAsia="Arial Unicode MS"/>
              </w:rPr>
            </w:pPr>
            <w:r>
              <w:t>Affaiblissement en espace libre</w:t>
            </w:r>
          </w:p>
        </w:tc>
        <w:tc>
          <w:tcPr>
            <w:tcW w:w="2835" w:type="dxa"/>
            <w:gridSpan w:val="2"/>
            <w:vAlign w:val="bottom"/>
          </w:tcPr>
          <w:p w:rsidR="002B489A" w:rsidRDefault="004F19C4">
            <w:pPr>
              <w:pStyle w:val="Tabletext"/>
              <w:framePr w:hSpace="181" w:wrap="notBeside" w:vAnchor="text" w:hAnchor="text" w:xAlign="center" w:y="1"/>
              <w:spacing w:before="30" w:after="30"/>
              <w:jc w:val="center"/>
              <w:rPr>
                <w:rFonts w:eastAsia="Arial Unicode MS"/>
              </w:rPr>
            </w:pPr>
            <w:r>
              <w:t>181</w:t>
            </w:r>
          </w:p>
        </w:tc>
      </w:tr>
      <w:tr w:rsidR="002B489A">
        <w:tc>
          <w:tcPr>
            <w:tcW w:w="4536" w:type="dxa"/>
            <w:vAlign w:val="bottom"/>
          </w:tcPr>
          <w:p w:rsidR="002B489A" w:rsidRDefault="004F19C4">
            <w:pPr>
              <w:pStyle w:val="Tabletext"/>
              <w:framePr w:hSpace="181" w:wrap="notBeside" w:vAnchor="text" w:hAnchor="text" w:xAlign="center" w:y="1"/>
              <w:spacing w:before="30" w:after="30"/>
              <w:ind w:left="57"/>
              <w:jc w:val="left"/>
              <w:rPr>
                <w:rFonts w:eastAsia="Arial Unicode MS"/>
              </w:rPr>
            </w:pPr>
            <w:r>
              <w:t>Agrégé à la Terre (dB(W/100 MHz))</w:t>
            </w:r>
          </w:p>
        </w:tc>
        <w:tc>
          <w:tcPr>
            <w:tcW w:w="2835" w:type="dxa"/>
            <w:gridSpan w:val="2"/>
            <w:vAlign w:val="bottom"/>
          </w:tcPr>
          <w:p w:rsidR="002B489A" w:rsidRDefault="004F19C4">
            <w:pPr>
              <w:pStyle w:val="Tabletext"/>
              <w:framePr w:hSpace="181" w:wrap="notBeside" w:vAnchor="text" w:hAnchor="text" w:xAlign="center" w:y="1"/>
              <w:spacing w:before="30" w:after="30"/>
              <w:jc w:val="center"/>
              <w:rPr>
                <w:rFonts w:eastAsia="Arial Unicode MS"/>
              </w:rPr>
            </w:pPr>
            <w:r>
              <w:t>–27</w:t>
            </w:r>
          </w:p>
        </w:tc>
      </w:tr>
      <w:tr w:rsidR="002B489A">
        <w:tc>
          <w:tcPr>
            <w:tcW w:w="4536" w:type="dxa"/>
            <w:vAlign w:val="bottom"/>
          </w:tcPr>
          <w:p w:rsidR="002B489A" w:rsidRDefault="004F19C4">
            <w:pPr>
              <w:pStyle w:val="Tabletext"/>
              <w:framePr w:hSpace="181" w:wrap="notBeside" w:vAnchor="text" w:hAnchor="text" w:xAlign="center" w:y="1"/>
              <w:spacing w:before="30" w:after="30"/>
              <w:ind w:left="57"/>
              <w:jc w:val="left"/>
              <w:rPr>
                <w:rFonts w:eastAsia="Arial Unicode MS"/>
              </w:rPr>
            </w:pPr>
            <w:r>
              <w:t>Agrégé à la Terre (dB(W/MHz))</w:t>
            </w:r>
          </w:p>
        </w:tc>
        <w:tc>
          <w:tcPr>
            <w:tcW w:w="2835" w:type="dxa"/>
            <w:gridSpan w:val="2"/>
            <w:vAlign w:val="bottom"/>
          </w:tcPr>
          <w:p w:rsidR="002B489A" w:rsidRDefault="004F19C4">
            <w:pPr>
              <w:pStyle w:val="Tabletext"/>
              <w:framePr w:hSpace="181" w:wrap="notBeside" w:vAnchor="text" w:hAnchor="text" w:xAlign="center" w:y="1"/>
              <w:spacing w:before="30" w:after="30"/>
              <w:jc w:val="center"/>
              <w:rPr>
                <w:rFonts w:eastAsia="Arial Unicode MS"/>
              </w:rPr>
            </w:pPr>
            <w:r>
              <w:t>–47,1</w:t>
            </w:r>
          </w:p>
        </w:tc>
      </w:tr>
      <w:tr w:rsidR="002B489A">
        <w:tc>
          <w:tcPr>
            <w:tcW w:w="4536" w:type="dxa"/>
            <w:vAlign w:val="bottom"/>
          </w:tcPr>
          <w:p w:rsidR="002B489A" w:rsidRDefault="004F19C4">
            <w:pPr>
              <w:pStyle w:val="Tabletext"/>
              <w:framePr w:hSpace="181" w:wrap="notBeside" w:vAnchor="text" w:hAnchor="text" w:xAlign="center" w:y="1"/>
              <w:spacing w:before="30" w:after="30"/>
              <w:ind w:left="57"/>
              <w:jc w:val="left"/>
              <w:rPr>
                <w:i/>
                <w:iCs/>
              </w:rPr>
            </w:pPr>
            <w:r>
              <w:rPr>
                <w:i/>
                <w:iCs/>
              </w:rPr>
              <w:t xml:space="preserve">Type de station </w:t>
            </w:r>
          </w:p>
        </w:tc>
        <w:tc>
          <w:tcPr>
            <w:tcW w:w="1418" w:type="dxa"/>
            <w:vAlign w:val="bottom"/>
          </w:tcPr>
          <w:p w:rsidR="002B489A" w:rsidRDefault="004F19C4">
            <w:pPr>
              <w:pStyle w:val="Tabletext"/>
              <w:framePr w:hSpace="181" w:wrap="notBeside" w:vAnchor="text" w:hAnchor="text" w:xAlign="center" w:y="1"/>
              <w:spacing w:before="30" w:after="30"/>
              <w:jc w:val="center"/>
            </w:pPr>
            <w:r>
              <w:t>Centrale</w:t>
            </w:r>
          </w:p>
        </w:tc>
        <w:tc>
          <w:tcPr>
            <w:tcW w:w="1418" w:type="dxa"/>
            <w:vAlign w:val="bottom"/>
          </w:tcPr>
          <w:p w:rsidR="002B489A" w:rsidRDefault="004F19C4">
            <w:pPr>
              <w:pStyle w:val="Tabletext"/>
              <w:framePr w:hSpace="181" w:wrap="notBeside" w:vAnchor="text" w:hAnchor="text" w:xAlign="center" w:y="1"/>
              <w:spacing w:before="30" w:after="30"/>
              <w:jc w:val="center"/>
            </w:pPr>
            <w:r>
              <w:t>Terminale</w:t>
            </w:r>
          </w:p>
        </w:tc>
      </w:tr>
      <w:tr w:rsidR="002B489A">
        <w:tc>
          <w:tcPr>
            <w:tcW w:w="4536" w:type="dxa"/>
            <w:vAlign w:val="bottom"/>
          </w:tcPr>
          <w:p w:rsidR="002B489A" w:rsidRDefault="004F19C4">
            <w:pPr>
              <w:pStyle w:val="Tabletext"/>
              <w:framePr w:hSpace="181" w:wrap="notBeside" w:vAnchor="text" w:hAnchor="text" w:xAlign="center" w:y="1"/>
              <w:spacing w:before="30" w:after="30"/>
              <w:ind w:left="284" w:right="284"/>
              <w:jc w:val="left"/>
              <w:rPr>
                <w:rFonts w:eastAsia="Arial Unicode MS"/>
              </w:rPr>
            </w:pPr>
            <w:r>
              <w:t>Espacement entre canaux (MHz)</w:t>
            </w:r>
          </w:p>
        </w:tc>
        <w:tc>
          <w:tcPr>
            <w:tcW w:w="1418" w:type="dxa"/>
            <w:vAlign w:val="bottom"/>
          </w:tcPr>
          <w:p w:rsidR="002B489A" w:rsidRDefault="004F19C4">
            <w:pPr>
              <w:pStyle w:val="Tabletext"/>
              <w:framePr w:hSpace="181" w:wrap="notBeside" w:vAnchor="text" w:hAnchor="text" w:xAlign="center" w:y="1"/>
              <w:spacing w:before="30" w:after="30"/>
              <w:jc w:val="center"/>
              <w:rPr>
                <w:rFonts w:eastAsia="Arial Unicode MS"/>
              </w:rPr>
            </w:pPr>
            <w:r>
              <w:t>50</w:t>
            </w:r>
          </w:p>
        </w:tc>
        <w:tc>
          <w:tcPr>
            <w:tcW w:w="1418" w:type="dxa"/>
            <w:vAlign w:val="bottom"/>
          </w:tcPr>
          <w:p w:rsidR="002B489A" w:rsidRDefault="004F19C4">
            <w:pPr>
              <w:pStyle w:val="Tabletext"/>
              <w:framePr w:hSpace="181" w:wrap="notBeside" w:vAnchor="text" w:hAnchor="text" w:xAlign="center" w:y="1"/>
              <w:spacing w:before="30" w:after="30"/>
              <w:jc w:val="center"/>
              <w:rPr>
                <w:rFonts w:eastAsia="Arial Unicode MS"/>
              </w:rPr>
            </w:pPr>
            <w:r>
              <w:t>2,5</w:t>
            </w:r>
          </w:p>
        </w:tc>
      </w:tr>
      <w:tr w:rsidR="002B489A">
        <w:tc>
          <w:tcPr>
            <w:tcW w:w="4536" w:type="dxa"/>
            <w:vAlign w:val="bottom"/>
          </w:tcPr>
          <w:p w:rsidR="002B489A" w:rsidRDefault="004F19C4">
            <w:pPr>
              <w:pStyle w:val="Tabletext"/>
              <w:framePr w:hSpace="181" w:wrap="notBeside" w:vAnchor="text" w:hAnchor="text" w:xAlign="center" w:y="1"/>
              <w:spacing w:before="30" w:after="30"/>
              <w:ind w:left="284" w:right="284"/>
              <w:jc w:val="left"/>
              <w:rPr>
                <w:rFonts w:eastAsia="Arial Unicode MS"/>
              </w:rPr>
            </w:pPr>
            <w:r>
              <w:t>Gain d'antenne service fixe</w:t>
            </w:r>
          </w:p>
        </w:tc>
        <w:tc>
          <w:tcPr>
            <w:tcW w:w="1418" w:type="dxa"/>
            <w:vAlign w:val="bottom"/>
          </w:tcPr>
          <w:p w:rsidR="002B489A" w:rsidRDefault="004F19C4">
            <w:pPr>
              <w:pStyle w:val="Tabletext"/>
              <w:framePr w:hSpace="181" w:wrap="notBeside" w:vAnchor="text" w:hAnchor="text" w:xAlign="center" w:y="1"/>
              <w:spacing w:before="30" w:after="30"/>
              <w:jc w:val="center"/>
              <w:rPr>
                <w:rFonts w:eastAsia="Arial Unicode MS"/>
              </w:rPr>
            </w:pPr>
            <w:r>
              <w:t>15</w:t>
            </w:r>
          </w:p>
        </w:tc>
        <w:tc>
          <w:tcPr>
            <w:tcW w:w="1418" w:type="dxa"/>
            <w:vAlign w:val="bottom"/>
          </w:tcPr>
          <w:p w:rsidR="002B489A" w:rsidRDefault="004F19C4">
            <w:pPr>
              <w:pStyle w:val="Tabletext"/>
              <w:framePr w:hSpace="181" w:wrap="notBeside" w:vAnchor="text" w:hAnchor="text" w:xAlign="center" w:y="1"/>
              <w:spacing w:before="30" w:after="30"/>
              <w:jc w:val="center"/>
              <w:rPr>
                <w:rFonts w:eastAsia="Arial Unicode MS"/>
              </w:rPr>
            </w:pPr>
            <w:r>
              <w:t>36</w:t>
            </w:r>
          </w:p>
        </w:tc>
      </w:tr>
      <w:tr w:rsidR="002B489A">
        <w:tc>
          <w:tcPr>
            <w:tcW w:w="4536" w:type="dxa"/>
            <w:vAlign w:val="bottom"/>
          </w:tcPr>
          <w:p w:rsidR="002B489A" w:rsidRDefault="004F19C4">
            <w:pPr>
              <w:pStyle w:val="Tabletext"/>
              <w:framePr w:hSpace="181" w:wrap="notBeside" w:vAnchor="text" w:hAnchor="text" w:xAlign="center" w:y="1"/>
              <w:spacing w:before="30" w:after="30"/>
              <w:ind w:left="284" w:right="284"/>
              <w:jc w:val="left"/>
              <w:rPr>
                <w:rFonts w:eastAsia="Arial Unicode MS"/>
              </w:rPr>
            </w:pPr>
            <w:r>
              <w:t>Gain service fixe dans la direction SETS</w:t>
            </w:r>
          </w:p>
        </w:tc>
        <w:tc>
          <w:tcPr>
            <w:tcW w:w="1418" w:type="dxa"/>
            <w:vAlign w:val="bottom"/>
          </w:tcPr>
          <w:p w:rsidR="002B489A" w:rsidRDefault="004F19C4">
            <w:pPr>
              <w:pStyle w:val="Tabletext"/>
              <w:framePr w:hSpace="181" w:wrap="notBeside" w:vAnchor="text" w:hAnchor="text" w:xAlign="center" w:y="1"/>
              <w:spacing w:before="30" w:after="30"/>
              <w:jc w:val="center"/>
              <w:rPr>
                <w:rFonts w:eastAsia="Arial Unicode MS"/>
              </w:rPr>
            </w:pPr>
            <w:r>
              <w:t>–11,6</w:t>
            </w:r>
          </w:p>
        </w:tc>
        <w:tc>
          <w:tcPr>
            <w:tcW w:w="1418" w:type="dxa"/>
            <w:vAlign w:val="bottom"/>
          </w:tcPr>
          <w:p w:rsidR="002B489A" w:rsidRDefault="004F19C4">
            <w:pPr>
              <w:pStyle w:val="Tabletext"/>
              <w:framePr w:hSpace="181" w:wrap="notBeside" w:vAnchor="text" w:hAnchor="text" w:xAlign="center" w:y="1"/>
              <w:spacing w:before="30" w:after="30"/>
              <w:jc w:val="center"/>
              <w:rPr>
                <w:rFonts w:eastAsia="Arial Unicode MS"/>
              </w:rPr>
            </w:pPr>
            <w:r>
              <w:t>–10,1</w:t>
            </w:r>
          </w:p>
        </w:tc>
      </w:tr>
      <w:tr w:rsidR="002B489A">
        <w:tc>
          <w:tcPr>
            <w:tcW w:w="4536" w:type="dxa"/>
            <w:vAlign w:val="bottom"/>
          </w:tcPr>
          <w:p w:rsidR="002B489A" w:rsidRDefault="004F19C4">
            <w:pPr>
              <w:pStyle w:val="Tabletext"/>
              <w:framePr w:hSpace="181" w:wrap="notBeside" w:vAnchor="text" w:hAnchor="text" w:xAlign="center" w:y="1"/>
              <w:spacing w:before="30" w:after="30"/>
              <w:ind w:left="284" w:right="284"/>
              <w:jc w:val="left"/>
              <w:rPr>
                <w:rFonts w:eastAsia="Arial Unicode MS"/>
              </w:rPr>
            </w:pPr>
            <w:r>
              <w:t>Puissance cumulée (dB(W/MHz))</w:t>
            </w:r>
          </w:p>
        </w:tc>
        <w:tc>
          <w:tcPr>
            <w:tcW w:w="1418" w:type="dxa"/>
            <w:vAlign w:val="bottom"/>
          </w:tcPr>
          <w:p w:rsidR="002B489A" w:rsidRDefault="004F19C4">
            <w:pPr>
              <w:pStyle w:val="Tabletext"/>
              <w:framePr w:hSpace="181" w:wrap="notBeside" w:vAnchor="text" w:hAnchor="text" w:xAlign="center" w:y="1"/>
              <w:spacing w:before="30" w:after="30"/>
              <w:jc w:val="center"/>
              <w:rPr>
                <w:rFonts w:eastAsia="Arial Unicode MS"/>
              </w:rPr>
            </w:pPr>
            <w:r>
              <w:t>–35,5</w:t>
            </w:r>
          </w:p>
        </w:tc>
        <w:tc>
          <w:tcPr>
            <w:tcW w:w="1418" w:type="dxa"/>
            <w:vAlign w:val="bottom"/>
          </w:tcPr>
          <w:p w:rsidR="002B489A" w:rsidRDefault="004F19C4">
            <w:pPr>
              <w:pStyle w:val="Tabletext"/>
              <w:framePr w:hSpace="181" w:wrap="notBeside" w:vAnchor="text" w:hAnchor="text" w:xAlign="center" w:y="1"/>
              <w:spacing w:before="30" w:after="30"/>
              <w:jc w:val="center"/>
              <w:rPr>
                <w:rFonts w:eastAsia="Arial Unicode MS"/>
              </w:rPr>
            </w:pPr>
            <w:r>
              <w:t>–37,0</w:t>
            </w:r>
          </w:p>
        </w:tc>
      </w:tr>
      <w:tr w:rsidR="002B489A">
        <w:tc>
          <w:tcPr>
            <w:tcW w:w="4536" w:type="dxa"/>
            <w:vAlign w:val="bottom"/>
          </w:tcPr>
          <w:p w:rsidR="002B489A" w:rsidRDefault="004F19C4">
            <w:pPr>
              <w:pStyle w:val="Tabletext"/>
              <w:framePr w:hSpace="181" w:wrap="notBeside" w:vAnchor="text" w:hAnchor="text" w:xAlign="center" w:y="1"/>
              <w:spacing w:before="30" w:after="30"/>
              <w:ind w:left="284" w:right="284"/>
              <w:jc w:val="left"/>
              <w:rPr>
                <w:rFonts w:eastAsia="Arial Unicode MS"/>
              </w:rPr>
            </w:pPr>
            <w:r>
              <w:t>Densité de systèmes par km</w:t>
            </w:r>
            <w:r>
              <w:rPr>
                <w:vertAlign w:val="superscript"/>
              </w:rPr>
              <w:t>2</w:t>
            </w:r>
          </w:p>
        </w:tc>
        <w:tc>
          <w:tcPr>
            <w:tcW w:w="1418" w:type="dxa"/>
            <w:vAlign w:val="bottom"/>
          </w:tcPr>
          <w:p w:rsidR="002B489A" w:rsidRDefault="004F19C4">
            <w:pPr>
              <w:pStyle w:val="Tabletext"/>
              <w:framePr w:hSpace="181" w:wrap="notBeside" w:vAnchor="text" w:hAnchor="text" w:xAlign="center" w:y="1"/>
              <w:spacing w:before="30" w:after="30"/>
              <w:jc w:val="center"/>
              <w:rPr>
                <w:rFonts w:eastAsia="Arial Unicode MS"/>
              </w:rPr>
            </w:pPr>
            <w:r>
              <w:t>0,6</w:t>
            </w:r>
          </w:p>
        </w:tc>
        <w:tc>
          <w:tcPr>
            <w:tcW w:w="1418" w:type="dxa"/>
            <w:vAlign w:val="bottom"/>
          </w:tcPr>
          <w:p w:rsidR="002B489A" w:rsidRDefault="004F19C4">
            <w:pPr>
              <w:pStyle w:val="Tabletext"/>
              <w:framePr w:hSpace="181" w:wrap="notBeside" w:vAnchor="text" w:hAnchor="text" w:xAlign="center" w:y="1"/>
              <w:spacing w:before="30" w:after="30"/>
              <w:jc w:val="center"/>
              <w:rPr>
                <w:rFonts w:eastAsia="Arial Unicode MS"/>
              </w:rPr>
            </w:pPr>
            <w:r>
              <w:t>0,6</w:t>
            </w:r>
          </w:p>
        </w:tc>
      </w:tr>
      <w:tr w:rsidR="002B489A">
        <w:tc>
          <w:tcPr>
            <w:tcW w:w="4536" w:type="dxa"/>
            <w:vAlign w:val="bottom"/>
          </w:tcPr>
          <w:p w:rsidR="002B489A" w:rsidRDefault="004F19C4">
            <w:pPr>
              <w:pStyle w:val="Tabletext"/>
              <w:framePr w:hSpace="181" w:wrap="notBeside" w:vAnchor="text" w:hAnchor="text" w:xAlign="center" w:y="1"/>
              <w:spacing w:before="30" w:after="30"/>
              <w:ind w:left="284" w:right="284"/>
              <w:jc w:val="left"/>
              <w:rPr>
                <w:rFonts w:eastAsia="Arial Unicode MS"/>
              </w:rPr>
            </w:pPr>
            <w:r>
              <w:t>Taille de pixel (km</w:t>
            </w:r>
            <w:r>
              <w:rPr>
                <w:vertAlign w:val="superscript"/>
              </w:rPr>
              <w:t>2</w:t>
            </w:r>
            <w:r>
              <w:t>)</w:t>
            </w:r>
          </w:p>
        </w:tc>
        <w:tc>
          <w:tcPr>
            <w:tcW w:w="1418" w:type="dxa"/>
            <w:vAlign w:val="bottom"/>
          </w:tcPr>
          <w:p w:rsidR="002B489A" w:rsidRDefault="004F19C4">
            <w:pPr>
              <w:pStyle w:val="Tabletext"/>
              <w:framePr w:hSpace="181" w:wrap="notBeside" w:vAnchor="text" w:hAnchor="text" w:xAlign="center" w:y="1"/>
              <w:spacing w:before="30" w:after="30"/>
              <w:jc w:val="center"/>
              <w:rPr>
                <w:rFonts w:eastAsia="Arial Unicode MS"/>
              </w:rPr>
            </w:pPr>
            <w:r>
              <w:t>201</w:t>
            </w:r>
          </w:p>
        </w:tc>
        <w:tc>
          <w:tcPr>
            <w:tcW w:w="1418" w:type="dxa"/>
            <w:vAlign w:val="bottom"/>
          </w:tcPr>
          <w:p w:rsidR="002B489A" w:rsidRDefault="004F19C4">
            <w:pPr>
              <w:pStyle w:val="Tabletext"/>
              <w:framePr w:hSpace="181" w:wrap="notBeside" w:vAnchor="text" w:hAnchor="text" w:xAlign="center" w:y="1"/>
              <w:spacing w:before="30" w:after="30"/>
              <w:jc w:val="center"/>
              <w:rPr>
                <w:rFonts w:eastAsia="Arial Unicode MS"/>
              </w:rPr>
            </w:pPr>
            <w:r>
              <w:t>201</w:t>
            </w:r>
          </w:p>
        </w:tc>
      </w:tr>
      <w:tr w:rsidR="002B489A">
        <w:tc>
          <w:tcPr>
            <w:tcW w:w="4536" w:type="dxa"/>
            <w:vAlign w:val="bottom"/>
          </w:tcPr>
          <w:p w:rsidR="002B489A" w:rsidRDefault="004F19C4">
            <w:pPr>
              <w:pStyle w:val="Tabletext"/>
              <w:framePr w:hSpace="181" w:wrap="notBeside" w:vAnchor="text" w:hAnchor="text" w:xAlign="center" w:y="1"/>
              <w:spacing w:before="30" w:after="30"/>
              <w:ind w:left="284" w:right="284"/>
              <w:jc w:val="left"/>
              <w:rPr>
                <w:rFonts w:eastAsia="Arial Unicode MS"/>
              </w:rPr>
            </w:pPr>
            <w:r>
              <w:t>Nombre d'émetteurs</w:t>
            </w:r>
          </w:p>
        </w:tc>
        <w:tc>
          <w:tcPr>
            <w:tcW w:w="1418" w:type="dxa"/>
            <w:vAlign w:val="bottom"/>
          </w:tcPr>
          <w:p w:rsidR="002B489A" w:rsidRDefault="004F19C4">
            <w:pPr>
              <w:pStyle w:val="Tabletext"/>
              <w:framePr w:hSpace="181" w:wrap="notBeside" w:vAnchor="text" w:hAnchor="text" w:xAlign="center" w:y="1"/>
              <w:spacing w:before="30" w:after="30"/>
              <w:jc w:val="center"/>
              <w:rPr>
                <w:rFonts w:eastAsia="Arial Unicode MS"/>
              </w:rPr>
            </w:pPr>
            <w:r>
              <w:t>121</w:t>
            </w:r>
          </w:p>
        </w:tc>
        <w:tc>
          <w:tcPr>
            <w:tcW w:w="1418" w:type="dxa"/>
            <w:vAlign w:val="bottom"/>
          </w:tcPr>
          <w:p w:rsidR="002B489A" w:rsidRDefault="004F19C4">
            <w:pPr>
              <w:pStyle w:val="Tabletext"/>
              <w:framePr w:hSpace="181" w:wrap="notBeside" w:vAnchor="text" w:hAnchor="text" w:xAlign="center" w:y="1"/>
              <w:spacing w:before="30" w:after="30"/>
              <w:jc w:val="center"/>
              <w:rPr>
                <w:rFonts w:eastAsia="Arial Unicode MS"/>
              </w:rPr>
            </w:pPr>
            <w:r>
              <w:t>121</w:t>
            </w:r>
          </w:p>
        </w:tc>
      </w:tr>
      <w:tr w:rsidR="002B489A">
        <w:tc>
          <w:tcPr>
            <w:tcW w:w="4536" w:type="dxa"/>
            <w:vAlign w:val="bottom"/>
          </w:tcPr>
          <w:p w:rsidR="002B489A" w:rsidRDefault="004F19C4">
            <w:pPr>
              <w:pStyle w:val="Tabletext"/>
              <w:framePr w:hSpace="181" w:wrap="notBeside" w:vAnchor="text" w:hAnchor="text" w:xAlign="center" w:y="1"/>
              <w:spacing w:before="30" w:after="30"/>
              <w:ind w:left="284" w:right="284"/>
              <w:jc w:val="left"/>
              <w:rPr>
                <w:rFonts w:eastAsia="Arial Unicode MS"/>
              </w:rPr>
            </w:pPr>
            <w:r>
              <w:t>Puissance par émetteur (dB(W/MHz))</w:t>
            </w:r>
          </w:p>
        </w:tc>
        <w:tc>
          <w:tcPr>
            <w:tcW w:w="1418" w:type="dxa"/>
            <w:vAlign w:val="bottom"/>
          </w:tcPr>
          <w:p w:rsidR="002B489A" w:rsidRDefault="004F19C4">
            <w:pPr>
              <w:pStyle w:val="Tabletext"/>
              <w:framePr w:hSpace="181" w:wrap="notBeside" w:vAnchor="text" w:hAnchor="text" w:xAlign="center" w:y="1"/>
              <w:spacing w:before="30" w:after="30"/>
              <w:jc w:val="center"/>
              <w:rPr>
                <w:rFonts w:eastAsia="Arial Unicode MS"/>
              </w:rPr>
            </w:pPr>
            <w:r>
              <w:t>–56,3</w:t>
            </w:r>
          </w:p>
        </w:tc>
        <w:tc>
          <w:tcPr>
            <w:tcW w:w="1418" w:type="dxa"/>
            <w:vAlign w:val="bottom"/>
          </w:tcPr>
          <w:p w:rsidR="002B489A" w:rsidRDefault="004F19C4">
            <w:pPr>
              <w:pStyle w:val="Tabletext"/>
              <w:framePr w:hSpace="181" w:wrap="notBeside" w:vAnchor="text" w:hAnchor="text" w:xAlign="center" w:y="1"/>
              <w:spacing w:before="30" w:after="30"/>
              <w:jc w:val="center"/>
              <w:rPr>
                <w:rFonts w:eastAsia="Arial Unicode MS"/>
              </w:rPr>
            </w:pPr>
            <w:r>
              <w:t>–57,8</w:t>
            </w:r>
          </w:p>
        </w:tc>
      </w:tr>
      <w:tr w:rsidR="002B489A">
        <w:tc>
          <w:tcPr>
            <w:tcW w:w="4536" w:type="dxa"/>
            <w:vAlign w:val="bottom"/>
          </w:tcPr>
          <w:p w:rsidR="002B489A" w:rsidRDefault="004F19C4">
            <w:pPr>
              <w:pStyle w:val="Tabletext"/>
              <w:framePr w:hSpace="181" w:wrap="notBeside" w:vAnchor="text" w:hAnchor="text" w:xAlign="center" w:y="1"/>
              <w:spacing w:before="30" w:after="30"/>
              <w:ind w:left="284" w:right="284"/>
              <w:jc w:val="left"/>
              <w:rPr>
                <w:rFonts w:eastAsia="Arial Unicode MS"/>
              </w:rPr>
            </w:pPr>
            <w:r>
              <w:t>Puissance par émetteur (dB(W/100 MHz))</w:t>
            </w:r>
          </w:p>
        </w:tc>
        <w:tc>
          <w:tcPr>
            <w:tcW w:w="1418" w:type="dxa"/>
            <w:vAlign w:val="bottom"/>
          </w:tcPr>
          <w:p w:rsidR="002B489A" w:rsidRDefault="004F19C4">
            <w:pPr>
              <w:pStyle w:val="Tabletext"/>
              <w:framePr w:hSpace="181" w:wrap="notBeside" w:vAnchor="text" w:hAnchor="text" w:xAlign="center" w:y="1"/>
              <w:spacing w:before="30" w:after="30"/>
              <w:jc w:val="center"/>
              <w:rPr>
                <w:rFonts w:eastAsia="Arial Unicode MS"/>
              </w:rPr>
            </w:pPr>
            <w:r>
              <w:t>–36,3</w:t>
            </w:r>
          </w:p>
        </w:tc>
        <w:tc>
          <w:tcPr>
            <w:tcW w:w="1418" w:type="dxa"/>
            <w:vAlign w:val="bottom"/>
          </w:tcPr>
          <w:p w:rsidR="002B489A" w:rsidRDefault="004F19C4">
            <w:pPr>
              <w:pStyle w:val="Tabletext"/>
              <w:framePr w:hSpace="181" w:wrap="notBeside" w:vAnchor="text" w:hAnchor="text" w:xAlign="center" w:y="1"/>
              <w:spacing w:before="30" w:after="30"/>
              <w:jc w:val="center"/>
              <w:rPr>
                <w:rFonts w:eastAsia="Arial Unicode MS"/>
              </w:rPr>
            </w:pPr>
            <w:r>
              <w:t>–37,8</w:t>
            </w:r>
          </w:p>
        </w:tc>
      </w:tr>
    </w:tbl>
    <w:p w:rsidR="002B489A" w:rsidRDefault="002B489A">
      <w:pPr>
        <w:pStyle w:val="Tablefin"/>
        <w:spacing w:before="0"/>
        <w:rPr>
          <w:sz w:val="6"/>
        </w:rPr>
      </w:pPr>
    </w:p>
    <w:p w:rsidR="002B489A" w:rsidRDefault="004F19C4">
      <w:pPr>
        <w:pStyle w:val="Heading2"/>
        <w:spacing w:before="360"/>
      </w:pPr>
      <w:r>
        <w:br w:type="page"/>
        <w:t>4.3</w:t>
      </w:r>
      <w:r>
        <w:tab/>
        <w:t>Valeur obtenue</w:t>
      </w:r>
    </w:p>
    <w:p w:rsidR="002B489A" w:rsidRDefault="004F19C4">
      <w:pPr>
        <w:pStyle w:val="Heading3"/>
      </w:pPr>
      <w:r>
        <w:t>4.3.1</w:t>
      </w:r>
      <w:r>
        <w:tab/>
        <w:t>Niveau des rayonnements non désirés fondé sur des Recommandations de l'UIT-R</w:t>
      </w:r>
    </w:p>
    <w:p w:rsidR="002B489A" w:rsidRDefault="004F19C4">
      <w:r>
        <w:t>En première approche, seuls les rayonnements non désirés tombant dans le domaine des rayonnements non essentiels sont pris en compte (si la bande de garde est plus grande que le domaine des émissions hors bande). Alors, les niveaux d'affaiblissement fournis dans l'Appendice 3 du RR et la Recommandation UIT-R SM.329 sont utilisés pour calculer les niveaux de rayonnements non désirés provenant du service fixe qui tombent au sein du domaine des rayonnements non essentiels (décalage supérieur à 250% de la largeur de bande nécessaire ou de la séparation de canal par rapport à la fréquence centrale du signal de service fixe). Dans le cas de systèmes du service fixe, l'affaiblissement spécifié à l'Appendice 3 du RR devrait être, en dBc, le minimum de 70 dBc ou (43 </w:t>
      </w:r>
      <w:r>
        <w:rPr>
          <w:rFonts w:ascii="Symbol" w:hAnsi="Symbol"/>
        </w:rPr>
        <w:t></w:t>
      </w:r>
      <w:r>
        <w:t> 10 log (</w:t>
      </w:r>
      <w:r>
        <w:rPr>
          <w:i/>
          <w:iCs/>
        </w:rPr>
        <w:t>P</w:t>
      </w:r>
      <w:r>
        <w:t>)).</w:t>
      </w:r>
    </w:p>
    <w:p w:rsidR="002B489A" w:rsidRDefault="004F19C4">
      <w:r>
        <w:t>Sur la base de l'approche de première étape, pour un système fonctionnant avec une puissance de sortie de 0 dBW et un espacement entre canaux de 56 MHz (voir le Tableau 74), la limite des rayonnements non essentiels pour ce système est:</w:t>
      </w:r>
    </w:p>
    <w:p w:rsidR="002B489A" w:rsidRDefault="004F19C4">
      <w:pPr>
        <w:pStyle w:val="Equation"/>
        <w:tabs>
          <w:tab w:val="left" w:pos="3960"/>
        </w:tabs>
      </w:pPr>
      <w:r>
        <w:tab/>
      </w:r>
      <w:r>
        <w:rPr>
          <w:i/>
          <w:iCs/>
        </w:rPr>
        <w:t>P</w:t>
      </w:r>
      <w:r>
        <w:t xml:space="preserve"> (dBW) – (43 </w:t>
      </w:r>
      <w:r>
        <w:rPr>
          <w:rFonts w:ascii="Symbol" w:hAnsi="Symbol"/>
        </w:rPr>
        <w:t></w:t>
      </w:r>
      <w:r>
        <w:t xml:space="preserve"> </w:t>
      </w:r>
      <w:r>
        <w:rPr>
          <w:i/>
          <w:iCs/>
        </w:rPr>
        <w:t>P</w:t>
      </w:r>
      <w:r>
        <w:t>)</w:t>
      </w:r>
      <w:r>
        <w:tab/>
      </w:r>
      <w:r>
        <w:tab/>
        <w:t>dB dans une largeur de bande de référence de 1 MHz</w:t>
      </w:r>
    </w:p>
    <w:p w:rsidR="002B489A" w:rsidRDefault="004F19C4">
      <w:r>
        <w:t>Le Tableau 79 donne le niveau de rayonnements non essentiels qui peuvent tomber dans une largeur de bande de référence de 100 MHz.</w:t>
      </w:r>
    </w:p>
    <w:p w:rsidR="002B489A" w:rsidRDefault="004F19C4">
      <w:pPr>
        <w:pStyle w:val="TableNo"/>
        <w:rPr>
          <w:lang w:eastAsia="fr-FR"/>
        </w:rPr>
      </w:pPr>
      <w:r>
        <w:rPr>
          <w:lang w:eastAsia="fr-FR"/>
        </w:rPr>
        <w:t>TABLEAU  79</w:t>
      </w:r>
    </w:p>
    <w:p w:rsidR="002B489A" w:rsidRDefault="004F19C4">
      <w:pPr>
        <w:pStyle w:val="Tabletitle"/>
      </w:pPr>
      <w:r>
        <w:t xml:space="preserve">Calcul du niveau des rayonnements non essentiels qui peuvent tomber </w:t>
      </w:r>
      <w:r>
        <w:br/>
        <w:t>dans une largeur de bande de 100 MHz</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9"/>
        <w:gridCol w:w="2835"/>
        <w:gridCol w:w="2835"/>
      </w:tblGrid>
      <w:tr w:rsidR="002B489A">
        <w:tc>
          <w:tcPr>
            <w:tcW w:w="3969" w:type="dxa"/>
          </w:tcPr>
          <w:p w:rsidR="002B489A" w:rsidRDefault="004F19C4">
            <w:pPr>
              <w:pStyle w:val="Tablehead"/>
              <w:framePr w:hSpace="181" w:wrap="notBeside" w:vAnchor="text" w:hAnchor="text" w:xAlign="center" w:y="1"/>
            </w:pPr>
            <w:r>
              <w:t>Système du service fixe</w:t>
            </w:r>
          </w:p>
        </w:tc>
        <w:tc>
          <w:tcPr>
            <w:tcW w:w="2835" w:type="dxa"/>
          </w:tcPr>
          <w:p w:rsidR="002B489A" w:rsidRDefault="004F19C4">
            <w:pPr>
              <w:pStyle w:val="Tablehead"/>
              <w:framePr w:hSpace="181" w:wrap="notBeside" w:vAnchor="text" w:hAnchor="text" w:xAlign="center" w:y="1"/>
            </w:pPr>
            <w:r>
              <w:t>Niveau des rayonnements non essentiels par MHz</w:t>
            </w:r>
            <w:r>
              <w:br/>
              <w:t>(dBW)</w:t>
            </w:r>
          </w:p>
        </w:tc>
        <w:tc>
          <w:tcPr>
            <w:tcW w:w="2835" w:type="dxa"/>
          </w:tcPr>
          <w:p w:rsidR="002B489A" w:rsidRDefault="004F19C4">
            <w:pPr>
              <w:pStyle w:val="Tablehead"/>
              <w:framePr w:hSpace="181" w:wrap="notBeside" w:vAnchor="text" w:hAnchor="text" w:xAlign="center" w:y="1"/>
            </w:pPr>
            <w:r>
              <w:t>Niveau des rayonnements non essentiels par 100 MHz</w:t>
            </w:r>
            <w:r>
              <w:br/>
              <w:t>(dBW)</w:t>
            </w:r>
          </w:p>
        </w:tc>
      </w:tr>
      <w:tr w:rsidR="002B489A">
        <w:tc>
          <w:tcPr>
            <w:tcW w:w="3969" w:type="dxa"/>
          </w:tcPr>
          <w:p w:rsidR="002B489A" w:rsidRDefault="004F19C4">
            <w:pPr>
              <w:pStyle w:val="Tabletext"/>
              <w:framePr w:hSpace="181" w:wrap="notBeside" w:vAnchor="text" w:hAnchor="text" w:xAlign="center" w:y="1"/>
            </w:pPr>
            <w:r>
              <w:t>Point à point 56 MHz (Tableau 75)</w:t>
            </w:r>
          </w:p>
        </w:tc>
        <w:tc>
          <w:tcPr>
            <w:tcW w:w="2835" w:type="dxa"/>
          </w:tcPr>
          <w:p w:rsidR="002B489A" w:rsidRDefault="004F19C4">
            <w:pPr>
              <w:pStyle w:val="Tabletext"/>
              <w:framePr w:hSpace="181" w:wrap="notBeside" w:vAnchor="text" w:hAnchor="text" w:xAlign="center" w:y="1"/>
              <w:jc w:val="center"/>
            </w:pPr>
            <w:r>
              <w:sym w:font="Symbol" w:char="F02D"/>
            </w:r>
            <w:r>
              <w:t>43</w:t>
            </w:r>
          </w:p>
        </w:tc>
        <w:tc>
          <w:tcPr>
            <w:tcW w:w="2835" w:type="dxa"/>
          </w:tcPr>
          <w:p w:rsidR="002B489A" w:rsidRDefault="004F19C4">
            <w:pPr>
              <w:pStyle w:val="Tabletext"/>
              <w:framePr w:hSpace="181" w:wrap="notBeside" w:vAnchor="text" w:hAnchor="text" w:xAlign="center" w:y="1"/>
              <w:jc w:val="center"/>
            </w:pPr>
            <w:r>
              <w:sym w:font="Symbol" w:char="F02D"/>
            </w:r>
            <w:r>
              <w:t>23</w:t>
            </w:r>
          </w:p>
        </w:tc>
      </w:tr>
      <w:tr w:rsidR="002B489A">
        <w:tc>
          <w:tcPr>
            <w:tcW w:w="3969" w:type="dxa"/>
          </w:tcPr>
          <w:p w:rsidR="002B489A" w:rsidRDefault="004F19C4">
            <w:pPr>
              <w:pStyle w:val="Tabletext"/>
              <w:framePr w:hSpace="181" w:wrap="notBeside" w:vAnchor="text" w:hAnchor="text" w:xAlign="center" w:y="1"/>
            </w:pPr>
            <w:r>
              <w:t>Point à point 3,5 MHz (Tableau 75)</w:t>
            </w:r>
          </w:p>
        </w:tc>
        <w:tc>
          <w:tcPr>
            <w:tcW w:w="2835" w:type="dxa"/>
          </w:tcPr>
          <w:p w:rsidR="002B489A" w:rsidRDefault="004F19C4">
            <w:pPr>
              <w:pStyle w:val="Tabletext"/>
              <w:framePr w:hSpace="181" w:wrap="notBeside" w:vAnchor="text" w:hAnchor="text" w:xAlign="center" w:y="1"/>
              <w:jc w:val="center"/>
            </w:pPr>
            <w:r>
              <w:sym w:font="Symbol" w:char="F02D"/>
            </w:r>
            <w:r>
              <w:t>43</w:t>
            </w:r>
          </w:p>
        </w:tc>
        <w:tc>
          <w:tcPr>
            <w:tcW w:w="2835" w:type="dxa"/>
          </w:tcPr>
          <w:p w:rsidR="002B489A" w:rsidRDefault="004F19C4">
            <w:pPr>
              <w:pStyle w:val="Tabletext"/>
              <w:framePr w:hSpace="181" w:wrap="notBeside" w:vAnchor="text" w:hAnchor="text" w:xAlign="center" w:y="1"/>
              <w:jc w:val="center"/>
            </w:pPr>
            <w:r>
              <w:sym w:font="Symbol" w:char="F02D"/>
            </w:r>
            <w:r>
              <w:t>23</w:t>
            </w:r>
          </w:p>
        </w:tc>
      </w:tr>
      <w:tr w:rsidR="002B489A">
        <w:tc>
          <w:tcPr>
            <w:tcW w:w="3969" w:type="dxa"/>
          </w:tcPr>
          <w:p w:rsidR="002B489A" w:rsidRDefault="004F19C4">
            <w:pPr>
              <w:pStyle w:val="Tabletext"/>
              <w:framePr w:hSpace="181" w:wrap="notBeside" w:vAnchor="text" w:hAnchor="text" w:xAlign="center" w:y="1"/>
            </w:pPr>
            <w:r>
              <w:t>P</w:t>
            </w:r>
            <w:r>
              <w:noBreakHyphen/>
              <w:t>MP 50 MHz (Tableau 76)</w:t>
            </w:r>
          </w:p>
        </w:tc>
        <w:tc>
          <w:tcPr>
            <w:tcW w:w="2835" w:type="dxa"/>
          </w:tcPr>
          <w:p w:rsidR="002B489A" w:rsidRDefault="004F19C4">
            <w:pPr>
              <w:pStyle w:val="Tabletext"/>
              <w:framePr w:hSpace="181" w:wrap="notBeside" w:vAnchor="text" w:hAnchor="text" w:xAlign="center" w:y="1"/>
              <w:jc w:val="center"/>
            </w:pPr>
            <w:r>
              <w:sym w:font="Symbol" w:char="F02D"/>
            </w:r>
            <w:r>
              <w:t>43</w:t>
            </w:r>
          </w:p>
        </w:tc>
        <w:tc>
          <w:tcPr>
            <w:tcW w:w="2835" w:type="dxa"/>
          </w:tcPr>
          <w:p w:rsidR="002B489A" w:rsidRDefault="004F19C4">
            <w:pPr>
              <w:pStyle w:val="Tabletext"/>
              <w:framePr w:hSpace="181" w:wrap="notBeside" w:vAnchor="text" w:hAnchor="text" w:xAlign="center" w:y="1"/>
              <w:jc w:val="center"/>
            </w:pPr>
            <w:r>
              <w:sym w:font="Symbol" w:char="F02D"/>
            </w:r>
            <w:r>
              <w:t>23</w:t>
            </w:r>
          </w:p>
        </w:tc>
      </w:tr>
      <w:tr w:rsidR="002B489A">
        <w:tc>
          <w:tcPr>
            <w:tcW w:w="3969" w:type="dxa"/>
          </w:tcPr>
          <w:p w:rsidR="002B489A" w:rsidRDefault="004F19C4">
            <w:pPr>
              <w:pStyle w:val="Tabletext"/>
              <w:framePr w:hSpace="181" w:wrap="notBeside" w:vAnchor="text" w:hAnchor="text" w:xAlign="center" w:y="1"/>
            </w:pPr>
            <w:r>
              <w:t>P</w:t>
            </w:r>
            <w:r>
              <w:noBreakHyphen/>
              <w:t>MP 2,5 MHz (Tableau 76)</w:t>
            </w:r>
          </w:p>
        </w:tc>
        <w:tc>
          <w:tcPr>
            <w:tcW w:w="2835" w:type="dxa"/>
          </w:tcPr>
          <w:p w:rsidR="002B489A" w:rsidRDefault="004F19C4">
            <w:pPr>
              <w:pStyle w:val="Tabletext"/>
              <w:framePr w:hSpace="181" w:wrap="notBeside" w:vAnchor="text" w:hAnchor="text" w:xAlign="center" w:y="1"/>
              <w:jc w:val="center"/>
            </w:pPr>
            <w:r>
              <w:sym w:font="Symbol" w:char="F02D"/>
            </w:r>
            <w:r>
              <w:t>43</w:t>
            </w:r>
          </w:p>
        </w:tc>
        <w:tc>
          <w:tcPr>
            <w:tcW w:w="2835" w:type="dxa"/>
          </w:tcPr>
          <w:p w:rsidR="002B489A" w:rsidRDefault="004F19C4">
            <w:pPr>
              <w:pStyle w:val="Tabletext"/>
              <w:framePr w:hSpace="181" w:wrap="notBeside" w:vAnchor="text" w:hAnchor="text" w:xAlign="center" w:y="1"/>
              <w:jc w:val="center"/>
            </w:pPr>
            <w:r>
              <w:sym w:font="Symbol" w:char="F02D"/>
            </w:r>
            <w:r>
              <w:t>23</w:t>
            </w:r>
          </w:p>
        </w:tc>
      </w:tr>
    </w:tbl>
    <w:p w:rsidR="002B489A" w:rsidRDefault="002B489A">
      <w:pPr>
        <w:pStyle w:val="Tablefin"/>
        <w:spacing w:before="0"/>
      </w:pPr>
    </w:p>
    <w:p w:rsidR="002B489A" w:rsidRDefault="004F19C4">
      <w:pPr>
        <w:spacing w:before="240"/>
      </w:pPr>
      <w:r>
        <w:t>Cette approche de première étape conduit à la conclusion que même si on ne considère que les rayonnements non désirés tombant dans le domaine des rayonnements non essentiels, les critères de protection SETS ne sont pas satisfaits.</w:t>
      </w:r>
    </w:p>
    <w:p w:rsidR="002B489A" w:rsidRDefault="004F19C4">
      <w:pPr>
        <w:pStyle w:val="Heading3"/>
      </w:pPr>
      <w:r>
        <w:t>4.3.2</w:t>
      </w:r>
      <w:r>
        <w:tab/>
        <w:t>Précision des calculs</w:t>
      </w:r>
    </w:p>
    <w:p w:rsidR="002B489A" w:rsidRDefault="004F19C4">
      <w:pPr>
        <w:tabs>
          <w:tab w:val="clear" w:pos="794"/>
        </w:tabs>
      </w:pPr>
      <w:r>
        <w:t xml:space="preserve">Dans la mesure où la première étape du calcul a montré que les critères de brouillage SETS ne seront pas satisfaits, la précision des calculs va prendre en compte les caractéristiques des systèmes de rayonnement non désiré qui seront déployés dans cette bande. En particulier, les paragraphes qui suivent se fondent sur les caractéristiques des systèmes décrits à l'Institut européen des normes de télécommunications (ETSI, </w:t>
      </w:r>
      <w:r>
        <w:rPr>
          <w:i/>
          <w:iCs/>
        </w:rPr>
        <w:t>European Telecommunications Standard Institute</w:t>
      </w:r>
      <w:r>
        <w:t>). L'approche, qui est décrite dans les paragraphes qui suivent, a été utilisée au sein de la Conférence européenne des administrations des postes et des télécommunications (CEPT) pour calculer la bande de garde requise de telle sorte que les rayonnements non désirés provenant des systèmes du service fixe qui tombent dans la bande SETS satisfassent aux critères de brouillage SETS donnés au § 4.2 (</w:t>
      </w:r>
      <w:r>
        <w:sym w:font="Symbol" w:char="F02D"/>
      </w:r>
      <w:r>
        <w:t>37,8 dB(W/100 MHz)). Ces résultats ont été pris en compte pour développer les dispositions de canaux pour les systèmes du service fixe fonctionnant dans la bande 31</w:t>
      </w:r>
      <w:r>
        <w:noBreakHyphen/>
        <w:t>31,3 GHz.</w:t>
      </w:r>
    </w:p>
    <w:p w:rsidR="002B489A" w:rsidRDefault="004F19C4">
      <w:pPr>
        <w:pStyle w:val="Heading4"/>
      </w:pPr>
      <w:r>
        <w:br w:type="page"/>
        <w:t>4.3.2.1</w:t>
      </w:r>
      <w:r>
        <w:tab/>
        <w:t>Systèmes du service fixe point à point</w:t>
      </w:r>
    </w:p>
    <w:p w:rsidR="002B489A" w:rsidRDefault="004F19C4">
      <w:pPr>
        <w:pStyle w:val="Heading5"/>
      </w:pPr>
      <w:r>
        <w:rPr>
          <w:lang w:eastAsia="fr-FR"/>
        </w:rPr>
        <w:t>4.3.2.1.1</w:t>
      </w:r>
      <w:r>
        <w:rPr>
          <w:lang w:eastAsia="fr-FR"/>
        </w:rPr>
        <w:tab/>
        <w:t>Gabarits d'émissions hors bande pour les systèmes point à point</w:t>
      </w:r>
    </w:p>
    <w:p w:rsidR="002B489A" w:rsidRDefault="004F19C4">
      <w:pPr>
        <w:tabs>
          <w:tab w:val="clear" w:pos="794"/>
        </w:tabs>
      </w:pPr>
      <w:r>
        <w:t>Pour les besoins de ces analyses, on considère le gabarit hors bande donné dans la Norme ETSI EN 300 197 qui donne le gabarit hors bande pour les systèmes radioélectriques fixes, les équipements point à point, et les paramètres pour les systèmes radioélectriques de transmission de signaux numériques fonctionnant à 32 GHz et 38 GHz.</w:t>
      </w:r>
    </w:p>
    <w:p w:rsidR="002B489A" w:rsidRDefault="004F19C4">
      <w:pPr>
        <w:tabs>
          <w:tab w:val="clear" w:pos="794"/>
        </w:tabs>
      </w:pPr>
      <w:r>
        <w:t>L'analyse considère le cas le plus défavorable de gabarit d'émissions hors bande donné dans la Norme ETSI EN 300 197, ce qui conduit à considérer les gabarits suivants (voir la Fig. 49).</w:t>
      </w:r>
    </w:p>
    <w:p w:rsidR="002B489A" w:rsidRDefault="004F19C4">
      <w:pPr>
        <w:pStyle w:val="FigureNo"/>
      </w:pPr>
      <w:r>
        <w:object w:dxaOrig="5363" w:dyaOrig="5098">
          <v:shape id="_x0000_i1055" type="#_x0000_t75" style="width:268.5pt;height:255pt" o:ole="">
            <v:imagedata r:id="rId98" o:title=""/>
          </v:shape>
          <o:OLEObject Type="Embed" ProgID="Designer.Drawing.7" ShapeID="_x0000_i1055" DrawAspect="Content" ObjectID="_1649163301" r:id="rId99"/>
        </w:object>
      </w:r>
    </w:p>
    <w:p w:rsidR="002B489A" w:rsidRDefault="004F19C4">
      <w:pPr>
        <w:pStyle w:val="Note"/>
      </w:pPr>
      <w:r>
        <w:t>NOTE 1 –</w:t>
      </w:r>
      <w:r>
        <w:rPr>
          <w:b/>
        </w:rPr>
        <w:t> </w:t>
      </w:r>
      <w:r>
        <w:rPr>
          <w:lang w:eastAsia="fr-FR"/>
        </w:rPr>
        <w:t>Le niveau 0 dB indiqué sur les gabarits spectraux se rapporte à la DSP de la fréquence centrale nominale sans considération de la porteuse résiduelle.</w:t>
      </w:r>
    </w:p>
    <w:p w:rsidR="002B489A" w:rsidRDefault="004F19C4">
      <w:pPr>
        <w:tabs>
          <w:tab w:val="clear" w:pos="794"/>
        </w:tabs>
      </w:pPr>
      <w:r>
        <w:t xml:space="preserve">Le Tableau 80 donne les valeurs de </w:t>
      </w:r>
      <w:r>
        <w:rPr>
          <w:i/>
        </w:rPr>
        <w:t>f</w:t>
      </w:r>
      <w:r>
        <w:rPr>
          <w:i/>
          <w:iCs/>
          <w:vertAlign w:val="subscript"/>
        </w:rPr>
        <w:t>i</w:t>
      </w:r>
      <w:r>
        <w:t xml:space="preserve"> selon l'espacement entre canaux, qui peut s'étendre de 3,5 MHz à 56 MHz selon la Norme ETSI EN 300 197.</w:t>
      </w:r>
    </w:p>
    <w:p w:rsidR="002B489A" w:rsidRDefault="004F19C4">
      <w:pPr>
        <w:pStyle w:val="TableNo"/>
      </w:pPr>
      <w:r>
        <w:t>TABLEAU  80</w:t>
      </w:r>
    </w:p>
    <w:p w:rsidR="002B489A" w:rsidRDefault="004F19C4">
      <w:pPr>
        <w:pStyle w:val="Tabletitle"/>
      </w:pPr>
      <w:r>
        <w:t>Points de rupture du gabarit d'émissions hors bande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3"/>
        <w:gridCol w:w="992"/>
        <w:gridCol w:w="1134"/>
        <w:gridCol w:w="1134"/>
        <w:gridCol w:w="1134"/>
        <w:gridCol w:w="1134"/>
        <w:gridCol w:w="1134"/>
      </w:tblGrid>
      <w:tr w:rsidR="002B489A">
        <w:tc>
          <w:tcPr>
            <w:tcW w:w="1913" w:type="dxa"/>
            <w:vAlign w:val="center"/>
          </w:tcPr>
          <w:p w:rsidR="002B489A" w:rsidRDefault="004F19C4">
            <w:pPr>
              <w:pStyle w:val="Tablehead"/>
              <w:framePr w:hSpace="181" w:wrap="notBeside" w:vAnchor="text" w:hAnchor="text" w:xAlign="center" w:y="1"/>
            </w:pPr>
            <w:r>
              <w:t>Espacement entre canaux</w:t>
            </w:r>
            <w:r>
              <w:br/>
              <w:t>(MHz)</w:t>
            </w:r>
          </w:p>
        </w:tc>
        <w:tc>
          <w:tcPr>
            <w:tcW w:w="992" w:type="dxa"/>
            <w:vAlign w:val="center"/>
          </w:tcPr>
          <w:p w:rsidR="002B489A" w:rsidRDefault="004F19C4">
            <w:pPr>
              <w:pStyle w:val="Tablehead"/>
              <w:framePr w:hSpace="181" w:wrap="notBeside" w:vAnchor="text" w:hAnchor="text" w:xAlign="center" w:y="1"/>
              <w:rPr>
                <w:lang w:val="en-GB"/>
              </w:rPr>
            </w:pPr>
            <w:r>
              <w:rPr>
                <w:lang w:val="en-GB"/>
              </w:rPr>
              <w:t xml:space="preserve">K1 </w:t>
            </w:r>
            <w:r>
              <w:rPr>
                <w:lang w:val="en-GB"/>
              </w:rPr>
              <w:br/>
              <w:t>(dB)</w:t>
            </w:r>
          </w:p>
        </w:tc>
        <w:tc>
          <w:tcPr>
            <w:tcW w:w="1134" w:type="dxa"/>
            <w:vAlign w:val="center"/>
          </w:tcPr>
          <w:p w:rsidR="002B489A" w:rsidRDefault="004F19C4">
            <w:pPr>
              <w:pStyle w:val="Tablehead"/>
              <w:framePr w:hSpace="181" w:wrap="notBeside" w:vAnchor="text" w:hAnchor="text" w:xAlign="center" w:y="1"/>
              <w:rPr>
                <w:lang w:val="en-GB"/>
              </w:rPr>
            </w:pPr>
            <w:r>
              <w:rPr>
                <w:i/>
                <w:iCs/>
                <w:lang w:val="en-GB"/>
              </w:rPr>
              <w:t>f</w:t>
            </w:r>
            <w:r>
              <w:rPr>
                <w:vertAlign w:val="subscript"/>
                <w:lang w:val="en-GB"/>
              </w:rPr>
              <w:t>1</w:t>
            </w:r>
            <w:r>
              <w:rPr>
                <w:lang w:val="en-GB"/>
              </w:rPr>
              <w:t xml:space="preserve"> </w:t>
            </w:r>
            <w:r>
              <w:rPr>
                <w:lang w:val="en-GB"/>
              </w:rPr>
              <w:br/>
              <w:t>(MHz)</w:t>
            </w:r>
          </w:p>
        </w:tc>
        <w:tc>
          <w:tcPr>
            <w:tcW w:w="1134" w:type="dxa"/>
            <w:vAlign w:val="center"/>
          </w:tcPr>
          <w:p w:rsidR="002B489A" w:rsidRDefault="004F19C4">
            <w:pPr>
              <w:pStyle w:val="Tablehead"/>
              <w:framePr w:hSpace="181" w:wrap="notBeside" w:vAnchor="text" w:hAnchor="text" w:xAlign="center" w:y="1"/>
              <w:rPr>
                <w:lang w:val="en-GB"/>
              </w:rPr>
            </w:pPr>
            <w:r>
              <w:rPr>
                <w:i/>
                <w:iCs/>
                <w:lang w:val="en-GB"/>
              </w:rPr>
              <w:t>f</w:t>
            </w:r>
            <w:r>
              <w:rPr>
                <w:vertAlign w:val="subscript"/>
                <w:lang w:val="en-GB"/>
              </w:rPr>
              <w:t>2</w:t>
            </w:r>
            <w:r>
              <w:rPr>
                <w:lang w:val="en-GB"/>
              </w:rPr>
              <w:t xml:space="preserve"> </w:t>
            </w:r>
            <w:r>
              <w:rPr>
                <w:lang w:val="en-GB"/>
              </w:rPr>
              <w:br/>
              <w:t>(MHz)</w:t>
            </w:r>
          </w:p>
        </w:tc>
        <w:tc>
          <w:tcPr>
            <w:tcW w:w="1134" w:type="dxa"/>
            <w:vAlign w:val="center"/>
          </w:tcPr>
          <w:p w:rsidR="002B489A" w:rsidRDefault="004F19C4">
            <w:pPr>
              <w:pStyle w:val="Tablehead"/>
              <w:framePr w:hSpace="181" w:wrap="notBeside" w:vAnchor="text" w:hAnchor="text" w:xAlign="center" w:y="1"/>
              <w:rPr>
                <w:lang w:val="en-GB"/>
              </w:rPr>
            </w:pPr>
            <w:r>
              <w:rPr>
                <w:i/>
                <w:iCs/>
                <w:lang w:val="en-GB"/>
              </w:rPr>
              <w:t>f</w:t>
            </w:r>
            <w:r>
              <w:rPr>
                <w:vertAlign w:val="subscript"/>
                <w:lang w:val="en-GB"/>
              </w:rPr>
              <w:t>3</w:t>
            </w:r>
            <w:r>
              <w:rPr>
                <w:lang w:val="en-GB"/>
              </w:rPr>
              <w:t xml:space="preserve"> </w:t>
            </w:r>
            <w:r>
              <w:rPr>
                <w:lang w:val="en-GB"/>
              </w:rPr>
              <w:br/>
              <w:t>(MHz)</w:t>
            </w:r>
          </w:p>
        </w:tc>
        <w:tc>
          <w:tcPr>
            <w:tcW w:w="1134" w:type="dxa"/>
            <w:vAlign w:val="center"/>
          </w:tcPr>
          <w:p w:rsidR="002B489A" w:rsidRDefault="004F19C4">
            <w:pPr>
              <w:pStyle w:val="Tablehead"/>
              <w:framePr w:hSpace="181" w:wrap="notBeside" w:vAnchor="text" w:hAnchor="text" w:xAlign="center" w:y="1"/>
              <w:rPr>
                <w:lang w:val="en-GB"/>
              </w:rPr>
            </w:pPr>
            <w:r>
              <w:rPr>
                <w:i/>
                <w:iCs/>
                <w:lang w:val="en-GB"/>
              </w:rPr>
              <w:t>f</w:t>
            </w:r>
            <w:r>
              <w:rPr>
                <w:vertAlign w:val="subscript"/>
                <w:lang w:val="en-GB"/>
              </w:rPr>
              <w:t>4</w:t>
            </w:r>
            <w:r>
              <w:rPr>
                <w:lang w:val="en-GB"/>
              </w:rPr>
              <w:t xml:space="preserve"> </w:t>
            </w:r>
            <w:r>
              <w:rPr>
                <w:lang w:val="en-GB"/>
              </w:rPr>
              <w:br/>
              <w:t>(MHz)</w:t>
            </w:r>
          </w:p>
        </w:tc>
        <w:tc>
          <w:tcPr>
            <w:tcW w:w="1134" w:type="dxa"/>
            <w:vAlign w:val="center"/>
          </w:tcPr>
          <w:p w:rsidR="002B489A" w:rsidRDefault="004F19C4">
            <w:pPr>
              <w:pStyle w:val="Tablehead"/>
              <w:framePr w:hSpace="181" w:wrap="notBeside" w:vAnchor="text" w:hAnchor="text" w:xAlign="center" w:y="1"/>
              <w:rPr>
                <w:lang w:val="en-GB"/>
              </w:rPr>
            </w:pPr>
            <w:r>
              <w:rPr>
                <w:i/>
                <w:iCs/>
                <w:lang w:val="en-GB"/>
              </w:rPr>
              <w:t>f</w:t>
            </w:r>
            <w:r>
              <w:rPr>
                <w:vertAlign w:val="subscript"/>
                <w:lang w:val="en-GB"/>
              </w:rPr>
              <w:t>5</w:t>
            </w:r>
            <w:r>
              <w:rPr>
                <w:lang w:val="en-GB"/>
              </w:rPr>
              <w:t xml:space="preserve"> </w:t>
            </w:r>
            <w:r>
              <w:rPr>
                <w:lang w:val="en-GB"/>
              </w:rPr>
              <w:br/>
              <w:t>(MHz)</w:t>
            </w:r>
          </w:p>
        </w:tc>
      </w:tr>
      <w:tr w:rsidR="002B489A">
        <w:tc>
          <w:tcPr>
            <w:tcW w:w="1913" w:type="dxa"/>
          </w:tcPr>
          <w:p w:rsidR="002B489A" w:rsidRDefault="004F19C4">
            <w:pPr>
              <w:pStyle w:val="Tabletext"/>
              <w:framePr w:hSpace="181" w:wrap="notBeside" w:vAnchor="text" w:hAnchor="text" w:xAlign="center" w:y="1"/>
              <w:jc w:val="center"/>
              <w:rPr>
                <w:bCs/>
              </w:rPr>
            </w:pPr>
            <w:r>
              <w:rPr>
                <w:bCs/>
              </w:rPr>
              <w:t>3,5</w:t>
            </w:r>
          </w:p>
        </w:tc>
        <w:tc>
          <w:tcPr>
            <w:tcW w:w="992" w:type="dxa"/>
          </w:tcPr>
          <w:p w:rsidR="002B489A" w:rsidRDefault="004F19C4">
            <w:pPr>
              <w:pStyle w:val="Tabletext"/>
              <w:framePr w:hSpace="181" w:wrap="notBeside" w:vAnchor="text" w:hAnchor="text" w:xAlign="center" w:y="1"/>
              <w:jc w:val="center"/>
              <w:rPr>
                <w:bCs/>
              </w:rPr>
            </w:pPr>
            <w:r>
              <w:rPr>
                <w:rFonts w:ascii="Symbol" w:hAnsi="Symbol"/>
                <w:bCs/>
              </w:rPr>
              <w:t></w:t>
            </w:r>
            <w:r>
              <w:rPr>
                <w:bCs/>
              </w:rPr>
              <w:t>1</w:t>
            </w:r>
          </w:p>
        </w:tc>
        <w:tc>
          <w:tcPr>
            <w:tcW w:w="1134" w:type="dxa"/>
          </w:tcPr>
          <w:p w:rsidR="002B489A" w:rsidRDefault="004F19C4">
            <w:pPr>
              <w:pStyle w:val="Tabletext"/>
              <w:framePr w:hSpace="181" w:wrap="notBeside" w:vAnchor="text" w:hAnchor="text" w:xAlign="center" w:y="1"/>
              <w:jc w:val="center"/>
              <w:rPr>
                <w:bCs/>
              </w:rPr>
            </w:pPr>
            <w:r>
              <w:rPr>
                <w:bCs/>
              </w:rPr>
              <w:t>1,3</w:t>
            </w:r>
          </w:p>
        </w:tc>
        <w:tc>
          <w:tcPr>
            <w:tcW w:w="1134" w:type="dxa"/>
          </w:tcPr>
          <w:p w:rsidR="002B489A" w:rsidRDefault="004F19C4">
            <w:pPr>
              <w:pStyle w:val="Tabletext"/>
              <w:framePr w:hSpace="181" w:wrap="notBeside" w:vAnchor="text" w:hAnchor="text" w:xAlign="center" w:y="1"/>
              <w:jc w:val="center"/>
              <w:rPr>
                <w:bCs/>
              </w:rPr>
            </w:pPr>
            <w:r>
              <w:rPr>
                <w:bCs/>
              </w:rPr>
              <w:t>2</w:t>
            </w:r>
          </w:p>
        </w:tc>
        <w:tc>
          <w:tcPr>
            <w:tcW w:w="1134" w:type="dxa"/>
          </w:tcPr>
          <w:p w:rsidR="002B489A" w:rsidRDefault="004F19C4">
            <w:pPr>
              <w:pStyle w:val="Tabletext"/>
              <w:framePr w:hSpace="181" w:wrap="notBeside" w:vAnchor="text" w:hAnchor="text" w:xAlign="center" w:y="1"/>
              <w:jc w:val="center"/>
              <w:rPr>
                <w:bCs/>
              </w:rPr>
            </w:pPr>
            <w:r>
              <w:rPr>
                <w:bCs/>
              </w:rPr>
              <w:t>2,3</w:t>
            </w:r>
          </w:p>
        </w:tc>
        <w:tc>
          <w:tcPr>
            <w:tcW w:w="1134" w:type="dxa"/>
          </w:tcPr>
          <w:p w:rsidR="002B489A" w:rsidRDefault="004F19C4">
            <w:pPr>
              <w:pStyle w:val="Tabletext"/>
              <w:framePr w:hSpace="181" w:wrap="notBeside" w:vAnchor="text" w:hAnchor="text" w:xAlign="center" w:y="1"/>
              <w:jc w:val="center"/>
              <w:rPr>
                <w:bCs/>
              </w:rPr>
            </w:pPr>
            <w:r>
              <w:rPr>
                <w:bCs/>
              </w:rPr>
              <w:t>4,3</w:t>
            </w:r>
          </w:p>
        </w:tc>
        <w:tc>
          <w:tcPr>
            <w:tcW w:w="1134" w:type="dxa"/>
          </w:tcPr>
          <w:p w:rsidR="002B489A" w:rsidRDefault="004F19C4">
            <w:pPr>
              <w:pStyle w:val="Tabletext"/>
              <w:framePr w:hSpace="181" w:wrap="notBeside" w:vAnchor="text" w:hAnchor="text" w:xAlign="center" w:y="1"/>
              <w:jc w:val="center"/>
              <w:rPr>
                <w:bCs/>
              </w:rPr>
            </w:pPr>
            <w:r>
              <w:rPr>
                <w:bCs/>
              </w:rPr>
              <w:t>8,75</w:t>
            </w:r>
          </w:p>
        </w:tc>
      </w:tr>
      <w:tr w:rsidR="002B489A">
        <w:tc>
          <w:tcPr>
            <w:tcW w:w="1913" w:type="dxa"/>
          </w:tcPr>
          <w:p w:rsidR="002B489A" w:rsidRDefault="004F19C4">
            <w:pPr>
              <w:pStyle w:val="Tabletext"/>
              <w:framePr w:hSpace="181" w:wrap="notBeside" w:vAnchor="text" w:hAnchor="text" w:xAlign="center" w:y="1"/>
              <w:jc w:val="center"/>
              <w:rPr>
                <w:bCs/>
              </w:rPr>
            </w:pPr>
            <w:r>
              <w:rPr>
                <w:bCs/>
              </w:rPr>
              <w:t>7</w:t>
            </w:r>
          </w:p>
        </w:tc>
        <w:tc>
          <w:tcPr>
            <w:tcW w:w="992" w:type="dxa"/>
          </w:tcPr>
          <w:p w:rsidR="002B489A" w:rsidRDefault="004F19C4">
            <w:pPr>
              <w:pStyle w:val="Tabletext"/>
              <w:framePr w:hSpace="181" w:wrap="notBeside" w:vAnchor="text" w:hAnchor="text" w:xAlign="center" w:y="1"/>
              <w:jc w:val="center"/>
              <w:rPr>
                <w:bCs/>
              </w:rPr>
            </w:pPr>
            <w:r>
              <w:rPr>
                <w:rFonts w:ascii="Symbol" w:hAnsi="Symbol"/>
                <w:bCs/>
              </w:rPr>
              <w:t></w:t>
            </w:r>
            <w:r>
              <w:rPr>
                <w:bCs/>
              </w:rPr>
              <w:t>1</w:t>
            </w:r>
          </w:p>
        </w:tc>
        <w:tc>
          <w:tcPr>
            <w:tcW w:w="1134" w:type="dxa"/>
          </w:tcPr>
          <w:p w:rsidR="002B489A" w:rsidRDefault="004F19C4">
            <w:pPr>
              <w:pStyle w:val="Tabletext"/>
              <w:framePr w:hSpace="181" w:wrap="notBeside" w:vAnchor="text" w:hAnchor="text" w:xAlign="center" w:y="1"/>
              <w:jc w:val="center"/>
              <w:rPr>
                <w:bCs/>
              </w:rPr>
            </w:pPr>
            <w:r>
              <w:rPr>
                <w:bCs/>
              </w:rPr>
              <w:t>2,8</w:t>
            </w:r>
          </w:p>
        </w:tc>
        <w:tc>
          <w:tcPr>
            <w:tcW w:w="1134" w:type="dxa"/>
          </w:tcPr>
          <w:p w:rsidR="002B489A" w:rsidRDefault="004F19C4">
            <w:pPr>
              <w:pStyle w:val="Tabletext"/>
              <w:framePr w:hSpace="181" w:wrap="notBeside" w:vAnchor="text" w:hAnchor="text" w:xAlign="center" w:y="1"/>
              <w:jc w:val="center"/>
              <w:rPr>
                <w:bCs/>
              </w:rPr>
            </w:pPr>
            <w:r>
              <w:rPr>
                <w:bCs/>
              </w:rPr>
              <w:t>5,6</w:t>
            </w:r>
          </w:p>
        </w:tc>
        <w:tc>
          <w:tcPr>
            <w:tcW w:w="1134" w:type="dxa"/>
          </w:tcPr>
          <w:p w:rsidR="002B489A" w:rsidRDefault="004F19C4">
            <w:pPr>
              <w:pStyle w:val="Tabletext"/>
              <w:framePr w:hSpace="181" w:wrap="notBeside" w:vAnchor="text" w:hAnchor="text" w:xAlign="center" w:y="1"/>
              <w:jc w:val="center"/>
              <w:rPr>
                <w:bCs/>
              </w:rPr>
            </w:pPr>
            <w:r>
              <w:rPr>
                <w:bCs/>
              </w:rPr>
              <w:t>7</w:t>
            </w:r>
          </w:p>
        </w:tc>
        <w:tc>
          <w:tcPr>
            <w:tcW w:w="1134" w:type="dxa"/>
          </w:tcPr>
          <w:p w:rsidR="002B489A" w:rsidRDefault="004F19C4">
            <w:pPr>
              <w:pStyle w:val="Tabletext"/>
              <w:framePr w:hSpace="181" w:wrap="notBeside" w:vAnchor="text" w:hAnchor="text" w:xAlign="center" w:y="1"/>
              <w:jc w:val="center"/>
              <w:rPr>
                <w:bCs/>
              </w:rPr>
            </w:pPr>
            <w:r>
              <w:rPr>
                <w:bCs/>
              </w:rPr>
              <w:t>14</w:t>
            </w:r>
          </w:p>
        </w:tc>
        <w:tc>
          <w:tcPr>
            <w:tcW w:w="1134" w:type="dxa"/>
          </w:tcPr>
          <w:p w:rsidR="002B489A" w:rsidRDefault="004F19C4">
            <w:pPr>
              <w:pStyle w:val="Tabletext"/>
              <w:framePr w:hSpace="181" w:wrap="notBeside" w:vAnchor="text" w:hAnchor="text" w:xAlign="center" w:y="1"/>
              <w:jc w:val="center"/>
              <w:rPr>
                <w:bCs/>
              </w:rPr>
            </w:pPr>
            <w:r>
              <w:rPr>
                <w:bCs/>
              </w:rPr>
              <w:t>17,5</w:t>
            </w:r>
          </w:p>
        </w:tc>
      </w:tr>
      <w:tr w:rsidR="002B489A">
        <w:tc>
          <w:tcPr>
            <w:tcW w:w="1913" w:type="dxa"/>
          </w:tcPr>
          <w:p w:rsidR="002B489A" w:rsidRDefault="004F19C4">
            <w:pPr>
              <w:pStyle w:val="Tabletext"/>
              <w:framePr w:hSpace="181" w:wrap="notBeside" w:vAnchor="text" w:hAnchor="text" w:xAlign="center" w:y="1"/>
              <w:jc w:val="center"/>
              <w:rPr>
                <w:bCs/>
              </w:rPr>
            </w:pPr>
            <w:r>
              <w:rPr>
                <w:bCs/>
              </w:rPr>
              <w:t>14</w:t>
            </w:r>
          </w:p>
        </w:tc>
        <w:tc>
          <w:tcPr>
            <w:tcW w:w="992" w:type="dxa"/>
          </w:tcPr>
          <w:p w:rsidR="002B489A" w:rsidRDefault="004F19C4">
            <w:pPr>
              <w:pStyle w:val="Tabletext"/>
              <w:framePr w:hSpace="181" w:wrap="notBeside" w:vAnchor="text" w:hAnchor="text" w:xAlign="center" w:y="1"/>
              <w:jc w:val="center"/>
              <w:rPr>
                <w:bCs/>
              </w:rPr>
            </w:pPr>
            <w:r>
              <w:rPr>
                <w:rFonts w:ascii="Symbol" w:hAnsi="Symbol"/>
                <w:bCs/>
              </w:rPr>
              <w:t></w:t>
            </w:r>
            <w:r>
              <w:rPr>
                <w:bCs/>
              </w:rPr>
              <w:t>1</w:t>
            </w:r>
          </w:p>
        </w:tc>
        <w:tc>
          <w:tcPr>
            <w:tcW w:w="1134" w:type="dxa"/>
          </w:tcPr>
          <w:p w:rsidR="002B489A" w:rsidRDefault="004F19C4">
            <w:pPr>
              <w:pStyle w:val="Tabletext"/>
              <w:framePr w:hSpace="181" w:wrap="notBeside" w:vAnchor="text" w:hAnchor="text" w:xAlign="center" w:y="1"/>
              <w:jc w:val="center"/>
              <w:rPr>
                <w:bCs/>
              </w:rPr>
            </w:pPr>
            <w:r>
              <w:rPr>
                <w:bCs/>
              </w:rPr>
              <w:t>5,6</w:t>
            </w:r>
          </w:p>
        </w:tc>
        <w:tc>
          <w:tcPr>
            <w:tcW w:w="1134" w:type="dxa"/>
          </w:tcPr>
          <w:p w:rsidR="002B489A" w:rsidRDefault="004F19C4">
            <w:pPr>
              <w:pStyle w:val="Tabletext"/>
              <w:framePr w:hSpace="181" w:wrap="notBeside" w:vAnchor="text" w:hAnchor="text" w:xAlign="center" w:y="1"/>
              <w:jc w:val="center"/>
              <w:rPr>
                <w:bCs/>
              </w:rPr>
            </w:pPr>
            <w:r>
              <w:rPr>
                <w:bCs/>
              </w:rPr>
              <w:t>11,2</w:t>
            </w:r>
          </w:p>
        </w:tc>
        <w:tc>
          <w:tcPr>
            <w:tcW w:w="1134" w:type="dxa"/>
          </w:tcPr>
          <w:p w:rsidR="002B489A" w:rsidRDefault="004F19C4">
            <w:pPr>
              <w:pStyle w:val="Tabletext"/>
              <w:framePr w:hSpace="181" w:wrap="notBeside" w:vAnchor="text" w:hAnchor="text" w:xAlign="center" w:y="1"/>
              <w:jc w:val="center"/>
              <w:rPr>
                <w:bCs/>
              </w:rPr>
            </w:pPr>
            <w:r>
              <w:rPr>
                <w:bCs/>
              </w:rPr>
              <w:t>14</w:t>
            </w:r>
          </w:p>
        </w:tc>
        <w:tc>
          <w:tcPr>
            <w:tcW w:w="1134" w:type="dxa"/>
          </w:tcPr>
          <w:p w:rsidR="002B489A" w:rsidRDefault="004F19C4">
            <w:pPr>
              <w:pStyle w:val="Tabletext"/>
              <w:framePr w:hSpace="181" w:wrap="notBeside" w:vAnchor="text" w:hAnchor="text" w:xAlign="center" w:y="1"/>
              <w:jc w:val="center"/>
              <w:rPr>
                <w:bCs/>
              </w:rPr>
            </w:pPr>
            <w:r>
              <w:rPr>
                <w:bCs/>
              </w:rPr>
              <w:t>28</w:t>
            </w:r>
          </w:p>
        </w:tc>
        <w:tc>
          <w:tcPr>
            <w:tcW w:w="1134" w:type="dxa"/>
          </w:tcPr>
          <w:p w:rsidR="002B489A" w:rsidRDefault="004F19C4">
            <w:pPr>
              <w:pStyle w:val="Tabletext"/>
              <w:framePr w:hSpace="181" w:wrap="notBeside" w:vAnchor="text" w:hAnchor="text" w:xAlign="center" w:y="1"/>
              <w:jc w:val="center"/>
              <w:rPr>
                <w:bCs/>
              </w:rPr>
            </w:pPr>
            <w:r>
              <w:rPr>
                <w:bCs/>
              </w:rPr>
              <w:t>35</w:t>
            </w:r>
          </w:p>
        </w:tc>
      </w:tr>
      <w:tr w:rsidR="002B489A">
        <w:tc>
          <w:tcPr>
            <w:tcW w:w="1913" w:type="dxa"/>
          </w:tcPr>
          <w:p w:rsidR="002B489A" w:rsidRDefault="004F19C4">
            <w:pPr>
              <w:pStyle w:val="Tabletext"/>
              <w:framePr w:hSpace="181" w:wrap="notBeside" w:vAnchor="text" w:hAnchor="text" w:xAlign="center" w:y="1"/>
              <w:jc w:val="center"/>
              <w:rPr>
                <w:bCs/>
              </w:rPr>
            </w:pPr>
            <w:r>
              <w:rPr>
                <w:bCs/>
              </w:rPr>
              <w:t>28</w:t>
            </w:r>
          </w:p>
        </w:tc>
        <w:tc>
          <w:tcPr>
            <w:tcW w:w="992" w:type="dxa"/>
          </w:tcPr>
          <w:p w:rsidR="002B489A" w:rsidRDefault="004F19C4">
            <w:pPr>
              <w:pStyle w:val="Tabletext"/>
              <w:framePr w:hSpace="181" w:wrap="notBeside" w:vAnchor="text" w:hAnchor="text" w:xAlign="center" w:y="1"/>
              <w:jc w:val="center"/>
              <w:rPr>
                <w:bCs/>
              </w:rPr>
            </w:pPr>
            <w:r>
              <w:rPr>
                <w:rFonts w:ascii="Symbol" w:hAnsi="Symbol"/>
                <w:bCs/>
              </w:rPr>
              <w:t></w:t>
            </w:r>
            <w:r>
              <w:rPr>
                <w:bCs/>
              </w:rPr>
              <w:t>1</w:t>
            </w:r>
          </w:p>
        </w:tc>
        <w:tc>
          <w:tcPr>
            <w:tcW w:w="1134" w:type="dxa"/>
          </w:tcPr>
          <w:p w:rsidR="002B489A" w:rsidRDefault="004F19C4">
            <w:pPr>
              <w:pStyle w:val="Tabletext"/>
              <w:framePr w:hSpace="181" w:wrap="notBeside" w:vAnchor="text" w:hAnchor="text" w:xAlign="center" w:y="1"/>
              <w:jc w:val="center"/>
              <w:rPr>
                <w:bCs/>
              </w:rPr>
            </w:pPr>
            <w:r>
              <w:rPr>
                <w:bCs/>
              </w:rPr>
              <w:t>11</w:t>
            </w:r>
          </w:p>
        </w:tc>
        <w:tc>
          <w:tcPr>
            <w:tcW w:w="1134" w:type="dxa"/>
          </w:tcPr>
          <w:p w:rsidR="002B489A" w:rsidRDefault="004F19C4">
            <w:pPr>
              <w:pStyle w:val="Tabletext"/>
              <w:framePr w:hSpace="181" w:wrap="notBeside" w:vAnchor="text" w:hAnchor="text" w:xAlign="center" w:y="1"/>
              <w:jc w:val="center"/>
              <w:rPr>
                <w:bCs/>
              </w:rPr>
            </w:pPr>
            <w:r>
              <w:rPr>
                <w:bCs/>
              </w:rPr>
              <w:t>19</w:t>
            </w:r>
          </w:p>
        </w:tc>
        <w:tc>
          <w:tcPr>
            <w:tcW w:w="1134" w:type="dxa"/>
          </w:tcPr>
          <w:p w:rsidR="002B489A" w:rsidRDefault="004F19C4">
            <w:pPr>
              <w:pStyle w:val="Tabletext"/>
              <w:framePr w:hSpace="181" w:wrap="notBeside" w:vAnchor="text" w:hAnchor="text" w:xAlign="center" w:y="1"/>
              <w:jc w:val="center"/>
              <w:rPr>
                <w:bCs/>
              </w:rPr>
            </w:pPr>
            <w:r>
              <w:rPr>
                <w:bCs/>
              </w:rPr>
              <w:t>25</w:t>
            </w:r>
          </w:p>
        </w:tc>
        <w:tc>
          <w:tcPr>
            <w:tcW w:w="1134" w:type="dxa"/>
          </w:tcPr>
          <w:p w:rsidR="002B489A" w:rsidRDefault="004F19C4">
            <w:pPr>
              <w:pStyle w:val="Tabletext"/>
              <w:framePr w:hSpace="181" w:wrap="notBeside" w:vAnchor="text" w:hAnchor="text" w:xAlign="center" w:y="1"/>
              <w:jc w:val="center"/>
              <w:rPr>
                <w:bCs/>
              </w:rPr>
            </w:pPr>
            <w:r>
              <w:rPr>
                <w:bCs/>
              </w:rPr>
              <w:t>45</w:t>
            </w:r>
          </w:p>
        </w:tc>
        <w:tc>
          <w:tcPr>
            <w:tcW w:w="1134" w:type="dxa"/>
          </w:tcPr>
          <w:p w:rsidR="002B489A" w:rsidRDefault="004F19C4">
            <w:pPr>
              <w:pStyle w:val="Tabletext"/>
              <w:framePr w:hSpace="181" w:wrap="notBeside" w:vAnchor="text" w:hAnchor="text" w:xAlign="center" w:y="1"/>
              <w:jc w:val="center"/>
              <w:rPr>
                <w:bCs/>
              </w:rPr>
            </w:pPr>
            <w:r>
              <w:rPr>
                <w:bCs/>
              </w:rPr>
              <w:t>70</w:t>
            </w:r>
          </w:p>
        </w:tc>
      </w:tr>
      <w:tr w:rsidR="002B489A">
        <w:tc>
          <w:tcPr>
            <w:tcW w:w="1913" w:type="dxa"/>
          </w:tcPr>
          <w:p w:rsidR="002B489A" w:rsidRDefault="004F19C4">
            <w:pPr>
              <w:pStyle w:val="Tabletext"/>
              <w:framePr w:hSpace="181" w:wrap="notBeside" w:vAnchor="text" w:hAnchor="text" w:xAlign="center" w:y="1"/>
              <w:jc w:val="center"/>
              <w:rPr>
                <w:bCs/>
              </w:rPr>
            </w:pPr>
            <w:r>
              <w:rPr>
                <w:bCs/>
              </w:rPr>
              <w:t>56</w:t>
            </w:r>
          </w:p>
        </w:tc>
        <w:tc>
          <w:tcPr>
            <w:tcW w:w="992" w:type="dxa"/>
          </w:tcPr>
          <w:p w:rsidR="002B489A" w:rsidRDefault="004F19C4">
            <w:pPr>
              <w:pStyle w:val="Tabletext"/>
              <w:framePr w:hSpace="181" w:wrap="notBeside" w:vAnchor="text" w:hAnchor="text" w:xAlign="center" w:y="1"/>
              <w:jc w:val="center"/>
              <w:rPr>
                <w:bCs/>
              </w:rPr>
            </w:pPr>
            <w:r>
              <w:rPr>
                <w:rFonts w:ascii="Symbol" w:hAnsi="Symbol"/>
                <w:bCs/>
              </w:rPr>
              <w:t></w:t>
            </w:r>
            <w:r>
              <w:rPr>
                <w:bCs/>
              </w:rPr>
              <w:t>1</w:t>
            </w:r>
          </w:p>
        </w:tc>
        <w:tc>
          <w:tcPr>
            <w:tcW w:w="1134" w:type="dxa"/>
          </w:tcPr>
          <w:p w:rsidR="002B489A" w:rsidRDefault="004F19C4">
            <w:pPr>
              <w:pStyle w:val="Tabletext"/>
              <w:framePr w:hSpace="181" w:wrap="notBeside" w:vAnchor="text" w:hAnchor="text" w:xAlign="center" w:y="1"/>
              <w:jc w:val="center"/>
              <w:rPr>
                <w:bCs/>
              </w:rPr>
            </w:pPr>
            <w:r>
              <w:rPr>
                <w:bCs/>
              </w:rPr>
              <w:t>18</w:t>
            </w:r>
          </w:p>
        </w:tc>
        <w:tc>
          <w:tcPr>
            <w:tcW w:w="1134" w:type="dxa"/>
          </w:tcPr>
          <w:p w:rsidR="002B489A" w:rsidRDefault="004F19C4">
            <w:pPr>
              <w:pStyle w:val="Tabletext"/>
              <w:framePr w:hSpace="181" w:wrap="notBeside" w:vAnchor="text" w:hAnchor="text" w:xAlign="center" w:y="1"/>
              <w:jc w:val="center"/>
              <w:rPr>
                <w:bCs/>
              </w:rPr>
            </w:pPr>
            <w:r>
              <w:rPr>
                <w:bCs/>
              </w:rPr>
              <w:t>32</w:t>
            </w:r>
          </w:p>
        </w:tc>
        <w:tc>
          <w:tcPr>
            <w:tcW w:w="1134" w:type="dxa"/>
          </w:tcPr>
          <w:p w:rsidR="002B489A" w:rsidRDefault="004F19C4">
            <w:pPr>
              <w:pStyle w:val="Tabletext"/>
              <w:framePr w:hSpace="181" w:wrap="notBeside" w:vAnchor="text" w:hAnchor="text" w:xAlign="center" w:y="1"/>
              <w:jc w:val="center"/>
              <w:rPr>
                <w:bCs/>
              </w:rPr>
            </w:pPr>
            <w:r>
              <w:rPr>
                <w:bCs/>
              </w:rPr>
              <w:t>40</w:t>
            </w:r>
          </w:p>
        </w:tc>
        <w:tc>
          <w:tcPr>
            <w:tcW w:w="1134" w:type="dxa"/>
          </w:tcPr>
          <w:p w:rsidR="002B489A" w:rsidRDefault="004F19C4">
            <w:pPr>
              <w:pStyle w:val="Tabletext"/>
              <w:framePr w:hSpace="181" w:wrap="notBeside" w:vAnchor="text" w:hAnchor="text" w:xAlign="center" w:y="1"/>
              <w:jc w:val="center"/>
              <w:rPr>
                <w:bCs/>
              </w:rPr>
            </w:pPr>
            <w:r>
              <w:rPr>
                <w:bCs/>
              </w:rPr>
              <w:t>70</w:t>
            </w:r>
          </w:p>
        </w:tc>
        <w:tc>
          <w:tcPr>
            <w:tcW w:w="1134" w:type="dxa"/>
          </w:tcPr>
          <w:p w:rsidR="002B489A" w:rsidRDefault="004F19C4">
            <w:pPr>
              <w:pStyle w:val="Tabletext"/>
              <w:framePr w:hSpace="181" w:wrap="notBeside" w:vAnchor="text" w:hAnchor="text" w:xAlign="center" w:y="1"/>
              <w:jc w:val="center"/>
              <w:rPr>
                <w:bCs/>
              </w:rPr>
            </w:pPr>
            <w:r>
              <w:rPr>
                <w:bCs/>
              </w:rPr>
              <w:t>140</w:t>
            </w:r>
          </w:p>
        </w:tc>
      </w:tr>
    </w:tbl>
    <w:p w:rsidR="002B489A" w:rsidRDefault="002B489A">
      <w:pPr>
        <w:pStyle w:val="Tablefin"/>
        <w:rPr>
          <w:lang w:eastAsia="fr-FR"/>
        </w:rPr>
      </w:pPr>
    </w:p>
    <w:p w:rsidR="002B489A" w:rsidRDefault="004F19C4">
      <w:pPr>
        <w:pStyle w:val="Heading5"/>
        <w:rPr>
          <w:lang w:eastAsia="fr-FR"/>
        </w:rPr>
      </w:pPr>
      <w:r>
        <w:rPr>
          <w:lang w:eastAsia="fr-FR"/>
        </w:rPr>
        <w:br w:type="page"/>
        <w:t>4.3.2.1.2</w:t>
      </w:r>
      <w:r>
        <w:rPr>
          <w:lang w:eastAsia="fr-FR"/>
        </w:rPr>
        <w:tab/>
        <w:t>Niveaux des rayonnements non essentiels pour les systèmes point à point</w:t>
      </w:r>
    </w:p>
    <w:p w:rsidR="002B489A" w:rsidRDefault="004F19C4">
      <w:r>
        <w:t xml:space="preserve">La Recommandation UIT-R </w:t>
      </w:r>
      <w:r>
        <w:rPr>
          <w:bCs/>
        </w:rPr>
        <w:t xml:space="preserve">SM.329 donne </w:t>
      </w:r>
      <w:r>
        <w:t>des informations sur les niveaux des rayonnements non essentiels, en particulier, cette analyse considère les niveaux adoptés en Europe et utilisés par certains autres pays (niveaux de catégorie B).</w:t>
      </w:r>
    </w:p>
    <w:p w:rsidR="002B489A" w:rsidRDefault="004F19C4">
      <w:r>
        <w:t>Pour les systèmes point à point fonctionnant avec un espacement entre canaux supérieur à 10 MHz, la limite des rayonnements non essentiels est de –60 dB(W/MHz).</w:t>
      </w:r>
    </w:p>
    <w:p w:rsidR="002B489A" w:rsidRDefault="004F19C4">
      <w:pPr>
        <w:tabs>
          <w:tab w:val="clear" w:pos="794"/>
        </w:tabs>
      </w:pPr>
      <w:r>
        <w:t>Dans le cas de systèmes point à point fonctionnant avec un espacement entre canaux inférieur à 10 MHz, il y a une étape avant d'atteindre cette valeur de –60 dB(W/MHz). A partir d'un décalage de 2,5 </w:t>
      </w:r>
      <w:r>
        <w:rPr>
          <w:rFonts w:ascii="Symbol" w:hAnsi="Symbol"/>
        </w:rPr>
        <w:sym w:font="Symbol" w:char="F0B4"/>
      </w:r>
      <w:r>
        <w:t> espacement entre canaux par rapport à la fréquence centrale jusqu'à un décalage de 70 MHz, la limite est égale à –50 dB(W/MHz) (ou –60 dBW dans une largeur de bande de référence de 100 kHz).</w:t>
      </w:r>
    </w:p>
    <w:p w:rsidR="002B489A" w:rsidRDefault="004F19C4">
      <w:pPr>
        <w:tabs>
          <w:tab w:val="clear" w:pos="794"/>
        </w:tabs>
      </w:pPr>
      <w:r>
        <w:t xml:space="preserve">Dans le cas de systèmes point à point fonctionnant avec un espacement entre canaux inférieur à 10 MHz, pour obtenir des résultats plus réalistes, on fait l'hypothèse qu'il y a une décroissance linéaire entre le point à –50 dB(W/MHz) sur le gabarit et le point correspondant au niveau de </w:t>
      </w:r>
      <w:r>
        <w:rPr>
          <w:rFonts w:ascii="Symbol" w:hAnsi="Symbol"/>
        </w:rPr>
        <w:noBreakHyphen/>
      </w:r>
      <w:r>
        <w:t>60 dB(W/MHz).</w:t>
      </w:r>
    </w:p>
    <w:p w:rsidR="002B489A" w:rsidRDefault="004F19C4">
      <w:pPr>
        <w:tabs>
          <w:tab w:val="clear" w:pos="794"/>
        </w:tabs>
      </w:pPr>
      <w:r>
        <w:t>La Fig. 50 donne un exemple de gabarit de rayonnements non désirés pour un système utilisant un espacement entre canaux de 3,5 MHz.</w:t>
      </w:r>
    </w:p>
    <w:p w:rsidR="002B489A" w:rsidRDefault="002B489A">
      <w:pPr>
        <w:tabs>
          <w:tab w:val="clear" w:pos="794"/>
        </w:tabs>
      </w:pPr>
    </w:p>
    <w:p w:rsidR="002B489A" w:rsidRDefault="002B489A">
      <w:pPr>
        <w:tabs>
          <w:tab w:val="clear" w:pos="794"/>
        </w:tabs>
      </w:pPr>
    </w:p>
    <w:p w:rsidR="002B489A" w:rsidRDefault="004F19C4">
      <w:pPr>
        <w:pStyle w:val="FigureNo"/>
      </w:pPr>
      <w:r>
        <w:object w:dxaOrig="7441" w:dyaOrig="6212">
          <v:shape id="_x0000_i1056" type="#_x0000_t75" style="width:372pt;height:310.5pt" o:ole="">
            <v:imagedata r:id="rId100" o:title=""/>
          </v:shape>
          <o:OLEObject Type="Embed" ProgID="Designer.Drawing.7" ShapeID="_x0000_i1056" DrawAspect="Content" ObjectID="_1649163302" r:id="rId101"/>
        </w:object>
      </w:r>
    </w:p>
    <w:p w:rsidR="002B489A" w:rsidRDefault="002B489A">
      <w:pPr>
        <w:rPr>
          <w:lang w:eastAsia="fr-FR"/>
        </w:rPr>
      </w:pPr>
    </w:p>
    <w:p w:rsidR="002B489A" w:rsidRDefault="002B489A">
      <w:pPr>
        <w:rPr>
          <w:lang w:eastAsia="fr-FR"/>
        </w:rPr>
      </w:pPr>
    </w:p>
    <w:p w:rsidR="002B489A" w:rsidRDefault="004F19C4">
      <w:pPr>
        <w:pStyle w:val="Heading5"/>
        <w:rPr>
          <w:lang w:eastAsia="fr-FR"/>
        </w:rPr>
      </w:pPr>
      <w:r>
        <w:rPr>
          <w:lang w:eastAsia="fr-FR"/>
        </w:rPr>
        <w:br w:type="page"/>
        <w:t>4.3.2.1.3</w:t>
      </w:r>
      <w:r>
        <w:rPr>
          <w:lang w:eastAsia="fr-FR"/>
        </w:rPr>
        <w:tab/>
        <w:t>Résultats des calculs pour les systèmes point à point</w:t>
      </w:r>
    </w:p>
    <w:p w:rsidR="002B489A" w:rsidRDefault="004F19C4">
      <w:pPr>
        <w:rPr>
          <w:lang w:eastAsia="fr-FR"/>
        </w:rPr>
      </w:pPr>
      <w:r>
        <w:t>Les paragraphes suivants calculent les niveaux de rayonnements non désirés qui peuvent être reçus par le système SETS dans une largeur de bande de référence de 100 MHz, selon la bande de garde.</w:t>
      </w:r>
    </w:p>
    <w:p w:rsidR="002B489A" w:rsidRDefault="004F19C4">
      <w:pPr>
        <w:rPr>
          <w:lang w:eastAsia="fr-FR"/>
        </w:rPr>
      </w:pPr>
      <w:r>
        <w:rPr>
          <w:lang w:eastAsia="fr-FR"/>
        </w:rPr>
        <w:t>On notera que les normes ETSI donnent une puissance de sortie maximum de 0 dBW pour les systèmes point à point qui doivent être développés dans cette bande.</w:t>
      </w:r>
    </w:p>
    <w:p w:rsidR="002B489A" w:rsidRDefault="004F19C4">
      <w:pPr>
        <w:pStyle w:val="Heading6"/>
        <w:rPr>
          <w:lang w:eastAsia="fr-FR"/>
        </w:rPr>
      </w:pPr>
      <w:r>
        <w:rPr>
          <w:lang w:eastAsia="fr-FR"/>
        </w:rPr>
        <w:t>4.3.2.1.3.1</w:t>
      </w:r>
      <w:r>
        <w:rPr>
          <w:lang w:eastAsia="fr-FR"/>
        </w:rPr>
        <w:tab/>
        <w:t>Espacement entre canaux point à point de 3,5 MHz</w:t>
      </w:r>
    </w:p>
    <w:p w:rsidR="002B489A" w:rsidRDefault="004F19C4">
      <w:r>
        <w:t>La Fig. 51 donne le résultat du calcul pour un système point à point à espacement entre canaux de 3,5 MHz.</w:t>
      </w:r>
    </w:p>
    <w:p w:rsidR="002B489A" w:rsidRDefault="002B489A"/>
    <w:p w:rsidR="002B489A" w:rsidRDefault="002B489A"/>
    <w:p w:rsidR="002B489A" w:rsidRDefault="004F19C4">
      <w:pPr>
        <w:pStyle w:val="FigureNo"/>
      </w:pPr>
      <w:r>
        <w:object w:dxaOrig="5324" w:dyaOrig="6058">
          <v:shape id="_x0000_i1057" type="#_x0000_t75" style="width:266pt;height:303pt" o:ole="">
            <v:imagedata r:id="rId102" o:title=""/>
          </v:shape>
          <o:OLEObject Type="Embed" ProgID="Designer.Drawing.7" ShapeID="_x0000_i1057" DrawAspect="Content" ObjectID="_1649163303" r:id="rId103"/>
        </w:object>
      </w:r>
    </w:p>
    <w:p w:rsidR="002B489A" w:rsidRDefault="002B489A"/>
    <w:p w:rsidR="002B489A" w:rsidRDefault="002B489A"/>
    <w:p w:rsidR="002B489A" w:rsidRDefault="004F19C4">
      <w:r>
        <w:t xml:space="preserve">Le terme </w:t>
      </w:r>
      <w:r>
        <w:rPr>
          <w:i/>
          <w:iCs/>
        </w:rPr>
        <w:t>Z</w:t>
      </w:r>
      <w:r>
        <w:rPr>
          <w:vertAlign w:val="subscript"/>
        </w:rPr>
        <w:t>2</w:t>
      </w:r>
      <w:r>
        <w:rPr>
          <w:i/>
          <w:iCs/>
        </w:rPr>
        <w:t>S</w:t>
      </w:r>
      <w:r>
        <w:t xml:space="preserve"> est défini dans la Recommandation UIT-R F.746 comme la plus haute séparation entre la fréquence centrale du dernier canal et la bordure supérieure de la bande. Cela conduit à une bande de garde de 28,75 – 3,5/2 </w:t>
      </w:r>
      <w:r>
        <w:rPr>
          <w:rFonts w:ascii="Symbol" w:hAnsi="Symbol"/>
        </w:rPr>
        <w:t></w:t>
      </w:r>
      <w:r>
        <w:t xml:space="preserve"> 27 MHz en supposant qu'il y a une décroissance linéaire entre le point à </w:t>
      </w:r>
      <w:r>
        <w:rPr>
          <w:rFonts w:ascii="Symbol" w:hAnsi="Symbol"/>
        </w:rPr>
        <w:noBreakHyphen/>
      </w:r>
      <w:r>
        <w:t>50 dB(W/MHz) du gabarit et le point correspondant au niveau à –60 dB(W/MHz).</w:t>
      </w:r>
    </w:p>
    <w:p w:rsidR="002B489A" w:rsidRDefault="004F19C4">
      <w:r>
        <w:t>Dans ce cas, la bande de garde est plus grande que le domaine des émissions hors bande, et seuls les rayonnements non essentiels tomberont alors dans la bande SETS.</w:t>
      </w:r>
    </w:p>
    <w:p w:rsidR="002B489A" w:rsidRDefault="004F19C4">
      <w:pPr>
        <w:pStyle w:val="Heading6"/>
        <w:rPr>
          <w:lang w:eastAsia="fr-FR"/>
        </w:rPr>
      </w:pPr>
      <w:r>
        <w:rPr>
          <w:lang w:eastAsia="fr-FR"/>
        </w:rPr>
        <w:br w:type="page"/>
        <w:t>4.3.2.1.3.2</w:t>
      </w:r>
      <w:r>
        <w:rPr>
          <w:lang w:eastAsia="fr-FR"/>
        </w:rPr>
        <w:tab/>
        <w:t>Systèmes point à point à espacement entre canaux de 7 MHz</w:t>
      </w:r>
    </w:p>
    <w:p w:rsidR="002B489A" w:rsidRDefault="004F19C4">
      <w:r>
        <w:t>La Fig. 52 donne le résultat du calcul pour un système point à point à espacement entre canaux de 7 MHz.</w:t>
      </w:r>
    </w:p>
    <w:p w:rsidR="002B489A" w:rsidRDefault="002B489A"/>
    <w:p w:rsidR="002B489A" w:rsidRDefault="002B489A"/>
    <w:p w:rsidR="002B489A" w:rsidRDefault="004F19C4">
      <w:pPr>
        <w:pStyle w:val="FigureNo"/>
      </w:pPr>
      <w:r>
        <w:object w:dxaOrig="5324" w:dyaOrig="6102">
          <v:shape id="_x0000_i1058" type="#_x0000_t75" style="width:266pt;height:305pt" o:ole="">
            <v:imagedata r:id="rId104" o:title=""/>
          </v:shape>
          <o:OLEObject Type="Embed" ProgID="Designer.Drawing.7" ShapeID="_x0000_i1058" DrawAspect="Content" ObjectID="_1649163304" r:id="rId105"/>
        </w:object>
      </w:r>
    </w:p>
    <w:p w:rsidR="002B489A" w:rsidRDefault="002B489A"/>
    <w:p w:rsidR="002B489A" w:rsidRDefault="002B489A"/>
    <w:p w:rsidR="002B489A" w:rsidRDefault="002B489A"/>
    <w:p w:rsidR="002B489A" w:rsidRDefault="004F19C4">
      <w:r>
        <w:t xml:space="preserve">Le terme </w:t>
      </w:r>
      <w:r>
        <w:rPr>
          <w:i/>
          <w:iCs/>
        </w:rPr>
        <w:t>Z</w:t>
      </w:r>
      <w:r>
        <w:rPr>
          <w:vertAlign w:val="subscript"/>
        </w:rPr>
        <w:t>2</w:t>
      </w:r>
      <w:r>
        <w:rPr>
          <w:i/>
          <w:iCs/>
        </w:rPr>
        <w:t>S</w:t>
      </w:r>
      <w:r>
        <w:t xml:space="preserve"> est défini dans la Recommandation UIT-R F.746 comme la plus haute séparation entre la fréquence centrale du dernier canal et la bordure supérieure de la bande. Cela conduit à une bande de garde de 27,5 – 7/2 </w:t>
      </w:r>
      <w:r>
        <w:rPr>
          <w:rFonts w:ascii="Symbol" w:hAnsi="Symbol"/>
        </w:rPr>
        <w:t></w:t>
      </w:r>
      <w:r>
        <w:t xml:space="preserve"> 24 MHz en supposant qu'il y a une décroissance linéaire entre le point à </w:t>
      </w:r>
      <w:r>
        <w:rPr>
          <w:rFonts w:ascii="Symbol" w:hAnsi="Symbol"/>
        </w:rPr>
        <w:noBreakHyphen/>
      </w:r>
      <w:r>
        <w:t>50 dB(W/MHz) du gabarit et le point correspondant au niveau à –60 dB(W/MHz).</w:t>
      </w:r>
    </w:p>
    <w:p w:rsidR="002B489A" w:rsidRDefault="004F19C4">
      <w:r>
        <w:t>Dans ce cas, la bande de garde est plus grande que le domaine des émissions hors bande, et seuls les rayonnements non essentiels tomberont alors dans la bande SETS.</w:t>
      </w:r>
    </w:p>
    <w:p w:rsidR="002B489A" w:rsidRDefault="004F19C4">
      <w:pPr>
        <w:pStyle w:val="Heading6"/>
        <w:rPr>
          <w:lang w:eastAsia="fr-FR"/>
        </w:rPr>
      </w:pPr>
      <w:r>
        <w:rPr>
          <w:lang w:eastAsia="fr-FR"/>
        </w:rPr>
        <w:t>4.3.2.1.3.3</w:t>
      </w:r>
      <w:r>
        <w:rPr>
          <w:lang w:eastAsia="fr-FR"/>
        </w:rPr>
        <w:tab/>
        <w:t>Systèmes point à point à espacement entre canaux de 14 MHz</w:t>
      </w:r>
    </w:p>
    <w:p w:rsidR="002B489A" w:rsidRDefault="004F19C4">
      <w:r>
        <w:t>Dans la mesure où l'espacement entre canaux est supérieur à 10 MHz, il n'est pas besoin dans ce cas de faire les hypothèses considérées dans la partie précédente pour les rayonnements non essentiels. La Fig. 53 donne le résultat du calcul pour un système point à point à espacement entre canaux de 14 MHz.</w:t>
      </w:r>
    </w:p>
    <w:p w:rsidR="002B489A" w:rsidRDefault="004F19C4">
      <w:pPr>
        <w:pStyle w:val="FigureNo"/>
        <w:spacing w:before="0"/>
      </w:pPr>
      <w:r>
        <w:br w:type="page"/>
      </w:r>
      <w:r>
        <w:object w:dxaOrig="5530" w:dyaOrig="6102">
          <v:shape id="_x0000_i1059" type="#_x0000_t75" style="width:274.5pt;height:303pt" o:ole="">
            <v:imagedata r:id="rId106" o:title=""/>
          </v:shape>
          <o:OLEObject Type="Embed" ProgID="Designer.Drawing.7" ShapeID="_x0000_i1059" DrawAspect="Content" ObjectID="_1649163305" r:id="rId107"/>
        </w:object>
      </w:r>
    </w:p>
    <w:p w:rsidR="002B489A" w:rsidRDefault="004F19C4">
      <w:r>
        <w:t xml:space="preserve">Cela conduit à une bande de garde de 22 – 14/2 </w:t>
      </w:r>
      <w:r>
        <w:rPr>
          <w:rFonts w:ascii="Symbol" w:hAnsi="Symbol"/>
        </w:rPr>
        <w:t></w:t>
      </w:r>
      <w:r>
        <w:t xml:space="preserve"> 15 MHz.</w:t>
      </w:r>
    </w:p>
    <w:p w:rsidR="002B489A" w:rsidRDefault="004F19C4">
      <w:pPr>
        <w:pStyle w:val="Heading6"/>
        <w:rPr>
          <w:lang w:eastAsia="fr-FR"/>
        </w:rPr>
      </w:pPr>
      <w:r>
        <w:rPr>
          <w:lang w:eastAsia="fr-FR"/>
        </w:rPr>
        <w:t>4.3.2.1.3.4</w:t>
      </w:r>
      <w:r>
        <w:rPr>
          <w:lang w:eastAsia="fr-FR"/>
        </w:rPr>
        <w:tab/>
        <w:t>Systèmes point à point à espacement entre canaux de 28 MHz</w:t>
      </w:r>
    </w:p>
    <w:p w:rsidR="002B489A" w:rsidRDefault="004F19C4">
      <w:r>
        <w:t>La Fig. 54 donne le résultat du calcul pour un système point à point à espacement entre canaux de 28 MHz.</w:t>
      </w:r>
    </w:p>
    <w:p w:rsidR="002B489A" w:rsidRDefault="004F19C4">
      <w:pPr>
        <w:pStyle w:val="FigureNo"/>
        <w:spacing w:before="0" w:after="100"/>
      </w:pPr>
      <w:r>
        <w:object w:dxaOrig="5516" w:dyaOrig="6049">
          <v:shape id="_x0000_i1060" type="#_x0000_t75" style="width:272pt;height:298.5pt" o:ole="">
            <v:imagedata r:id="rId108" o:title=""/>
          </v:shape>
          <o:OLEObject Type="Embed" ProgID="Designer.Drawing.7" ShapeID="_x0000_i1060" DrawAspect="Content" ObjectID="_1649163306" r:id="rId109"/>
        </w:object>
      </w:r>
    </w:p>
    <w:p w:rsidR="002B489A" w:rsidRDefault="004F19C4">
      <w:pPr>
        <w:spacing w:before="64"/>
      </w:pPr>
      <w:r>
        <w:t xml:space="preserve">Cela conduit à une bande de garde de 34 – 28/2 </w:t>
      </w:r>
      <w:r>
        <w:rPr>
          <w:rFonts w:ascii="Symbol" w:hAnsi="Symbol"/>
        </w:rPr>
        <w:t></w:t>
      </w:r>
      <w:r>
        <w:t xml:space="preserve"> 20 MHz.</w:t>
      </w:r>
    </w:p>
    <w:p w:rsidR="002B489A" w:rsidRDefault="004F19C4">
      <w:pPr>
        <w:pStyle w:val="Heading6"/>
        <w:rPr>
          <w:lang w:eastAsia="fr-FR"/>
        </w:rPr>
      </w:pPr>
      <w:r>
        <w:rPr>
          <w:lang w:eastAsia="fr-FR"/>
        </w:rPr>
        <w:br w:type="page"/>
        <w:t>4.3.2.1.3.5</w:t>
      </w:r>
      <w:r>
        <w:rPr>
          <w:lang w:eastAsia="fr-FR"/>
        </w:rPr>
        <w:tab/>
        <w:t>Systèmes point à point à espacement entre canaux de 56 MHz</w:t>
      </w:r>
    </w:p>
    <w:p w:rsidR="002B489A" w:rsidRDefault="004F19C4">
      <w:r>
        <w:t>La Fig. 55 donne le résultat du calcul pour un système point à point à espacement entre canaux de 56 MHz.</w:t>
      </w:r>
    </w:p>
    <w:p w:rsidR="002B489A" w:rsidRDefault="004F19C4">
      <w:pPr>
        <w:pStyle w:val="FigureNo"/>
        <w:spacing w:before="200"/>
      </w:pPr>
      <w:r>
        <w:object w:dxaOrig="5530" w:dyaOrig="6044">
          <v:shape id="_x0000_i1061" type="#_x0000_t75" style="width:277pt;height:302pt" o:ole="">
            <v:imagedata r:id="rId110" o:title=""/>
          </v:shape>
          <o:OLEObject Type="Embed" ProgID="Designer.Drawing.7" ShapeID="_x0000_i1061" DrawAspect="Content" ObjectID="_1649163307" r:id="rId111"/>
        </w:object>
      </w:r>
    </w:p>
    <w:p w:rsidR="002B489A" w:rsidRDefault="004F19C4">
      <w:pPr>
        <w:rPr>
          <w:lang w:eastAsia="fr-FR"/>
        </w:rPr>
      </w:pPr>
      <w:r>
        <w:t>Cela conduit à une bande de garde de 49 – 56/2 </w:t>
      </w:r>
      <w:r>
        <w:rPr>
          <w:rFonts w:ascii="Symbol" w:hAnsi="Symbol"/>
        </w:rPr>
        <w:t></w:t>
      </w:r>
      <w:r>
        <w:t> 21 MHz.</w:t>
      </w:r>
    </w:p>
    <w:p w:rsidR="002B489A" w:rsidRDefault="004F19C4">
      <w:pPr>
        <w:pStyle w:val="Heading6"/>
      </w:pPr>
      <w:r>
        <w:t>4.3.2.1.3.6</w:t>
      </w:r>
      <w:r>
        <w:tab/>
        <w:t>Résumé des résultats pour les systèmes point à point</w:t>
      </w:r>
    </w:p>
    <w:p w:rsidR="002B489A" w:rsidRDefault="004F19C4">
      <w:r>
        <w:t>Le Tableau 81 donne un résumé des résultats calculés pour les systèmes point à point utilisant un espacement entre canaux compris entre 3,5 MHz et 56 MHz.</w:t>
      </w:r>
    </w:p>
    <w:p w:rsidR="002B489A" w:rsidRDefault="004F19C4">
      <w:pPr>
        <w:pStyle w:val="TableNo"/>
        <w:rPr>
          <w:lang w:eastAsia="fr-FR"/>
        </w:rPr>
      </w:pPr>
      <w:r>
        <w:rPr>
          <w:lang w:eastAsia="fr-FR"/>
        </w:rPr>
        <w:t>TABLEAU  81</w:t>
      </w:r>
    </w:p>
    <w:p w:rsidR="002B489A" w:rsidRDefault="004F19C4">
      <w:pPr>
        <w:pStyle w:val="Tabletitle"/>
        <w:rPr>
          <w:lang w:eastAsia="fr-FR"/>
        </w:rPr>
      </w:pPr>
      <w:r>
        <w:rPr>
          <w:lang w:eastAsia="fr-FR"/>
        </w:rPr>
        <w:t>Bande de garde en fonction de l'espacement entre canaux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2127"/>
        <w:gridCol w:w="2669"/>
      </w:tblGrid>
      <w:tr w:rsidR="002B489A">
        <w:tc>
          <w:tcPr>
            <w:tcW w:w="3118" w:type="dxa"/>
          </w:tcPr>
          <w:p w:rsidR="002B489A" w:rsidRDefault="004F19C4">
            <w:pPr>
              <w:pStyle w:val="Tablehead"/>
              <w:framePr w:hSpace="181" w:wrap="notBeside" w:vAnchor="text" w:hAnchor="text" w:xAlign="center" w:y="1"/>
              <w:spacing w:before="60" w:after="60"/>
            </w:pPr>
            <w:r>
              <w:t xml:space="preserve">Espacement entre canaux </w:t>
            </w:r>
            <w:r>
              <w:br/>
              <w:t>(MHz)</w:t>
            </w:r>
          </w:p>
        </w:tc>
        <w:tc>
          <w:tcPr>
            <w:tcW w:w="2127" w:type="dxa"/>
          </w:tcPr>
          <w:p w:rsidR="002B489A" w:rsidRDefault="004F19C4">
            <w:pPr>
              <w:pStyle w:val="Tablehead"/>
              <w:framePr w:hSpace="181" w:wrap="notBeside" w:vAnchor="text" w:hAnchor="text" w:xAlign="center" w:y="1"/>
              <w:spacing w:before="60" w:after="60"/>
            </w:pPr>
            <w:r>
              <w:rPr>
                <w:i/>
                <w:iCs/>
              </w:rPr>
              <w:t>Z</w:t>
            </w:r>
            <w:r>
              <w:rPr>
                <w:vertAlign w:val="subscript"/>
              </w:rPr>
              <w:t>2</w:t>
            </w:r>
            <w:r>
              <w:rPr>
                <w:i/>
                <w:iCs/>
              </w:rPr>
              <w:t>S</w:t>
            </w:r>
            <w:r>
              <w:rPr>
                <w:i/>
                <w:iCs/>
              </w:rPr>
              <w:br/>
            </w:r>
            <w:r>
              <w:t>(MHz)</w:t>
            </w:r>
          </w:p>
        </w:tc>
        <w:tc>
          <w:tcPr>
            <w:tcW w:w="2669" w:type="dxa"/>
          </w:tcPr>
          <w:p w:rsidR="002B489A" w:rsidRDefault="004F19C4">
            <w:pPr>
              <w:pStyle w:val="Tablehead"/>
              <w:framePr w:hSpace="181" w:wrap="notBeside" w:vAnchor="text" w:hAnchor="text" w:xAlign="center" w:y="1"/>
              <w:spacing w:before="60" w:after="60"/>
            </w:pPr>
            <w:r>
              <w:t xml:space="preserve">Bande de garde </w:t>
            </w:r>
            <w:r>
              <w:br/>
              <w:t>(MHz)</w:t>
            </w:r>
          </w:p>
        </w:tc>
      </w:tr>
      <w:tr w:rsidR="002B489A">
        <w:tc>
          <w:tcPr>
            <w:tcW w:w="3118" w:type="dxa"/>
          </w:tcPr>
          <w:p w:rsidR="002B489A" w:rsidRDefault="004F19C4">
            <w:pPr>
              <w:pStyle w:val="Tabletext"/>
              <w:framePr w:hSpace="181" w:wrap="notBeside" w:vAnchor="text" w:hAnchor="text" w:xAlign="center" w:y="1"/>
              <w:spacing w:before="30" w:after="30"/>
              <w:jc w:val="center"/>
              <w:rPr>
                <w:lang w:eastAsia="fr-FR"/>
              </w:rPr>
            </w:pPr>
            <w:r>
              <w:rPr>
                <w:lang w:eastAsia="fr-FR"/>
              </w:rPr>
              <w:t>3,5</w:t>
            </w:r>
          </w:p>
        </w:tc>
        <w:tc>
          <w:tcPr>
            <w:tcW w:w="2127" w:type="dxa"/>
          </w:tcPr>
          <w:p w:rsidR="002B489A" w:rsidRDefault="004F19C4">
            <w:pPr>
              <w:pStyle w:val="Tabletext"/>
              <w:framePr w:hSpace="181" w:wrap="notBeside" w:vAnchor="text" w:hAnchor="text" w:xAlign="center" w:y="1"/>
              <w:spacing w:before="30" w:after="30"/>
              <w:jc w:val="center"/>
            </w:pPr>
            <w:r>
              <w:t>28,75</w:t>
            </w:r>
          </w:p>
        </w:tc>
        <w:tc>
          <w:tcPr>
            <w:tcW w:w="2669" w:type="dxa"/>
          </w:tcPr>
          <w:p w:rsidR="002B489A" w:rsidRDefault="004F19C4">
            <w:pPr>
              <w:pStyle w:val="Tabletext"/>
              <w:framePr w:hSpace="181" w:wrap="notBeside" w:vAnchor="text" w:hAnchor="text" w:xAlign="center" w:y="1"/>
              <w:spacing w:before="30" w:after="30"/>
              <w:jc w:val="center"/>
            </w:pPr>
            <w:r>
              <w:t>27</w:t>
            </w:r>
          </w:p>
        </w:tc>
      </w:tr>
      <w:tr w:rsidR="002B489A">
        <w:tc>
          <w:tcPr>
            <w:tcW w:w="3118" w:type="dxa"/>
          </w:tcPr>
          <w:p w:rsidR="002B489A" w:rsidRDefault="004F19C4">
            <w:pPr>
              <w:pStyle w:val="Tabletext"/>
              <w:framePr w:hSpace="181" w:wrap="notBeside" w:vAnchor="text" w:hAnchor="text" w:xAlign="center" w:y="1"/>
              <w:spacing w:before="30" w:after="30"/>
              <w:jc w:val="center"/>
              <w:rPr>
                <w:lang w:eastAsia="fr-FR"/>
              </w:rPr>
            </w:pPr>
            <w:r>
              <w:rPr>
                <w:lang w:eastAsia="fr-FR"/>
              </w:rPr>
              <w:t>7</w:t>
            </w:r>
          </w:p>
        </w:tc>
        <w:tc>
          <w:tcPr>
            <w:tcW w:w="2127" w:type="dxa"/>
          </w:tcPr>
          <w:p w:rsidR="002B489A" w:rsidRDefault="004F19C4">
            <w:pPr>
              <w:pStyle w:val="Tabletext"/>
              <w:framePr w:hSpace="181" w:wrap="notBeside" w:vAnchor="text" w:hAnchor="text" w:xAlign="center" w:y="1"/>
              <w:spacing w:before="30" w:after="30"/>
              <w:jc w:val="center"/>
            </w:pPr>
            <w:r>
              <w:t>27,5</w:t>
            </w:r>
          </w:p>
        </w:tc>
        <w:tc>
          <w:tcPr>
            <w:tcW w:w="2669" w:type="dxa"/>
          </w:tcPr>
          <w:p w:rsidR="002B489A" w:rsidRDefault="004F19C4">
            <w:pPr>
              <w:pStyle w:val="Tabletext"/>
              <w:framePr w:hSpace="181" w:wrap="notBeside" w:vAnchor="text" w:hAnchor="text" w:xAlign="center" w:y="1"/>
              <w:spacing w:before="30" w:after="30"/>
              <w:jc w:val="center"/>
            </w:pPr>
            <w:r>
              <w:t>24</w:t>
            </w:r>
          </w:p>
        </w:tc>
      </w:tr>
      <w:tr w:rsidR="002B489A">
        <w:tc>
          <w:tcPr>
            <w:tcW w:w="3118" w:type="dxa"/>
          </w:tcPr>
          <w:p w:rsidR="002B489A" w:rsidRDefault="004F19C4">
            <w:pPr>
              <w:pStyle w:val="Tabletext"/>
              <w:framePr w:hSpace="181" w:wrap="notBeside" w:vAnchor="text" w:hAnchor="text" w:xAlign="center" w:y="1"/>
              <w:spacing w:before="30" w:after="30"/>
              <w:jc w:val="center"/>
              <w:rPr>
                <w:lang w:eastAsia="fr-FR"/>
              </w:rPr>
            </w:pPr>
            <w:r>
              <w:rPr>
                <w:lang w:eastAsia="fr-FR"/>
              </w:rPr>
              <w:t>14</w:t>
            </w:r>
          </w:p>
        </w:tc>
        <w:tc>
          <w:tcPr>
            <w:tcW w:w="2127" w:type="dxa"/>
          </w:tcPr>
          <w:p w:rsidR="002B489A" w:rsidRDefault="004F19C4">
            <w:pPr>
              <w:pStyle w:val="Tabletext"/>
              <w:framePr w:hSpace="181" w:wrap="notBeside" w:vAnchor="text" w:hAnchor="text" w:xAlign="center" w:y="1"/>
              <w:spacing w:before="30" w:after="30"/>
              <w:jc w:val="center"/>
            </w:pPr>
            <w:r>
              <w:t>22</w:t>
            </w:r>
          </w:p>
        </w:tc>
        <w:tc>
          <w:tcPr>
            <w:tcW w:w="2669" w:type="dxa"/>
          </w:tcPr>
          <w:p w:rsidR="002B489A" w:rsidRDefault="004F19C4">
            <w:pPr>
              <w:pStyle w:val="Tabletext"/>
              <w:framePr w:hSpace="181" w:wrap="notBeside" w:vAnchor="text" w:hAnchor="text" w:xAlign="center" w:y="1"/>
              <w:spacing w:before="30" w:after="30"/>
              <w:jc w:val="center"/>
            </w:pPr>
            <w:r>
              <w:t>15</w:t>
            </w:r>
          </w:p>
        </w:tc>
      </w:tr>
      <w:tr w:rsidR="002B489A">
        <w:tc>
          <w:tcPr>
            <w:tcW w:w="3118" w:type="dxa"/>
          </w:tcPr>
          <w:p w:rsidR="002B489A" w:rsidRDefault="004F19C4">
            <w:pPr>
              <w:pStyle w:val="Tabletext"/>
              <w:framePr w:hSpace="181" w:wrap="notBeside" w:vAnchor="text" w:hAnchor="text" w:xAlign="center" w:y="1"/>
              <w:spacing w:before="30" w:after="30"/>
              <w:jc w:val="center"/>
            </w:pPr>
            <w:r>
              <w:t>28</w:t>
            </w:r>
          </w:p>
        </w:tc>
        <w:tc>
          <w:tcPr>
            <w:tcW w:w="2127" w:type="dxa"/>
          </w:tcPr>
          <w:p w:rsidR="002B489A" w:rsidRDefault="004F19C4">
            <w:pPr>
              <w:pStyle w:val="Tabletext"/>
              <w:framePr w:hSpace="181" w:wrap="notBeside" w:vAnchor="text" w:hAnchor="text" w:xAlign="center" w:y="1"/>
              <w:spacing w:before="30" w:after="30"/>
              <w:jc w:val="center"/>
            </w:pPr>
            <w:r>
              <w:t>34</w:t>
            </w:r>
          </w:p>
        </w:tc>
        <w:tc>
          <w:tcPr>
            <w:tcW w:w="2669" w:type="dxa"/>
          </w:tcPr>
          <w:p w:rsidR="002B489A" w:rsidRDefault="004F19C4">
            <w:pPr>
              <w:pStyle w:val="Tabletext"/>
              <w:framePr w:hSpace="181" w:wrap="notBeside" w:vAnchor="text" w:hAnchor="text" w:xAlign="center" w:y="1"/>
              <w:spacing w:before="30" w:after="30"/>
              <w:jc w:val="center"/>
            </w:pPr>
            <w:r>
              <w:t>20</w:t>
            </w:r>
          </w:p>
        </w:tc>
      </w:tr>
      <w:tr w:rsidR="002B489A">
        <w:tc>
          <w:tcPr>
            <w:tcW w:w="3118" w:type="dxa"/>
          </w:tcPr>
          <w:p w:rsidR="002B489A" w:rsidRDefault="004F19C4">
            <w:pPr>
              <w:pStyle w:val="Tabletext"/>
              <w:framePr w:hSpace="181" w:wrap="notBeside" w:vAnchor="text" w:hAnchor="text" w:xAlign="center" w:y="1"/>
              <w:spacing w:before="30" w:after="30"/>
              <w:jc w:val="center"/>
              <w:rPr>
                <w:lang w:eastAsia="fr-FR"/>
              </w:rPr>
            </w:pPr>
            <w:r>
              <w:rPr>
                <w:lang w:eastAsia="fr-FR"/>
              </w:rPr>
              <w:t>56</w:t>
            </w:r>
          </w:p>
        </w:tc>
        <w:tc>
          <w:tcPr>
            <w:tcW w:w="2127" w:type="dxa"/>
          </w:tcPr>
          <w:p w:rsidR="002B489A" w:rsidRDefault="004F19C4">
            <w:pPr>
              <w:pStyle w:val="Tabletext"/>
              <w:framePr w:hSpace="181" w:wrap="notBeside" w:vAnchor="text" w:hAnchor="text" w:xAlign="center" w:y="1"/>
              <w:spacing w:before="30" w:after="30"/>
              <w:jc w:val="center"/>
            </w:pPr>
            <w:r>
              <w:t>49</w:t>
            </w:r>
          </w:p>
        </w:tc>
        <w:tc>
          <w:tcPr>
            <w:tcW w:w="2669" w:type="dxa"/>
          </w:tcPr>
          <w:p w:rsidR="002B489A" w:rsidRDefault="004F19C4">
            <w:pPr>
              <w:pStyle w:val="Tabletext"/>
              <w:framePr w:hSpace="181" w:wrap="notBeside" w:vAnchor="text" w:hAnchor="text" w:xAlign="center" w:y="1"/>
              <w:spacing w:before="30" w:after="30"/>
              <w:jc w:val="center"/>
            </w:pPr>
            <w:r>
              <w:t>21</w:t>
            </w:r>
          </w:p>
        </w:tc>
      </w:tr>
    </w:tbl>
    <w:p w:rsidR="002B489A" w:rsidRDefault="002B489A">
      <w:pPr>
        <w:pStyle w:val="Tablefin"/>
        <w:spacing w:before="0"/>
      </w:pPr>
    </w:p>
    <w:p w:rsidR="002B489A" w:rsidRDefault="004F19C4">
      <w:pPr>
        <w:pStyle w:val="Heading4"/>
      </w:pPr>
      <w:r>
        <w:t>4.3.2.2</w:t>
      </w:r>
      <w:r>
        <w:tab/>
        <w:t>Systèmes du service fixe P</w:t>
      </w:r>
      <w:r>
        <w:noBreakHyphen/>
        <w:t>MP</w:t>
      </w:r>
    </w:p>
    <w:p w:rsidR="002B489A" w:rsidRDefault="004F19C4">
      <w:pPr>
        <w:tabs>
          <w:tab w:val="clear" w:pos="794"/>
        </w:tabs>
        <w:spacing w:before="60"/>
      </w:pPr>
      <w:r>
        <w:t>On notera que le niveau acceptable de rayonnements non désirés d'un système du service fixe P</w:t>
      </w:r>
      <w:r>
        <w:noBreakHyphen/>
        <w:t>MP qui est obtenu dans le cas d'une station terminale (voir le Tableau 79) est le même que le niveau acceptable de rayonnements non désirés d'un système du service fixe point à point (voir le Tableau 78).</w:t>
      </w:r>
    </w:p>
    <w:p w:rsidR="002B489A" w:rsidRDefault="004F19C4">
      <w:pPr>
        <w:pStyle w:val="Heading5"/>
      </w:pPr>
      <w:r>
        <w:rPr>
          <w:lang w:eastAsia="fr-FR"/>
        </w:rPr>
        <w:br w:type="page"/>
        <w:t>4.3.2.2.1</w:t>
      </w:r>
      <w:r>
        <w:rPr>
          <w:lang w:eastAsia="fr-FR"/>
        </w:rPr>
        <w:tab/>
        <w:t xml:space="preserve">Gabarits d'émissions hors bande pour les systèmes </w:t>
      </w:r>
      <w:r>
        <w:t>P</w:t>
      </w:r>
      <w:r>
        <w:noBreakHyphen/>
        <w:t>MP</w:t>
      </w:r>
    </w:p>
    <w:p w:rsidR="002B489A" w:rsidRDefault="004F19C4">
      <w:pPr>
        <w:tabs>
          <w:tab w:val="clear" w:pos="794"/>
        </w:tabs>
      </w:pPr>
      <w:r>
        <w:t>Pour les besoins de ces analyses, on considère des gabarits hors bande donnés dans la norme ETSI qui fournissent des informations sur l</w:t>
      </w:r>
      <w:r>
        <w:rPr>
          <w:snapToGrid w:val="0"/>
        </w:rPr>
        <w:t>es systèmes radioélectriques fixes, les équipements multipoints, les systèmes radioélectriques numériques multipoints fonctionnant dans la gamme de fréquences de 31 GHz à 33,4 GHz (32 GHz)</w:t>
      </w:r>
      <w:r>
        <w:t>. La première étape de l'analyse est de déterminer le cas le plus défavorable de gabarit d'émissions hors bande. Ceci conduit à considérer les cas suivants qui sont montrés à la Fig. 56.</w:t>
      </w:r>
    </w:p>
    <w:p w:rsidR="002B489A" w:rsidRDefault="0006728D">
      <w:pPr>
        <w:pStyle w:val="FigureNo"/>
        <w:spacing w:before="120" w:after="120"/>
      </w:pPr>
      <w:r>
        <w:rPr>
          <w:noProof/>
          <w:lang w:val="fr-CH" w:eastAsia="fr-CH"/>
        </w:rPr>
        <w:drawing>
          <wp:inline distT="0" distB="0" distL="0" distR="0">
            <wp:extent cx="2990850" cy="39624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990850" cy="3962400"/>
                    </a:xfrm>
                    <a:prstGeom prst="rect">
                      <a:avLst/>
                    </a:prstGeom>
                    <a:noFill/>
                    <a:ln>
                      <a:noFill/>
                    </a:ln>
                  </pic:spPr>
                </pic:pic>
              </a:graphicData>
            </a:graphic>
          </wp:inline>
        </w:drawing>
      </w:r>
    </w:p>
    <w:p w:rsidR="002B489A" w:rsidRDefault="004F19C4">
      <w:pPr>
        <w:tabs>
          <w:tab w:val="clear" w:pos="794"/>
        </w:tabs>
      </w:pPr>
      <w:r>
        <w:t>Le Tableau 82 donne les points de rupture correspondants pour les systèmes de type A, en fonction de l'espacement entre canaux, qui peut s'étendre de 3,5 à 112 MHz selon la norme ETSI.</w:t>
      </w:r>
    </w:p>
    <w:p w:rsidR="002B489A" w:rsidRDefault="004F19C4">
      <w:pPr>
        <w:pStyle w:val="TableNo"/>
      </w:pPr>
      <w:r>
        <w:t>TABLEAU  82</w:t>
      </w:r>
    </w:p>
    <w:p w:rsidR="002B489A" w:rsidRDefault="004F19C4">
      <w:pPr>
        <w:pStyle w:val="Tabletitle"/>
      </w:pPr>
      <w:r>
        <w:t>Points de rupture du gabarit des émissions hors bande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6"/>
        <w:gridCol w:w="1310"/>
        <w:gridCol w:w="1311"/>
        <w:gridCol w:w="1311"/>
        <w:gridCol w:w="1310"/>
        <w:gridCol w:w="1311"/>
      </w:tblGrid>
      <w:tr w:rsidR="002B489A">
        <w:tc>
          <w:tcPr>
            <w:tcW w:w="3005" w:type="dxa"/>
          </w:tcPr>
          <w:p w:rsidR="002B489A" w:rsidRDefault="004F19C4">
            <w:pPr>
              <w:pStyle w:val="Tablehead"/>
              <w:framePr w:hSpace="181" w:wrap="notBeside" w:vAnchor="text" w:hAnchor="text" w:xAlign="center" w:y="1"/>
              <w:spacing w:before="60" w:after="60"/>
            </w:pPr>
            <w:r>
              <w:t xml:space="preserve">Espacement entre canaux copolaires, </w:t>
            </w:r>
            <w:r>
              <w:br/>
              <w:t xml:space="preserve">points de la Fig. 56 </w:t>
            </w:r>
            <w:r>
              <w:br/>
              <w:t>(MHz)</w:t>
            </w:r>
          </w:p>
        </w:tc>
        <w:tc>
          <w:tcPr>
            <w:tcW w:w="1275" w:type="dxa"/>
          </w:tcPr>
          <w:p w:rsidR="002B489A" w:rsidRDefault="004F19C4">
            <w:pPr>
              <w:pStyle w:val="Tablehead"/>
              <w:framePr w:hSpace="181" w:wrap="notBeside" w:vAnchor="text" w:hAnchor="text" w:xAlign="center" w:y="1"/>
              <w:spacing w:before="60" w:after="60"/>
              <w:rPr>
                <w:lang w:val="en-US"/>
              </w:rPr>
            </w:pPr>
            <w:r>
              <w:rPr>
                <w:lang w:val="en-US"/>
              </w:rPr>
              <w:t xml:space="preserve">Point A </w:t>
            </w:r>
            <w:r>
              <w:rPr>
                <w:lang w:val="en-US"/>
              </w:rPr>
              <w:br/>
              <w:t>0 dB</w:t>
            </w:r>
            <w:r>
              <w:rPr>
                <w:lang w:val="en-US"/>
              </w:rPr>
              <w:br/>
              <w:t>(MHz)</w:t>
            </w:r>
          </w:p>
        </w:tc>
        <w:tc>
          <w:tcPr>
            <w:tcW w:w="1276" w:type="dxa"/>
          </w:tcPr>
          <w:p w:rsidR="002B489A" w:rsidRDefault="004F19C4">
            <w:pPr>
              <w:pStyle w:val="Tablehead"/>
              <w:framePr w:hSpace="181" w:wrap="notBeside" w:vAnchor="text" w:hAnchor="text" w:xAlign="center" w:y="1"/>
              <w:spacing w:before="60" w:after="60"/>
              <w:rPr>
                <w:lang w:val="en-US"/>
              </w:rPr>
            </w:pPr>
            <w:r>
              <w:rPr>
                <w:lang w:val="en-US"/>
              </w:rPr>
              <w:t xml:space="preserve">Point B </w:t>
            </w:r>
            <w:r>
              <w:rPr>
                <w:lang w:val="en-US"/>
              </w:rPr>
              <w:br/>
            </w:r>
            <w:r>
              <w:sym w:font="Symbol" w:char="F02D"/>
            </w:r>
            <w:r>
              <w:rPr>
                <w:lang w:val="en-US"/>
              </w:rPr>
              <w:t>23 dB</w:t>
            </w:r>
            <w:r>
              <w:rPr>
                <w:lang w:val="en-US"/>
              </w:rPr>
              <w:br/>
              <w:t>(MHz)</w:t>
            </w:r>
          </w:p>
        </w:tc>
        <w:tc>
          <w:tcPr>
            <w:tcW w:w="1276" w:type="dxa"/>
          </w:tcPr>
          <w:p w:rsidR="002B489A" w:rsidRDefault="004F19C4">
            <w:pPr>
              <w:pStyle w:val="Tablehead"/>
              <w:framePr w:hSpace="181" w:wrap="notBeside" w:vAnchor="text" w:hAnchor="text" w:xAlign="center" w:y="1"/>
              <w:spacing w:before="60" w:after="60"/>
              <w:rPr>
                <w:lang w:val="en-US"/>
              </w:rPr>
            </w:pPr>
            <w:r>
              <w:rPr>
                <w:lang w:val="en-US"/>
              </w:rPr>
              <w:t xml:space="preserve">Point C </w:t>
            </w:r>
            <w:r>
              <w:rPr>
                <w:lang w:val="en-US"/>
              </w:rPr>
              <w:br/>
            </w:r>
            <w:r>
              <w:sym w:font="Symbol" w:char="F02D"/>
            </w:r>
            <w:r>
              <w:rPr>
                <w:lang w:val="en-US"/>
              </w:rPr>
              <w:t>23 dB</w:t>
            </w:r>
            <w:r>
              <w:rPr>
                <w:lang w:val="en-US"/>
              </w:rPr>
              <w:br/>
              <w:t>(MHz)</w:t>
            </w:r>
          </w:p>
        </w:tc>
        <w:tc>
          <w:tcPr>
            <w:tcW w:w="1275" w:type="dxa"/>
          </w:tcPr>
          <w:p w:rsidR="002B489A" w:rsidRDefault="004F19C4">
            <w:pPr>
              <w:pStyle w:val="Tablehead"/>
              <w:framePr w:hSpace="181" w:wrap="notBeside" w:vAnchor="text" w:hAnchor="text" w:xAlign="center" w:y="1"/>
              <w:spacing w:before="60" w:after="60"/>
              <w:rPr>
                <w:lang w:val="en-US"/>
              </w:rPr>
            </w:pPr>
            <w:r>
              <w:rPr>
                <w:lang w:val="en-US"/>
              </w:rPr>
              <w:t xml:space="preserve">Point D </w:t>
            </w:r>
            <w:r>
              <w:rPr>
                <w:lang w:val="en-US"/>
              </w:rPr>
              <w:br/>
            </w:r>
            <w:r>
              <w:sym w:font="Symbol" w:char="F02D"/>
            </w:r>
            <w:r>
              <w:rPr>
                <w:lang w:val="en-US"/>
              </w:rPr>
              <w:t>45 dB</w:t>
            </w:r>
            <w:r>
              <w:rPr>
                <w:lang w:val="en-US"/>
              </w:rPr>
              <w:br/>
              <w:t>(MHz)</w:t>
            </w:r>
          </w:p>
        </w:tc>
        <w:tc>
          <w:tcPr>
            <w:tcW w:w="1276" w:type="dxa"/>
          </w:tcPr>
          <w:p w:rsidR="002B489A" w:rsidRDefault="004F19C4">
            <w:pPr>
              <w:pStyle w:val="Tablehead"/>
              <w:framePr w:hSpace="181" w:wrap="notBeside" w:vAnchor="text" w:hAnchor="text" w:xAlign="center" w:y="1"/>
              <w:spacing w:before="60" w:after="60"/>
              <w:rPr>
                <w:lang w:val="en-US"/>
              </w:rPr>
            </w:pPr>
            <w:r>
              <w:rPr>
                <w:lang w:val="en-US"/>
              </w:rPr>
              <w:t xml:space="preserve">Point E </w:t>
            </w:r>
            <w:r>
              <w:rPr>
                <w:lang w:val="en-US"/>
              </w:rPr>
              <w:br/>
            </w:r>
            <w:r>
              <w:sym w:font="Symbol" w:char="F02D"/>
            </w:r>
            <w:r>
              <w:rPr>
                <w:lang w:val="en-US"/>
              </w:rPr>
              <w:t>45 dB</w:t>
            </w:r>
            <w:r>
              <w:rPr>
                <w:lang w:val="en-US"/>
              </w:rPr>
              <w:br/>
              <w:t>(MHz)</w:t>
            </w:r>
          </w:p>
        </w:tc>
      </w:tr>
      <w:tr w:rsidR="002B489A">
        <w:tc>
          <w:tcPr>
            <w:tcW w:w="3005" w:type="dxa"/>
          </w:tcPr>
          <w:p w:rsidR="002B489A" w:rsidRDefault="004F19C4">
            <w:pPr>
              <w:pStyle w:val="Tabletext"/>
              <w:framePr w:hSpace="181" w:wrap="notBeside" w:vAnchor="text" w:hAnchor="text" w:xAlign="center" w:y="1"/>
              <w:spacing w:before="30" w:after="30"/>
              <w:jc w:val="center"/>
            </w:pPr>
            <w:r>
              <w:t>3,5</w:t>
            </w:r>
          </w:p>
        </w:tc>
        <w:tc>
          <w:tcPr>
            <w:tcW w:w="1275" w:type="dxa"/>
          </w:tcPr>
          <w:p w:rsidR="002B489A" w:rsidRDefault="004F19C4">
            <w:pPr>
              <w:pStyle w:val="Tabletext"/>
              <w:framePr w:hSpace="181" w:wrap="notBeside" w:vAnchor="text" w:hAnchor="text" w:xAlign="center" w:y="1"/>
              <w:spacing w:before="30" w:after="30"/>
              <w:jc w:val="center"/>
            </w:pPr>
            <w:r>
              <w:t>1,5</w:t>
            </w:r>
          </w:p>
        </w:tc>
        <w:tc>
          <w:tcPr>
            <w:tcW w:w="1276" w:type="dxa"/>
          </w:tcPr>
          <w:p w:rsidR="002B489A" w:rsidRDefault="004F19C4">
            <w:pPr>
              <w:pStyle w:val="Tabletext"/>
              <w:framePr w:hSpace="181" w:wrap="notBeside" w:vAnchor="text" w:hAnchor="text" w:xAlign="center" w:y="1"/>
              <w:spacing w:before="30" w:after="30"/>
              <w:jc w:val="center"/>
            </w:pPr>
            <w:r>
              <w:t>2,8</w:t>
            </w:r>
          </w:p>
        </w:tc>
        <w:tc>
          <w:tcPr>
            <w:tcW w:w="1276" w:type="dxa"/>
          </w:tcPr>
          <w:p w:rsidR="002B489A" w:rsidRDefault="004F19C4">
            <w:pPr>
              <w:pStyle w:val="Tabletext"/>
              <w:framePr w:hSpace="181" w:wrap="notBeside" w:vAnchor="text" w:hAnchor="text" w:xAlign="center" w:y="1"/>
              <w:spacing w:before="30" w:after="30"/>
              <w:jc w:val="center"/>
            </w:pPr>
            <w:r>
              <w:t>3,7</w:t>
            </w:r>
          </w:p>
        </w:tc>
        <w:tc>
          <w:tcPr>
            <w:tcW w:w="1275" w:type="dxa"/>
          </w:tcPr>
          <w:p w:rsidR="002B489A" w:rsidRDefault="004F19C4">
            <w:pPr>
              <w:pStyle w:val="Tabletext"/>
              <w:framePr w:hSpace="181" w:wrap="notBeside" w:vAnchor="text" w:hAnchor="text" w:xAlign="center" w:y="1"/>
              <w:spacing w:before="30" w:after="30"/>
              <w:jc w:val="center"/>
            </w:pPr>
            <w:r>
              <w:t>7</w:t>
            </w:r>
          </w:p>
        </w:tc>
        <w:tc>
          <w:tcPr>
            <w:tcW w:w="1276" w:type="dxa"/>
          </w:tcPr>
          <w:p w:rsidR="002B489A" w:rsidRDefault="004F19C4">
            <w:pPr>
              <w:pStyle w:val="Tabletext"/>
              <w:framePr w:hSpace="181" w:wrap="notBeside" w:vAnchor="text" w:hAnchor="text" w:xAlign="center" w:y="1"/>
              <w:spacing w:before="30" w:after="30"/>
              <w:jc w:val="center"/>
            </w:pPr>
            <w:r>
              <w:t>8,75</w:t>
            </w:r>
          </w:p>
        </w:tc>
      </w:tr>
      <w:tr w:rsidR="002B489A">
        <w:tc>
          <w:tcPr>
            <w:tcW w:w="3005" w:type="dxa"/>
          </w:tcPr>
          <w:p w:rsidR="002B489A" w:rsidRDefault="004F19C4">
            <w:pPr>
              <w:pStyle w:val="Tabletext"/>
              <w:framePr w:hSpace="181" w:wrap="notBeside" w:vAnchor="text" w:hAnchor="text" w:xAlign="center" w:y="1"/>
              <w:spacing w:before="30" w:after="30"/>
              <w:jc w:val="center"/>
            </w:pPr>
            <w:r>
              <w:t>7</w:t>
            </w:r>
          </w:p>
        </w:tc>
        <w:tc>
          <w:tcPr>
            <w:tcW w:w="1275" w:type="dxa"/>
          </w:tcPr>
          <w:p w:rsidR="002B489A" w:rsidRDefault="004F19C4">
            <w:pPr>
              <w:pStyle w:val="Tabletext"/>
              <w:framePr w:hSpace="181" w:wrap="notBeside" w:vAnchor="text" w:hAnchor="text" w:xAlign="center" w:y="1"/>
              <w:spacing w:before="30" w:after="30"/>
              <w:jc w:val="center"/>
            </w:pPr>
            <w:r>
              <w:t>2,8</w:t>
            </w:r>
          </w:p>
        </w:tc>
        <w:tc>
          <w:tcPr>
            <w:tcW w:w="1276" w:type="dxa"/>
          </w:tcPr>
          <w:p w:rsidR="002B489A" w:rsidRDefault="004F19C4">
            <w:pPr>
              <w:pStyle w:val="Tabletext"/>
              <w:framePr w:hSpace="181" w:wrap="notBeside" w:vAnchor="text" w:hAnchor="text" w:xAlign="center" w:y="1"/>
              <w:spacing w:before="30" w:after="30"/>
              <w:jc w:val="center"/>
            </w:pPr>
            <w:r>
              <w:t>5,6</w:t>
            </w:r>
          </w:p>
        </w:tc>
        <w:tc>
          <w:tcPr>
            <w:tcW w:w="1276" w:type="dxa"/>
          </w:tcPr>
          <w:p w:rsidR="002B489A" w:rsidRDefault="004F19C4">
            <w:pPr>
              <w:pStyle w:val="Tabletext"/>
              <w:framePr w:hSpace="181" w:wrap="notBeside" w:vAnchor="text" w:hAnchor="text" w:xAlign="center" w:y="1"/>
              <w:spacing w:before="30" w:after="30"/>
              <w:jc w:val="center"/>
            </w:pPr>
            <w:r>
              <w:t>7</w:t>
            </w:r>
          </w:p>
        </w:tc>
        <w:tc>
          <w:tcPr>
            <w:tcW w:w="1275" w:type="dxa"/>
          </w:tcPr>
          <w:p w:rsidR="002B489A" w:rsidRDefault="004F19C4">
            <w:pPr>
              <w:pStyle w:val="Tabletext"/>
              <w:framePr w:hSpace="181" w:wrap="notBeside" w:vAnchor="text" w:hAnchor="text" w:xAlign="center" w:y="1"/>
              <w:spacing w:before="30" w:after="30"/>
              <w:jc w:val="center"/>
            </w:pPr>
            <w:r>
              <w:t>14</w:t>
            </w:r>
          </w:p>
        </w:tc>
        <w:tc>
          <w:tcPr>
            <w:tcW w:w="1276" w:type="dxa"/>
          </w:tcPr>
          <w:p w:rsidR="002B489A" w:rsidRDefault="004F19C4">
            <w:pPr>
              <w:pStyle w:val="Tabletext"/>
              <w:framePr w:hSpace="181" w:wrap="notBeside" w:vAnchor="text" w:hAnchor="text" w:xAlign="center" w:y="1"/>
              <w:spacing w:before="30" w:after="30"/>
              <w:jc w:val="center"/>
            </w:pPr>
            <w:r>
              <w:t>17,5</w:t>
            </w:r>
          </w:p>
        </w:tc>
      </w:tr>
      <w:tr w:rsidR="002B489A">
        <w:tc>
          <w:tcPr>
            <w:tcW w:w="3005" w:type="dxa"/>
          </w:tcPr>
          <w:p w:rsidR="002B489A" w:rsidRDefault="004F19C4">
            <w:pPr>
              <w:pStyle w:val="Tabletext"/>
              <w:framePr w:hSpace="181" w:wrap="notBeside" w:vAnchor="text" w:hAnchor="text" w:xAlign="center" w:y="1"/>
              <w:spacing w:before="30" w:after="30"/>
              <w:jc w:val="center"/>
            </w:pPr>
            <w:r>
              <w:t>14</w:t>
            </w:r>
          </w:p>
        </w:tc>
        <w:tc>
          <w:tcPr>
            <w:tcW w:w="1275" w:type="dxa"/>
          </w:tcPr>
          <w:p w:rsidR="002B489A" w:rsidRDefault="004F19C4">
            <w:pPr>
              <w:pStyle w:val="Tabletext"/>
              <w:framePr w:hSpace="181" w:wrap="notBeside" w:vAnchor="text" w:hAnchor="text" w:xAlign="center" w:y="1"/>
              <w:spacing w:before="30" w:after="30"/>
              <w:jc w:val="center"/>
            </w:pPr>
            <w:r>
              <w:t>5,6</w:t>
            </w:r>
          </w:p>
        </w:tc>
        <w:tc>
          <w:tcPr>
            <w:tcW w:w="1276" w:type="dxa"/>
          </w:tcPr>
          <w:p w:rsidR="002B489A" w:rsidRDefault="004F19C4">
            <w:pPr>
              <w:pStyle w:val="Tabletext"/>
              <w:framePr w:hSpace="181" w:wrap="notBeside" w:vAnchor="text" w:hAnchor="text" w:xAlign="center" w:y="1"/>
              <w:spacing w:before="30" w:after="30"/>
              <w:jc w:val="center"/>
            </w:pPr>
            <w:r>
              <w:t>11,2</w:t>
            </w:r>
          </w:p>
        </w:tc>
        <w:tc>
          <w:tcPr>
            <w:tcW w:w="1276" w:type="dxa"/>
          </w:tcPr>
          <w:p w:rsidR="002B489A" w:rsidRDefault="004F19C4">
            <w:pPr>
              <w:pStyle w:val="Tabletext"/>
              <w:framePr w:hSpace="181" w:wrap="notBeside" w:vAnchor="text" w:hAnchor="text" w:xAlign="center" w:y="1"/>
              <w:spacing w:before="30" w:after="30"/>
              <w:jc w:val="center"/>
            </w:pPr>
            <w:r>
              <w:t>14</w:t>
            </w:r>
          </w:p>
        </w:tc>
        <w:tc>
          <w:tcPr>
            <w:tcW w:w="1275" w:type="dxa"/>
          </w:tcPr>
          <w:p w:rsidR="002B489A" w:rsidRDefault="004F19C4">
            <w:pPr>
              <w:pStyle w:val="Tabletext"/>
              <w:framePr w:hSpace="181" w:wrap="notBeside" w:vAnchor="text" w:hAnchor="text" w:xAlign="center" w:y="1"/>
              <w:spacing w:before="30" w:after="30"/>
              <w:jc w:val="center"/>
            </w:pPr>
            <w:r>
              <w:t>28</w:t>
            </w:r>
          </w:p>
        </w:tc>
        <w:tc>
          <w:tcPr>
            <w:tcW w:w="1276" w:type="dxa"/>
          </w:tcPr>
          <w:p w:rsidR="002B489A" w:rsidRDefault="004F19C4">
            <w:pPr>
              <w:pStyle w:val="Tabletext"/>
              <w:framePr w:hSpace="181" w:wrap="notBeside" w:vAnchor="text" w:hAnchor="text" w:xAlign="center" w:y="1"/>
              <w:spacing w:before="30" w:after="30"/>
              <w:jc w:val="center"/>
            </w:pPr>
            <w:r>
              <w:t>35</w:t>
            </w:r>
          </w:p>
        </w:tc>
      </w:tr>
      <w:tr w:rsidR="002B489A">
        <w:tc>
          <w:tcPr>
            <w:tcW w:w="3005" w:type="dxa"/>
          </w:tcPr>
          <w:p w:rsidR="002B489A" w:rsidRDefault="004F19C4">
            <w:pPr>
              <w:pStyle w:val="Tabletext"/>
              <w:framePr w:hSpace="181" w:wrap="notBeside" w:vAnchor="text" w:hAnchor="text" w:xAlign="center" w:y="1"/>
              <w:spacing w:before="30" w:after="30"/>
              <w:jc w:val="center"/>
            </w:pPr>
            <w:r>
              <w:t>28</w:t>
            </w:r>
          </w:p>
        </w:tc>
        <w:tc>
          <w:tcPr>
            <w:tcW w:w="1275" w:type="dxa"/>
          </w:tcPr>
          <w:p w:rsidR="002B489A" w:rsidRDefault="004F19C4">
            <w:pPr>
              <w:pStyle w:val="Tabletext"/>
              <w:framePr w:hSpace="181" w:wrap="notBeside" w:vAnchor="text" w:hAnchor="text" w:xAlign="center" w:y="1"/>
              <w:spacing w:before="30" w:after="30"/>
              <w:jc w:val="center"/>
            </w:pPr>
            <w:r>
              <w:t>11,2</w:t>
            </w:r>
          </w:p>
        </w:tc>
        <w:tc>
          <w:tcPr>
            <w:tcW w:w="1276" w:type="dxa"/>
          </w:tcPr>
          <w:p w:rsidR="002B489A" w:rsidRDefault="004F19C4">
            <w:pPr>
              <w:pStyle w:val="Tabletext"/>
              <w:framePr w:hSpace="181" w:wrap="notBeside" w:vAnchor="text" w:hAnchor="text" w:xAlign="center" w:y="1"/>
              <w:spacing w:before="30" w:after="30"/>
              <w:jc w:val="center"/>
            </w:pPr>
            <w:r>
              <w:t>22,4</w:t>
            </w:r>
          </w:p>
        </w:tc>
        <w:tc>
          <w:tcPr>
            <w:tcW w:w="1276" w:type="dxa"/>
          </w:tcPr>
          <w:p w:rsidR="002B489A" w:rsidRDefault="004F19C4">
            <w:pPr>
              <w:pStyle w:val="Tabletext"/>
              <w:framePr w:hSpace="181" w:wrap="notBeside" w:vAnchor="text" w:hAnchor="text" w:xAlign="center" w:y="1"/>
              <w:spacing w:before="30" w:after="30"/>
              <w:jc w:val="center"/>
            </w:pPr>
            <w:r>
              <w:t>28</w:t>
            </w:r>
          </w:p>
        </w:tc>
        <w:tc>
          <w:tcPr>
            <w:tcW w:w="1275" w:type="dxa"/>
          </w:tcPr>
          <w:p w:rsidR="002B489A" w:rsidRDefault="004F19C4">
            <w:pPr>
              <w:pStyle w:val="Tabletext"/>
              <w:framePr w:hSpace="181" w:wrap="notBeside" w:vAnchor="text" w:hAnchor="text" w:xAlign="center" w:y="1"/>
              <w:spacing w:before="30" w:after="30"/>
              <w:jc w:val="center"/>
            </w:pPr>
            <w:r>
              <w:t>56</w:t>
            </w:r>
          </w:p>
        </w:tc>
        <w:tc>
          <w:tcPr>
            <w:tcW w:w="1276" w:type="dxa"/>
          </w:tcPr>
          <w:p w:rsidR="002B489A" w:rsidRDefault="004F19C4">
            <w:pPr>
              <w:pStyle w:val="Tabletext"/>
              <w:framePr w:hSpace="181" w:wrap="notBeside" w:vAnchor="text" w:hAnchor="text" w:xAlign="center" w:y="1"/>
              <w:spacing w:before="30" w:after="30"/>
              <w:jc w:val="center"/>
            </w:pPr>
            <w:r>
              <w:t>70</w:t>
            </w:r>
          </w:p>
        </w:tc>
      </w:tr>
      <w:tr w:rsidR="002B489A">
        <w:tc>
          <w:tcPr>
            <w:tcW w:w="3005" w:type="dxa"/>
          </w:tcPr>
          <w:p w:rsidR="002B489A" w:rsidRDefault="004F19C4">
            <w:pPr>
              <w:pStyle w:val="Tabletext"/>
              <w:framePr w:hSpace="181" w:wrap="notBeside" w:vAnchor="text" w:hAnchor="text" w:xAlign="center" w:y="1"/>
              <w:spacing w:before="30" w:after="30"/>
              <w:jc w:val="center"/>
            </w:pPr>
            <w:r>
              <w:t>56</w:t>
            </w:r>
          </w:p>
        </w:tc>
        <w:tc>
          <w:tcPr>
            <w:tcW w:w="1275" w:type="dxa"/>
          </w:tcPr>
          <w:p w:rsidR="002B489A" w:rsidRDefault="004F19C4">
            <w:pPr>
              <w:pStyle w:val="Tabletext"/>
              <w:framePr w:hSpace="181" w:wrap="notBeside" w:vAnchor="text" w:hAnchor="text" w:xAlign="center" w:y="1"/>
              <w:spacing w:before="30" w:after="30"/>
              <w:jc w:val="center"/>
            </w:pPr>
            <w:r>
              <w:t>22,5</w:t>
            </w:r>
          </w:p>
        </w:tc>
        <w:tc>
          <w:tcPr>
            <w:tcW w:w="1276" w:type="dxa"/>
          </w:tcPr>
          <w:p w:rsidR="002B489A" w:rsidRDefault="004F19C4">
            <w:pPr>
              <w:pStyle w:val="Tabletext"/>
              <w:framePr w:hSpace="181" w:wrap="notBeside" w:vAnchor="text" w:hAnchor="text" w:xAlign="center" w:y="1"/>
              <w:spacing w:before="30" w:after="30"/>
              <w:jc w:val="center"/>
            </w:pPr>
            <w:r>
              <w:t>45</w:t>
            </w:r>
          </w:p>
        </w:tc>
        <w:tc>
          <w:tcPr>
            <w:tcW w:w="1276" w:type="dxa"/>
          </w:tcPr>
          <w:p w:rsidR="002B489A" w:rsidRDefault="004F19C4">
            <w:pPr>
              <w:pStyle w:val="Tabletext"/>
              <w:framePr w:hSpace="181" w:wrap="notBeside" w:vAnchor="text" w:hAnchor="text" w:xAlign="center" w:y="1"/>
              <w:spacing w:before="30" w:after="30"/>
              <w:jc w:val="center"/>
            </w:pPr>
            <w:r>
              <w:t>56</w:t>
            </w:r>
          </w:p>
        </w:tc>
        <w:tc>
          <w:tcPr>
            <w:tcW w:w="1275" w:type="dxa"/>
          </w:tcPr>
          <w:p w:rsidR="002B489A" w:rsidRDefault="004F19C4">
            <w:pPr>
              <w:pStyle w:val="Tabletext"/>
              <w:framePr w:hSpace="181" w:wrap="notBeside" w:vAnchor="text" w:hAnchor="text" w:xAlign="center" w:y="1"/>
              <w:spacing w:before="30" w:after="30"/>
              <w:jc w:val="center"/>
            </w:pPr>
            <w:r>
              <w:t>112</w:t>
            </w:r>
          </w:p>
        </w:tc>
        <w:tc>
          <w:tcPr>
            <w:tcW w:w="1276" w:type="dxa"/>
          </w:tcPr>
          <w:p w:rsidR="002B489A" w:rsidRDefault="004F19C4">
            <w:pPr>
              <w:pStyle w:val="Tabletext"/>
              <w:framePr w:hSpace="181" w:wrap="notBeside" w:vAnchor="text" w:hAnchor="text" w:xAlign="center" w:y="1"/>
              <w:spacing w:before="30" w:after="30"/>
              <w:jc w:val="center"/>
            </w:pPr>
            <w:r>
              <w:t>140</w:t>
            </w:r>
          </w:p>
        </w:tc>
      </w:tr>
      <w:tr w:rsidR="002B489A">
        <w:tc>
          <w:tcPr>
            <w:tcW w:w="3005" w:type="dxa"/>
          </w:tcPr>
          <w:p w:rsidR="002B489A" w:rsidRDefault="004F19C4">
            <w:pPr>
              <w:pStyle w:val="Tabletext"/>
              <w:framePr w:hSpace="181" w:wrap="notBeside" w:vAnchor="text" w:hAnchor="text" w:xAlign="center" w:y="1"/>
              <w:spacing w:before="30" w:after="30"/>
              <w:jc w:val="center"/>
            </w:pPr>
            <w:r>
              <w:t>112</w:t>
            </w:r>
          </w:p>
        </w:tc>
        <w:tc>
          <w:tcPr>
            <w:tcW w:w="1275" w:type="dxa"/>
          </w:tcPr>
          <w:p w:rsidR="002B489A" w:rsidRDefault="004F19C4">
            <w:pPr>
              <w:pStyle w:val="Tabletext"/>
              <w:framePr w:hSpace="181" w:wrap="notBeside" w:vAnchor="text" w:hAnchor="text" w:xAlign="center" w:y="1"/>
              <w:spacing w:before="30" w:after="30"/>
              <w:jc w:val="center"/>
            </w:pPr>
            <w:r>
              <w:t>45</w:t>
            </w:r>
          </w:p>
        </w:tc>
        <w:tc>
          <w:tcPr>
            <w:tcW w:w="1276" w:type="dxa"/>
          </w:tcPr>
          <w:p w:rsidR="002B489A" w:rsidRDefault="004F19C4">
            <w:pPr>
              <w:pStyle w:val="Tabletext"/>
              <w:framePr w:hSpace="181" w:wrap="notBeside" w:vAnchor="text" w:hAnchor="text" w:xAlign="center" w:y="1"/>
              <w:spacing w:before="30" w:after="30"/>
              <w:jc w:val="center"/>
            </w:pPr>
            <w:r>
              <w:t>90</w:t>
            </w:r>
          </w:p>
        </w:tc>
        <w:tc>
          <w:tcPr>
            <w:tcW w:w="1276" w:type="dxa"/>
          </w:tcPr>
          <w:p w:rsidR="002B489A" w:rsidRDefault="004F19C4">
            <w:pPr>
              <w:pStyle w:val="Tabletext"/>
              <w:framePr w:hSpace="181" w:wrap="notBeside" w:vAnchor="text" w:hAnchor="text" w:xAlign="center" w:y="1"/>
              <w:spacing w:before="30" w:after="30"/>
              <w:jc w:val="center"/>
            </w:pPr>
            <w:r>
              <w:t>112</w:t>
            </w:r>
          </w:p>
        </w:tc>
        <w:tc>
          <w:tcPr>
            <w:tcW w:w="1275" w:type="dxa"/>
          </w:tcPr>
          <w:p w:rsidR="002B489A" w:rsidRDefault="004F19C4">
            <w:pPr>
              <w:pStyle w:val="Tabletext"/>
              <w:framePr w:hSpace="181" w:wrap="notBeside" w:vAnchor="text" w:hAnchor="text" w:xAlign="center" w:y="1"/>
              <w:spacing w:before="30" w:after="30"/>
              <w:jc w:val="center"/>
            </w:pPr>
            <w:r>
              <w:t>224</w:t>
            </w:r>
          </w:p>
        </w:tc>
        <w:tc>
          <w:tcPr>
            <w:tcW w:w="1276" w:type="dxa"/>
          </w:tcPr>
          <w:p w:rsidR="002B489A" w:rsidRDefault="004F19C4">
            <w:pPr>
              <w:pStyle w:val="Tabletext"/>
              <w:framePr w:hSpace="181" w:wrap="notBeside" w:vAnchor="text" w:hAnchor="text" w:xAlign="center" w:y="1"/>
              <w:spacing w:before="30" w:after="30"/>
              <w:jc w:val="center"/>
            </w:pPr>
            <w:r>
              <w:t>280</w:t>
            </w:r>
          </w:p>
        </w:tc>
      </w:tr>
    </w:tbl>
    <w:p w:rsidR="002B489A" w:rsidRDefault="002B489A">
      <w:pPr>
        <w:pStyle w:val="Tablefin"/>
        <w:spacing w:before="0"/>
        <w:rPr>
          <w:sz w:val="12"/>
          <w:lang w:eastAsia="fr-FR"/>
        </w:rPr>
      </w:pPr>
    </w:p>
    <w:p w:rsidR="002B489A" w:rsidRDefault="004F19C4">
      <w:pPr>
        <w:rPr>
          <w:lang w:eastAsia="fr-FR"/>
        </w:rPr>
      </w:pPr>
      <w:r>
        <w:rPr>
          <w:lang w:eastAsia="fr-FR"/>
        </w:rPr>
        <w:t>Il faut noter que ces gabarits sont applicables à la fois aux stations terminales et aux stations de base.</w:t>
      </w:r>
    </w:p>
    <w:p w:rsidR="002B489A" w:rsidRDefault="004F19C4">
      <w:pPr>
        <w:pStyle w:val="Heading5"/>
      </w:pPr>
      <w:r>
        <w:rPr>
          <w:lang w:eastAsia="fr-FR"/>
        </w:rPr>
        <w:br w:type="page"/>
        <w:t>4.3.2.2.2</w:t>
      </w:r>
      <w:r>
        <w:rPr>
          <w:lang w:eastAsia="fr-FR"/>
        </w:rPr>
        <w:tab/>
        <w:t>Niveaux des rayonnements non essentiels pour les systèmes P</w:t>
      </w:r>
      <w:r>
        <w:rPr>
          <w:lang w:eastAsia="fr-FR"/>
        </w:rPr>
        <w:noBreakHyphen/>
        <w:t>MP</w:t>
      </w:r>
    </w:p>
    <w:p w:rsidR="002B489A" w:rsidRDefault="004F19C4">
      <w:r>
        <w:t xml:space="preserve">L'EN 301 390 donne les niveaux des rayonnements non essentiels pour les systèmes point à point (les mêmes que ceux donnés dans la Recommandation UIT-R SM.329 à la catégorie B) et pour les systèmes </w:t>
      </w:r>
      <w:r>
        <w:rPr>
          <w:lang w:eastAsia="fr-FR"/>
        </w:rPr>
        <w:t>P</w:t>
      </w:r>
      <w:r>
        <w:rPr>
          <w:lang w:eastAsia="fr-FR"/>
        </w:rPr>
        <w:noBreakHyphen/>
        <w:t>MP</w:t>
      </w:r>
      <w:r>
        <w:t>.</w:t>
      </w:r>
    </w:p>
    <w:p w:rsidR="002B489A" w:rsidRDefault="004F19C4">
      <w:r>
        <w:t>Les Tableaux 83 et 84 font la comparaison des limites en fonction du type de système.</w:t>
      </w:r>
    </w:p>
    <w:p w:rsidR="002B489A" w:rsidRDefault="004F19C4">
      <w:pPr>
        <w:pStyle w:val="TableNo"/>
      </w:pPr>
      <w:r>
        <w:t>TABLEAU  83</w:t>
      </w:r>
    </w:p>
    <w:p w:rsidR="002B489A" w:rsidRDefault="004F19C4">
      <w:pPr>
        <w:pStyle w:val="Tabletitle"/>
        <w:rPr>
          <w:lang w:eastAsia="fr-FR"/>
        </w:rPr>
      </w:pPr>
      <w:r>
        <w:t xml:space="preserve">Limites des rayonnements non essentiels dans le cas de systèmes utilisant </w:t>
      </w:r>
      <w:r>
        <w:br/>
        <w:t>un espacement entre canaux (EC) inférieur à 10 MHz</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6"/>
        <w:gridCol w:w="2059"/>
        <w:gridCol w:w="1681"/>
        <w:gridCol w:w="1683"/>
        <w:gridCol w:w="1680"/>
      </w:tblGrid>
      <w:tr w:rsidR="002B489A">
        <w:tc>
          <w:tcPr>
            <w:tcW w:w="2558" w:type="dxa"/>
          </w:tcPr>
          <w:p w:rsidR="002B489A" w:rsidRDefault="004F19C4">
            <w:pPr>
              <w:pStyle w:val="Tabletext"/>
              <w:framePr w:hSpace="181" w:wrap="notBeside" w:vAnchor="text" w:hAnchor="text" w:xAlign="center" w:y="1"/>
              <w:spacing w:line="240" w:lineRule="exact"/>
              <w:ind w:left="-57" w:right="-57"/>
              <w:jc w:val="left"/>
            </w:pPr>
            <w:r>
              <w:t>Décalage de fréquence</w:t>
            </w:r>
          </w:p>
        </w:tc>
        <w:tc>
          <w:tcPr>
            <w:tcW w:w="2072" w:type="dxa"/>
            <w:vAlign w:val="center"/>
          </w:tcPr>
          <w:p w:rsidR="002B489A" w:rsidRDefault="004F19C4">
            <w:pPr>
              <w:pStyle w:val="Tabletext"/>
              <w:framePr w:hSpace="181" w:wrap="notBeside" w:vAnchor="text" w:hAnchor="text" w:xAlign="center" w:y="1"/>
              <w:spacing w:line="240" w:lineRule="exact"/>
              <w:ind w:left="-57" w:right="-57"/>
              <w:jc w:val="center"/>
            </w:pPr>
            <w:r>
              <w:t>2,5 </w:t>
            </w:r>
            <w:r>
              <w:rPr>
                <w:rFonts w:ascii="Symbol" w:hAnsi="Symbol"/>
              </w:rPr>
              <w:sym w:font="Symbol" w:char="F0B4"/>
            </w:r>
            <w:r>
              <w:t> EC – 56 MHz</w:t>
            </w:r>
          </w:p>
        </w:tc>
        <w:tc>
          <w:tcPr>
            <w:tcW w:w="1701" w:type="dxa"/>
            <w:vAlign w:val="center"/>
          </w:tcPr>
          <w:p w:rsidR="002B489A" w:rsidRDefault="004F19C4">
            <w:pPr>
              <w:pStyle w:val="Tabletext"/>
              <w:framePr w:hSpace="181" w:wrap="notBeside" w:vAnchor="text" w:hAnchor="text" w:xAlign="center" w:y="1"/>
              <w:spacing w:line="240" w:lineRule="exact"/>
              <w:ind w:left="-57" w:right="-57"/>
              <w:jc w:val="center"/>
            </w:pPr>
            <w:r>
              <w:t>56</w:t>
            </w:r>
            <w:r>
              <w:noBreakHyphen/>
              <w:t>70 MHz</w:t>
            </w:r>
          </w:p>
        </w:tc>
        <w:tc>
          <w:tcPr>
            <w:tcW w:w="1701" w:type="dxa"/>
            <w:vAlign w:val="center"/>
          </w:tcPr>
          <w:p w:rsidR="002B489A" w:rsidRDefault="004F19C4">
            <w:pPr>
              <w:pStyle w:val="Tabletext"/>
              <w:framePr w:hSpace="181" w:wrap="notBeside" w:vAnchor="text" w:hAnchor="text" w:xAlign="center" w:y="1"/>
              <w:spacing w:line="240" w:lineRule="exact"/>
              <w:ind w:left="-57" w:right="-57"/>
              <w:jc w:val="center"/>
              <w:rPr>
                <w:caps/>
                <w:lang w:eastAsia="fr-FR"/>
              </w:rPr>
            </w:pPr>
            <w:r>
              <w:rPr>
                <w:caps/>
                <w:lang w:eastAsia="fr-FR"/>
              </w:rPr>
              <w:t>70</w:t>
            </w:r>
            <w:r>
              <w:rPr>
                <w:caps/>
                <w:lang w:eastAsia="fr-FR"/>
              </w:rPr>
              <w:noBreakHyphen/>
              <w:t>112 MH</w:t>
            </w:r>
            <w:r>
              <w:rPr>
                <w:lang w:eastAsia="fr-FR"/>
              </w:rPr>
              <w:t>z</w:t>
            </w:r>
          </w:p>
        </w:tc>
        <w:tc>
          <w:tcPr>
            <w:tcW w:w="1701" w:type="dxa"/>
            <w:vAlign w:val="center"/>
          </w:tcPr>
          <w:p w:rsidR="002B489A" w:rsidRDefault="004F19C4">
            <w:pPr>
              <w:pStyle w:val="Tabletext"/>
              <w:framePr w:hSpace="181" w:wrap="notBeside" w:vAnchor="text" w:hAnchor="text" w:xAlign="center" w:y="1"/>
              <w:spacing w:line="240" w:lineRule="exact"/>
              <w:ind w:left="-57" w:right="-57"/>
              <w:jc w:val="center"/>
            </w:pPr>
            <w:r>
              <w:rPr>
                <w:rFonts w:ascii="Symbol" w:hAnsi="Symbol"/>
              </w:rPr>
              <w:t></w:t>
            </w:r>
            <w:r>
              <w:rPr>
                <w:rFonts w:ascii="Tms Rmn" w:hAnsi="Tms Rmn"/>
                <w:sz w:val="12"/>
              </w:rPr>
              <w:t> </w:t>
            </w:r>
            <w:r>
              <w:t>112 MHz</w:t>
            </w:r>
          </w:p>
        </w:tc>
      </w:tr>
      <w:tr w:rsidR="002B489A">
        <w:tc>
          <w:tcPr>
            <w:tcW w:w="2558" w:type="dxa"/>
          </w:tcPr>
          <w:p w:rsidR="002B489A" w:rsidRDefault="004F19C4">
            <w:pPr>
              <w:pStyle w:val="Tabletext"/>
              <w:framePr w:hSpace="181" w:wrap="notBeside" w:vAnchor="text" w:hAnchor="text" w:xAlign="center" w:y="1"/>
              <w:spacing w:line="240" w:lineRule="exact"/>
              <w:ind w:left="-57" w:right="-57"/>
              <w:jc w:val="left"/>
            </w:pPr>
            <w:r>
              <w:t xml:space="preserve">Limite </w:t>
            </w:r>
            <w:r>
              <w:rPr>
                <w:lang w:eastAsia="fr-FR"/>
              </w:rPr>
              <w:t>point à point</w:t>
            </w:r>
            <w:r>
              <w:br/>
              <w:t>(catégorie B) (dB(W/MHz))</w:t>
            </w:r>
          </w:p>
        </w:tc>
        <w:tc>
          <w:tcPr>
            <w:tcW w:w="2072" w:type="dxa"/>
          </w:tcPr>
          <w:p w:rsidR="002B489A" w:rsidRDefault="004F19C4">
            <w:pPr>
              <w:pStyle w:val="Tabletext"/>
              <w:framePr w:hSpace="181" w:wrap="notBeside" w:vAnchor="text" w:hAnchor="text" w:xAlign="center" w:y="1"/>
              <w:spacing w:line="240" w:lineRule="exact"/>
              <w:ind w:left="-57" w:right="-57"/>
              <w:jc w:val="center"/>
            </w:pPr>
            <w:r>
              <w:t>–50</w:t>
            </w:r>
          </w:p>
        </w:tc>
        <w:tc>
          <w:tcPr>
            <w:tcW w:w="1701" w:type="dxa"/>
          </w:tcPr>
          <w:p w:rsidR="002B489A" w:rsidRDefault="004F19C4">
            <w:pPr>
              <w:pStyle w:val="Tabletext"/>
              <w:framePr w:hSpace="181" w:wrap="notBeside" w:vAnchor="text" w:hAnchor="text" w:xAlign="center" w:y="1"/>
              <w:spacing w:line="240" w:lineRule="exact"/>
              <w:ind w:left="-113" w:right="-113"/>
              <w:jc w:val="center"/>
              <w:rPr>
                <w:lang w:val="en-US"/>
              </w:rPr>
            </w:pPr>
            <w:r>
              <w:rPr>
                <w:lang w:val="en-US"/>
              </w:rPr>
              <w:t>–50</w:t>
            </w:r>
          </w:p>
        </w:tc>
        <w:tc>
          <w:tcPr>
            <w:tcW w:w="1701" w:type="dxa"/>
          </w:tcPr>
          <w:p w:rsidR="002B489A" w:rsidRDefault="004F19C4">
            <w:pPr>
              <w:pStyle w:val="Tabletext"/>
              <w:framePr w:hSpace="181" w:wrap="notBeside" w:vAnchor="text" w:hAnchor="text" w:xAlign="center" w:y="1"/>
              <w:spacing w:line="240" w:lineRule="exact"/>
              <w:ind w:left="-113" w:right="-113"/>
              <w:jc w:val="center"/>
              <w:rPr>
                <w:lang w:val="en-US"/>
              </w:rPr>
            </w:pPr>
            <w:r>
              <w:rPr>
                <w:lang w:val="en-US"/>
              </w:rPr>
              <w:t>–60</w:t>
            </w:r>
          </w:p>
        </w:tc>
        <w:tc>
          <w:tcPr>
            <w:tcW w:w="1701" w:type="dxa"/>
          </w:tcPr>
          <w:p w:rsidR="002B489A" w:rsidRDefault="004F19C4">
            <w:pPr>
              <w:pStyle w:val="Tabletext"/>
              <w:framePr w:hSpace="181" w:wrap="notBeside" w:vAnchor="text" w:hAnchor="text" w:xAlign="center" w:y="1"/>
              <w:spacing w:line="240" w:lineRule="exact"/>
              <w:ind w:left="-113" w:right="-113"/>
              <w:jc w:val="center"/>
              <w:rPr>
                <w:lang w:val="en-US"/>
              </w:rPr>
            </w:pPr>
            <w:r>
              <w:rPr>
                <w:lang w:val="en-US"/>
              </w:rPr>
              <w:t>–60</w:t>
            </w:r>
          </w:p>
        </w:tc>
      </w:tr>
      <w:tr w:rsidR="002B489A">
        <w:tc>
          <w:tcPr>
            <w:tcW w:w="2558" w:type="dxa"/>
          </w:tcPr>
          <w:p w:rsidR="002B489A" w:rsidRDefault="004F19C4">
            <w:pPr>
              <w:pStyle w:val="Tabletext"/>
              <w:framePr w:hSpace="181" w:wrap="notBeside" w:vAnchor="text" w:hAnchor="text" w:xAlign="center" w:y="1"/>
              <w:spacing w:line="240" w:lineRule="exact"/>
              <w:ind w:left="-57" w:right="-57"/>
              <w:jc w:val="left"/>
              <w:rPr>
                <w:lang w:val="en-US"/>
              </w:rPr>
            </w:pPr>
            <w:r>
              <w:rPr>
                <w:lang w:val="en-US"/>
              </w:rPr>
              <w:t xml:space="preserve">Limite </w:t>
            </w:r>
            <w:r>
              <w:rPr>
                <w:lang w:val="en-US" w:eastAsia="fr-FR"/>
              </w:rPr>
              <w:t>P</w:t>
            </w:r>
            <w:r>
              <w:rPr>
                <w:lang w:val="en-US" w:eastAsia="fr-FR"/>
              </w:rPr>
              <w:noBreakHyphen/>
              <w:t>MP</w:t>
            </w:r>
            <w:r>
              <w:rPr>
                <w:lang w:val="en-US"/>
              </w:rPr>
              <w:t xml:space="preserve"> (EN 301 390)</w:t>
            </w:r>
            <w:r>
              <w:rPr>
                <w:lang w:val="en-US"/>
              </w:rPr>
              <w:br/>
              <w:t>(dB(W/MHz))</w:t>
            </w:r>
          </w:p>
        </w:tc>
        <w:tc>
          <w:tcPr>
            <w:tcW w:w="2072" w:type="dxa"/>
          </w:tcPr>
          <w:p w:rsidR="002B489A" w:rsidRDefault="004F19C4">
            <w:pPr>
              <w:pStyle w:val="Tabletext"/>
              <w:framePr w:hSpace="181" w:wrap="notBeside" w:vAnchor="text" w:hAnchor="text" w:xAlign="center" w:y="1"/>
              <w:spacing w:line="240" w:lineRule="exact"/>
              <w:ind w:left="-57" w:right="-57"/>
              <w:jc w:val="center"/>
              <w:rPr>
                <w:lang w:val="en-US"/>
              </w:rPr>
            </w:pPr>
            <w:r>
              <w:rPr>
                <w:lang w:val="en-US"/>
              </w:rPr>
              <w:t xml:space="preserve">–50 </w:t>
            </w:r>
          </w:p>
        </w:tc>
        <w:tc>
          <w:tcPr>
            <w:tcW w:w="1701" w:type="dxa"/>
          </w:tcPr>
          <w:p w:rsidR="002B489A" w:rsidRDefault="004F19C4">
            <w:pPr>
              <w:pStyle w:val="Tabletext"/>
              <w:framePr w:hSpace="181" w:wrap="notBeside" w:vAnchor="text" w:hAnchor="text" w:xAlign="center" w:y="1"/>
              <w:spacing w:line="240" w:lineRule="exact"/>
              <w:ind w:left="-113" w:right="-113"/>
              <w:jc w:val="center"/>
              <w:rPr>
                <w:lang w:val="en-US"/>
              </w:rPr>
            </w:pPr>
            <w:r>
              <w:rPr>
                <w:lang w:val="en-US"/>
              </w:rPr>
              <w:t>–60</w:t>
            </w:r>
          </w:p>
        </w:tc>
        <w:tc>
          <w:tcPr>
            <w:tcW w:w="1701" w:type="dxa"/>
          </w:tcPr>
          <w:p w:rsidR="002B489A" w:rsidRDefault="004F19C4">
            <w:pPr>
              <w:pStyle w:val="Tabletext"/>
              <w:framePr w:hSpace="181" w:wrap="notBeside" w:vAnchor="text" w:hAnchor="text" w:xAlign="center" w:y="1"/>
              <w:spacing w:line="240" w:lineRule="exact"/>
              <w:ind w:left="-113" w:right="-113"/>
              <w:jc w:val="center"/>
              <w:rPr>
                <w:lang w:val="en-US"/>
              </w:rPr>
            </w:pPr>
            <w:r>
              <w:rPr>
                <w:lang w:val="en-US"/>
              </w:rPr>
              <w:t>–60</w:t>
            </w:r>
          </w:p>
        </w:tc>
        <w:tc>
          <w:tcPr>
            <w:tcW w:w="1701" w:type="dxa"/>
          </w:tcPr>
          <w:p w:rsidR="002B489A" w:rsidRDefault="004F19C4">
            <w:pPr>
              <w:pStyle w:val="Tabletext"/>
              <w:framePr w:hSpace="181" w:wrap="notBeside" w:vAnchor="text" w:hAnchor="text" w:xAlign="center" w:y="1"/>
              <w:spacing w:line="240" w:lineRule="exact"/>
              <w:ind w:left="-113" w:right="-113"/>
              <w:jc w:val="center"/>
              <w:rPr>
                <w:lang w:val="en-US" w:eastAsia="fr-FR"/>
              </w:rPr>
            </w:pPr>
            <w:r>
              <w:rPr>
                <w:lang w:val="en-US"/>
              </w:rPr>
              <w:t>–</w:t>
            </w:r>
            <w:r>
              <w:rPr>
                <w:lang w:val="en-US" w:eastAsia="fr-FR"/>
              </w:rPr>
              <w:t>70</w:t>
            </w:r>
          </w:p>
        </w:tc>
      </w:tr>
    </w:tbl>
    <w:p w:rsidR="002B489A" w:rsidRDefault="002B489A">
      <w:pPr>
        <w:pStyle w:val="Tablefin"/>
        <w:spacing w:before="240"/>
      </w:pPr>
    </w:p>
    <w:p w:rsidR="002B489A" w:rsidRDefault="004F19C4">
      <w:pPr>
        <w:pStyle w:val="TableNo"/>
      </w:pPr>
      <w:r>
        <w:t>TABLEAU  84</w:t>
      </w:r>
    </w:p>
    <w:p w:rsidR="002B489A" w:rsidRDefault="004F19C4">
      <w:pPr>
        <w:pStyle w:val="Tabletitle"/>
      </w:pPr>
      <w:r>
        <w:t xml:space="preserve">Limites des rayonnements non essentiels dans le cas de systèmes utilisant </w:t>
      </w:r>
      <w:r>
        <w:br/>
        <w:t>un espacement entre canaux (EC) supérieur à 10 MHz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3"/>
        <w:gridCol w:w="3411"/>
        <w:gridCol w:w="2383"/>
      </w:tblGrid>
      <w:tr w:rsidR="002B489A">
        <w:trPr>
          <w:cantSplit/>
        </w:trPr>
        <w:tc>
          <w:tcPr>
            <w:tcW w:w="3033" w:type="dxa"/>
          </w:tcPr>
          <w:p w:rsidR="002B489A" w:rsidRDefault="004F19C4">
            <w:pPr>
              <w:pStyle w:val="Tabletext"/>
              <w:framePr w:hSpace="181" w:wrap="notBeside" w:vAnchor="text" w:hAnchor="text" w:xAlign="center" w:y="1"/>
              <w:tabs>
                <w:tab w:val="clear" w:pos="2552"/>
                <w:tab w:val="left" w:pos="3530"/>
              </w:tabs>
              <w:spacing w:line="240" w:lineRule="exact"/>
            </w:pPr>
            <w:r>
              <w:t>Décalage de fréquence</w:t>
            </w:r>
          </w:p>
        </w:tc>
        <w:tc>
          <w:tcPr>
            <w:tcW w:w="3411" w:type="dxa"/>
          </w:tcPr>
          <w:p w:rsidR="002B489A" w:rsidRDefault="004F19C4">
            <w:pPr>
              <w:pStyle w:val="Tabletext"/>
              <w:framePr w:hSpace="181" w:wrap="notBeside" w:vAnchor="text" w:hAnchor="text" w:xAlign="center" w:y="1"/>
              <w:spacing w:line="240" w:lineRule="exact"/>
              <w:jc w:val="center"/>
            </w:pPr>
            <w:r>
              <w:t xml:space="preserve">2,5 </w:t>
            </w:r>
            <w:r>
              <w:sym w:font="Symbol" w:char="F0B4"/>
            </w:r>
            <w:r>
              <w:t xml:space="preserve"> EC – max (112 MHz; </w:t>
            </w:r>
            <w:r>
              <w:br/>
              <w:t>4,5 </w:t>
            </w:r>
            <w:r>
              <w:rPr>
                <w:rFonts w:ascii="Symbol" w:hAnsi="Symbol"/>
              </w:rPr>
              <w:sym w:font="Symbol" w:char="F0B4"/>
            </w:r>
            <w:r>
              <w:t> EC)</w:t>
            </w:r>
          </w:p>
        </w:tc>
        <w:tc>
          <w:tcPr>
            <w:tcW w:w="2383" w:type="dxa"/>
          </w:tcPr>
          <w:p w:rsidR="002B489A" w:rsidRDefault="004F19C4">
            <w:pPr>
              <w:pStyle w:val="Tabletext"/>
              <w:framePr w:hSpace="181" w:wrap="notBeside" w:vAnchor="text" w:hAnchor="text" w:xAlign="center" w:y="1"/>
              <w:spacing w:line="240" w:lineRule="exact"/>
              <w:jc w:val="center"/>
            </w:pPr>
            <w:r>
              <w:rPr>
                <w:rFonts w:ascii="Symbol" w:hAnsi="Symbol"/>
              </w:rPr>
              <w:t></w:t>
            </w:r>
            <w:r>
              <w:t xml:space="preserve"> max (112 MHz; </w:t>
            </w:r>
            <w:r>
              <w:br/>
              <w:t>4,5 </w:t>
            </w:r>
            <w:r>
              <w:rPr>
                <w:rFonts w:ascii="Symbol" w:hAnsi="Symbol"/>
              </w:rPr>
              <w:sym w:font="Symbol" w:char="F0B4"/>
            </w:r>
            <w:r>
              <w:t> EC)</w:t>
            </w:r>
          </w:p>
        </w:tc>
      </w:tr>
      <w:tr w:rsidR="002B489A">
        <w:trPr>
          <w:cantSplit/>
        </w:trPr>
        <w:tc>
          <w:tcPr>
            <w:tcW w:w="3033" w:type="dxa"/>
          </w:tcPr>
          <w:p w:rsidR="002B489A" w:rsidRDefault="004F19C4">
            <w:pPr>
              <w:pStyle w:val="Tabletext"/>
              <w:framePr w:hSpace="181" w:wrap="notBeside" w:vAnchor="text" w:hAnchor="text" w:xAlign="center" w:y="1"/>
              <w:tabs>
                <w:tab w:val="clear" w:pos="2552"/>
                <w:tab w:val="left" w:pos="3530"/>
              </w:tabs>
              <w:spacing w:line="240" w:lineRule="exact"/>
              <w:jc w:val="left"/>
              <w:rPr>
                <w:lang w:val="fr-CH"/>
              </w:rPr>
            </w:pPr>
            <w:r>
              <w:t xml:space="preserve">Limite </w:t>
            </w:r>
            <w:r>
              <w:rPr>
                <w:lang w:eastAsia="fr-FR"/>
              </w:rPr>
              <w:t>point à point</w:t>
            </w:r>
            <w:r>
              <w:t xml:space="preserve"> (catégorie B) (</w:t>
            </w:r>
            <w:r>
              <w:rPr>
                <w:lang w:val="fr-CH"/>
              </w:rPr>
              <w:t>dB(W/MHz))</w:t>
            </w:r>
          </w:p>
        </w:tc>
        <w:tc>
          <w:tcPr>
            <w:tcW w:w="3411" w:type="dxa"/>
          </w:tcPr>
          <w:p w:rsidR="002B489A" w:rsidRDefault="004F19C4">
            <w:pPr>
              <w:pStyle w:val="Tabletext"/>
              <w:framePr w:hSpace="181" w:wrap="notBeside" w:vAnchor="text" w:hAnchor="text" w:xAlign="center" w:y="1"/>
              <w:spacing w:line="240" w:lineRule="exact"/>
              <w:jc w:val="center"/>
              <w:rPr>
                <w:lang w:val="fr-CH"/>
              </w:rPr>
            </w:pPr>
            <w:r>
              <w:sym w:font="Symbol" w:char="F02D"/>
            </w:r>
            <w:r>
              <w:rPr>
                <w:lang w:val="fr-CH"/>
              </w:rPr>
              <w:t>60</w:t>
            </w:r>
          </w:p>
        </w:tc>
        <w:tc>
          <w:tcPr>
            <w:tcW w:w="2383" w:type="dxa"/>
          </w:tcPr>
          <w:p w:rsidR="002B489A" w:rsidRDefault="004F19C4">
            <w:pPr>
              <w:pStyle w:val="Tabletext"/>
              <w:framePr w:hSpace="181" w:wrap="notBeside" w:vAnchor="text" w:hAnchor="text" w:xAlign="center" w:y="1"/>
              <w:spacing w:line="240" w:lineRule="exact"/>
              <w:jc w:val="center"/>
              <w:rPr>
                <w:lang w:val="en-US"/>
              </w:rPr>
            </w:pPr>
            <w:r>
              <w:sym w:font="Symbol" w:char="F02D"/>
            </w:r>
            <w:r>
              <w:rPr>
                <w:lang w:val="en-US"/>
              </w:rPr>
              <w:t>60</w:t>
            </w:r>
          </w:p>
        </w:tc>
      </w:tr>
      <w:tr w:rsidR="002B489A">
        <w:trPr>
          <w:cantSplit/>
        </w:trPr>
        <w:tc>
          <w:tcPr>
            <w:tcW w:w="3033" w:type="dxa"/>
            <w:tcBorders>
              <w:bottom w:val="single" w:sz="4" w:space="0" w:color="auto"/>
            </w:tcBorders>
          </w:tcPr>
          <w:p w:rsidR="002B489A" w:rsidRDefault="004F19C4">
            <w:pPr>
              <w:pStyle w:val="Tabletext"/>
              <w:framePr w:hSpace="181" w:wrap="notBeside" w:vAnchor="text" w:hAnchor="text" w:xAlign="center" w:y="1"/>
              <w:tabs>
                <w:tab w:val="clear" w:pos="2552"/>
                <w:tab w:val="left" w:pos="3530"/>
              </w:tabs>
              <w:spacing w:line="240" w:lineRule="exact"/>
              <w:jc w:val="left"/>
              <w:rPr>
                <w:lang w:val="en-US"/>
              </w:rPr>
            </w:pPr>
            <w:r>
              <w:rPr>
                <w:lang w:val="en-US"/>
              </w:rPr>
              <w:t xml:space="preserve">Limite </w:t>
            </w:r>
            <w:r>
              <w:rPr>
                <w:lang w:eastAsia="fr-FR"/>
              </w:rPr>
              <w:t>P</w:t>
            </w:r>
            <w:r>
              <w:rPr>
                <w:lang w:eastAsia="fr-FR"/>
              </w:rPr>
              <w:noBreakHyphen/>
              <w:t>MP</w:t>
            </w:r>
            <w:r>
              <w:rPr>
                <w:lang w:val="en-US"/>
              </w:rPr>
              <w:t xml:space="preserve"> (EN 301 390) (dB(W/MHz))</w:t>
            </w:r>
          </w:p>
        </w:tc>
        <w:tc>
          <w:tcPr>
            <w:tcW w:w="3411" w:type="dxa"/>
            <w:tcBorders>
              <w:bottom w:val="single" w:sz="4" w:space="0" w:color="auto"/>
            </w:tcBorders>
          </w:tcPr>
          <w:p w:rsidR="002B489A" w:rsidRDefault="004F19C4">
            <w:pPr>
              <w:pStyle w:val="Tabletext"/>
              <w:framePr w:hSpace="181" w:wrap="notBeside" w:vAnchor="text" w:hAnchor="text" w:xAlign="center" w:y="1"/>
              <w:spacing w:line="240" w:lineRule="exact"/>
              <w:jc w:val="center"/>
              <w:rPr>
                <w:lang w:val="en-US"/>
              </w:rPr>
            </w:pPr>
            <w:r>
              <w:sym w:font="Symbol" w:char="F02D"/>
            </w:r>
            <w:r>
              <w:rPr>
                <w:lang w:val="en-US"/>
              </w:rPr>
              <w:t>60</w:t>
            </w:r>
          </w:p>
        </w:tc>
        <w:tc>
          <w:tcPr>
            <w:tcW w:w="2383" w:type="dxa"/>
            <w:tcBorders>
              <w:bottom w:val="single" w:sz="4" w:space="0" w:color="auto"/>
            </w:tcBorders>
          </w:tcPr>
          <w:p w:rsidR="002B489A" w:rsidRDefault="004F19C4">
            <w:pPr>
              <w:pStyle w:val="Tabletext"/>
              <w:framePr w:hSpace="181" w:wrap="notBeside" w:vAnchor="text" w:hAnchor="text" w:xAlign="center" w:y="1"/>
              <w:spacing w:line="240" w:lineRule="exact"/>
              <w:jc w:val="center"/>
              <w:rPr>
                <w:lang w:val="en-US"/>
              </w:rPr>
            </w:pPr>
            <w:r>
              <w:sym w:font="Symbol" w:char="F02D"/>
            </w:r>
            <w:r>
              <w:rPr>
                <w:lang w:val="en-US"/>
              </w:rPr>
              <w:t>70</w:t>
            </w:r>
          </w:p>
        </w:tc>
      </w:tr>
    </w:tbl>
    <w:p w:rsidR="002B489A" w:rsidRDefault="002B489A">
      <w:pPr>
        <w:pStyle w:val="Tablefin"/>
        <w:spacing w:before="240"/>
        <w:rPr>
          <w:lang w:val="fr-FR" w:eastAsia="fr-FR"/>
        </w:rPr>
      </w:pPr>
    </w:p>
    <w:p w:rsidR="002B489A" w:rsidRDefault="004F19C4">
      <w:pPr>
        <w:pStyle w:val="Heading5"/>
      </w:pPr>
      <w:r>
        <w:rPr>
          <w:lang w:eastAsia="fr-FR"/>
        </w:rPr>
        <w:t>4.3.2.2.3</w:t>
      </w:r>
      <w:r>
        <w:rPr>
          <w:lang w:eastAsia="fr-FR"/>
        </w:rPr>
        <w:tab/>
        <w:t>Résultats des calculs pour les systèmes P</w:t>
      </w:r>
      <w:r>
        <w:rPr>
          <w:lang w:eastAsia="fr-FR"/>
        </w:rPr>
        <w:noBreakHyphen/>
        <w:t>MP</w:t>
      </w:r>
    </w:p>
    <w:p w:rsidR="002B489A" w:rsidRDefault="004F19C4">
      <w:pPr>
        <w:tabs>
          <w:tab w:val="clear" w:pos="794"/>
        </w:tabs>
      </w:pPr>
      <w:r>
        <w:t>On utilise la même approche que pour les systèmes point à point.</w:t>
      </w:r>
    </w:p>
    <w:p w:rsidR="002B489A" w:rsidRDefault="004F19C4">
      <w:pPr>
        <w:pStyle w:val="Heading6"/>
        <w:rPr>
          <w:lang w:eastAsia="fr-FR"/>
        </w:rPr>
      </w:pPr>
      <w:r>
        <w:rPr>
          <w:lang w:eastAsia="fr-FR"/>
        </w:rPr>
        <w:t>4.3.2.2.3.1</w:t>
      </w:r>
      <w:r>
        <w:rPr>
          <w:lang w:eastAsia="fr-FR"/>
        </w:rPr>
        <w:tab/>
        <w:t>Systèmes P</w:t>
      </w:r>
      <w:r>
        <w:rPr>
          <w:lang w:eastAsia="fr-FR"/>
        </w:rPr>
        <w:noBreakHyphen/>
        <w:t>MP à espacement entre canaux de 3,5 MHz et 7 MHz</w:t>
      </w:r>
    </w:p>
    <w:p w:rsidR="002B489A" w:rsidRDefault="004F19C4">
      <w:pPr>
        <w:tabs>
          <w:tab w:val="clear" w:pos="794"/>
        </w:tabs>
        <w:rPr>
          <w:lang w:eastAsia="fr-FR"/>
        </w:rPr>
      </w:pPr>
      <w:r>
        <w:t xml:space="preserve">Selon les calculs effectués au § </w:t>
      </w:r>
      <w:r>
        <w:rPr>
          <w:lang w:eastAsia="fr-FR"/>
        </w:rPr>
        <w:t>4.3.2.1.3.1, seuls les rayonnements non essentiels vont tomber dans la bande SETS (la bande de garde calculée pour les systèmes point à point est plus grande que le domaine des émissions hors bande).</w:t>
      </w:r>
    </w:p>
    <w:p w:rsidR="002B489A" w:rsidRDefault="004F19C4">
      <w:pPr>
        <w:tabs>
          <w:tab w:val="clear" w:pos="794"/>
        </w:tabs>
        <w:rPr>
          <w:lang w:eastAsia="fr-FR"/>
        </w:rPr>
      </w:pPr>
      <w:r>
        <w:rPr>
          <w:lang w:eastAsia="fr-FR"/>
        </w:rPr>
        <w:t>Dans la mesure où:</w:t>
      </w:r>
    </w:p>
    <w:p w:rsidR="002B489A" w:rsidRDefault="004F19C4">
      <w:pPr>
        <w:pStyle w:val="enumlev1"/>
        <w:rPr>
          <w:b/>
          <w:lang w:eastAsia="fr-FR"/>
        </w:rPr>
      </w:pPr>
      <w:r>
        <w:t>–</w:t>
      </w:r>
      <w:r>
        <w:tab/>
        <w:t xml:space="preserve">le niveau acceptable des rayonnements non désirés qui est obtenu dans le cas des systèmes </w:t>
      </w:r>
      <w:r>
        <w:rPr>
          <w:lang w:eastAsia="fr-FR"/>
        </w:rPr>
        <w:t>P</w:t>
      </w:r>
      <w:r>
        <w:rPr>
          <w:lang w:eastAsia="fr-FR"/>
        </w:rPr>
        <w:noBreakHyphen/>
        <w:t>MP</w:t>
      </w:r>
      <w:r>
        <w:t xml:space="preserve"> (voir le Tableau 79) est le même que le niveau de rayonnements non désirés acceptable qui était examiné dans les analyses pour les systèmes point à point (voir le Tableau 78);</w:t>
      </w:r>
    </w:p>
    <w:p w:rsidR="002B489A" w:rsidRDefault="004F19C4">
      <w:pPr>
        <w:pStyle w:val="enumlev1"/>
      </w:pPr>
      <w:r>
        <w:rPr>
          <w:lang w:eastAsia="fr-FR"/>
        </w:rPr>
        <w:t>–</w:t>
      </w:r>
      <w:r>
        <w:rPr>
          <w:lang w:eastAsia="fr-FR"/>
        </w:rPr>
        <w:tab/>
        <w:t>les limites des rayonnements non essentiels pour les systèmes P</w:t>
      </w:r>
      <w:r>
        <w:rPr>
          <w:lang w:eastAsia="fr-FR"/>
        </w:rPr>
        <w:noBreakHyphen/>
        <w:t>MP sont plus contraignantes que pour les systèmes point à point,</w:t>
      </w:r>
    </w:p>
    <w:p w:rsidR="002B489A" w:rsidRDefault="004F19C4">
      <w:pPr>
        <w:tabs>
          <w:tab w:val="clear" w:pos="794"/>
        </w:tabs>
        <w:rPr>
          <w:b/>
          <w:lang w:eastAsia="fr-FR"/>
        </w:rPr>
      </w:pPr>
      <w:r>
        <w:rPr>
          <w:lang w:eastAsia="fr-FR"/>
        </w:rPr>
        <w:t>on peut directement en conclure que la bande de garde qui était calculée pour les systèmes point à point couvrira aussi le cas des systèmes P</w:t>
      </w:r>
      <w:r>
        <w:rPr>
          <w:lang w:eastAsia="fr-FR"/>
        </w:rPr>
        <w:noBreakHyphen/>
        <w:t>MP.</w:t>
      </w:r>
    </w:p>
    <w:p w:rsidR="002B489A" w:rsidRDefault="004F19C4">
      <w:pPr>
        <w:pStyle w:val="Heading6"/>
        <w:rPr>
          <w:lang w:eastAsia="fr-FR"/>
        </w:rPr>
      </w:pPr>
      <w:r>
        <w:rPr>
          <w:lang w:eastAsia="fr-FR"/>
        </w:rPr>
        <w:br w:type="page"/>
        <w:t>4.3.2.2.3.2</w:t>
      </w:r>
      <w:r>
        <w:rPr>
          <w:lang w:eastAsia="fr-FR"/>
        </w:rPr>
        <w:tab/>
        <w:t>Systèmes P</w:t>
      </w:r>
      <w:r>
        <w:rPr>
          <w:lang w:eastAsia="fr-FR"/>
        </w:rPr>
        <w:noBreakHyphen/>
        <w:t>MP à espacement entre canaux de 14 MHz</w:t>
      </w:r>
    </w:p>
    <w:p w:rsidR="002B489A" w:rsidRDefault="004F19C4">
      <w:pPr>
        <w:tabs>
          <w:tab w:val="clear" w:pos="794"/>
        </w:tabs>
        <w:rPr>
          <w:lang w:eastAsia="fr-FR"/>
        </w:rPr>
      </w:pPr>
      <w:r>
        <w:rPr>
          <w:lang w:eastAsia="fr-FR"/>
        </w:rPr>
        <w:t>Dans la mesure où:</w:t>
      </w:r>
    </w:p>
    <w:p w:rsidR="002B489A" w:rsidRDefault="004F19C4">
      <w:pPr>
        <w:pStyle w:val="enumlev1"/>
      </w:pPr>
      <w:r>
        <w:t>–</w:t>
      </w:r>
      <w:r>
        <w:tab/>
        <w:t xml:space="preserve">le gabarit des émissions hors bande pour les systèmes point à point et pour les systèmes </w:t>
      </w:r>
      <w:r>
        <w:rPr>
          <w:lang w:eastAsia="fr-FR"/>
        </w:rPr>
        <w:t>P</w:t>
      </w:r>
      <w:r>
        <w:rPr>
          <w:lang w:eastAsia="fr-FR"/>
        </w:rPr>
        <w:noBreakHyphen/>
        <w:t>MP</w:t>
      </w:r>
      <w:r>
        <w:t xml:space="preserve"> est le même (voir le Tableau 80 et le Tableau 82);</w:t>
      </w:r>
    </w:p>
    <w:p w:rsidR="002B489A" w:rsidRDefault="004F19C4">
      <w:pPr>
        <w:pStyle w:val="enumlev1"/>
      </w:pPr>
      <w:r>
        <w:t>–</w:t>
      </w:r>
      <w:r>
        <w:tab/>
        <w:t xml:space="preserve">le niveau acceptable de rayonnements non désirés qui est obtenu dans le cas des systèmes </w:t>
      </w:r>
      <w:r>
        <w:rPr>
          <w:lang w:eastAsia="fr-FR"/>
        </w:rPr>
        <w:t>P</w:t>
      </w:r>
      <w:r>
        <w:rPr>
          <w:lang w:eastAsia="fr-FR"/>
        </w:rPr>
        <w:noBreakHyphen/>
        <w:t>MP</w:t>
      </w:r>
      <w:r>
        <w:t xml:space="preserve"> (voir le Tableau 79) est le même que le niveau de rayonnements non désirés acceptable qui était examiné dans les analyses pour les systèmes point à point (voir le Tableau 78),</w:t>
      </w:r>
    </w:p>
    <w:p w:rsidR="002B489A" w:rsidRDefault="004F19C4">
      <w:pPr>
        <w:tabs>
          <w:tab w:val="clear" w:pos="794"/>
        </w:tabs>
        <w:rPr>
          <w:lang w:eastAsia="fr-FR"/>
        </w:rPr>
      </w:pPr>
      <w:r>
        <w:rPr>
          <w:lang w:eastAsia="fr-FR"/>
        </w:rPr>
        <w:t>on peut directement en conclure que la bande de garde qui était calculée pour les systèmes point à point couvrira aussi le cas de l'espacement entre canaux de 14 MHz des systèmes P</w:t>
      </w:r>
      <w:r>
        <w:rPr>
          <w:lang w:eastAsia="fr-FR"/>
        </w:rPr>
        <w:noBreakHyphen/>
        <w:t>MP.</w:t>
      </w:r>
    </w:p>
    <w:p w:rsidR="002B489A" w:rsidRDefault="004F19C4">
      <w:pPr>
        <w:pStyle w:val="Heading6"/>
        <w:rPr>
          <w:lang w:eastAsia="fr-FR"/>
        </w:rPr>
      </w:pPr>
      <w:r>
        <w:rPr>
          <w:lang w:eastAsia="fr-FR"/>
        </w:rPr>
        <w:t>4.3.2.2.3.3</w:t>
      </w:r>
      <w:r>
        <w:rPr>
          <w:lang w:eastAsia="fr-FR"/>
        </w:rPr>
        <w:tab/>
        <w:t>Systèmes P</w:t>
      </w:r>
      <w:r>
        <w:rPr>
          <w:lang w:eastAsia="fr-FR"/>
        </w:rPr>
        <w:noBreakHyphen/>
        <w:t>MP à espacement entre canaux de 28 MHz</w:t>
      </w:r>
    </w:p>
    <w:p w:rsidR="002B489A" w:rsidRDefault="004F19C4">
      <w:r>
        <w:t xml:space="preserve">La Fig. 57 donne le résultat du calcul pour un système </w:t>
      </w:r>
      <w:r>
        <w:rPr>
          <w:lang w:eastAsia="fr-FR"/>
        </w:rPr>
        <w:t>P</w:t>
      </w:r>
      <w:r>
        <w:rPr>
          <w:lang w:eastAsia="fr-FR"/>
        </w:rPr>
        <w:noBreakHyphen/>
        <w:t>MP</w:t>
      </w:r>
      <w:r>
        <w:t xml:space="preserve"> à espacement entre canaux de 28 MHz.</w:t>
      </w:r>
    </w:p>
    <w:p w:rsidR="002B489A" w:rsidRDefault="004F19C4">
      <w:pPr>
        <w:pStyle w:val="FigureNo"/>
      </w:pPr>
      <w:r>
        <w:object w:dxaOrig="5377" w:dyaOrig="6193">
          <v:shape id="_x0000_i1062" type="#_x0000_t75" style="width:268.5pt;height:309.5pt" o:ole="">
            <v:imagedata r:id="rId113" o:title=""/>
          </v:shape>
          <o:OLEObject Type="Embed" ProgID="Designer.Drawing.7" ShapeID="_x0000_i1062" DrawAspect="Content" ObjectID="_1649163308" r:id="rId114"/>
        </w:object>
      </w:r>
    </w:p>
    <w:p w:rsidR="002B489A" w:rsidRDefault="004F19C4">
      <w:r>
        <w:t xml:space="preserve">Le terme </w:t>
      </w:r>
      <w:r>
        <w:rPr>
          <w:i/>
          <w:iCs/>
        </w:rPr>
        <w:t>Z</w:t>
      </w:r>
      <w:r>
        <w:rPr>
          <w:vertAlign w:val="subscript"/>
        </w:rPr>
        <w:t>2</w:t>
      </w:r>
      <w:r>
        <w:rPr>
          <w:i/>
          <w:iCs/>
        </w:rPr>
        <w:t>S</w:t>
      </w:r>
      <w:r>
        <w:t xml:space="preserve"> est défini dans la Recommandation UIT-R F.746 comme la plus haute séparation entre la fréquence centrale du dernier canal et la bordure supérieure de la bande. Cela conduit à une bande de garde de 41 – 28/2 </w:t>
      </w:r>
      <w:r>
        <w:rPr>
          <w:rFonts w:ascii="Symbol" w:hAnsi="Symbol"/>
        </w:rPr>
        <w:t></w:t>
      </w:r>
      <w:r>
        <w:t> 27 MHz.</w:t>
      </w:r>
    </w:p>
    <w:p w:rsidR="002B489A" w:rsidRDefault="004F19C4">
      <w:pPr>
        <w:pStyle w:val="Heading6"/>
        <w:rPr>
          <w:lang w:eastAsia="fr-FR"/>
        </w:rPr>
      </w:pPr>
      <w:r>
        <w:rPr>
          <w:lang w:eastAsia="fr-FR"/>
        </w:rPr>
        <w:t>4.3.2.2.3.4</w:t>
      </w:r>
      <w:r>
        <w:rPr>
          <w:lang w:eastAsia="fr-FR"/>
        </w:rPr>
        <w:tab/>
        <w:t>Systèmes P</w:t>
      </w:r>
      <w:r>
        <w:rPr>
          <w:lang w:eastAsia="fr-FR"/>
        </w:rPr>
        <w:noBreakHyphen/>
        <w:t>MP à espacement entre canaux de 56 MHz</w:t>
      </w:r>
    </w:p>
    <w:p w:rsidR="002B489A" w:rsidRDefault="004F19C4">
      <w:r>
        <w:t xml:space="preserve">La Fig. 58 donne le résultat du calcul pour un système </w:t>
      </w:r>
      <w:r>
        <w:rPr>
          <w:lang w:eastAsia="fr-FR"/>
        </w:rPr>
        <w:t>P</w:t>
      </w:r>
      <w:r>
        <w:rPr>
          <w:lang w:eastAsia="fr-FR"/>
        </w:rPr>
        <w:noBreakHyphen/>
        <w:t>MP</w:t>
      </w:r>
      <w:r>
        <w:t xml:space="preserve"> à espacement entre canaux de 56 MHz.</w:t>
      </w:r>
    </w:p>
    <w:p w:rsidR="002B489A" w:rsidRDefault="004F19C4">
      <w:pPr>
        <w:pStyle w:val="FigureNo"/>
        <w:spacing w:before="0" w:after="0"/>
      </w:pPr>
      <w:r>
        <w:br w:type="page"/>
      </w:r>
      <w:r>
        <w:object w:dxaOrig="5357" w:dyaOrig="6087">
          <v:shape id="_x0000_i1063" type="#_x0000_t75" style="width:268pt;height:304.5pt" o:ole="">
            <v:imagedata r:id="rId115" o:title=""/>
          </v:shape>
          <o:OLEObject Type="Embed" ProgID="Designer.Drawing.7" ShapeID="_x0000_i1063" DrawAspect="Content" ObjectID="_1649163309" r:id="rId116"/>
        </w:object>
      </w:r>
    </w:p>
    <w:p w:rsidR="002B489A" w:rsidRDefault="004F19C4">
      <w:r>
        <w:t>Ceci conduit pour une puissance de sortie de 0 dBW à une bande de garde de 80 – 56/2 </w:t>
      </w:r>
      <w:r>
        <w:rPr>
          <w:rFonts w:ascii="Symbol" w:hAnsi="Symbol"/>
        </w:rPr>
        <w:t></w:t>
      </w:r>
      <w:r>
        <w:t> 52 MHz.</w:t>
      </w:r>
    </w:p>
    <w:p w:rsidR="002B489A" w:rsidRDefault="004F19C4">
      <w:pPr>
        <w:pStyle w:val="Heading6"/>
        <w:rPr>
          <w:lang w:eastAsia="fr-FR"/>
        </w:rPr>
      </w:pPr>
      <w:r>
        <w:rPr>
          <w:lang w:eastAsia="fr-FR"/>
        </w:rPr>
        <w:t>4.3.2.2.3.5</w:t>
      </w:r>
      <w:r>
        <w:rPr>
          <w:lang w:eastAsia="fr-FR"/>
        </w:rPr>
        <w:tab/>
        <w:t>Systèmes P</w:t>
      </w:r>
      <w:r>
        <w:rPr>
          <w:lang w:eastAsia="fr-FR"/>
        </w:rPr>
        <w:noBreakHyphen/>
        <w:t>MP à espacement entre canaux de 112 MHz</w:t>
      </w:r>
    </w:p>
    <w:p w:rsidR="002B489A" w:rsidRDefault="004F19C4">
      <w:pPr>
        <w:rPr>
          <w:b/>
          <w:lang w:eastAsia="fr-FR"/>
        </w:rPr>
      </w:pPr>
      <w:r>
        <w:t xml:space="preserve">La Fig. 59 donne le résultat du calcul pour un système </w:t>
      </w:r>
      <w:r>
        <w:rPr>
          <w:lang w:eastAsia="fr-FR"/>
        </w:rPr>
        <w:t>P</w:t>
      </w:r>
      <w:r>
        <w:rPr>
          <w:lang w:eastAsia="fr-FR"/>
        </w:rPr>
        <w:noBreakHyphen/>
        <w:t>MP</w:t>
      </w:r>
      <w:r>
        <w:t xml:space="preserve"> à espacement entre canaux de 112 MHz.</w:t>
      </w:r>
    </w:p>
    <w:p w:rsidR="002B489A" w:rsidRDefault="004F19C4">
      <w:pPr>
        <w:pStyle w:val="FigureNo"/>
        <w:spacing w:before="60" w:after="0"/>
        <w:rPr>
          <w:lang w:eastAsia="fr-FR"/>
        </w:rPr>
      </w:pPr>
      <w:r>
        <w:object w:dxaOrig="5377" w:dyaOrig="6102">
          <v:shape id="_x0000_i1064" type="#_x0000_t75" style="width:268.5pt;height:305pt" o:ole="">
            <v:imagedata r:id="rId117" o:title=""/>
          </v:shape>
          <o:OLEObject Type="Embed" ProgID="Designer.Drawing.7" ShapeID="_x0000_i1064" DrawAspect="Content" ObjectID="_1649163310" r:id="rId118"/>
        </w:object>
      </w:r>
    </w:p>
    <w:p w:rsidR="002B489A" w:rsidRDefault="004F19C4">
      <w:r>
        <w:t>Ceci</w:t>
      </w:r>
      <w:r>
        <w:rPr>
          <w:sz w:val="20"/>
        </w:rPr>
        <w:t xml:space="preserve"> </w:t>
      </w:r>
      <w:r>
        <w:t>conduit</w:t>
      </w:r>
      <w:r>
        <w:rPr>
          <w:sz w:val="20"/>
        </w:rPr>
        <w:t xml:space="preserve"> </w:t>
      </w:r>
      <w:r>
        <w:t>pour</w:t>
      </w:r>
      <w:r>
        <w:rPr>
          <w:sz w:val="20"/>
        </w:rPr>
        <w:t xml:space="preserve"> </w:t>
      </w:r>
      <w:r>
        <w:t>une</w:t>
      </w:r>
      <w:r>
        <w:rPr>
          <w:sz w:val="20"/>
        </w:rPr>
        <w:t xml:space="preserve"> </w:t>
      </w:r>
      <w:r>
        <w:t>puissance</w:t>
      </w:r>
      <w:r>
        <w:rPr>
          <w:sz w:val="20"/>
        </w:rPr>
        <w:t xml:space="preserve"> </w:t>
      </w:r>
      <w:r>
        <w:t>de</w:t>
      </w:r>
      <w:r>
        <w:rPr>
          <w:sz w:val="20"/>
        </w:rPr>
        <w:t xml:space="preserve"> </w:t>
      </w:r>
      <w:r>
        <w:t>sortie</w:t>
      </w:r>
      <w:r>
        <w:rPr>
          <w:sz w:val="20"/>
        </w:rPr>
        <w:t xml:space="preserve"> </w:t>
      </w:r>
      <w:r>
        <w:t>de</w:t>
      </w:r>
      <w:r>
        <w:rPr>
          <w:sz w:val="20"/>
        </w:rPr>
        <w:t xml:space="preserve"> </w:t>
      </w:r>
      <w:r>
        <w:t>0</w:t>
      </w:r>
      <w:r>
        <w:rPr>
          <w:sz w:val="20"/>
        </w:rPr>
        <w:t xml:space="preserve"> </w:t>
      </w:r>
      <w:r>
        <w:t>dBW</w:t>
      </w:r>
      <w:r>
        <w:rPr>
          <w:sz w:val="20"/>
        </w:rPr>
        <w:t xml:space="preserve"> </w:t>
      </w:r>
      <w:r>
        <w:t>à</w:t>
      </w:r>
      <w:r>
        <w:rPr>
          <w:sz w:val="20"/>
        </w:rPr>
        <w:t xml:space="preserve"> </w:t>
      </w:r>
      <w:r>
        <w:t>une</w:t>
      </w:r>
      <w:r>
        <w:rPr>
          <w:sz w:val="20"/>
        </w:rPr>
        <w:t xml:space="preserve"> </w:t>
      </w:r>
      <w:r>
        <w:t>bande</w:t>
      </w:r>
      <w:r>
        <w:rPr>
          <w:sz w:val="20"/>
        </w:rPr>
        <w:t xml:space="preserve"> </w:t>
      </w:r>
      <w:r>
        <w:t>de</w:t>
      </w:r>
      <w:r>
        <w:rPr>
          <w:sz w:val="20"/>
        </w:rPr>
        <w:t xml:space="preserve"> </w:t>
      </w:r>
      <w:r>
        <w:t>garde</w:t>
      </w:r>
      <w:r>
        <w:rPr>
          <w:sz w:val="20"/>
        </w:rPr>
        <w:t xml:space="preserve"> </w:t>
      </w:r>
      <w:r>
        <w:t>de 152 </w:t>
      </w:r>
      <w:r>
        <w:rPr>
          <w:rFonts w:ascii="Symbol" w:hAnsi="Symbol"/>
        </w:rPr>
        <w:noBreakHyphen/>
      </w:r>
      <w:r>
        <w:t> 112/2 </w:t>
      </w:r>
      <w:r>
        <w:rPr>
          <w:rFonts w:ascii="Symbol" w:hAnsi="Symbol"/>
        </w:rPr>
        <w:t></w:t>
      </w:r>
      <w:r>
        <w:t> 96 MHz.</w:t>
      </w:r>
    </w:p>
    <w:p w:rsidR="002B489A" w:rsidRDefault="004F19C4">
      <w:pPr>
        <w:pStyle w:val="Heading3"/>
      </w:pPr>
      <w:r>
        <w:br w:type="page"/>
        <w:t>4.3.3</w:t>
      </w:r>
      <w:r>
        <w:tab/>
        <w:t>Résumé et conclusions pour les systèmes point à point et P</w:t>
      </w:r>
      <w:r>
        <w:noBreakHyphen/>
        <w:t>MP</w:t>
      </w:r>
    </w:p>
    <w:p w:rsidR="002B489A" w:rsidRDefault="004F19C4">
      <w:r>
        <w:t>Le Tableau 85 donne un résumé des résultats. Le Tableau 85 résume les résultats calculés pour les systèmes point à point et P</w:t>
      </w:r>
      <w:r>
        <w:noBreakHyphen/>
        <w:t>MP utilisant un espacement entre canaux de 3,5 MHz à 112 MHz (y compris les résultats donnés dans le Tableau 81).</w:t>
      </w:r>
    </w:p>
    <w:p w:rsidR="002B489A" w:rsidRDefault="002B489A"/>
    <w:p w:rsidR="002B489A" w:rsidRDefault="004F19C4">
      <w:pPr>
        <w:pStyle w:val="TableNo"/>
        <w:rPr>
          <w:lang w:eastAsia="fr-FR"/>
        </w:rPr>
      </w:pPr>
      <w:r>
        <w:rPr>
          <w:lang w:eastAsia="fr-FR"/>
        </w:rPr>
        <w:t>TABLEAU  85</w:t>
      </w:r>
    </w:p>
    <w:p w:rsidR="002B489A" w:rsidRDefault="004F19C4">
      <w:pPr>
        <w:pStyle w:val="Tabletitle"/>
        <w:rPr>
          <w:lang w:eastAsia="fr-FR"/>
        </w:rPr>
      </w:pPr>
      <w:r>
        <w:rPr>
          <w:lang w:eastAsia="fr-FR"/>
        </w:rPr>
        <w:t>Bande de garde en fonction de l'espacement entre canaux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2256"/>
        <w:gridCol w:w="2705"/>
      </w:tblGrid>
      <w:tr w:rsidR="002B489A">
        <w:tc>
          <w:tcPr>
            <w:tcW w:w="2977" w:type="dxa"/>
          </w:tcPr>
          <w:p w:rsidR="002B489A" w:rsidRDefault="004F19C4">
            <w:pPr>
              <w:pStyle w:val="Tablehead"/>
              <w:framePr w:hSpace="181" w:wrap="notBeside" w:vAnchor="text" w:hAnchor="text" w:xAlign="center" w:y="1"/>
              <w:spacing w:before="120" w:after="120" w:line="240" w:lineRule="exact"/>
            </w:pPr>
            <w:r>
              <w:t>Espacement entre canaux (MHz)</w:t>
            </w:r>
          </w:p>
        </w:tc>
        <w:tc>
          <w:tcPr>
            <w:tcW w:w="2256" w:type="dxa"/>
          </w:tcPr>
          <w:p w:rsidR="002B489A" w:rsidRDefault="004F19C4">
            <w:pPr>
              <w:pStyle w:val="Tablehead"/>
              <w:framePr w:hSpace="181" w:wrap="notBeside" w:vAnchor="text" w:hAnchor="text" w:xAlign="center" w:y="1"/>
              <w:spacing w:before="120" w:after="120" w:line="240" w:lineRule="exact"/>
            </w:pPr>
            <w:r>
              <w:rPr>
                <w:i/>
                <w:iCs/>
              </w:rPr>
              <w:t>Z</w:t>
            </w:r>
            <w:r>
              <w:rPr>
                <w:vertAlign w:val="subscript"/>
              </w:rPr>
              <w:t>2</w:t>
            </w:r>
            <w:r>
              <w:rPr>
                <w:i/>
                <w:iCs/>
              </w:rPr>
              <w:t>S</w:t>
            </w:r>
            <w:r>
              <w:t xml:space="preserve"> </w:t>
            </w:r>
            <w:r>
              <w:br/>
              <w:t>(MHz)</w:t>
            </w:r>
          </w:p>
        </w:tc>
        <w:tc>
          <w:tcPr>
            <w:tcW w:w="2705" w:type="dxa"/>
          </w:tcPr>
          <w:p w:rsidR="002B489A" w:rsidRDefault="004F19C4">
            <w:pPr>
              <w:pStyle w:val="Tablehead"/>
              <w:framePr w:hSpace="181" w:wrap="notBeside" w:vAnchor="text" w:hAnchor="text" w:xAlign="center" w:y="1"/>
              <w:spacing w:before="120" w:after="120" w:line="240" w:lineRule="exact"/>
            </w:pPr>
            <w:r>
              <w:t xml:space="preserve">Bande de garde </w:t>
            </w:r>
            <w:r>
              <w:br/>
              <w:t>(MHz)</w:t>
            </w:r>
          </w:p>
        </w:tc>
      </w:tr>
      <w:tr w:rsidR="002B489A">
        <w:tc>
          <w:tcPr>
            <w:tcW w:w="2977" w:type="dxa"/>
          </w:tcPr>
          <w:p w:rsidR="002B489A" w:rsidRDefault="004F19C4">
            <w:pPr>
              <w:pStyle w:val="Tabletext"/>
              <w:framePr w:hSpace="181" w:wrap="notBeside" w:vAnchor="text" w:hAnchor="text" w:xAlign="center" w:y="1"/>
              <w:spacing w:before="80" w:after="80"/>
              <w:jc w:val="center"/>
              <w:rPr>
                <w:lang w:eastAsia="fr-FR"/>
              </w:rPr>
            </w:pPr>
            <w:r>
              <w:rPr>
                <w:lang w:eastAsia="fr-FR"/>
              </w:rPr>
              <w:t>3,5</w:t>
            </w:r>
          </w:p>
        </w:tc>
        <w:tc>
          <w:tcPr>
            <w:tcW w:w="2256"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pPr>
            <w:r>
              <w:t>28,75</w:t>
            </w:r>
          </w:p>
        </w:tc>
        <w:tc>
          <w:tcPr>
            <w:tcW w:w="2705" w:type="dxa"/>
          </w:tcPr>
          <w:p w:rsidR="002B489A" w:rsidRDefault="004F19C4">
            <w:pPr>
              <w:pStyle w:val="Tabletext"/>
              <w:framePr w:hSpace="181" w:wrap="notBeside" w:vAnchor="text" w:hAnchor="text" w:xAlign="center" w:y="1"/>
              <w:spacing w:before="80" w:after="80"/>
              <w:jc w:val="center"/>
            </w:pPr>
            <w:r>
              <w:t>27</w:t>
            </w:r>
          </w:p>
        </w:tc>
      </w:tr>
      <w:tr w:rsidR="002B489A">
        <w:tc>
          <w:tcPr>
            <w:tcW w:w="2977" w:type="dxa"/>
          </w:tcPr>
          <w:p w:rsidR="002B489A" w:rsidRDefault="004F19C4">
            <w:pPr>
              <w:pStyle w:val="Tabletext"/>
              <w:framePr w:hSpace="181" w:wrap="notBeside" w:vAnchor="text" w:hAnchor="text" w:xAlign="center" w:y="1"/>
              <w:spacing w:before="80" w:after="80"/>
              <w:jc w:val="center"/>
              <w:rPr>
                <w:lang w:eastAsia="fr-FR"/>
              </w:rPr>
            </w:pPr>
            <w:r>
              <w:rPr>
                <w:lang w:eastAsia="fr-FR"/>
              </w:rPr>
              <w:t>7</w:t>
            </w:r>
          </w:p>
        </w:tc>
        <w:tc>
          <w:tcPr>
            <w:tcW w:w="2256"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pPr>
            <w:r>
              <w:t>27,5</w:t>
            </w:r>
          </w:p>
        </w:tc>
        <w:tc>
          <w:tcPr>
            <w:tcW w:w="2705" w:type="dxa"/>
          </w:tcPr>
          <w:p w:rsidR="002B489A" w:rsidRDefault="004F19C4">
            <w:pPr>
              <w:pStyle w:val="Tabletext"/>
              <w:framePr w:hSpace="181" w:wrap="notBeside" w:vAnchor="text" w:hAnchor="text" w:xAlign="center" w:y="1"/>
              <w:spacing w:before="80" w:after="80"/>
              <w:jc w:val="center"/>
            </w:pPr>
            <w:r>
              <w:t>24</w:t>
            </w:r>
          </w:p>
        </w:tc>
      </w:tr>
      <w:tr w:rsidR="002B489A">
        <w:tc>
          <w:tcPr>
            <w:tcW w:w="2977" w:type="dxa"/>
          </w:tcPr>
          <w:p w:rsidR="002B489A" w:rsidRDefault="004F19C4">
            <w:pPr>
              <w:pStyle w:val="Tabletext"/>
              <w:framePr w:hSpace="181" w:wrap="notBeside" w:vAnchor="text" w:hAnchor="text" w:xAlign="center" w:y="1"/>
              <w:spacing w:before="80" w:after="80"/>
              <w:jc w:val="center"/>
              <w:rPr>
                <w:lang w:eastAsia="fr-FR"/>
              </w:rPr>
            </w:pPr>
            <w:r>
              <w:rPr>
                <w:lang w:eastAsia="fr-FR"/>
              </w:rPr>
              <w:t>14</w:t>
            </w:r>
          </w:p>
        </w:tc>
        <w:tc>
          <w:tcPr>
            <w:tcW w:w="2256"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pPr>
            <w:r>
              <w:t>22</w:t>
            </w:r>
          </w:p>
        </w:tc>
        <w:tc>
          <w:tcPr>
            <w:tcW w:w="2705" w:type="dxa"/>
          </w:tcPr>
          <w:p w:rsidR="002B489A" w:rsidRDefault="004F19C4">
            <w:pPr>
              <w:pStyle w:val="Tabletext"/>
              <w:framePr w:hSpace="181" w:wrap="notBeside" w:vAnchor="text" w:hAnchor="text" w:xAlign="center" w:y="1"/>
              <w:spacing w:before="80" w:after="80"/>
              <w:jc w:val="center"/>
            </w:pPr>
            <w:r>
              <w:t>15</w:t>
            </w:r>
          </w:p>
        </w:tc>
      </w:tr>
      <w:tr w:rsidR="002B489A">
        <w:tc>
          <w:tcPr>
            <w:tcW w:w="2977" w:type="dxa"/>
          </w:tcPr>
          <w:p w:rsidR="002B489A" w:rsidRDefault="004F19C4">
            <w:pPr>
              <w:pStyle w:val="Tabletext"/>
              <w:framePr w:hSpace="181" w:wrap="notBeside" w:vAnchor="text" w:hAnchor="text" w:xAlign="center" w:y="1"/>
              <w:spacing w:before="80" w:after="80"/>
              <w:jc w:val="center"/>
            </w:pPr>
            <w:r>
              <w:t>28</w:t>
            </w:r>
          </w:p>
        </w:tc>
        <w:tc>
          <w:tcPr>
            <w:tcW w:w="2256"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pPr>
            <w:r>
              <w:t>41</w:t>
            </w:r>
          </w:p>
        </w:tc>
        <w:tc>
          <w:tcPr>
            <w:tcW w:w="2705" w:type="dxa"/>
          </w:tcPr>
          <w:p w:rsidR="002B489A" w:rsidRDefault="004F19C4">
            <w:pPr>
              <w:pStyle w:val="Tabletext"/>
              <w:framePr w:hSpace="181" w:wrap="notBeside" w:vAnchor="text" w:hAnchor="text" w:xAlign="center" w:y="1"/>
              <w:spacing w:before="80" w:after="80"/>
              <w:jc w:val="center"/>
            </w:pPr>
            <w:r>
              <w:t>27</w:t>
            </w:r>
          </w:p>
        </w:tc>
      </w:tr>
      <w:tr w:rsidR="002B489A">
        <w:tc>
          <w:tcPr>
            <w:tcW w:w="2977" w:type="dxa"/>
          </w:tcPr>
          <w:p w:rsidR="002B489A" w:rsidRDefault="004F19C4">
            <w:pPr>
              <w:pStyle w:val="Tabletext"/>
              <w:framePr w:hSpace="181" w:wrap="notBeside" w:vAnchor="text" w:hAnchor="text" w:xAlign="center" w:y="1"/>
              <w:spacing w:before="80" w:after="80"/>
              <w:jc w:val="center"/>
              <w:rPr>
                <w:lang w:eastAsia="fr-FR"/>
              </w:rPr>
            </w:pPr>
            <w:r>
              <w:rPr>
                <w:lang w:eastAsia="fr-FR"/>
              </w:rPr>
              <w:t>56</w:t>
            </w:r>
          </w:p>
        </w:tc>
        <w:tc>
          <w:tcPr>
            <w:tcW w:w="2256"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pPr>
            <w:r>
              <w:t>80</w:t>
            </w:r>
          </w:p>
        </w:tc>
        <w:tc>
          <w:tcPr>
            <w:tcW w:w="2705" w:type="dxa"/>
          </w:tcPr>
          <w:p w:rsidR="002B489A" w:rsidRDefault="004F19C4">
            <w:pPr>
              <w:pStyle w:val="Tabletext"/>
              <w:framePr w:hSpace="181" w:wrap="notBeside" w:vAnchor="text" w:hAnchor="text" w:xAlign="center" w:y="1"/>
              <w:spacing w:before="80" w:after="80"/>
              <w:jc w:val="center"/>
            </w:pPr>
            <w:r>
              <w:t>52</w:t>
            </w:r>
          </w:p>
        </w:tc>
      </w:tr>
      <w:tr w:rsidR="002B489A">
        <w:tc>
          <w:tcPr>
            <w:tcW w:w="2977" w:type="dxa"/>
          </w:tcPr>
          <w:p w:rsidR="002B489A" w:rsidRDefault="004F19C4">
            <w:pPr>
              <w:pStyle w:val="Tabletext"/>
              <w:framePr w:hSpace="181" w:wrap="notBeside" w:vAnchor="text" w:hAnchor="text" w:xAlign="center" w:y="1"/>
              <w:spacing w:before="80" w:after="80"/>
              <w:jc w:val="center"/>
              <w:rPr>
                <w:lang w:eastAsia="fr-FR"/>
              </w:rPr>
            </w:pPr>
            <w:r>
              <w:rPr>
                <w:lang w:eastAsia="fr-FR"/>
              </w:rPr>
              <w:t>112</w:t>
            </w:r>
          </w:p>
        </w:tc>
        <w:tc>
          <w:tcPr>
            <w:tcW w:w="2256" w:type="dxa"/>
          </w:tcPr>
          <w:p w:rsidR="002B489A" w:rsidRDefault="004F19C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pPr>
            <w:r>
              <w:t>152</w:t>
            </w:r>
          </w:p>
        </w:tc>
        <w:tc>
          <w:tcPr>
            <w:tcW w:w="2705" w:type="dxa"/>
          </w:tcPr>
          <w:p w:rsidR="002B489A" w:rsidRDefault="004F19C4">
            <w:pPr>
              <w:pStyle w:val="Tabletext"/>
              <w:framePr w:hSpace="181" w:wrap="notBeside" w:vAnchor="text" w:hAnchor="text" w:xAlign="center" w:y="1"/>
              <w:spacing w:before="80" w:after="80"/>
              <w:jc w:val="center"/>
            </w:pPr>
            <w:r>
              <w:t>96</w:t>
            </w:r>
          </w:p>
        </w:tc>
      </w:tr>
    </w:tbl>
    <w:p w:rsidR="002B489A" w:rsidRDefault="002B489A">
      <w:pPr>
        <w:pStyle w:val="Tablefin"/>
      </w:pPr>
    </w:p>
    <w:p w:rsidR="002B489A" w:rsidRDefault="002B489A">
      <w:pPr>
        <w:rPr>
          <w:lang w:val="en-GB"/>
        </w:rPr>
      </w:pPr>
    </w:p>
    <w:p w:rsidR="002B489A" w:rsidRDefault="004F19C4">
      <w:r>
        <w:t>Les plans d'espacement entre canaux à 56 MHz et 112 MHz ne sont pas inclus dans la disposition des canaux donnée à l'Annexe 8 de la Recommandation UIT-R F.746 à cause du nombre limité de canaux qu'ils permettraient. Spécifiquement, ils ne permettraient qu'un seul canal duplex à répartition en fréquence (DRF) pour un espacement de 56 MHz et un seul canal duplex à répartition dans le temps (DRT) pour un espacement entre canaux de 112 MHz. La disposition des canaux de l'Annexe 8 de la Recommandation UIT-R F.746 inclut une bande de garde de 31 MHz dans la partie supérieure de la bande 31-31,3 GHz.</w:t>
      </w:r>
    </w:p>
    <w:p w:rsidR="002B489A" w:rsidRDefault="004F19C4">
      <w:pPr>
        <w:rPr>
          <w:lang w:eastAsia="fr-FR"/>
        </w:rPr>
      </w:pPr>
      <w:r>
        <w:rPr>
          <w:lang w:eastAsia="fr-FR"/>
        </w:rPr>
        <w:t>On devrait noter que dans la mesure où la bande de garde incluse dans l'Annexe 8 de la Recomm</w:t>
      </w:r>
      <w:r>
        <w:t xml:space="preserve">andation UIT-R F.746 est plus grande que la bande de garde minimum requise pour </w:t>
      </w:r>
      <w:r>
        <w:rPr>
          <w:lang w:eastAsia="fr-FR"/>
        </w:rPr>
        <w:t>l'espacement entre canaux de 3,5, 7, 14 et 28 MHz, cela donne une marge additionnelle par rapport à la puissance acceptable donnée aux Tableaux 77 et 78.</w:t>
      </w:r>
    </w:p>
    <w:p w:rsidR="002B489A" w:rsidRDefault="004F19C4">
      <w:pPr>
        <w:pStyle w:val="Heading1"/>
      </w:pPr>
      <w:r>
        <w:t>5</w:t>
      </w:r>
      <w:r>
        <w:tab/>
        <w:t>Techniques de réduction des brouillages</w:t>
      </w:r>
    </w:p>
    <w:p w:rsidR="002B489A" w:rsidRDefault="004F19C4">
      <w:pPr>
        <w:pStyle w:val="Heading2"/>
      </w:pPr>
      <w:r>
        <w:t>5.1</w:t>
      </w:r>
      <w:r>
        <w:tab/>
        <w:t>SETS (passive)</w:t>
      </w:r>
    </w:p>
    <w:p w:rsidR="002B489A" w:rsidRDefault="004F19C4">
      <w:r>
        <w:t>Les systèmes SETS ne peuvent pas mettre en œuvre une bande de garde à la bordure inférieure de la bande SETS dans la mesure où ils ont besoin de fonctionner dans la totalité de l'attribution de 200 MHz.</w:t>
      </w:r>
    </w:p>
    <w:p w:rsidR="002B489A" w:rsidRDefault="004F19C4">
      <w:pPr>
        <w:pStyle w:val="Heading2"/>
      </w:pPr>
      <w:r>
        <w:br w:type="page"/>
        <w:t>5.2</w:t>
      </w:r>
      <w:r>
        <w:tab/>
        <w:t>Service fixe</w:t>
      </w:r>
    </w:p>
    <w:p w:rsidR="002B489A" w:rsidRDefault="004F19C4">
      <w:r>
        <w:t>L'utilisation d'une bande de garde de 31 MHz pour les systèmes déployés conformément à l'Annexe 8 de la Recommandation UIT-R F.746 et qui utilisent un gabarit plus contraignant pour les émissions hors bande que celui donné dans la Recommandation UIT-R SM.1541 et les limites pour les rayonnements non essentiels données dans la Recommandation UIT-R SM.329 (Catégorie B), assurent que les niveaux de rayonnements non désirés provenant des systèmes du service fixe tombant dans la bande 31,3-31,5 GHz satisfont à la puissance acceptable donnée aux Tableaux 77 et 78 (environ –38 dB(W/100 MHz)).</w:t>
      </w:r>
    </w:p>
    <w:p w:rsidR="002B489A" w:rsidRDefault="004F19C4">
      <w:r>
        <w:t>D'autres techniques de réduction des brouillages comme le filtrage peuvent aussi être utilisées pour s'assurer que la puissance maximum acceptable peut être satisfaite au sein de la bande passive.</w:t>
      </w:r>
    </w:p>
    <w:p w:rsidR="002B489A" w:rsidRDefault="004F19C4">
      <w:pPr>
        <w:pStyle w:val="Heading2"/>
      </w:pPr>
      <w:r>
        <w:t>5.3</w:t>
      </w:r>
      <w:r>
        <w:tab/>
        <w:t>Impact potentiel</w:t>
      </w:r>
    </w:p>
    <w:p w:rsidR="002B489A" w:rsidRDefault="004F19C4">
      <w:pPr>
        <w:pStyle w:val="Heading3"/>
      </w:pPr>
      <w:r>
        <w:t>5.3.1</w:t>
      </w:r>
      <w:r>
        <w:tab/>
        <w:t>SETS</w:t>
      </w:r>
    </w:p>
    <w:p w:rsidR="002B489A" w:rsidRDefault="004F19C4">
      <w:pPr>
        <w:tabs>
          <w:tab w:val="clear" w:pos="794"/>
        </w:tabs>
        <w:spacing w:before="60"/>
      </w:pPr>
      <w:r>
        <w:t>Pas d'impact.</w:t>
      </w:r>
    </w:p>
    <w:p w:rsidR="002B489A" w:rsidRDefault="004F19C4">
      <w:pPr>
        <w:pStyle w:val="Heading3"/>
      </w:pPr>
      <w:r>
        <w:t>5.3.2</w:t>
      </w:r>
      <w:r>
        <w:tab/>
        <w:t>Service fixe</w:t>
      </w:r>
    </w:p>
    <w:p w:rsidR="002B489A" w:rsidRDefault="004F19C4">
      <w:pPr>
        <w:spacing w:before="60"/>
      </w:pPr>
      <w:r>
        <w:t>Si les systèmes du service fixe mettent en œuvre des techniques de réduction des brouillages utilisant à la fois les limites hors bande et les limites de rayonnements non essentiels données dans la Recommandation UIT-R SM.329 (Catégorie B), l'impact reste encore à déterminer pour le service fixe dans les pays qui ne suivent pas de telles limites. Si le service fixe met en œuvre d'autres techniques pour satisfaire –38 dB(W/100 MHz), l'impact de ces techniques doit alors également être déterminé.</w:t>
      </w:r>
    </w:p>
    <w:p w:rsidR="002B489A" w:rsidRDefault="004F19C4">
      <w:pPr>
        <w:pStyle w:val="Heading1"/>
      </w:pPr>
      <w:r>
        <w:t>6</w:t>
      </w:r>
      <w:r>
        <w:tab/>
        <w:t>Résultats des études</w:t>
      </w:r>
    </w:p>
    <w:p w:rsidR="002B489A" w:rsidRDefault="004F19C4">
      <w:pPr>
        <w:pStyle w:val="Heading2"/>
      </w:pPr>
      <w:r>
        <w:t>6.1</w:t>
      </w:r>
      <w:r>
        <w:tab/>
        <w:t>Résumé</w:t>
      </w:r>
    </w:p>
    <w:p w:rsidR="002B489A" w:rsidRDefault="004F19C4">
      <w:pPr>
        <w:spacing w:before="60"/>
      </w:pPr>
      <w:r>
        <w:t>Dans cette Annexe, on a montré que les systèmes du service fixe fonctionnant dans la bande 31</w:t>
      </w:r>
      <w:r>
        <w:noBreakHyphen/>
        <w:t>31,3 GHz déployés en Europe qui utilisent un gabarit plus contraignant pour les émissions hors bande que celui donné dans la Recommandation UIT-R SM.1541 et les limites de rayonnements non essentiels donnés dans la Recommandation UIT-R SM.329 (Catégorie B) satisferont à la puissance de protection maximum acceptable de –38 dB(W/100 MHz). On notera que les densités de terminaux qui ont été considérées dans l'analyse de compatibilité représentent une approche du cas le plus défavorable et qu'elle devrait être précisée.</w:t>
      </w:r>
    </w:p>
    <w:p w:rsidR="002B489A" w:rsidRDefault="004F19C4">
      <w:pPr>
        <w:pStyle w:val="Heading2"/>
      </w:pPr>
      <w:r>
        <w:t>6.2</w:t>
      </w:r>
      <w:r>
        <w:tab/>
        <w:t>Conclusion</w:t>
      </w:r>
    </w:p>
    <w:p w:rsidR="002B489A" w:rsidRDefault="004F19C4">
      <w:pPr>
        <w:spacing w:before="60"/>
      </w:pPr>
      <w:r>
        <w:t>Lorsque les systèmes du service fixe suivent les dispositions de canaux donnés à l'Annexe 8 de la Recommandation UIT-R F.746 et satisfont à des limites plus contraignantes pour les rayonnements non désirés que celles données dans la Recommandation UIT-R SM.1541 et à l'Appendice 3 du RR, le niveau des rayonnements non désirés provenant des systèmes de service fixe déployés dans la bande 31</w:t>
      </w:r>
      <w:r>
        <w:noBreakHyphen/>
        <w:t>31,3 GHz peut satisfaire l'exigence de –38 dB(W/100 MHz), ce qui assurerait la compatibilité entre le service fixe fonctionnant dans la bande 31</w:t>
      </w:r>
      <w:r>
        <w:noBreakHyphen/>
        <w:t>31,3 GHz et le SETS fonctionnant dans la bande 31,3</w:t>
      </w:r>
      <w:r>
        <w:noBreakHyphen/>
        <w:t>31,5 GHz.</w:t>
      </w:r>
    </w:p>
    <w:p w:rsidR="002B489A" w:rsidRDefault="004F19C4">
      <w:pPr>
        <w:pStyle w:val="AnnexNoTitle"/>
        <w:spacing w:before="240"/>
      </w:pPr>
      <w:bookmarkStart w:id="3" w:name="recibido"/>
      <w:bookmarkEnd w:id="3"/>
      <w:r>
        <w:br w:type="page"/>
        <w:t>Annexe 16</w:t>
      </w:r>
      <w:r>
        <w:br/>
      </w:r>
      <w:r>
        <w:br/>
        <w:t xml:space="preserve">Analyse de compatibilité entre les systèmes du SETS (passive) fonctionnant </w:t>
      </w:r>
      <w:r>
        <w:br/>
        <w:t>dans la bande 31,5</w:t>
      </w:r>
      <w:r>
        <w:noBreakHyphen/>
        <w:t xml:space="preserve">31,8 GHz et les systèmes du service fixe </w:t>
      </w:r>
      <w:r>
        <w:br/>
        <w:t>fonctionnant dans la bande 31,8</w:t>
      </w:r>
      <w:r>
        <w:noBreakHyphen/>
        <w:t>33,4 GHz</w:t>
      </w:r>
    </w:p>
    <w:p w:rsidR="002B489A" w:rsidRDefault="004F19C4">
      <w:pPr>
        <w:pStyle w:val="Heading1"/>
      </w:pPr>
      <w:r>
        <w:t>1</w:t>
      </w:r>
      <w:r>
        <w:tab/>
        <w:t>SETS (passive)</w:t>
      </w:r>
    </w:p>
    <w:p w:rsidR="002B489A" w:rsidRDefault="004F19C4">
      <w:pPr>
        <w:pStyle w:val="Heading2"/>
      </w:pPr>
      <w:r>
        <w:t>1.1</w:t>
      </w:r>
      <w:r>
        <w:tab/>
        <w:t>Bande attribuée</w:t>
      </w:r>
    </w:p>
    <w:p w:rsidR="002B489A" w:rsidRDefault="004F19C4">
      <w:pPr>
        <w:spacing w:before="60"/>
      </w:pPr>
      <w:r>
        <w:t>La bande 31,8</w:t>
      </w:r>
      <w:r>
        <w:noBreakHyphen/>
        <w:t>33,4 GHz est attribuée au service fixe et cette bande est adjacente à la bande 31,5</w:t>
      </w:r>
      <w:r>
        <w:noBreakHyphen/>
        <w:t>31,8 GHz attribuée au SETS. La présente Annexe donne les calculs des niveaux de rayonnements non désirés provenant des systèmes du service fixe fonctionnant au-dessus de 31,8 GHz qui peuvent tomber dans la bande 31,5</w:t>
      </w:r>
      <w:r>
        <w:noBreakHyphen/>
        <w:t>31,8 GHz.</w:t>
      </w:r>
    </w:p>
    <w:p w:rsidR="002B489A" w:rsidRDefault="004F19C4">
      <w:r>
        <w:t>Les attributions adjacentes aux bandes passives de 31,5</w:t>
      </w:r>
      <w:r>
        <w:noBreakHyphen/>
        <w:t>31,8 GHz sont indiquées au Tableau 86.</w:t>
      </w:r>
    </w:p>
    <w:p w:rsidR="002B489A" w:rsidRDefault="002B489A">
      <w:pPr>
        <w:spacing w:before="0"/>
      </w:pPr>
    </w:p>
    <w:p w:rsidR="002B489A" w:rsidRDefault="004F19C4">
      <w:pPr>
        <w:pStyle w:val="TableNo"/>
      </w:pPr>
      <w:r>
        <w:t>TABLEAU  86</w:t>
      </w:r>
    </w:p>
    <w:p w:rsidR="002B489A" w:rsidRDefault="004F19C4">
      <w:pPr>
        <w:pStyle w:val="Tabletitle"/>
      </w:pPr>
      <w:r>
        <w:t>Attributions dans les bandes adjacentes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59"/>
        <w:gridCol w:w="2952"/>
        <w:gridCol w:w="2952"/>
      </w:tblGrid>
      <w:tr w:rsidR="002B489A">
        <w:tc>
          <w:tcPr>
            <w:tcW w:w="3059" w:type="dxa"/>
            <w:vAlign w:val="center"/>
          </w:tcPr>
          <w:p w:rsidR="002B489A" w:rsidRDefault="004F19C4">
            <w:pPr>
              <w:pStyle w:val="Tablehead"/>
              <w:framePr w:hSpace="181" w:wrap="notBeside" w:vAnchor="text" w:hAnchor="text" w:xAlign="center" w:y="1"/>
            </w:pPr>
            <w:r>
              <w:t>Services dans la bande attribuée inférieure</w:t>
            </w:r>
          </w:p>
        </w:tc>
        <w:tc>
          <w:tcPr>
            <w:tcW w:w="2952" w:type="dxa"/>
            <w:vAlign w:val="center"/>
          </w:tcPr>
          <w:p w:rsidR="002B489A" w:rsidRDefault="004F19C4">
            <w:pPr>
              <w:pStyle w:val="Tablehead"/>
              <w:framePr w:hSpace="181" w:wrap="notBeside" w:vAnchor="text" w:hAnchor="text" w:xAlign="center" w:y="1"/>
            </w:pPr>
            <w:r>
              <w:t>Bande passive</w:t>
            </w:r>
          </w:p>
        </w:tc>
        <w:tc>
          <w:tcPr>
            <w:tcW w:w="2952" w:type="dxa"/>
            <w:vAlign w:val="center"/>
          </w:tcPr>
          <w:p w:rsidR="002B489A" w:rsidRDefault="004F19C4">
            <w:pPr>
              <w:pStyle w:val="Tablehead"/>
              <w:framePr w:hSpace="181" w:wrap="notBeside" w:vAnchor="text" w:hAnchor="text" w:xAlign="center" w:y="1"/>
            </w:pPr>
            <w:r>
              <w:t>Service dans une bande attribuée supérieure</w:t>
            </w:r>
          </w:p>
        </w:tc>
      </w:tr>
      <w:tr w:rsidR="002B489A">
        <w:tc>
          <w:tcPr>
            <w:tcW w:w="3059" w:type="dxa"/>
          </w:tcPr>
          <w:p w:rsidR="002B489A" w:rsidRDefault="004F19C4">
            <w:pPr>
              <w:pStyle w:val="Tablehead"/>
              <w:framePr w:hSpace="181" w:wrap="notBeside" w:vAnchor="text" w:hAnchor="text" w:xAlign="center" w:y="1"/>
            </w:pPr>
            <w:r>
              <w:t>31,3</w:t>
            </w:r>
            <w:r>
              <w:noBreakHyphen/>
              <w:t>31,5 GHz</w:t>
            </w:r>
          </w:p>
        </w:tc>
        <w:tc>
          <w:tcPr>
            <w:tcW w:w="2952" w:type="dxa"/>
          </w:tcPr>
          <w:p w:rsidR="002B489A" w:rsidRDefault="004F19C4">
            <w:pPr>
              <w:pStyle w:val="Tablehead"/>
              <w:framePr w:hSpace="181" w:wrap="notBeside" w:vAnchor="text" w:hAnchor="text" w:xAlign="center" w:y="1"/>
            </w:pPr>
            <w:r>
              <w:t>31,5</w:t>
            </w:r>
            <w:r>
              <w:noBreakHyphen/>
              <w:t>31,8 GHz</w:t>
            </w:r>
          </w:p>
        </w:tc>
        <w:tc>
          <w:tcPr>
            <w:tcW w:w="2952" w:type="dxa"/>
          </w:tcPr>
          <w:p w:rsidR="002B489A" w:rsidRDefault="004F19C4">
            <w:pPr>
              <w:pStyle w:val="Tablehead"/>
              <w:framePr w:hSpace="181" w:wrap="notBeside" w:vAnchor="text" w:hAnchor="text" w:xAlign="center" w:y="1"/>
            </w:pPr>
            <w:r>
              <w:t>31,8</w:t>
            </w:r>
            <w:r>
              <w:noBreakHyphen/>
              <w:t>32 GHz</w:t>
            </w:r>
          </w:p>
        </w:tc>
      </w:tr>
      <w:tr w:rsidR="002B489A">
        <w:tc>
          <w:tcPr>
            <w:tcW w:w="3059" w:type="dxa"/>
          </w:tcPr>
          <w:p w:rsidR="002B489A" w:rsidRDefault="004F19C4">
            <w:pPr>
              <w:pStyle w:val="Tabletext"/>
              <w:framePr w:hSpace="181" w:wrap="notBeside" w:vAnchor="text" w:hAnchor="text" w:xAlign="center" w:y="1"/>
              <w:jc w:val="left"/>
            </w:pPr>
            <w:r>
              <w:t>EXPLORATION DE LA TERRE PAR SATELLITE (passive)</w:t>
            </w:r>
          </w:p>
          <w:p w:rsidR="002B489A" w:rsidRDefault="004F19C4">
            <w:pPr>
              <w:pStyle w:val="Tabletext"/>
              <w:framePr w:hSpace="181" w:wrap="notBeside" w:vAnchor="text" w:hAnchor="text" w:xAlign="center" w:y="1"/>
              <w:jc w:val="left"/>
            </w:pPr>
            <w:r>
              <w:t>RADIOASTRONOMIE</w:t>
            </w:r>
          </w:p>
          <w:p w:rsidR="002B489A" w:rsidRDefault="004F19C4">
            <w:pPr>
              <w:pStyle w:val="Tabletext"/>
              <w:framePr w:hSpace="181" w:wrap="notBeside" w:vAnchor="text" w:hAnchor="text" w:xAlign="center" w:y="1"/>
              <w:jc w:val="left"/>
            </w:pPr>
            <w:r>
              <w:t>RECHERCHE SPATIALE (passive)</w:t>
            </w:r>
          </w:p>
          <w:p w:rsidR="002B489A" w:rsidRDefault="004F19C4">
            <w:pPr>
              <w:pStyle w:val="Tabletext"/>
              <w:framePr w:hSpace="181" w:wrap="notBeside" w:vAnchor="text" w:hAnchor="text" w:xAlign="center" w:y="1"/>
              <w:jc w:val="left"/>
            </w:pPr>
            <w:r>
              <w:rPr>
                <w:rStyle w:val="Artref"/>
              </w:rPr>
              <w:br/>
            </w:r>
            <w:r>
              <w:rPr>
                <w:rStyle w:val="Artref"/>
              </w:rPr>
              <w:br/>
            </w:r>
          </w:p>
        </w:tc>
        <w:tc>
          <w:tcPr>
            <w:tcW w:w="2952" w:type="dxa"/>
          </w:tcPr>
          <w:p w:rsidR="002B489A" w:rsidRDefault="004F19C4">
            <w:pPr>
              <w:pStyle w:val="Tabletext"/>
              <w:framePr w:hSpace="181" w:wrap="notBeside" w:vAnchor="text" w:hAnchor="text" w:xAlign="center" w:y="1"/>
              <w:jc w:val="left"/>
            </w:pPr>
            <w:r>
              <w:t>EXPLORATION DE LA TERRE PAR SATELLITE (passive)</w:t>
            </w:r>
          </w:p>
          <w:p w:rsidR="002B489A" w:rsidRDefault="004F19C4">
            <w:pPr>
              <w:pStyle w:val="Tabletext"/>
              <w:framePr w:hSpace="181" w:wrap="notBeside" w:vAnchor="text" w:hAnchor="text" w:xAlign="center" w:y="1"/>
              <w:jc w:val="left"/>
            </w:pPr>
            <w:r>
              <w:t>RADIOASTRONOMIE</w:t>
            </w:r>
          </w:p>
          <w:p w:rsidR="002B489A" w:rsidRDefault="004F19C4">
            <w:pPr>
              <w:pStyle w:val="Tabletext"/>
              <w:framePr w:hSpace="181" w:wrap="notBeside" w:vAnchor="text" w:hAnchor="text" w:xAlign="center" w:y="1"/>
              <w:jc w:val="left"/>
            </w:pPr>
            <w:r>
              <w:t>RECHERCHE SPATIALE (passive)</w:t>
            </w:r>
          </w:p>
          <w:p w:rsidR="002B489A" w:rsidRDefault="004F19C4">
            <w:pPr>
              <w:pStyle w:val="Tabletext"/>
              <w:framePr w:hSpace="181" w:wrap="notBeside" w:vAnchor="text" w:hAnchor="text" w:xAlign="center" w:y="1"/>
              <w:jc w:val="left"/>
            </w:pPr>
            <w:r>
              <w:t>Fixe (Régions 1 et 3)</w:t>
            </w:r>
          </w:p>
          <w:p w:rsidR="002B489A" w:rsidRDefault="004F19C4">
            <w:pPr>
              <w:pStyle w:val="Tabletext"/>
              <w:framePr w:hSpace="181" w:wrap="notBeside" w:vAnchor="text" w:hAnchor="text" w:xAlign="center" w:y="1"/>
              <w:jc w:val="left"/>
              <w:rPr>
                <w:lang w:val="fr-CH"/>
              </w:rPr>
            </w:pPr>
            <w:r>
              <w:rPr>
                <w:lang w:val="fr-CH"/>
              </w:rPr>
              <w:t xml:space="preserve">Mobile sauf mobile aéronautique (Régions 1 et 3) </w:t>
            </w:r>
          </w:p>
        </w:tc>
        <w:tc>
          <w:tcPr>
            <w:tcW w:w="2952" w:type="dxa"/>
          </w:tcPr>
          <w:p w:rsidR="002B489A" w:rsidRDefault="004F19C4">
            <w:pPr>
              <w:pStyle w:val="Tabletext"/>
              <w:framePr w:hSpace="181" w:wrap="notBeside" w:vAnchor="text" w:hAnchor="text" w:xAlign="center" w:y="1"/>
              <w:jc w:val="left"/>
              <w:rPr>
                <w:lang w:val="fr-CH"/>
              </w:rPr>
            </w:pPr>
            <w:r>
              <w:rPr>
                <w:lang w:val="fr-CH"/>
              </w:rPr>
              <w:t>FIXE</w:t>
            </w:r>
          </w:p>
          <w:p w:rsidR="002B489A" w:rsidRDefault="004F19C4">
            <w:pPr>
              <w:pStyle w:val="Tabletext"/>
              <w:framePr w:hSpace="181" w:wrap="notBeside" w:vAnchor="text" w:hAnchor="text" w:xAlign="center" w:y="1"/>
              <w:jc w:val="left"/>
              <w:rPr>
                <w:lang w:val="fr-CH"/>
              </w:rPr>
            </w:pPr>
            <w:r>
              <w:rPr>
                <w:lang w:val="fr-CH"/>
              </w:rPr>
              <w:t>RADIONAVIGATION</w:t>
            </w:r>
          </w:p>
          <w:p w:rsidR="002B489A" w:rsidRDefault="004F19C4">
            <w:pPr>
              <w:pStyle w:val="Tabletext"/>
              <w:framePr w:hSpace="181" w:wrap="notBeside" w:vAnchor="text" w:hAnchor="text" w:xAlign="center" w:y="1"/>
              <w:jc w:val="left"/>
              <w:rPr>
                <w:lang w:val="fr-CH"/>
              </w:rPr>
            </w:pPr>
            <w:r>
              <w:rPr>
                <w:lang w:val="fr-CH"/>
              </w:rPr>
              <w:t>RECHERCHE SPATIALE (espace lointain) (espace vers Terre)</w:t>
            </w:r>
          </w:p>
          <w:p w:rsidR="002B489A" w:rsidRDefault="004F19C4">
            <w:pPr>
              <w:pStyle w:val="Tabletext"/>
              <w:framePr w:hSpace="181" w:wrap="notBeside" w:vAnchor="text" w:hAnchor="text" w:xAlign="center" w:y="1"/>
              <w:jc w:val="left"/>
              <w:rPr>
                <w:rStyle w:val="Artref"/>
                <w:lang w:val="fr-CH"/>
              </w:rPr>
            </w:pPr>
            <w:r>
              <w:rPr>
                <w:rStyle w:val="Artref"/>
                <w:lang w:val="fr-CH"/>
              </w:rPr>
              <w:br/>
            </w:r>
          </w:p>
          <w:p w:rsidR="002B489A" w:rsidRDefault="004F19C4">
            <w:pPr>
              <w:pStyle w:val="Tabletext"/>
              <w:framePr w:hSpace="181" w:wrap="notBeside" w:vAnchor="text" w:hAnchor="text" w:xAlign="center" w:y="1"/>
              <w:jc w:val="left"/>
              <w:rPr>
                <w:lang w:val="fr-CH"/>
              </w:rPr>
            </w:pPr>
            <w:r>
              <w:rPr>
                <w:rStyle w:val="Artref"/>
                <w:lang w:val="fr-CH"/>
              </w:rPr>
              <w:br/>
            </w:r>
          </w:p>
        </w:tc>
      </w:tr>
    </w:tbl>
    <w:p w:rsidR="002B489A" w:rsidRDefault="002B489A">
      <w:pPr>
        <w:pStyle w:val="Tablefin"/>
      </w:pPr>
    </w:p>
    <w:p w:rsidR="002B489A" w:rsidRDefault="004F19C4">
      <w:pPr>
        <w:pStyle w:val="Heading2"/>
        <w:spacing w:before="360"/>
      </w:pPr>
      <w:r>
        <w:t>1.2</w:t>
      </w:r>
      <w:r>
        <w:tab/>
        <w:t>Application</w:t>
      </w:r>
    </w:p>
    <w:p w:rsidR="002B489A" w:rsidRDefault="004F19C4">
      <w:r>
        <w:t>Cette bande est une des bandes utilisées pour le sondage atmosphérique proche du nadir avec des bandes telles que celles des 23,8 GHz et des 50,3 GHz pour la caractérisation de chaque couche de l'atmosphère terrestre.</w:t>
      </w:r>
    </w:p>
    <w:p w:rsidR="002B489A" w:rsidRDefault="004F19C4">
      <w:pPr>
        <w:rPr>
          <w:lang w:eastAsia="fr-FR"/>
        </w:rPr>
      </w:pPr>
      <w:r>
        <w:rPr>
          <w:lang w:eastAsia="fr-FR"/>
        </w:rPr>
        <w:t>Dans la bande des 31 GHz, il faut une largeur de bande de 416 MHz pour obtenir une précision à 0,2 K près. Cela signifie que la communauté des utilisateurs des systèmes passifs à hyperfréquences doit protéger à la fois la bande 31,3</w:t>
      </w:r>
      <w:r>
        <w:rPr>
          <w:lang w:eastAsia="fr-FR"/>
        </w:rPr>
        <w:noBreakHyphen/>
        <w:t>31,5 GHz et la bande 31,5</w:t>
      </w:r>
      <w:r>
        <w:rPr>
          <w:lang w:eastAsia="fr-FR"/>
        </w:rPr>
        <w:noBreakHyphen/>
        <w:t>31,8 GHz.</w:t>
      </w:r>
    </w:p>
    <w:p w:rsidR="002B489A" w:rsidRDefault="004F19C4">
      <w:r>
        <w:t>Cette bande sera aussi utilisée avec la bande 31,3</w:t>
      </w:r>
      <w:r>
        <w:noBreakHyphen/>
        <w:t>31,5 GHz comme «fenêtre partagée». Cela permet une comparaison des mesures effectuées dans les deux sous-bandes pour vérifier la qualité des données. Cela permet alors d'utiliser la totalité de la bande lorsqu'on s'attend à ce que la qualité soit bonne, pour augmenter la sensibilité du détecteur.</w:t>
      </w:r>
    </w:p>
    <w:p w:rsidR="002B489A" w:rsidRDefault="004F19C4">
      <w:pPr>
        <w:pStyle w:val="Heading2"/>
      </w:pPr>
      <w:r>
        <w:br w:type="page"/>
        <w:t>1.3</w:t>
      </w:r>
      <w:r>
        <w:tab/>
        <w:t>Critères de protection requis</w:t>
      </w:r>
    </w:p>
    <w:p w:rsidR="002B489A" w:rsidRDefault="004F19C4">
      <w:pPr>
        <w:pStyle w:val="enumlev1"/>
        <w:tabs>
          <w:tab w:val="clear" w:pos="794"/>
          <w:tab w:val="clear" w:pos="1191"/>
          <w:tab w:val="clear" w:pos="1588"/>
          <w:tab w:val="clear" w:pos="1985"/>
          <w:tab w:val="left" w:pos="3515"/>
        </w:tabs>
        <w:ind w:left="3515" w:hanging="3515"/>
      </w:pPr>
      <w:r>
        <w:t>Recommandation UIT-R SA.515 –</w:t>
      </w:r>
      <w:r>
        <w:tab/>
        <w:t xml:space="preserve">Bandes de fréquences et largeurs de bande utilisées pour la télédétection passive par satellite. </w:t>
      </w:r>
    </w:p>
    <w:p w:rsidR="002B489A" w:rsidRDefault="004F19C4">
      <w:pPr>
        <w:pStyle w:val="enumlev1"/>
        <w:tabs>
          <w:tab w:val="clear" w:pos="794"/>
          <w:tab w:val="clear" w:pos="1191"/>
          <w:tab w:val="clear" w:pos="1588"/>
          <w:tab w:val="clear" w:pos="1985"/>
          <w:tab w:val="left" w:pos="3515"/>
        </w:tabs>
        <w:spacing w:before="60"/>
        <w:ind w:left="3515" w:hanging="3515"/>
      </w:pPr>
      <w:r>
        <w:t>Recommandation UIT-R SA.1028 –</w:t>
      </w:r>
      <w:r>
        <w:tab/>
        <w:t>Critères de qualité de fonctionnement pour la télédétection passive par satellite.</w:t>
      </w:r>
    </w:p>
    <w:p w:rsidR="002B489A" w:rsidRDefault="004F19C4">
      <w:pPr>
        <w:pStyle w:val="enumlev1"/>
        <w:tabs>
          <w:tab w:val="clear" w:pos="794"/>
          <w:tab w:val="clear" w:pos="1191"/>
          <w:tab w:val="clear" w:pos="1588"/>
          <w:tab w:val="clear" w:pos="1985"/>
          <w:tab w:val="left" w:pos="3515"/>
        </w:tabs>
        <w:spacing w:before="60"/>
        <w:ind w:left="3515" w:hanging="3515"/>
      </w:pPr>
      <w:r>
        <w:t>Recommandation UIT-R SA.1029 –</w:t>
      </w:r>
      <w:r>
        <w:tab/>
        <w:t>Critères de brouillage dans la télédétection passive par satellite.</w:t>
      </w:r>
    </w:p>
    <w:p w:rsidR="002B489A" w:rsidRDefault="004F19C4">
      <w:pPr>
        <w:pStyle w:val="Heading2"/>
      </w:pPr>
      <w:r>
        <w:t>1.4</w:t>
      </w:r>
      <w:r>
        <w:tab/>
        <w:t>Caractéristiques de fonctionnement</w:t>
      </w:r>
    </w:p>
    <w:p w:rsidR="002B489A" w:rsidRDefault="004F19C4">
      <w:r>
        <w:t>On considère les caractéristiques de fonctionnement suivantes pour le système SETS:</w:t>
      </w:r>
    </w:p>
    <w:p w:rsidR="002B489A" w:rsidRDefault="004F19C4">
      <w:pPr>
        <w:pStyle w:val="enumlev1"/>
      </w:pPr>
      <w:r>
        <w:t>–</w:t>
      </w:r>
      <w:r>
        <w:tab/>
        <w:t>Le détecteur SETS est supposé avoir une antenne avec un gain de crête de 45 dBi.</w:t>
      </w:r>
    </w:p>
    <w:p w:rsidR="002B489A" w:rsidRDefault="004F19C4">
      <w:pPr>
        <w:pStyle w:val="enumlev1"/>
      </w:pPr>
      <w:r>
        <w:t>–</w:t>
      </w:r>
      <w:r>
        <w:tab/>
        <w:t>Le détecteur SETS pointe dans la direction du nadir.</w:t>
      </w:r>
    </w:p>
    <w:p w:rsidR="002B489A" w:rsidRDefault="004F19C4">
      <w:pPr>
        <w:pStyle w:val="enumlev1"/>
      </w:pPr>
      <w:r>
        <w:t>–</w:t>
      </w:r>
      <w:r>
        <w:tab/>
        <w:t>La taille de pixel pour un détecteur à une altitude de 850 km est de 201 km</w:t>
      </w:r>
      <w:r>
        <w:rPr>
          <w:vertAlign w:val="superscript"/>
        </w:rPr>
        <w:t>2</w:t>
      </w:r>
      <w:r>
        <w:t xml:space="preserve"> (16 km de diamètre).</w:t>
      </w:r>
    </w:p>
    <w:p w:rsidR="002B489A" w:rsidRDefault="004F19C4">
      <w:pPr>
        <w:pStyle w:val="Heading1"/>
      </w:pPr>
      <w:r>
        <w:t>2</w:t>
      </w:r>
      <w:r>
        <w:tab/>
        <w:t>Service fixe</w:t>
      </w:r>
    </w:p>
    <w:p w:rsidR="002B489A" w:rsidRDefault="004F19C4">
      <w:pPr>
        <w:pStyle w:val="Heading2"/>
      </w:pPr>
      <w:r>
        <w:t>2.1</w:t>
      </w:r>
      <w:r>
        <w:tab/>
        <w:t>Bande attribuée</w:t>
      </w:r>
    </w:p>
    <w:p w:rsidR="002B489A" w:rsidRDefault="004F19C4">
      <w:r>
        <w:t>Voir le Tableau 86.</w:t>
      </w:r>
    </w:p>
    <w:p w:rsidR="002B489A" w:rsidRDefault="004F19C4">
      <w:pPr>
        <w:pStyle w:val="Heading2"/>
      </w:pPr>
      <w:r>
        <w:t>2.2</w:t>
      </w:r>
      <w:r>
        <w:tab/>
        <w:t>Application</w:t>
      </w:r>
    </w:p>
    <w:p w:rsidR="002B489A" w:rsidRDefault="004F19C4">
      <w:r>
        <w:t>Conformément au numéro 5.547 du RR, la bande 31,8</w:t>
      </w:r>
      <w:r>
        <w:noBreakHyphen/>
        <w:t>33,4 GHz est disponible pour les applications haute densité du service fixe.</w:t>
      </w:r>
    </w:p>
    <w:p w:rsidR="002B489A" w:rsidRDefault="004F19C4">
      <w:r>
        <w:t>Cette bande peut être utilisée à la fois pour des systèmes du service fixe point à point et pour des systèmes du service fixe P</w:t>
      </w:r>
      <w:r>
        <w:noBreakHyphen/>
        <w:t>MP.</w:t>
      </w:r>
    </w:p>
    <w:p w:rsidR="002B489A" w:rsidRDefault="004F19C4">
      <w:pPr>
        <w:pStyle w:val="Heading2"/>
      </w:pPr>
      <w:r>
        <w:t>2.3</w:t>
      </w:r>
      <w:r>
        <w:tab/>
        <w:t>Niveaux fondés sur des documents existants de l'UIT</w:t>
      </w:r>
    </w:p>
    <w:p w:rsidR="002B489A" w:rsidRDefault="004F19C4">
      <w:r>
        <w:t>Les Recommandations suivantes de l'UIT-R donnent des informations sur les rayonnements non désirés des systèmes du service fixe:</w:t>
      </w:r>
    </w:p>
    <w:p w:rsidR="002B489A" w:rsidRDefault="004F19C4">
      <w:pPr>
        <w:pStyle w:val="enumlev1"/>
        <w:ind w:left="4320" w:hanging="4320"/>
      </w:pPr>
      <w:r>
        <w:t>–</w:t>
      </w:r>
      <w:r>
        <w:tab/>
        <w:t>Recommandation UIT-R F.1191 –</w:t>
      </w:r>
      <w:r>
        <w:tab/>
        <w:t>Largeurs de bande et rayonnements non désirés des systèmes numériques du service fixe.</w:t>
      </w:r>
    </w:p>
    <w:p w:rsidR="002B489A" w:rsidRDefault="004F19C4">
      <w:pPr>
        <w:pStyle w:val="enumlev1"/>
        <w:ind w:left="4320" w:hanging="4320"/>
      </w:pPr>
      <w:r>
        <w:t>–</w:t>
      </w:r>
      <w:r>
        <w:tab/>
        <w:t>Recommandation UIT-R SM.329 –</w:t>
      </w:r>
      <w:r>
        <w:tab/>
        <w:t>Rayonnements non désirés dans le domaine des rayon</w:t>
      </w:r>
      <w:r>
        <w:softHyphen/>
        <w:t>nements non essentiels.</w:t>
      </w:r>
    </w:p>
    <w:p w:rsidR="002B489A" w:rsidRDefault="004F19C4">
      <w:pPr>
        <w:pStyle w:val="enumlev1"/>
        <w:ind w:left="4320" w:hanging="4320"/>
      </w:pPr>
      <w:r>
        <w:t>–</w:t>
      </w:r>
      <w:r>
        <w:tab/>
        <w:t>Recommandation UIT-R SM.1541 –</w:t>
      </w:r>
      <w:r>
        <w:tab/>
        <w:t>Rayonnements non désirés dans le domaine des émis</w:t>
      </w:r>
      <w:r>
        <w:softHyphen/>
        <w:t>sions hors bande.</w:t>
      </w:r>
    </w:p>
    <w:p w:rsidR="002B489A" w:rsidRDefault="004F19C4">
      <w:pPr>
        <w:pStyle w:val="Heading2"/>
      </w:pPr>
      <w:r>
        <w:t>2.4</w:t>
      </w:r>
      <w:r>
        <w:tab/>
        <w:t>Caractéristiques de l'émetteur</w:t>
      </w:r>
    </w:p>
    <w:p w:rsidR="002B489A" w:rsidRDefault="004F19C4">
      <w:r>
        <w:t>Les caractéristiques suivantes (Tableaux 87 et 88) ont été prises en compte pour les systèmes point à point et P</w:t>
      </w:r>
      <w:r>
        <w:noBreakHyphen/>
        <w:t>MP fonctionnant dans la bande 31,8-33,4 GHz.</w:t>
      </w:r>
    </w:p>
    <w:p w:rsidR="002B489A" w:rsidRDefault="004F19C4">
      <w:pPr>
        <w:pStyle w:val="TableNo"/>
      </w:pPr>
      <w:r>
        <w:br w:type="page"/>
        <w:t>TABLEAU  87</w:t>
      </w:r>
    </w:p>
    <w:p w:rsidR="002B489A" w:rsidRDefault="004F19C4">
      <w:pPr>
        <w:pStyle w:val="Tabletitle"/>
      </w:pPr>
      <w:r>
        <w:t xml:space="preserve">Caractéristiques des systèmes point à point </w:t>
      </w:r>
      <w:r>
        <w:br/>
        <w:t>(Recommandation UIT-R F.758)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727"/>
        <w:gridCol w:w="1985"/>
        <w:gridCol w:w="1985"/>
      </w:tblGrid>
      <w:tr w:rsidR="002B489A">
        <w:trPr>
          <w:cantSplit/>
        </w:trPr>
        <w:tc>
          <w:tcPr>
            <w:tcW w:w="5727" w:type="dxa"/>
          </w:tcPr>
          <w:p w:rsidR="002B489A" w:rsidRDefault="004F19C4">
            <w:pPr>
              <w:pStyle w:val="Tabletext"/>
              <w:framePr w:hSpace="181" w:wrap="notBeside" w:vAnchor="text" w:hAnchor="text" w:xAlign="center" w:y="1"/>
              <w:jc w:val="left"/>
            </w:pPr>
            <w:r>
              <w:t>Espacement entre canaux (MHz)</w:t>
            </w:r>
          </w:p>
        </w:tc>
        <w:tc>
          <w:tcPr>
            <w:tcW w:w="1985" w:type="dxa"/>
          </w:tcPr>
          <w:p w:rsidR="002B489A" w:rsidRDefault="004F19C4">
            <w:pPr>
              <w:pStyle w:val="Tabletext"/>
              <w:framePr w:hSpace="181" w:wrap="notBeside" w:vAnchor="text" w:hAnchor="text" w:xAlign="center" w:y="1"/>
              <w:jc w:val="center"/>
            </w:pPr>
            <w:r>
              <w:t>56</w:t>
            </w:r>
          </w:p>
        </w:tc>
        <w:tc>
          <w:tcPr>
            <w:tcW w:w="1985" w:type="dxa"/>
          </w:tcPr>
          <w:p w:rsidR="002B489A" w:rsidRDefault="004F19C4">
            <w:pPr>
              <w:pStyle w:val="Tabletext"/>
              <w:framePr w:hSpace="181" w:wrap="notBeside" w:vAnchor="text" w:hAnchor="text" w:xAlign="center" w:y="1"/>
              <w:jc w:val="center"/>
            </w:pPr>
            <w:r>
              <w:t>3,5</w:t>
            </w:r>
          </w:p>
        </w:tc>
      </w:tr>
      <w:tr w:rsidR="002B489A">
        <w:trPr>
          <w:cantSplit/>
        </w:trPr>
        <w:tc>
          <w:tcPr>
            <w:tcW w:w="5727" w:type="dxa"/>
          </w:tcPr>
          <w:p w:rsidR="002B489A" w:rsidRDefault="004F19C4">
            <w:pPr>
              <w:pStyle w:val="Tabletext"/>
              <w:framePr w:hSpace="181" w:wrap="notBeside" w:vAnchor="text" w:hAnchor="text" w:xAlign="center" w:y="1"/>
              <w:jc w:val="left"/>
            </w:pPr>
            <w:r>
              <w:t>Gain d'antenne (maximum) (dBi)</w:t>
            </w:r>
          </w:p>
        </w:tc>
        <w:tc>
          <w:tcPr>
            <w:tcW w:w="1985" w:type="dxa"/>
          </w:tcPr>
          <w:p w:rsidR="002B489A" w:rsidRDefault="004F19C4">
            <w:pPr>
              <w:pStyle w:val="Tabletext"/>
              <w:framePr w:hSpace="181" w:wrap="notBeside" w:vAnchor="text" w:hAnchor="text" w:xAlign="center" w:y="1"/>
              <w:jc w:val="center"/>
            </w:pPr>
            <w:r>
              <w:t>46</w:t>
            </w:r>
          </w:p>
        </w:tc>
        <w:tc>
          <w:tcPr>
            <w:tcW w:w="1985" w:type="dxa"/>
          </w:tcPr>
          <w:p w:rsidR="002B489A" w:rsidRDefault="004F19C4">
            <w:pPr>
              <w:pStyle w:val="Tabletext"/>
              <w:framePr w:hSpace="181" w:wrap="notBeside" w:vAnchor="text" w:hAnchor="text" w:xAlign="center" w:y="1"/>
              <w:jc w:val="center"/>
            </w:pPr>
            <w:r>
              <w:t>46</w:t>
            </w:r>
          </w:p>
        </w:tc>
      </w:tr>
      <w:tr w:rsidR="002B489A">
        <w:trPr>
          <w:cantSplit/>
        </w:trPr>
        <w:tc>
          <w:tcPr>
            <w:tcW w:w="5727" w:type="dxa"/>
          </w:tcPr>
          <w:p w:rsidR="002B489A" w:rsidRDefault="004F19C4">
            <w:pPr>
              <w:pStyle w:val="Tabletext"/>
              <w:framePr w:hSpace="181" w:wrap="notBeside" w:vAnchor="text" w:hAnchor="text" w:xAlign="center" w:y="1"/>
              <w:jc w:val="left"/>
            </w:pPr>
            <w:r>
              <w:t>Affaiblissement d'alimentation/multiplexeur (minimum) (dB)</w:t>
            </w:r>
          </w:p>
        </w:tc>
        <w:tc>
          <w:tcPr>
            <w:tcW w:w="1985" w:type="dxa"/>
          </w:tcPr>
          <w:p w:rsidR="002B489A" w:rsidRDefault="004F19C4">
            <w:pPr>
              <w:pStyle w:val="Tabletext"/>
              <w:framePr w:hSpace="181" w:wrap="notBeside" w:vAnchor="text" w:hAnchor="text" w:xAlign="center" w:y="1"/>
              <w:jc w:val="center"/>
            </w:pPr>
            <w:r>
              <w:t>0</w:t>
            </w:r>
          </w:p>
        </w:tc>
        <w:tc>
          <w:tcPr>
            <w:tcW w:w="1985" w:type="dxa"/>
          </w:tcPr>
          <w:p w:rsidR="002B489A" w:rsidRDefault="004F19C4">
            <w:pPr>
              <w:pStyle w:val="Tabletext"/>
              <w:framePr w:hSpace="181" w:wrap="notBeside" w:vAnchor="text" w:hAnchor="text" w:xAlign="center" w:y="1"/>
              <w:jc w:val="center"/>
            </w:pPr>
            <w:r>
              <w:t>0</w:t>
            </w:r>
          </w:p>
        </w:tc>
      </w:tr>
      <w:tr w:rsidR="002B489A">
        <w:trPr>
          <w:cantSplit/>
        </w:trPr>
        <w:tc>
          <w:tcPr>
            <w:tcW w:w="5727" w:type="dxa"/>
          </w:tcPr>
          <w:p w:rsidR="002B489A" w:rsidRDefault="004F19C4">
            <w:pPr>
              <w:pStyle w:val="Tabletext"/>
              <w:framePr w:hSpace="181" w:wrap="notBeside" w:vAnchor="text" w:hAnchor="text" w:xAlign="center" w:y="1"/>
              <w:jc w:val="left"/>
            </w:pPr>
            <w:r>
              <w:t>Type d'antenne</w:t>
            </w:r>
          </w:p>
        </w:tc>
        <w:tc>
          <w:tcPr>
            <w:tcW w:w="1985" w:type="dxa"/>
          </w:tcPr>
          <w:p w:rsidR="002B489A" w:rsidRDefault="004F19C4">
            <w:pPr>
              <w:pStyle w:val="Tabletext"/>
              <w:framePr w:hSpace="181" w:wrap="notBeside" w:vAnchor="text" w:hAnchor="text" w:xAlign="center" w:y="1"/>
              <w:jc w:val="center"/>
            </w:pPr>
            <w:r>
              <w:t>Parabolique</w:t>
            </w:r>
          </w:p>
        </w:tc>
        <w:tc>
          <w:tcPr>
            <w:tcW w:w="1985" w:type="dxa"/>
          </w:tcPr>
          <w:p w:rsidR="002B489A" w:rsidRDefault="004F19C4">
            <w:pPr>
              <w:pStyle w:val="Tabletext"/>
              <w:framePr w:hSpace="181" w:wrap="notBeside" w:vAnchor="text" w:hAnchor="text" w:xAlign="center" w:y="1"/>
              <w:jc w:val="center"/>
            </w:pPr>
            <w:r>
              <w:t>Parabolique</w:t>
            </w:r>
          </w:p>
        </w:tc>
      </w:tr>
      <w:tr w:rsidR="002B489A">
        <w:trPr>
          <w:cantSplit/>
        </w:trPr>
        <w:tc>
          <w:tcPr>
            <w:tcW w:w="5727" w:type="dxa"/>
          </w:tcPr>
          <w:p w:rsidR="002B489A" w:rsidRDefault="004F19C4">
            <w:pPr>
              <w:pStyle w:val="Tabletext"/>
              <w:framePr w:hSpace="181" w:wrap="notBeside" w:vAnchor="text" w:hAnchor="text" w:xAlign="center" w:y="1"/>
              <w:jc w:val="left"/>
            </w:pPr>
            <w:r>
              <w:t>Puissance de sortie d'émission maximum (dBW)</w:t>
            </w:r>
          </w:p>
        </w:tc>
        <w:tc>
          <w:tcPr>
            <w:tcW w:w="1985" w:type="dxa"/>
          </w:tcPr>
          <w:p w:rsidR="002B489A" w:rsidRDefault="004F19C4">
            <w:pPr>
              <w:pStyle w:val="Tabletext"/>
              <w:framePr w:hSpace="181" w:wrap="notBeside" w:vAnchor="text" w:hAnchor="text" w:xAlign="center" w:y="1"/>
              <w:jc w:val="center"/>
            </w:pPr>
            <w:r>
              <w:t>–3</w:t>
            </w:r>
          </w:p>
        </w:tc>
        <w:tc>
          <w:tcPr>
            <w:tcW w:w="1985" w:type="dxa"/>
          </w:tcPr>
          <w:p w:rsidR="002B489A" w:rsidRDefault="004F19C4">
            <w:pPr>
              <w:pStyle w:val="Tabletext"/>
              <w:framePr w:hSpace="181" w:wrap="notBeside" w:vAnchor="text" w:hAnchor="text" w:xAlign="center" w:y="1"/>
              <w:jc w:val="center"/>
            </w:pPr>
            <w:r>
              <w:t>–3</w:t>
            </w:r>
          </w:p>
        </w:tc>
      </w:tr>
      <w:tr w:rsidR="002B489A">
        <w:trPr>
          <w:cantSplit/>
        </w:trPr>
        <w:tc>
          <w:tcPr>
            <w:tcW w:w="5727" w:type="dxa"/>
          </w:tcPr>
          <w:p w:rsidR="002B489A" w:rsidRDefault="004F19C4">
            <w:pPr>
              <w:pStyle w:val="Tabletext"/>
              <w:framePr w:hSpace="181" w:wrap="notBeside" w:vAnchor="text" w:hAnchor="text" w:xAlign="center" w:y="1"/>
              <w:jc w:val="left"/>
            </w:pPr>
            <w:r>
              <w:t>p.i.r.e. (maximum) (dBW)</w:t>
            </w:r>
          </w:p>
        </w:tc>
        <w:tc>
          <w:tcPr>
            <w:tcW w:w="1985" w:type="dxa"/>
          </w:tcPr>
          <w:p w:rsidR="002B489A" w:rsidRDefault="004F19C4">
            <w:pPr>
              <w:pStyle w:val="Tabletext"/>
              <w:framePr w:hSpace="181" w:wrap="notBeside" w:vAnchor="text" w:hAnchor="text" w:xAlign="center" w:y="1"/>
              <w:jc w:val="center"/>
            </w:pPr>
            <w:r>
              <w:t>43</w:t>
            </w:r>
          </w:p>
        </w:tc>
        <w:tc>
          <w:tcPr>
            <w:tcW w:w="1985" w:type="dxa"/>
          </w:tcPr>
          <w:p w:rsidR="002B489A" w:rsidRDefault="004F19C4">
            <w:pPr>
              <w:pStyle w:val="Tabletext"/>
              <w:framePr w:hSpace="181" w:wrap="notBeside" w:vAnchor="text" w:hAnchor="text" w:xAlign="center" w:y="1"/>
              <w:jc w:val="center"/>
            </w:pPr>
            <w:r>
              <w:t>43</w:t>
            </w:r>
          </w:p>
        </w:tc>
      </w:tr>
    </w:tbl>
    <w:p w:rsidR="002B489A" w:rsidRDefault="002B489A">
      <w:pPr>
        <w:pStyle w:val="Tablefin"/>
        <w:spacing w:before="0"/>
        <w:rPr>
          <w:lang w:val="fr-CH"/>
        </w:rPr>
      </w:pPr>
    </w:p>
    <w:p w:rsidR="002B489A" w:rsidRDefault="004F19C4">
      <w:pPr>
        <w:pStyle w:val="TableNo"/>
        <w:spacing w:before="240"/>
      </w:pPr>
      <w:r>
        <w:t>TABLEAU  88</w:t>
      </w:r>
    </w:p>
    <w:p w:rsidR="002B489A" w:rsidRDefault="004F19C4">
      <w:pPr>
        <w:pStyle w:val="Tabletitle"/>
      </w:pPr>
      <w:r>
        <w:t>Caractéristiques des systèmes P</w:t>
      </w:r>
      <w:r>
        <w:noBreakHyphen/>
        <w:t xml:space="preserve">MP </w:t>
      </w:r>
      <w:r>
        <w:br/>
        <w:t>(Recommandation UIT-R F.758)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727"/>
        <w:gridCol w:w="1985"/>
        <w:gridCol w:w="1985"/>
      </w:tblGrid>
      <w:tr w:rsidR="002B489A">
        <w:trPr>
          <w:cantSplit/>
        </w:trPr>
        <w:tc>
          <w:tcPr>
            <w:tcW w:w="5727" w:type="dxa"/>
          </w:tcPr>
          <w:p w:rsidR="002B489A" w:rsidRDefault="004F19C4">
            <w:pPr>
              <w:pStyle w:val="Tabletext"/>
              <w:framePr w:hSpace="181" w:wrap="notBeside" w:vAnchor="text" w:hAnchor="text" w:xAlign="center" w:y="1"/>
              <w:jc w:val="left"/>
            </w:pPr>
            <w:r>
              <w:t>Type de station</w:t>
            </w:r>
          </w:p>
        </w:tc>
        <w:tc>
          <w:tcPr>
            <w:tcW w:w="1985" w:type="dxa"/>
          </w:tcPr>
          <w:p w:rsidR="002B489A" w:rsidRDefault="004F19C4">
            <w:pPr>
              <w:pStyle w:val="Tabletext"/>
              <w:framePr w:hSpace="181" w:wrap="notBeside" w:vAnchor="text" w:hAnchor="text" w:xAlign="center" w:y="1"/>
              <w:jc w:val="center"/>
            </w:pPr>
            <w:r>
              <w:t>Centrale</w:t>
            </w:r>
          </w:p>
        </w:tc>
        <w:tc>
          <w:tcPr>
            <w:tcW w:w="1985" w:type="dxa"/>
          </w:tcPr>
          <w:p w:rsidR="002B489A" w:rsidRDefault="004F19C4">
            <w:pPr>
              <w:pStyle w:val="Tabletext"/>
              <w:framePr w:hSpace="181" w:wrap="notBeside" w:vAnchor="text" w:hAnchor="text" w:xAlign="center" w:y="1"/>
              <w:jc w:val="center"/>
            </w:pPr>
            <w:r>
              <w:t>Terminale</w:t>
            </w:r>
          </w:p>
        </w:tc>
      </w:tr>
      <w:tr w:rsidR="002B489A">
        <w:trPr>
          <w:cantSplit/>
        </w:trPr>
        <w:tc>
          <w:tcPr>
            <w:tcW w:w="5727" w:type="dxa"/>
          </w:tcPr>
          <w:p w:rsidR="002B489A" w:rsidRDefault="004F19C4">
            <w:pPr>
              <w:pStyle w:val="Tabletext"/>
              <w:framePr w:hSpace="181" w:wrap="notBeside" w:vAnchor="text" w:hAnchor="text" w:xAlign="center" w:y="1"/>
              <w:jc w:val="left"/>
            </w:pPr>
            <w:r>
              <w:t>Espacement entre canaux (MHz)</w:t>
            </w:r>
          </w:p>
        </w:tc>
        <w:tc>
          <w:tcPr>
            <w:tcW w:w="1985" w:type="dxa"/>
          </w:tcPr>
          <w:p w:rsidR="002B489A" w:rsidRDefault="004F19C4">
            <w:pPr>
              <w:pStyle w:val="Tabletext"/>
              <w:framePr w:hSpace="181" w:wrap="notBeside" w:vAnchor="text" w:hAnchor="text" w:xAlign="center" w:y="1"/>
              <w:jc w:val="center"/>
            </w:pPr>
            <w:r>
              <w:t>28</w:t>
            </w:r>
          </w:p>
        </w:tc>
        <w:tc>
          <w:tcPr>
            <w:tcW w:w="1985" w:type="dxa"/>
          </w:tcPr>
          <w:p w:rsidR="002B489A" w:rsidRDefault="004F19C4">
            <w:pPr>
              <w:pStyle w:val="Tabletext"/>
              <w:framePr w:hSpace="181" w:wrap="notBeside" w:vAnchor="text" w:hAnchor="text" w:xAlign="center" w:y="1"/>
              <w:jc w:val="center"/>
            </w:pPr>
            <w:r>
              <w:t>28</w:t>
            </w:r>
          </w:p>
        </w:tc>
      </w:tr>
      <w:tr w:rsidR="002B489A">
        <w:trPr>
          <w:cantSplit/>
        </w:trPr>
        <w:tc>
          <w:tcPr>
            <w:tcW w:w="5727" w:type="dxa"/>
          </w:tcPr>
          <w:p w:rsidR="002B489A" w:rsidRDefault="004F19C4">
            <w:pPr>
              <w:pStyle w:val="Tabletext"/>
              <w:framePr w:hSpace="181" w:wrap="notBeside" w:vAnchor="text" w:hAnchor="text" w:xAlign="center" w:y="1"/>
              <w:jc w:val="left"/>
            </w:pPr>
            <w:r>
              <w:t>Gain d'antenne (maximum) (dBi)</w:t>
            </w:r>
          </w:p>
        </w:tc>
        <w:tc>
          <w:tcPr>
            <w:tcW w:w="1985" w:type="dxa"/>
          </w:tcPr>
          <w:p w:rsidR="002B489A" w:rsidRDefault="004F19C4">
            <w:pPr>
              <w:pStyle w:val="Tabletext"/>
              <w:framePr w:hSpace="181" w:wrap="notBeside" w:vAnchor="text" w:hAnchor="text" w:xAlign="center" w:y="1"/>
              <w:jc w:val="center"/>
            </w:pPr>
            <w:r>
              <w:t>14</w:t>
            </w:r>
          </w:p>
        </w:tc>
        <w:tc>
          <w:tcPr>
            <w:tcW w:w="1985" w:type="dxa"/>
          </w:tcPr>
          <w:p w:rsidR="002B489A" w:rsidRDefault="004F19C4">
            <w:pPr>
              <w:pStyle w:val="Tabletext"/>
              <w:framePr w:hSpace="181" w:wrap="notBeside" w:vAnchor="text" w:hAnchor="text" w:xAlign="center" w:y="1"/>
              <w:jc w:val="center"/>
            </w:pPr>
            <w:r>
              <w:t>Parabolique 41</w:t>
            </w:r>
            <w:r>
              <w:br/>
              <w:t>Planaire 28</w:t>
            </w:r>
          </w:p>
        </w:tc>
      </w:tr>
      <w:tr w:rsidR="002B489A">
        <w:trPr>
          <w:cantSplit/>
        </w:trPr>
        <w:tc>
          <w:tcPr>
            <w:tcW w:w="5727" w:type="dxa"/>
          </w:tcPr>
          <w:p w:rsidR="002B489A" w:rsidRDefault="004F19C4">
            <w:pPr>
              <w:pStyle w:val="Tabletext"/>
              <w:framePr w:hSpace="181" w:wrap="notBeside" w:vAnchor="text" w:hAnchor="text" w:xAlign="center" w:y="1"/>
              <w:jc w:val="left"/>
            </w:pPr>
            <w:r>
              <w:t>Affaiblissement d'alimentation/multiplexeur (minimum) (dB)</w:t>
            </w:r>
          </w:p>
        </w:tc>
        <w:tc>
          <w:tcPr>
            <w:tcW w:w="1985" w:type="dxa"/>
          </w:tcPr>
          <w:p w:rsidR="002B489A" w:rsidRDefault="004F19C4">
            <w:pPr>
              <w:pStyle w:val="Tabletext"/>
              <w:framePr w:hSpace="181" w:wrap="notBeside" w:vAnchor="text" w:hAnchor="text" w:xAlign="center" w:y="1"/>
              <w:jc w:val="center"/>
            </w:pPr>
            <w:r>
              <w:t>0</w:t>
            </w:r>
          </w:p>
        </w:tc>
        <w:tc>
          <w:tcPr>
            <w:tcW w:w="1985" w:type="dxa"/>
          </w:tcPr>
          <w:p w:rsidR="002B489A" w:rsidRDefault="004F19C4">
            <w:pPr>
              <w:pStyle w:val="Tabletext"/>
              <w:framePr w:hSpace="181" w:wrap="notBeside" w:vAnchor="text" w:hAnchor="text" w:xAlign="center" w:y="1"/>
              <w:jc w:val="center"/>
            </w:pPr>
            <w:r>
              <w:t>0</w:t>
            </w:r>
          </w:p>
        </w:tc>
      </w:tr>
      <w:tr w:rsidR="002B489A">
        <w:trPr>
          <w:cantSplit/>
        </w:trPr>
        <w:tc>
          <w:tcPr>
            <w:tcW w:w="5727" w:type="dxa"/>
          </w:tcPr>
          <w:p w:rsidR="002B489A" w:rsidRDefault="004F19C4">
            <w:pPr>
              <w:pStyle w:val="Tabletext"/>
              <w:framePr w:hSpace="181" w:wrap="notBeside" w:vAnchor="text" w:hAnchor="text" w:xAlign="center" w:y="1"/>
              <w:jc w:val="left"/>
            </w:pPr>
            <w:r>
              <w:t xml:space="preserve">Azimut/élévation (degrés) d'ouverture de faisceau d'antenne (à 3 dB) </w:t>
            </w:r>
          </w:p>
        </w:tc>
        <w:tc>
          <w:tcPr>
            <w:tcW w:w="1985" w:type="dxa"/>
          </w:tcPr>
          <w:p w:rsidR="002B489A" w:rsidRDefault="004F19C4">
            <w:pPr>
              <w:pStyle w:val="Tabletext"/>
              <w:framePr w:hSpace="181" w:wrap="notBeside" w:vAnchor="text" w:hAnchor="text" w:xAlign="center" w:y="1"/>
              <w:jc w:val="center"/>
            </w:pPr>
            <w:r>
              <w:rPr>
                <w:rFonts w:ascii="Symbol" w:hAnsi="Symbol"/>
              </w:rPr>
              <w:t></w:t>
            </w:r>
            <w:r>
              <w:rPr>
                <w:rFonts w:ascii="Tms Rmn" w:hAnsi="Tms Rmn"/>
                <w:sz w:val="12"/>
              </w:rPr>
              <w:t> </w:t>
            </w:r>
            <w:r>
              <w:t>15</w:t>
            </w:r>
          </w:p>
        </w:tc>
        <w:tc>
          <w:tcPr>
            <w:tcW w:w="1985" w:type="dxa"/>
          </w:tcPr>
          <w:p w:rsidR="002B489A" w:rsidRDefault="004F19C4">
            <w:pPr>
              <w:pStyle w:val="Tabletext"/>
              <w:framePr w:hSpace="181" w:wrap="notBeside" w:vAnchor="text" w:hAnchor="text" w:xAlign="center" w:y="1"/>
              <w:jc w:val="center"/>
            </w:pPr>
            <w:r>
              <w:t>1,2 </w:t>
            </w:r>
            <w:r>
              <w:rPr>
                <w:rFonts w:ascii="Symbol" w:hAnsi="Symbol"/>
              </w:rPr>
              <w:t></w:t>
            </w:r>
            <w:r>
              <w:t> 1,2</w:t>
            </w:r>
          </w:p>
        </w:tc>
      </w:tr>
      <w:tr w:rsidR="002B489A">
        <w:trPr>
          <w:cantSplit/>
        </w:trPr>
        <w:tc>
          <w:tcPr>
            <w:tcW w:w="5727" w:type="dxa"/>
          </w:tcPr>
          <w:p w:rsidR="002B489A" w:rsidRDefault="004F19C4">
            <w:pPr>
              <w:pStyle w:val="Tabletext"/>
              <w:framePr w:hSpace="181" w:wrap="notBeside" w:vAnchor="text" w:hAnchor="text" w:xAlign="center" w:y="1"/>
              <w:jc w:val="left"/>
            </w:pPr>
            <w:r>
              <w:t>Puissance de sortie d'émetteur maximum (dBW)</w:t>
            </w:r>
          </w:p>
        </w:tc>
        <w:tc>
          <w:tcPr>
            <w:tcW w:w="1985" w:type="dxa"/>
          </w:tcPr>
          <w:p w:rsidR="002B489A" w:rsidRDefault="004F19C4">
            <w:pPr>
              <w:pStyle w:val="Tabletext"/>
              <w:framePr w:hSpace="181" w:wrap="notBeside" w:vAnchor="text" w:hAnchor="text" w:xAlign="center" w:y="1"/>
              <w:jc w:val="center"/>
            </w:pPr>
            <w:r>
              <w:t>–5</w:t>
            </w:r>
          </w:p>
        </w:tc>
        <w:tc>
          <w:tcPr>
            <w:tcW w:w="1985" w:type="dxa"/>
          </w:tcPr>
          <w:p w:rsidR="002B489A" w:rsidRDefault="004F19C4">
            <w:pPr>
              <w:pStyle w:val="Tabletext"/>
              <w:framePr w:hSpace="181" w:wrap="notBeside" w:vAnchor="text" w:hAnchor="text" w:xAlign="center" w:y="1"/>
              <w:jc w:val="center"/>
            </w:pPr>
            <w:r>
              <w:t>–10</w:t>
            </w:r>
          </w:p>
        </w:tc>
      </w:tr>
      <w:tr w:rsidR="002B489A">
        <w:trPr>
          <w:cantSplit/>
        </w:trPr>
        <w:tc>
          <w:tcPr>
            <w:tcW w:w="5727" w:type="dxa"/>
          </w:tcPr>
          <w:p w:rsidR="002B489A" w:rsidRDefault="004F19C4">
            <w:pPr>
              <w:pStyle w:val="Tabletext"/>
              <w:framePr w:hSpace="181" w:wrap="notBeside" w:vAnchor="text" w:hAnchor="text" w:xAlign="center" w:y="1"/>
              <w:jc w:val="left"/>
            </w:pPr>
            <w:r>
              <w:t>p.i.r.e. (maximum) (dBW)</w:t>
            </w:r>
          </w:p>
        </w:tc>
        <w:tc>
          <w:tcPr>
            <w:tcW w:w="1985" w:type="dxa"/>
          </w:tcPr>
          <w:p w:rsidR="002B489A" w:rsidRDefault="004F19C4">
            <w:pPr>
              <w:pStyle w:val="Tabletext"/>
              <w:framePr w:hSpace="181" w:wrap="notBeside" w:vAnchor="text" w:hAnchor="text" w:xAlign="center" w:y="1"/>
              <w:jc w:val="center"/>
            </w:pPr>
            <w:r>
              <w:t>9</w:t>
            </w:r>
          </w:p>
        </w:tc>
        <w:tc>
          <w:tcPr>
            <w:tcW w:w="1985" w:type="dxa"/>
          </w:tcPr>
          <w:p w:rsidR="002B489A" w:rsidRDefault="004F19C4">
            <w:pPr>
              <w:pStyle w:val="Tabletext"/>
              <w:framePr w:hSpace="181" w:wrap="notBeside" w:vAnchor="text" w:hAnchor="text" w:xAlign="center" w:y="1"/>
              <w:jc w:val="center"/>
            </w:pPr>
            <w:r>
              <w:t>31/18</w:t>
            </w:r>
          </w:p>
        </w:tc>
      </w:tr>
    </w:tbl>
    <w:p w:rsidR="002B489A" w:rsidRDefault="002B489A">
      <w:pPr>
        <w:pStyle w:val="Tablefin"/>
        <w:spacing w:before="0"/>
      </w:pPr>
    </w:p>
    <w:p w:rsidR="002B489A" w:rsidRDefault="004F19C4">
      <w:pPr>
        <w:pStyle w:val="Heading2"/>
        <w:spacing w:before="360"/>
      </w:pPr>
      <w:r>
        <w:t>2.5</w:t>
      </w:r>
      <w:r>
        <w:tab/>
        <w:t>Caractéristiques de fonctionnement</w:t>
      </w:r>
    </w:p>
    <w:p w:rsidR="002B489A" w:rsidRDefault="004F19C4">
      <w:r>
        <w:t>La Recommandation UIT-R F.1520 donne la disposition des canaux pour les systèmes utilisant des espacements de canaux de 3,5 MHz, 7 MHz, 14 MHz, 28 MHz et 56 MHz à développer dans la bande 31,8</w:t>
      </w:r>
      <w:r>
        <w:noBreakHyphen/>
        <w:t>33,4 GHz.</w:t>
      </w:r>
    </w:p>
    <w:p w:rsidR="002B489A" w:rsidRDefault="004F19C4">
      <w:pPr>
        <w:pStyle w:val="Heading3"/>
      </w:pPr>
      <w:r>
        <w:t>2.5.1</w:t>
      </w:r>
      <w:r>
        <w:tab/>
        <w:t>Caractéristiques de fonctionnement point à point</w:t>
      </w:r>
    </w:p>
    <w:p w:rsidR="002B489A" w:rsidRDefault="004F19C4">
      <w:r>
        <w:t>On propose d'utiliser dans un premier temps une densité d'un terminal par km</w:t>
      </w:r>
      <w:r>
        <w:rPr>
          <w:vertAlign w:val="superscript"/>
        </w:rPr>
        <w:t>2</w:t>
      </w:r>
      <w:r>
        <w:rPr>
          <w:rStyle w:val="FootnoteReference"/>
          <w:vertAlign w:val="superscript"/>
        </w:rPr>
        <w:footnoteReference w:customMarkFollows="1" w:id="6"/>
        <w:t>*</w:t>
      </w:r>
      <w:r>
        <w:t>.</w:t>
      </w:r>
    </w:p>
    <w:p w:rsidR="002B489A" w:rsidRDefault="004F19C4">
      <w:pPr>
        <w:pStyle w:val="Heading3"/>
      </w:pPr>
      <w:r>
        <w:t>2.5.2</w:t>
      </w:r>
      <w:r>
        <w:tab/>
        <w:t>Caractéristiques de fonctionnement P</w:t>
      </w:r>
      <w:r>
        <w:noBreakHyphen/>
        <w:t>MP</w:t>
      </w:r>
    </w:p>
    <w:p w:rsidR="002B489A" w:rsidRDefault="004F19C4">
      <w:r>
        <w:t>On propose d'utiliser dans un premier temps une densité de terminaux de 0,3 terminal par km</w:t>
      </w:r>
      <w:r>
        <w:rPr>
          <w:vertAlign w:val="superscript"/>
        </w:rPr>
        <w:t>2*</w:t>
      </w:r>
      <w:r>
        <w:t>.</w:t>
      </w:r>
    </w:p>
    <w:p w:rsidR="002B489A" w:rsidRDefault="004F19C4">
      <w:pPr>
        <w:pStyle w:val="enumlev1"/>
      </w:pPr>
      <w:r>
        <w:rPr>
          <w:b/>
        </w:rPr>
        <w:t>–</w:t>
      </w:r>
      <w:r>
        <w:rPr>
          <w:b/>
        </w:rPr>
        <w:tab/>
      </w:r>
      <w:r>
        <w:rPr>
          <w:bCs/>
          <w:i/>
          <w:iCs/>
        </w:rPr>
        <w:t>Réutilisation des fréquences</w:t>
      </w:r>
      <w:r>
        <w:t>: une réutilisation des fréquences de 2 est habituellement utilisée et est considérée comme un scénario typique. Un facteur de réutilisation des fréquences de 1 est à considérer comme une situation de cas le plus défavorable, ce qui arrive rarement.</w:t>
      </w:r>
    </w:p>
    <w:p w:rsidR="002B489A" w:rsidRDefault="004F19C4">
      <w:pPr>
        <w:pStyle w:val="enumlev1"/>
      </w:pPr>
      <w:r>
        <w:rPr>
          <w:b/>
        </w:rPr>
        <w:t>–</w:t>
      </w:r>
      <w:r>
        <w:rPr>
          <w:b/>
        </w:rPr>
        <w:tab/>
      </w:r>
      <w:r>
        <w:rPr>
          <w:i/>
          <w:iCs/>
        </w:rPr>
        <w:t>Antenne sectorielle</w:t>
      </w:r>
      <w:r>
        <w:t>: la largeur type d'antenne sectorielle est 90°. Dans certains cas, des antennes sectorielles de 45° sont prévues lorsque de grandes quantités de capacités de trafic doivent être transportées à partir du site d'une station.</w:t>
      </w:r>
    </w:p>
    <w:p w:rsidR="002B489A" w:rsidRDefault="002B489A">
      <w:pPr>
        <w:spacing w:before="0"/>
        <w:rPr>
          <w:sz w:val="12"/>
        </w:rPr>
      </w:pPr>
    </w:p>
    <w:p w:rsidR="002B489A" w:rsidRDefault="004F19C4">
      <w:r>
        <w:rPr>
          <w:b/>
        </w:rPr>
        <w:br w:type="page"/>
      </w:r>
      <w:r>
        <w:t>Sur la base de ces considérations, un concentrateur de cellule de diffusion peut typiquement desservir deux abonnés sur le même canal au sein d'une cellule donnée.</w:t>
      </w:r>
    </w:p>
    <w:p w:rsidR="002B489A" w:rsidRDefault="004F19C4">
      <w:pPr>
        <w:pStyle w:val="Heading2"/>
      </w:pPr>
      <w:r>
        <w:t>2.6</w:t>
      </w:r>
      <w:r>
        <w:tab/>
        <w:t>Puissance émise dans la bande</w:t>
      </w:r>
    </w:p>
    <w:p w:rsidR="002B489A" w:rsidRDefault="004F19C4">
      <w:r>
        <w:t>Voir le Tableau 87 et le Tableau 88.</w:t>
      </w:r>
    </w:p>
    <w:p w:rsidR="002B489A" w:rsidRDefault="004F19C4">
      <w:pPr>
        <w:pStyle w:val="Heading1"/>
      </w:pPr>
      <w:r>
        <w:t>3</w:t>
      </w:r>
      <w:r>
        <w:tab/>
        <w:t>Seuil de compatibilité</w:t>
      </w:r>
    </w:p>
    <w:p w:rsidR="002B489A" w:rsidRDefault="004F19C4">
      <w:r>
        <w:t xml:space="preserve">Le critère de protection du détecteur passif est de </w:t>
      </w:r>
      <w:r>
        <w:sym w:font="Symbol" w:char="F02D"/>
      </w:r>
      <w:r>
        <w:t>163 dBW dans une largeur de bande de 100 MHz (à ne pas dépasser pendant plus de 0,01% du temps comme stipulé par la Recomman</w:t>
      </w:r>
      <w:r>
        <w:softHyphen/>
        <w:t>dation UIT-R SA.1029). Le § 2.4 donne un ensemble de caractéristiques des systèmes de service fixe à déployer dans cette bande. Sur la base de ces informations, il est possible de calculer la puis</w:t>
      </w:r>
      <w:r>
        <w:softHyphen/>
        <w:t>sance admise en provenance de chaque système du service fixe qui tombe dans la bande SETS.</w:t>
      </w:r>
    </w:p>
    <w:p w:rsidR="002B489A" w:rsidRDefault="004F19C4">
      <w:r>
        <w:t>Le brouillage peut être reçu simultanément de plusieurs sources provenant de plusieurs services. Les valeurs dont la liste figure dans la Recommandation UIT-R SA.1029 (pour une bande spécifique) sont le niveau de brouillage maximum admissible pour le détecteur passif.</w:t>
      </w:r>
    </w:p>
    <w:p w:rsidR="002B489A" w:rsidRDefault="004F19C4">
      <w:r>
        <w:t>La présente Annexe fait l'analyse du brouillage généré par un seul service actif.</w:t>
      </w:r>
    </w:p>
    <w:p w:rsidR="002B489A" w:rsidRDefault="004F19C4">
      <w:r>
        <w:t>Des travaux complémentaires sont nécessaires pour traiter de l'impact de ces services actifs multiples fonctionnant au-dessus et au-dessous de la bande passive.</w:t>
      </w:r>
    </w:p>
    <w:p w:rsidR="002B489A" w:rsidRDefault="004F19C4">
      <w:pPr>
        <w:pStyle w:val="Heading1"/>
      </w:pPr>
      <w:r>
        <w:t>4</w:t>
      </w:r>
      <w:r>
        <w:tab/>
        <w:t>Evaluation du brouillage</w:t>
      </w:r>
    </w:p>
    <w:p w:rsidR="002B489A" w:rsidRDefault="004F19C4">
      <w:pPr>
        <w:pStyle w:val="Heading2"/>
      </w:pPr>
      <w:r>
        <w:t>4.1</w:t>
      </w:r>
      <w:r>
        <w:tab/>
        <w:t>Méthode d'évaluation du niveau de brouillage</w:t>
      </w:r>
    </w:p>
    <w:p w:rsidR="002B489A" w:rsidRDefault="004F19C4">
      <w:r>
        <w:t>La première étape de cette approche est de calculer la puissance acceptable résultant du déploiement de systèmes du service fixe qui peuvent tomber dans un pixel du SETS:</w:t>
      </w:r>
    </w:p>
    <w:p w:rsidR="002B489A" w:rsidRDefault="004F19C4">
      <w:pPr>
        <w:jc w:val="center"/>
      </w:pPr>
      <w:r>
        <w:t xml:space="preserve">La puissance agrégée à la Terre dans 100 MHz </w:t>
      </w:r>
      <w:r>
        <w:rPr>
          <w:rFonts w:ascii="Symbol" w:hAnsi="Symbol"/>
        </w:rPr>
        <w:t></w:t>
      </w:r>
      <w:r>
        <w:t xml:space="preserve"> critères de protection SETS (dB(W/100 MHz)) – gain SETS </w:t>
      </w:r>
      <w:r>
        <w:rPr>
          <w:rFonts w:ascii="Symbol" w:hAnsi="Symbol"/>
        </w:rPr>
        <w:t></w:t>
      </w:r>
      <w:r>
        <w:t xml:space="preserve"> affaiblissement en espace libre.</w:t>
      </w:r>
    </w:p>
    <w:p w:rsidR="002B489A" w:rsidRDefault="004F19C4">
      <w:r>
        <w:t>Il est alors possible de calculer le niveau des rayonnements non désirés par système du service fixe tombant dans la largeur de bande de référence SETS de 100 MHz:</w:t>
      </w:r>
    </w:p>
    <w:p w:rsidR="002B489A" w:rsidRDefault="004F19C4">
      <w:pPr>
        <w:pStyle w:val="Equation"/>
        <w:jc w:val="center"/>
      </w:pPr>
      <w:r>
        <w:t>Puissance par émetteur (dB(W/100 MHz))</w:t>
      </w:r>
      <w:r>
        <w:rPr>
          <w:b/>
        </w:rPr>
        <w:t xml:space="preserve"> </w:t>
      </w:r>
      <w:r>
        <w:rPr>
          <w:rFonts w:ascii="Symbol" w:hAnsi="Symbol"/>
          <w:b/>
        </w:rPr>
        <w:t></w:t>
      </w:r>
      <w:r>
        <w:rPr>
          <w:b/>
        </w:rPr>
        <w:t xml:space="preserve"> </w:t>
      </w:r>
      <w:r>
        <w:t>puissance agrégée à la Terre dans 100 MHz – nombre d'émetteurs (en pixels SETS) – gain service fixe dans la direction SETS</w:t>
      </w:r>
    </w:p>
    <w:p w:rsidR="002B489A" w:rsidRDefault="004F19C4">
      <w:pPr>
        <w:pStyle w:val="Heading2"/>
      </w:pPr>
      <w:r>
        <w:t>4.2</w:t>
      </w:r>
      <w:r>
        <w:tab/>
        <w:t>Calcul</w:t>
      </w:r>
    </w:p>
    <w:p w:rsidR="002B489A" w:rsidRDefault="004F19C4">
      <w:r>
        <w:t>Pour les systèmes point à point (voir le Tableau 89), la Recommandation UIT-R F.1245 a été utilisée pour calculer le gain d'antenne dans la direction du zénith. La densité de terminaux fonctionnant à la même fréquence est supposée être de un terminal par km</w:t>
      </w:r>
      <w:r>
        <w:rPr>
          <w:vertAlign w:val="superscript"/>
        </w:rPr>
        <w:t>2</w:t>
      </w:r>
      <w:r>
        <w:t>.</w:t>
      </w:r>
    </w:p>
    <w:p w:rsidR="002B489A" w:rsidRDefault="004F19C4">
      <w:pPr>
        <w:spacing w:before="240"/>
      </w:pPr>
      <w:r>
        <w:t>Pour les stations terminales P</w:t>
      </w:r>
      <w:r>
        <w:noBreakHyphen/>
        <w:t>MP (voir le Tableau 90), la Recommandation UIT</w:t>
      </w:r>
      <w:r>
        <w:noBreakHyphen/>
        <w:t>R F.1245 a été utilisée pour calculer le gain d'antenne dans la direction du zénith. Pour les stations centrales P</w:t>
      </w:r>
      <w:r>
        <w:noBreakHyphen/>
        <w:t>MP, la Recommandation UIT-R F.1336 a été utilisée pour calculer le gain d'antenne dans la direction du zénith. La densité de sites de stations centrales fonctionnant à la même fréquence est supposé être de 0,3 terminal par km</w:t>
      </w:r>
      <w:r>
        <w:rPr>
          <w:vertAlign w:val="superscript"/>
        </w:rPr>
        <w:t>2</w:t>
      </w:r>
      <w:r>
        <w:t>. Sur le même site, deux stations centrales peuvent utiliser la même fréquence en supposant une antenne sectorielle de 90°. Donc au sein de la même cellule, deux stations terminales peuvent utiliser la même fréquence.</w:t>
      </w:r>
    </w:p>
    <w:p w:rsidR="002B489A" w:rsidRDefault="004F19C4">
      <w:pPr>
        <w:pStyle w:val="TableNo"/>
      </w:pPr>
      <w:r>
        <w:br w:type="page"/>
        <w:t>TABLEAU  89</w:t>
      </w:r>
    </w:p>
    <w:p w:rsidR="002B489A" w:rsidRDefault="004F19C4">
      <w:pPr>
        <w:pStyle w:val="Tabletitle"/>
      </w:pPr>
      <w:r>
        <w:t xml:space="preserve">Niveau des rayonnements non désirés acceptables par système </w:t>
      </w:r>
      <w:r>
        <w:br/>
        <w:t>point à point du service fixe tombant dans la bande SETS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1418"/>
        <w:gridCol w:w="1418"/>
      </w:tblGrid>
      <w:tr w:rsidR="002B489A">
        <w:trPr>
          <w:trHeight w:val="255"/>
        </w:trPr>
        <w:tc>
          <w:tcPr>
            <w:tcW w:w="4536" w:type="dxa"/>
            <w:vAlign w:val="bottom"/>
          </w:tcPr>
          <w:p w:rsidR="002B489A" w:rsidRDefault="004F19C4">
            <w:pPr>
              <w:pStyle w:val="Tabletext"/>
              <w:framePr w:hSpace="181" w:wrap="notBeside" w:vAnchor="text" w:hAnchor="text" w:xAlign="center" w:y="1"/>
              <w:spacing w:before="30" w:after="30"/>
              <w:ind w:left="57"/>
              <w:rPr>
                <w:rFonts w:eastAsia="Arial Unicode MS"/>
              </w:rPr>
            </w:pPr>
            <w:r>
              <w:t>Fréquence (GHz)</w:t>
            </w:r>
          </w:p>
        </w:tc>
        <w:tc>
          <w:tcPr>
            <w:tcW w:w="2836" w:type="dxa"/>
            <w:gridSpan w:val="2"/>
            <w:vAlign w:val="bottom"/>
          </w:tcPr>
          <w:p w:rsidR="002B489A" w:rsidRDefault="004F19C4">
            <w:pPr>
              <w:pStyle w:val="Tabletext"/>
              <w:keepNext/>
              <w:framePr w:hSpace="181" w:wrap="notBeside" w:vAnchor="text" w:hAnchor="text" w:xAlign="center" w:y="1"/>
              <w:spacing w:before="30" w:after="30"/>
              <w:jc w:val="center"/>
              <w:rPr>
                <w:rFonts w:eastAsia="Arial Unicode MS"/>
              </w:rPr>
            </w:pPr>
            <w:r>
              <w:t>31,8</w:t>
            </w:r>
          </w:p>
        </w:tc>
      </w:tr>
      <w:tr w:rsidR="002B489A">
        <w:trPr>
          <w:trHeight w:val="255"/>
        </w:trPr>
        <w:tc>
          <w:tcPr>
            <w:tcW w:w="4536" w:type="dxa"/>
            <w:vAlign w:val="bottom"/>
          </w:tcPr>
          <w:p w:rsidR="002B489A" w:rsidRDefault="004F19C4">
            <w:pPr>
              <w:pStyle w:val="Tabletext"/>
              <w:framePr w:hSpace="181" w:wrap="notBeside" w:vAnchor="text" w:hAnchor="text" w:xAlign="center" w:y="1"/>
              <w:spacing w:before="30" w:after="30"/>
              <w:ind w:left="57"/>
              <w:rPr>
                <w:rFonts w:eastAsia="Arial Unicode MS"/>
              </w:rPr>
            </w:pPr>
            <w:r>
              <w:t>Critères de brouillage (dB(W/100 MHz))</w:t>
            </w:r>
          </w:p>
        </w:tc>
        <w:tc>
          <w:tcPr>
            <w:tcW w:w="2836" w:type="dxa"/>
            <w:gridSpan w:val="2"/>
            <w:vAlign w:val="bottom"/>
          </w:tcPr>
          <w:p w:rsidR="002B489A" w:rsidRDefault="004F19C4">
            <w:pPr>
              <w:pStyle w:val="Tabletext"/>
              <w:keepNext/>
              <w:framePr w:hSpace="181" w:wrap="notBeside" w:vAnchor="text" w:hAnchor="text" w:xAlign="center" w:y="1"/>
              <w:spacing w:before="30" w:after="30"/>
              <w:jc w:val="center"/>
              <w:rPr>
                <w:rFonts w:eastAsia="Arial Unicode MS"/>
              </w:rPr>
            </w:pPr>
            <w:r>
              <w:t>–163</w:t>
            </w:r>
          </w:p>
        </w:tc>
      </w:tr>
      <w:tr w:rsidR="002B489A">
        <w:trPr>
          <w:trHeight w:val="255"/>
        </w:trPr>
        <w:tc>
          <w:tcPr>
            <w:tcW w:w="4536" w:type="dxa"/>
            <w:vAlign w:val="bottom"/>
          </w:tcPr>
          <w:p w:rsidR="002B489A" w:rsidRDefault="004F19C4">
            <w:pPr>
              <w:pStyle w:val="Tabletext"/>
              <w:framePr w:hSpace="181" w:wrap="notBeside" w:vAnchor="text" w:hAnchor="text" w:xAlign="center" w:y="1"/>
              <w:spacing w:before="30" w:after="30"/>
              <w:ind w:left="57"/>
              <w:rPr>
                <w:rFonts w:eastAsia="Arial Unicode MS"/>
              </w:rPr>
            </w:pPr>
            <w:r>
              <w:t>Altitude (km)</w:t>
            </w:r>
          </w:p>
        </w:tc>
        <w:tc>
          <w:tcPr>
            <w:tcW w:w="2836" w:type="dxa"/>
            <w:gridSpan w:val="2"/>
            <w:vAlign w:val="bottom"/>
          </w:tcPr>
          <w:p w:rsidR="002B489A" w:rsidRDefault="004F19C4">
            <w:pPr>
              <w:pStyle w:val="Tabletext"/>
              <w:keepNext/>
              <w:framePr w:hSpace="181" w:wrap="notBeside" w:vAnchor="text" w:hAnchor="text" w:xAlign="center" w:y="1"/>
              <w:spacing w:before="30" w:after="30"/>
              <w:jc w:val="center"/>
              <w:rPr>
                <w:rFonts w:eastAsia="Arial Unicode MS"/>
              </w:rPr>
            </w:pPr>
            <w:r>
              <w:t>850</w:t>
            </w:r>
          </w:p>
        </w:tc>
      </w:tr>
      <w:tr w:rsidR="002B489A">
        <w:trPr>
          <w:trHeight w:val="255"/>
        </w:trPr>
        <w:tc>
          <w:tcPr>
            <w:tcW w:w="4536" w:type="dxa"/>
            <w:vAlign w:val="bottom"/>
          </w:tcPr>
          <w:p w:rsidR="002B489A" w:rsidRDefault="004F19C4">
            <w:pPr>
              <w:pStyle w:val="Tabletext"/>
              <w:framePr w:hSpace="181" w:wrap="notBeside" w:vAnchor="text" w:hAnchor="text" w:xAlign="center" w:y="1"/>
              <w:spacing w:before="30" w:after="30"/>
              <w:ind w:left="57"/>
              <w:rPr>
                <w:rFonts w:eastAsia="Arial Unicode MS"/>
              </w:rPr>
            </w:pPr>
            <w:r>
              <w:t>Largeur de bande de référence (MHz)</w:t>
            </w:r>
          </w:p>
        </w:tc>
        <w:tc>
          <w:tcPr>
            <w:tcW w:w="2836" w:type="dxa"/>
            <w:gridSpan w:val="2"/>
            <w:vAlign w:val="bottom"/>
          </w:tcPr>
          <w:p w:rsidR="002B489A" w:rsidRDefault="004F19C4">
            <w:pPr>
              <w:pStyle w:val="Tabletext"/>
              <w:keepNext/>
              <w:framePr w:hSpace="181" w:wrap="notBeside" w:vAnchor="text" w:hAnchor="text" w:xAlign="center" w:y="1"/>
              <w:spacing w:before="30" w:after="30"/>
              <w:jc w:val="center"/>
              <w:rPr>
                <w:rFonts w:eastAsia="Arial Unicode MS"/>
              </w:rPr>
            </w:pPr>
            <w:r>
              <w:t>100</w:t>
            </w:r>
          </w:p>
        </w:tc>
      </w:tr>
      <w:tr w:rsidR="002B489A">
        <w:trPr>
          <w:trHeight w:val="255"/>
        </w:trPr>
        <w:tc>
          <w:tcPr>
            <w:tcW w:w="4536" w:type="dxa"/>
            <w:vAlign w:val="bottom"/>
          </w:tcPr>
          <w:p w:rsidR="002B489A" w:rsidRDefault="004F19C4">
            <w:pPr>
              <w:pStyle w:val="Tabletext"/>
              <w:framePr w:hSpace="181" w:wrap="notBeside" w:vAnchor="text" w:hAnchor="text" w:xAlign="center" w:y="1"/>
              <w:spacing w:before="30" w:after="30"/>
              <w:ind w:left="57"/>
              <w:rPr>
                <w:rFonts w:eastAsia="Arial Unicode MS"/>
              </w:rPr>
            </w:pPr>
            <w:r>
              <w:t>Gain SETS</w:t>
            </w:r>
          </w:p>
        </w:tc>
        <w:tc>
          <w:tcPr>
            <w:tcW w:w="2836" w:type="dxa"/>
            <w:gridSpan w:val="2"/>
            <w:vAlign w:val="bottom"/>
          </w:tcPr>
          <w:p w:rsidR="002B489A" w:rsidRDefault="004F19C4">
            <w:pPr>
              <w:pStyle w:val="Tabletext"/>
              <w:keepNext/>
              <w:framePr w:hSpace="181" w:wrap="notBeside" w:vAnchor="text" w:hAnchor="text" w:xAlign="center" w:y="1"/>
              <w:spacing w:before="30" w:after="30"/>
              <w:jc w:val="center"/>
              <w:rPr>
                <w:rFonts w:eastAsia="Arial Unicode MS"/>
              </w:rPr>
            </w:pPr>
            <w:r>
              <w:t>45</w:t>
            </w:r>
          </w:p>
        </w:tc>
      </w:tr>
      <w:tr w:rsidR="002B489A">
        <w:trPr>
          <w:trHeight w:val="255"/>
        </w:trPr>
        <w:tc>
          <w:tcPr>
            <w:tcW w:w="4536" w:type="dxa"/>
            <w:vAlign w:val="bottom"/>
          </w:tcPr>
          <w:p w:rsidR="002B489A" w:rsidRDefault="004F19C4">
            <w:pPr>
              <w:pStyle w:val="Tabletext"/>
              <w:framePr w:hSpace="181" w:wrap="notBeside" w:vAnchor="text" w:hAnchor="text" w:xAlign="center" w:y="1"/>
              <w:spacing w:before="30" w:after="30"/>
              <w:ind w:left="57"/>
              <w:rPr>
                <w:rFonts w:eastAsia="Arial Unicode MS"/>
              </w:rPr>
            </w:pPr>
            <w:r>
              <w:t>Affaiblissement en espace libre</w:t>
            </w:r>
          </w:p>
        </w:tc>
        <w:tc>
          <w:tcPr>
            <w:tcW w:w="2836" w:type="dxa"/>
            <w:gridSpan w:val="2"/>
            <w:vAlign w:val="bottom"/>
          </w:tcPr>
          <w:p w:rsidR="002B489A" w:rsidRDefault="004F19C4">
            <w:pPr>
              <w:pStyle w:val="Tabletext"/>
              <w:keepNext/>
              <w:framePr w:hSpace="181" w:wrap="notBeside" w:vAnchor="text" w:hAnchor="text" w:xAlign="center" w:y="1"/>
              <w:spacing w:before="30" w:after="30"/>
              <w:jc w:val="center"/>
              <w:rPr>
                <w:rFonts w:eastAsia="Arial Unicode MS"/>
              </w:rPr>
            </w:pPr>
            <w:r>
              <w:t>181</w:t>
            </w:r>
          </w:p>
        </w:tc>
      </w:tr>
      <w:tr w:rsidR="002B489A">
        <w:trPr>
          <w:trHeight w:val="255"/>
        </w:trPr>
        <w:tc>
          <w:tcPr>
            <w:tcW w:w="4536" w:type="dxa"/>
            <w:vAlign w:val="bottom"/>
          </w:tcPr>
          <w:p w:rsidR="002B489A" w:rsidRDefault="004F19C4">
            <w:pPr>
              <w:pStyle w:val="Tabletext"/>
              <w:framePr w:hSpace="181" w:wrap="notBeside" w:vAnchor="text" w:hAnchor="text" w:xAlign="center" w:y="1"/>
              <w:spacing w:before="30" w:after="30"/>
              <w:ind w:left="57"/>
              <w:rPr>
                <w:rFonts w:eastAsia="Arial Unicode MS"/>
              </w:rPr>
            </w:pPr>
            <w:r>
              <w:t>Agrégé à la Terre (dB(W/100 MHz))</w:t>
            </w:r>
          </w:p>
        </w:tc>
        <w:tc>
          <w:tcPr>
            <w:tcW w:w="2836" w:type="dxa"/>
            <w:gridSpan w:val="2"/>
            <w:vAlign w:val="bottom"/>
          </w:tcPr>
          <w:p w:rsidR="002B489A" w:rsidRDefault="004F19C4">
            <w:pPr>
              <w:pStyle w:val="Tabletext"/>
              <w:keepNext/>
              <w:framePr w:hSpace="181" w:wrap="notBeside" w:vAnchor="text" w:hAnchor="text" w:xAlign="center" w:y="1"/>
              <w:spacing w:before="30" w:after="30"/>
              <w:jc w:val="center"/>
              <w:rPr>
                <w:rFonts w:eastAsia="Arial Unicode MS"/>
              </w:rPr>
            </w:pPr>
            <w:r>
              <w:t>–27</w:t>
            </w:r>
          </w:p>
        </w:tc>
      </w:tr>
      <w:tr w:rsidR="002B489A">
        <w:trPr>
          <w:trHeight w:val="255"/>
        </w:trPr>
        <w:tc>
          <w:tcPr>
            <w:tcW w:w="4536" w:type="dxa"/>
            <w:vAlign w:val="bottom"/>
          </w:tcPr>
          <w:p w:rsidR="002B489A" w:rsidRDefault="004F19C4">
            <w:pPr>
              <w:pStyle w:val="Tabletext"/>
              <w:framePr w:hSpace="181" w:wrap="notBeside" w:vAnchor="text" w:hAnchor="text" w:xAlign="center" w:y="1"/>
              <w:spacing w:before="30" w:after="30"/>
              <w:ind w:left="57"/>
              <w:rPr>
                <w:rFonts w:eastAsia="Arial Unicode MS"/>
              </w:rPr>
            </w:pPr>
            <w:r>
              <w:t>Agrégé à la Terre (dB(W/MHz))</w:t>
            </w:r>
          </w:p>
        </w:tc>
        <w:tc>
          <w:tcPr>
            <w:tcW w:w="2836" w:type="dxa"/>
            <w:gridSpan w:val="2"/>
            <w:vAlign w:val="bottom"/>
          </w:tcPr>
          <w:p w:rsidR="002B489A" w:rsidRDefault="004F19C4">
            <w:pPr>
              <w:pStyle w:val="Tabletext"/>
              <w:keepNext/>
              <w:framePr w:hSpace="181" w:wrap="notBeside" w:vAnchor="text" w:hAnchor="text" w:xAlign="center" w:y="1"/>
              <w:spacing w:before="30" w:after="30"/>
              <w:jc w:val="center"/>
              <w:rPr>
                <w:rFonts w:eastAsia="Arial Unicode MS"/>
              </w:rPr>
            </w:pPr>
            <w:r>
              <w:t>–47,0</w:t>
            </w:r>
          </w:p>
        </w:tc>
      </w:tr>
      <w:tr w:rsidR="002B489A">
        <w:trPr>
          <w:trHeight w:val="255"/>
        </w:trPr>
        <w:tc>
          <w:tcPr>
            <w:tcW w:w="4536" w:type="dxa"/>
            <w:vAlign w:val="bottom"/>
          </w:tcPr>
          <w:p w:rsidR="002B489A" w:rsidRDefault="004F19C4">
            <w:pPr>
              <w:pStyle w:val="Tabletext"/>
              <w:framePr w:hSpace="181" w:wrap="notBeside" w:vAnchor="text" w:hAnchor="text" w:xAlign="center" w:y="1"/>
              <w:spacing w:before="30" w:after="30"/>
              <w:ind w:left="57"/>
              <w:rPr>
                <w:rFonts w:eastAsia="Arial Unicode MS"/>
                <w:i/>
                <w:iCs/>
              </w:rPr>
            </w:pPr>
            <w:r>
              <w:rPr>
                <w:rFonts w:eastAsia="Arial Unicode MS"/>
                <w:i/>
                <w:iCs/>
              </w:rPr>
              <w:t>Type de station</w:t>
            </w:r>
          </w:p>
        </w:tc>
        <w:tc>
          <w:tcPr>
            <w:tcW w:w="1418" w:type="dxa"/>
            <w:vAlign w:val="bottom"/>
          </w:tcPr>
          <w:p w:rsidR="002B489A" w:rsidRDefault="004F19C4">
            <w:pPr>
              <w:pStyle w:val="Tabletext"/>
              <w:keepNext/>
              <w:framePr w:hSpace="181" w:wrap="notBeside" w:vAnchor="text" w:hAnchor="text" w:xAlign="center" w:y="1"/>
              <w:spacing w:before="30" w:after="30"/>
              <w:jc w:val="center"/>
              <w:rPr>
                <w:rFonts w:eastAsia="Arial Unicode MS"/>
              </w:rPr>
            </w:pPr>
            <w:r>
              <w:rPr>
                <w:rFonts w:eastAsia="Arial Unicode MS"/>
              </w:rPr>
              <w:t>Centrale</w:t>
            </w:r>
          </w:p>
        </w:tc>
        <w:tc>
          <w:tcPr>
            <w:tcW w:w="1418" w:type="dxa"/>
            <w:vAlign w:val="bottom"/>
          </w:tcPr>
          <w:p w:rsidR="002B489A" w:rsidRDefault="004F19C4">
            <w:pPr>
              <w:pStyle w:val="Tabletext"/>
              <w:keepNext/>
              <w:framePr w:hSpace="181" w:wrap="notBeside" w:vAnchor="text" w:hAnchor="text" w:xAlign="center" w:y="1"/>
              <w:spacing w:before="30" w:after="30"/>
              <w:jc w:val="center"/>
              <w:rPr>
                <w:rFonts w:eastAsia="Arial Unicode MS"/>
              </w:rPr>
            </w:pPr>
            <w:r>
              <w:rPr>
                <w:rFonts w:eastAsia="Arial Unicode MS"/>
              </w:rPr>
              <w:t>Terminale</w:t>
            </w:r>
          </w:p>
        </w:tc>
      </w:tr>
      <w:tr w:rsidR="002B489A">
        <w:trPr>
          <w:trHeight w:val="255"/>
        </w:trPr>
        <w:tc>
          <w:tcPr>
            <w:tcW w:w="4536" w:type="dxa"/>
            <w:vAlign w:val="bottom"/>
          </w:tcPr>
          <w:p w:rsidR="002B489A" w:rsidRDefault="004F19C4">
            <w:pPr>
              <w:pStyle w:val="Tabletext"/>
              <w:framePr w:hSpace="181" w:wrap="notBeside" w:vAnchor="text" w:hAnchor="text" w:xAlign="center" w:y="1"/>
              <w:spacing w:before="30" w:after="30"/>
              <w:ind w:left="284" w:right="284"/>
              <w:rPr>
                <w:rFonts w:eastAsia="Arial Unicode MS"/>
              </w:rPr>
            </w:pPr>
            <w:r>
              <w:t>Espacement entre canaux (MHz)</w:t>
            </w:r>
          </w:p>
        </w:tc>
        <w:tc>
          <w:tcPr>
            <w:tcW w:w="1418" w:type="dxa"/>
            <w:vAlign w:val="bottom"/>
          </w:tcPr>
          <w:p w:rsidR="002B489A" w:rsidRDefault="004F19C4">
            <w:pPr>
              <w:pStyle w:val="Tabletext"/>
              <w:keepNext/>
              <w:framePr w:hSpace="181" w:wrap="notBeside" w:vAnchor="text" w:hAnchor="text" w:xAlign="center" w:y="1"/>
              <w:spacing w:before="30" w:after="30"/>
              <w:jc w:val="center"/>
              <w:rPr>
                <w:rFonts w:eastAsia="Arial Unicode MS"/>
              </w:rPr>
            </w:pPr>
            <w:r>
              <w:t>56,0</w:t>
            </w:r>
          </w:p>
        </w:tc>
        <w:tc>
          <w:tcPr>
            <w:tcW w:w="1418" w:type="dxa"/>
            <w:vAlign w:val="bottom"/>
          </w:tcPr>
          <w:p w:rsidR="002B489A" w:rsidRDefault="004F19C4">
            <w:pPr>
              <w:pStyle w:val="Tabletext"/>
              <w:keepNext/>
              <w:framePr w:hSpace="181" w:wrap="notBeside" w:vAnchor="text" w:hAnchor="text" w:xAlign="center" w:y="1"/>
              <w:spacing w:before="30" w:after="30"/>
              <w:jc w:val="center"/>
              <w:rPr>
                <w:rFonts w:eastAsia="Arial Unicode MS"/>
              </w:rPr>
            </w:pPr>
            <w:r>
              <w:t>3,5</w:t>
            </w:r>
          </w:p>
        </w:tc>
      </w:tr>
      <w:tr w:rsidR="002B489A">
        <w:trPr>
          <w:trHeight w:val="255"/>
        </w:trPr>
        <w:tc>
          <w:tcPr>
            <w:tcW w:w="4536" w:type="dxa"/>
            <w:vAlign w:val="bottom"/>
          </w:tcPr>
          <w:p w:rsidR="002B489A" w:rsidRDefault="004F19C4">
            <w:pPr>
              <w:pStyle w:val="Tabletext"/>
              <w:framePr w:hSpace="181" w:wrap="notBeside" w:vAnchor="text" w:hAnchor="text" w:xAlign="center" w:y="1"/>
              <w:spacing w:before="30" w:after="30"/>
              <w:ind w:left="284" w:right="284"/>
              <w:rPr>
                <w:rFonts w:eastAsia="Arial Unicode MS"/>
              </w:rPr>
            </w:pPr>
            <w:r>
              <w:t>Gain d'antenne service fixe</w:t>
            </w:r>
          </w:p>
        </w:tc>
        <w:tc>
          <w:tcPr>
            <w:tcW w:w="1418" w:type="dxa"/>
            <w:vAlign w:val="bottom"/>
          </w:tcPr>
          <w:p w:rsidR="002B489A" w:rsidRDefault="004F19C4">
            <w:pPr>
              <w:pStyle w:val="Tabletext"/>
              <w:keepNext/>
              <w:framePr w:hSpace="181" w:wrap="notBeside" w:vAnchor="text" w:hAnchor="text" w:xAlign="center" w:y="1"/>
              <w:spacing w:before="30" w:after="30"/>
              <w:jc w:val="center"/>
              <w:rPr>
                <w:rFonts w:eastAsia="Arial Unicode MS"/>
              </w:rPr>
            </w:pPr>
            <w:r>
              <w:t>46</w:t>
            </w:r>
          </w:p>
        </w:tc>
        <w:tc>
          <w:tcPr>
            <w:tcW w:w="1418" w:type="dxa"/>
            <w:vAlign w:val="bottom"/>
          </w:tcPr>
          <w:p w:rsidR="002B489A" w:rsidRDefault="004F19C4">
            <w:pPr>
              <w:pStyle w:val="Tabletext"/>
              <w:keepNext/>
              <w:framePr w:hSpace="181" w:wrap="notBeside" w:vAnchor="text" w:hAnchor="text" w:xAlign="center" w:y="1"/>
              <w:spacing w:before="30" w:after="30"/>
              <w:jc w:val="center"/>
              <w:rPr>
                <w:rFonts w:eastAsia="Arial Unicode MS"/>
              </w:rPr>
            </w:pPr>
            <w:r>
              <w:t>46</w:t>
            </w:r>
          </w:p>
        </w:tc>
      </w:tr>
      <w:tr w:rsidR="002B489A">
        <w:trPr>
          <w:trHeight w:val="255"/>
        </w:trPr>
        <w:tc>
          <w:tcPr>
            <w:tcW w:w="4536" w:type="dxa"/>
            <w:vAlign w:val="bottom"/>
          </w:tcPr>
          <w:p w:rsidR="002B489A" w:rsidRDefault="004F19C4">
            <w:pPr>
              <w:pStyle w:val="Tabletext"/>
              <w:framePr w:hSpace="181" w:wrap="notBeside" w:vAnchor="text" w:hAnchor="text" w:xAlign="center" w:y="1"/>
              <w:spacing w:before="30" w:after="30"/>
              <w:ind w:left="284" w:right="284"/>
              <w:rPr>
                <w:rFonts w:eastAsia="Arial Unicode MS"/>
              </w:rPr>
            </w:pPr>
            <w:r>
              <w:t>Gain service fixe dans la direction SETS</w:t>
            </w:r>
          </w:p>
        </w:tc>
        <w:tc>
          <w:tcPr>
            <w:tcW w:w="1418" w:type="dxa"/>
            <w:vAlign w:val="bottom"/>
          </w:tcPr>
          <w:p w:rsidR="002B489A" w:rsidRDefault="004F19C4">
            <w:pPr>
              <w:pStyle w:val="Tabletext"/>
              <w:keepNext/>
              <w:framePr w:hSpace="181" w:wrap="notBeside" w:vAnchor="text" w:hAnchor="text" w:xAlign="center" w:y="1"/>
              <w:spacing w:before="30" w:after="30"/>
              <w:jc w:val="center"/>
              <w:rPr>
                <w:rFonts w:eastAsia="Arial Unicode MS"/>
              </w:rPr>
            </w:pPr>
            <w:r>
              <w:t>–12,6</w:t>
            </w:r>
          </w:p>
        </w:tc>
        <w:tc>
          <w:tcPr>
            <w:tcW w:w="1418" w:type="dxa"/>
            <w:vAlign w:val="bottom"/>
          </w:tcPr>
          <w:p w:rsidR="002B489A" w:rsidRDefault="004F19C4">
            <w:pPr>
              <w:pStyle w:val="Tabletext"/>
              <w:keepNext/>
              <w:framePr w:hSpace="181" w:wrap="notBeside" w:vAnchor="text" w:hAnchor="text" w:xAlign="center" w:y="1"/>
              <w:spacing w:before="30" w:after="30"/>
              <w:jc w:val="center"/>
              <w:rPr>
                <w:rFonts w:eastAsia="Arial Unicode MS"/>
              </w:rPr>
            </w:pPr>
            <w:r>
              <w:t>–12,6</w:t>
            </w:r>
          </w:p>
        </w:tc>
      </w:tr>
      <w:tr w:rsidR="002B489A">
        <w:trPr>
          <w:trHeight w:val="255"/>
        </w:trPr>
        <w:tc>
          <w:tcPr>
            <w:tcW w:w="4536" w:type="dxa"/>
            <w:vAlign w:val="bottom"/>
          </w:tcPr>
          <w:p w:rsidR="002B489A" w:rsidRDefault="004F19C4">
            <w:pPr>
              <w:pStyle w:val="Tabletext"/>
              <w:framePr w:hSpace="181" w:wrap="notBeside" w:vAnchor="text" w:hAnchor="text" w:xAlign="center" w:y="1"/>
              <w:spacing w:before="30" w:after="30"/>
              <w:ind w:left="284" w:right="284"/>
              <w:rPr>
                <w:rFonts w:eastAsia="Arial Unicode MS"/>
              </w:rPr>
            </w:pPr>
            <w:r>
              <w:t>Puissance cumulée (dB(W/MHz))</w:t>
            </w:r>
          </w:p>
        </w:tc>
        <w:tc>
          <w:tcPr>
            <w:tcW w:w="1418" w:type="dxa"/>
            <w:vAlign w:val="bottom"/>
          </w:tcPr>
          <w:p w:rsidR="002B489A" w:rsidRDefault="004F19C4">
            <w:pPr>
              <w:pStyle w:val="Tabletext"/>
              <w:keepNext/>
              <w:framePr w:hSpace="181" w:wrap="notBeside" w:vAnchor="text" w:hAnchor="text" w:xAlign="center" w:y="1"/>
              <w:spacing w:before="30" w:after="30"/>
              <w:jc w:val="center"/>
              <w:rPr>
                <w:rFonts w:eastAsia="Arial Unicode MS"/>
              </w:rPr>
            </w:pPr>
            <w:r>
              <w:t>–34,4</w:t>
            </w:r>
          </w:p>
        </w:tc>
        <w:tc>
          <w:tcPr>
            <w:tcW w:w="1418" w:type="dxa"/>
            <w:vAlign w:val="bottom"/>
          </w:tcPr>
          <w:p w:rsidR="002B489A" w:rsidRDefault="004F19C4">
            <w:pPr>
              <w:pStyle w:val="Tabletext"/>
              <w:keepNext/>
              <w:framePr w:hSpace="181" w:wrap="notBeside" w:vAnchor="text" w:hAnchor="text" w:xAlign="center" w:y="1"/>
              <w:spacing w:before="30" w:after="30"/>
              <w:jc w:val="center"/>
              <w:rPr>
                <w:rFonts w:eastAsia="Arial Unicode MS"/>
              </w:rPr>
            </w:pPr>
            <w:r>
              <w:t>–34,4</w:t>
            </w:r>
          </w:p>
        </w:tc>
      </w:tr>
      <w:tr w:rsidR="002B489A">
        <w:trPr>
          <w:trHeight w:val="255"/>
        </w:trPr>
        <w:tc>
          <w:tcPr>
            <w:tcW w:w="4536" w:type="dxa"/>
            <w:vAlign w:val="bottom"/>
          </w:tcPr>
          <w:p w:rsidR="002B489A" w:rsidRDefault="004F19C4">
            <w:pPr>
              <w:pStyle w:val="Tabletext"/>
              <w:framePr w:hSpace="181" w:wrap="notBeside" w:vAnchor="text" w:hAnchor="text" w:xAlign="center" w:y="1"/>
              <w:spacing w:before="30" w:after="30"/>
              <w:ind w:left="284" w:right="284"/>
              <w:rPr>
                <w:rFonts w:eastAsia="Arial Unicode MS"/>
              </w:rPr>
            </w:pPr>
            <w:r>
              <w:t>Densité de systèmes par km</w:t>
            </w:r>
            <w:r>
              <w:rPr>
                <w:vertAlign w:val="superscript"/>
              </w:rPr>
              <w:t>2</w:t>
            </w:r>
          </w:p>
        </w:tc>
        <w:tc>
          <w:tcPr>
            <w:tcW w:w="1418" w:type="dxa"/>
            <w:vAlign w:val="bottom"/>
          </w:tcPr>
          <w:p w:rsidR="002B489A" w:rsidRDefault="004F19C4">
            <w:pPr>
              <w:pStyle w:val="Tabletext"/>
              <w:keepNext/>
              <w:framePr w:hSpace="181" w:wrap="notBeside" w:vAnchor="text" w:hAnchor="text" w:xAlign="center" w:y="1"/>
              <w:spacing w:before="30" w:after="30"/>
              <w:jc w:val="center"/>
              <w:rPr>
                <w:rFonts w:eastAsia="Arial Unicode MS"/>
              </w:rPr>
            </w:pPr>
            <w:r>
              <w:t>1,0</w:t>
            </w:r>
          </w:p>
        </w:tc>
        <w:tc>
          <w:tcPr>
            <w:tcW w:w="1418" w:type="dxa"/>
            <w:vAlign w:val="bottom"/>
          </w:tcPr>
          <w:p w:rsidR="002B489A" w:rsidRDefault="004F19C4">
            <w:pPr>
              <w:pStyle w:val="Tabletext"/>
              <w:keepNext/>
              <w:framePr w:hSpace="181" w:wrap="notBeside" w:vAnchor="text" w:hAnchor="text" w:xAlign="center" w:y="1"/>
              <w:spacing w:before="30" w:after="30"/>
              <w:jc w:val="center"/>
              <w:rPr>
                <w:rFonts w:eastAsia="Arial Unicode MS"/>
              </w:rPr>
            </w:pPr>
            <w:r>
              <w:t>1,0</w:t>
            </w:r>
          </w:p>
        </w:tc>
      </w:tr>
      <w:tr w:rsidR="002B489A">
        <w:trPr>
          <w:trHeight w:val="255"/>
        </w:trPr>
        <w:tc>
          <w:tcPr>
            <w:tcW w:w="4536" w:type="dxa"/>
            <w:vAlign w:val="bottom"/>
          </w:tcPr>
          <w:p w:rsidR="002B489A" w:rsidRDefault="004F19C4">
            <w:pPr>
              <w:pStyle w:val="Tabletext"/>
              <w:framePr w:hSpace="181" w:wrap="notBeside" w:vAnchor="text" w:hAnchor="text" w:xAlign="center" w:y="1"/>
              <w:spacing w:before="30" w:after="30"/>
              <w:ind w:left="284" w:right="284"/>
              <w:rPr>
                <w:rFonts w:eastAsia="Arial Unicode MS"/>
              </w:rPr>
            </w:pPr>
            <w:r>
              <w:t>Taille de pixel par km</w:t>
            </w:r>
            <w:r>
              <w:rPr>
                <w:vertAlign w:val="superscript"/>
              </w:rPr>
              <w:t>2</w:t>
            </w:r>
          </w:p>
        </w:tc>
        <w:tc>
          <w:tcPr>
            <w:tcW w:w="1418" w:type="dxa"/>
            <w:vAlign w:val="bottom"/>
          </w:tcPr>
          <w:p w:rsidR="002B489A" w:rsidRDefault="004F19C4">
            <w:pPr>
              <w:pStyle w:val="Tabletext"/>
              <w:keepNext/>
              <w:framePr w:hSpace="181" w:wrap="notBeside" w:vAnchor="text" w:hAnchor="text" w:xAlign="center" w:y="1"/>
              <w:spacing w:before="30" w:after="30"/>
              <w:jc w:val="center"/>
              <w:rPr>
                <w:rFonts w:eastAsia="Arial Unicode MS"/>
              </w:rPr>
            </w:pPr>
            <w:r>
              <w:t>201</w:t>
            </w:r>
          </w:p>
        </w:tc>
        <w:tc>
          <w:tcPr>
            <w:tcW w:w="1418" w:type="dxa"/>
            <w:vAlign w:val="bottom"/>
          </w:tcPr>
          <w:p w:rsidR="002B489A" w:rsidRDefault="004F19C4">
            <w:pPr>
              <w:pStyle w:val="Tabletext"/>
              <w:keepNext/>
              <w:framePr w:hSpace="181" w:wrap="notBeside" w:vAnchor="text" w:hAnchor="text" w:xAlign="center" w:y="1"/>
              <w:spacing w:before="30" w:after="30"/>
              <w:jc w:val="center"/>
              <w:rPr>
                <w:rFonts w:eastAsia="Arial Unicode MS"/>
              </w:rPr>
            </w:pPr>
            <w:r>
              <w:t>201</w:t>
            </w:r>
          </w:p>
        </w:tc>
      </w:tr>
      <w:tr w:rsidR="002B489A">
        <w:trPr>
          <w:trHeight w:val="255"/>
        </w:trPr>
        <w:tc>
          <w:tcPr>
            <w:tcW w:w="4536" w:type="dxa"/>
            <w:vAlign w:val="bottom"/>
          </w:tcPr>
          <w:p w:rsidR="002B489A" w:rsidRDefault="004F19C4">
            <w:pPr>
              <w:pStyle w:val="Tabletext"/>
              <w:framePr w:hSpace="181" w:wrap="notBeside" w:vAnchor="text" w:hAnchor="text" w:xAlign="center" w:y="1"/>
              <w:spacing w:before="30" w:after="30"/>
              <w:ind w:left="284" w:right="284"/>
              <w:rPr>
                <w:rFonts w:eastAsia="Arial Unicode MS"/>
              </w:rPr>
            </w:pPr>
            <w:r>
              <w:t>Nombre d'émetteurs</w:t>
            </w:r>
          </w:p>
        </w:tc>
        <w:tc>
          <w:tcPr>
            <w:tcW w:w="1418" w:type="dxa"/>
            <w:vAlign w:val="bottom"/>
          </w:tcPr>
          <w:p w:rsidR="002B489A" w:rsidRDefault="004F19C4">
            <w:pPr>
              <w:pStyle w:val="Tabletext"/>
              <w:keepNext/>
              <w:framePr w:hSpace="181" w:wrap="notBeside" w:vAnchor="text" w:hAnchor="text" w:xAlign="center" w:y="1"/>
              <w:spacing w:before="30" w:after="30"/>
              <w:jc w:val="center"/>
              <w:rPr>
                <w:rFonts w:eastAsia="Arial Unicode MS"/>
              </w:rPr>
            </w:pPr>
            <w:r>
              <w:t>201</w:t>
            </w:r>
          </w:p>
        </w:tc>
        <w:tc>
          <w:tcPr>
            <w:tcW w:w="1418" w:type="dxa"/>
            <w:vAlign w:val="bottom"/>
          </w:tcPr>
          <w:p w:rsidR="002B489A" w:rsidRDefault="004F19C4">
            <w:pPr>
              <w:pStyle w:val="Tabletext"/>
              <w:keepNext/>
              <w:framePr w:hSpace="181" w:wrap="notBeside" w:vAnchor="text" w:hAnchor="text" w:xAlign="center" w:y="1"/>
              <w:spacing w:before="30" w:after="30"/>
              <w:jc w:val="center"/>
              <w:rPr>
                <w:rFonts w:eastAsia="Arial Unicode MS"/>
              </w:rPr>
            </w:pPr>
            <w:r>
              <w:t>201</w:t>
            </w:r>
          </w:p>
        </w:tc>
      </w:tr>
      <w:tr w:rsidR="002B489A">
        <w:trPr>
          <w:trHeight w:val="255"/>
        </w:trPr>
        <w:tc>
          <w:tcPr>
            <w:tcW w:w="4536" w:type="dxa"/>
            <w:vAlign w:val="bottom"/>
          </w:tcPr>
          <w:p w:rsidR="002B489A" w:rsidRDefault="004F19C4">
            <w:pPr>
              <w:pStyle w:val="Tabletext"/>
              <w:framePr w:hSpace="181" w:wrap="notBeside" w:vAnchor="text" w:hAnchor="text" w:xAlign="center" w:y="1"/>
              <w:spacing w:before="30" w:after="30"/>
              <w:ind w:left="284" w:right="284"/>
              <w:rPr>
                <w:rFonts w:eastAsia="Arial Unicode MS"/>
              </w:rPr>
            </w:pPr>
            <w:r>
              <w:t>Puissance par émetteur (dB(W/MHz))</w:t>
            </w:r>
          </w:p>
        </w:tc>
        <w:tc>
          <w:tcPr>
            <w:tcW w:w="1418" w:type="dxa"/>
            <w:vAlign w:val="bottom"/>
          </w:tcPr>
          <w:p w:rsidR="002B489A" w:rsidRDefault="004F19C4">
            <w:pPr>
              <w:pStyle w:val="Tabletext"/>
              <w:keepNext/>
              <w:framePr w:hSpace="181" w:wrap="notBeside" w:vAnchor="text" w:hAnchor="text" w:xAlign="center" w:y="1"/>
              <w:spacing w:before="30" w:after="30"/>
              <w:jc w:val="center"/>
              <w:rPr>
                <w:rFonts w:eastAsia="Arial Unicode MS"/>
              </w:rPr>
            </w:pPr>
            <w:r>
              <w:t>–57,4</w:t>
            </w:r>
          </w:p>
        </w:tc>
        <w:tc>
          <w:tcPr>
            <w:tcW w:w="1418" w:type="dxa"/>
            <w:vAlign w:val="bottom"/>
          </w:tcPr>
          <w:p w:rsidR="002B489A" w:rsidRDefault="004F19C4">
            <w:pPr>
              <w:pStyle w:val="Tabletext"/>
              <w:keepNext/>
              <w:framePr w:hSpace="181" w:wrap="notBeside" w:vAnchor="text" w:hAnchor="text" w:xAlign="center" w:y="1"/>
              <w:spacing w:before="30" w:after="30"/>
              <w:jc w:val="center"/>
              <w:rPr>
                <w:rFonts w:eastAsia="Arial Unicode MS"/>
              </w:rPr>
            </w:pPr>
            <w:r>
              <w:t>–57,4</w:t>
            </w:r>
          </w:p>
        </w:tc>
      </w:tr>
      <w:tr w:rsidR="002B489A">
        <w:trPr>
          <w:trHeight w:val="255"/>
        </w:trPr>
        <w:tc>
          <w:tcPr>
            <w:tcW w:w="4536" w:type="dxa"/>
            <w:vAlign w:val="bottom"/>
          </w:tcPr>
          <w:p w:rsidR="002B489A" w:rsidRDefault="004F19C4">
            <w:pPr>
              <w:pStyle w:val="Tabletext"/>
              <w:framePr w:hSpace="181" w:wrap="notBeside" w:vAnchor="text" w:hAnchor="text" w:xAlign="center" w:y="1"/>
              <w:spacing w:before="30" w:after="30"/>
              <w:ind w:left="284" w:right="284"/>
              <w:rPr>
                <w:rFonts w:eastAsia="Arial Unicode MS"/>
              </w:rPr>
            </w:pPr>
            <w:r>
              <w:t>Puissance par émetteur (dB(W/100 MHz))</w:t>
            </w:r>
          </w:p>
        </w:tc>
        <w:tc>
          <w:tcPr>
            <w:tcW w:w="1418" w:type="dxa"/>
            <w:vAlign w:val="bottom"/>
          </w:tcPr>
          <w:p w:rsidR="002B489A" w:rsidRDefault="004F19C4">
            <w:pPr>
              <w:pStyle w:val="Tabletext"/>
              <w:keepNext/>
              <w:framePr w:hSpace="181" w:wrap="notBeside" w:vAnchor="text" w:hAnchor="text" w:xAlign="center" w:y="1"/>
              <w:spacing w:before="30" w:after="30"/>
              <w:jc w:val="center"/>
              <w:rPr>
                <w:rFonts w:eastAsia="Arial Unicode MS"/>
              </w:rPr>
            </w:pPr>
            <w:r>
              <w:t>–37,4</w:t>
            </w:r>
          </w:p>
        </w:tc>
        <w:tc>
          <w:tcPr>
            <w:tcW w:w="1418" w:type="dxa"/>
            <w:vAlign w:val="bottom"/>
          </w:tcPr>
          <w:p w:rsidR="002B489A" w:rsidRDefault="004F19C4">
            <w:pPr>
              <w:pStyle w:val="Tabletext"/>
              <w:keepNext/>
              <w:framePr w:hSpace="181" w:wrap="notBeside" w:vAnchor="text" w:hAnchor="text" w:xAlign="center" w:y="1"/>
              <w:spacing w:before="30" w:after="30"/>
              <w:jc w:val="center"/>
              <w:rPr>
                <w:rFonts w:eastAsia="Arial Unicode MS"/>
              </w:rPr>
            </w:pPr>
            <w:r>
              <w:t>–37,4</w:t>
            </w:r>
          </w:p>
        </w:tc>
      </w:tr>
    </w:tbl>
    <w:p w:rsidR="002B489A" w:rsidRDefault="002B489A">
      <w:pPr>
        <w:pStyle w:val="Tablefin"/>
        <w:spacing w:before="0"/>
        <w:rPr>
          <w:sz w:val="2"/>
        </w:rPr>
      </w:pPr>
    </w:p>
    <w:p w:rsidR="002B489A" w:rsidRDefault="004F19C4">
      <w:pPr>
        <w:pStyle w:val="TableNo"/>
        <w:rPr>
          <w:lang w:eastAsia="fr-FR"/>
        </w:rPr>
      </w:pPr>
      <w:r>
        <w:rPr>
          <w:lang w:eastAsia="fr-FR"/>
        </w:rPr>
        <w:t>TABLEAU  90</w:t>
      </w:r>
    </w:p>
    <w:p w:rsidR="002B489A" w:rsidRDefault="004F19C4">
      <w:pPr>
        <w:pStyle w:val="Tabletitle"/>
        <w:rPr>
          <w:lang w:eastAsia="fr-FR"/>
        </w:rPr>
      </w:pPr>
      <w:r>
        <w:t xml:space="preserve">Niveau de rayonnement non désiré acceptable pour un système </w:t>
      </w:r>
      <w:r>
        <w:br/>
        <w:t>du service fixe P</w:t>
      </w:r>
      <w:r>
        <w:noBreakHyphen/>
        <w:t>MP tombant dans la bande SETS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1418"/>
        <w:gridCol w:w="1418"/>
      </w:tblGrid>
      <w:tr w:rsidR="002B489A">
        <w:trPr>
          <w:trHeight w:val="255"/>
        </w:trPr>
        <w:tc>
          <w:tcPr>
            <w:tcW w:w="4536" w:type="dxa"/>
            <w:vAlign w:val="bottom"/>
          </w:tcPr>
          <w:p w:rsidR="002B489A" w:rsidRDefault="004F19C4">
            <w:pPr>
              <w:pStyle w:val="Tabletext"/>
              <w:framePr w:hSpace="181" w:wrap="notBeside" w:vAnchor="text" w:hAnchor="text" w:xAlign="center" w:y="1"/>
              <w:spacing w:before="30" w:after="30"/>
              <w:ind w:left="57"/>
              <w:rPr>
                <w:rFonts w:eastAsia="Arial Unicode MS"/>
              </w:rPr>
            </w:pPr>
            <w:r>
              <w:t>Fréquence (GHz)</w:t>
            </w:r>
          </w:p>
        </w:tc>
        <w:tc>
          <w:tcPr>
            <w:tcW w:w="2835" w:type="dxa"/>
            <w:gridSpan w:val="2"/>
            <w:vAlign w:val="bottom"/>
          </w:tcPr>
          <w:p w:rsidR="002B489A" w:rsidRDefault="004F19C4">
            <w:pPr>
              <w:pStyle w:val="Tabletext"/>
              <w:keepNext/>
              <w:framePr w:hSpace="181" w:wrap="notBeside" w:vAnchor="text" w:hAnchor="text" w:xAlign="center" w:y="1"/>
              <w:spacing w:before="30" w:after="30"/>
              <w:jc w:val="center"/>
              <w:rPr>
                <w:rFonts w:eastAsia="Arial Unicode MS"/>
              </w:rPr>
            </w:pPr>
            <w:r>
              <w:t>31,8</w:t>
            </w:r>
          </w:p>
        </w:tc>
      </w:tr>
      <w:tr w:rsidR="002B489A">
        <w:trPr>
          <w:trHeight w:val="255"/>
        </w:trPr>
        <w:tc>
          <w:tcPr>
            <w:tcW w:w="4536" w:type="dxa"/>
            <w:vAlign w:val="bottom"/>
          </w:tcPr>
          <w:p w:rsidR="002B489A" w:rsidRDefault="004F19C4">
            <w:pPr>
              <w:pStyle w:val="Tabletext"/>
              <w:framePr w:hSpace="181" w:wrap="notBeside" w:vAnchor="text" w:hAnchor="text" w:xAlign="center" w:y="1"/>
              <w:spacing w:before="30" w:after="30"/>
              <w:ind w:left="57"/>
              <w:rPr>
                <w:rFonts w:eastAsia="Arial Unicode MS"/>
              </w:rPr>
            </w:pPr>
            <w:r>
              <w:t>Critères de brouillage (dB(W/100 MHz))</w:t>
            </w:r>
          </w:p>
        </w:tc>
        <w:tc>
          <w:tcPr>
            <w:tcW w:w="2835" w:type="dxa"/>
            <w:gridSpan w:val="2"/>
            <w:vAlign w:val="bottom"/>
          </w:tcPr>
          <w:p w:rsidR="002B489A" w:rsidRDefault="004F19C4">
            <w:pPr>
              <w:pStyle w:val="Tabletext"/>
              <w:keepNext/>
              <w:framePr w:hSpace="181" w:wrap="notBeside" w:vAnchor="text" w:hAnchor="text" w:xAlign="center" w:y="1"/>
              <w:spacing w:before="30" w:after="30"/>
              <w:jc w:val="center"/>
              <w:rPr>
                <w:rFonts w:eastAsia="Arial Unicode MS"/>
              </w:rPr>
            </w:pPr>
            <w:r>
              <w:t>–163</w:t>
            </w:r>
          </w:p>
        </w:tc>
      </w:tr>
      <w:tr w:rsidR="002B489A">
        <w:trPr>
          <w:trHeight w:val="255"/>
        </w:trPr>
        <w:tc>
          <w:tcPr>
            <w:tcW w:w="4536" w:type="dxa"/>
            <w:vAlign w:val="bottom"/>
          </w:tcPr>
          <w:p w:rsidR="002B489A" w:rsidRDefault="004F19C4">
            <w:pPr>
              <w:pStyle w:val="Tabletext"/>
              <w:framePr w:hSpace="181" w:wrap="notBeside" w:vAnchor="text" w:hAnchor="text" w:xAlign="center" w:y="1"/>
              <w:spacing w:before="30" w:after="30"/>
              <w:ind w:left="57"/>
              <w:rPr>
                <w:rFonts w:eastAsia="Arial Unicode MS"/>
              </w:rPr>
            </w:pPr>
            <w:r>
              <w:t>Altitude (km)</w:t>
            </w:r>
          </w:p>
        </w:tc>
        <w:tc>
          <w:tcPr>
            <w:tcW w:w="2835" w:type="dxa"/>
            <w:gridSpan w:val="2"/>
            <w:vAlign w:val="bottom"/>
          </w:tcPr>
          <w:p w:rsidR="002B489A" w:rsidRDefault="004F19C4">
            <w:pPr>
              <w:pStyle w:val="Tabletext"/>
              <w:keepNext/>
              <w:framePr w:hSpace="181" w:wrap="notBeside" w:vAnchor="text" w:hAnchor="text" w:xAlign="center" w:y="1"/>
              <w:spacing w:before="30" w:after="30"/>
              <w:jc w:val="center"/>
              <w:rPr>
                <w:rFonts w:eastAsia="Arial Unicode MS"/>
              </w:rPr>
            </w:pPr>
            <w:r>
              <w:t>850</w:t>
            </w:r>
          </w:p>
        </w:tc>
      </w:tr>
      <w:tr w:rsidR="002B489A">
        <w:trPr>
          <w:trHeight w:val="255"/>
        </w:trPr>
        <w:tc>
          <w:tcPr>
            <w:tcW w:w="4536" w:type="dxa"/>
            <w:vAlign w:val="bottom"/>
          </w:tcPr>
          <w:p w:rsidR="002B489A" w:rsidRDefault="004F19C4">
            <w:pPr>
              <w:pStyle w:val="Tabletext"/>
              <w:framePr w:hSpace="181" w:wrap="notBeside" w:vAnchor="text" w:hAnchor="text" w:xAlign="center" w:y="1"/>
              <w:spacing w:before="30" w:after="30"/>
              <w:ind w:left="57"/>
              <w:rPr>
                <w:rFonts w:eastAsia="Arial Unicode MS"/>
              </w:rPr>
            </w:pPr>
            <w:r>
              <w:t>Largeur de bande de référence (MHz)</w:t>
            </w:r>
          </w:p>
        </w:tc>
        <w:tc>
          <w:tcPr>
            <w:tcW w:w="2835" w:type="dxa"/>
            <w:gridSpan w:val="2"/>
            <w:vAlign w:val="bottom"/>
          </w:tcPr>
          <w:p w:rsidR="002B489A" w:rsidRDefault="004F19C4">
            <w:pPr>
              <w:pStyle w:val="Tabletext"/>
              <w:keepNext/>
              <w:framePr w:hSpace="181" w:wrap="notBeside" w:vAnchor="text" w:hAnchor="text" w:xAlign="center" w:y="1"/>
              <w:spacing w:before="30" w:after="30"/>
              <w:jc w:val="center"/>
              <w:rPr>
                <w:rFonts w:eastAsia="Arial Unicode MS"/>
              </w:rPr>
            </w:pPr>
            <w:r>
              <w:t>100</w:t>
            </w:r>
          </w:p>
        </w:tc>
      </w:tr>
      <w:tr w:rsidR="002B489A">
        <w:trPr>
          <w:trHeight w:val="255"/>
        </w:trPr>
        <w:tc>
          <w:tcPr>
            <w:tcW w:w="4536" w:type="dxa"/>
            <w:vAlign w:val="bottom"/>
          </w:tcPr>
          <w:p w:rsidR="002B489A" w:rsidRDefault="004F19C4">
            <w:pPr>
              <w:pStyle w:val="Tabletext"/>
              <w:framePr w:hSpace="181" w:wrap="notBeside" w:vAnchor="text" w:hAnchor="text" w:xAlign="center" w:y="1"/>
              <w:spacing w:before="30" w:after="30"/>
              <w:ind w:left="57"/>
              <w:rPr>
                <w:rFonts w:eastAsia="Arial Unicode MS"/>
              </w:rPr>
            </w:pPr>
            <w:r>
              <w:t>Gain SETS</w:t>
            </w:r>
          </w:p>
        </w:tc>
        <w:tc>
          <w:tcPr>
            <w:tcW w:w="2835" w:type="dxa"/>
            <w:gridSpan w:val="2"/>
            <w:vAlign w:val="bottom"/>
          </w:tcPr>
          <w:p w:rsidR="002B489A" w:rsidRDefault="004F19C4">
            <w:pPr>
              <w:pStyle w:val="Tabletext"/>
              <w:keepNext/>
              <w:framePr w:hSpace="181" w:wrap="notBeside" w:vAnchor="text" w:hAnchor="text" w:xAlign="center" w:y="1"/>
              <w:spacing w:before="30" w:after="30"/>
              <w:jc w:val="center"/>
              <w:rPr>
                <w:rFonts w:eastAsia="Arial Unicode MS"/>
              </w:rPr>
            </w:pPr>
            <w:r>
              <w:t>45</w:t>
            </w:r>
          </w:p>
        </w:tc>
      </w:tr>
      <w:tr w:rsidR="002B489A">
        <w:trPr>
          <w:trHeight w:val="255"/>
        </w:trPr>
        <w:tc>
          <w:tcPr>
            <w:tcW w:w="4536" w:type="dxa"/>
            <w:vAlign w:val="bottom"/>
          </w:tcPr>
          <w:p w:rsidR="002B489A" w:rsidRDefault="004F19C4">
            <w:pPr>
              <w:pStyle w:val="Tabletext"/>
              <w:framePr w:hSpace="181" w:wrap="notBeside" w:vAnchor="text" w:hAnchor="text" w:xAlign="center" w:y="1"/>
              <w:spacing w:before="30" w:after="30"/>
              <w:ind w:left="57"/>
              <w:rPr>
                <w:rFonts w:eastAsia="Arial Unicode MS"/>
              </w:rPr>
            </w:pPr>
            <w:r>
              <w:t>Affaiblissement en espace libre</w:t>
            </w:r>
          </w:p>
        </w:tc>
        <w:tc>
          <w:tcPr>
            <w:tcW w:w="2835" w:type="dxa"/>
            <w:gridSpan w:val="2"/>
            <w:vAlign w:val="bottom"/>
          </w:tcPr>
          <w:p w:rsidR="002B489A" w:rsidRDefault="004F19C4">
            <w:pPr>
              <w:pStyle w:val="Tabletext"/>
              <w:keepNext/>
              <w:framePr w:hSpace="181" w:wrap="notBeside" w:vAnchor="text" w:hAnchor="text" w:xAlign="center" w:y="1"/>
              <w:spacing w:before="30" w:after="30"/>
              <w:jc w:val="center"/>
              <w:rPr>
                <w:rFonts w:eastAsia="Arial Unicode MS"/>
              </w:rPr>
            </w:pPr>
            <w:r>
              <w:t>181</w:t>
            </w:r>
          </w:p>
        </w:tc>
      </w:tr>
      <w:tr w:rsidR="002B489A">
        <w:trPr>
          <w:trHeight w:val="255"/>
        </w:trPr>
        <w:tc>
          <w:tcPr>
            <w:tcW w:w="4536" w:type="dxa"/>
            <w:vAlign w:val="bottom"/>
          </w:tcPr>
          <w:p w:rsidR="002B489A" w:rsidRDefault="004F19C4">
            <w:pPr>
              <w:pStyle w:val="Tabletext"/>
              <w:framePr w:hSpace="181" w:wrap="notBeside" w:vAnchor="text" w:hAnchor="text" w:xAlign="center" w:y="1"/>
              <w:spacing w:before="30" w:after="30"/>
              <w:ind w:left="57"/>
              <w:rPr>
                <w:rFonts w:eastAsia="Arial Unicode MS"/>
              </w:rPr>
            </w:pPr>
            <w:r>
              <w:t>Agrégé à la Terre (dB(W/100 MHz))</w:t>
            </w:r>
          </w:p>
        </w:tc>
        <w:tc>
          <w:tcPr>
            <w:tcW w:w="2835" w:type="dxa"/>
            <w:gridSpan w:val="2"/>
            <w:vAlign w:val="bottom"/>
          </w:tcPr>
          <w:p w:rsidR="002B489A" w:rsidRDefault="004F19C4">
            <w:pPr>
              <w:pStyle w:val="Tabletext"/>
              <w:keepNext/>
              <w:framePr w:hSpace="181" w:wrap="notBeside" w:vAnchor="text" w:hAnchor="text" w:xAlign="center" w:y="1"/>
              <w:spacing w:before="30" w:after="30"/>
              <w:jc w:val="center"/>
              <w:rPr>
                <w:rFonts w:eastAsia="Arial Unicode MS"/>
              </w:rPr>
            </w:pPr>
            <w:r>
              <w:t>–27</w:t>
            </w:r>
          </w:p>
        </w:tc>
      </w:tr>
      <w:tr w:rsidR="002B489A">
        <w:trPr>
          <w:trHeight w:val="255"/>
        </w:trPr>
        <w:tc>
          <w:tcPr>
            <w:tcW w:w="4536" w:type="dxa"/>
            <w:vAlign w:val="bottom"/>
          </w:tcPr>
          <w:p w:rsidR="002B489A" w:rsidRDefault="004F19C4">
            <w:pPr>
              <w:pStyle w:val="Tabletext"/>
              <w:framePr w:hSpace="181" w:wrap="notBeside" w:vAnchor="text" w:hAnchor="text" w:xAlign="center" w:y="1"/>
              <w:spacing w:before="30" w:after="30"/>
              <w:ind w:left="57"/>
              <w:rPr>
                <w:rFonts w:eastAsia="Arial Unicode MS"/>
              </w:rPr>
            </w:pPr>
            <w:r>
              <w:t>Agrégé à la Terre (dB(W/MHz))</w:t>
            </w:r>
          </w:p>
        </w:tc>
        <w:tc>
          <w:tcPr>
            <w:tcW w:w="2835" w:type="dxa"/>
            <w:gridSpan w:val="2"/>
            <w:vAlign w:val="bottom"/>
          </w:tcPr>
          <w:p w:rsidR="002B489A" w:rsidRDefault="004F19C4">
            <w:pPr>
              <w:pStyle w:val="Tabletext"/>
              <w:keepNext/>
              <w:framePr w:hSpace="181" w:wrap="notBeside" w:vAnchor="text" w:hAnchor="text" w:xAlign="center" w:y="1"/>
              <w:spacing w:before="30" w:after="30"/>
              <w:jc w:val="center"/>
              <w:rPr>
                <w:rFonts w:eastAsia="Arial Unicode MS"/>
              </w:rPr>
            </w:pPr>
            <w:r>
              <w:t>–47,0</w:t>
            </w:r>
          </w:p>
        </w:tc>
      </w:tr>
      <w:tr w:rsidR="002B489A">
        <w:trPr>
          <w:trHeight w:val="255"/>
        </w:trPr>
        <w:tc>
          <w:tcPr>
            <w:tcW w:w="4536" w:type="dxa"/>
            <w:vAlign w:val="bottom"/>
          </w:tcPr>
          <w:p w:rsidR="002B489A" w:rsidRDefault="004F19C4">
            <w:pPr>
              <w:pStyle w:val="Tabletext"/>
              <w:framePr w:hSpace="181" w:wrap="notBeside" w:vAnchor="text" w:hAnchor="text" w:xAlign="center" w:y="1"/>
              <w:spacing w:before="30" w:after="30"/>
              <w:ind w:left="57"/>
              <w:rPr>
                <w:i/>
                <w:iCs/>
              </w:rPr>
            </w:pPr>
            <w:r>
              <w:rPr>
                <w:i/>
                <w:iCs/>
              </w:rPr>
              <w:t xml:space="preserve">Type de station </w:t>
            </w:r>
          </w:p>
        </w:tc>
        <w:tc>
          <w:tcPr>
            <w:tcW w:w="1418" w:type="dxa"/>
            <w:vAlign w:val="bottom"/>
          </w:tcPr>
          <w:p w:rsidR="002B489A" w:rsidRDefault="004F19C4">
            <w:pPr>
              <w:pStyle w:val="Tabletext"/>
              <w:keepNext/>
              <w:framePr w:hSpace="181" w:wrap="notBeside" w:vAnchor="text" w:hAnchor="text" w:xAlign="center" w:y="1"/>
              <w:spacing w:before="30" w:after="30"/>
              <w:jc w:val="center"/>
            </w:pPr>
            <w:r>
              <w:t>Centrale</w:t>
            </w:r>
          </w:p>
        </w:tc>
        <w:tc>
          <w:tcPr>
            <w:tcW w:w="1418" w:type="dxa"/>
            <w:vAlign w:val="bottom"/>
          </w:tcPr>
          <w:p w:rsidR="002B489A" w:rsidRDefault="004F19C4">
            <w:pPr>
              <w:pStyle w:val="Tabletext"/>
              <w:keepNext/>
              <w:framePr w:hSpace="181" w:wrap="notBeside" w:vAnchor="text" w:hAnchor="text" w:xAlign="center" w:y="1"/>
              <w:spacing w:before="30" w:after="30"/>
              <w:jc w:val="center"/>
            </w:pPr>
            <w:r>
              <w:t>Terminale</w:t>
            </w:r>
          </w:p>
        </w:tc>
      </w:tr>
      <w:tr w:rsidR="002B489A">
        <w:trPr>
          <w:trHeight w:val="255"/>
        </w:trPr>
        <w:tc>
          <w:tcPr>
            <w:tcW w:w="4536" w:type="dxa"/>
            <w:vAlign w:val="bottom"/>
          </w:tcPr>
          <w:p w:rsidR="002B489A" w:rsidRDefault="004F19C4">
            <w:pPr>
              <w:pStyle w:val="Tabletext"/>
              <w:framePr w:hSpace="181" w:wrap="notBeside" w:vAnchor="text" w:hAnchor="text" w:xAlign="center" w:y="1"/>
              <w:spacing w:before="30" w:after="30"/>
              <w:ind w:left="284" w:right="284"/>
              <w:rPr>
                <w:rFonts w:eastAsia="Arial Unicode MS"/>
              </w:rPr>
            </w:pPr>
            <w:r>
              <w:t>Espacement entre canaux (MHz)</w:t>
            </w:r>
          </w:p>
        </w:tc>
        <w:tc>
          <w:tcPr>
            <w:tcW w:w="1418" w:type="dxa"/>
            <w:vAlign w:val="bottom"/>
          </w:tcPr>
          <w:p w:rsidR="002B489A" w:rsidRDefault="004F19C4">
            <w:pPr>
              <w:pStyle w:val="Tabletext"/>
              <w:keepNext/>
              <w:framePr w:hSpace="181" w:wrap="notBeside" w:vAnchor="text" w:hAnchor="text" w:xAlign="center" w:y="1"/>
              <w:spacing w:before="30" w:after="30"/>
              <w:jc w:val="center"/>
              <w:rPr>
                <w:rFonts w:eastAsia="Arial Unicode MS"/>
              </w:rPr>
            </w:pPr>
            <w:r>
              <w:t>28</w:t>
            </w:r>
          </w:p>
        </w:tc>
        <w:tc>
          <w:tcPr>
            <w:tcW w:w="1418" w:type="dxa"/>
            <w:vAlign w:val="bottom"/>
          </w:tcPr>
          <w:p w:rsidR="002B489A" w:rsidRDefault="004F19C4">
            <w:pPr>
              <w:pStyle w:val="Tabletext"/>
              <w:keepNext/>
              <w:framePr w:hSpace="181" w:wrap="notBeside" w:vAnchor="text" w:hAnchor="text" w:xAlign="center" w:y="1"/>
              <w:spacing w:before="30" w:after="30"/>
              <w:jc w:val="center"/>
              <w:rPr>
                <w:rFonts w:eastAsia="Arial Unicode MS"/>
              </w:rPr>
            </w:pPr>
            <w:r>
              <w:t>28</w:t>
            </w:r>
          </w:p>
        </w:tc>
      </w:tr>
      <w:tr w:rsidR="002B489A">
        <w:trPr>
          <w:trHeight w:val="255"/>
        </w:trPr>
        <w:tc>
          <w:tcPr>
            <w:tcW w:w="4536" w:type="dxa"/>
            <w:vAlign w:val="bottom"/>
          </w:tcPr>
          <w:p w:rsidR="002B489A" w:rsidRDefault="004F19C4">
            <w:pPr>
              <w:pStyle w:val="Tabletext"/>
              <w:framePr w:hSpace="181" w:wrap="notBeside" w:vAnchor="text" w:hAnchor="text" w:xAlign="center" w:y="1"/>
              <w:spacing w:before="30" w:after="30"/>
              <w:ind w:left="284" w:right="284"/>
              <w:rPr>
                <w:rFonts w:eastAsia="Arial Unicode MS"/>
              </w:rPr>
            </w:pPr>
            <w:r>
              <w:t>Gain d'antenne service fixe</w:t>
            </w:r>
          </w:p>
        </w:tc>
        <w:tc>
          <w:tcPr>
            <w:tcW w:w="1418" w:type="dxa"/>
            <w:vAlign w:val="bottom"/>
          </w:tcPr>
          <w:p w:rsidR="002B489A" w:rsidRDefault="004F19C4">
            <w:pPr>
              <w:pStyle w:val="Tabletext"/>
              <w:keepNext/>
              <w:framePr w:hSpace="181" w:wrap="notBeside" w:vAnchor="text" w:hAnchor="text" w:xAlign="center" w:y="1"/>
              <w:spacing w:before="30" w:after="30"/>
              <w:jc w:val="center"/>
              <w:rPr>
                <w:rFonts w:eastAsia="Arial Unicode MS"/>
              </w:rPr>
            </w:pPr>
            <w:r>
              <w:t>14</w:t>
            </w:r>
          </w:p>
        </w:tc>
        <w:tc>
          <w:tcPr>
            <w:tcW w:w="1418" w:type="dxa"/>
            <w:vAlign w:val="bottom"/>
          </w:tcPr>
          <w:p w:rsidR="002B489A" w:rsidRDefault="004F19C4">
            <w:pPr>
              <w:pStyle w:val="Tabletext"/>
              <w:keepNext/>
              <w:framePr w:hSpace="181" w:wrap="notBeside" w:vAnchor="text" w:hAnchor="text" w:xAlign="center" w:y="1"/>
              <w:spacing w:before="30" w:after="30"/>
              <w:jc w:val="center"/>
              <w:rPr>
                <w:rFonts w:eastAsia="Arial Unicode MS"/>
              </w:rPr>
            </w:pPr>
            <w:r>
              <w:t>41</w:t>
            </w:r>
          </w:p>
        </w:tc>
      </w:tr>
      <w:tr w:rsidR="002B489A">
        <w:trPr>
          <w:trHeight w:val="255"/>
        </w:trPr>
        <w:tc>
          <w:tcPr>
            <w:tcW w:w="4536" w:type="dxa"/>
            <w:vAlign w:val="bottom"/>
          </w:tcPr>
          <w:p w:rsidR="002B489A" w:rsidRDefault="004F19C4">
            <w:pPr>
              <w:pStyle w:val="Tabletext"/>
              <w:framePr w:hSpace="181" w:wrap="notBeside" w:vAnchor="text" w:hAnchor="text" w:xAlign="center" w:y="1"/>
              <w:spacing w:before="30" w:after="30"/>
              <w:ind w:left="284" w:right="284"/>
              <w:rPr>
                <w:rFonts w:eastAsia="Arial Unicode MS"/>
              </w:rPr>
            </w:pPr>
            <w:r>
              <w:t>Gain service fixe dans la direction SETS</w:t>
            </w:r>
          </w:p>
        </w:tc>
        <w:tc>
          <w:tcPr>
            <w:tcW w:w="1418" w:type="dxa"/>
            <w:vAlign w:val="bottom"/>
          </w:tcPr>
          <w:p w:rsidR="002B489A" w:rsidRDefault="004F19C4">
            <w:pPr>
              <w:pStyle w:val="Tabletext"/>
              <w:keepNext/>
              <w:framePr w:hSpace="181" w:wrap="notBeside" w:vAnchor="text" w:hAnchor="text" w:xAlign="center" w:y="1"/>
              <w:spacing w:before="30" w:after="30"/>
              <w:jc w:val="center"/>
              <w:rPr>
                <w:rFonts w:eastAsia="Arial Unicode MS"/>
              </w:rPr>
            </w:pPr>
            <w:r>
              <w:t>–11,5</w:t>
            </w:r>
          </w:p>
        </w:tc>
        <w:tc>
          <w:tcPr>
            <w:tcW w:w="1418" w:type="dxa"/>
            <w:vAlign w:val="bottom"/>
          </w:tcPr>
          <w:p w:rsidR="002B489A" w:rsidRDefault="004F19C4">
            <w:pPr>
              <w:pStyle w:val="Tabletext"/>
              <w:keepNext/>
              <w:framePr w:hSpace="181" w:wrap="notBeside" w:vAnchor="text" w:hAnchor="text" w:xAlign="center" w:y="1"/>
              <w:spacing w:before="30" w:after="30"/>
              <w:jc w:val="center"/>
              <w:rPr>
                <w:rFonts w:eastAsia="Arial Unicode MS"/>
              </w:rPr>
            </w:pPr>
            <w:r>
              <w:t>–11,3</w:t>
            </w:r>
          </w:p>
        </w:tc>
      </w:tr>
      <w:tr w:rsidR="002B489A">
        <w:trPr>
          <w:trHeight w:val="255"/>
        </w:trPr>
        <w:tc>
          <w:tcPr>
            <w:tcW w:w="4536" w:type="dxa"/>
            <w:vAlign w:val="bottom"/>
          </w:tcPr>
          <w:p w:rsidR="002B489A" w:rsidRDefault="004F19C4">
            <w:pPr>
              <w:pStyle w:val="Tabletext"/>
              <w:framePr w:hSpace="181" w:wrap="notBeside" w:vAnchor="text" w:hAnchor="text" w:xAlign="center" w:y="1"/>
              <w:spacing w:before="30" w:after="30"/>
              <w:ind w:left="284" w:right="284"/>
              <w:rPr>
                <w:rFonts w:eastAsia="Arial Unicode MS"/>
              </w:rPr>
            </w:pPr>
            <w:r>
              <w:t>Puissance cumulée (dB(W/MHz))</w:t>
            </w:r>
          </w:p>
        </w:tc>
        <w:tc>
          <w:tcPr>
            <w:tcW w:w="1418" w:type="dxa"/>
            <w:vAlign w:val="bottom"/>
          </w:tcPr>
          <w:p w:rsidR="002B489A" w:rsidRDefault="004F19C4">
            <w:pPr>
              <w:pStyle w:val="Tabletext"/>
              <w:keepNext/>
              <w:framePr w:hSpace="181" w:wrap="notBeside" w:vAnchor="text" w:hAnchor="text" w:xAlign="center" w:y="1"/>
              <w:spacing w:before="30" w:after="30"/>
              <w:jc w:val="center"/>
              <w:rPr>
                <w:rFonts w:eastAsia="Arial Unicode MS"/>
              </w:rPr>
            </w:pPr>
            <w:r>
              <w:t>–35,4</w:t>
            </w:r>
          </w:p>
        </w:tc>
        <w:tc>
          <w:tcPr>
            <w:tcW w:w="1418" w:type="dxa"/>
            <w:vAlign w:val="bottom"/>
          </w:tcPr>
          <w:p w:rsidR="002B489A" w:rsidRDefault="004F19C4">
            <w:pPr>
              <w:pStyle w:val="Tabletext"/>
              <w:keepNext/>
              <w:framePr w:hSpace="181" w:wrap="notBeside" w:vAnchor="text" w:hAnchor="text" w:xAlign="center" w:y="1"/>
              <w:spacing w:before="30" w:after="30"/>
              <w:jc w:val="center"/>
              <w:rPr>
                <w:rFonts w:eastAsia="Arial Unicode MS"/>
              </w:rPr>
            </w:pPr>
            <w:r>
              <w:t>–35,7</w:t>
            </w:r>
          </w:p>
        </w:tc>
      </w:tr>
      <w:tr w:rsidR="002B489A">
        <w:trPr>
          <w:trHeight w:val="255"/>
        </w:trPr>
        <w:tc>
          <w:tcPr>
            <w:tcW w:w="4536" w:type="dxa"/>
            <w:vAlign w:val="bottom"/>
          </w:tcPr>
          <w:p w:rsidR="002B489A" w:rsidRDefault="004F19C4">
            <w:pPr>
              <w:pStyle w:val="Tabletext"/>
              <w:framePr w:hSpace="181" w:wrap="notBeside" w:vAnchor="text" w:hAnchor="text" w:xAlign="center" w:y="1"/>
              <w:spacing w:before="30" w:after="30"/>
              <w:ind w:left="284" w:right="284"/>
              <w:rPr>
                <w:rFonts w:eastAsia="Arial Unicode MS"/>
              </w:rPr>
            </w:pPr>
            <w:r>
              <w:t>Densité de systèmes par km</w:t>
            </w:r>
            <w:r>
              <w:rPr>
                <w:vertAlign w:val="superscript"/>
              </w:rPr>
              <w:t>2</w:t>
            </w:r>
          </w:p>
        </w:tc>
        <w:tc>
          <w:tcPr>
            <w:tcW w:w="1418" w:type="dxa"/>
            <w:vAlign w:val="bottom"/>
          </w:tcPr>
          <w:p w:rsidR="002B489A" w:rsidRDefault="004F19C4">
            <w:pPr>
              <w:pStyle w:val="Tabletext"/>
              <w:framePr w:hSpace="181" w:wrap="notBeside" w:vAnchor="text" w:hAnchor="text" w:xAlign="center" w:y="1"/>
              <w:spacing w:before="30" w:after="30"/>
              <w:jc w:val="center"/>
              <w:rPr>
                <w:rFonts w:eastAsia="Arial Unicode MS"/>
              </w:rPr>
            </w:pPr>
            <w:r>
              <w:t>0,6</w:t>
            </w:r>
          </w:p>
        </w:tc>
        <w:tc>
          <w:tcPr>
            <w:tcW w:w="1418" w:type="dxa"/>
            <w:vAlign w:val="bottom"/>
          </w:tcPr>
          <w:p w:rsidR="002B489A" w:rsidRDefault="004F19C4">
            <w:pPr>
              <w:pStyle w:val="Tabletext"/>
              <w:framePr w:hSpace="181" w:wrap="notBeside" w:vAnchor="text" w:hAnchor="text" w:xAlign="center" w:y="1"/>
              <w:spacing w:before="30" w:after="30"/>
              <w:jc w:val="center"/>
              <w:rPr>
                <w:rFonts w:eastAsia="Arial Unicode MS"/>
              </w:rPr>
            </w:pPr>
            <w:r>
              <w:t>0,6</w:t>
            </w:r>
          </w:p>
        </w:tc>
      </w:tr>
      <w:tr w:rsidR="002B489A">
        <w:trPr>
          <w:trHeight w:val="255"/>
        </w:trPr>
        <w:tc>
          <w:tcPr>
            <w:tcW w:w="4536" w:type="dxa"/>
            <w:vAlign w:val="bottom"/>
          </w:tcPr>
          <w:p w:rsidR="002B489A" w:rsidRDefault="004F19C4">
            <w:pPr>
              <w:pStyle w:val="Tabletext"/>
              <w:framePr w:hSpace="181" w:wrap="notBeside" w:vAnchor="text" w:hAnchor="text" w:xAlign="center" w:y="1"/>
              <w:spacing w:before="30" w:after="30"/>
              <w:ind w:left="284" w:right="284"/>
              <w:rPr>
                <w:rFonts w:eastAsia="Arial Unicode MS"/>
              </w:rPr>
            </w:pPr>
            <w:r>
              <w:t>Taille de pixel par km</w:t>
            </w:r>
            <w:r>
              <w:rPr>
                <w:vertAlign w:val="superscript"/>
              </w:rPr>
              <w:t>2</w:t>
            </w:r>
          </w:p>
        </w:tc>
        <w:tc>
          <w:tcPr>
            <w:tcW w:w="1418" w:type="dxa"/>
            <w:vAlign w:val="bottom"/>
          </w:tcPr>
          <w:p w:rsidR="002B489A" w:rsidRDefault="004F19C4">
            <w:pPr>
              <w:pStyle w:val="Tabletext"/>
              <w:framePr w:hSpace="181" w:wrap="notBeside" w:vAnchor="text" w:hAnchor="text" w:xAlign="center" w:y="1"/>
              <w:spacing w:before="30" w:after="30"/>
              <w:jc w:val="center"/>
              <w:rPr>
                <w:rFonts w:eastAsia="Arial Unicode MS"/>
              </w:rPr>
            </w:pPr>
            <w:r>
              <w:t>201</w:t>
            </w:r>
          </w:p>
        </w:tc>
        <w:tc>
          <w:tcPr>
            <w:tcW w:w="1418" w:type="dxa"/>
            <w:vAlign w:val="bottom"/>
          </w:tcPr>
          <w:p w:rsidR="002B489A" w:rsidRDefault="004F19C4">
            <w:pPr>
              <w:pStyle w:val="Tabletext"/>
              <w:framePr w:hSpace="181" w:wrap="notBeside" w:vAnchor="text" w:hAnchor="text" w:xAlign="center" w:y="1"/>
              <w:spacing w:before="30" w:after="30"/>
              <w:jc w:val="center"/>
              <w:rPr>
                <w:rFonts w:eastAsia="Arial Unicode MS"/>
              </w:rPr>
            </w:pPr>
            <w:r>
              <w:t>201</w:t>
            </w:r>
          </w:p>
        </w:tc>
      </w:tr>
      <w:tr w:rsidR="002B489A">
        <w:trPr>
          <w:trHeight w:val="255"/>
        </w:trPr>
        <w:tc>
          <w:tcPr>
            <w:tcW w:w="4536" w:type="dxa"/>
            <w:vAlign w:val="bottom"/>
          </w:tcPr>
          <w:p w:rsidR="002B489A" w:rsidRDefault="004F19C4">
            <w:pPr>
              <w:pStyle w:val="Tabletext"/>
              <w:framePr w:hSpace="181" w:wrap="notBeside" w:vAnchor="text" w:hAnchor="text" w:xAlign="center" w:y="1"/>
              <w:spacing w:before="30" w:after="30"/>
              <w:ind w:left="284" w:right="284"/>
              <w:rPr>
                <w:rFonts w:eastAsia="Arial Unicode MS"/>
              </w:rPr>
            </w:pPr>
            <w:r>
              <w:t>Nombre d'émetteurs</w:t>
            </w:r>
          </w:p>
        </w:tc>
        <w:tc>
          <w:tcPr>
            <w:tcW w:w="1418" w:type="dxa"/>
            <w:vAlign w:val="bottom"/>
          </w:tcPr>
          <w:p w:rsidR="002B489A" w:rsidRDefault="004F19C4">
            <w:pPr>
              <w:pStyle w:val="Tabletext"/>
              <w:framePr w:hSpace="181" w:wrap="notBeside" w:vAnchor="text" w:hAnchor="text" w:xAlign="center" w:y="1"/>
              <w:spacing w:before="30" w:after="30"/>
              <w:jc w:val="center"/>
              <w:rPr>
                <w:rFonts w:eastAsia="Arial Unicode MS"/>
              </w:rPr>
            </w:pPr>
            <w:r>
              <w:t>121</w:t>
            </w:r>
          </w:p>
        </w:tc>
        <w:tc>
          <w:tcPr>
            <w:tcW w:w="1418" w:type="dxa"/>
            <w:vAlign w:val="bottom"/>
          </w:tcPr>
          <w:p w:rsidR="002B489A" w:rsidRDefault="004F19C4">
            <w:pPr>
              <w:pStyle w:val="Tabletext"/>
              <w:framePr w:hSpace="181" w:wrap="notBeside" w:vAnchor="text" w:hAnchor="text" w:xAlign="center" w:y="1"/>
              <w:spacing w:before="30" w:after="30"/>
              <w:jc w:val="center"/>
              <w:rPr>
                <w:rFonts w:eastAsia="Arial Unicode MS"/>
              </w:rPr>
            </w:pPr>
            <w:r>
              <w:t>121</w:t>
            </w:r>
          </w:p>
        </w:tc>
      </w:tr>
      <w:tr w:rsidR="002B489A">
        <w:trPr>
          <w:trHeight w:val="255"/>
        </w:trPr>
        <w:tc>
          <w:tcPr>
            <w:tcW w:w="4536" w:type="dxa"/>
            <w:vAlign w:val="bottom"/>
          </w:tcPr>
          <w:p w:rsidR="002B489A" w:rsidRDefault="004F19C4">
            <w:pPr>
              <w:pStyle w:val="Tabletext"/>
              <w:framePr w:hSpace="181" w:wrap="notBeside" w:vAnchor="text" w:hAnchor="text" w:xAlign="center" w:y="1"/>
              <w:spacing w:before="30" w:after="30"/>
              <w:ind w:left="284" w:right="284"/>
              <w:rPr>
                <w:rFonts w:eastAsia="Arial Unicode MS"/>
              </w:rPr>
            </w:pPr>
            <w:r>
              <w:t>Puissance par émetteur (dB(W/MHz))</w:t>
            </w:r>
          </w:p>
        </w:tc>
        <w:tc>
          <w:tcPr>
            <w:tcW w:w="1418" w:type="dxa"/>
            <w:vAlign w:val="bottom"/>
          </w:tcPr>
          <w:p w:rsidR="002B489A" w:rsidRDefault="004F19C4">
            <w:pPr>
              <w:pStyle w:val="Tabletext"/>
              <w:framePr w:hSpace="181" w:wrap="notBeside" w:vAnchor="text" w:hAnchor="text" w:xAlign="center" w:y="1"/>
              <w:spacing w:before="30" w:after="30"/>
              <w:jc w:val="center"/>
              <w:rPr>
                <w:rFonts w:eastAsia="Arial Unicode MS"/>
              </w:rPr>
            </w:pPr>
            <w:r>
              <w:t>–56,2</w:t>
            </w:r>
          </w:p>
        </w:tc>
        <w:tc>
          <w:tcPr>
            <w:tcW w:w="1418" w:type="dxa"/>
            <w:vAlign w:val="bottom"/>
          </w:tcPr>
          <w:p w:rsidR="002B489A" w:rsidRDefault="004F19C4">
            <w:pPr>
              <w:pStyle w:val="Tabletext"/>
              <w:framePr w:hSpace="181" w:wrap="notBeside" w:vAnchor="text" w:hAnchor="text" w:xAlign="center" w:y="1"/>
              <w:spacing w:before="30" w:after="30"/>
              <w:jc w:val="center"/>
              <w:rPr>
                <w:rFonts w:eastAsia="Arial Unicode MS"/>
              </w:rPr>
            </w:pPr>
            <w:r>
              <w:t>–56,5</w:t>
            </w:r>
          </w:p>
        </w:tc>
      </w:tr>
      <w:tr w:rsidR="002B489A">
        <w:trPr>
          <w:trHeight w:val="255"/>
        </w:trPr>
        <w:tc>
          <w:tcPr>
            <w:tcW w:w="4536" w:type="dxa"/>
            <w:vAlign w:val="bottom"/>
          </w:tcPr>
          <w:p w:rsidR="002B489A" w:rsidRDefault="004F19C4">
            <w:pPr>
              <w:pStyle w:val="Tabletext"/>
              <w:framePr w:hSpace="181" w:wrap="notBeside" w:vAnchor="text" w:hAnchor="text" w:xAlign="center" w:y="1"/>
              <w:spacing w:before="30" w:after="30"/>
              <w:ind w:left="284" w:right="284"/>
              <w:rPr>
                <w:rFonts w:eastAsia="Arial Unicode MS"/>
              </w:rPr>
            </w:pPr>
            <w:r>
              <w:t>Puissance par émetteur (dB(W/100 MHz))</w:t>
            </w:r>
          </w:p>
        </w:tc>
        <w:tc>
          <w:tcPr>
            <w:tcW w:w="1418" w:type="dxa"/>
            <w:vAlign w:val="bottom"/>
          </w:tcPr>
          <w:p w:rsidR="002B489A" w:rsidRDefault="004F19C4">
            <w:pPr>
              <w:pStyle w:val="Tabletext"/>
              <w:framePr w:hSpace="181" w:wrap="notBeside" w:vAnchor="text" w:hAnchor="text" w:xAlign="center" w:y="1"/>
              <w:spacing w:before="30" w:after="30"/>
              <w:jc w:val="center"/>
              <w:rPr>
                <w:rFonts w:eastAsia="Arial Unicode MS"/>
              </w:rPr>
            </w:pPr>
            <w:r>
              <w:t>–36,2</w:t>
            </w:r>
          </w:p>
        </w:tc>
        <w:tc>
          <w:tcPr>
            <w:tcW w:w="1418" w:type="dxa"/>
            <w:vAlign w:val="bottom"/>
          </w:tcPr>
          <w:p w:rsidR="002B489A" w:rsidRDefault="004F19C4">
            <w:pPr>
              <w:pStyle w:val="Tabletext"/>
              <w:framePr w:hSpace="181" w:wrap="notBeside" w:vAnchor="text" w:hAnchor="text" w:xAlign="center" w:y="1"/>
              <w:spacing w:before="30" w:after="30"/>
              <w:jc w:val="center"/>
              <w:rPr>
                <w:rFonts w:eastAsia="Arial Unicode MS"/>
              </w:rPr>
            </w:pPr>
            <w:r>
              <w:t>–36,5</w:t>
            </w:r>
          </w:p>
        </w:tc>
      </w:tr>
    </w:tbl>
    <w:p w:rsidR="002B489A" w:rsidRDefault="002B489A">
      <w:pPr>
        <w:pStyle w:val="Tablefin"/>
        <w:spacing w:before="0"/>
        <w:rPr>
          <w:sz w:val="2"/>
        </w:rPr>
      </w:pPr>
    </w:p>
    <w:p w:rsidR="002B489A" w:rsidRDefault="004F19C4">
      <w:pPr>
        <w:pStyle w:val="Heading2"/>
        <w:spacing w:before="360"/>
      </w:pPr>
      <w:r>
        <w:br w:type="page"/>
        <w:t>4.3</w:t>
      </w:r>
      <w:r>
        <w:tab/>
        <w:t>Valeur obtenue</w:t>
      </w:r>
    </w:p>
    <w:p w:rsidR="002B489A" w:rsidRDefault="004F19C4">
      <w:pPr>
        <w:pStyle w:val="Heading3"/>
      </w:pPr>
      <w:r>
        <w:t>4.3.1</w:t>
      </w:r>
      <w:r>
        <w:tab/>
        <w:t>Niveau des rayonnements non désirés fondé sur des Recommandations UIT-R</w:t>
      </w:r>
    </w:p>
    <w:p w:rsidR="002B489A" w:rsidRDefault="004F19C4">
      <w:r>
        <w:t xml:space="preserve">En première approche, seuls les rayonnements non désirés tombant dans le domaine des rayonnements non essentiels sont pris en compte (si la bande de garde est plus grande que le domaine des émissions hors bande). Alors, les niveaux d'affaiblissement fournis dans l'Appendice 3 du RR et la Recommandation UIT-R SM.329 sont utilisés pour calculer les niveaux de rayonnements non désirés provenant du service fixe qui tombent au sein du domaine des rayonnements non essentiels (décalage supérieur à 250% de la largeur de bande nécessaire ou de la séparation de canal par rapport à la fréquence centrale du signal de service fixe). Dans le cas de systèmes du service fixe, l'affaiblissement spécifié à l'Appendice 3 du RR devrait être, en dBc, le minimum de 70 dBc ou (43 </w:t>
      </w:r>
      <w:r>
        <w:rPr>
          <w:rFonts w:ascii="Symbol" w:hAnsi="Symbol"/>
        </w:rPr>
        <w:t></w:t>
      </w:r>
      <w:r>
        <w:t xml:space="preserve"> 10 log (</w:t>
      </w:r>
      <w:r>
        <w:rPr>
          <w:i/>
          <w:iCs/>
        </w:rPr>
        <w:t>P</w:t>
      </w:r>
      <w:r>
        <w:t>)).</w:t>
      </w:r>
    </w:p>
    <w:p w:rsidR="002B489A" w:rsidRDefault="004F19C4">
      <w:r>
        <w:t>Sur la base de l'approche de première étape, pour un système fonctionnant avec une puissance de sortie de 0 dBW et un espacement entre canaux de 56 MHz (voir le Tableau 86), la limite des rayonnements non essentiels pour ce système est:</w:t>
      </w:r>
    </w:p>
    <w:p w:rsidR="002B489A" w:rsidRDefault="004F19C4">
      <w:pPr>
        <w:pStyle w:val="Equation"/>
      </w:pPr>
      <w:r>
        <w:tab/>
      </w:r>
      <w:r>
        <w:rPr>
          <w:i/>
          <w:iCs/>
        </w:rPr>
        <w:t>P</w:t>
      </w:r>
      <w:r>
        <w:t xml:space="preserve"> (dBW) – (43 </w:t>
      </w:r>
      <w:r>
        <w:rPr>
          <w:rFonts w:ascii="Symbol" w:hAnsi="Symbol"/>
        </w:rPr>
        <w:t></w:t>
      </w:r>
      <w:r>
        <w:t xml:space="preserve"> </w:t>
      </w:r>
      <w:r>
        <w:rPr>
          <w:i/>
          <w:iCs/>
        </w:rPr>
        <w:t>P</w:t>
      </w:r>
      <w:r>
        <w:t>)          dB dans une largeur de bande de référence de 1 MHz.</w:t>
      </w:r>
    </w:p>
    <w:p w:rsidR="002B489A" w:rsidRDefault="004F19C4">
      <w:r>
        <w:t>Le Tableau 91 donne le niveau de rayonnements non essentiels qui peuvent tomber dans une largeur de bande de référence de 100 MHz.</w:t>
      </w:r>
    </w:p>
    <w:p w:rsidR="002B489A" w:rsidRDefault="004F19C4">
      <w:pPr>
        <w:pStyle w:val="TableNo"/>
        <w:rPr>
          <w:lang w:eastAsia="fr-FR"/>
        </w:rPr>
      </w:pPr>
      <w:r>
        <w:rPr>
          <w:lang w:eastAsia="fr-FR"/>
        </w:rPr>
        <w:t>TABLEAU  91</w:t>
      </w:r>
    </w:p>
    <w:p w:rsidR="002B489A" w:rsidRDefault="004F19C4">
      <w:pPr>
        <w:pStyle w:val="Tabletitle"/>
      </w:pPr>
      <w:r>
        <w:t xml:space="preserve">Calcul du niveau des rayonnements non essentiels qui peuvent tomber </w:t>
      </w:r>
      <w:r>
        <w:br/>
        <w:t>dans une largeur de bande de 100 MHz</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9"/>
        <w:gridCol w:w="2835"/>
        <w:gridCol w:w="2835"/>
      </w:tblGrid>
      <w:tr w:rsidR="002B489A">
        <w:tc>
          <w:tcPr>
            <w:tcW w:w="3969" w:type="dxa"/>
          </w:tcPr>
          <w:p w:rsidR="002B489A" w:rsidRDefault="004F19C4">
            <w:pPr>
              <w:pStyle w:val="Tablehead"/>
              <w:framePr w:hSpace="181" w:wrap="notBeside" w:vAnchor="text" w:hAnchor="text" w:xAlign="center" w:y="1"/>
            </w:pPr>
            <w:r>
              <w:t>Système du service fixe</w:t>
            </w:r>
          </w:p>
        </w:tc>
        <w:tc>
          <w:tcPr>
            <w:tcW w:w="2835" w:type="dxa"/>
          </w:tcPr>
          <w:p w:rsidR="002B489A" w:rsidRDefault="004F19C4">
            <w:pPr>
              <w:pStyle w:val="Tablehead"/>
              <w:framePr w:hSpace="181" w:wrap="notBeside" w:vAnchor="text" w:hAnchor="text" w:xAlign="center" w:y="1"/>
            </w:pPr>
            <w:r>
              <w:t>Niveau des rayonnements non essentiels par MHz</w:t>
            </w:r>
            <w:r>
              <w:br/>
              <w:t>(dBW)</w:t>
            </w:r>
          </w:p>
        </w:tc>
        <w:tc>
          <w:tcPr>
            <w:tcW w:w="0" w:type="auto"/>
          </w:tcPr>
          <w:p w:rsidR="002B489A" w:rsidRDefault="004F19C4">
            <w:pPr>
              <w:pStyle w:val="Tablehead"/>
              <w:framePr w:hSpace="181" w:wrap="notBeside" w:vAnchor="text" w:hAnchor="text" w:xAlign="center" w:y="1"/>
            </w:pPr>
            <w:r>
              <w:t>Niveau des rayonnements non essentiels par 100 MHz</w:t>
            </w:r>
            <w:r>
              <w:br/>
              <w:t>(dBW)</w:t>
            </w:r>
          </w:p>
        </w:tc>
      </w:tr>
      <w:tr w:rsidR="002B489A">
        <w:tc>
          <w:tcPr>
            <w:tcW w:w="3969" w:type="dxa"/>
          </w:tcPr>
          <w:p w:rsidR="002B489A" w:rsidRDefault="004F19C4">
            <w:pPr>
              <w:pStyle w:val="Tabletext"/>
              <w:framePr w:hSpace="181" w:wrap="notBeside" w:vAnchor="text" w:hAnchor="text" w:xAlign="center" w:y="1"/>
              <w:spacing w:line="240" w:lineRule="exact"/>
              <w:jc w:val="left"/>
            </w:pPr>
            <w:r>
              <w:t>Point à point 56 MHz (Tableau 87)</w:t>
            </w:r>
          </w:p>
        </w:tc>
        <w:tc>
          <w:tcPr>
            <w:tcW w:w="2835" w:type="dxa"/>
          </w:tcPr>
          <w:p w:rsidR="002B489A" w:rsidRDefault="004F19C4">
            <w:pPr>
              <w:pStyle w:val="Tabletext"/>
              <w:framePr w:hSpace="181" w:wrap="notBeside" w:vAnchor="text" w:hAnchor="text" w:xAlign="center" w:y="1"/>
              <w:spacing w:line="240" w:lineRule="exact"/>
              <w:jc w:val="center"/>
            </w:pPr>
            <w:r>
              <w:t>–</w:t>
            </w:r>
            <w:r>
              <w:rPr>
                <w:rFonts w:ascii="Tms Rmn" w:hAnsi="Tms Rmn"/>
                <w:sz w:val="8"/>
              </w:rPr>
              <w:t> </w:t>
            </w:r>
            <w:r>
              <w:t>43</w:t>
            </w:r>
          </w:p>
        </w:tc>
        <w:tc>
          <w:tcPr>
            <w:tcW w:w="0" w:type="auto"/>
          </w:tcPr>
          <w:p w:rsidR="002B489A" w:rsidRDefault="004F19C4">
            <w:pPr>
              <w:pStyle w:val="Tabletext"/>
              <w:framePr w:hSpace="181" w:wrap="notBeside" w:vAnchor="text" w:hAnchor="text" w:xAlign="center" w:y="1"/>
              <w:spacing w:line="240" w:lineRule="exact"/>
              <w:jc w:val="center"/>
            </w:pPr>
            <w:r>
              <w:t>–</w:t>
            </w:r>
            <w:r>
              <w:rPr>
                <w:rFonts w:ascii="Tms Rmn" w:hAnsi="Tms Rmn"/>
                <w:sz w:val="8"/>
              </w:rPr>
              <w:t> </w:t>
            </w:r>
            <w:r>
              <w:t>23</w:t>
            </w:r>
          </w:p>
        </w:tc>
      </w:tr>
      <w:tr w:rsidR="002B489A">
        <w:tc>
          <w:tcPr>
            <w:tcW w:w="3969" w:type="dxa"/>
          </w:tcPr>
          <w:p w:rsidR="002B489A" w:rsidRDefault="004F19C4">
            <w:pPr>
              <w:pStyle w:val="Tabletext"/>
              <w:framePr w:hSpace="181" w:wrap="notBeside" w:vAnchor="text" w:hAnchor="text" w:xAlign="center" w:y="1"/>
              <w:spacing w:line="240" w:lineRule="exact"/>
              <w:jc w:val="left"/>
            </w:pPr>
            <w:r>
              <w:t>Point à point 3,5 MHz (Tableau 87)</w:t>
            </w:r>
          </w:p>
        </w:tc>
        <w:tc>
          <w:tcPr>
            <w:tcW w:w="2835" w:type="dxa"/>
          </w:tcPr>
          <w:p w:rsidR="002B489A" w:rsidRDefault="004F19C4">
            <w:pPr>
              <w:pStyle w:val="Tabletext"/>
              <w:framePr w:hSpace="181" w:wrap="notBeside" w:vAnchor="text" w:hAnchor="text" w:xAlign="center" w:y="1"/>
              <w:spacing w:line="240" w:lineRule="exact"/>
              <w:jc w:val="center"/>
            </w:pPr>
            <w:r>
              <w:t>–</w:t>
            </w:r>
            <w:r>
              <w:rPr>
                <w:rFonts w:ascii="Tms Rmn" w:hAnsi="Tms Rmn"/>
                <w:sz w:val="8"/>
              </w:rPr>
              <w:t> </w:t>
            </w:r>
            <w:r>
              <w:t>43</w:t>
            </w:r>
          </w:p>
        </w:tc>
        <w:tc>
          <w:tcPr>
            <w:tcW w:w="0" w:type="auto"/>
          </w:tcPr>
          <w:p w:rsidR="002B489A" w:rsidRDefault="004F19C4">
            <w:pPr>
              <w:pStyle w:val="Tabletext"/>
              <w:framePr w:hSpace="181" w:wrap="notBeside" w:vAnchor="text" w:hAnchor="text" w:xAlign="center" w:y="1"/>
              <w:spacing w:line="240" w:lineRule="exact"/>
              <w:jc w:val="center"/>
            </w:pPr>
            <w:r>
              <w:t>–</w:t>
            </w:r>
            <w:r>
              <w:rPr>
                <w:rFonts w:ascii="Tms Rmn" w:hAnsi="Tms Rmn"/>
                <w:sz w:val="8"/>
              </w:rPr>
              <w:t> </w:t>
            </w:r>
            <w:r>
              <w:t>23</w:t>
            </w:r>
          </w:p>
        </w:tc>
      </w:tr>
      <w:tr w:rsidR="002B489A">
        <w:tc>
          <w:tcPr>
            <w:tcW w:w="3969" w:type="dxa"/>
          </w:tcPr>
          <w:p w:rsidR="002B489A" w:rsidRDefault="004F19C4">
            <w:pPr>
              <w:pStyle w:val="Tabletext"/>
              <w:framePr w:hSpace="181" w:wrap="notBeside" w:vAnchor="text" w:hAnchor="text" w:xAlign="center" w:y="1"/>
              <w:spacing w:line="240" w:lineRule="exact"/>
              <w:jc w:val="left"/>
            </w:pPr>
            <w:r>
              <w:t>P-MP 28 MHz (station centrale, Tableau 88)</w:t>
            </w:r>
          </w:p>
        </w:tc>
        <w:tc>
          <w:tcPr>
            <w:tcW w:w="2835" w:type="dxa"/>
          </w:tcPr>
          <w:p w:rsidR="002B489A" w:rsidRDefault="004F19C4">
            <w:pPr>
              <w:pStyle w:val="Tabletext"/>
              <w:framePr w:hSpace="181" w:wrap="notBeside" w:vAnchor="text" w:hAnchor="text" w:xAlign="center" w:y="1"/>
              <w:spacing w:line="240" w:lineRule="exact"/>
              <w:jc w:val="center"/>
            </w:pPr>
            <w:r>
              <w:t>–</w:t>
            </w:r>
            <w:r>
              <w:rPr>
                <w:rFonts w:ascii="Tms Rmn" w:hAnsi="Tms Rmn"/>
                <w:sz w:val="8"/>
              </w:rPr>
              <w:t> </w:t>
            </w:r>
            <w:r>
              <w:t>43</w:t>
            </w:r>
          </w:p>
        </w:tc>
        <w:tc>
          <w:tcPr>
            <w:tcW w:w="0" w:type="auto"/>
          </w:tcPr>
          <w:p w:rsidR="002B489A" w:rsidRDefault="004F19C4">
            <w:pPr>
              <w:pStyle w:val="Tabletext"/>
              <w:framePr w:hSpace="181" w:wrap="notBeside" w:vAnchor="text" w:hAnchor="text" w:xAlign="center" w:y="1"/>
              <w:spacing w:line="240" w:lineRule="exact"/>
              <w:jc w:val="center"/>
            </w:pPr>
            <w:r>
              <w:t>–</w:t>
            </w:r>
            <w:r>
              <w:rPr>
                <w:rFonts w:ascii="Tms Rmn" w:hAnsi="Tms Rmn"/>
                <w:sz w:val="8"/>
              </w:rPr>
              <w:t> </w:t>
            </w:r>
            <w:r>
              <w:t>23</w:t>
            </w:r>
          </w:p>
        </w:tc>
      </w:tr>
      <w:tr w:rsidR="002B489A">
        <w:tc>
          <w:tcPr>
            <w:tcW w:w="3969" w:type="dxa"/>
          </w:tcPr>
          <w:p w:rsidR="002B489A" w:rsidRDefault="004F19C4">
            <w:pPr>
              <w:pStyle w:val="Tabletext"/>
              <w:framePr w:hSpace="181" w:wrap="notBeside" w:vAnchor="text" w:hAnchor="text" w:xAlign="center" w:y="1"/>
              <w:spacing w:line="240" w:lineRule="exact"/>
              <w:jc w:val="left"/>
            </w:pPr>
            <w:r>
              <w:t>P-MP 28 MHz (station terminale, Tableau 88)</w:t>
            </w:r>
          </w:p>
        </w:tc>
        <w:tc>
          <w:tcPr>
            <w:tcW w:w="2835" w:type="dxa"/>
          </w:tcPr>
          <w:p w:rsidR="002B489A" w:rsidRDefault="004F19C4">
            <w:pPr>
              <w:pStyle w:val="Tabletext"/>
              <w:framePr w:hSpace="181" w:wrap="notBeside" w:vAnchor="text" w:hAnchor="text" w:xAlign="center" w:y="1"/>
              <w:spacing w:line="240" w:lineRule="exact"/>
              <w:jc w:val="center"/>
            </w:pPr>
            <w:r>
              <w:t>–</w:t>
            </w:r>
            <w:r>
              <w:rPr>
                <w:rFonts w:ascii="Tms Rmn" w:hAnsi="Tms Rmn"/>
                <w:sz w:val="8"/>
              </w:rPr>
              <w:t> </w:t>
            </w:r>
            <w:r>
              <w:t>43</w:t>
            </w:r>
          </w:p>
        </w:tc>
        <w:tc>
          <w:tcPr>
            <w:tcW w:w="0" w:type="auto"/>
          </w:tcPr>
          <w:p w:rsidR="002B489A" w:rsidRDefault="004F19C4">
            <w:pPr>
              <w:pStyle w:val="Tabletext"/>
              <w:framePr w:hSpace="181" w:wrap="notBeside" w:vAnchor="text" w:hAnchor="text" w:xAlign="center" w:y="1"/>
              <w:spacing w:line="240" w:lineRule="exact"/>
              <w:jc w:val="center"/>
            </w:pPr>
            <w:r>
              <w:t>–</w:t>
            </w:r>
            <w:r>
              <w:rPr>
                <w:rFonts w:ascii="Tms Rmn" w:hAnsi="Tms Rmn"/>
                <w:sz w:val="8"/>
              </w:rPr>
              <w:t> </w:t>
            </w:r>
            <w:r>
              <w:t>23</w:t>
            </w:r>
          </w:p>
        </w:tc>
      </w:tr>
    </w:tbl>
    <w:p w:rsidR="002B489A" w:rsidRDefault="002B489A">
      <w:pPr>
        <w:pStyle w:val="Tablefin"/>
        <w:rPr>
          <w:lang w:val="fr-CH"/>
        </w:rPr>
      </w:pPr>
    </w:p>
    <w:p w:rsidR="002B489A" w:rsidRDefault="004F19C4">
      <w:r>
        <w:t>Cette approche de première étape conduit à la conclusion que même si on ne considère que les rayonnements non désirés tombant dans le domaine des rayonnements non essentiels, les critères de protection SETS ne sont pas satisfaits.</w:t>
      </w:r>
    </w:p>
    <w:p w:rsidR="002B489A" w:rsidRDefault="004F19C4">
      <w:pPr>
        <w:pStyle w:val="Heading3"/>
        <w:ind w:left="0" w:firstLine="0"/>
      </w:pPr>
      <w:r>
        <w:t>4.3.2</w:t>
      </w:r>
      <w:r>
        <w:tab/>
        <w:t>Précision des calculs</w:t>
      </w:r>
    </w:p>
    <w:p w:rsidR="002B489A" w:rsidRDefault="004F19C4">
      <w:r>
        <w:t>Les systèmes de service fixe déployés dans cette bande peuvent se conformer aux limites données dans la Norme ETSI EN 300 197 et à la Catégorie B donnée dans la Recommandation UIT</w:t>
      </w:r>
      <w:r>
        <w:noBreakHyphen/>
        <w:t>R SM.329 comme ceux qui seront déployés dans la bande 31</w:t>
      </w:r>
      <w:r>
        <w:noBreakHyphen/>
        <w:t>31,3 GHz (voir l'Annexe 15 de la présente Recommandation</w:t>
      </w:r>
      <w:r>
        <w:rPr>
          <w:lang w:val="fr-CH"/>
        </w:rPr>
        <w:t>)</w:t>
      </w:r>
      <w:r>
        <w:t>.</w:t>
      </w:r>
    </w:p>
    <w:p w:rsidR="002B489A" w:rsidRDefault="004F19C4">
      <w:r>
        <w:br w:type="page"/>
        <w:t>Les puissances acceptables par terminal qui ont été calculées aux Tableaux 89 et 90 sont trop proches de celles qui ont été prises en compte à l'Annexe 15, qui traite de la compatibilité entre le SETS (passive) fonctionnant dans la bande 31,3-31,5 GHz et les systèmes de service fixe fonctionnant dans la bande 31,0-31,3 GHz. Cela signifie que les bandes de garde, qui ont été déduites à l'Annexe 15 de la présente Recommandation, sont suffisantes pour protéger le fonctionnement du SETS. La bande de garde correspondante est donnée au Tableau 92.</w:t>
      </w:r>
    </w:p>
    <w:p w:rsidR="002B489A" w:rsidRDefault="004F19C4">
      <w:pPr>
        <w:pStyle w:val="TableNo"/>
        <w:rPr>
          <w:lang w:eastAsia="fr-FR"/>
        </w:rPr>
      </w:pPr>
      <w:r>
        <w:rPr>
          <w:lang w:eastAsia="fr-FR"/>
        </w:rPr>
        <w:t>TABLEAU  92</w:t>
      </w:r>
    </w:p>
    <w:p w:rsidR="002B489A" w:rsidRDefault="004F19C4">
      <w:pPr>
        <w:pStyle w:val="Tabletitle"/>
        <w:rPr>
          <w:lang w:eastAsia="fr-FR"/>
        </w:rPr>
      </w:pPr>
      <w:r>
        <w:rPr>
          <w:lang w:eastAsia="fr-FR"/>
        </w:rPr>
        <w:t>Bande de garde en fonction de l'espacement entre canaux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2"/>
        <w:gridCol w:w="2722"/>
        <w:gridCol w:w="2722"/>
      </w:tblGrid>
      <w:tr w:rsidR="002B489A">
        <w:tc>
          <w:tcPr>
            <w:tcW w:w="2722" w:type="dxa"/>
          </w:tcPr>
          <w:p w:rsidR="002B489A" w:rsidRDefault="004F19C4">
            <w:pPr>
              <w:pStyle w:val="Tablehead"/>
              <w:framePr w:hSpace="181" w:wrap="notBeside" w:vAnchor="text" w:hAnchor="text" w:xAlign="center" w:y="1"/>
              <w:spacing w:line="240" w:lineRule="exact"/>
            </w:pPr>
            <w:r>
              <w:t>Espacement entre canaux (MHz)</w:t>
            </w:r>
          </w:p>
        </w:tc>
        <w:tc>
          <w:tcPr>
            <w:tcW w:w="2722" w:type="dxa"/>
          </w:tcPr>
          <w:p w:rsidR="002B489A" w:rsidRDefault="004F19C4">
            <w:pPr>
              <w:pStyle w:val="Tablehead"/>
              <w:framePr w:hSpace="181" w:wrap="notBeside" w:vAnchor="text" w:hAnchor="text" w:xAlign="center" w:y="1"/>
              <w:spacing w:line="240" w:lineRule="exact"/>
            </w:pPr>
            <w:r>
              <w:rPr>
                <w:i/>
                <w:iCs/>
              </w:rPr>
              <w:t>Z</w:t>
            </w:r>
            <w:r>
              <w:rPr>
                <w:vertAlign w:val="subscript"/>
              </w:rPr>
              <w:t>2</w:t>
            </w:r>
            <w:r>
              <w:rPr>
                <w:i/>
                <w:iCs/>
              </w:rPr>
              <w:t>S</w:t>
            </w:r>
            <w:r>
              <w:t xml:space="preserve"> </w:t>
            </w:r>
            <w:r>
              <w:br/>
              <w:t>(MHz)</w:t>
            </w:r>
          </w:p>
        </w:tc>
        <w:tc>
          <w:tcPr>
            <w:tcW w:w="2722" w:type="dxa"/>
          </w:tcPr>
          <w:p w:rsidR="002B489A" w:rsidRDefault="004F19C4">
            <w:pPr>
              <w:pStyle w:val="Tablehead"/>
              <w:framePr w:hSpace="181" w:wrap="notBeside" w:vAnchor="text" w:hAnchor="text" w:xAlign="center" w:y="1"/>
              <w:spacing w:line="240" w:lineRule="exact"/>
            </w:pPr>
            <w:r>
              <w:t xml:space="preserve">Bande de garde </w:t>
            </w:r>
            <w:r>
              <w:br/>
              <w:t>(MHz)</w:t>
            </w:r>
          </w:p>
        </w:tc>
      </w:tr>
      <w:tr w:rsidR="002B489A">
        <w:tc>
          <w:tcPr>
            <w:tcW w:w="2722" w:type="dxa"/>
          </w:tcPr>
          <w:p w:rsidR="002B489A" w:rsidRDefault="004F19C4">
            <w:pPr>
              <w:pStyle w:val="Tabletext"/>
              <w:framePr w:hSpace="181" w:wrap="notBeside" w:vAnchor="text" w:hAnchor="text" w:xAlign="center" w:y="1"/>
              <w:jc w:val="center"/>
            </w:pPr>
            <w:r>
              <w:t>3,5</w:t>
            </w:r>
          </w:p>
        </w:tc>
        <w:tc>
          <w:tcPr>
            <w:tcW w:w="2722" w:type="dxa"/>
          </w:tcPr>
          <w:p w:rsidR="002B489A" w:rsidRDefault="004F19C4">
            <w:pPr>
              <w:pStyle w:val="Tabletext"/>
              <w:framePr w:hSpace="181" w:wrap="notBeside" w:vAnchor="text" w:hAnchor="text" w:xAlign="center" w:y="1"/>
              <w:jc w:val="center"/>
            </w:pPr>
            <w:r>
              <w:t>28,75</w:t>
            </w:r>
          </w:p>
        </w:tc>
        <w:tc>
          <w:tcPr>
            <w:tcW w:w="2722" w:type="dxa"/>
          </w:tcPr>
          <w:p w:rsidR="002B489A" w:rsidRDefault="004F19C4">
            <w:pPr>
              <w:pStyle w:val="Tabletext"/>
              <w:framePr w:hSpace="181" w:wrap="notBeside" w:vAnchor="text" w:hAnchor="text" w:xAlign="center" w:y="1"/>
              <w:jc w:val="center"/>
            </w:pPr>
            <w:r>
              <w:t>27</w:t>
            </w:r>
          </w:p>
        </w:tc>
      </w:tr>
      <w:tr w:rsidR="002B489A">
        <w:tc>
          <w:tcPr>
            <w:tcW w:w="2722" w:type="dxa"/>
          </w:tcPr>
          <w:p w:rsidR="002B489A" w:rsidRDefault="004F19C4">
            <w:pPr>
              <w:pStyle w:val="Tabletext"/>
              <w:framePr w:hSpace="181" w:wrap="notBeside" w:vAnchor="text" w:hAnchor="text" w:xAlign="center" w:y="1"/>
              <w:jc w:val="center"/>
            </w:pPr>
            <w:r>
              <w:t>7</w:t>
            </w:r>
          </w:p>
        </w:tc>
        <w:tc>
          <w:tcPr>
            <w:tcW w:w="2722" w:type="dxa"/>
          </w:tcPr>
          <w:p w:rsidR="002B489A" w:rsidRDefault="004F19C4">
            <w:pPr>
              <w:pStyle w:val="Tabletext"/>
              <w:framePr w:hSpace="181" w:wrap="notBeside" w:vAnchor="text" w:hAnchor="text" w:xAlign="center" w:y="1"/>
              <w:jc w:val="center"/>
            </w:pPr>
            <w:r>
              <w:t>27,5</w:t>
            </w:r>
          </w:p>
        </w:tc>
        <w:tc>
          <w:tcPr>
            <w:tcW w:w="2722" w:type="dxa"/>
          </w:tcPr>
          <w:p w:rsidR="002B489A" w:rsidRDefault="004F19C4">
            <w:pPr>
              <w:pStyle w:val="Tabletext"/>
              <w:framePr w:hSpace="181" w:wrap="notBeside" w:vAnchor="text" w:hAnchor="text" w:xAlign="center" w:y="1"/>
              <w:jc w:val="center"/>
            </w:pPr>
            <w:r>
              <w:t>24</w:t>
            </w:r>
          </w:p>
        </w:tc>
      </w:tr>
      <w:tr w:rsidR="002B489A">
        <w:tc>
          <w:tcPr>
            <w:tcW w:w="2722" w:type="dxa"/>
          </w:tcPr>
          <w:p w:rsidR="002B489A" w:rsidRDefault="004F19C4">
            <w:pPr>
              <w:pStyle w:val="Tabletext"/>
              <w:framePr w:hSpace="181" w:wrap="notBeside" w:vAnchor="text" w:hAnchor="text" w:xAlign="center" w:y="1"/>
              <w:jc w:val="center"/>
            </w:pPr>
            <w:r>
              <w:t>14</w:t>
            </w:r>
          </w:p>
        </w:tc>
        <w:tc>
          <w:tcPr>
            <w:tcW w:w="2722" w:type="dxa"/>
          </w:tcPr>
          <w:p w:rsidR="002B489A" w:rsidRDefault="004F19C4">
            <w:pPr>
              <w:pStyle w:val="Tabletext"/>
              <w:framePr w:hSpace="181" w:wrap="notBeside" w:vAnchor="text" w:hAnchor="text" w:xAlign="center" w:y="1"/>
              <w:jc w:val="center"/>
            </w:pPr>
            <w:r>
              <w:t>22</w:t>
            </w:r>
          </w:p>
        </w:tc>
        <w:tc>
          <w:tcPr>
            <w:tcW w:w="2722" w:type="dxa"/>
          </w:tcPr>
          <w:p w:rsidR="002B489A" w:rsidRDefault="004F19C4">
            <w:pPr>
              <w:pStyle w:val="Tabletext"/>
              <w:framePr w:hSpace="181" w:wrap="notBeside" w:vAnchor="text" w:hAnchor="text" w:xAlign="center" w:y="1"/>
              <w:jc w:val="center"/>
            </w:pPr>
            <w:r>
              <w:t>15</w:t>
            </w:r>
          </w:p>
        </w:tc>
      </w:tr>
      <w:tr w:rsidR="002B489A">
        <w:tc>
          <w:tcPr>
            <w:tcW w:w="2722" w:type="dxa"/>
          </w:tcPr>
          <w:p w:rsidR="002B489A" w:rsidRDefault="004F19C4">
            <w:pPr>
              <w:pStyle w:val="Tabletext"/>
              <w:framePr w:hSpace="181" w:wrap="notBeside" w:vAnchor="text" w:hAnchor="text" w:xAlign="center" w:y="1"/>
              <w:jc w:val="center"/>
            </w:pPr>
            <w:r>
              <w:t>28</w:t>
            </w:r>
          </w:p>
        </w:tc>
        <w:tc>
          <w:tcPr>
            <w:tcW w:w="2722" w:type="dxa"/>
          </w:tcPr>
          <w:p w:rsidR="002B489A" w:rsidRDefault="004F19C4">
            <w:pPr>
              <w:pStyle w:val="Tabletext"/>
              <w:framePr w:hSpace="181" w:wrap="notBeside" w:vAnchor="text" w:hAnchor="text" w:xAlign="center" w:y="1"/>
              <w:jc w:val="center"/>
            </w:pPr>
            <w:r>
              <w:t>41</w:t>
            </w:r>
          </w:p>
        </w:tc>
        <w:tc>
          <w:tcPr>
            <w:tcW w:w="2722" w:type="dxa"/>
          </w:tcPr>
          <w:p w:rsidR="002B489A" w:rsidRDefault="004F19C4">
            <w:pPr>
              <w:pStyle w:val="Tabletext"/>
              <w:framePr w:hSpace="181" w:wrap="notBeside" w:vAnchor="text" w:hAnchor="text" w:xAlign="center" w:y="1"/>
              <w:jc w:val="center"/>
            </w:pPr>
            <w:r>
              <w:t>27</w:t>
            </w:r>
          </w:p>
        </w:tc>
      </w:tr>
      <w:tr w:rsidR="002B489A">
        <w:tc>
          <w:tcPr>
            <w:tcW w:w="2722" w:type="dxa"/>
          </w:tcPr>
          <w:p w:rsidR="002B489A" w:rsidRDefault="004F19C4">
            <w:pPr>
              <w:pStyle w:val="Tabletext"/>
              <w:framePr w:hSpace="181" w:wrap="notBeside" w:vAnchor="text" w:hAnchor="text" w:xAlign="center" w:y="1"/>
              <w:jc w:val="center"/>
            </w:pPr>
            <w:r>
              <w:t>56</w:t>
            </w:r>
          </w:p>
        </w:tc>
        <w:tc>
          <w:tcPr>
            <w:tcW w:w="2722" w:type="dxa"/>
          </w:tcPr>
          <w:p w:rsidR="002B489A" w:rsidRDefault="004F19C4">
            <w:pPr>
              <w:pStyle w:val="Tabletext"/>
              <w:framePr w:hSpace="181" w:wrap="notBeside" w:vAnchor="text" w:hAnchor="text" w:xAlign="center" w:y="1"/>
              <w:jc w:val="center"/>
            </w:pPr>
            <w:r>
              <w:t>80</w:t>
            </w:r>
          </w:p>
        </w:tc>
        <w:tc>
          <w:tcPr>
            <w:tcW w:w="2722" w:type="dxa"/>
          </w:tcPr>
          <w:p w:rsidR="002B489A" w:rsidRDefault="004F19C4">
            <w:pPr>
              <w:pStyle w:val="Tabletext"/>
              <w:framePr w:hSpace="181" w:wrap="notBeside" w:vAnchor="text" w:hAnchor="text" w:xAlign="center" w:y="1"/>
              <w:jc w:val="center"/>
            </w:pPr>
            <w:r>
              <w:t>52</w:t>
            </w:r>
          </w:p>
        </w:tc>
      </w:tr>
    </w:tbl>
    <w:p w:rsidR="002B489A" w:rsidRDefault="002B489A">
      <w:pPr>
        <w:pStyle w:val="Tablefin"/>
      </w:pPr>
    </w:p>
    <w:p w:rsidR="002B489A" w:rsidRDefault="004F19C4">
      <w:pPr>
        <w:pStyle w:val="Heading1"/>
      </w:pPr>
      <w:r>
        <w:t>5</w:t>
      </w:r>
      <w:r>
        <w:tab/>
        <w:t>Techniques de réduction des brouillages</w:t>
      </w:r>
    </w:p>
    <w:p w:rsidR="002B489A" w:rsidRDefault="004F19C4">
      <w:pPr>
        <w:pStyle w:val="Heading2"/>
      </w:pPr>
      <w:r>
        <w:t>5.1</w:t>
      </w:r>
      <w:r>
        <w:tab/>
        <w:t>SETS (passive)</w:t>
      </w:r>
    </w:p>
    <w:p w:rsidR="002B489A" w:rsidRDefault="004F19C4">
      <w:r>
        <w:t>La Recommandation UIT-R F.1520 donne les dispositions des canaux pour les systèmes du service fixe à déployer dans cette bande (voir la Fig. 60).</w:t>
      </w:r>
    </w:p>
    <w:p w:rsidR="002B489A" w:rsidRDefault="004F19C4">
      <w:pPr>
        <w:rPr>
          <w:lang w:eastAsia="fr-FR"/>
        </w:rPr>
      </w:pPr>
      <w:r>
        <w:rPr>
          <w:lang w:eastAsia="fr-FR"/>
        </w:rPr>
        <w:t xml:space="preserve">Le Tableau 93 donne les bandes de garde recommandées dans cette disposition des canaux et la différence avec les bandes de garde qui ont été calculées dans l'Annexe 15, qui traite de la </w:t>
      </w:r>
      <w:r>
        <w:t>compatibilité entre les systèmes du SETS (passive) fonctionnant dans la bande 31,3</w:t>
      </w:r>
      <w:r>
        <w:noBreakHyphen/>
        <w:t>31,5 GHz et les systèmes du service fixe fonctionnant dans la bande 31-31,3 GHz</w:t>
      </w:r>
      <w:r>
        <w:rPr>
          <w:lang w:eastAsia="fr-FR"/>
        </w:rPr>
        <w:t>.</w:t>
      </w:r>
    </w:p>
    <w:p w:rsidR="002B489A" w:rsidRDefault="004F19C4">
      <w:pPr>
        <w:spacing w:before="240"/>
      </w:pPr>
      <w:r>
        <w:t>Alors, pour les systèmes qui utilisent des gabarits plus contraignants pour les émissions hors bande que ceux donnés dans la Recommandation UIT-R SM.1541 (et satisfont aux limites données dans la Recommandation UIT-R SM.329 sous la Catégorie B au sein du domaine des rayonnements non essentiels), si une bande de garde d'environ 12 MHz est établie au sein de la bande attribuée au SETS, la protection des systèmes SETS sera assurée.</w:t>
      </w:r>
    </w:p>
    <w:p w:rsidR="002B489A" w:rsidRDefault="004F19C4">
      <w:pPr>
        <w:pStyle w:val="Heading2"/>
      </w:pPr>
      <w:r>
        <w:t>5.2</w:t>
      </w:r>
      <w:r>
        <w:tab/>
        <w:t>Service fixe</w:t>
      </w:r>
    </w:p>
    <w:p w:rsidR="002B489A" w:rsidRDefault="004F19C4">
      <w:r>
        <w:t>Les calculs ci-dessus se fondent sur l'hypothèse que les systèmes du service fixe déployés dans la bande 31,8-33,4 GHz utilisent un gabarit plus contraignant pour les émissions hors bande que ceux donnés dans la Recommandation UIT-R SM.1541 et les limites pour les rayonnements non essentiels donnés dans la Recommandation UIT-R SM.329 (Catégorie B).</w:t>
      </w:r>
    </w:p>
    <w:p w:rsidR="002B489A" w:rsidRDefault="004F19C4">
      <w:r>
        <w:t>D'autres techniques de réduction des brouillages telles que le filtrage peuvent aussi être utilisées pour diminuer le niveau des rayonnements non désirés provenant des systèmes du service fixe et tombant dans la bande du SETS.</w:t>
      </w:r>
    </w:p>
    <w:p w:rsidR="002B489A" w:rsidRDefault="004F19C4">
      <w:pPr>
        <w:pStyle w:val="FigureNo"/>
        <w:rPr>
          <w:lang w:eastAsia="fr-FR"/>
        </w:rPr>
      </w:pPr>
      <w:r>
        <w:br w:type="page"/>
      </w:r>
      <w:r w:rsidR="0006728D">
        <w:rPr>
          <w:noProof/>
          <w:lang w:val="fr-CH" w:eastAsia="fr-CH"/>
        </w:rPr>
        <w:drawing>
          <wp:inline distT="0" distB="0" distL="0" distR="0">
            <wp:extent cx="6153150" cy="60388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153150" cy="6038850"/>
                    </a:xfrm>
                    <a:prstGeom prst="rect">
                      <a:avLst/>
                    </a:prstGeom>
                    <a:noFill/>
                    <a:ln>
                      <a:noFill/>
                    </a:ln>
                  </pic:spPr>
                </pic:pic>
              </a:graphicData>
            </a:graphic>
          </wp:inline>
        </w:drawing>
      </w:r>
    </w:p>
    <w:p w:rsidR="002B489A" w:rsidRDefault="004F19C4">
      <w:pPr>
        <w:pStyle w:val="TableNo"/>
      </w:pPr>
      <w:r>
        <w:t>TABLEAU  93</w:t>
      </w:r>
    </w:p>
    <w:p w:rsidR="002B489A" w:rsidRDefault="004F19C4">
      <w:pPr>
        <w:pStyle w:val="Tabletitle"/>
      </w:pPr>
      <w:r>
        <w:t>Comparaison des bandes de garde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2"/>
        <w:gridCol w:w="2041"/>
        <w:gridCol w:w="2608"/>
        <w:gridCol w:w="1701"/>
      </w:tblGrid>
      <w:tr w:rsidR="002B489A">
        <w:tc>
          <w:tcPr>
            <w:tcW w:w="2042" w:type="dxa"/>
          </w:tcPr>
          <w:p w:rsidR="002B489A" w:rsidRDefault="004F19C4">
            <w:pPr>
              <w:pStyle w:val="Tablehead"/>
              <w:framePr w:hSpace="181" w:wrap="notBeside" w:vAnchor="text" w:hAnchor="text" w:xAlign="center" w:y="1"/>
            </w:pPr>
            <w:r>
              <w:t>Espacement entre canaux</w:t>
            </w:r>
            <w:r>
              <w:br/>
              <w:t>(MHz)</w:t>
            </w:r>
          </w:p>
        </w:tc>
        <w:tc>
          <w:tcPr>
            <w:tcW w:w="2041" w:type="dxa"/>
          </w:tcPr>
          <w:p w:rsidR="002B489A" w:rsidRDefault="004F19C4">
            <w:pPr>
              <w:pStyle w:val="Tablehead"/>
              <w:framePr w:hSpace="181" w:wrap="notBeside" w:vAnchor="text" w:hAnchor="text" w:xAlign="center" w:y="1"/>
            </w:pPr>
            <w:r>
              <w:t xml:space="preserve">Bande de garde calculée </w:t>
            </w:r>
            <w:r>
              <w:br/>
              <w:t>(MHz)</w:t>
            </w:r>
          </w:p>
        </w:tc>
        <w:tc>
          <w:tcPr>
            <w:tcW w:w="2608" w:type="dxa"/>
          </w:tcPr>
          <w:p w:rsidR="002B489A" w:rsidRDefault="004F19C4">
            <w:pPr>
              <w:pStyle w:val="Tablehead"/>
              <w:framePr w:hSpace="181" w:wrap="notBeside" w:vAnchor="text" w:hAnchor="text" w:xAlign="center" w:y="1"/>
            </w:pPr>
            <w:r>
              <w:t>Bande de garde incluse dans le plan</w:t>
            </w:r>
            <w:r>
              <w:br/>
              <w:t>(MHz)</w:t>
            </w:r>
          </w:p>
        </w:tc>
        <w:tc>
          <w:tcPr>
            <w:tcW w:w="1701" w:type="dxa"/>
          </w:tcPr>
          <w:p w:rsidR="002B489A" w:rsidRDefault="004F19C4">
            <w:pPr>
              <w:pStyle w:val="Tablehead"/>
              <w:framePr w:hSpace="181" w:wrap="notBeside" w:vAnchor="text" w:hAnchor="text" w:xAlign="center" w:y="1"/>
            </w:pPr>
            <w:r>
              <w:t>Différence (MHz)</w:t>
            </w:r>
          </w:p>
        </w:tc>
      </w:tr>
      <w:tr w:rsidR="002B489A">
        <w:tc>
          <w:tcPr>
            <w:tcW w:w="2042" w:type="dxa"/>
          </w:tcPr>
          <w:p w:rsidR="002B489A" w:rsidRDefault="004F19C4">
            <w:pPr>
              <w:pStyle w:val="Tabletext"/>
              <w:framePr w:hSpace="181" w:wrap="notBeside" w:vAnchor="text" w:hAnchor="text" w:xAlign="center" w:y="1"/>
              <w:jc w:val="center"/>
            </w:pPr>
            <w:r>
              <w:t>3,5</w:t>
            </w:r>
          </w:p>
        </w:tc>
        <w:tc>
          <w:tcPr>
            <w:tcW w:w="2041" w:type="dxa"/>
          </w:tcPr>
          <w:p w:rsidR="002B489A" w:rsidRDefault="004F19C4">
            <w:pPr>
              <w:pStyle w:val="Tabletext"/>
              <w:framePr w:hSpace="181" w:wrap="notBeside" w:vAnchor="text" w:hAnchor="text" w:xAlign="center" w:y="1"/>
              <w:jc w:val="center"/>
            </w:pPr>
            <w:r>
              <w:t>27</w:t>
            </w:r>
          </w:p>
        </w:tc>
        <w:tc>
          <w:tcPr>
            <w:tcW w:w="2608" w:type="dxa"/>
          </w:tcPr>
          <w:p w:rsidR="002B489A" w:rsidRDefault="004F19C4">
            <w:pPr>
              <w:pStyle w:val="Tabletext"/>
              <w:framePr w:hSpace="181" w:wrap="notBeside" w:vAnchor="text" w:hAnchor="text" w:xAlign="center" w:y="1"/>
              <w:jc w:val="center"/>
            </w:pPr>
            <w:r>
              <w:t>15</w:t>
            </w:r>
          </w:p>
        </w:tc>
        <w:tc>
          <w:tcPr>
            <w:tcW w:w="1701" w:type="dxa"/>
          </w:tcPr>
          <w:p w:rsidR="002B489A" w:rsidRDefault="004F19C4">
            <w:pPr>
              <w:pStyle w:val="Tabletext"/>
              <w:framePr w:hSpace="181" w:wrap="notBeside" w:vAnchor="text" w:hAnchor="text" w:xAlign="center" w:y="1"/>
              <w:jc w:val="center"/>
            </w:pPr>
            <w:r>
              <w:t>12</w:t>
            </w:r>
          </w:p>
        </w:tc>
      </w:tr>
      <w:tr w:rsidR="002B489A">
        <w:tc>
          <w:tcPr>
            <w:tcW w:w="2042" w:type="dxa"/>
          </w:tcPr>
          <w:p w:rsidR="002B489A" w:rsidRDefault="004F19C4">
            <w:pPr>
              <w:pStyle w:val="Tabletext"/>
              <w:framePr w:hSpace="181" w:wrap="notBeside" w:vAnchor="text" w:hAnchor="text" w:xAlign="center" w:y="1"/>
              <w:jc w:val="center"/>
            </w:pPr>
            <w:r>
              <w:t>7</w:t>
            </w:r>
          </w:p>
        </w:tc>
        <w:tc>
          <w:tcPr>
            <w:tcW w:w="2041" w:type="dxa"/>
          </w:tcPr>
          <w:p w:rsidR="002B489A" w:rsidRDefault="004F19C4">
            <w:pPr>
              <w:pStyle w:val="Tabletext"/>
              <w:framePr w:hSpace="181" w:wrap="notBeside" w:vAnchor="text" w:hAnchor="text" w:xAlign="center" w:y="1"/>
              <w:jc w:val="center"/>
            </w:pPr>
            <w:r>
              <w:t>24</w:t>
            </w:r>
          </w:p>
        </w:tc>
        <w:tc>
          <w:tcPr>
            <w:tcW w:w="2608" w:type="dxa"/>
          </w:tcPr>
          <w:p w:rsidR="002B489A" w:rsidRDefault="004F19C4">
            <w:pPr>
              <w:pStyle w:val="Tabletext"/>
              <w:framePr w:hSpace="181" w:wrap="notBeside" w:vAnchor="text" w:hAnchor="text" w:xAlign="center" w:y="1"/>
              <w:jc w:val="center"/>
            </w:pPr>
            <w:r>
              <w:t>15</w:t>
            </w:r>
          </w:p>
        </w:tc>
        <w:tc>
          <w:tcPr>
            <w:tcW w:w="1701" w:type="dxa"/>
          </w:tcPr>
          <w:p w:rsidR="002B489A" w:rsidRDefault="004F19C4">
            <w:pPr>
              <w:pStyle w:val="Tabletext"/>
              <w:framePr w:hSpace="181" w:wrap="notBeside" w:vAnchor="text" w:hAnchor="text" w:xAlign="center" w:y="1"/>
              <w:jc w:val="center"/>
            </w:pPr>
            <w:r>
              <w:t>9</w:t>
            </w:r>
          </w:p>
        </w:tc>
      </w:tr>
      <w:tr w:rsidR="002B489A">
        <w:tc>
          <w:tcPr>
            <w:tcW w:w="2042" w:type="dxa"/>
          </w:tcPr>
          <w:p w:rsidR="002B489A" w:rsidRDefault="004F19C4">
            <w:pPr>
              <w:pStyle w:val="Tabletext"/>
              <w:framePr w:hSpace="181" w:wrap="notBeside" w:vAnchor="text" w:hAnchor="text" w:xAlign="center" w:y="1"/>
              <w:jc w:val="center"/>
            </w:pPr>
            <w:r>
              <w:t>14</w:t>
            </w:r>
          </w:p>
        </w:tc>
        <w:tc>
          <w:tcPr>
            <w:tcW w:w="2041" w:type="dxa"/>
          </w:tcPr>
          <w:p w:rsidR="002B489A" w:rsidRDefault="004F19C4">
            <w:pPr>
              <w:pStyle w:val="Tabletext"/>
              <w:framePr w:hSpace="181" w:wrap="notBeside" w:vAnchor="text" w:hAnchor="text" w:xAlign="center" w:y="1"/>
              <w:jc w:val="center"/>
            </w:pPr>
            <w:r>
              <w:t>15</w:t>
            </w:r>
          </w:p>
        </w:tc>
        <w:tc>
          <w:tcPr>
            <w:tcW w:w="2608" w:type="dxa"/>
          </w:tcPr>
          <w:p w:rsidR="002B489A" w:rsidRDefault="004F19C4">
            <w:pPr>
              <w:pStyle w:val="Tabletext"/>
              <w:framePr w:hSpace="181" w:wrap="notBeside" w:vAnchor="text" w:hAnchor="text" w:xAlign="center" w:y="1"/>
              <w:jc w:val="center"/>
            </w:pPr>
            <w:r>
              <w:t>15</w:t>
            </w:r>
          </w:p>
        </w:tc>
        <w:tc>
          <w:tcPr>
            <w:tcW w:w="1701" w:type="dxa"/>
          </w:tcPr>
          <w:p w:rsidR="002B489A" w:rsidRDefault="004F19C4">
            <w:pPr>
              <w:pStyle w:val="Tabletext"/>
              <w:framePr w:hSpace="181" w:wrap="notBeside" w:vAnchor="text" w:hAnchor="text" w:xAlign="center" w:y="1"/>
              <w:jc w:val="center"/>
            </w:pPr>
            <w:r>
              <w:t>0</w:t>
            </w:r>
          </w:p>
        </w:tc>
      </w:tr>
      <w:tr w:rsidR="002B489A">
        <w:tc>
          <w:tcPr>
            <w:tcW w:w="2042" w:type="dxa"/>
          </w:tcPr>
          <w:p w:rsidR="002B489A" w:rsidRDefault="004F19C4">
            <w:pPr>
              <w:pStyle w:val="Tabletext"/>
              <w:framePr w:hSpace="181" w:wrap="notBeside" w:vAnchor="text" w:hAnchor="text" w:xAlign="center" w:y="1"/>
              <w:jc w:val="center"/>
            </w:pPr>
            <w:r>
              <w:t>28</w:t>
            </w:r>
          </w:p>
        </w:tc>
        <w:tc>
          <w:tcPr>
            <w:tcW w:w="2041" w:type="dxa"/>
          </w:tcPr>
          <w:p w:rsidR="002B489A" w:rsidRDefault="004F19C4">
            <w:pPr>
              <w:pStyle w:val="Tabletext"/>
              <w:framePr w:hSpace="181" w:wrap="notBeside" w:vAnchor="text" w:hAnchor="text" w:xAlign="center" w:y="1"/>
              <w:jc w:val="center"/>
            </w:pPr>
            <w:r>
              <w:t>27</w:t>
            </w:r>
          </w:p>
        </w:tc>
        <w:tc>
          <w:tcPr>
            <w:tcW w:w="2608" w:type="dxa"/>
          </w:tcPr>
          <w:p w:rsidR="002B489A" w:rsidRDefault="004F19C4">
            <w:pPr>
              <w:pStyle w:val="Tabletext"/>
              <w:framePr w:hSpace="181" w:wrap="notBeside" w:vAnchor="text" w:hAnchor="text" w:xAlign="center" w:y="1"/>
              <w:jc w:val="center"/>
            </w:pPr>
            <w:r>
              <w:t>15</w:t>
            </w:r>
          </w:p>
        </w:tc>
        <w:tc>
          <w:tcPr>
            <w:tcW w:w="1701" w:type="dxa"/>
          </w:tcPr>
          <w:p w:rsidR="002B489A" w:rsidRDefault="004F19C4">
            <w:pPr>
              <w:pStyle w:val="Tabletext"/>
              <w:framePr w:hSpace="181" w:wrap="notBeside" w:vAnchor="text" w:hAnchor="text" w:xAlign="center" w:y="1"/>
              <w:jc w:val="center"/>
            </w:pPr>
            <w:r>
              <w:t>12</w:t>
            </w:r>
          </w:p>
        </w:tc>
      </w:tr>
      <w:tr w:rsidR="002B489A">
        <w:tc>
          <w:tcPr>
            <w:tcW w:w="2042" w:type="dxa"/>
          </w:tcPr>
          <w:p w:rsidR="002B489A" w:rsidRDefault="004F19C4">
            <w:pPr>
              <w:pStyle w:val="Tabletext"/>
              <w:framePr w:hSpace="181" w:wrap="notBeside" w:vAnchor="text" w:hAnchor="text" w:xAlign="center" w:y="1"/>
              <w:jc w:val="center"/>
            </w:pPr>
            <w:r>
              <w:t>56</w:t>
            </w:r>
          </w:p>
        </w:tc>
        <w:tc>
          <w:tcPr>
            <w:tcW w:w="2041" w:type="dxa"/>
          </w:tcPr>
          <w:p w:rsidR="002B489A" w:rsidRDefault="004F19C4">
            <w:pPr>
              <w:pStyle w:val="Tabletext"/>
              <w:framePr w:hSpace="181" w:wrap="notBeside" w:vAnchor="text" w:hAnchor="text" w:xAlign="center" w:y="1"/>
              <w:jc w:val="center"/>
            </w:pPr>
            <w:r>
              <w:t>52</w:t>
            </w:r>
          </w:p>
        </w:tc>
        <w:tc>
          <w:tcPr>
            <w:tcW w:w="2608" w:type="dxa"/>
          </w:tcPr>
          <w:p w:rsidR="002B489A" w:rsidRDefault="004F19C4">
            <w:pPr>
              <w:pStyle w:val="Tabletext"/>
              <w:framePr w:hSpace="181" w:wrap="notBeside" w:vAnchor="text" w:hAnchor="text" w:xAlign="center" w:y="1"/>
              <w:jc w:val="center"/>
            </w:pPr>
            <w:r>
              <w:t>71</w:t>
            </w:r>
          </w:p>
        </w:tc>
        <w:tc>
          <w:tcPr>
            <w:tcW w:w="1701" w:type="dxa"/>
          </w:tcPr>
          <w:p w:rsidR="002B489A" w:rsidRDefault="004F19C4">
            <w:pPr>
              <w:pStyle w:val="Tabletext"/>
              <w:framePr w:hSpace="181" w:wrap="notBeside" w:vAnchor="text" w:hAnchor="text" w:xAlign="center" w:y="1"/>
              <w:jc w:val="center"/>
            </w:pPr>
            <w:r>
              <w:sym w:font="Symbol" w:char="F02D"/>
            </w:r>
            <w:r>
              <w:t>19</w:t>
            </w:r>
          </w:p>
        </w:tc>
      </w:tr>
    </w:tbl>
    <w:p w:rsidR="002B489A" w:rsidRDefault="002B489A">
      <w:pPr>
        <w:pStyle w:val="Tablefin"/>
      </w:pPr>
    </w:p>
    <w:p w:rsidR="002B489A" w:rsidRDefault="004F19C4">
      <w:pPr>
        <w:pStyle w:val="Heading2"/>
      </w:pPr>
      <w:r>
        <w:br w:type="page"/>
        <w:t>5.3</w:t>
      </w:r>
      <w:r>
        <w:tab/>
        <w:t>Impact des techniques de réduction des brouillages</w:t>
      </w:r>
    </w:p>
    <w:p w:rsidR="002B489A" w:rsidRDefault="004F19C4">
      <w:pPr>
        <w:pStyle w:val="Heading3"/>
      </w:pPr>
      <w:r>
        <w:t>5.3.1</w:t>
      </w:r>
      <w:r>
        <w:tab/>
        <w:t>SETS</w:t>
      </w:r>
    </w:p>
    <w:p w:rsidR="002B489A" w:rsidRDefault="004F19C4">
      <w:pPr>
        <w:tabs>
          <w:tab w:val="clear" w:pos="794"/>
        </w:tabs>
      </w:pPr>
      <w:r>
        <w:t>Dans la mesure où:</w:t>
      </w:r>
    </w:p>
    <w:p w:rsidR="002B489A" w:rsidRDefault="004F19C4">
      <w:pPr>
        <w:pStyle w:val="enumlev1"/>
        <w:rPr>
          <w:b/>
        </w:rPr>
      </w:pPr>
      <w:r>
        <w:t>–</w:t>
      </w:r>
      <w:r>
        <w:tab/>
        <w:t>pour satisfaire aux exigences du système SETS en terme de vérification de la qualité des mesures effectuées dans la bande 31,3-31,5 GHz (plus de 200 MHz sont disponibles dans la bande 31,5-31,8 GHz);</w:t>
      </w:r>
    </w:p>
    <w:p w:rsidR="002B489A" w:rsidRDefault="004F19C4">
      <w:pPr>
        <w:pStyle w:val="enumlev1"/>
        <w:rPr>
          <w:b/>
        </w:rPr>
      </w:pPr>
      <w:r>
        <w:t>–</w:t>
      </w:r>
      <w:r>
        <w:tab/>
        <w:t>pour obtenir une précision meilleure que 0,2 K, sachant que plus de 416 MHz sont disponibles pour les mesures,</w:t>
      </w:r>
    </w:p>
    <w:p w:rsidR="002B489A" w:rsidRDefault="004F19C4">
      <w:r>
        <w:t>la mise en oeuvre d'une bande de garde de 12 MHz dans la partie supérieure de la bande SETS de 31,5</w:t>
      </w:r>
      <w:r>
        <w:noBreakHyphen/>
        <w:t>31,8 GHz peut ne pas avoir d'impact sur le fonctionnement des détecteurs SETS.</w:t>
      </w:r>
    </w:p>
    <w:p w:rsidR="002B489A" w:rsidRDefault="004F19C4">
      <w:r>
        <w:t>Si les systèmes du service fixe ne mettent pas en œuvre les techniques de réduction des brouillages décrites au § 5.2, la bande de garde requise sera alors plus grande et cela peut affecter le fonctionnement du détecteur SETS.</w:t>
      </w:r>
    </w:p>
    <w:p w:rsidR="002B489A" w:rsidRDefault="004F19C4">
      <w:pPr>
        <w:pStyle w:val="Heading3"/>
      </w:pPr>
      <w:r>
        <w:t>5.3.2</w:t>
      </w:r>
      <w:r>
        <w:tab/>
        <w:t>Service fixe</w:t>
      </w:r>
    </w:p>
    <w:p w:rsidR="002B489A" w:rsidRDefault="004F19C4">
      <w:pPr>
        <w:rPr>
          <w:b/>
        </w:rPr>
      </w:pPr>
      <w:r>
        <w:t>Si les systèmes du service fixe mettent en œuvre des limites plus contraignantes pour les rayonnements non désirés que celles données dans la Recommandation UIT-R SM.1541 au sein du domaine des émissions hors bande, ainsi que les limites de Catégorie B données dans la Recommandation UIT-R SM.329, il faut encore déterminer leur impact pour le service fixe dans les pays qui ne respectent pas de telles limites. Si le service fixe met en œuvre d'autres techniques, l'impact de ces techniques doit alors lui aussi être déterminé.</w:t>
      </w:r>
    </w:p>
    <w:p w:rsidR="002B489A" w:rsidRDefault="004F19C4">
      <w:pPr>
        <w:pStyle w:val="Heading1"/>
      </w:pPr>
      <w:r>
        <w:t>6</w:t>
      </w:r>
      <w:r>
        <w:tab/>
        <w:t>Résultats des études</w:t>
      </w:r>
    </w:p>
    <w:p w:rsidR="002B489A" w:rsidRDefault="004F19C4">
      <w:pPr>
        <w:pStyle w:val="Heading2"/>
        <w:rPr>
          <w:lang w:eastAsia="fr-FR"/>
        </w:rPr>
      </w:pPr>
      <w:r>
        <w:rPr>
          <w:lang w:eastAsia="fr-FR"/>
        </w:rPr>
        <w:t>6.1</w:t>
      </w:r>
      <w:r>
        <w:rPr>
          <w:lang w:eastAsia="fr-FR"/>
        </w:rPr>
        <w:tab/>
        <w:t>Résumé</w:t>
      </w:r>
    </w:p>
    <w:p w:rsidR="002B489A" w:rsidRDefault="004F19C4">
      <w:pPr>
        <w:rPr>
          <w:lang w:eastAsia="fr-FR"/>
        </w:rPr>
      </w:pPr>
      <w:r>
        <w:rPr>
          <w:lang w:eastAsia="fr-FR"/>
        </w:rPr>
        <w:t>L'analyse effectuée dans les paragraphes précédents montre que la bande de garde qui est habituellement incluse dans les di</w:t>
      </w:r>
      <w:r>
        <w:t>spositions de canaux donnés dans la Recommandation UIT</w:t>
      </w:r>
      <w:r>
        <w:noBreakHyphen/>
        <w:t>R F.1520 peut n'être pas suffisante p</w:t>
      </w:r>
      <w:r>
        <w:rPr>
          <w:lang w:eastAsia="fr-FR"/>
        </w:rPr>
        <w:t>our réduire les niveaux de rayonnements non désirés provenant des systèmes du service fixe dans la bande 31,8-33,4 GHz jusqu'aux niveaux requis pour satisfaire aux critères de protection SETS.</w:t>
      </w:r>
    </w:p>
    <w:p w:rsidR="002B489A" w:rsidRDefault="004F19C4">
      <w:pPr>
        <w:rPr>
          <w:lang w:eastAsia="fr-FR"/>
        </w:rPr>
      </w:pPr>
      <w:r>
        <w:rPr>
          <w:lang w:eastAsia="fr-FR"/>
        </w:rPr>
        <w:t xml:space="preserve">Les concepteurs de systèmes SETS pourraient tenir compte de la possibilité d'inclure une bande de garde dans la </w:t>
      </w:r>
      <w:r>
        <w:t>partie supérieure de la band</w:t>
      </w:r>
      <w:r>
        <w:rPr>
          <w:lang w:eastAsia="fr-FR"/>
        </w:rPr>
        <w:t>e SETS de 31,5-31,8 GHz lors de la conception des systèmes SETS, de sorte que la protection des mesures du SETS puisse être assurée. L'adéquation et l'applicabilité des techniques de réduction des brouillages dans cette étude détaillée doivent faire l'objet de travaux complémentaires.</w:t>
      </w:r>
    </w:p>
    <w:p w:rsidR="002B489A" w:rsidRDefault="004F19C4">
      <w:pPr>
        <w:pStyle w:val="Heading2"/>
        <w:rPr>
          <w:lang w:eastAsia="fr-FR"/>
        </w:rPr>
      </w:pPr>
      <w:r>
        <w:rPr>
          <w:lang w:eastAsia="fr-FR"/>
        </w:rPr>
        <w:t>6.2</w:t>
      </w:r>
      <w:r>
        <w:rPr>
          <w:lang w:eastAsia="fr-FR"/>
        </w:rPr>
        <w:tab/>
        <w:t>Conclusion</w:t>
      </w:r>
    </w:p>
    <w:p w:rsidR="002B489A" w:rsidRDefault="004F19C4">
      <w:r>
        <w:t>En considérant les systèmes du service fixe qui se conforment à un gabarit plus contraignant pour les rayonnements non désirés que celui donné dans la Recommandation UIT-R SM.1541 et l'Appendice 3 du RR, et en tenant compte des dispositions de canaux pour les systèmes du service fixe dans cette bande (Recommandation UIT-R F.1520), la protection du SETS (passive) peut être assurée lorsque le système SETS (passive) inclura une bande de garde d'au moins 12 MHz à la bordure 31,8 GHz de la bande. Si les systèmes du service fixe ne pouvaient se conformer aux conditions ci-dessus, des bandes de gardes plus importantes seraient nécessaires à la bordure de la bande pour assurer la compatibilité.</w:t>
      </w:r>
    </w:p>
    <w:p w:rsidR="002B489A" w:rsidRDefault="004F19C4">
      <w:pPr>
        <w:pStyle w:val="AnnexNoTitle"/>
      </w:pPr>
      <w:r>
        <w:br w:type="page"/>
        <w:t xml:space="preserve">Annexe 17 </w:t>
      </w:r>
      <w:r>
        <w:br/>
      </w:r>
      <w:r>
        <w:br/>
        <w:t>Compatibilité entre le SETS (passive) dans la bande 31,5</w:t>
      </w:r>
      <w:r>
        <w:noBreakHyphen/>
        <w:t xml:space="preserve">31,8 GHz </w:t>
      </w:r>
      <w:r>
        <w:br/>
        <w:t xml:space="preserve">et les systèmes de radionavigation fonctionnant </w:t>
      </w:r>
      <w:r>
        <w:br/>
        <w:t>dans la bande 31,8</w:t>
      </w:r>
      <w:r>
        <w:noBreakHyphen/>
        <w:t>33,4 GHz</w:t>
      </w:r>
    </w:p>
    <w:p w:rsidR="002B489A" w:rsidRDefault="004F19C4">
      <w:pPr>
        <w:pStyle w:val="Heading1"/>
      </w:pPr>
      <w:r>
        <w:t>1</w:t>
      </w:r>
      <w:r>
        <w:tab/>
        <w:t>SETS (passive)</w:t>
      </w:r>
    </w:p>
    <w:p w:rsidR="002B489A" w:rsidRDefault="004F19C4">
      <w:pPr>
        <w:pStyle w:val="Heading2"/>
        <w:ind w:left="0" w:firstLine="0"/>
      </w:pPr>
      <w:r>
        <w:t>1.1</w:t>
      </w:r>
      <w:r>
        <w:tab/>
        <w:t>Bande attribuée</w:t>
      </w:r>
    </w:p>
    <w:p w:rsidR="002B489A" w:rsidRDefault="004F19C4">
      <w:r>
        <w:t>La bande 31,8-33,4 GHz est attribuée au service de radionavigation et cette bande est adjacente à la bande 31,5-31,8 GHz attribuée au SETS (passive). La présente Annexe donne les calculs des niveaux de rayonnements non désirés provenant du système de radionavigation fonctionnant au</w:t>
      </w:r>
      <w:r>
        <w:noBreakHyphen/>
        <w:t>dessus de 31,8 GHz qui peuvent tomber dans la bande 31,5-31,8 GHz.</w:t>
      </w:r>
    </w:p>
    <w:p w:rsidR="002B489A" w:rsidRDefault="004F19C4">
      <w:r>
        <w:t>Les attributions adjacentes aux bandes passives 31,5-31,8 GHz sont indiquées au Tableau 94.</w:t>
      </w:r>
    </w:p>
    <w:p w:rsidR="002B489A" w:rsidRDefault="004F19C4">
      <w:pPr>
        <w:pStyle w:val="TableNo"/>
      </w:pPr>
      <w:r>
        <w:t>TABLEAU  94</w:t>
      </w:r>
    </w:p>
    <w:p w:rsidR="002B489A" w:rsidRDefault="004F19C4">
      <w:pPr>
        <w:pStyle w:val="Tabletitle"/>
      </w:pPr>
      <w:r>
        <w:t>Attributions dans les bandes adjacentes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59"/>
        <w:gridCol w:w="3549"/>
        <w:gridCol w:w="2841"/>
      </w:tblGrid>
      <w:tr w:rsidR="002B489A">
        <w:tc>
          <w:tcPr>
            <w:tcW w:w="3059" w:type="dxa"/>
          </w:tcPr>
          <w:p w:rsidR="002B489A" w:rsidRDefault="004F19C4">
            <w:pPr>
              <w:pStyle w:val="Tablehead"/>
              <w:framePr w:hSpace="181" w:wrap="notBeside" w:vAnchor="text" w:hAnchor="text" w:xAlign="center" w:y="1"/>
            </w:pPr>
            <w:r>
              <w:t>Services dans la bande attribuée inférieure</w:t>
            </w:r>
          </w:p>
        </w:tc>
        <w:tc>
          <w:tcPr>
            <w:tcW w:w="3549" w:type="dxa"/>
          </w:tcPr>
          <w:p w:rsidR="002B489A" w:rsidRDefault="004F19C4">
            <w:pPr>
              <w:pStyle w:val="Tablehead"/>
              <w:framePr w:hSpace="181" w:wrap="notBeside" w:vAnchor="text" w:hAnchor="text" w:xAlign="center" w:y="1"/>
            </w:pPr>
            <w:r>
              <w:t>Bande passive</w:t>
            </w:r>
          </w:p>
        </w:tc>
        <w:tc>
          <w:tcPr>
            <w:tcW w:w="2841" w:type="dxa"/>
          </w:tcPr>
          <w:p w:rsidR="002B489A" w:rsidRDefault="004F19C4">
            <w:pPr>
              <w:pStyle w:val="Tablehead"/>
              <w:framePr w:hSpace="181" w:wrap="notBeside" w:vAnchor="text" w:hAnchor="text" w:xAlign="center" w:y="1"/>
            </w:pPr>
            <w:r>
              <w:t>Service dans la bande attribuée supérieure</w:t>
            </w:r>
          </w:p>
        </w:tc>
      </w:tr>
      <w:tr w:rsidR="002B489A">
        <w:tc>
          <w:tcPr>
            <w:tcW w:w="3059" w:type="dxa"/>
          </w:tcPr>
          <w:p w:rsidR="002B489A" w:rsidRDefault="004F19C4">
            <w:pPr>
              <w:pStyle w:val="Tablehead"/>
              <w:framePr w:hSpace="181" w:wrap="notBeside" w:vAnchor="text" w:hAnchor="text" w:xAlign="center" w:y="1"/>
            </w:pPr>
            <w:r>
              <w:t>31,3-31,5 GHz</w:t>
            </w:r>
          </w:p>
        </w:tc>
        <w:tc>
          <w:tcPr>
            <w:tcW w:w="3549" w:type="dxa"/>
          </w:tcPr>
          <w:p w:rsidR="002B489A" w:rsidRDefault="004F19C4">
            <w:pPr>
              <w:pStyle w:val="Tablehead"/>
              <w:framePr w:hSpace="181" w:wrap="notBeside" w:vAnchor="text" w:hAnchor="text" w:xAlign="center" w:y="1"/>
            </w:pPr>
            <w:r>
              <w:t>31,5-31,8 GHz</w:t>
            </w:r>
          </w:p>
        </w:tc>
        <w:tc>
          <w:tcPr>
            <w:tcW w:w="2841" w:type="dxa"/>
          </w:tcPr>
          <w:p w:rsidR="002B489A" w:rsidRDefault="004F19C4">
            <w:pPr>
              <w:pStyle w:val="Tablehead"/>
              <w:framePr w:hSpace="181" w:wrap="notBeside" w:vAnchor="text" w:hAnchor="text" w:xAlign="center" w:y="1"/>
            </w:pPr>
            <w:r>
              <w:t>31,8-32 GHz</w:t>
            </w:r>
          </w:p>
        </w:tc>
      </w:tr>
      <w:tr w:rsidR="002B489A">
        <w:tc>
          <w:tcPr>
            <w:tcW w:w="3059" w:type="dxa"/>
          </w:tcPr>
          <w:p w:rsidR="002B489A" w:rsidRDefault="004F19C4">
            <w:pPr>
              <w:pStyle w:val="Tabletext"/>
              <w:framePr w:hSpace="181" w:wrap="notBeside" w:vAnchor="text" w:hAnchor="text" w:xAlign="center" w:y="1"/>
              <w:jc w:val="left"/>
            </w:pPr>
            <w:r>
              <w:t>EXPLORATION DE LA TERRE PAR SATELLITE (passive)</w:t>
            </w:r>
          </w:p>
          <w:p w:rsidR="002B489A" w:rsidRDefault="004F19C4">
            <w:pPr>
              <w:pStyle w:val="Tabletext"/>
              <w:framePr w:hSpace="181" w:wrap="notBeside" w:vAnchor="text" w:hAnchor="text" w:xAlign="center" w:y="1"/>
              <w:jc w:val="left"/>
            </w:pPr>
            <w:r>
              <w:t>RADIOASTRONOMIE</w:t>
            </w:r>
          </w:p>
          <w:p w:rsidR="002B489A" w:rsidRDefault="004F19C4">
            <w:pPr>
              <w:pStyle w:val="Tabletext"/>
              <w:framePr w:hSpace="181" w:wrap="notBeside" w:vAnchor="text" w:hAnchor="text" w:xAlign="center" w:y="1"/>
              <w:jc w:val="left"/>
            </w:pPr>
            <w:r>
              <w:t>RECHERCHE SPATIALE (passive)</w:t>
            </w:r>
          </w:p>
          <w:p w:rsidR="002B489A" w:rsidRDefault="004F19C4">
            <w:pPr>
              <w:pStyle w:val="Tabletext"/>
              <w:framePr w:hSpace="181" w:wrap="notBeside" w:vAnchor="text" w:hAnchor="text" w:xAlign="center" w:y="1"/>
              <w:jc w:val="left"/>
            </w:pPr>
            <w:r>
              <w:br/>
            </w:r>
          </w:p>
        </w:tc>
        <w:tc>
          <w:tcPr>
            <w:tcW w:w="3549" w:type="dxa"/>
          </w:tcPr>
          <w:p w:rsidR="002B489A" w:rsidRDefault="004F19C4">
            <w:pPr>
              <w:pStyle w:val="Tabletext"/>
              <w:framePr w:hSpace="181" w:wrap="notBeside" w:vAnchor="text" w:hAnchor="text" w:xAlign="center" w:y="1"/>
              <w:jc w:val="left"/>
              <w:rPr>
                <w:lang w:val="fr-CH"/>
              </w:rPr>
            </w:pPr>
            <w:r>
              <w:rPr>
                <w:lang w:val="fr-CH"/>
              </w:rPr>
              <w:t>EXPLORATION DE LA TERRE PAR SATELLITE (passive)</w:t>
            </w:r>
          </w:p>
          <w:p w:rsidR="002B489A" w:rsidRDefault="004F19C4">
            <w:pPr>
              <w:pStyle w:val="Tabletext"/>
              <w:framePr w:hSpace="181" w:wrap="notBeside" w:vAnchor="text" w:hAnchor="text" w:xAlign="center" w:y="1"/>
              <w:jc w:val="left"/>
              <w:rPr>
                <w:lang w:val="fr-CH"/>
              </w:rPr>
            </w:pPr>
            <w:r>
              <w:rPr>
                <w:lang w:val="fr-CH"/>
              </w:rPr>
              <w:t>RADIOASTRONOMIE</w:t>
            </w:r>
          </w:p>
          <w:p w:rsidR="002B489A" w:rsidRDefault="004F19C4">
            <w:pPr>
              <w:pStyle w:val="Tabletext"/>
              <w:framePr w:hSpace="181" w:wrap="notBeside" w:vAnchor="text" w:hAnchor="text" w:xAlign="center" w:y="1"/>
              <w:jc w:val="left"/>
              <w:rPr>
                <w:lang w:val="fr-CH"/>
              </w:rPr>
            </w:pPr>
            <w:r>
              <w:rPr>
                <w:lang w:val="fr-CH"/>
              </w:rPr>
              <w:t>RECHERCHE SPATIALE (passive)</w:t>
            </w:r>
            <w:r>
              <w:rPr>
                <w:lang w:val="fr-CH"/>
              </w:rPr>
              <w:br/>
              <w:t>Fixe (Régions 1 et 3)</w:t>
            </w:r>
          </w:p>
          <w:p w:rsidR="002B489A" w:rsidRDefault="004F19C4">
            <w:pPr>
              <w:pStyle w:val="Tabletext"/>
              <w:framePr w:hSpace="181" w:wrap="notBeside" w:vAnchor="text" w:hAnchor="text" w:xAlign="center" w:y="1"/>
              <w:jc w:val="left"/>
              <w:rPr>
                <w:lang w:val="fr-CH"/>
              </w:rPr>
            </w:pPr>
            <w:r>
              <w:rPr>
                <w:lang w:val="fr-CH"/>
              </w:rPr>
              <w:t xml:space="preserve">Mobile sauf mobile </w:t>
            </w:r>
            <w:r>
              <w:rPr>
                <w:lang w:val="fr-CH"/>
              </w:rPr>
              <w:br/>
              <w:t>aéronautique (Régions 1 et 3)</w:t>
            </w:r>
            <w:r>
              <w:rPr>
                <w:lang w:val="fr-CH"/>
              </w:rPr>
              <w:br/>
            </w:r>
          </w:p>
        </w:tc>
        <w:tc>
          <w:tcPr>
            <w:tcW w:w="2841" w:type="dxa"/>
          </w:tcPr>
          <w:p w:rsidR="002B489A" w:rsidRDefault="004F19C4">
            <w:pPr>
              <w:pStyle w:val="Tabletext"/>
              <w:framePr w:hSpace="181" w:wrap="notBeside" w:vAnchor="text" w:hAnchor="text" w:xAlign="center" w:y="1"/>
              <w:jc w:val="left"/>
              <w:rPr>
                <w:lang w:val="fr-CH"/>
              </w:rPr>
            </w:pPr>
            <w:r>
              <w:rPr>
                <w:lang w:val="fr-CH"/>
              </w:rPr>
              <w:t>FIXE</w:t>
            </w:r>
          </w:p>
          <w:p w:rsidR="002B489A" w:rsidRDefault="004F19C4">
            <w:pPr>
              <w:pStyle w:val="Tabletext"/>
              <w:framePr w:hSpace="181" w:wrap="notBeside" w:vAnchor="text" w:hAnchor="text" w:xAlign="center" w:y="1"/>
              <w:jc w:val="left"/>
              <w:rPr>
                <w:lang w:val="fr-CH"/>
              </w:rPr>
            </w:pPr>
            <w:r>
              <w:rPr>
                <w:lang w:val="fr-CH"/>
              </w:rPr>
              <w:t>RADIONAVIGATION</w:t>
            </w:r>
          </w:p>
          <w:p w:rsidR="002B489A" w:rsidRDefault="004F19C4">
            <w:pPr>
              <w:pStyle w:val="Tabletext"/>
              <w:framePr w:hSpace="181" w:wrap="notBeside" w:vAnchor="text" w:hAnchor="text" w:xAlign="center" w:y="1"/>
              <w:jc w:val="left"/>
              <w:rPr>
                <w:lang w:val="fr-CH"/>
              </w:rPr>
            </w:pPr>
            <w:r>
              <w:rPr>
                <w:lang w:val="fr-CH"/>
              </w:rPr>
              <w:t>RECHERCHE SPATIALE (espace lointain) (espace vers Terre)</w:t>
            </w:r>
            <w:r>
              <w:rPr>
                <w:rStyle w:val="Artref"/>
                <w:lang w:val="fr-CH"/>
              </w:rPr>
              <w:br/>
            </w:r>
            <w:r>
              <w:rPr>
                <w:rStyle w:val="Artref"/>
                <w:lang w:val="fr-CH"/>
              </w:rPr>
              <w:br/>
            </w:r>
            <w:r>
              <w:rPr>
                <w:rStyle w:val="Artref"/>
                <w:lang w:val="fr-CH"/>
              </w:rPr>
              <w:br/>
            </w:r>
          </w:p>
        </w:tc>
      </w:tr>
    </w:tbl>
    <w:p w:rsidR="002B489A" w:rsidRDefault="002B489A">
      <w:pPr>
        <w:pStyle w:val="Tablefin"/>
      </w:pPr>
    </w:p>
    <w:p w:rsidR="002B489A" w:rsidRDefault="004F19C4">
      <w:pPr>
        <w:pStyle w:val="Heading2"/>
        <w:spacing w:before="360"/>
      </w:pPr>
      <w:r>
        <w:t>1.2</w:t>
      </w:r>
      <w:r>
        <w:tab/>
        <w:t>Application</w:t>
      </w:r>
    </w:p>
    <w:p w:rsidR="002B489A" w:rsidRDefault="004F19C4">
      <w:r>
        <w:t>Cette bande est une des bandes utilisées pour le sondage atmosphérique proche du nadir avec des bandes telles que celles des 23,8 GHz et des 50,3 GHz pour la caractérisation de chaque couche de l'atmosphère terrestre.</w:t>
      </w:r>
    </w:p>
    <w:p w:rsidR="002B489A" w:rsidRDefault="004F19C4">
      <w:pPr>
        <w:rPr>
          <w:lang w:eastAsia="fr-FR"/>
        </w:rPr>
      </w:pPr>
      <w:r>
        <w:rPr>
          <w:lang w:eastAsia="fr-FR"/>
        </w:rPr>
        <w:t>Dans la bande des 31 GHz, il faut une largeur de bande de 416 MHz pour obtenir une précision à 0,2 K près. Cela signifie que la communauté des utilisateurs des systèmes passifs à hyperfréquences doit protéger à la fois la bande 31,3</w:t>
      </w:r>
      <w:r>
        <w:rPr>
          <w:lang w:eastAsia="fr-FR"/>
        </w:rPr>
        <w:noBreakHyphen/>
        <w:t>31,5 GHz et la bande 31,5</w:t>
      </w:r>
      <w:r>
        <w:rPr>
          <w:lang w:eastAsia="fr-FR"/>
        </w:rPr>
        <w:noBreakHyphen/>
        <w:t>31,8 GHz.</w:t>
      </w:r>
    </w:p>
    <w:p w:rsidR="002B489A" w:rsidRDefault="004F19C4">
      <w:r>
        <w:t>Cette bande sera aussi utilisée en conjonction avec la bande 31,3-31,5 GHz comme «fenêtre partagée». On peut faire une comparaison des mesures effectuées dans les deux sous-bandes pour vérifier la qualité des données. Cela permettra alors d'utiliser la totalité de la bande lorsqu'on s'attend à une bonne qualité, pour augmenter la sensibilité du détecteur.</w:t>
      </w:r>
    </w:p>
    <w:p w:rsidR="002B489A" w:rsidRDefault="004F19C4">
      <w:pPr>
        <w:pStyle w:val="Heading2"/>
      </w:pPr>
      <w:r>
        <w:br w:type="page"/>
        <w:t>1.3</w:t>
      </w:r>
      <w:r>
        <w:tab/>
        <w:t>Critères de protection requis</w:t>
      </w:r>
    </w:p>
    <w:p w:rsidR="002B489A" w:rsidRDefault="004F19C4">
      <w:pPr>
        <w:pStyle w:val="enumlev1"/>
        <w:tabs>
          <w:tab w:val="clear" w:pos="794"/>
          <w:tab w:val="clear" w:pos="1191"/>
          <w:tab w:val="clear" w:pos="1588"/>
          <w:tab w:val="clear" w:pos="1985"/>
          <w:tab w:val="left" w:pos="3515"/>
        </w:tabs>
        <w:ind w:left="3515" w:hanging="3515"/>
      </w:pPr>
      <w:r>
        <w:t>Recommandation UIT-R SA.515 –</w:t>
      </w:r>
      <w:r>
        <w:tab/>
        <w:t xml:space="preserve">Bandes de fréquences et largeurs de bande utilisées pour la télédétection passive par satellite. </w:t>
      </w:r>
    </w:p>
    <w:p w:rsidR="002B489A" w:rsidRDefault="004F19C4">
      <w:pPr>
        <w:pStyle w:val="enumlev1"/>
        <w:tabs>
          <w:tab w:val="clear" w:pos="794"/>
          <w:tab w:val="clear" w:pos="1191"/>
          <w:tab w:val="clear" w:pos="1588"/>
          <w:tab w:val="clear" w:pos="1985"/>
          <w:tab w:val="left" w:pos="3515"/>
        </w:tabs>
        <w:spacing w:before="60"/>
        <w:ind w:left="3515" w:hanging="3515"/>
      </w:pPr>
      <w:r>
        <w:t>Recommandation UIT-R SA.1028 –</w:t>
      </w:r>
      <w:r>
        <w:tab/>
        <w:t>Critères de qualité de fonctionnement pour la télédétection passive par satellite.</w:t>
      </w:r>
    </w:p>
    <w:p w:rsidR="002B489A" w:rsidRDefault="004F19C4">
      <w:pPr>
        <w:pStyle w:val="enumlev1"/>
        <w:tabs>
          <w:tab w:val="clear" w:pos="794"/>
          <w:tab w:val="clear" w:pos="1191"/>
          <w:tab w:val="clear" w:pos="1588"/>
          <w:tab w:val="clear" w:pos="1985"/>
          <w:tab w:val="left" w:pos="3515"/>
        </w:tabs>
        <w:spacing w:before="60"/>
        <w:ind w:left="3515" w:hanging="3515"/>
      </w:pPr>
      <w:r>
        <w:t>Recommandation UIT-R SA.1029 –</w:t>
      </w:r>
      <w:r>
        <w:tab/>
        <w:t>Critères de brouillage dans la télédétection passive par satellite.</w:t>
      </w:r>
    </w:p>
    <w:p w:rsidR="002B489A" w:rsidRDefault="004F19C4">
      <w:pPr>
        <w:pStyle w:val="Heading2"/>
      </w:pPr>
      <w:r>
        <w:t>1.4</w:t>
      </w:r>
      <w:r>
        <w:tab/>
        <w:t>Caractéristiques de fonctionnement</w:t>
      </w:r>
    </w:p>
    <w:p w:rsidR="002B489A" w:rsidRDefault="004F19C4">
      <w:r>
        <w:t>On a pris en compte les caractéristiques de fonctionnement suivantes pour le système SETS:</w:t>
      </w:r>
    </w:p>
    <w:p w:rsidR="002B489A" w:rsidRDefault="004F19C4">
      <w:pPr>
        <w:pStyle w:val="enumlev1"/>
      </w:pPr>
      <w:r>
        <w:t>–</w:t>
      </w:r>
      <w:r>
        <w:tab/>
        <w:t>Le détecteur SETS est supposé avoir une antenne avec un gain de crête de 45 dBi.</w:t>
      </w:r>
    </w:p>
    <w:p w:rsidR="002B489A" w:rsidRDefault="004F19C4">
      <w:pPr>
        <w:pStyle w:val="enumlev1"/>
      </w:pPr>
      <w:r>
        <w:t>–</w:t>
      </w:r>
      <w:r>
        <w:tab/>
        <w:t>Le détecteur SETS pointe dans la direction du nadir.</w:t>
      </w:r>
    </w:p>
    <w:p w:rsidR="002B489A" w:rsidRDefault="004F19C4">
      <w:pPr>
        <w:pStyle w:val="enumlev1"/>
      </w:pPr>
      <w:r>
        <w:t>–</w:t>
      </w:r>
      <w:r>
        <w:tab/>
        <w:t>La taille de pixel pour un détecteur à une altitude de 850 km est de 201 km</w:t>
      </w:r>
      <w:r>
        <w:rPr>
          <w:vertAlign w:val="superscript"/>
        </w:rPr>
        <w:t>2</w:t>
      </w:r>
      <w:r>
        <w:t xml:space="preserve"> (16 km de diamètre).</w:t>
      </w:r>
    </w:p>
    <w:p w:rsidR="002B489A" w:rsidRDefault="004F19C4">
      <w:pPr>
        <w:pStyle w:val="Heading1"/>
      </w:pPr>
      <w:r>
        <w:t>2</w:t>
      </w:r>
      <w:r>
        <w:tab/>
        <w:t>Service de radionavigation</w:t>
      </w:r>
    </w:p>
    <w:p w:rsidR="002B489A" w:rsidRDefault="004F19C4">
      <w:pPr>
        <w:pStyle w:val="Heading2"/>
      </w:pPr>
      <w:r>
        <w:t>2.1</w:t>
      </w:r>
      <w:r>
        <w:tab/>
        <w:t>Bande attribuée</w:t>
      </w:r>
    </w:p>
    <w:p w:rsidR="002B489A" w:rsidRDefault="004F19C4">
      <w:r>
        <w:t>Voir le Tableau 94.</w:t>
      </w:r>
    </w:p>
    <w:p w:rsidR="002B489A" w:rsidRDefault="004F19C4">
      <w:pPr>
        <w:pStyle w:val="Heading2"/>
        <w:ind w:left="0" w:firstLine="0"/>
      </w:pPr>
      <w:r>
        <w:t>2.2</w:t>
      </w:r>
      <w:r>
        <w:tab/>
        <w:t>Application</w:t>
      </w:r>
    </w:p>
    <w:p w:rsidR="002B489A" w:rsidRDefault="004F19C4">
      <w:r>
        <w:t>Les systèmes de radionavigation identifiés comme fonctionnant dans la bande 31,8-33,4 GHz sont à bord des aéronefs. Le système fonctionne dans le monde entier presque en continu pendant les vols. Cela recouvre une gamme d'altitudes depuis le niveau du sol jusqu'à environ 30</w:t>
      </w:r>
      <w:r>
        <w:rPr>
          <w:rFonts w:ascii="Tms Rmn" w:hAnsi="Tms Rmn"/>
          <w:sz w:val="12"/>
        </w:rPr>
        <w:t> </w:t>
      </w:r>
      <w:r>
        <w:t>000 pieds (ou 9</w:t>
      </w:r>
      <w:r>
        <w:rPr>
          <w:rFonts w:ascii="Tms Rmn" w:hAnsi="Tms Rmn"/>
          <w:sz w:val="12"/>
        </w:rPr>
        <w:t> </w:t>
      </w:r>
      <w:r>
        <w:t>000 m). Les temps de vol peuvent aller jusqu'à six heures, et typiquement la plus grande partie du temps est passé en route, mais on peut s'attendre à des temps plus longs aux points soit de départ soit de destination. Des informations provenant d'une administration indiquent que des systèmes de radionavigation dans cette bande de fréquences fonctionnent dans un nombre limité d'aéronefs dans le monde entier.</w:t>
      </w:r>
    </w:p>
    <w:p w:rsidR="002B489A" w:rsidRDefault="004F19C4">
      <w:r>
        <w:t>Le terme de «radionavigation» tout au long de ce texte se réfère au système de radar aéroporté qui fonctionne dans la bande 31,8-33,4 GHz. Une administration a indiqué l'utilisation de cette bande dans le monde entier pour le service de radionavigation sous forme d'un nombre limité de systèmes radar aéroportés. Le système radar réel est utilisé pour la cartographie du sol, la détection des perturbations météorologiques et la navigation, mais pas principalement pour des fonctions telles que l'approche des aérodromes et l'atterrissage. Le remplacement de certains des systèmes de fréquences fixes par le système de fréquence agile est envisagé à l'avenir.</w:t>
      </w:r>
    </w:p>
    <w:p w:rsidR="002B489A" w:rsidRDefault="004F19C4">
      <w:pPr>
        <w:pStyle w:val="Heading2"/>
      </w:pPr>
      <w:r>
        <w:t>2.3</w:t>
      </w:r>
      <w:r>
        <w:tab/>
        <w:t>Niveaux fondés sur des dispositions et Recommandations UIT-R</w:t>
      </w:r>
    </w:p>
    <w:p w:rsidR="002B489A" w:rsidRDefault="004F19C4">
      <w:pPr>
        <w:pStyle w:val="Heading3"/>
      </w:pPr>
      <w:r>
        <w:t>2.3.1</w:t>
      </w:r>
      <w:r>
        <w:tab/>
        <w:t>Numéro 1.153 du RR</w:t>
      </w:r>
    </w:p>
    <w:p w:rsidR="002B489A" w:rsidRDefault="004F19C4">
      <w:pPr>
        <w:spacing w:before="60"/>
        <w:rPr>
          <w:rStyle w:val="Artdef"/>
        </w:rPr>
      </w:pPr>
      <w:r>
        <w:t xml:space="preserve">Le RR définit la </w:t>
      </w:r>
      <w:r>
        <w:rPr>
          <w:i/>
        </w:rPr>
        <w:t>largeur de bande occupée</w:t>
      </w:r>
      <w:r>
        <w:t xml:space="preserve"> comme suit:</w:t>
      </w:r>
      <w:r>
        <w:rPr>
          <w:rStyle w:val="Artdef"/>
        </w:rPr>
        <w:t xml:space="preserve"> </w:t>
      </w:r>
    </w:p>
    <w:p w:rsidR="002B489A" w:rsidRDefault="004F19C4">
      <w:pPr>
        <w:spacing w:before="60"/>
      </w:pPr>
      <w:r>
        <w:rPr>
          <w:rStyle w:val="Artdef"/>
        </w:rPr>
        <w:t>«1.153</w:t>
      </w:r>
      <w:r>
        <w:rPr>
          <w:rStyle w:val="Artdef"/>
        </w:rPr>
        <w:tab/>
      </w:r>
      <w:r>
        <w:rPr>
          <w:rStyle w:val="Artdef"/>
        </w:rPr>
        <w:tab/>
      </w:r>
      <w:r>
        <w:rPr>
          <w:i/>
        </w:rPr>
        <w:t>largeur de bande occupée:  </w:t>
      </w:r>
      <w:r>
        <w:t xml:space="preserve">Largeur de la bande de fréquences telle que, au-dessous de sa fréquence limite inférieure et au-dessus de sa fréquence limite supérieure, soient émises des </w:t>
      </w:r>
      <w:r>
        <w:rPr>
          <w:i/>
        </w:rPr>
        <w:t>puissances moyennes</w:t>
      </w:r>
      <w:r>
        <w:t xml:space="preserve"> égales chacune à un pourcentage donné </w:t>
      </w:r>
      <w:r>
        <w:rPr>
          <w:rFonts w:ascii="Symbol" w:hAnsi="Symbol"/>
        </w:rPr>
        <w:t></w:t>
      </w:r>
      <w:r>
        <w:t xml:space="preserve">/2 de la </w:t>
      </w:r>
      <w:r>
        <w:rPr>
          <w:i/>
        </w:rPr>
        <w:t>puissance moyenne</w:t>
      </w:r>
      <w:r>
        <w:t xml:space="preserve"> totale d'une </w:t>
      </w:r>
      <w:r>
        <w:rPr>
          <w:i/>
        </w:rPr>
        <w:t>émission</w:t>
      </w:r>
      <w:r>
        <w:t xml:space="preserve"> donnée.</w:t>
      </w:r>
    </w:p>
    <w:p w:rsidR="002B489A" w:rsidRDefault="004F19C4">
      <w:pPr>
        <w:spacing w:before="60"/>
      </w:pPr>
      <w:r>
        <w:tab/>
      </w:r>
      <w:r>
        <w:tab/>
        <w:t xml:space="preserve">En l'absence de spécifications dans une Recommandation de l'UIT-R pour la </w:t>
      </w:r>
      <w:r>
        <w:rPr>
          <w:i/>
        </w:rPr>
        <w:t>classe d'émission</w:t>
      </w:r>
      <w:r>
        <w:t xml:space="preserve"> considérée, la valeur </w:t>
      </w:r>
      <w:r>
        <w:rPr>
          <w:rFonts w:ascii="Symbol" w:hAnsi="Symbol"/>
        </w:rPr>
        <w:t></w:t>
      </w:r>
      <w:r>
        <w:t>/2 doit être prise égale à 0,5%.»</w:t>
      </w:r>
    </w:p>
    <w:p w:rsidR="002B489A" w:rsidRDefault="004F19C4">
      <w:r>
        <w:br w:type="page"/>
        <w:t>Si le bord supérieur de la largeur de bande occupée était à la limite supérieure ou au</w:t>
      </w:r>
      <w:r>
        <w:noBreakHyphen/>
        <w:t xml:space="preserve">dessous de l'attribution au service de radiolocalisation, la puissance totale des rayonnements non désirés aux fréquences au-dessus de la largeur de bande attribuée ne serait pas supérieure à 0,5% de </w:t>
      </w:r>
      <w:r>
        <w:rPr>
          <w:i/>
        </w:rPr>
        <w:t>P</w:t>
      </w:r>
      <w:r>
        <w:t xml:space="preserve">, où </w:t>
      </w:r>
      <w:r>
        <w:rPr>
          <w:i/>
        </w:rPr>
        <w:t>P</w:t>
      </w:r>
      <w:r>
        <w:t xml:space="preserve"> est la puissance dans la bande. Donc, la puissance totale de rayonnement non désiré aux fréquences de la bande SETS et au-dessus n'est pas supérieure à </w:t>
      </w:r>
      <w:r>
        <w:rPr>
          <w:i/>
        </w:rPr>
        <w:t>P</w:t>
      </w:r>
      <w:r>
        <w:t xml:space="preserve"> – 23 dB.</w:t>
      </w:r>
    </w:p>
    <w:p w:rsidR="002B489A" w:rsidRDefault="004F19C4">
      <w:pPr>
        <w:pStyle w:val="Heading3"/>
      </w:pPr>
      <w:r>
        <w:t>2.3.2</w:t>
      </w:r>
      <w:r>
        <w:tab/>
        <w:t>Recommandation UIT-R SM.1541</w:t>
      </w:r>
    </w:p>
    <w:p w:rsidR="002B489A" w:rsidRDefault="004F19C4">
      <w:r>
        <w:t xml:space="preserve">L'Annexe 8 de la Recommandation UIT-R SM.1541 spécifie un gabarit générique des émissions hors bande pour les radars primaires. Ceci est répété ci-dessous avec une fragmentation des relations. La variable relative </w:t>
      </w:r>
      <w:r>
        <w:rPr>
          <w:i/>
          <w:iCs/>
        </w:rPr>
        <w:t>F</w:t>
      </w:r>
      <w:r>
        <w:t xml:space="preserve"> est le décalage de fréquence par rapport au centre de la bande en pourcentage de la largeur de bande à –40 dB du radar, comme illustré à la Fig. 61.</w:t>
      </w:r>
    </w:p>
    <w:p w:rsidR="002B489A" w:rsidRDefault="004F19C4">
      <w:pPr>
        <w:pStyle w:val="Equationlegend"/>
        <w:rPr>
          <w:lang w:val="fr-CH"/>
        </w:rPr>
      </w:pPr>
      <w:r>
        <w:rPr>
          <w:bCs/>
          <w:lang w:val="fr-CH"/>
        </w:rPr>
        <w:tab/>
      </w:r>
      <w:r>
        <w:rPr>
          <w:bCs/>
          <w:i/>
          <w:iCs/>
          <w:lang w:val="fr-CH"/>
        </w:rPr>
        <w:t>F</w:t>
      </w:r>
      <w:r>
        <w:rPr>
          <w:rFonts w:ascii="Tms Rmn" w:hAnsi="Tms Rmn"/>
          <w:sz w:val="12"/>
          <w:lang w:val="fr-CH"/>
        </w:rPr>
        <w:t> </w:t>
      </w:r>
      <w:r>
        <w:rPr>
          <w:lang w:val="fr-CH"/>
        </w:rPr>
        <w:t>:</w:t>
      </w:r>
      <w:r>
        <w:rPr>
          <w:lang w:val="fr-CH"/>
        </w:rPr>
        <w:tab/>
        <w:t>décalage de fréquence par rapport au centre de la bande en pourcentage de la largeur de bande à –40 dB du radar;</w:t>
      </w:r>
    </w:p>
    <w:p w:rsidR="002B489A" w:rsidRDefault="004F19C4">
      <w:pPr>
        <w:pStyle w:val="Equationlegend"/>
        <w:rPr>
          <w:lang w:val="fr-CH"/>
        </w:rPr>
      </w:pPr>
      <w:r>
        <w:rPr>
          <w:bCs/>
          <w:lang w:val="fr-CH"/>
        </w:rPr>
        <w:tab/>
        <w:t>dBpp</w:t>
      </w:r>
      <w:r>
        <w:rPr>
          <w:rFonts w:ascii="Tms Rmn" w:hAnsi="Tms Rmn"/>
          <w:sz w:val="12"/>
          <w:lang w:val="fr-CH"/>
        </w:rPr>
        <w:t> </w:t>
      </w:r>
      <w:r>
        <w:rPr>
          <w:lang w:val="fr-CH"/>
        </w:rPr>
        <w:t>:</w:t>
      </w:r>
      <w:r>
        <w:rPr>
          <w:lang w:val="fr-CH"/>
        </w:rPr>
        <w:tab/>
        <w:t>décibels par rapport à la valeur maximale de la puissance de crête, mesurée avec la largeur de bande de référence au sein de la largeur de bande occupée.</w:t>
      </w:r>
    </w:p>
    <w:p w:rsidR="002B489A" w:rsidRDefault="004F19C4">
      <w:r>
        <w:t>Elle donne l'affaiblissement minimal pour la puissance d'émission hors bande, au sein d'une largeur de bande de référence, par rapport à la puissance de crête dans la bande.</w:t>
      </w:r>
    </w:p>
    <w:p w:rsidR="002B489A" w:rsidRDefault="0006728D">
      <w:pPr>
        <w:pStyle w:val="FigureNo"/>
      </w:pPr>
      <w:r>
        <w:rPr>
          <w:noProof/>
          <w:lang w:val="fr-CH" w:eastAsia="fr-CH"/>
        </w:rPr>
        <w:drawing>
          <wp:inline distT="0" distB="0" distL="0" distR="0">
            <wp:extent cx="3409950" cy="31813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09950" cy="3181350"/>
                    </a:xfrm>
                    <a:prstGeom prst="rect">
                      <a:avLst/>
                    </a:prstGeom>
                    <a:noFill/>
                    <a:ln>
                      <a:noFill/>
                    </a:ln>
                  </pic:spPr>
                </pic:pic>
              </a:graphicData>
            </a:graphic>
          </wp:inline>
        </w:drawing>
      </w:r>
    </w:p>
    <w:p w:rsidR="002B489A" w:rsidRDefault="004F19C4">
      <w:pPr>
        <w:pStyle w:val="Heading2"/>
      </w:pPr>
      <w:r>
        <w:t>2.4</w:t>
      </w:r>
      <w:r>
        <w:tab/>
        <w:t>Caractéristiques de l'émetteur</w:t>
      </w:r>
    </w:p>
    <w:p w:rsidR="002B489A" w:rsidRDefault="004F19C4">
      <w:r>
        <w:t>Deux systèmes de radar sont mis en oeuvre: un système utilisant des fréquences fixes (dont 80% de stations d'aéronefs) et un système (dont 20% de stations d'aéronefs) avec l'option d'utilisation de l'agilité de fréquence (neuf canaux dans la bande 32,2</w:t>
      </w:r>
      <w:r>
        <w:noBreakHyphen/>
        <w:t>33 GHz). Les techniques caractéristiques des systèmes fonctionnant dans le service de radionavigation se trouvent dans la Recommandation UIT</w:t>
      </w:r>
      <w:r>
        <w:noBreakHyphen/>
        <w:t>R F.1571 et sont données au Tableau 95.</w:t>
      </w:r>
    </w:p>
    <w:p w:rsidR="002B489A" w:rsidRDefault="004F19C4">
      <w:pPr>
        <w:pStyle w:val="TableNo"/>
      </w:pPr>
      <w:r>
        <w:br w:type="page"/>
        <w:t>TABLEAU  95</w:t>
      </w:r>
    </w:p>
    <w:p w:rsidR="002B489A" w:rsidRDefault="004F19C4">
      <w:pPr>
        <w:pStyle w:val="Tabletitle"/>
      </w:pPr>
      <w:r>
        <w:t xml:space="preserve">Largeur de bande des émissions des systèmes dans le service de radionavigation </w:t>
      </w:r>
      <w:r>
        <w:br/>
        <w:t>fonctionnant dans la bande 31,8</w:t>
      </w:r>
      <w:r>
        <w:noBreakHyphen/>
        <w:t>33,4 GHz</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7"/>
        <w:gridCol w:w="3290"/>
        <w:gridCol w:w="3472"/>
      </w:tblGrid>
      <w:tr w:rsidR="002B489A">
        <w:tc>
          <w:tcPr>
            <w:tcW w:w="2938" w:type="dxa"/>
          </w:tcPr>
          <w:p w:rsidR="002B489A" w:rsidRDefault="004F19C4">
            <w:pPr>
              <w:pStyle w:val="Tablehead"/>
              <w:framePr w:hSpace="181" w:wrap="notBeside" w:vAnchor="text" w:hAnchor="text" w:xAlign="center" w:y="1"/>
              <w:spacing w:line="240" w:lineRule="exact"/>
            </w:pPr>
            <w:r>
              <w:t>Paramètre</w:t>
            </w:r>
          </w:p>
        </w:tc>
        <w:tc>
          <w:tcPr>
            <w:tcW w:w="3360" w:type="dxa"/>
          </w:tcPr>
          <w:p w:rsidR="002B489A" w:rsidRDefault="004F19C4">
            <w:pPr>
              <w:pStyle w:val="Tablehead"/>
              <w:framePr w:hSpace="181" w:wrap="notBeside" w:vAnchor="text" w:hAnchor="text" w:xAlign="center" w:y="1"/>
              <w:spacing w:line="240" w:lineRule="exact"/>
            </w:pPr>
            <w:r>
              <w:t>Système 1</w:t>
            </w:r>
          </w:p>
        </w:tc>
        <w:tc>
          <w:tcPr>
            <w:tcW w:w="3547" w:type="dxa"/>
          </w:tcPr>
          <w:p w:rsidR="002B489A" w:rsidRDefault="004F19C4">
            <w:pPr>
              <w:pStyle w:val="Tablehead"/>
              <w:framePr w:hSpace="181" w:wrap="notBeside" w:vAnchor="text" w:hAnchor="text" w:xAlign="center" w:y="1"/>
              <w:spacing w:line="240" w:lineRule="exact"/>
            </w:pPr>
            <w:r>
              <w:t>Système 2</w:t>
            </w:r>
          </w:p>
        </w:tc>
      </w:tr>
      <w:tr w:rsidR="002B489A">
        <w:tc>
          <w:tcPr>
            <w:tcW w:w="2938" w:type="dxa"/>
          </w:tcPr>
          <w:p w:rsidR="002B489A" w:rsidRDefault="004F19C4">
            <w:pPr>
              <w:pStyle w:val="Tabletext"/>
              <w:framePr w:hSpace="181" w:wrap="notBeside" w:vAnchor="text" w:hAnchor="text" w:xAlign="center" w:y="1"/>
              <w:spacing w:line="240" w:lineRule="exact"/>
              <w:jc w:val="left"/>
            </w:pPr>
            <w:r>
              <w:t>Type d'accord</w:t>
            </w:r>
          </w:p>
        </w:tc>
        <w:tc>
          <w:tcPr>
            <w:tcW w:w="3360" w:type="dxa"/>
          </w:tcPr>
          <w:p w:rsidR="002B489A" w:rsidRDefault="004F19C4">
            <w:pPr>
              <w:pStyle w:val="Tabletext"/>
              <w:framePr w:hSpace="181" w:wrap="notBeside" w:vAnchor="text" w:hAnchor="text" w:xAlign="center" w:y="1"/>
              <w:spacing w:line="240" w:lineRule="exact"/>
              <w:jc w:val="center"/>
            </w:pPr>
            <w:r>
              <w:t>Fréquence fixe; tonalités continues sur 31,8</w:t>
            </w:r>
            <w:r>
              <w:noBreakHyphen/>
              <w:t>33,4 GHz</w:t>
            </w:r>
          </w:p>
        </w:tc>
        <w:tc>
          <w:tcPr>
            <w:tcW w:w="3547" w:type="dxa"/>
          </w:tcPr>
          <w:p w:rsidR="002B489A" w:rsidRDefault="004F19C4">
            <w:pPr>
              <w:pStyle w:val="Tabletext"/>
              <w:framePr w:hSpace="181" w:wrap="notBeside" w:vAnchor="text" w:hAnchor="text" w:xAlign="center" w:y="1"/>
              <w:spacing w:line="240" w:lineRule="exact"/>
              <w:jc w:val="center"/>
            </w:pPr>
            <w:r>
              <w:t>Fréquence fixe ou saut de fréquence; fonctionne dans l'un ou l'autre mode sur un des neuf canaux discrets espacés de 100 MHz l'un de l'autre (32,2</w:t>
            </w:r>
            <w:r>
              <w:noBreakHyphen/>
              <w:t>33 GHz)</w:t>
            </w:r>
          </w:p>
        </w:tc>
      </w:tr>
      <w:tr w:rsidR="002B489A">
        <w:tc>
          <w:tcPr>
            <w:tcW w:w="2938" w:type="dxa"/>
          </w:tcPr>
          <w:p w:rsidR="002B489A" w:rsidRDefault="004F19C4">
            <w:pPr>
              <w:pStyle w:val="Tabletext"/>
              <w:framePr w:hSpace="181" w:wrap="notBeside" w:vAnchor="text" w:hAnchor="text" w:xAlign="center" w:y="1"/>
              <w:spacing w:line="240" w:lineRule="exact"/>
              <w:jc w:val="left"/>
            </w:pPr>
            <w:r>
              <w:t>Type d'émission</w:t>
            </w:r>
          </w:p>
        </w:tc>
        <w:tc>
          <w:tcPr>
            <w:tcW w:w="3360" w:type="dxa"/>
          </w:tcPr>
          <w:p w:rsidR="002B489A" w:rsidRDefault="004F19C4">
            <w:pPr>
              <w:pStyle w:val="Tabletext"/>
              <w:framePr w:hSpace="181" w:wrap="notBeside" w:vAnchor="text" w:hAnchor="text" w:xAlign="center" w:y="1"/>
              <w:spacing w:line="240" w:lineRule="exact"/>
              <w:jc w:val="center"/>
            </w:pPr>
            <w:r>
              <w:t>Impulsions non modulées</w:t>
            </w:r>
          </w:p>
        </w:tc>
        <w:tc>
          <w:tcPr>
            <w:tcW w:w="3547" w:type="dxa"/>
          </w:tcPr>
          <w:p w:rsidR="002B489A" w:rsidRDefault="004F19C4">
            <w:pPr>
              <w:pStyle w:val="Tabletext"/>
              <w:framePr w:hSpace="181" w:wrap="notBeside" w:vAnchor="text" w:hAnchor="text" w:xAlign="center" w:y="1"/>
              <w:spacing w:line="240" w:lineRule="exact"/>
              <w:jc w:val="center"/>
            </w:pPr>
            <w:r>
              <w:t>Impulsions non modulées</w:t>
            </w:r>
          </w:p>
        </w:tc>
      </w:tr>
      <w:tr w:rsidR="002B489A">
        <w:tc>
          <w:tcPr>
            <w:tcW w:w="2938" w:type="dxa"/>
          </w:tcPr>
          <w:p w:rsidR="002B489A" w:rsidRDefault="004F19C4">
            <w:pPr>
              <w:pStyle w:val="Tabletext"/>
              <w:framePr w:hSpace="181" w:wrap="notBeside" w:vAnchor="text" w:hAnchor="text" w:xAlign="center" w:y="1"/>
              <w:spacing w:line="240" w:lineRule="exact"/>
              <w:jc w:val="left"/>
            </w:pPr>
            <w:r>
              <w:t>Largeur de bande d'émission RF (MHz)</w:t>
            </w:r>
          </w:p>
        </w:tc>
        <w:tc>
          <w:tcPr>
            <w:tcW w:w="3360" w:type="dxa"/>
            <w:vAlign w:val="center"/>
          </w:tcPr>
          <w:p w:rsidR="002B489A" w:rsidRDefault="004F19C4">
            <w:pPr>
              <w:pStyle w:val="Tabletext"/>
              <w:framePr w:hSpace="181" w:wrap="notBeside" w:vAnchor="text" w:hAnchor="text" w:xAlign="center" w:y="1"/>
              <w:spacing w:line="240" w:lineRule="exact"/>
              <w:jc w:val="center"/>
            </w:pPr>
            <w:r>
              <w:t>37</w:t>
            </w:r>
          </w:p>
        </w:tc>
        <w:tc>
          <w:tcPr>
            <w:tcW w:w="3547" w:type="dxa"/>
            <w:vAlign w:val="center"/>
          </w:tcPr>
          <w:p w:rsidR="002B489A" w:rsidRDefault="004F19C4">
            <w:pPr>
              <w:pStyle w:val="Tabletext"/>
              <w:framePr w:hSpace="181" w:wrap="notBeside" w:vAnchor="text" w:hAnchor="text" w:xAlign="center" w:y="1"/>
              <w:spacing w:line="240" w:lineRule="exact"/>
              <w:jc w:val="center"/>
            </w:pPr>
            <w:r>
              <w:t>17 (instantané)</w:t>
            </w:r>
            <w:r>
              <w:br/>
              <w:t>117 (saut)</w:t>
            </w:r>
          </w:p>
        </w:tc>
      </w:tr>
      <w:tr w:rsidR="002B489A">
        <w:tc>
          <w:tcPr>
            <w:tcW w:w="2938" w:type="dxa"/>
          </w:tcPr>
          <w:p w:rsidR="002B489A" w:rsidRDefault="004F19C4">
            <w:pPr>
              <w:pStyle w:val="Tabletext"/>
              <w:framePr w:hSpace="181" w:wrap="notBeside" w:vAnchor="text" w:hAnchor="text" w:xAlign="center" w:y="1"/>
              <w:spacing w:line="240" w:lineRule="exact"/>
              <w:jc w:val="left"/>
            </w:pPr>
            <w:r>
              <w:t>Largeur d'impulsion (</w:t>
            </w:r>
            <w:r>
              <w:sym w:font="Symbol" w:char="F06D"/>
            </w:r>
            <w:r>
              <w:t>s)</w:t>
            </w:r>
          </w:p>
        </w:tc>
        <w:tc>
          <w:tcPr>
            <w:tcW w:w="3360" w:type="dxa"/>
            <w:vAlign w:val="center"/>
          </w:tcPr>
          <w:p w:rsidR="002B489A" w:rsidRDefault="004F19C4">
            <w:pPr>
              <w:pStyle w:val="Tabletext"/>
              <w:framePr w:hSpace="181" w:wrap="notBeside" w:vAnchor="text" w:hAnchor="text" w:xAlign="center" w:y="1"/>
              <w:spacing w:line="240" w:lineRule="exact"/>
              <w:jc w:val="center"/>
            </w:pPr>
            <w:r>
              <w:t>0,2</w:t>
            </w:r>
          </w:p>
        </w:tc>
        <w:tc>
          <w:tcPr>
            <w:tcW w:w="3547" w:type="dxa"/>
            <w:vAlign w:val="center"/>
          </w:tcPr>
          <w:p w:rsidR="002B489A" w:rsidRDefault="004F19C4">
            <w:pPr>
              <w:pStyle w:val="Tabletext"/>
              <w:framePr w:hSpace="181" w:wrap="notBeside" w:vAnchor="text" w:hAnchor="text" w:xAlign="center" w:y="1"/>
              <w:spacing w:line="240" w:lineRule="exact"/>
              <w:jc w:val="center"/>
            </w:pPr>
            <w:r>
              <w:t>0,2</w:t>
            </w:r>
          </w:p>
        </w:tc>
      </w:tr>
      <w:tr w:rsidR="002B489A">
        <w:tc>
          <w:tcPr>
            <w:tcW w:w="2938" w:type="dxa"/>
          </w:tcPr>
          <w:p w:rsidR="002B489A" w:rsidRDefault="004F19C4">
            <w:pPr>
              <w:pStyle w:val="Tabletext"/>
              <w:framePr w:hSpace="181" w:wrap="notBeside" w:vAnchor="text" w:hAnchor="text" w:xAlign="center" w:y="1"/>
              <w:spacing w:line="240" w:lineRule="exact"/>
              <w:jc w:val="left"/>
            </w:pPr>
            <w:r>
              <w:t>Fréquence de répétition d'impulsion (pps)</w:t>
            </w:r>
          </w:p>
        </w:tc>
        <w:tc>
          <w:tcPr>
            <w:tcW w:w="3360" w:type="dxa"/>
            <w:vAlign w:val="center"/>
          </w:tcPr>
          <w:p w:rsidR="002B489A" w:rsidRDefault="004F19C4">
            <w:pPr>
              <w:pStyle w:val="Tabletext"/>
              <w:framePr w:hSpace="181" w:wrap="notBeside" w:vAnchor="text" w:hAnchor="text" w:xAlign="center" w:y="1"/>
              <w:spacing w:line="240" w:lineRule="exact"/>
              <w:jc w:val="center"/>
            </w:pPr>
            <w:r>
              <w:t>2</w:t>
            </w:r>
            <w:r>
              <w:rPr>
                <w:rFonts w:ascii="Tms Rmn" w:hAnsi="Tms Rmn"/>
                <w:sz w:val="12"/>
              </w:rPr>
              <w:t> </w:t>
            </w:r>
            <w:r>
              <w:t>000</w:t>
            </w:r>
          </w:p>
        </w:tc>
        <w:tc>
          <w:tcPr>
            <w:tcW w:w="3547" w:type="dxa"/>
            <w:vAlign w:val="center"/>
          </w:tcPr>
          <w:p w:rsidR="002B489A" w:rsidRDefault="004F19C4">
            <w:pPr>
              <w:pStyle w:val="Tabletext"/>
              <w:framePr w:hSpace="181" w:wrap="notBeside" w:vAnchor="text" w:hAnchor="text" w:xAlign="center" w:y="1"/>
              <w:spacing w:line="240" w:lineRule="exact"/>
              <w:jc w:val="center"/>
            </w:pPr>
            <w:r>
              <w:t>1</w:t>
            </w:r>
            <w:r>
              <w:rPr>
                <w:rFonts w:ascii="Tms Rmn" w:hAnsi="Tms Rmn"/>
                <w:sz w:val="12"/>
              </w:rPr>
              <w:t> </w:t>
            </w:r>
            <w:r>
              <w:t>600</w:t>
            </w:r>
          </w:p>
        </w:tc>
      </w:tr>
      <w:tr w:rsidR="002B489A">
        <w:tc>
          <w:tcPr>
            <w:tcW w:w="2938" w:type="dxa"/>
          </w:tcPr>
          <w:p w:rsidR="002B489A" w:rsidRDefault="004F19C4">
            <w:pPr>
              <w:pStyle w:val="Tabletext"/>
              <w:framePr w:hSpace="181" w:wrap="notBeside" w:vAnchor="text" w:hAnchor="text" w:xAlign="center" w:y="1"/>
              <w:spacing w:line="240" w:lineRule="exact"/>
              <w:jc w:val="left"/>
            </w:pPr>
            <w:r>
              <w:t>Puissance d'émission de crête (kW)</w:t>
            </w:r>
          </w:p>
        </w:tc>
        <w:tc>
          <w:tcPr>
            <w:tcW w:w="3360" w:type="dxa"/>
            <w:vAlign w:val="center"/>
          </w:tcPr>
          <w:p w:rsidR="002B489A" w:rsidRDefault="004F19C4">
            <w:pPr>
              <w:pStyle w:val="Tabletext"/>
              <w:framePr w:hSpace="181" w:wrap="notBeside" w:vAnchor="text" w:hAnchor="text" w:xAlign="center" w:y="1"/>
              <w:spacing w:line="240" w:lineRule="exact"/>
              <w:jc w:val="center"/>
            </w:pPr>
            <w:r>
              <w:t>60</w:t>
            </w:r>
          </w:p>
        </w:tc>
        <w:tc>
          <w:tcPr>
            <w:tcW w:w="3547" w:type="dxa"/>
            <w:vAlign w:val="center"/>
          </w:tcPr>
          <w:p w:rsidR="002B489A" w:rsidRDefault="004F19C4">
            <w:pPr>
              <w:pStyle w:val="Tabletext"/>
              <w:framePr w:hSpace="181" w:wrap="notBeside" w:vAnchor="text" w:hAnchor="text" w:xAlign="center" w:y="1"/>
              <w:spacing w:line="240" w:lineRule="exact"/>
              <w:jc w:val="center"/>
            </w:pPr>
            <w:r>
              <w:t>39</w:t>
            </w:r>
          </w:p>
        </w:tc>
      </w:tr>
      <w:tr w:rsidR="002B489A">
        <w:tc>
          <w:tcPr>
            <w:tcW w:w="2938" w:type="dxa"/>
          </w:tcPr>
          <w:p w:rsidR="002B489A" w:rsidRDefault="004F19C4">
            <w:pPr>
              <w:pStyle w:val="Tabletext"/>
              <w:framePr w:hSpace="181" w:wrap="notBeside" w:vAnchor="text" w:hAnchor="text" w:xAlign="center" w:y="1"/>
              <w:spacing w:line="240" w:lineRule="exact"/>
              <w:jc w:val="left"/>
            </w:pPr>
            <w:r>
              <w:t>Type d'antenne</w:t>
            </w:r>
          </w:p>
        </w:tc>
        <w:tc>
          <w:tcPr>
            <w:tcW w:w="3360" w:type="dxa"/>
          </w:tcPr>
          <w:p w:rsidR="002B489A" w:rsidRDefault="004F19C4">
            <w:pPr>
              <w:pStyle w:val="Tabletext"/>
              <w:framePr w:hSpace="181" w:wrap="notBeside" w:vAnchor="text" w:hAnchor="text" w:xAlign="center" w:y="1"/>
              <w:spacing w:line="240" w:lineRule="exact"/>
              <w:jc w:val="center"/>
            </w:pPr>
            <w:r>
              <w:t>Réflecteur parabolique</w:t>
            </w:r>
          </w:p>
        </w:tc>
        <w:tc>
          <w:tcPr>
            <w:tcW w:w="3547" w:type="dxa"/>
          </w:tcPr>
          <w:p w:rsidR="002B489A" w:rsidRDefault="004F19C4">
            <w:pPr>
              <w:pStyle w:val="Tabletext"/>
              <w:framePr w:hSpace="181" w:wrap="notBeside" w:vAnchor="text" w:hAnchor="text" w:xAlign="center" w:y="1"/>
              <w:spacing w:line="240" w:lineRule="exact"/>
              <w:jc w:val="center"/>
            </w:pPr>
            <w:r>
              <w:t>Réflecteur parabolique</w:t>
            </w:r>
          </w:p>
        </w:tc>
      </w:tr>
      <w:tr w:rsidR="002B489A">
        <w:tc>
          <w:tcPr>
            <w:tcW w:w="2938" w:type="dxa"/>
          </w:tcPr>
          <w:p w:rsidR="002B489A" w:rsidRDefault="004F19C4">
            <w:pPr>
              <w:pStyle w:val="Tabletext"/>
              <w:framePr w:hSpace="181" w:wrap="notBeside" w:vAnchor="text" w:hAnchor="text" w:xAlign="center" w:y="1"/>
              <w:spacing w:line="240" w:lineRule="exact"/>
              <w:jc w:val="left"/>
            </w:pPr>
            <w:r>
              <w:t>Gain de faisceau d'antenne principale (dBi)</w:t>
            </w:r>
          </w:p>
        </w:tc>
        <w:tc>
          <w:tcPr>
            <w:tcW w:w="3360" w:type="dxa"/>
            <w:vAlign w:val="center"/>
          </w:tcPr>
          <w:p w:rsidR="002B489A" w:rsidRDefault="004F19C4">
            <w:pPr>
              <w:pStyle w:val="Tabletext"/>
              <w:framePr w:hSpace="181" w:wrap="notBeside" w:vAnchor="text" w:hAnchor="text" w:xAlign="center" w:y="1"/>
              <w:spacing w:line="240" w:lineRule="exact"/>
              <w:jc w:val="center"/>
            </w:pPr>
            <w:r>
              <w:t>44</w:t>
            </w:r>
          </w:p>
        </w:tc>
        <w:tc>
          <w:tcPr>
            <w:tcW w:w="3547" w:type="dxa"/>
            <w:vAlign w:val="center"/>
          </w:tcPr>
          <w:p w:rsidR="002B489A" w:rsidRDefault="004F19C4">
            <w:pPr>
              <w:pStyle w:val="Tabletext"/>
              <w:framePr w:hSpace="181" w:wrap="notBeside" w:vAnchor="text" w:hAnchor="text" w:xAlign="center" w:y="1"/>
              <w:spacing w:line="240" w:lineRule="exact"/>
              <w:jc w:val="center"/>
            </w:pPr>
            <w:r>
              <w:t>41,1</w:t>
            </w:r>
          </w:p>
        </w:tc>
      </w:tr>
      <w:tr w:rsidR="002B489A">
        <w:tc>
          <w:tcPr>
            <w:tcW w:w="2938" w:type="dxa"/>
          </w:tcPr>
          <w:p w:rsidR="002B489A" w:rsidRDefault="004F19C4">
            <w:pPr>
              <w:pStyle w:val="Tabletext"/>
              <w:framePr w:hSpace="181" w:wrap="notBeside" w:vAnchor="text" w:hAnchor="text" w:xAlign="center" w:y="1"/>
              <w:spacing w:line="240" w:lineRule="exact"/>
              <w:jc w:val="left"/>
            </w:pPr>
            <w:r>
              <w:t>Balayage d'antenne</w:t>
            </w:r>
          </w:p>
        </w:tc>
        <w:tc>
          <w:tcPr>
            <w:tcW w:w="3360" w:type="dxa"/>
          </w:tcPr>
          <w:p w:rsidR="002B489A" w:rsidRDefault="004F19C4">
            <w:pPr>
              <w:pStyle w:val="Tabletext"/>
              <w:framePr w:hSpace="181" w:wrap="notBeside" w:vAnchor="text" w:hAnchor="text" w:xAlign="center" w:y="1"/>
              <w:spacing w:line="240" w:lineRule="exact"/>
              <w:jc w:val="center"/>
            </w:pPr>
            <w:r>
              <w:t xml:space="preserve">Elévation: </w:t>
            </w:r>
            <w:r>
              <w:sym w:font="Symbol" w:char="F02D"/>
            </w:r>
            <w:r>
              <w:t>30</w:t>
            </w:r>
            <w:r>
              <w:sym w:font="Symbol" w:char="F0B0"/>
            </w:r>
            <w:r>
              <w:t xml:space="preserve"> à </w:t>
            </w:r>
            <w:r>
              <w:rPr>
                <w:rFonts w:ascii="Symbol" w:hAnsi="Symbol"/>
              </w:rPr>
              <w:t></w:t>
            </w:r>
            <w:r>
              <w:t>10</w:t>
            </w:r>
            <w:r>
              <w:sym w:font="Symbol" w:char="F0B0"/>
            </w:r>
            <w:r>
              <w:t>, manuel</w:t>
            </w:r>
            <w:r>
              <w:br/>
              <w:t>Azimut: 360</w:t>
            </w:r>
            <w:r>
              <w:sym w:font="Symbol" w:char="F0B0"/>
            </w:r>
            <w:r>
              <w:t xml:space="preserve"> à 7, 12 ou 21 tr/min</w:t>
            </w:r>
          </w:p>
        </w:tc>
        <w:tc>
          <w:tcPr>
            <w:tcW w:w="3547" w:type="dxa"/>
          </w:tcPr>
          <w:p w:rsidR="002B489A" w:rsidRDefault="004F19C4">
            <w:pPr>
              <w:pStyle w:val="Tabletext"/>
              <w:framePr w:hSpace="181" w:wrap="notBeside" w:vAnchor="text" w:hAnchor="text" w:xAlign="center" w:y="1"/>
              <w:spacing w:line="240" w:lineRule="exact"/>
              <w:jc w:val="center"/>
            </w:pPr>
            <w:r>
              <w:t xml:space="preserve">Elévation: </w:t>
            </w:r>
            <w:r>
              <w:sym w:font="Symbol" w:char="F02D"/>
            </w:r>
            <w:r>
              <w:t>30</w:t>
            </w:r>
            <w:r>
              <w:sym w:font="Symbol" w:char="F0B0"/>
            </w:r>
            <w:r>
              <w:t xml:space="preserve"> à </w:t>
            </w:r>
            <w:r>
              <w:rPr>
                <w:rFonts w:ascii="Symbol" w:hAnsi="Symbol"/>
              </w:rPr>
              <w:t></w:t>
            </w:r>
            <w:r>
              <w:t>10</w:t>
            </w:r>
            <w:r>
              <w:sym w:font="Symbol" w:char="F0B0"/>
            </w:r>
            <w:r>
              <w:t>, manuel</w:t>
            </w:r>
            <w:r>
              <w:br/>
              <w:t>Azimut: 360° à 12 ou 45 tr/min</w:t>
            </w:r>
          </w:p>
        </w:tc>
      </w:tr>
    </w:tbl>
    <w:p w:rsidR="002B489A" w:rsidRDefault="002B489A">
      <w:pPr>
        <w:pStyle w:val="Tablefin"/>
      </w:pPr>
    </w:p>
    <w:p w:rsidR="002B489A" w:rsidRDefault="004F19C4">
      <w:pPr>
        <w:spacing w:before="240"/>
      </w:pPr>
      <w:r>
        <w:t>On peut conclure du Tableau 95 que le concept de technique de compression d'impulsion utilisant des impulsions codées (avec une fonction de détection d'erreur) n'est pas mis en œuvre dans les systèmes de radar considérés.</w:t>
      </w:r>
    </w:p>
    <w:p w:rsidR="002B489A" w:rsidRDefault="004F19C4">
      <w:r>
        <w:t>On doit noter que la rotation d'antenne est mécanique, c'est-à-dire que le faisceau d'antenne n'est pas commandé de façon électronique.</w:t>
      </w:r>
    </w:p>
    <w:p w:rsidR="002B489A" w:rsidRDefault="004F19C4">
      <w:pPr>
        <w:pStyle w:val="Heading2"/>
        <w:spacing w:before="360"/>
        <w:ind w:left="0" w:firstLine="0"/>
      </w:pPr>
      <w:r>
        <w:t>2.5</w:t>
      </w:r>
      <w:r>
        <w:tab/>
        <w:t>Caractéristiques de fonctionnement</w:t>
      </w:r>
    </w:p>
    <w:p w:rsidR="002B489A" w:rsidRDefault="004F19C4">
      <w:r>
        <w:t>Jusqu'à 18 aéronefs fonctionnant avec ces systèmes de radionavigation peuvent être actifs dans de petites zones géographiques (c'est-à-dire, séparées de moins d'un kilomètre l'une de l'autre), bien que le plus souvent, seuls un à trois aéronefs fonctionneront simultanément.</w:t>
      </w:r>
    </w:p>
    <w:p w:rsidR="002B489A" w:rsidRDefault="004F19C4">
      <w:pPr>
        <w:pStyle w:val="Heading2"/>
      </w:pPr>
      <w:r>
        <w:t>2.6</w:t>
      </w:r>
      <w:r>
        <w:tab/>
        <w:t>Puissance émise dans la bande</w:t>
      </w:r>
    </w:p>
    <w:p w:rsidR="002B489A" w:rsidRDefault="004F19C4">
      <w:r>
        <w:t>Voir le Tableau 95.</w:t>
      </w:r>
    </w:p>
    <w:p w:rsidR="002B489A" w:rsidRDefault="004F19C4">
      <w:pPr>
        <w:pStyle w:val="Heading1"/>
      </w:pPr>
      <w:r>
        <w:t>3</w:t>
      </w:r>
      <w:r>
        <w:tab/>
        <w:t>Seuil de compatibilité</w:t>
      </w:r>
    </w:p>
    <w:p w:rsidR="002B489A" w:rsidRDefault="004F19C4">
      <w:r>
        <w:t xml:space="preserve">Le critère de protection du détecteur passif est de </w:t>
      </w:r>
      <w:r>
        <w:sym w:font="Symbol" w:char="F02D"/>
      </w:r>
      <w:r>
        <w:t>163 dBW dans une largeur de bande de 100 MHz (à ne pas dépasser de plus de 0,01% du temps comme stipulé par la Recommandation UIT-R SA.1029). Le § 2.4 donne un ensemble de caractéristiques des systèmes de radionavigation à déployer dans cette bande. Sur la base de ces informations, il est possible de calculer la puissance admise provenant de chaque système de radionavigation tombant dans la bande SETS.</w:t>
      </w:r>
    </w:p>
    <w:p w:rsidR="002B489A" w:rsidRDefault="004F19C4">
      <w:r>
        <w:br w:type="page"/>
        <w:t>Le brouillage peut être reçu simultanément de plusieurs sources provenant de services multiples. La valeur indiquée dans la Recommandation UIT-R SA.1029 (pour une bande spécifique) est le niveau maximum de brouillage admissible pour le détecteur passif.</w:t>
      </w:r>
    </w:p>
    <w:p w:rsidR="002B489A" w:rsidRDefault="004F19C4">
      <w:r>
        <w:t>La présente Annexe fait l'analyse du brouillage généré par un seul service actif.</w:t>
      </w:r>
    </w:p>
    <w:p w:rsidR="002B489A" w:rsidRDefault="004F19C4">
      <w:r>
        <w:t>Des travaux complémentaires seront nécessaires pour traiter de l'impact de ces services actifs multiples fonctionnant au-dessus et au-dessous de la bande passive.</w:t>
      </w:r>
    </w:p>
    <w:p w:rsidR="002B489A" w:rsidRDefault="004F19C4">
      <w:pPr>
        <w:pStyle w:val="Heading1"/>
      </w:pPr>
      <w:r>
        <w:t>4</w:t>
      </w:r>
      <w:r>
        <w:tab/>
        <w:t>Evaluation du brouillage</w:t>
      </w:r>
    </w:p>
    <w:p w:rsidR="002B489A" w:rsidRDefault="004F19C4">
      <w:pPr>
        <w:pStyle w:val="Heading2"/>
      </w:pPr>
      <w:r>
        <w:t>4.1</w:t>
      </w:r>
      <w:r>
        <w:tab/>
        <w:t>Méthode d'évaluation du niveau de brouillage</w:t>
      </w:r>
    </w:p>
    <w:p w:rsidR="002B489A" w:rsidRDefault="004F19C4">
      <w:r>
        <w:t>La première étape est l'analyse de l'affaiblissement requis pour satisfaire aux critères de protection du SETS (passive). La seconde étape est de calculer l'affaiblissement lorsque la bande SETS (passive) tombe juste en dehors de la largeur de bande à –40 dB du radar.</w:t>
      </w:r>
    </w:p>
    <w:p w:rsidR="002B489A" w:rsidRDefault="004F19C4">
      <w:pPr>
        <w:pStyle w:val="Heading2"/>
      </w:pPr>
      <w:r>
        <w:t>4.2</w:t>
      </w:r>
      <w:r>
        <w:tab/>
        <w:t>Calcul du niveau de brouillage</w:t>
      </w:r>
    </w:p>
    <w:p w:rsidR="002B489A" w:rsidRDefault="004F19C4">
      <w:pPr>
        <w:pStyle w:val="Heading3"/>
      </w:pPr>
      <w:r>
        <w:t>4.2.1</w:t>
      </w:r>
      <w:r>
        <w:tab/>
        <w:t>Affaiblissement requis dans la bande passive</w:t>
      </w:r>
    </w:p>
    <w:p w:rsidR="002B489A" w:rsidRDefault="004F19C4">
      <w:pPr>
        <w:tabs>
          <w:tab w:val="clear" w:pos="794"/>
        </w:tabs>
      </w:pPr>
      <w:r>
        <w:t>L'affaiblissement requis pour les quatre systèmes de radiolocalisation est donné au Tableau 96, pour lesquels le lobe principal de l'antenne de l'instrument du SETS (passive) «voit» le lobe latéral de l'antenne du système de radionavigation.</w:t>
      </w:r>
    </w:p>
    <w:p w:rsidR="002B489A" w:rsidRDefault="004F19C4">
      <w:pPr>
        <w:pStyle w:val="TableNo"/>
      </w:pPr>
      <w:r>
        <w:t>TABLEAU  96</w:t>
      </w:r>
    </w:p>
    <w:p w:rsidR="002B489A" w:rsidRDefault="004F19C4">
      <w:pPr>
        <w:pStyle w:val="Tabletitle"/>
      </w:pPr>
      <w:r>
        <w:t>Analyse de compatibilité avec le radar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1559"/>
        <w:gridCol w:w="1718"/>
      </w:tblGrid>
      <w:tr w:rsidR="002B489A">
        <w:trPr>
          <w:trHeight w:val="255"/>
        </w:trPr>
        <w:tc>
          <w:tcPr>
            <w:tcW w:w="5954" w:type="dxa"/>
            <w:vAlign w:val="bottom"/>
          </w:tcPr>
          <w:p w:rsidR="002B489A" w:rsidRDefault="002B489A">
            <w:pPr>
              <w:pStyle w:val="Tablehead"/>
              <w:framePr w:hSpace="181" w:wrap="notBeside" w:vAnchor="text" w:hAnchor="text" w:xAlign="center" w:y="1"/>
              <w:spacing w:before="120" w:after="120"/>
            </w:pPr>
          </w:p>
        </w:tc>
        <w:tc>
          <w:tcPr>
            <w:tcW w:w="1559" w:type="dxa"/>
            <w:vAlign w:val="bottom"/>
          </w:tcPr>
          <w:p w:rsidR="002B489A" w:rsidRDefault="004F19C4">
            <w:pPr>
              <w:pStyle w:val="Tablehead"/>
              <w:framePr w:hSpace="181" w:wrap="notBeside" w:vAnchor="text" w:hAnchor="text" w:xAlign="center" w:y="1"/>
              <w:spacing w:before="120" w:after="120"/>
            </w:pPr>
            <w:r>
              <w:t>Système 1</w:t>
            </w:r>
          </w:p>
        </w:tc>
        <w:tc>
          <w:tcPr>
            <w:tcW w:w="1718" w:type="dxa"/>
          </w:tcPr>
          <w:p w:rsidR="002B489A" w:rsidRDefault="004F19C4">
            <w:pPr>
              <w:pStyle w:val="Tablehead"/>
              <w:framePr w:hSpace="181" w:wrap="notBeside" w:vAnchor="text" w:hAnchor="text" w:xAlign="center" w:y="1"/>
              <w:spacing w:before="120" w:after="120"/>
            </w:pPr>
            <w:r>
              <w:t>Système 2</w:t>
            </w:r>
          </w:p>
        </w:tc>
      </w:tr>
      <w:tr w:rsidR="002B489A">
        <w:trPr>
          <w:trHeight w:val="255"/>
        </w:trPr>
        <w:tc>
          <w:tcPr>
            <w:tcW w:w="5954" w:type="dxa"/>
            <w:vAlign w:val="bottom"/>
          </w:tcPr>
          <w:p w:rsidR="002B489A" w:rsidRDefault="004F19C4">
            <w:pPr>
              <w:pStyle w:val="Tabletext"/>
              <w:keepNext/>
              <w:framePr w:hSpace="181" w:wrap="notBeside" w:vAnchor="text" w:hAnchor="text" w:xAlign="center" w:y="1"/>
              <w:spacing w:before="80" w:after="80"/>
              <w:ind w:left="57"/>
              <w:rPr>
                <w:rFonts w:eastAsia="Arial Unicode MS"/>
              </w:rPr>
            </w:pPr>
            <w:r>
              <w:t>Fréquence (GHz)</w:t>
            </w:r>
          </w:p>
        </w:tc>
        <w:tc>
          <w:tcPr>
            <w:tcW w:w="1559" w:type="dxa"/>
            <w:vAlign w:val="bottom"/>
          </w:tcPr>
          <w:p w:rsidR="002B489A" w:rsidRDefault="004F19C4">
            <w:pPr>
              <w:pStyle w:val="Tabletext"/>
              <w:keepNext/>
              <w:framePr w:hSpace="181" w:wrap="notBeside" w:vAnchor="text" w:hAnchor="text" w:xAlign="center" w:y="1"/>
              <w:spacing w:before="80" w:after="80"/>
              <w:jc w:val="center"/>
              <w:rPr>
                <w:rFonts w:eastAsia="Arial Unicode MS"/>
              </w:rPr>
            </w:pPr>
            <w:r>
              <w:t>31,8</w:t>
            </w:r>
          </w:p>
        </w:tc>
        <w:tc>
          <w:tcPr>
            <w:tcW w:w="1718" w:type="dxa"/>
          </w:tcPr>
          <w:p w:rsidR="002B489A" w:rsidRDefault="004F19C4">
            <w:pPr>
              <w:pStyle w:val="Tabletext"/>
              <w:keepNext/>
              <w:framePr w:hSpace="181" w:wrap="notBeside" w:vAnchor="text" w:hAnchor="text" w:xAlign="center" w:y="1"/>
              <w:spacing w:before="80" w:after="80"/>
              <w:jc w:val="center"/>
            </w:pPr>
            <w:r>
              <w:t>31,8</w:t>
            </w:r>
          </w:p>
        </w:tc>
      </w:tr>
      <w:tr w:rsidR="002B489A">
        <w:trPr>
          <w:trHeight w:val="255"/>
        </w:trPr>
        <w:tc>
          <w:tcPr>
            <w:tcW w:w="5954" w:type="dxa"/>
            <w:vAlign w:val="bottom"/>
          </w:tcPr>
          <w:p w:rsidR="002B489A" w:rsidRDefault="004F19C4">
            <w:pPr>
              <w:pStyle w:val="Tabletext"/>
              <w:keepNext/>
              <w:framePr w:hSpace="181" w:wrap="notBeside" w:vAnchor="text" w:hAnchor="text" w:xAlign="center" w:y="1"/>
              <w:spacing w:before="80" w:after="80"/>
              <w:ind w:left="57"/>
            </w:pPr>
            <w:r>
              <w:t>Puissance de radionavigation (dBW)</w:t>
            </w:r>
          </w:p>
        </w:tc>
        <w:tc>
          <w:tcPr>
            <w:tcW w:w="1559" w:type="dxa"/>
            <w:vAlign w:val="bottom"/>
          </w:tcPr>
          <w:p w:rsidR="002B489A" w:rsidRDefault="004F19C4">
            <w:pPr>
              <w:pStyle w:val="Tabletext"/>
              <w:keepNext/>
              <w:framePr w:hSpace="181" w:wrap="notBeside" w:vAnchor="text" w:hAnchor="text" w:xAlign="center" w:y="1"/>
              <w:spacing w:before="80" w:after="80"/>
              <w:jc w:val="center"/>
            </w:pPr>
            <w:r>
              <w:t>47,8</w:t>
            </w:r>
          </w:p>
        </w:tc>
        <w:tc>
          <w:tcPr>
            <w:tcW w:w="1718" w:type="dxa"/>
          </w:tcPr>
          <w:p w:rsidR="002B489A" w:rsidRDefault="004F19C4">
            <w:pPr>
              <w:pStyle w:val="Tabletext"/>
              <w:keepNext/>
              <w:framePr w:hSpace="181" w:wrap="notBeside" w:vAnchor="text" w:hAnchor="text" w:xAlign="center" w:y="1"/>
              <w:spacing w:before="80" w:after="80"/>
              <w:jc w:val="center"/>
            </w:pPr>
            <w:r>
              <w:t>45,9</w:t>
            </w:r>
          </w:p>
        </w:tc>
      </w:tr>
      <w:tr w:rsidR="002B489A">
        <w:trPr>
          <w:trHeight w:val="255"/>
        </w:trPr>
        <w:tc>
          <w:tcPr>
            <w:tcW w:w="5954" w:type="dxa"/>
            <w:vAlign w:val="bottom"/>
          </w:tcPr>
          <w:p w:rsidR="002B489A" w:rsidRDefault="004F19C4">
            <w:pPr>
              <w:pStyle w:val="Tabletext"/>
              <w:keepNext/>
              <w:framePr w:hSpace="181" w:wrap="notBeside" w:vAnchor="text" w:hAnchor="text" w:xAlign="center" w:y="1"/>
              <w:spacing w:before="80" w:after="80"/>
              <w:ind w:left="57"/>
            </w:pPr>
            <w:r>
              <w:t xml:space="preserve">Gain d'antenne de radionavigation </w:t>
            </w:r>
          </w:p>
        </w:tc>
        <w:tc>
          <w:tcPr>
            <w:tcW w:w="1559" w:type="dxa"/>
            <w:vAlign w:val="bottom"/>
          </w:tcPr>
          <w:p w:rsidR="002B489A" w:rsidRDefault="004F19C4">
            <w:pPr>
              <w:pStyle w:val="Tabletext"/>
              <w:keepNext/>
              <w:framePr w:hSpace="181" w:wrap="notBeside" w:vAnchor="text" w:hAnchor="text" w:xAlign="center" w:y="1"/>
              <w:spacing w:before="80" w:after="80"/>
              <w:jc w:val="center"/>
            </w:pPr>
            <w:r>
              <w:t>–10</w:t>
            </w:r>
          </w:p>
        </w:tc>
        <w:tc>
          <w:tcPr>
            <w:tcW w:w="1718" w:type="dxa"/>
          </w:tcPr>
          <w:p w:rsidR="002B489A" w:rsidRDefault="004F19C4">
            <w:pPr>
              <w:pStyle w:val="Tabletext"/>
              <w:keepNext/>
              <w:framePr w:hSpace="181" w:wrap="notBeside" w:vAnchor="text" w:hAnchor="text" w:xAlign="center" w:y="1"/>
              <w:spacing w:before="80" w:after="80"/>
              <w:jc w:val="center"/>
            </w:pPr>
            <w:r>
              <w:t>–10</w:t>
            </w:r>
          </w:p>
        </w:tc>
      </w:tr>
      <w:tr w:rsidR="002B489A">
        <w:trPr>
          <w:trHeight w:val="255"/>
        </w:trPr>
        <w:tc>
          <w:tcPr>
            <w:tcW w:w="5954" w:type="dxa"/>
            <w:vAlign w:val="bottom"/>
          </w:tcPr>
          <w:p w:rsidR="002B489A" w:rsidRDefault="004F19C4">
            <w:pPr>
              <w:pStyle w:val="Tabletext"/>
              <w:keepNext/>
              <w:framePr w:hSpace="181" w:wrap="notBeside" w:vAnchor="text" w:hAnchor="text" w:xAlign="center" w:y="1"/>
              <w:spacing w:before="80" w:after="80"/>
              <w:ind w:left="57"/>
              <w:rPr>
                <w:rFonts w:eastAsia="Arial Unicode MS"/>
              </w:rPr>
            </w:pPr>
            <w:r>
              <w:t>Altitude (km)</w:t>
            </w:r>
          </w:p>
        </w:tc>
        <w:tc>
          <w:tcPr>
            <w:tcW w:w="1559" w:type="dxa"/>
            <w:vAlign w:val="bottom"/>
          </w:tcPr>
          <w:p w:rsidR="002B489A" w:rsidRDefault="004F19C4">
            <w:pPr>
              <w:pStyle w:val="Tabletext"/>
              <w:keepNext/>
              <w:framePr w:hSpace="181" w:wrap="notBeside" w:vAnchor="text" w:hAnchor="text" w:xAlign="center" w:y="1"/>
              <w:spacing w:before="80" w:after="80"/>
              <w:jc w:val="center"/>
              <w:rPr>
                <w:rFonts w:eastAsia="Arial Unicode MS"/>
              </w:rPr>
            </w:pPr>
            <w:r>
              <w:t>850</w:t>
            </w:r>
          </w:p>
        </w:tc>
        <w:tc>
          <w:tcPr>
            <w:tcW w:w="1718" w:type="dxa"/>
          </w:tcPr>
          <w:p w:rsidR="002B489A" w:rsidRDefault="004F19C4">
            <w:pPr>
              <w:pStyle w:val="Tabletext"/>
              <w:keepNext/>
              <w:framePr w:hSpace="181" w:wrap="notBeside" w:vAnchor="text" w:hAnchor="text" w:xAlign="center" w:y="1"/>
              <w:spacing w:before="80" w:after="80"/>
              <w:jc w:val="center"/>
            </w:pPr>
            <w:r>
              <w:t>850</w:t>
            </w:r>
          </w:p>
        </w:tc>
      </w:tr>
      <w:tr w:rsidR="002B489A">
        <w:trPr>
          <w:trHeight w:val="255"/>
        </w:trPr>
        <w:tc>
          <w:tcPr>
            <w:tcW w:w="5954" w:type="dxa"/>
            <w:vAlign w:val="bottom"/>
          </w:tcPr>
          <w:p w:rsidR="002B489A" w:rsidRDefault="004F19C4">
            <w:pPr>
              <w:pStyle w:val="Tabletext"/>
              <w:keepNext/>
              <w:framePr w:hSpace="181" w:wrap="notBeside" w:vAnchor="text" w:hAnchor="text" w:xAlign="center" w:y="1"/>
              <w:spacing w:before="80" w:after="80"/>
              <w:ind w:left="57"/>
              <w:rPr>
                <w:rFonts w:eastAsia="Arial Unicode MS"/>
              </w:rPr>
            </w:pPr>
            <w:r>
              <w:t>Affaiblissement d'espace libre</w:t>
            </w:r>
          </w:p>
        </w:tc>
        <w:tc>
          <w:tcPr>
            <w:tcW w:w="1559" w:type="dxa"/>
            <w:vAlign w:val="bottom"/>
          </w:tcPr>
          <w:p w:rsidR="002B489A" w:rsidRDefault="004F19C4">
            <w:pPr>
              <w:pStyle w:val="Tabletext"/>
              <w:keepNext/>
              <w:framePr w:hSpace="181" w:wrap="notBeside" w:vAnchor="text" w:hAnchor="text" w:xAlign="center" w:y="1"/>
              <w:spacing w:before="80" w:after="80"/>
              <w:jc w:val="center"/>
              <w:rPr>
                <w:rFonts w:eastAsia="Arial Unicode MS"/>
              </w:rPr>
            </w:pPr>
            <w:r>
              <w:t>181</w:t>
            </w:r>
          </w:p>
        </w:tc>
        <w:tc>
          <w:tcPr>
            <w:tcW w:w="1718" w:type="dxa"/>
          </w:tcPr>
          <w:p w:rsidR="002B489A" w:rsidRDefault="004F19C4">
            <w:pPr>
              <w:pStyle w:val="Tabletext"/>
              <w:keepNext/>
              <w:framePr w:hSpace="181" w:wrap="notBeside" w:vAnchor="text" w:hAnchor="text" w:xAlign="center" w:y="1"/>
              <w:spacing w:before="80" w:after="80"/>
              <w:jc w:val="center"/>
            </w:pPr>
            <w:r>
              <w:t>181</w:t>
            </w:r>
          </w:p>
        </w:tc>
      </w:tr>
      <w:tr w:rsidR="002B489A">
        <w:trPr>
          <w:trHeight w:val="255"/>
        </w:trPr>
        <w:tc>
          <w:tcPr>
            <w:tcW w:w="5954" w:type="dxa"/>
            <w:vAlign w:val="bottom"/>
          </w:tcPr>
          <w:p w:rsidR="002B489A" w:rsidRDefault="004F19C4">
            <w:pPr>
              <w:pStyle w:val="Tabletext"/>
              <w:keepNext/>
              <w:framePr w:hSpace="181" w:wrap="notBeside" w:vAnchor="text" w:hAnchor="text" w:xAlign="center" w:y="1"/>
              <w:spacing w:before="80" w:after="80"/>
              <w:ind w:left="57"/>
              <w:rPr>
                <w:rFonts w:eastAsia="Arial Unicode MS"/>
              </w:rPr>
            </w:pPr>
            <w:r>
              <w:t>Gain SETS</w:t>
            </w:r>
          </w:p>
        </w:tc>
        <w:tc>
          <w:tcPr>
            <w:tcW w:w="1559" w:type="dxa"/>
            <w:vAlign w:val="bottom"/>
          </w:tcPr>
          <w:p w:rsidR="002B489A" w:rsidRDefault="004F19C4">
            <w:pPr>
              <w:pStyle w:val="Tabletext"/>
              <w:keepNext/>
              <w:framePr w:hSpace="181" w:wrap="notBeside" w:vAnchor="text" w:hAnchor="text" w:xAlign="center" w:y="1"/>
              <w:spacing w:before="80" w:after="80"/>
              <w:jc w:val="center"/>
              <w:rPr>
                <w:rFonts w:eastAsia="Arial Unicode MS"/>
              </w:rPr>
            </w:pPr>
            <w:r>
              <w:t>45</w:t>
            </w:r>
          </w:p>
        </w:tc>
        <w:tc>
          <w:tcPr>
            <w:tcW w:w="1718" w:type="dxa"/>
          </w:tcPr>
          <w:p w:rsidR="002B489A" w:rsidRDefault="004F19C4">
            <w:pPr>
              <w:pStyle w:val="Tabletext"/>
              <w:keepNext/>
              <w:framePr w:hSpace="181" w:wrap="notBeside" w:vAnchor="text" w:hAnchor="text" w:xAlign="center" w:y="1"/>
              <w:spacing w:before="80" w:after="80"/>
              <w:jc w:val="center"/>
            </w:pPr>
            <w:r>
              <w:t>45</w:t>
            </w:r>
          </w:p>
        </w:tc>
      </w:tr>
      <w:tr w:rsidR="002B489A">
        <w:trPr>
          <w:trHeight w:val="255"/>
        </w:trPr>
        <w:tc>
          <w:tcPr>
            <w:tcW w:w="5954" w:type="dxa"/>
            <w:vAlign w:val="bottom"/>
          </w:tcPr>
          <w:p w:rsidR="002B489A" w:rsidRDefault="004F19C4">
            <w:pPr>
              <w:pStyle w:val="Tabletext"/>
              <w:keepNext/>
              <w:framePr w:hSpace="181" w:wrap="notBeside" w:vAnchor="text" w:hAnchor="text" w:xAlign="center" w:y="1"/>
              <w:spacing w:before="80" w:after="80"/>
              <w:ind w:left="57"/>
            </w:pPr>
            <w:r>
              <w:t>Puissance dans une largeur de bande de référence de 100 MHz</w:t>
            </w:r>
          </w:p>
        </w:tc>
        <w:tc>
          <w:tcPr>
            <w:tcW w:w="1559" w:type="dxa"/>
            <w:vAlign w:val="bottom"/>
          </w:tcPr>
          <w:p w:rsidR="002B489A" w:rsidRDefault="004F19C4">
            <w:pPr>
              <w:pStyle w:val="Tabletext"/>
              <w:keepNext/>
              <w:framePr w:hSpace="181" w:wrap="notBeside" w:vAnchor="text" w:hAnchor="text" w:xAlign="center" w:y="1"/>
              <w:spacing w:before="80" w:after="80"/>
              <w:jc w:val="center"/>
            </w:pPr>
            <w:r>
              <w:t>–98,2</w:t>
            </w:r>
          </w:p>
        </w:tc>
        <w:tc>
          <w:tcPr>
            <w:tcW w:w="1718" w:type="dxa"/>
          </w:tcPr>
          <w:p w:rsidR="002B489A" w:rsidRDefault="004F19C4">
            <w:pPr>
              <w:pStyle w:val="Tabletext"/>
              <w:keepNext/>
              <w:framePr w:hSpace="181" w:wrap="notBeside" w:vAnchor="text" w:hAnchor="text" w:xAlign="center" w:y="1"/>
              <w:spacing w:before="80" w:after="80"/>
              <w:jc w:val="center"/>
            </w:pPr>
            <w:r>
              <w:t>–100</w:t>
            </w:r>
          </w:p>
        </w:tc>
      </w:tr>
      <w:tr w:rsidR="002B489A">
        <w:trPr>
          <w:trHeight w:val="255"/>
        </w:trPr>
        <w:tc>
          <w:tcPr>
            <w:tcW w:w="5954" w:type="dxa"/>
            <w:vAlign w:val="bottom"/>
          </w:tcPr>
          <w:p w:rsidR="002B489A" w:rsidRDefault="004F19C4">
            <w:pPr>
              <w:pStyle w:val="Tabletext"/>
              <w:keepNext/>
              <w:framePr w:hSpace="181" w:wrap="notBeside" w:vAnchor="text" w:hAnchor="text" w:xAlign="center" w:y="1"/>
              <w:spacing w:before="80" w:after="80"/>
              <w:ind w:left="57"/>
              <w:rPr>
                <w:rFonts w:eastAsia="Arial Unicode MS"/>
              </w:rPr>
            </w:pPr>
            <w:r>
              <w:t>Critères de brouillage (dB(W/100 MHz))</w:t>
            </w:r>
          </w:p>
        </w:tc>
        <w:tc>
          <w:tcPr>
            <w:tcW w:w="1559" w:type="dxa"/>
            <w:vAlign w:val="bottom"/>
          </w:tcPr>
          <w:p w:rsidR="002B489A" w:rsidRDefault="004F19C4">
            <w:pPr>
              <w:pStyle w:val="Tabletext"/>
              <w:keepNext/>
              <w:framePr w:hSpace="181" w:wrap="notBeside" w:vAnchor="text" w:hAnchor="text" w:xAlign="center" w:y="1"/>
              <w:spacing w:before="80" w:after="80"/>
              <w:jc w:val="center"/>
              <w:rPr>
                <w:rFonts w:eastAsia="Arial Unicode MS"/>
              </w:rPr>
            </w:pPr>
            <w:r>
              <w:t>–163</w:t>
            </w:r>
          </w:p>
        </w:tc>
        <w:tc>
          <w:tcPr>
            <w:tcW w:w="1718" w:type="dxa"/>
          </w:tcPr>
          <w:p w:rsidR="002B489A" w:rsidRDefault="004F19C4">
            <w:pPr>
              <w:pStyle w:val="Tabletext"/>
              <w:keepNext/>
              <w:framePr w:hSpace="181" w:wrap="notBeside" w:vAnchor="text" w:hAnchor="text" w:xAlign="center" w:y="1"/>
              <w:spacing w:before="80" w:after="80"/>
              <w:jc w:val="center"/>
            </w:pPr>
            <w:r>
              <w:t>–163</w:t>
            </w:r>
          </w:p>
        </w:tc>
      </w:tr>
      <w:tr w:rsidR="002B489A">
        <w:trPr>
          <w:trHeight w:val="255"/>
        </w:trPr>
        <w:tc>
          <w:tcPr>
            <w:tcW w:w="5954" w:type="dxa"/>
            <w:vAlign w:val="bottom"/>
          </w:tcPr>
          <w:p w:rsidR="002B489A" w:rsidRDefault="004F19C4">
            <w:pPr>
              <w:pStyle w:val="Tabletext"/>
              <w:keepNext/>
              <w:framePr w:hSpace="181" w:wrap="notBeside" w:vAnchor="text" w:hAnchor="text" w:xAlign="center" w:y="1"/>
              <w:spacing w:before="80" w:after="80"/>
              <w:ind w:left="57"/>
              <w:rPr>
                <w:rFonts w:eastAsia="Arial Unicode MS"/>
              </w:rPr>
            </w:pPr>
            <w:r>
              <w:t>Affaiblissement requis</w:t>
            </w:r>
          </w:p>
        </w:tc>
        <w:tc>
          <w:tcPr>
            <w:tcW w:w="1559" w:type="dxa"/>
            <w:vAlign w:val="bottom"/>
          </w:tcPr>
          <w:p w:rsidR="002B489A" w:rsidRDefault="004F19C4">
            <w:pPr>
              <w:pStyle w:val="Tabletext"/>
              <w:keepNext/>
              <w:framePr w:hSpace="181" w:wrap="notBeside" w:vAnchor="text" w:hAnchor="text" w:xAlign="center" w:y="1"/>
              <w:spacing w:before="80" w:after="80"/>
              <w:jc w:val="center"/>
              <w:rPr>
                <w:rFonts w:eastAsia="Arial Unicode MS"/>
              </w:rPr>
            </w:pPr>
            <w:r>
              <w:t>–64,8</w:t>
            </w:r>
          </w:p>
        </w:tc>
        <w:tc>
          <w:tcPr>
            <w:tcW w:w="1718" w:type="dxa"/>
          </w:tcPr>
          <w:p w:rsidR="002B489A" w:rsidRDefault="004F19C4">
            <w:pPr>
              <w:pStyle w:val="Tabletext"/>
              <w:keepNext/>
              <w:framePr w:hSpace="181" w:wrap="notBeside" w:vAnchor="text" w:hAnchor="text" w:xAlign="center" w:y="1"/>
              <w:spacing w:before="80" w:after="80"/>
              <w:jc w:val="center"/>
            </w:pPr>
            <w:r>
              <w:t>–63</w:t>
            </w:r>
          </w:p>
        </w:tc>
      </w:tr>
    </w:tbl>
    <w:p w:rsidR="002B489A" w:rsidRDefault="002B489A">
      <w:pPr>
        <w:pStyle w:val="Tablefin"/>
      </w:pPr>
    </w:p>
    <w:p w:rsidR="002B489A" w:rsidRDefault="004F19C4">
      <w:pPr>
        <w:pStyle w:val="Heading3"/>
      </w:pPr>
      <w:r>
        <w:t>4.2.2</w:t>
      </w:r>
      <w:r>
        <w:tab/>
        <w:t>Calcul des rayonnements non désirés provenant des Systèmes radar 1 et 2</w:t>
      </w:r>
    </w:p>
    <w:p w:rsidR="002B489A" w:rsidRDefault="004F19C4">
      <w:r>
        <w:t>L'hypothèse utilisée dans cette analyse est que la largeur de bande à –40 dB du radar est située dans la bande de radionavigation et que la bande SETS est située à partir de la valeur à 50% de la largeur de bande à –40 dB comme décrit à la Fig. 61.</w:t>
      </w:r>
    </w:p>
    <w:p w:rsidR="002B489A" w:rsidRDefault="004F19C4">
      <w:r>
        <w:br w:type="page"/>
        <w:t xml:space="preserve">Pour les Systèmes 1 et 2, on a calculé les niveaux d'affaiblissement en utilisant le gabarit et les équations de l'Annexe 8 de la Recommandation UIT-R SM.1541. Pour les calculs aussi bien de la largeur de bande nécessaire que de la largeur de bande à –40 dB, on a besoin du temps de montée de l'impulsion. Ce paramètre a été estimé à 50 ns pour les deux Systèmes 1 et 2. Pour les Systèmes 1 et 2, le résultat est une </w:t>
      </w:r>
      <w:r>
        <w:rPr>
          <w:i/>
          <w:iCs/>
        </w:rPr>
        <w:t>B</w:t>
      </w:r>
      <w:r>
        <w:rPr>
          <w:i/>
          <w:iCs/>
          <w:vertAlign w:val="subscript"/>
        </w:rPr>
        <w:t>N</w:t>
      </w:r>
      <w:r>
        <w:t xml:space="preserve"> de 17,9 MHz et une </w:t>
      </w:r>
      <w:r>
        <w:rPr>
          <w:i/>
          <w:iCs/>
        </w:rPr>
        <w:t>B</w:t>
      </w:r>
      <w:r>
        <w:rPr>
          <w:vertAlign w:val="subscript"/>
        </w:rPr>
        <w:t>–40</w:t>
      </w:r>
      <w:r>
        <w:t xml:space="preserve"> de 76 MHz. Il faut noter ici que, en considérant les caractéristiques du Système 2 telles qu'elles figurent au Tableau 95, le canal radar le plus proche est situé à environ 32,2 GHz, ce qui nous donne une importante bande de garde (déjà mise en oeuvre). Pour le Système 1, la largeur de bande de référence de 100 MHz (31,7-31,8 GHz) du SETS (passive) va de 50% à 181,6% à la Fig. 61. La puissance de rayonnements non désirés tombant dans la largeur de bande de référence de 100 MHz est de –45,7 dBpp pour le Système 1.</w:t>
      </w:r>
    </w:p>
    <w:p w:rsidR="002B489A" w:rsidRDefault="004F19C4">
      <w:pPr>
        <w:pStyle w:val="Heading2"/>
      </w:pPr>
      <w:r>
        <w:t>4.3</w:t>
      </w:r>
      <w:r>
        <w:tab/>
        <w:t>Valeurs obtenues</w:t>
      </w:r>
    </w:p>
    <w:p w:rsidR="002B489A" w:rsidRDefault="004F19C4">
      <w:r>
        <w:t>Les marges qui en résultent, en supposant un gain d'antenne radar de –10 dBi (dans la direction du détecteur), sont de 19,1 dB pour le Système 1. Il est très vraisemblable que le Système 2, du fait de son importante séparation de fréquence, sera compatible avec les systèmes SETS (passive) fonctionnant dans la bande adjacente.</w:t>
      </w:r>
    </w:p>
    <w:p w:rsidR="002B489A" w:rsidRDefault="004F19C4">
      <w:pPr>
        <w:pStyle w:val="Heading1"/>
      </w:pPr>
      <w:r>
        <w:t>5</w:t>
      </w:r>
      <w:r>
        <w:tab/>
        <w:t>Techniques de réduction des brouillages</w:t>
      </w:r>
    </w:p>
    <w:p w:rsidR="002B489A" w:rsidRDefault="004F19C4">
      <w:pPr>
        <w:pStyle w:val="Heading2"/>
      </w:pPr>
      <w:r>
        <w:t>5.1</w:t>
      </w:r>
      <w:r>
        <w:tab/>
        <w:t xml:space="preserve">SETS (passive) </w:t>
      </w:r>
    </w:p>
    <w:p w:rsidR="002B489A" w:rsidRDefault="004F19C4">
      <w:r>
        <w:t>D'après la description du § 1.2, il paraît possible de mettre en œuvre à la bande 31,5</w:t>
      </w:r>
      <w:r>
        <w:noBreakHyphen/>
        <w:t>31,8 GHz une bande de garde à la fin de l'attribution du service passif à la bordure de la bande des 31,8 GHz.</w:t>
      </w:r>
    </w:p>
    <w:p w:rsidR="002B489A" w:rsidRDefault="004F19C4">
      <w:pPr>
        <w:pStyle w:val="Heading2"/>
        <w:ind w:left="0" w:firstLine="0"/>
      </w:pPr>
      <w:r>
        <w:t>5.2</w:t>
      </w:r>
      <w:r>
        <w:tab/>
        <w:t>Service de radionavigation</w:t>
      </w:r>
    </w:p>
    <w:p w:rsidR="002B489A" w:rsidRDefault="004F19C4">
      <w:r>
        <w:t>Les techniques d'affaiblissement pour les systèmes qui sont actuellement utilisés peuvent servir d'un point de vue pratique. La plupart des radars utilisés dans la gamme 31,8-33,4 GHz sont agiles en fréquence et ont des largeurs de bande d'émission RF relativement petites comparées à la bande attribuée. Il faut examiner la possibilité d'éviter les émissions dans la partie inférieure du spectre adjacente à la bordure de la bande passive existante à 31,8 GHz car elle pourrait résoudre la discordance. Par exemple, il est vraisemblable que l'analyse de compatibilité donnerait un scénario positif lorsque le canal radar le plus proche par rapport à la bordure existante de la bande passive a une séparation de fréquence d'approximativement 2 à 2,5 fois la largeur de bande à –40 dB du système de radionavigation.</w:t>
      </w:r>
    </w:p>
    <w:p w:rsidR="002B489A" w:rsidRDefault="004F19C4">
      <w:pPr>
        <w:pStyle w:val="Heading2"/>
      </w:pPr>
      <w:r>
        <w:t>5.3</w:t>
      </w:r>
      <w:r>
        <w:tab/>
        <w:t>Impact potentiel</w:t>
      </w:r>
    </w:p>
    <w:p w:rsidR="002B489A" w:rsidRDefault="004F19C4">
      <w:pPr>
        <w:pStyle w:val="Heading3"/>
      </w:pPr>
      <w:r>
        <w:t>5.3.1</w:t>
      </w:r>
      <w:r>
        <w:tab/>
        <w:t>SETS (passive)</w:t>
      </w:r>
    </w:p>
    <w:p w:rsidR="002B489A" w:rsidRDefault="004F19C4">
      <w:r>
        <w:t>En mettant en œuvre une bande de garde appropriée pour prévenir les risques de brouillage provenant de brouilleurs de bande adjacente, le SETS (passive) peut avoir un meilleur environnement pour effectuer ses mesures. L'applicabilité et l'adéquation d'une telle bande de garde devra faire l'objet de travaux complémentaires.</w:t>
      </w:r>
    </w:p>
    <w:p w:rsidR="002B489A" w:rsidRDefault="004F19C4">
      <w:pPr>
        <w:pStyle w:val="Heading3"/>
      </w:pPr>
      <w:r>
        <w:t>5.3.2</w:t>
      </w:r>
      <w:r>
        <w:tab/>
        <w:t>Service de radionavigation</w:t>
      </w:r>
    </w:p>
    <w:p w:rsidR="002B489A" w:rsidRDefault="004F19C4">
      <w:r>
        <w:t>Des travaux complémentaires seront nécessaires pour étudier la faisabilité de conserver la totalité de la largeur de bande radar à –40 dB au sein de la bande de radionavigation en combinaison avec une séparation de fréquence supplémentaire ou d'une limite de puissance de crête inférieure (c'est-à-dire, qu'à l'avenir les radars dans la bande 31,8</w:t>
      </w:r>
      <w:r>
        <w:noBreakHyphen/>
        <w:t>33,4 GHz pourraient avoir des paramètres différents).</w:t>
      </w:r>
    </w:p>
    <w:p w:rsidR="002B489A" w:rsidRDefault="004F19C4">
      <w:pPr>
        <w:pStyle w:val="Heading1"/>
      </w:pPr>
      <w:r>
        <w:br w:type="page"/>
        <w:t>6</w:t>
      </w:r>
      <w:r>
        <w:tab/>
        <w:t>Résultats des études</w:t>
      </w:r>
    </w:p>
    <w:p w:rsidR="002B489A" w:rsidRDefault="004F19C4">
      <w:pPr>
        <w:pStyle w:val="Heading2"/>
      </w:pPr>
      <w:r>
        <w:t>6.1</w:t>
      </w:r>
      <w:r>
        <w:tab/>
        <w:t>Résumé</w:t>
      </w:r>
    </w:p>
    <w:p w:rsidR="002B489A" w:rsidRDefault="004F19C4">
      <w:r>
        <w:t>La présente analyse de compatibilité a calculé les risques de brouillage provenant des systèmes de radionavigation dans la bande adjacente supérieure à la bande 31,5</w:t>
      </w:r>
      <w:r>
        <w:noBreakHyphen/>
        <w:t>31,8 GHz attribuée au SETS (passive).</w:t>
      </w:r>
    </w:p>
    <w:p w:rsidR="002B489A" w:rsidRDefault="004F19C4">
      <w:pPr>
        <w:pStyle w:val="Heading2"/>
      </w:pPr>
      <w:r>
        <w:t>6.2</w:t>
      </w:r>
      <w:r>
        <w:tab/>
        <w:t>Conclusions</w:t>
      </w:r>
    </w:p>
    <w:p w:rsidR="002B489A" w:rsidRDefault="004F19C4">
      <w:r>
        <w:t>Il résulte de la présente analyse de compatibilité qu'il existe une discordance de 19,1 dB pour un système unique du Système 1 (Tableau 95), en supposant un gain d'antenne de –10 dBi dans la direction du détecteur. On a identifié des techniques de réduction des brouillages pour les deux services et il faudra des études complémentaires pour évaluer leur applicabilité et leur adéquation. Un scénario positif résulterait de l'application d'une bande de garde dans la bande de la radionavigation ou du SETS (passive). En tenant compte de l'utilisation de ce système par les aéronefs, le brouillage pourrait aussi être au-dessous du critère de disponibilité du détecteur passif.</w:t>
      </w:r>
    </w:p>
    <w:p w:rsidR="002B489A" w:rsidRDefault="004F19C4">
      <w:r>
        <w:t>Au Tableau 95, les systèmes de radionavigation du Système 2 seront, du fait de son importante séparation de fréquence (environ 400 MHz) par rapport à la bordure de bande, compatibles avec la bande passive de 31,5</w:t>
      </w:r>
      <w:r>
        <w:noBreakHyphen/>
        <w:t>31,8 GHz.</w:t>
      </w:r>
    </w:p>
    <w:p w:rsidR="002B489A" w:rsidRDefault="002B489A"/>
    <w:p w:rsidR="002B489A" w:rsidRDefault="002B489A"/>
    <w:p w:rsidR="002B489A" w:rsidRDefault="002B489A"/>
    <w:p w:rsidR="002B489A" w:rsidRDefault="004F19C4">
      <w:pPr>
        <w:pStyle w:val="AnnexNoTitle"/>
      </w:pPr>
      <w:r>
        <w:t xml:space="preserve">Annexe 18 </w:t>
      </w:r>
      <w:r>
        <w:br/>
      </w:r>
      <w:r>
        <w:br/>
        <w:t xml:space="preserve">Analyse de compatibilité entre systèmes du SRA fonctionnant dans </w:t>
      </w:r>
      <w:r>
        <w:br/>
        <w:t>la bande 42,5</w:t>
      </w:r>
      <w:r>
        <w:noBreakHyphen/>
        <w:t>43,5 GHz et systèmes du SFS et du SRS (espace vers Terre) fonctionnant dans la bande 41,5</w:t>
      </w:r>
      <w:r>
        <w:noBreakHyphen/>
        <w:t>42,5 GHz</w:t>
      </w:r>
    </w:p>
    <w:p w:rsidR="002B489A" w:rsidRDefault="004F19C4">
      <w:pPr>
        <w:pStyle w:val="Heading1"/>
      </w:pPr>
      <w:r>
        <w:t>1</w:t>
      </w:r>
      <w:r>
        <w:tab/>
        <w:t>SRA</w:t>
      </w:r>
    </w:p>
    <w:p w:rsidR="002B489A" w:rsidRDefault="004F19C4">
      <w:pPr>
        <w:pStyle w:val="Heading2"/>
      </w:pPr>
      <w:r>
        <w:t>1.1</w:t>
      </w:r>
      <w:r>
        <w:tab/>
        <w:t>Bande attribuée</w:t>
      </w:r>
    </w:p>
    <w:p w:rsidR="002B489A" w:rsidRDefault="004F19C4">
      <w:r>
        <w:t>Le SRA partage la bande 42,5</w:t>
      </w:r>
      <w:r>
        <w:noBreakHyphen/>
        <w:t>43,5 GHz avec le service fixe, le SFS (Terre vers espace) et le service mobile (sauf mobile aéronautique) à titre primaire.</w:t>
      </w:r>
    </w:p>
    <w:p w:rsidR="002B489A" w:rsidRDefault="004F19C4">
      <w:pPr>
        <w:pStyle w:val="Heading2"/>
      </w:pPr>
      <w:r>
        <w:t>1.2</w:t>
      </w:r>
      <w:r>
        <w:tab/>
        <w:t>Type d'observations</w:t>
      </w:r>
    </w:p>
    <w:p w:rsidR="002B489A" w:rsidRDefault="004F19C4">
      <w:pPr>
        <w:pStyle w:val="enumlev2"/>
        <w:tabs>
          <w:tab w:val="left" w:pos="8820"/>
          <w:tab w:val="left" w:pos="9450"/>
          <w:tab w:val="left" w:pos="9630"/>
        </w:tabs>
        <w:ind w:left="0" w:right="1" w:firstLine="0"/>
      </w:pPr>
      <w:r>
        <w:t>La bande 42,5</w:t>
      </w:r>
      <w:r>
        <w:noBreakHyphen/>
        <w:t>43,5 GHz est utilisée par le SRA à la fois pour des observations du continuum et des observations de raies spectrales. La bande est très importante pour la radioastronomie, parce qu'elle est approximativement de deux fois la fréquence de la bande du continuum 23,6</w:t>
      </w:r>
      <w:r>
        <w:noBreakHyphen/>
        <w:t xml:space="preserve">24 GHz, elle procure un point d'échantillonnage efficace des émissions du continuum à des intervalles d'octave, essentiel pour la détermination de l'indice spectral des radiosources. Les observations des émissions </w:t>
      </w:r>
      <w:r>
        <w:br w:type="page"/>
        <w:t>du continuum donnent des informations critiques sur l'état physique de la matière interstellaire associée aux régions de formation des étoiles. La bande des 43 GHz est aussi utilisée de façon intense pour les études de l'arrière</w:t>
      </w:r>
      <w:r>
        <w:noBreakHyphen/>
        <w:t>plan cosmique hyperfréquence (CMB</w:t>
      </w:r>
      <w:r>
        <w:rPr>
          <w:i/>
        </w:rPr>
        <w:t>, cosmic microwave background</w:t>
      </w:r>
      <w:r>
        <w:t>). La bande inclut aussi les raies spectrales associées à la molécule de monoxyde de silicium (SiO) aux fréquences de repos de 42,519, 42,821, 43,122 et 43,424 GHz qui sont parmi les raies les plus importantes en astrophysique, mais qui ne figurent pas dans la Recommandation UIT</w:t>
      </w:r>
      <w:r>
        <w:noBreakHyphen/>
        <w:t>R RA.314.</w:t>
      </w:r>
    </w:p>
    <w:p w:rsidR="002B489A" w:rsidRDefault="004F19C4">
      <w:r>
        <w:t>Ce sont des raies essentielles pour l'étude des phénomènes cosmiques comme la naissance et la mort des étoiles.</w:t>
      </w:r>
    </w:p>
    <w:p w:rsidR="002B489A" w:rsidRDefault="004F19C4">
      <w:pPr>
        <w:pStyle w:val="Heading2"/>
      </w:pPr>
      <w:r>
        <w:t>1.3</w:t>
      </w:r>
      <w:r>
        <w:tab/>
        <w:t>Critères de protection requis</w:t>
      </w:r>
    </w:p>
    <w:p w:rsidR="002B489A" w:rsidRDefault="004F19C4">
      <w:r>
        <w:t>La Recommandation UIT-R RA.769 spécifie les critères de protection pour les observations radioastronomiques et donne les niveaux des seuils de brouillage nuisible pour les bandes attribuées à titre primaire à la radioastronomie. Dans la bande 42,5</w:t>
      </w:r>
      <w:r>
        <w:noBreakHyphen/>
        <w:t xml:space="preserve">43,5 GHz, pour les observations de raies spectrales à antenne unique faites en utilisant une largeur de bande de canal (un des canaux du spectromètre) de 500 kHz, le seuil de puissance surfacique pour les brouillages gênants est de </w:t>
      </w:r>
      <w:r>
        <w:rPr>
          <w:rFonts w:ascii="Symbol" w:hAnsi="Symbol"/>
        </w:rPr>
        <w:noBreakHyphen/>
      </w:r>
      <w:r>
        <w:t>153 </w:t>
      </w:r>
      <w:r>
        <w:rPr>
          <w:snapToGrid w:val="0"/>
        </w:rPr>
        <w:t>dB(W/m</w:t>
      </w:r>
      <w:r>
        <w:rPr>
          <w:vertAlign w:val="superscript"/>
        </w:rPr>
        <w:t>2</w:t>
      </w:r>
      <w:r>
        <w:rPr>
          <w:rFonts w:ascii="Times" w:hAnsi="Times"/>
          <w:spacing w:val="-2"/>
        </w:rPr>
        <w:t>)</w:t>
      </w:r>
      <w:r>
        <w:rPr>
          <w:snapToGrid w:val="0"/>
        </w:rPr>
        <w:t>.</w:t>
      </w:r>
      <w:r>
        <w:t xml:space="preserve"> Pour faire des observations à antenne unique du continuum en utilisant la totalité de la largeur de bande à 1 GHz , la limite du seuil de puissance surfacique est de –137 dB(W/m</w:t>
      </w:r>
      <w:r>
        <w:rPr>
          <w:rFonts w:ascii="Times" w:hAnsi="Times"/>
          <w:spacing w:val="-2"/>
          <w:vertAlign w:val="superscript"/>
        </w:rPr>
        <w:t>2</w:t>
      </w:r>
      <w:r>
        <w:rPr>
          <w:rFonts w:ascii="Times" w:hAnsi="Times"/>
          <w:spacing w:val="-2"/>
        </w:rPr>
        <w:t>)</w:t>
      </w:r>
      <w:r>
        <w:t>.</w:t>
      </w:r>
    </w:p>
    <w:p w:rsidR="002B489A" w:rsidRDefault="004F19C4">
      <w:r>
        <w:t xml:space="preserve">Les observations VLBI, où les signaux provenant d'antennes largement séparées sont enregistrés et corrélés après les observations, sont beaucoup moins vulnérables au brouillage. Ceci est reflété dans le niveau de seuil de puissance surfacique pour les observations VLBI dans cette bande, </w:t>
      </w:r>
      <w:r>
        <w:rPr>
          <w:rFonts w:ascii="Symbol" w:hAnsi="Symbol"/>
        </w:rPr>
        <w:noBreakHyphen/>
      </w:r>
      <w:r>
        <w:t>116 </w:t>
      </w:r>
      <w:r>
        <w:rPr>
          <w:snapToGrid w:val="0"/>
        </w:rPr>
        <w:t>dB(W/m</w:t>
      </w:r>
      <w:r>
        <w:rPr>
          <w:rFonts w:ascii="Times" w:hAnsi="Times"/>
          <w:spacing w:val="-2"/>
          <w:vertAlign w:val="superscript"/>
        </w:rPr>
        <w:t>2</w:t>
      </w:r>
      <w:r>
        <w:rPr>
          <w:rFonts w:ascii="Times" w:hAnsi="Times"/>
          <w:spacing w:val="-2"/>
        </w:rPr>
        <w:t>), pour une largeur de bande de 500 kHz.</w:t>
      </w:r>
    </w:p>
    <w:p w:rsidR="002B489A" w:rsidRDefault="004F19C4">
      <w:r>
        <w:t>Pour les brouillages gênants provenant de systèmes non OSG, les critères de protection et les méthodes pertinentes sont décrits dans les Recommandations UIT-R RA.769 et UIT-R RA.1513, ainsi que dans la Recommandation UIT-R S.1586 pour les systèmes du SFS. Les niveaux de seuil de brouillage nuisible pour le SRA comme définis et calculés dans la Recommandation UIT</w:t>
      </w:r>
      <w:r>
        <w:noBreakHyphen/>
        <w:t>R RA.769, sont les critères de protection au-dessus desquels les données de radioastronomie sont dégradées et peuvent même être détruites. En principe, dans des circonstances assez idéales, si ces niveaux ne sont que très légèrement dépassés, il est possible à l'observatoire de radioastronomie de les compenser en augmentant le temps d'observation. En faisant ainsi, la capacité de canal du télescope est réduite, avec une réduction correspondante du débit de données scientifiques. Si le niveau de brouillage, dans les hypothèses de la Recommandation UIT-R RA.769 (par exemple, les performances d'antenne, etc.), passent à 10 dB ou plus au-dessus de la définition de la Recommandation UIT-R RA.769, l'augmentation du temps d'observation ne permettra plus d'assurer que des données scientifiques valides sont fournies aux savants. La station de radioastronomie ne pourra plus fonctionner dans la bande de fréquences assignée, et sa capacité de service aura été perdue si aucune technique de réduction des brouillages appropriée ne peut être appliquée.</w:t>
      </w:r>
    </w:p>
    <w:p w:rsidR="002B489A" w:rsidRDefault="004F19C4">
      <w:r>
        <w:t>Les Recommandations UIT-R suivantes traitent directement de la protection des stations de radioastronomie observant dans la bande 42,5</w:t>
      </w:r>
      <w:r>
        <w:noBreakHyphen/>
        <w:t xml:space="preserve">43,5 GHz, ou s'y rapportent: </w:t>
      </w:r>
    </w:p>
    <w:p w:rsidR="002B489A" w:rsidRDefault="004F19C4">
      <w:pPr>
        <w:ind w:left="3600" w:hanging="3600"/>
      </w:pPr>
      <w:r>
        <w:t>Recommandation UIT</w:t>
      </w:r>
      <w:r>
        <w:noBreakHyphen/>
        <w:t>R RA.314 –</w:t>
      </w:r>
      <w:r>
        <w:tab/>
        <w:t>Bandes de fréquences préférées pour les mesures en radioastronomie.</w:t>
      </w:r>
    </w:p>
    <w:p w:rsidR="002B489A" w:rsidRDefault="004F19C4">
      <w:pPr>
        <w:ind w:left="3600" w:hanging="3600"/>
      </w:pPr>
      <w:r>
        <w:t>Recommandation UIT</w:t>
      </w:r>
      <w:r>
        <w:noBreakHyphen/>
        <w:t>R RA.517 –</w:t>
      </w:r>
      <w:r>
        <w:tab/>
        <w:t>Protection du service de radioastronomie contre les émetteurs fonctionnant dans les bandes adjacentes.</w:t>
      </w:r>
    </w:p>
    <w:p w:rsidR="002B489A" w:rsidRDefault="004F19C4">
      <w:pPr>
        <w:ind w:left="3600" w:hanging="3600"/>
      </w:pPr>
      <w:r>
        <w:br w:type="page"/>
        <w:t>Recommandation UIT</w:t>
      </w:r>
      <w:r>
        <w:noBreakHyphen/>
        <w:t>R RA.611 –</w:t>
      </w:r>
      <w:r>
        <w:tab/>
        <w:t>Protection du service de radioastronomie contre les rayon</w:t>
      </w:r>
      <w:r>
        <w:softHyphen/>
        <w:t>nements non essentiels.</w:t>
      </w:r>
    </w:p>
    <w:p w:rsidR="002B489A" w:rsidRDefault="004F19C4">
      <w:pPr>
        <w:ind w:left="3600" w:hanging="3600"/>
      </w:pPr>
      <w:r>
        <w:t>Recommandation UIT</w:t>
      </w:r>
      <w:r>
        <w:noBreakHyphen/>
        <w:t>R RA.769 –</w:t>
      </w:r>
      <w:r>
        <w:tab/>
        <w:t>Critères de protection applicables aux mesures en radio</w:t>
      </w:r>
      <w:r>
        <w:softHyphen/>
        <w:t>astronomie.</w:t>
      </w:r>
    </w:p>
    <w:p w:rsidR="002B489A" w:rsidRDefault="004F19C4">
      <w:pPr>
        <w:ind w:left="3600" w:hanging="3600"/>
      </w:pPr>
      <w:r>
        <w:t>Recommandation UIT</w:t>
      </w:r>
      <w:r>
        <w:noBreakHyphen/>
        <w:t>R RA.1237 –</w:t>
      </w:r>
      <w:r>
        <w:tab/>
        <w:t>Protection du service de radioastronomie contre les rayon</w:t>
      </w:r>
      <w:r>
        <w:softHyphen/>
        <w:t>nements non désirés produits par des systèmes à modulation numérique à large bande.</w:t>
      </w:r>
    </w:p>
    <w:p w:rsidR="002B489A" w:rsidRDefault="004F19C4">
      <w:pPr>
        <w:ind w:left="3600" w:hanging="3600"/>
      </w:pPr>
      <w:r>
        <w:t>Recommandation UIT</w:t>
      </w:r>
      <w:r>
        <w:noBreakHyphen/>
        <w:t>R RA.1513 –</w:t>
      </w:r>
      <w:r>
        <w:tab/>
        <w:t>Niveaux de perte de données pour les observations de radio</w:t>
      </w:r>
      <w:r>
        <w:softHyphen/>
        <w:t>astronomie et critères de pourcentage de temps découlant des dégradations générées par les brouillages, dans le cas des bandes de fréquences attribuées à titre primaire au service de radioastronomie.</w:t>
      </w:r>
    </w:p>
    <w:p w:rsidR="002B489A" w:rsidRDefault="004F19C4">
      <w:pPr>
        <w:ind w:left="3600" w:hanging="3600"/>
      </w:pPr>
      <w:r>
        <w:t>Recommandation UIT</w:t>
      </w:r>
      <w:r>
        <w:noBreakHyphen/>
        <w:t>R S.1586 –</w:t>
      </w:r>
      <w:r>
        <w:tab/>
        <w:t>Calcul des niveaux de rayonnements non désirés produits par un système à satellites non géostationnaires du service fixe par satellite au niveau des sites de radioastronomie.</w:t>
      </w:r>
    </w:p>
    <w:p w:rsidR="002B489A" w:rsidRDefault="004F19C4">
      <w:r>
        <w:t>Les numéros 5.149, 5.547, 5.551AA et 5.551G du RR s'appliquent à cette bande.</w:t>
      </w:r>
    </w:p>
    <w:p w:rsidR="002B489A" w:rsidRDefault="004F19C4">
      <w:pPr>
        <w:pStyle w:val="Heading2"/>
      </w:pPr>
      <w:r>
        <w:t>1.4</w:t>
      </w:r>
      <w:r>
        <w:tab/>
        <w:t>Caractéristiques de fonctionnement</w:t>
      </w:r>
    </w:p>
    <w:p w:rsidR="002B489A" w:rsidRDefault="004F19C4">
      <w:r>
        <w:t>Les observations de radioastronomie dans la bande 42,5</w:t>
      </w:r>
      <w:r>
        <w:noBreakHyphen/>
        <w:t>43,5 GHz sont effectuées dans toutes les Régions de l'UIT. Le Tableau 97 donne une liste des observatoires radioastronomiques qui fonctionnent ou dont le fonctionnement est prévu dans la bande 42,5</w:t>
      </w:r>
      <w:r>
        <w:noBreakHyphen/>
        <w:t>43,5 GHz. Les installations prévues sont celles qui sont en construction au Mexique (le grand télescope millimétrique, projet conjoint USA-Mexique), au Chili (le grand réseau millimétrique d'Atacama) et en Italie (Télescope de Sardaigne) ou la mise en oeuvre de cette bande de fréquences au réseau d'interférométrie MERLIN au Royaume-Uni.</w:t>
      </w:r>
    </w:p>
    <w:p w:rsidR="002B489A" w:rsidRDefault="004F19C4">
      <w:pPr>
        <w:rPr>
          <w:snapToGrid w:val="0"/>
        </w:rPr>
      </w:pPr>
      <w:r>
        <w:t>L'intérêt scientifique pour la bande des 43 GHz est très élevé. Le plus intéressant vient des</w:t>
      </w:r>
      <w:r>
        <w:rPr>
          <w:snapToGrid w:val="0"/>
        </w:rPr>
        <w:t xml:space="preserve"> observations de radiosources très faibles qui repoussent les limites de la technologie, correspondant à des températures de bruit d'antenne de l'ordre de 2</w:t>
      </w:r>
      <w:r>
        <w:noBreakHyphen/>
      </w:r>
      <w:r>
        <w:rPr>
          <w:snapToGrid w:val="0"/>
        </w:rPr>
        <w:t xml:space="preserve">20 </w:t>
      </w:r>
      <w:r>
        <w:rPr>
          <w:rFonts w:ascii="Symbol" w:hAnsi="Symbol"/>
          <w:snapToGrid w:val="0"/>
        </w:rPr>
        <w:t></w:t>
      </w:r>
      <w:r>
        <w:rPr>
          <w:snapToGrid w:val="0"/>
        </w:rPr>
        <w:t>K, impliquant des intégrations de l'ordre de 2</w:t>
      </w:r>
      <w:r>
        <w:rPr>
          <w:rFonts w:ascii="Tms Rmn" w:hAnsi="Tms Rmn"/>
          <w:snapToGrid w:val="0"/>
          <w:sz w:val="12"/>
        </w:rPr>
        <w:t> </w:t>
      </w:r>
      <w:r>
        <w:rPr>
          <w:snapToGrid w:val="0"/>
        </w:rPr>
        <w:t>000</w:t>
      </w:r>
      <w:r>
        <w:noBreakHyphen/>
      </w:r>
      <w:r>
        <w:rPr>
          <w:snapToGrid w:val="0"/>
        </w:rPr>
        <w:t>4</w:t>
      </w:r>
      <w:r>
        <w:rPr>
          <w:rFonts w:ascii="Tms Rmn" w:hAnsi="Tms Rmn"/>
          <w:snapToGrid w:val="0"/>
          <w:sz w:val="12"/>
        </w:rPr>
        <w:t> </w:t>
      </w:r>
      <w:r>
        <w:rPr>
          <w:snapToGrid w:val="0"/>
        </w:rPr>
        <w:t>000 s</w:t>
      </w:r>
      <w:r>
        <w:t xml:space="preserve">. </w:t>
      </w:r>
      <w:r>
        <w:rPr>
          <w:snapToGrid w:val="0"/>
        </w:rPr>
        <w:t>De longs temps d'intégration sont essentiels pour observer les sources à peine visibles qui intéressent les scientifiques. Des modes de corrélation et de différenciation d'observation ont été développés et sont utilisés avec succès pour compter les fluctuations atmosphériques pour rendre possibles d'aussi longs temps d'intégration.</w:t>
      </w:r>
    </w:p>
    <w:p w:rsidR="002B489A" w:rsidRDefault="004F19C4">
      <w:pPr>
        <w:rPr>
          <w:snapToGrid w:val="0"/>
        </w:rPr>
      </w:pPr>
      <w:r>
        <w:t xml:space="preserve">Le très grand réseau (VLA, </w:t>
      </w:r>
      <w:r>
        <w:rPr>
          <w:i/>
        </w:rPr>
        <w:t>very large array</w:t>
      </w:r>
      <w:r>
        <w:t>) de l'Observatoire national de radioastronomie des Etats</w:t>
      </w:r>
      <w:r>
        <w:noBreakHyphen/>
        <w:t xml:space="preserve">Unis d'Amérique, qui est peut-être le plus utilisé des radiotélescopes du monde, a passé près de 20% de son temps total d'observation dans cette bande pendant ces dernières années. Des statistiques </w:t>
      </w:r>
      <w:r>
        <w:rPr>
          <w:snapToGrid w:val="0"/>
        </w:rPr>
        <w:t xml:space="preserve">similaires sont valables pour le très grand réseau de référence (VLBA, </w:t>
      </w:r>
      <w:r>
        <w:rPr>
          <w:i/>
          <w:snapToGrid w:val="0"/>
        </w:rPr>
        <w:t>very long baseline array</w:t>
      </w:r>
      <w:r>
        <w:rPr>
          <w:snapToGrid w:val="0"/>
        </w:rPr>
        <w:t>) de la NRAO. Le VLA et le VLBA reçoivent deux ou trois fois plus de demandes de temps d'observation que ce qu'ils peuvent traiter.</w:t>
      </w:r>
    </w:p>
    <w:p w:rsidR="002B489A" w:rsidRDefault="004F19C4">
      <w:r>
        <w:t>Le pourcentage du temps que chaque station passe à 42 GHz varie d'une station à l'autre et d'une année à l'autre. De nombreux radiotélescopes ont désormais une flexibilité en fréquence qui leur permet de passer d'un fonctionnement dans une bande de fréquences à une autre en quelques minutes ou moins. Cela permet une planification souple, pour tirer parti des meilleures conditions d'observation (météorologie, etc.). Du point de vue des études de compatibilité inter-services, il est donc plus sûr de supposer que toute station de radioastronomie dans les Tableaux puisse observer à tout moment à 43 GHz.</w:t>
      </w:r>
    </w:p>
    <w:p w:rsidR="002B489A" w:rsidRDefault="004F19C4">
      <w:pPr>
        <w:pStyle w:val="TableNo"/>
      </w:pPr>
      <w:r>
        <w:br w:type="page"/>
        <w:t>TABLEAU  97</w:t>
      </w:r>
    </w:p>
    <w:p w:rsidR="002B489A" w:rsidRDefault="004F19C4">
      <w:pPr>
        <w:pStyle w:val="Tabletitle"/>
      </w:pPr>
      <w:r>
        <w:t>Stations de radioastronomie fonctionnant dans la bande 42,5</w:t>
      </w:r>
      <w:r>
        <w:noBreakHyphen/>
        <w:t>43,5 GHz</w:t>
      </w:r>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83"/>
        <w:gridCol w:w="1944"/>
        <w:gridCol w:w="1341"/>
        <w:gridCol w:w="1238"/>
        <w:gridCol w:w="1004"/>
        <w:gridCol w:w="1117"/>
        <w:gridCol w:w="1312"/>
      </w:tblGrid>
      <w:tr w:rsidR="002B489A">
        <w:tc>
          <w:tcPr>
            <w:tcW w:w="9639" w:type="dxa"/>
            <w:gridSpan w:val="7"/>
            <w:tcBorders>
              <w:top w:val="single" w:sz="4" w:space="0" w:color="auto"/>
              <w:left w:val="single" w:sz="4" w:space="0" w:color="auto"/>
              <w:bottom w:val="single" w:sz="4" w:space="0" w:color="auto"/>
              <w:right w:val="single" w:sz="4" w:space="0" w:color="auto"/>
            </w:tcBorders>
          </w:tcPr>
          <w:p w:rsidR="002B489A" w:rsidRDefault="004F19C4">
            <w:pPr>
              <w:pStyle w:val="Tablehead"/>
              <w:framePr w:hSpace="181" w:wrap="notBeside" w:vAnchor="text" w:hAnchor="text" w:xAlign="center" w:y="1"/>
            </w:pPr>
            <w:r>
              <w:t>Région 1</w:t>
            </w:r>
          </w:p>
        </w:tc>
      </w:tr>
      <w:tr w:rsidR="002B489A">
        <w:tc>
          <w:tcPr>
            <w:tcW w:w="1683" w:type="dxa"/>
            <w:tcBorders>
              <w:top w:val="single" w:sz="4" w:space="0" w:color="auto"/>
              <w:left w:val="single" w:sz="4" w:space="0" w:color="auto"/>
              <w:bottom w:val="single" w:sz="4" w:space="0" w:color="auto"/>
              <w:right w:val="single" w:sz="4" w:space="0" w:color="auto"/>
            </w:tcBorders>
            <w:vAlign w:val="center"/>
          </w:tcPr>
          <w:p w:rsidR="002B489A" w:rsidRDefault="004F19C4">
            <w:pPr>
              <w:pStyle w:val="Tablehead"/>
              <w:framePr w:hSpace="181" w:wrap="notBeside" w:vAnchor="text" w:hAnchor="text" w:xAlign="center" w:y="1"/>
            </w:pPr>
            <w:r>
              <w:t>Pays</w:t>
            </w:r>
          </w:p>
        </w:tc>
        <w:tc>
          <w:tcPr>
            <w:tcW w:w="1944" w:type="dxa"/>
            <w:tcBorders>
              <w:top w:val="single" w:sz="4" w:space="0" w:color="auto"/>
              <w:left w:val="single" w:sz="4" w:space="0" w:color="auto"/>
              <w:bottom w:val="single" w:sz="4" w:space="0" w:color="auto"/>
              <w:right w:val="single" w:sz="4" w:space="0" w:color="auto"/>
            </w:tcBorders>
            <w:vAlign w:val="center"/>
          </w:tcPr>
          <w:p w:rsidR="002B489A" w:rsidRDefault="004F19C4">
            <w:pPr>
              <w:pStyle w:val="Tablehead"/>
              <w:framePr w:hSpace="181" w:wrap="notBeside" w:vAnchor="text" w:hAnchor="text" w:xAlign="center" w:y="1"/>
            </w:pPr>
            <w:r>
              <w:t>Site</w:t>
            </w:r>
          </w:p>
        </w:tc>
        <w:tc>
          <w:tcPr>
            <w:tcW w:w="1341" w:type="dxa"/>
            <w:tcBorders>
              <w:top w:val="single" w:sz="4" w:space="0" w:color="auto"/>
              <w:left w:val="single" w:sz="4" w:space="0" w:color="auto"/>
              <w:bottom w:val="single" w:sz="4" w:space="0" w:color="auto"/>
              <w:right w:val="single" w:sz="4" w:space="0" w:color="auto"/>
            </w:tcBorders>
            <w:vAlign w:val="center"/>
          </w:tcPr>
          <w:p w:rsidR="002B489A" w:rsidRDefault="004F19C4">
            <w:pPr>
              <w:pStyle w:val="Tablehead"/>
              <w:framePr w:hSpace="181" w:wrap="notBeside" w:vAnchor="text" w:hAnchor="text" w:xAlign="center" w:y="1"/>
            </w:pPr>
            <w:r>
              <w:t>Longitude</w:t>
            </w:r>
          </w:p>
        </w:tc>
        <w:tc>
          <w:tcPr>
            <w:tcW w:w="1238" w:type="dxa"/>
            <w:tcBorders>
              <w:top w:val="single" w:sz="4" w:space="0" w:color="auto"/>
              <w:left w:val="single" w:sz="4" w:space="0" w:color="auto"/>
              <w:bottom w:val="single" w:sz="4" w:space="0" w:color="auto"/>
              <w:right w:val="single" w:sz="4" w:space="0" w:color="auto"/>
            </w:tcBorders>
            <w:vAlign w:val="center"/>
          </w:tcPr>
          <w:p w:rsidR="002B489A" w:rsidRDefault="004F19C4">
            <w:pPr>
              <w:pStyle w:val="Tablehead"/>
              <w:framePr w:hSpace="181" w:wrap="notBeside" w:vAnchor="text" w:hAnchor="text" w:xAlign="center" w:y="1"/>
            </w:pPr>
            <w:r>
              <w:t>Latitude</w:t>
            </w:r>
          </w:p>
        </w:tc>
        <w:tc>
          <w:tcPr>
            <w:tcW w:w="1004" w:type="dxa"/>
            <w:tcBorders>
              <w:top w:val="single" w:sz="4" w:space="0" w:color="auto"/>
              <w:left w:val="single" w:sz="4" w:space="0" w:color="auto"/>
              <w:bottom w:val="single" w:sz="4" w:space="0" w:color="auto"/>
              <w:right w:val="single" w:sz="4" w:space="0" w:color="auto"/>
            </w:tcBorders>
            <w:vAlign w:val="center"/>
          </w:tcPr>
          <w:p w:rsidR="002B489A" w:rsidRDefault="004F19C4">
            <w:pPr>
              <w:pStyle w:val="Tablehead"/>
              <w:framePr w:hSpace="181" w:wrap="notBeside" w:vAnchor="text" w:hAnchor="text" w:xAlign="center" w:y="1"/>
            </w:pPr>
            <w:r>
              <w:t>Altitude</w:t>
            </w:r>
            <w:r>
              <w:br/>
              <w:t>(m)</w:t>
            </w:r>
          </w:p>
        </w:tc>
        <w:tc>
          <w:tcPr>
            <w:tcW w:w="1117" w:type="dxa"/>
            <w:tcBorders>
              <w:top w:val="single" w:sz="4" w:space="0" w:color="auto"/>
              <w:left w:val="single" w:sz="4" w:space="0" w:color="auto"/>
              <w:bottom w:val="single" w:sz="4" w:space="0" w:color="auto"/>
              <w:right w:val="single" w:sz="4" w:space="0" w:color="auto"/>
            </w:tcBorders>
            <w:vAlign w:val="center"/>
          </w:tcPr>
          <w:p w:rsidR="002B489A" w:rsidRDefault="004F19C4">
            <w:pPr>
              <w:pStyle w:val="Tablehead"/>
              <w:framePr w:hSpace="181" w:wrap="notBeside" w:vAnchor="text" w:hAnchor="text" w:xAlign="center" w:y="1"/>
              <w:rPr>
                <w:lang w:val="fr-CH"/>
              </w:rPr>
            </w:pPr>
            <w:r>
              <w:rPr>
                <w:lang w:val="fr-CH"/>
              </w:rPr>
              <w:t>Diamètre</w:t>
            </w:r>
            <w:r>
              <w:rPr>
                <w:lang w:val="fr-CH"/>
              </w:rPr>
              <w:br/>
              <w:t>(m)</w:t>
            </w:r>
          </w:p>
        </w:tc>
        <w:tc>
          <w:tcPr>
            <w:tcW w:w="1312" w:type="dxa"/>
            <w:tcBorders>
              <w:top w:val="single" w:sz="4" w:space="0" w:color="auto"/>
              <w:left w:val="single" w:sz="4" w:space="0" w:color="auto"/>
              <w:bottom w:val="single" w:sz="4" w:space="0" w:color="auto"/>
              <w:right w:val="single" w:sz="4" w:space="0" w:color="auto"/>
            </w:tcBorders>
            <w:vAlign w:val="center"/>
          </w:tcPr>
          <w:p w:rsidR="002B489A" w:rsidRDefault="004F19C4">
            <w:pPr>
              <w:pStyle w:val="Tablehead"/>
              <w:framePr w:hSpace="181" w:wrap="notBeside" w:vAnchor="text" w:hAnchor="text" w:xAlign="center" w:y="1"/>
              <w:rPr>
                <w:lang w:val="fr-CH"/>
              </w:rPr>
            </w:pPr>
            <w:r>
              <w:rPr>
                <w:lang w:val="fr-CH"/>
              </w:rPr>
              <w:t>Remarques</w:t>
            </w:r>
          </w:p>
        </w:tc>
      </w:tr>
      <w:tr w:rsidR="002B489A">
        <w:tc>
          <w:tcPr>
            <w:tcW w:w="1683"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Finlande</w:t>
            </w:r>
          </w:p>
        </w:tc>
        <w:tc>
          <w:tcPr>
            <w:tcW w:w="194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Metsähovi</w:t>
            </w:r>
          </w:p>
        </w:tc>
        <w:tc>
          <w:tcPr>
            <w:tcW w:w="1341"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24° 23' 17"</w:t>
            </w:r>
          </w:p>
        </w:tc>
        <w:tc>
          <w:tcPr>
            <w:tcW w:w="1238"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60° 13' 04"</w:t>
            </w:r>
          </w:p>
        </w:tc>
        <w:tc>
          <w:tcPr>
            <w:tcW w:w="100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61</w:t>
            </w:r>
          </w:p>
        </w:tc>
        <w:tc>
          <w:tcPr>
            <w:tcW w:w="1117"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13,7</w:t>
            </w:r>
          </w:p>
        </w:tc>
        <w:tc>
          <w:tcPr>
            <w:tcW w:w="1312"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S</w:t>
            </w:r>
          </w:p>
        </w:tc>
      </w:tr>
      <w:tr w:rsidR="002B489A">
        <w:tc>
          <w:tcPr>
            <w:tcW w:w="1683"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France</w:t>
            </w:r>
          </w:p>
        </w:tc>
        <w:tc>
          <w:tcPr>
            <w:tcW w:w="194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Bordeaux</w:t>
            </w:r>
            <w:r>
              <w:br/>
              <w:t>Plateau de Bure</w:t>
            </w:r>
          </w:p>
        </w:tc>
        <w:tc>
          <w:tcPr>
            <w:tcW w:w="1341"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–00° 31' 37"</w:t>
            </w:r>
            <w:r>
              <w:br/>
              <w:t>05° 54' 26"</w:t>
            </w:r>
          </w:p>
        </w:tc>
        <w:tc>
          <w:tcPr>
            <w:tcW w:w="1238"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44° 50' 10"</w:t>
            </w:r>
            <w:r>
              <w:br/>
              <w:t>44° 38' 01"</w:t>
            </w:r>
          </w:p>
        </w:tc>
        <w:tc>
          <w:tcPr>
            <w:tcW w:w="100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73</w:t>
            </w:r>
            <w:r>
              <w:rPr>
                <w:lang w:val="en-US"/>
              </w:rPr>
              <w:br/>
              <w:t>2</w:t>
            </w:r>
            <w:r>
              <w:rPr>
                <w:rFonts w:ascii="Tms Rmn" w:hAnsi="Tms Rmn"/>
                <w:sz w:val="12"/>
                <w:lang w:val="en-US"/>
              </w:rPr>
              <w:t> </w:t>
            </w:r>
            <w:r>
              <w:rPr>
                <w:lang w:val="en-US"/>
              </w:rPr>
              <w:t>552</w:t>
            </w:r>
          </w:p>
        </w:tc>
        <w:tc>
          <w:tcPr>
            <w:tcW w:w="1117"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2,5</w:t>
            </w:r>
            <w:r>
              <w:rPr>
                <w:lang w:val="en-US"/>
              </w:rPr>
              <w:br/>
              <w:t xml:space="preserve">6 </w:t>
            </w:r>
            <w:r>
              <w:rPr>
                <w:rFonts w:ascii="Symbol" w:hAnsi="Symbol"/>
              </w:rPr>
              <w:sym w:font="Symbol" w:char="F0B4"/>
            </w:r>
            <w:r>
              <w:rPr>
                <w:lang w:val="en-US"/>
              </w:rPr>
              <w:t xml:space="preserve"> 15</w:t>
            </w:r>
          </w:p>
        </w:tc>
        <w:tc>
          <w:tcPr>
            <w:tcW w:w="1312"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S</w:t>
            </w:r>
            <w:r>
              <w:rPr>
                <w:lang w:val="en-US"/>
              </w:rPr>
              <w:br/>
              <w:t>S</w:t>
            </w:r>
          </w:p>
        </w:tc>
      </w:tr>
      <w:tr w:rsidR="002B489A">
        <w:tc>
          <w:tcPr>
            <w:tcW w:w="1683"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Allemagne</w:t>
            </w:r>
          </w:p>
        </w:tc>
        <w:tc>
          <w:tcPr>
            <w:tcW w:w="194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Effelsberg</w:t>
            </w:r>
          </w:p>
        </w:tc>
        <w:tc>
          <w:tcPr>
            <w:tcW w:w="1341"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06° 53' 00"</w:t>
            </w:r>
          </w:p>
        </w:tc>
        <w:tc>
          <w:tcPr>
            <w:tcW w:w="1238"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50° 31' 32"</w:t>
            </w:r>
          </w:p>
        </w:tc>
        <w:tc>
          <w:tcPr>
            <w:tcW w:w="100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369</w:t>
            </w:r>
          </w:p>
        </w:tc>
        <w:tc>
          <w:tcPr>
            <w:tcW w:w="1117"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100</w:t>
            </w:r>
          </w:p>
        </w:tc>
        <w:tc>
          <w:tcPr>
            <w:tcW w:w="1312"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S</w:t>
            </w:r>
          </w:p>
        </w:tc>
      </w:tr>
      <w:tr w:rsidR="002B489A">
        <w:tc>
          <w:tcPr>
            <w:tcW w:w="1683"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s-ES"/>
              </w:rPr>
            </w:pPr>
            <w:r>
              <w:rPr>
                <w:lang w:val="es-ES"/>
              </w:rPr>
              <w:t>Italie</w:t>
            </w:r>
          </w:p>
        </w:tc>
        <w:tc>
          <w:tcPr>
            <w:tcW w:w="194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s-ES"/>
              </w:rPr>
            </w:pPr>
            <w:r>
              <w:rPr>
                <w:lang w:val="es-ES"/>
              </w:rPr>
              <w:t>Medicina</w:t>
            </w:r>
            <w:r>
              <w:rPr>
                <w:lang w:val="es-ES"/>
              </w:rPr>
              <w:br/>
              <w:t>Noto</w:t>
            </w:r>
            <w:r>
              <w:rPr>
                <w:lang w:val="es-ES"/>
              </w:rPr>
              <w:br/>
              <w:t>Cagliari</w:t>
            </w:r>
          </w:p>
        </w:tc>
        <w:tc>
          <w:tcPr>
            <w:tcW w:w="1341"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s-ES"/>
              </w:rPr>
            </w:pPr>
            <w:r>
              <w:rPr>
                <w:lang w:val="es-ES"/>
              </w:rPr>
              <w:t>11° 38' 43"</w:t>
            </w:r>
            <w:r>
              <w:rPr>
                <w:lang w:val="es-ES"/>
              </w:rPr>
              <w:br/>
              <w:t>15° 03' 00"</w:t>
            </w:r>
            <w:r>
              <w:rPr>
                <w:lang w:val="es-ES"/>
              </w:rPr>
              <w:br/>
              <w:t>09° 14' 40"</w:t>
            </w:r>
          </w:p>
        </w:tc>
        <w:tc>
          <w:tcPr>
            <w:tcW w:w="1238"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s-ES"/>
              </w:rPr>
            </w:pPr>
            <w:r>
              <w:rPr>
                <w:lang w:val="es-ES"/>
              </w:rPr>
              <w:t>44° 31' 14"</w:t>
            </w:r>
            <w:r>
              <w:rPr>
                <w:lang w:val="es-ES"/>
              </w:rPr>
              <w:br/>
              <w:t>36° 31' 48"</w:t>
            </w:r>
            <w:r>
              <w:rPr>
                <w:lang w:val="es-ES"/>
              </w:rPr>
              <w:br/>
              <w:t>39° 29' 50"</w:t>
            </w:r>
          </w:p>
        </w:tc>
        <w:tc>
          <w:tcPr>
            <w:tcW w:w="100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44</w:t>
            </w:r>
            <w:r>
              <w:rPr>
                <w:lang w:val="en-US"/>
              </w:rPr>
              <w:br/>
              <w:t>85</w:t>
            </w:r>
            <w:r>
              <w:rPr>
                <w:rFonts w:ascii="Tms Rmn" w:hAnsi="Tms Rmn"/>
                <w:sz w:val="12"/>
                <w:lang w:val="en-US"/>
              </w:rPr>
              <w:t> </w:t>
            </w:r>
            <w:r>
              <w:rPr>
                <w:lang w:val="en-US"/>
              </w:rPr>
              <w:t>570</w:t>
            </w:r>
          </w:p>
        </w:tc>
        <w:tc>
          <w:tcPr>
            <w:tcW w:w="1117"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32</w:t>
            </w:r>
            <w:r>
              <w:rPr>
                <w:lang w:val="en-US"/>
              </w:rPr>
              <w:br/>
              <w:t>32</w:t>
            </w:r>
            <w:r>
              <w:rPr>
                <w:lang w:val="en-US"/>
              </w:rPr>
              <w:br/>
              <w:t>64</w:t>
            </w:r>
          </w:p>
        </w:tc>
        <w:tc>
          <w:tcPr>
            <w:tcW w:w="1312"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S</w:t>
            </w:r>
            <w:r>
              <w:rPr>
                <w:lang w:val="en-US"/>
              </w:rPr>
              <w:br/>
              <w:t>S</w:t>
            </w:r>
            <w:r>
              <w:rPr>
                <w:lang w:val="en-US"/>
              </w:rPr>
              <w:br/>
              <w:t>S</w:t>
            </w:r>
          </w:p>
        </w:tc>
      </w:tr>
      <w:tr w:rsidR="002B489A">
        <w:tc>
          <w:tcPr>
            <w:tcW w:w="1683"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Fédération de Russie</w:t>
            </w:r>
          </w:p>
        </w:tc>
        <w:tc>
          <w:tcPr>
            <w:tcW w:w="194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Dmitrov</w:t>
            </w:r>
          </w:p>
        </w:tc>
        <w:tc>
          <w:tcPr>
            <w:tcW w:w="1341"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37° 27' 00"</w:t>
            </w:r>
          </w:p>
        </w:tc>
        <w:tc>
          <w:tcPr>
            <w:tcW w:w="1238"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56° 26' 00"</w:t>
            </w:r>
          </w:p>
        </w:tc>
        <w:tc>
          <w:tcPr>
            <w:tcW w:w="100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s-ES"/>
              </w:rPr>
            </w:pPr>
            <w:r>
              <w:rPr>
                <w:lang w:val="es-ES"/>
              </w:rPr>
              <w:t>200</w:t>
            </w:r>
          </w:p>
        </w:tc>
        <w:tc>
          <w:tcPr>
            <w:tcW w:w="1117"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s-ES"/>
              </w:rPr>
            </w:pPr>
            <w:r>
              <w:rPr>
                <w:lang w:val="es-ES"/>
              </w:rPr>
              <w:t>32</w:t>
            </w:r>
          </w:p>
        </w:tc>
        <w:tc>
          <w:tcPr>
            <w:tcW w:w="1312"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s-ES"/>
              </w:rPr>
            </w:pPr>
            <w:r>
              <w:rPr>
                <w:lang w:val="es-ES"/>
              </w:rPr>
              <w:t>S</w:t>
            </w:r>
          </w:p>
        </w:tc>
      </w:tr>
      <w:tr w:rsidR="002B489A">
        <w:tc>
          <w:tcPr>
            <w:tcW w:w="1683"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s-ES"/>
              </w:rPr>
            </w:pPr>
            <w:r>
              <w:rPr>
                <w:lang w:val="es-ES"/>
              </w:rPr>
              <w:t>Espagne</w:t>
            </w:r>
          </w:p>
        </w:tc>
        <w:tc>
          <w:tcPr>
            <w:tcW w:w="194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s-ES"/>
              </w:rPr>
            </w:pPr>
            <w:r>
              <w:rPr>
                <w:lang w:val="es-ES"/>
              </w:rPr>
              <w:t>Pico Veleta</w:t>
            </w:r>
            <w:r>
              <w:rPr>
                <w:lang w:val="es-ES"/>
              </w:rPr>
              <w:br/>
              <w:t>Yebes</w:t>
            </w:r>
          </w:p>
        </w:tc>
        <w:tc>
          <w:tcPr>
            <w:tcW w:w="1341"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s-ES"/>
              </w:rPr>
            </w:pPr>
            <w:r>
              <w:rPr>
                <w:lang w:val="es-ES"/>
              </w:rPr>
              <w:t>–03° 23' 34"</w:t>
            </w:r>
            <w:r>
              <w:rPr>
                <w:lang w:val="es-ES"/>
              </w:rPr>
              <w:br/>
              <w:t>–03° 06' 00"</w:t>
            </w:r>
          </w:p>
        </w:tc>
        <w:tc>
          <w:tcPr>
            <w:tcW w:w="1238"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s-ES"/>
              </w:rPr>
            </w:pPr>
            <w:r>
              <w:rPr>
                <w:lang w:val="es-ES"/>
              </w:rPr>
              <w:t>37° 03' 58"</w:t>
            </w:r>
            <w:r>
              <w:rPr>
                <w:lang w:val="es-ES"/>
              </w:rPr>
              <w:br/>
              <w:t>40° 31' 30"</w:t>
            </w:r>
          </w:p>
        </w:tc>
        <w:tc>
          <w:tcPr>
            <w:tcW w:w="100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2</w:t>
            </w:r>
            <w:r>
              <w:rPr>
                <w:rFonts w:ascii="Tms Rmn" w:hAnsi="Tms Rmn"/>
                <w:sz w:val="12"/>
                <w:lang w:val="en-US"/>
              </w:rPr>
              <w:t> </w:t>
            </w:r>
            <w:r>
              <w:rPr>
                <w:lang w:val="en-US"/>
              </w:rPr>
              <w:t>870</w:t>
            </w:r>
            <w:r>
              <w:rPr>
                <w:lang w:val="en-US"/>
              </w:rPr>
              <w:br/>
              <w:t>931</w:t>
            </w:r>
          </w:p>
        </w:tc>
        <w:tc>
          <w:tcPr>
            <w:tcW w:w="1117"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30</w:t>
            </w:r>
            <w:r>
              <w:rPr>
                <w:lang w:val="en-US"/>
              </w:rPr>
              <w:br/>
              <w:t>40</w:t>
            </w:r>
          </w:p>
        </w:tc>
        <w:tc>
          <w:tcPr>
            <w:tcW w:w="1312"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S</w:t>
            </w:r>
            <w:r>
              <w:rPr>
                <w:lang w:val="en-US"/>
              </w:rPr>
              <w:br/>
              <w:t>S</w:t>
            </w:r>
          </w:p>
        </w:tc>
      </w:tr>
      <w:tr w:rsidR="002B489A">
        <w:tc>
          <w:tcPr>
            <w:tcW w:w="1683"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Suède</w:t>
            </w:r>
          </w:p>
        </w:tc>
        <w:tc>
          <w:tcPr>
            <w:tcW w:w="194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s-ES"/>
              </w:rPr>
            </w:pPr>
            <w:r>
              <w:rPr>
                <w:lang w:val="es-ES"/>
              </w:rPr>
              <w:t>Onsala</w:t>
            </w:r>
          </w:p>
        </w:tc>
        <w:tc>
          <w:tcPr>
            <w:tcW w:w="1341"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s-ES"/>
              </w:rPr>
            </w:pPr>
            <w:r>
              <w:rPr>
                <w:lang w:val="es-ES"/>
              </w:rPr>
              <w:t>11° 55' 35"</w:t>
            </w:r>
          </w:p>
        </w:tc>
        <w:tc>
          <w:tcPr>
            <w:tcW w:w="1238"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s-ES"/>
              </w:rPr>
            </w:pPr>
            <w:r>
              <w:rPr>
                <w:lang w:val="es-ES"/>
              </w:rPr>
              <w:t>57° 23' 45"</w:t>
            </w:r>
          </w:p>
        </w:tc>
        <w:tc>
          <w:tcPr>
            <w:tcW w:w="100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fr-CH"/>
              </w:rPr>
            </w:pPr>
            <w:r>
              <w:rPr>
                <w:lang w:val="fr-CH"/>
              </w:rPr>
              <w:t>10</w:t>
            </w:r>
          </w:p>
        </w:tc>
        <w:tc>
          <w:tcPr>
            <w:tcW w:w="1117"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fr-CH"/>
              </w:rPr>
            </w:pPr>
            <w:r>
              <w:rPr>
                <w:lang w:val="fr-CH"/>
              </w:rPr>
              <w:t>20</w:t>
            </w:r>
          </w:p>
        </w:tc>
        <w:tc>
          <w:tcPr>
            <w:tcW w:w="1312"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fr-CH"/>
              </w:rPr>
            </w:pPr>
            <w:r>
              <w:rPr>
                <w:lang w:val="fr-CH"/>
              </w:rPr>
              <w:t>S</w:t>
            </w:r>
          </w:p>
        </w:tc>
      </w:tr>
      <w:tr w:rsidR="002B489A">
        <w:tc>
          <w:tcPr>
            <w:tcW w:w="1683"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fr-CH"/>
              </w:rPr>
            </w:pPr>
            <w:r>
              <w:rPr>
                <w:lang w:val="fr-CH"/>
              </w:rPr>
              <w:t>Royaume</w:t>
            </w:r>
            <w:r>
              <w:rPr>
                <w:lang w:val="fr-CH"/>
              </w:rPr>
              <w:noBreakHyphen/>
              <w:t>Uni</w:t>
            </w:r>
            <w:r>
              <w:rPr>
                <w:lang w:val="fr-CH"/>
              </w:rPr>
              <w:br/>
              <w:t>(prévu)</w:t>
            </w:r>
          </w:p>
        </w:tc>
        <w:tc>
          <w:tcPr>
            <w:tcW w:w="194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Cambridge</w:t>
            </w:r>
            <w:r>
              <w:rPr>
                <w:lang w:val="en-US"/>
              </w:rPr>
              <w:br/>
              <w:t>Darnhall</w:t>
            </w:r>
            <w:r>
              <w:rPr>
                <w:lang w:val="en-US"/>
              </w:rPr>
              <w:br/>
              <w:t>Jodrell Bank</w:t>
            </w:r>
            <w:r>
              <w:rPr>
                <w:lang w:val="en-US"/>
              </w:rPr>
              <w:br/>
              <w:t>Knockin</w:t>
            </w:r>
            <w:r>
              <w:rPr>
                <w:lang w:val="en-US"/>
              </w:rPr>
              <w:br/>
              <w:t>Pickmere</w:t>
            </w:r>
          </w:p>
        </w:tc>
        <w:tc>
          <w:tcPr>
            <w:tcW w:w="1341"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00° 02' 20"</w:t>
            </w:r>
            <w:r>
              <w:rPr>
                <w:lang w:val="en-US"/>
              </w:rPr>
              <w:br/>
              <w:t>–02° 32' 03"</w:t>
            </w:r>
            <w:r>
              <w:rPr>
                <w:lang w:val="en-US"/>
              </w:rPr>
              <w:br/>
              <w:t>–02° 18' 26"</w:t>
            </w:r>
            <w:r>
              <w:rPr>
                <w:lang w:val="en-US"/>
              </w:rPr>
              <w:br/>
              <w:t>–02° 59' 45"</w:t>
            </w:r>
            <w:r>
              <w:rPr>
                <w:lang w:val="en-US"/>
              </w:rPr>
              <w:br/>
              <w:t>–02° 26' 38"</w:t>
            </w:r>
          </w:p>
        </w:tc>
        <w:tc>
          <w:tcPr>
            <w:tcW w:w="1238"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52° 09' 59"</w:t>
            </w:r>
            <w:r>
              <w:rPr>
                <w:lang w:val="en-US"/>
              </w:rPr>
              <w:br/>
              <w:t>53° 09' 21"</w:t>
            </w:r>
            <w:r>
              <w:rPr>
                <w:lang w:val="en-US"/>
              </w:rPr>
              <w:br/>
              <w:t>53° 14' 10"</w:t>
            </w:r>
            <w:r>
              <w:rPr>
                <w:lang w:val="en-US"/>
              </w:rPr>
              <w:br/>
              <w:t>52° 47' 24"</w:t>
            </w:r>
            <w:r>
              <w:rPr>
                <w:lang w:val="en-US"/>
              </w:rPr>
              <w:br/>
              <w:t>53° 17' 18"</w:t>
            </w:r>
          </w:p>
        </w:tc>
        <w:tc>
          <w:tcPr>
            <w:tcW w:w="100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24</w:t>
            </w:r>
            <w:r>
              <w:rPr>
                <w:lang w:val="en-US"/>
              </w:rPr>
              <w:br/>
              <w:t>47</w:t>
            </w:r>
            <w:r>
              <w:rPr>
                <w:lang w:val="en-US"/>
              </w:rPr>
              <w:br/>
              <w:t>78</w:t>
            </w:r>
            <w:r>
              <w:rPr>
                <w:lang w:val="en-US"/>
              </w:rPr>
              <w:br/>
              <w:t>66</w:t>
            </w:r>
            <w:r>
              <w:rPr>
                <w:lang w:val="en-US"/>
              </w:rPr>
              <w:br/>
              <w:t>35</w:t>
            </w:r>
          </w:p>
        </w:tc>
        <w:tc>
          <w:tcPr>
            <w:tcW w:w="1117"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32</w:t>
            </w:r>
            <w:r>
              <w:rPr>
                <w:lang w:val="en-US"/>
              </w:rPr>
              <w:br/>
              <w:t>47</w:t>
            </w:r>
            <w:r>
              <w:rPr>
                <w:lang w:val="en-US"/>
              </w:rPr>
              <w:br/>
              <w:t>76</w:t>
            </w:r>
            <w:r>
              <w:rPr>
                <w:lang w:val="en-US"/>
              </w:rPr>
              <w:br/>
              <w:t>25</w:t>
            </w:r>
            <w:r>
              <w:rPr>
                <w:lang w:val="en-US"/>
              </w:rPr>
              <w:br/>
              <w:t>25</w:t>
            </w:r>
          </w:p>
        </w:tc>
        <w:tc>
          <w:tcPr>
            <w:tcW w:w="1312"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S</w:t>
            </w:r>
            <w:r>
              <w:rPr>
                <w:lang w:val="en-US"/>
              </w:rPr>
              <w:br/>
              <w:t>S</w:t>
            </w:r>
            <w:r>
              <w:rPr>
                <w:lang w:val="en-US"/>
              </w:rPr>
              <w:br/>
              <w:t>S</w:t>
            </w:r>
            <w:r>
              <w:rPr>
                <w:lang w:val="en-US"/>
              </w:rPr>
              <w:br/>
              <w:t>S</w:t>
            </w:r>
            <w:r>
              <w:rPr>
                <w:lang w:val="en-US"/>
              </w:rPr>
              <w:br/>
              <w:t>S</w:t>
            </w:r>
          </w:p>
        </w:tc>
      </w:tr>
      <w:tr w:rsidR="002B489A">
        <w:tc>
          <w:tcPr>
            <w:tcW w:w="9639" w:type="dxa"/>
            <w:gridSpan w:val="7"/>
            <w:tcBorders>
              <w:top w:val="single" w:sz="4" w:space="0" w:color="auto"/>
              <w:left w:val="single" w:sz="4" w:space="0" w:color="auto"/>
              <w:bottom w:val="single" w:sz="4" w:space="0" w:color="auto"/>
              <w:right w:val="single" w:sz="4" w:space="0" w:color="auto"/>
            </w:tcBorders>
          </w:tcPr>
          <w:p w:rsidR="002B489A" w:rsidRDefault="004F19C4">
            <w:pPr>
              <w:pStyle w:val="Tablehead"/>
              <w:framePr w:hSpace="181" w:wrap="notBeside" w:vAnchor="text" w:hAnchor="text" w:xAlign="center" w:y="1"/>
            </w:pPr>
            <w:r>
              <w:t>Région 2</w:t>
            </w:r>
          </w:p>
        </w:tc>
      </w:tr>
      <w:tr w:rsidR="002B489A">
        <w:tc>
          <w:tcPr>
            <w:tcW w:w="1683"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Brésil</w:t>
            </w:r>
          </w:p>
        </w:tc>
        <w:tc>
          <w:tcPr>
            <w:tcW w:w="194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pPr>
            <w:r>
              <w:t>Atibaia, SP</w:t>
            </w:r>
          </w:p>
        </w:tc>
        <w:tc>
          <w:tcPr>
            <w:tcW w:w="1341"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–46° 33' 28"</w:t>
            </w:r>
          </w:p>
        </w:tc>
        <w:tc>
          <w:tcPr>
            <w:tcW w:w="1238"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ind w:left="-57" w:right="-57"/>
              <w:jc w:val="center"/>
              <w:rPr>
                <w:lang w:val="en-US"/>
              </w:rPr>
            </w:pPr>
            <w:r>
              <w:rPr>
                <w:lang w:val="en-US"/>
              </w:rPr>
              <w:t>–23° 11' 05"</w:t>
            </w:r>
          </w:p>
        </w:tc>
        <w:tc>
          <w:tcPr>
            <w:tcW w:w="100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805</w:t>
            </w:r>
          </w:p>
        </w:tc>
        <w:tc>
          <w:tcPr>
            <w:tcW w:w="1117"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13,7</w:t>
            </w:r>
          </w:p>
        </w:tc>
        <w:tc>
          <w:tcPr>
            <w:tcW w:w="1312"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S</w:t>
            </w:r>
          </w:p>
        </w:tc>
      </w:tr>
      <w:tr w:rsidR="002B489A">
        <w:tc>
          <w:tcPr>
            <w:tcW w:w="1683"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s-ES"/>
              </w:rPr>
            </w:pPr>
            <w:r>
              <w:rPr>
                <w:lang w:val="es-ES"/>
              </w:rPr>
              <w:t>Chili</w:t>
            </w:r>
          </w:p>
        </w:tc>
        <w:tc>
          <w:tcPr>
            <w:tcW w:w="194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s-ES"/>
              </w:rPr>
            </w:pPr>
            <w:r>
              <w:rPr>
                <w:lang w:val="es-ES"/>
              </w:rPr>
              <w:t xml:space="preserve">San Pedro de Atacama </w:t>
            </w:r>
          </w:p>
        </w:tc>
        <w:tc>
          <w:tcPr>
            <w:tcW w:w="1341"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–67° 44' 00"</w:t>
            </w:r>
          </w:p>
        </w:tc>
        <w:tc>
          <w:tcPr>
            <w:tcW w:w="1238"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ind w:left="-57" w:right="-57"/>
              <w:jc w:val="center"/>
              <w:rPr>
                <w:lang w:val="en-US"/>
              </w:rPr>
            </w:pPr>
            <w:r>
              <w:rPr>
                <w:lang w:val="en-US"/>
              </w:rPr>
              <w:t>–23° 02' 00"</w:t>
            </w:r>
          </w:p>
        </w:tc>
        <w:tc>
          <w:tcPr>
            <w:tcW w:w="100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5</w:t>
            </w:r>
            <w:r>
              <w:rPr>
                <w:rFonts w:ascii="Tms Rmn" w:hAnsi="Tms Rmn"/>
                <w:sz w:val="12"/>
                <w:lang w:val="en-US"/>
              </w:rPr>
              <w:t> </w:t>
            </w:r>
            <w:r>
              <w:rPr>
                <w:lang w:val="en-US"/>
              </w:rPr>
              <w:t>000</w:t>
            </w:r>
            <w:r>
              <w:rPr>
                <w:lang w:val="en-US"/>
              </w:rPr>
              <w:br/>
            </w:r>
          </w:p>
        </w:tc>
        <w:tc>
          <w:tcPr>
            <w:tcW w:w="1117"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 xml:space="preserve">64 </w:t>
            </w:r>
            <w:r>
              <w:rPr>
                <w:rFonts w:ascii="Symbol" w:hAnsi="Symbol"/>
              </w:rPr>
              <w:sym w:font="Symbol" w:char="F0B4"/>
            </w:r>
            <w:r>
              <w:rPr>
                <w:lang w:val="en-US"/>
              </w:rPr>
              <w:t xml:space="preserve"> 12</w:t>
            </w:r>
          </w:p>
        </w:tc>
        <w:tc>
          <w:tcPr>
            <w:tcW w:w="1312"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S</w:t>
            </w:r>
            <w:r>
              <w:rPr>
                <w:lang w:val="en-US"/>
              </w:rPr>
              <w:br/>
            </w:r>
          </w:p>
        </w:tc>
      </w:tr>
      <w:tr w:rsidR="002B489A">
        <w:tc>
          <w:tcPr>
            <w:tcW w:w="1683"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s-ES"/>
              </w:rPr>
            </w:pPr>
            <w:r>
              <w:rPr>
                <w:lang w:val="es-ES"/>
              </w:rPr>
              <w:t>Mexique</w:t>
            </w:r>
          </w:p>
        </w:tc>
        <w:tc>
          <w:tcPr>
            <w:tcW w:w="194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s-ES"/>
              </w:rPr>
            </w:pPr>
            <w:r>
              <w:rPr>
                <w:lang w:val="es-ES"/>
              </w:rPr>
              <w:t>Sierra Negra</w:t>
            </w:r>
          </w:p>
        </w:tc>
        <w:tc>
          <w:tcPr>
            <w:tcW w:w="1341"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sym w:font="Symbol" w:char="F02D"/>
            </w:r>
            <w:r>
              <w:rPr>
                <w:lang w:val="en-US"/>
              </w:rPr>
              <w:t>97° 18' 00"</w:t>
            </w:r>
          </w:p>
        </w:tc>
        <w:tc>
          <w:tcPr>
            <w:tcW w:w="1238"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18° 59' 00"</w:t>
            </w:r>
          </w:p>
        </w:tc>
        <w:tc>
          <w:tcPr>
            <w:tcW w:w="100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4</w:t>
            </w:r>
            <w:r>
              <w:rPr>
                <w:rFonts w:ascii="Tms Rmn" w:hAnsi="Tms Rmn"/>
                <w:sz w:val="12"/>
                <w:lang w:val="en-US"/>
              </w:rPr>
              <w:t> </w:t>
            </w:r>
            <w:r>
              <w:rPr>
                <w:lang w:val="en-US"/>
              </w:rPr>
              <w:t>500</w:t>
            </w:r>
          </w:p>
        </w:tc>
        <w:tc>
          <w:tcPr>
            <w:tcW w:w="1117"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50</w:t>
            </w:r>
          </w:p>
        </w:tc>
        <w:tc>
          <w:tcPr>
            <w:tcW w:w="1312"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S</w:t>
            </w:r>
          </w:p>
        </w:tc>
      </w:tr>
      <w:tr w:rsidR="002B489A">
        <w:trPr>
          <w:trHeight w:val="388"/>
        </w:trPr>
        <w:tc>
          <w:tcPr>
            <w:tcW w:w="1683"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fr-CH"/>
              </w:rPr>
            </w:pPr>
            <w:r>
              <w:rPr>
                <w:lang w:val="fr-CH"/>
              </w:rPr>
              <w:t>Etats</w:t>
            </w:r>
            <w:r>
              <w:rPr>
                <w:lang w:val="fr-CH"/>
              </w:rPr>
              <w:noBreakHyphen/>
              <w:t>Unis d'Amérique</w:t>
            </w:r>
          </w:p>
        </w:tc>
        <w:tc>
          <w:tcPr>
            <w:tcW w:w="194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Goldstone, CA</w:t>
            </w:r>
            <w:r>
              <w:rPr>
                <w:lang w:val="en-US"/>
              </w:rPr>
              <w:br/>
              <w:t>Green Bank, WV</w:t>
            </w:r>
            <w:r>
              <w:rPr>
                <w:lang w:val="en-US"/>
              </w:rPr>
              <w:br/>
              <w:t>Socorro, NM</w:t>
            </w:r>
            <w:r>
              <w:rPr>
                <w:lang w:val="en-US"/>
              </w:rPr>
              <w:br/>
              <w:t>St. Croix, VI</w:t>
            </w:r>
            <w:r>
              <w:rPr>
                <w:lang w:val="en-US"/>
              </w:rPr>
              <w:br/>
              <w:t>Hancock, NH</w:t>
            </w:r>
            <w:r>
              <w:rPr>
                <w:lang w:val="en-US"/>
              </w:rPr>
              <w:br/>
              <w:t>North Liberty, IA</w:t>
            </w:r>
            <w:r>
              <w:rPr>
                <w:lang w:val="en-US"/>
              </w:rPr>
              <w:br/>
              <w:t>Ft. Davis, TX</w:t>
            </w:r>
            <w:r>
              <w:rPr>
                <w:lang w:val="en-US"/>
              </w:rPr>
              <w:br/>
              <w:t>Los Alamos, NM</w:t>
            </w:r>
            <w:r>
              <w:rPr>
                <w:lang w:val="en-US"/>
              </w:rPr>
              <w:br/>
              <w:t>Pie Town, NM</w:t>
            </w:r>
            <w:r>
              <w:rPr>
                <w:lang w:val="en-US"/>
              </w:rPr>
              <w:br/>
              <w:t>Kitt Peak, AZ</w:t>
            </w:r>
            <w:r>
              <w:rPr>
                <w:lang w:val="en-US"/>
              </w:rPr>
              <w:br/>
              <w:t>Owens Valley, CA</w:t>
            </w:r>
            <w:r>
              <w:rPr>
                <w:lang w:val="en-US"/>
              </w:rPr>
              <w:br/>
              <w:t>Brewster, WA</w:t>
            </w:r>
            <w:r>
              <w:rPr>
                <w:lang w:val="en-US"/>
              </w:rPr>
              <w:br/>
              <w:t>Mauna Kea, HI</w:t>
            </w:r>
            <w:r>
              <w:rPr>
                <w:lang w:val="en-US"/>
              </w:rPr>
              <w:br/>
              <w:t>Kitt Peak, AZ</w:t>
            </w:r>
            <w:r>
              <w:rPr>
                <w:lang w:val="en-US"/>
              </w:rPr>
              <w:br/>
              <w:t>Mauna Kea, HI</w:t>
            </w:r>
            <w:r>
              <w:rPr>
                <w:lang w:val="en-US"/>
              </w:rPr>
              <w:br/>
              <w:t>Westford, MA</w:t>
            </w:r>
          </w:p>
        </w:tc>
        <w:tc>
          <w:tcPr>
            <w:tcW w:w="1341"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ind w:left="-57" w:right="-57"/>
              <w:jc w:val="center"/>
              <w:rPr>
                <w:lang w:val="en-US"/>
              </w:rPr>
            </w:pPr>
            <w:r>
              <w:rPr>
                <w:lang w:val="en-US"/>
              </w:rPr>
              <w:t>–116° 47' 40"</w:t>
            </w:r>
            <w:r>
              <w:rPr>
                <w:lang w:val="en-US"/>
              </w:rPr>
              <w:br/>
              <w:t>–79° 50' 24"</w:t>
            </w:r>
            <w:r>
              <w:rPr>
                <w:lang w:val="en-US"/>
              </w:rPr>
              <w:br/>
              <w:t>–107° 37' 06"</w:t>
            </w:r>
            <w:r>
              <w:rPr>
                <w:lang w:val="en-US"/>
              </w:rPr>
              <w:br/>
              <w:t>–64° 35' 01"</w:t>
            </w:r>
            <w:r>
              <w:rPr>
                <w:lang w:val="en-US"/>
              </w:rPr>
              <w:br/>
              <w:t>–71° 59' 12"</w:t>
            </w:r>
            <w:r>
              <w:rPr>
                <w:lang w:val="en-US"/>
              </w:rPr>
              <w:br/>
              <w:t>–91° 34' 27"</w:t>
            </w:r>
            <w:r>
              <w:rPr>
                <w:lang w:val="en-US"/>
              </w:rPr>
              <w:br/>
              <w:t>–103° 56' 41"</w:t>
            </w:r>
            <w:r>
              <w:rPr>
                <w:lang w:val="en-US"/>
              </w:rPr>
              <w:br/>
              <w:t>–106° 14' 44"</w:t>
            </w:r>
            <w:r>
              <w:rPr>
                <w:lang w:val="en-US"/>
              </w:rPr>
              <w:br/>
              <w:t>–108° 07' 09"</w:t>
            </w:r>
            <w:r>
              <w:rPr>
                <w:lang w:val="en-US"/>
              </w:rPr>
              <w:br/>
              <w:t>–111° 36' 45"</w:t>
            </w:r>
            <w:r>
              <w:rPr>
                <w:lang w:val="en-US"/>
              </w:rPr>
              <w:br/>
              <w:t>–118° 16' 37"</w:t>
            </w:r>
            <w:r>
              <w:rPr>
                <w:lang w:val="en-US"/>
              </w:rPr>
              <w:br/>
              <w:t>–119° 41' 00"</w:t>
            </w:r>
            <w:r>
              <w:rPr>
                <w:lang w:val="en-US"/>
              </w:rPr>
              <w:br/>
              <w:t>–155° 27' 19"</w:t>
            </w:r>
            <w:r>
              <w:rPr>
                <w:lang w:val="en-US"/>
              </w:rPr>
              <w:br/>
              <w:t>–111° 36' 50"</w:t>
            </w:r>
            <w:r>
              <w:rPr>
                <w:lang w:val="en-US"/>
              </w:rPr>
              <w:br/>
              <w:t>–155° 28' 20"</w:t>
            </w:r>
            <w:r>
              <w:rPr>
                <w:lang w:val="en-US"/>
              </w:rPr>
              <w:br/>
              <w:t>–71° 29' 19"</w:t>
            </w:r>
          </w:p>
        </w:tc>
        <w:tc>
          <w:tcPr>
            <w:tcW w:w="1238"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35° 14' 50"</w:t>
            </w:r>
            <w:r>
              <w:rPr>
                <w:lang w:val="en-US"/>
              </w:rPr>
              <w:br/>
              <w:t>38° 25' 59"</w:t>
            </w:r>
            <w:r>
              <w:rPr>
                <w:lang w:val="en-US"/>
              </w:rPr>
              <w:br/>
              <w:t>34° 04' 44"</w:t>
            </w:r>
            <w:r>
              <w:rPr>
                <w:lang w:val="en-US"/>
              </w:rPr>
              <w:br/>
              <w:t>17° 45' 24"</w:t>
            </w:r>
            <w:r>
              <w:rPr>
                <w:lang w:val="en-US"/>
              </w:rPr>
              <w:br/>
              <w:t>42° 56' 01"</w:t>
            </w:r>
            <w:r>
              <w:rPr>
                <w:lang w:val="en-US"/>
              </w:rPr>
              <w:br/>
              <w:t>41° 46' 17"</w:t>
            </w:r>
            <w:r>
              <w:rPr>
                <w:lang w:val="en-US"/>
              </w:rPr>
              <w:br/>
              <w:t>30° 38' 06"</w:t>
            </w:r>
            <w:r>
              <w:rPr>
                <w:lang w:val="en-US"/>
              </w:rPr>
              <w:br/>
              <w:t>35° 46' 31"</w:t>
            </w:r>
            <w:r>
              <w:rPr>
                <w:lang w:val="en-US"/>
              </w:rPr>
              <w:br/>
              <w:t>34° 18' 04"</w:t>
            </w:r>
            <w:r>
              <w:rPr>
                <w:lang w:val="en-US"/>
              </w:rPr>
              <w:br/>
              <w:t>31° 57' 23"</w:t>
            </w:r>
            <w:r>
              <w:rPr>
                <w:lang w:val="en-US"/>
              </w:rPr>
              <w:br/>
              <w:t>37° 13' 54"</w:t>
            </w:r>
            <w:r>
              <w:rPr>
                <w:lang w:val="en-US"/>
              </w:rPr>
              <w:br/>
              <w:t>48° 07' 52"</w:t>
            </w:r>
            <w:r>
              <w:rPr>
                <w:lang w:val="en-US"/>
              </w:rPr>
              <w:br/>
              <w:t>19° 48' 05"</w:t>
            </w:r>
            <w:r>
              <w:rPr>
                <w:lang w:val="en-US"/>
              </w:rPr>
              <w:br/>
              <w:t>31° 57' 10"</w:t>
            </w:r>
            <w:r>
              <w:rPr>
                <w:lang w:val="en-US"/>
              </w:rPr>
              <w:br/>
              <w:t>19° 49' 33"</w:t>
            </w:r>
            <w:r>
              <w:rPr>
                <w:lang w:val="en-US"/>
              </w:rPr>
              <w:br/>
              <w:t>42° 37' 23"</w:t>
            </w:r>
          </w:p>
        </w:tc>
        <w:tc>
          <w:tcPr>
            <w:tcW w:w="100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w:t>
            </w:r>
            <w:r>
              <w:rPr>
                <w:lang w:val="en-US"/>
              </w:rPr>
              <w:br/>
              <w:t>1</w:t>
            </w:r>
            <w:r>
              <w:rPr>
                <w:rFonts w:ascii="Tms Rmn" w:hAnsi="Tms Rmn"/>
                <w:sz w:val="12"/>
                <w:lang w:val="en-US"/>
              </w:rPr>
              <w:t> </w:t>
            </w:r>
            <w:r>
              <w:rPr>
                <w:lang w:val="en-US"/>
              </w:rPr>
              <w:t>071</w:t>
            </w:r>
            <w:r>
              <w:rPr>
                <w:lang w:val="en-US"/>
              </w:rPr>
              <w:br/>
              <w:t>946</w:t>
            </w:r>
            <w:r>
              <w:rPr>
                <w:lang w:val="en-US"/>
              </w:rPr>
              <w:br/>
              <w:t>16</w:t>
            </w:r>
            <w:r>
              <w:rPr>
                <w:lang w:val="en-US"/>
              </w:rPr>
              <w:br/>
              <w:t>309</w:t>
            </w:r>
            <w:r>
              <w:rPr>
                <w:lang w:val="en-US"/>
              </w:rPr>
              <w:br/>
              <w:t>241</w:t>
            </w:r>
            <w:r>
              <w:rPr>
                <w:lang w:val="en-US"/>
              </w:rPr>
              <w:br/>
              <w:t>1</w:t>
            </w:r>
            <w:r>
              <w:rPr>
                <w:rFonts w:ascii="Tms Rmn" w:hAnsi="Tms Rmn"/>
                <w:sz w:val="12"/>
                <w:lang w:val="en-US"/>
              </w:rPr>
              <w:t> </w:t>
            </w:r>
            <w:r>
              <w:rPr>
                <w:lang w:val="en-US"/>
              </w:rPr>
              <w:t>615</w:t>
            </w:r>
            <w:r>
              <w:rPr>
                <w:lang w:val="en-US"/>
              </w:rPr>
              <w:br/>
              <w:t>1</w:t>
            </w:r>
            <w:r>
              <w:rPr>
                <w:rFonts w:ascii="Tms Rmn" w:hAnsi="Tms Rmn"/>
                <w:sz w:val="12"/>
                <w:lang w:val="en-US"/>
              </w:rPr>
              <w:t> </w:t>
            </w:r>
            <w:r>
              <w:rPr>
                <w:lang w:val="en-US"/>
              </w:rPr>
              <w:t>967</w:t>
            </w:r>
            <w:r>
              <w:rPr>
                <w:lang w:val="en-US"/>
              </w:rPr>
              <w:br/>
              <w:t>2</w:t>
            </w:r>
            <w:r>
              <w:rPr>
                <w:rFonts w:ascii="Tms Rmn" w:hAnsi="Tms Rmn"/>
                <w:sz w:val="12"/>
                <w:lang w:val="en-US"/>
              </w:rPr>
              <w:t> </w:t>
            </w:r>
            <w:r>
              <w:rPr>
                <w:lang w:val="en-US"/>
              </w:rPr>
              <w:t>371</w:t>
            </w:r>
            <w:r>
              <w:rPr>
                <w:lang w:val="en-US"/>
              </w:rPr>
              <w:br/>
              <w:t>1</w:t>
            </w:r>
            <w:r>
              <w:rPr>
                <w:rFonts w:ascii="Tms Rmn" w:hAnsi="Tms Rmn"/>
                <w:sz w:val="12"/>
                <w:lang w:val="en-US"/>
              </w:rPr>
              <w:t> </w:t>
            </w:r>
            <w:r>
              <w:rPr>
                <w:lang w:val="en-US"/>
              </w:rPr>
              <w:t>916</w:t>
            </w:r>
            <w:r>
              <w:rPr>
                <w:lang w:val="en-US"/>
              </w:rPr>
              <w:br/>
              <w:t>1</w:t>
            </w:r>
            <w:r>
              <w:rPr>
                <w:rFonts w:ascii="Tms Rmn" w:hAnsi="Tms Rmn"/>
                <w:sz w:val="12"/>
                <w:lang w:val="en-US"/>
              </w:rPr>
              <w:t> </w:t>
            </w:r>
            <w:r>
              <w:rPr>
                <w:lang w:val="en-US"/>
              </w:rPr>
              <w:t>207</w:t>
            </w:r>
            <w:r>
              <w:rPr>
                <w:lang w:val="en-US"/>
              </w:rPr>
              <w:br/>
              <w:t>255</w:t>
            </w:r>
            <w:r>
              <w:rPr>
                <w:lang w:val="en-US"/>
              </w:rPr>
              <w:br/>
              <w:t>3</w:t>
            </w:r>
            <w:r>
              <w:rPr>
                <w:rFonts w:ascii="Tms Rmn" w:hAnsi="Tms Rmn"/>
                <w:sz w:val="12"/>
                <w:lang w:val="en-US"/>
              </w:rPr>
              <w:t> </w:t>
            </w:r>
            <w:r>
              <w:rPr>
                <w:lang w:val="en-US"/>
              </w:rPr>
              <w:t>720</w:t>
            </w:r>
            <w:r>
              <w:rPr>
                <w:lang w:val="en-US"/>
              </w:rPr>
              <w:br/>
              <w:t>1</w:t>
            </w:r>
            <w:r>
              <w:rPr>
                <w:rFonts w:ascii="Tms Rmn" w:hAnsi="Tms Rmn"/>
                <w:sz w:val="12"/>
                <w:lang w:val="en-US"/>
              </w:rPr>
              <w:t> </w:t>
            </w:r>
            <w:r>
              <w:rPr>
                <w:lang w:val="en-US"/>
              </w:rPr>
              <w:t>916</w:t>
            </w:r>
            <w:r>
              <w:rPr>
                <w:lang w:val="en-US"/>
              </w:rPr>
              <w:br/>
              <w:t>3</w:t>
            </w:r>
            <w:r>
              <w:rPr>
                <w:rFonts w:ascii="Tms Rmn" w:hAnsi="Tms Rmn"/>
                <w:sz w:val="12"/>
                <w:lang w:val="en-US"/>
              </w:rPr>
              <w:t> </w:t>
            </w:r>
            <w:r>
              <w:rPr>
                <w:lang w:val="en-US"/>
              </w:rPr>
              <w:t>720</w:t>
            </w:r>
            <w:r>
              <w:rPr>
                <w:lang w:val="en-US"/>
              </w:rPr>
              <w:br/>
              <w:t>[122]</w:t>
            </w:r>
          </w:p>
        </w:tc>
        <w:tc>
          <w:tcPr>
            <w:tcW w:w="1117"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34</w:t>
            </w:r>
            <w:r>
              <w:rPr>
                <w:lang w:val="en-US"/>
              </w:rPr>
              <w:br/>
              <w:t>100</w:t>
            </w:r>
            <w:r>
              <w:rPr>
                <w:lang w:val="en-US"/>
              </w:rPr>
              <w:br/>
              <w:t xml:space="preserve">27 </w:t>
            </w:r>
            <w:r>
              <w:rPr>
                <w:rFonts w:ascii="Symbol" w:hAnsi="Symbol"/>
              </w:rPr>
              <w:sym w:font="Symbol" w:char="F0B4"/>
            </w:r>
            <w:r>
              <w:rPr>
                <w:lang w:val="en-US"/>
              </w:rPr>
              <w:t xml:space="preserve"> 25</w:t>
            </w:r>
            <w:r>
              <w:rPr>
                <w:lang w:val="en-US"/>
              </w:rPr>
              <w:br/>
              <w:t>25</w:t>
            </w:r>
            <w:r>
              <w:rPr>
                <w:lang w:val="en-US"/>
              </w:rPr>
              <w:br/>
              <w:t>25</w:t>
            </w:r>
            <w:r>
              <w:rPr>
                <w:lang w:val="en-US"/>
              </w:rPr>
              <w:br/>
              <w:t>25</w:t>
            </w:r>
            <w:r>
              <w:rPr>
                <w:lang w:val="en-US"/>
              </w:rPr>
              <w:br/>
              <w:t>25</w:t>
            </w:r>
            <w:r>
              <w:rPr>
                <w:lang w:val="en-US"/>
              </w:rPr>
              <w:br/>
              <w:t>25</w:t>
            </w:r>
            <w:r>
              <w:rPr>
                <w:lang w:val="en-US"/>
              </w:rPr>
              <w:br/>
              <w:t>25</w:t>
            </w:r>
            <w:r>
              <w:rPr>
                <w:lang w:val="en-US"/>
              </w:rPr>
              <w:br/>
              <w:t>25</w:t>
            </w:r>
            <w:r>
              <w:rPr>
                <w:lang w:val="en-US"/>
              </w:rPr>
              <w:br/>
              <w:t>25</w:t>
            </w:r>
            <w:r>
              <w:rPr>
                <w:lang w:val="en-US"/>
              </w:rPr>
              <w:br/>
              <w:t>25</w:t>
            </w:r>
            <w:r>
              <w:rPr>
                <w:lang w:val="en-US"/>
              </w:rPr>
              <w:br/>
              <w:t>25</w:t>
            </w:r>
            <w:r>
              <w:rPr>
                <w:lang w:val="en-US"/>
              </w:rPr>
              <w:br/>
              <w:t>12</w:t>
            </w:r>
            <w:r>
              <w:rPr>
                <w:lang w:val="en-US"/>
              </w:rPr>
              <w:br/>
              <w:t>10,4</w:t>
            </w:r>
            <w:r>
              <w:rPr>
                <w:lang w:val="en-US"/>
              </w:rPr>
              <w:br/>
              <w:t>36</w:t>
            </w:r>
          </w:p>
        </w:tc>
        <w:tc>
          <w:tcPr>
            <w:tcW w:w="1312"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S</w:t>
            </w:r>
            <w:r>
              <w:rPr>
                <w:lang w:val="en-US"/>
              </w:rPr>
              <w:br/>
              <w:t>S</w:t>
            </w:r>
            <w:r>
              <w:rPr>
                <w:lang w:val="en-US"/>
              </w:rPr>
              <w:br/>
              <w:t>S</w:t>
            </w:r>
            <w:r>
              <w:rPr>
                <w:lang w:val="en-US"/>
              </w:rPr>
              <w:br/>
              <w:t>VLBI</w:t>
            </w:r>
            <w:r>
              <w:rPr>
                <w:lang w:val="en-US"/>
              </w:rPr>
              <w:br/>
              <w:t>VLBI</w:t>
            </w:r>
            <w:r>
              <w:rPr>
                <w:lang w:val="en-US"/>
              </w:rPr>
              <w:br/>
              <w:t>VLBI</w:t>
            </w:r>
            <w:r>
              <w:rPr>
                <w:lang w:val="en-US"/>
              </w:rPr>
              <w:br/>
              <w:t>VLBI</w:t>
            </w:r>
            <w:r>
              <w:rPr>
                <w:lang w:val="en-US"/>
              </w:rPr>
              <w:br/>
              <w:t>VLBI</w:t>
            </w:r>
            <w:r>
              <w:rPr>
                <w:lang w:val="en-US"/>
              </w:rPr>
              <w:br/>
              <w:t>VLBI</w:t>
            </w:r>
            <w:r>
              <w:rPr>
                <w:lang w:val="en-US"/>
              </w:rPr>
              <w:br/>
              <w:t>VLBI</w:t>
            </w:r>
            <w:r>
              <w:rPr>
                <w:lang w:val="en-US"/>
              </w:rPr>
              <w:br/>
              <w:t>VLBI</w:t>
            </w:r>
            <w:r>
              <w:rPr>
                <w:lang w:val="en-US"/>
              </w:rPr>
              <w:br/>
              <w:t>VLBI</w:t>
            </w:r>
            <w:r>
              <w:rPr>
                <w:lang w:val="en-US"/>
              </w:rPr>
              <w:br/>
              <w:t>VLBI</w:t>
            </w:r>
            <w:r>
              <w:rPr>
                <w:lang w:val="en-US"/>
              </w:rPr>
              <w:br/>
              <w:t>S</w:t>
            </w:r>
            <w:r>
              <w:rPr>
                <w:lang w:val="en-US"/>
              </w:rPr>
              <w:br/>
              <w:t>S</w:t>
            </w:r>
            <w:r>
              <w:rPr>
                <w:lang w:val="en-US"/>
              </w:rPr>
              <w:br/>
              <w:t>S</w:t>
            </w:r>
          </w:p>
        </w:tc>
      </w:tr>
    </w:tbl>
    <w:p w:rsidR="002B489A" w:rsidRDefault="002B489A">
      <w:pPr>
        <w:pStyle w:val="Tablefin"/>
      </w:pPr>
    </w:p>
    <w:p w:rsidR="002B489A" w:rsidRDefault="002B489A">
      <w:pPr>
        <w:rPr>
          <w:lang w:val="en-GB"/>
        </w:rPr>
      </w:pPr>
    </w:p>
    <w:p w:rsidR="002B489A" w:rsidRDefault="004F19C4">
      <w:pPr>
        <w:pStyle w:val="TableNo"/>
        <w:spacing w:before="0"/>
      </w:pPr>
      <w:r>
        <w:rPr>
          <w:lang w:val="en-US"/>
        </w:rPr>
        <w:br w:type="page"/>
      </w:r>
      <w:r>
        <w:t>TABLEAU  97 (</w:t>
      </w:r>
      <w:r>
        <w:rPr>
          <w:i/>
          <w:iCs/>
        </w:rPr>
        <w:t>fin</w:t>
      </w:r>
      <w:r>
        <w:t>)</w:t>
      </w:r>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84"/>
        <w:gridCol w:w="1945"/>
        <w:gridCol w:w="1315"/>
        <w:gridCol w:w="1264"/>
        <w:gridCol w:w="1004"/>
        <w:gridCol w:w="1117"/>
        <w:gridCol w:w="1310"/>
      </w:tblGrid>
      <w:tr w:rsidR="002B489A">
        <w:tc>
          <w:tcPr>
            <w:tcW w:w="9639" w:type="dxa"/>
            <w:gridSpan w:val="7"/>
            <w:tcBorders>
              <w:top w:val="single" w:sz="4" w:space="0" w:color="auto"/>
              <w:left w:val="single" w:sz="4" w:space="0" w:color="auto"/>
              <w:bottom w:val="single" w:sz="4" w:space="0" w:color="auto"/>
              <w:right w:val="single" w:sz="4" w:space="0" w:color="auto"/>
            </w:tcBorders>
          </w:tcPr>
          <w:p w:rsidR="002B489A" w:rsidRDefault="004F19C4">
            <w:pPr>
              <w:pStyle w:val="Tablehead"/>
              <w:framePr w:hSpace="181" w:wrap="notBeside" w:vAnchor="text" w:hAnchor="text" w:xAlign="center" w:y="1"/>
              <w:rPr>
                <w:lang w:val="fr-CH"/>
              </w:rPr>
            </w:pPr>
            <w:r>
              <w:rPr>
                <w:lang w:val="fr-CH"/>
              </w:rPr>
              <w:t>Région 3</w:t>
            </w:r>
          </w:p>
        </w:tc>
      </w:tr>
      <w:tr w:rsidR="002B489A">
        <w:tc>
          <w:tcPr>
            <w:tcW w:w="1684" w:type="dxa"/>
            <w:tcBorders>
              <w:top w:val="single" w:sz="4" w:space="0" w:color="auto"/>
              <w:left w:val="single" w:sz="4" w:space="0" w:color="auto"/>
              <w:bottom w:val="single" w:sz="4" w:space="0" w:color="auto"/>
              <w:right w:val="single" w:sz="4" w:space="0" w:color="auto"/>
            </w:tcBorders>
          </w:tcPr>
          <w:p w:rsidR="002B489A" w:rsidRDefault="004F19C4">
            <w:pPr>
              <w:pStyle w:val="Tablehead"/>
              <w:framePr w:hSpace="181" w:wrap="notBeside" w:vAnchor="text" w:hAnchor="text" w:xAlign="center" w:y="1"/>
              <w:rPr>
                <w:lang w:val="fr-CH"/>
              </w:rPr>
            </w:pPr>
            <w:r>
              <w:rPr>
                <w:lang w:val="fr-CH"/>
              </w:rPr>
              <w:t>Pays</w:t>
            </w:r>
          </w:p>
        </w:tc>
        <w:tc>
          <w:tcPr>
            <w:tcW w:w="1945" w:type="dxa"/>
            <w:tcBorders>
              <w:top w:val="single" w:sz="4" w:space="0" w:color="auto"/>
              <w:left w:val="single" w:sz="4" w:space="0" w:color="auto"/>
              <w:bottom w:val="single" w:sz="4" w:space="0" w:color="auto"/>
              <w:right w:val="single" w:sz="4" w:space="0" w:color="auto"/>
            </w:tcBorders>
          </w:tcPr>
          <w:p w:rsidR="002B489A" w:rsidRDefault="004F19C4">
            <w:pPr>
              <w:pStyle w:val="Tablehead"/>
              <w:framePr w:hSpace="181" w:wrap="notBeside" w:vAnchor="text" w:hAnchor="text" w:xAlign="center" w:y="1"/>
              <w:rPr>
                <w:lang w:val="fr-CH"/>
              </w:rPr>
            </w:pPr>
            <w:r>
              <w:rPr>
                <w:lang w:val="fr-CH"/>
              </w:rPr>
              <w:t>Site</w:t>
            </w:r>
          </w:p>
        </w:tc>
        <w:tc>
          <w:tcPr>
            <w:tcW w:w="1315" w:type="dxa"/>
            <w:tcBorders>
              <w:top w:val="single" w:sz="4" w:space="0" w:color="auto"/>
              <w:left w:val="single" w:sz="4" w:space="0" w:color="auto"/>
              <w:bottom w:val="single" w:sz="4" w:space="0" w:color="auto"/>
              <w:right w:val="single" w:sz="4" w:space="0" w:color="auto"/>
            </w:tcBorders>
          </w:tcPr>
          <w:p w:rsidR="002B489A" w:rsidRDefault="004F19C4">
            <w:pPr>
              <w:pStyle w:val="Tablehead"/>
              <w:framePr w:hSpace="181" w:wrap="notBeside" w:vAnchor="text" w:hAnchor="text" w:xAlign="center" w:y="1"/>
            </w:pPr>
            <w:r>
              <w:t>Longitude</w:t>
            </w:r>
          </w:p>
        </w:tc>
        <w:tc>
          <w:tcPr>
            <w:tcW w:w="1264" w:type="dxa"/>
            <w:tcBorders>
              <w:top w:val="single" w:sz="4" w:space="0" w:color="auto"/>
              <w:left w:val="single" w:sz="4" w:space="0" w:color="auto"/>
              <w:bottom w:val="single" w:sz="4" w:space="0" w:color="auto"/>
              <w:right w:val="single" w:sz="4" w:space="0" w:color="auto"/>
            </w:tcBorders>
          </w:tcPr>
          <w:p w:rsidR="002B489A" w:rsidRDefault="004F19C4">
            <w:pPr>
              <w:pStyle w:val="Tablehead"/>
              <w:framePr w:hSpace="181" w:wrap="notBeside" w:vAnchor="text" w:hAnchor="text" w:xAlign="center" w:y="1"/>
              <w:ind w:left="113"/>
              <w:jc w:val="left"/>
            </w:pPr>
            <w:r>
              <w:t>Latitude</w:t>
            </w:r>
          </w:p>
        </w:tc>
        <w:tc>
          <w:tcPr>
            <w:tcW w:w="1004" w:type="dxa"/>
            <w:tcBorders>
              <w:top w:val="single" w:sz="4" w:space="0" w:color="auto"/>
              <w:left w:val="single" w:sz="4" w:space="0" w:color="auto"/>
              <w:bottom w:val="single" w:sz="4" w:space="0" w:color="auto"/>
              <w:right w:val="single" w:sz="4" w:space="0" w:color="auto"/>
            </w:tcBorders>
          </w:tcPr>
          <w:p w:rsidR="002B489A" w:rsidRDefault="004F19C4">
            <w:pPr>
              <w:pStyle w:val="Tablehead"/>
              <w:framePr w:hSpace="181" w:wrap="notBeside" w:vAnchor="text" w:hAnchor="text" w:xAlign="center" w:y="1"/>
            </w:pPr>
            <w:r>
              <w:t>Altitude</w:t>
            </w:r>
            <w:r>
              <w:br/>
              <w:t>(m)</w:t>
            </w:r>
          </w:p>
        </w:tc>
        <w:tc>
          <w:tcPr>
            <w:tcW w:w="1117" w:type="dxa"/>
            <w:tcBorders>
              <w:top w:val="single" w:sz="4" w:space="0" w:color="auto"/>
              <w:left w:val="single" w:sz="4" w:space="0" w:color="auto"/>
              <w:bottom w:val="single" w:sz="4" w:space="0" w:color="auto"/>
              <w:right w:val="single" w:sz="4" w:space="0" w:color="auto"/>
            </w:tcBorders>
          </w:tcPr>
          <w:p w:rsidR="002B489A" w:rsidRDefault="004F19C4">
            <w:pPr>
              <w:pStyle w:val="Tablehead"/>
              <w:framePr w:hSpace="181" w:wrap="notBeside" w:vAnchor="text" w:hAnchor="text" w:xAlign="center" w:y="1"/>
              <w:rPr>
                <w:lang w:val="fr-CH"/>
              </w:rPr>
            </w:pPr>
            <w:r>
              <w:rPr>
                <w:lang w:val="fr-CH"/>
              </w:rPr>
              <w:t>Diamètre</w:t>
            </w:r>
            <w:r>
              <w:rPr>
                <w:lang w:val="fr-CH"/>
              </w:rPr>
              <w:br/>
              <w:t>(m)</w:t>
            </w:r>
          </w:p>
        </w:tc>
        <w:tc>
          <w:tcPr>
            <w:tcW w:w="1310" w:type="dxa"/>
            <w:tcBorders>
              <w:top w:val="single" w:sz="4" w:space="0" w:color="auto"/>
              <w:left w:val="single" w:sz="4" w:space="0" w:color="auto"/>
              <w:bottom w:val="single" w:sz="4" w:space="0" w:color="auto"/>
              <w:right w:val="single" w:sz="4" w:space="0" w:color="auto"/>
            </w:tcBorders>
          </w:tcPr>
          <w:p w:rsidR="002B489A" w:rsidRDefault="004F19C4">
            <w:pPr>
              <w:pStyle w:val="Tablehead"/>
              <w:framePr w:hSpace="181" w:wrap="notBeside" w:vAnchor="text" w:hAnchor="text" w:xAlign="center" w:y="1"/>
              <w:rPr>
                <w:lang w:val="fr-CH"/>
              </w:rPr>
            </w:pPr>
            <w:r>
              <w:rPr>
                <w:lang w:val="fr-CH"/>
              </w:rPr>
              <w:t>Remarques</w:t>
            </w:r>
          </w:p>
        </w:tc>
      </w:tr>
      <w:tr w:rsidR="002B489A">
        <w:trPr>
          <w:trHeight w:val="388"/>
        </w:trPr>
        <w:tc>
          <w:tcPr>
            <w:tcW w:w="168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Australie</w:t>
            </w:r>
          </w:p>
        </w:tc>
        <w:tc>
          <w:tcPr>
            <w:tcW w:w="1945"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Parkes</w:t>
            </w:r>
            <w:r>
              <w:rPr>
                <w:lang w:val="en-US"/>
              </w:rPr>
              <w:br/>
              <w:t>Mopra</w:t>
            </w:r>
            <w:r>
              <w:rPr>
                <w:lang w:val="en-US"/>
              </w:rPr>
              <w:br/>
              <w:t>Narrabri, NSW</w:t>
            </w:r>
            <w:r>
              <w:rPr>
                <w:lang w:val="en-US"/>
              </w:rPr>
              <w:br/>
              <w:t>Tidbinbilla</w:t>
            </w:r>
          </w:p>
        </w:tc>
        <w:tc>
          <w:tcPr>
            <w:tcW w:w="1315"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148° 15' 44"</w:t>
            </w:r>
            <w:r>
              <w:rPr>
                <w:lang w:val="en-US"/>
              </w:rPr>
              <w:br/>
              <w:t>149° 05' 58"</w:t>
            </w:r>
            <w:r>
              <w:rPr>
                <w:lang w:val="en-US"/>
              </w:rPr>
              <w:br/>
              <w:t>149° 32' 56"</w:t>
            </w:r>
            <w:r>
              <w:rPr>
                <w:lang w:val="en-US"/>
              </w:rPr>
              <w:br/>
              <w:t>148° 58' 59"</w:t>
            </w:r>
          </w:p>
        </w:tc>
        <w:tc>
          <w:tcPr>
            <w:tcW w:w="126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ind w:left="-57" w:right="-57"/>
              <w:jc w:val="center"/>
              <w:rPr>
                <w:lang w:val="en-US"/>
              </w:rPr>
            </w:pPr>
            <w:r>
              <w:rPr>
                <w:lang w:val="en-US"/>
              </w:rPr>
              <w:t>–33° 00' 00" </w:t>
            </w:r>
            <w:r>
              <w:rPr>
                <w:lang w:val="en-US"/>
              </w:rPr>
              <w:br/>
              <w:t>–31° 16' 04"</w:t>
            </w:r>
            <w:r>
              <w:rPr>
                <w:lang w:val="en-US"/>
              </w:rPr>
              <w:br/>
              <w:t>–30° 59' 52"</w:t>
            </w:r>
            <w:r>
              <w:rPr>
                <w:lang w:val="en-US"/>
              </w:rPr>
              <w:br/>
              <w:t>–35° 24' 18"</w:t>
            </w:r>
          </w:p>
        </w:tc>
        <w:tc>
          <w:tcPr>
            <w:tcW w:w="100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415</w:t>
            </w:r>
            <w:r>
              <w:rPr>
                <w:lang w:val="en-US"/>
              </w:rPr>
              <w:br/>
              <w:t>866</w:t>
            </w:r>
            <w:r>
              <w:rPr>
                <w:lang w:val="en-US"/>
              </w:rPr>
              <w:br/>
              <w:t>237</w:t>
            </w:r>
            <w:r>
              <w:rPr>
                <w:lang w:val="en-US"/>
              </w:rPr>
              <w:br/>
              <w:t>677</w:t>
            </w:r>
          </w:p>
        </w:tc>
        <w:tc>
          <w:tcPr>
            <w:tcW w:w="1117"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64</w:t>
            </w:r>
            <w:r>
              <w:rPr>
                <w:lang w:val="en-US"/>
              </w:rPr>
              <w:br/>
              <w:t>22</w:t>
            </w:r>
            <w:r>
              <w:rPr>
                <w:lang w:val="en-US"/>
              </w:rPr>
              <w:br/>
              <w:t>6 </w:t>
            </w:r>
            <w:r>
              <w:rPr>
                <w:rFonts w:ascii="Symbol" w:hAnsi="Symbol"/>
              </w:rPr>
              <w:sym w:font="Symbol" w:char="F0B4"/>
            </w:r>
            <w:r>
              <w:rPr>
                <w:lang w:val="en-US"/>
              </w:rPr>
              <w:t> 22</w:t>
            </w:r>
            <w:r>
              <w:rPr>
                <w:lang w:val="en-US"/>
              </w:rPr>
              <w:br/>
              <w:t>34</w:t>
            </w:r>
          </w:p>
        </w:tc>
        <w:tc>
          <w:tcPr>
            <w:tcW w:w="1310"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S</w:t>
            </w:r>
            <w:r>
              <w:rPr>
                <w:lang w:val="en-US"/>
              </w:rPr>
              <w:br/>
              <w:t>S</w:t>
            </w:r>
            <w:r>
              <w:rPr>
                <w:lang w:val="en-US"/>
              </w:rPr>
              <w:br/>
              <w:t>S</w:t>
            </w:r>
            <w:r>
              <w:rPr>
                <w:lang w:val="en-US"/>
              </w:rPr>
              <w:br/>
              <w:t>S</w:t>
            </w:r>
          </w:p>
        </w:tc>
      </w:tr>
      <w:tr w:rsidR="002B489A">
        <w:tc>
          <w:tcPr>
            <w:tcW w:w="168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Japon</w:t>
            </w:r>
          </w:p>
        </w:tc>
        <w:tc>
          <w:tcPr>
            <w:tcW w:w="1945"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Nobeyama</w:t>
            </w:r>
            <w:r>
              <w:rPr>
                <w:lang w:val="en-US"/>
              </w:rPr>
              <w:br/>
              <w:t>Kashima</w:t>
            </w:r>
            <w:r>
              <w:rPr>
                <w:lang w:val="en-US"/>
              </w:rPr>
              <w:br/>
              <w:t>Mizusa</w:t>
            </w:r>
            <w:r>
              <w:rPr>
                <w:lang w:val="en-US"/>
              </w:rPr>
              <w:br/>
              <w:t>Ogasawara</w:t>
            </w:r>
            <w:r>
              <w:rPr>
                <w:lang w:val="en-US"/>
              </w:rPr>
              <w:br/>
              <w:t>Ishigakijima</w:t>
            </w:r>
          </w:p>
        </w:tc>
        <w:tc>
          <w:tcPr>
            <w:tcW w:w="1315"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138° 28' 32"</w:t>
            </w:r>
            <w:r>
              <w:rPr>
                <w:lang w:val="en-US"/>
              </w:rPr>
              <w:br/>
              <w:t>140° 39' 46"</w:t>
            </w:r>
            <w:r>
              <w:rPr>
                <w:lang w:val="en-US"/>
              </w:rPr>
              <w:br/>
              <w:t>141° 07' 57"</w:t>
            </w:r>
            <w:r>
              <w:rPr>
                <w:lang w:val="en-US"/>
              </w:rPr>
              <w:br/>
              <w:t>130° 26' 25"</w:t>
            </w:r>
            <w:r>
              <w:rPr>
                <w:lang w:val="en-US"/>
              </w:rPr>
              <w:br/>
              <w:t>142° 13' 00"</w:t>
            </w:r>
            <w:r>
              <w:rPr>
                <w:lang w:val="en-US"/>
              </w:rPr>
              <w:br/>
              <w:t>124° 10' 06"</w:t>
            </w:r>
          </w:p>
        </w:tc>
        <w:tc>
          <w:tcPr>
            <w:tcW w:w="126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35° 56' 29"</w:t>
            </w:r>
            <w:r>
              <w:rPr>
                <w:lang w:val="en-US"/>
              </w:rPr>
              <w:br/>
              <w:t>35° 57' 15"</w:t>
            </w:r>
            <w:r>
              <w:rPr>
                <w:lang w:val="en-US"/>
              </w:rPr>
              <w:br/>
              <w:t>39° 08' 01"</w:t>
            </w:r>
            <w:r>
              <w:rPr>
                <w:lang w:val="en-US"/>
              </w:rPr>
              <w:br/>
              <w:t>31° 44' 53"</w:t>
            </w:r>
            <w:r>
              <w:rPr>
                <w:lang w:val="en-US"/>
              </w:rPr>
              <w:br/>
              <w:t>27° 05' 30"</w:t>
            </w:r>
            <w:r>
              <w:rPr>
                <w:lang w:val="en-US"/>
              </w:rPr>
              <w:br/>
              <w:t>24° 24' 38"</w:t>
            </w:r>
          </w:p>
        </w:tc>
        <w:tc>
          <w:tcPr>
            <w:tcW w:w="100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1 350</w:t>
            </w:r>
            <w:r>
              <w:rPr>
                <w:lang w:val="en-US"/>
              </w:rPr>
              <w:br/>
              <w:t>50</w:t>
            </w:r>
            <w:r>
              <w:rPr>
                <w:lang w:val="en-US"/>
              </w:rPr>
              <w:br/>
              <w:t>117</w:t>
            </w:r>
            <w:r>
              <w:rPr>
                <w:lang w:val="en-US"/>
              </w:rPr>
              <w:br/>
              <w:t>569</w:t>
            </w:r>
            <w:r>
              <w:rPr>
                <w:lang w:val="en-US"/>
              </w:rPr>
              <w:br/>
              <w:t>273</w:t>
            </w:r>
            <w:r>
              <w:rPr>
                <w:lang w:val="en-US"/>
              </w:rPr>
              <w:br/>
              <w:t>60</w:t>
            </w:r>
          </w:p>
        </w:tc>
        <w:tc>
          <w:tcPr>
            <w:tcW w:w="1117"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45</w:t>
            </w:r>
            <w:r>
              <w:rPr>
                <w:lang w:val="en-US"/>
              </w:rPr>
              <w:br/>
              <w:t>34</w:t>
            </w:r>
            <w:r>
              <w:rPr>
                <w:lang w:val="en-US"/>
              </w:rPr>
              <w:br/>
              <w:t>20</w:t>
            </w:r>
            <w:r>
              <w:rPr>
                <w:lang w:val="en-US"/>
              </w:rPr>
              <w:br/>
              <w:t>20</w:t>
            </w:r>
            <w:r>
              <w:rPr>
                <w:lang w:val="en-US"/>
              </w:rPr>
              <w:br/>
              <w:t>20</w:t>
            </w:r>
            <w:r>
              <w:rPr>
                <w:lang w:val="en-US"/>
              </w:rPr>
              <w:br/>
              <w:t>20</w:t>
            </w:r>
          </w:p>
        </w:tc>
        <w:tc>
          <w:tcPr>
            <w:tcW w:w="1310"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S</w:t>
            </w:r>
            <w:r>
              <w:rPr>
                <w:lang w:val="en-US"/>
              </w:rPr>
              <w:br/>
              <w:t>S</w:t>
            </w:r>
            <w:r>
              <w:rPr>
                <w:lang w:val="en-US"/>
              </w:rPr>
              <w:br/>
              <w:t>S</w:t>
            </w:r>
            <w:r>
              <w:rPr>
                <w:lang w:val="en-US"/>
              </w:rPr>
              <w:br/>
              <w:t>S</w:t>
            </w:r>
            <w:r>
              <w:rPr>
                <w:lang w:val="en-US"/>
              </w:rPr>
              <w:br/>
              <w:t>S</w:t>
            </w:r>
            <w:r>
              <w:rPr>
                <w:lang w:val="en-US"/>
              </w:rPr>
              <w:br/>
              <w:t>S</w:t>
            </w:r>
          </w:p>
        </w:tc>
      </w:tr>
      <w:tr w:rsidR="002B489A">
        <w:tc>
          <w:tcPr>
            <w:tcW w:w="168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fr-CH"/>
              </w:rPr>
            </w:pPr>
            <w:r>
              <w:rPr>
                <w:lang w:val="fr-CH"/>
              </w:rPr>
              <w:t>Corée (République de)</w:t>
            </w:r>
          </w:p>
        </w:tc>
        <w:tc>
          <w:tcPr>
            <w:tcW w:w="1945"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s-ES"/>
              </w:rPr>
            </w:pPr>
            <w:r>
              <w:rPr>
                <w:lang w:val="es-ES"/>
              </w:rPr>
              <w:t>Taejon</w:t>
            </w:r>
            <w:r>
              <w:rPr>
                <w:lang w:val="es-ES"/>
              </w:rPr>
              <w:br/>
            </w:r>
            <w:r>
              <w:rPr>
                <w:rFonts w:hint="eastAsia"/>
                <w:lang w:val="es-ES"/>
              </w:rPr>
              <w:t xml:space="preserve">Yonsei </w:t>
            </w:r>
            <w:r>
              <w:rPr>
                <w:lang w:val="es-ES"/>
              </w:rPr>
              <w:t>U.</w:t>
            </w:r>
            <w:r>
              <w:rPr>
                <w:lang w:val="es-ES"/>
              </w:rPr>
              <w:br/>
            </w:r>
            <w:r>
              <w:rPr>
                <w:rFonts w:ascii="Times" w:hAnsi="Times" w:hint="eastAsia"/>
                <w:lang w:val="es-ES"/>
              </w:rPr>
              <w:t>Ulsan U</w:t>
            </w:r>
            <w:r>
              <w:rPr>
                <w:rFonts w:ascii="Times" w:hAnsi="Times"/>
                <w:lang w:val="es-ES"/>
              </w:rPr>
              <w:t>.</w:t>
            </w:r>
            <w:r>
              <w:rPr>
                <w:rFonts w:ascii="Times" w:hAnsi="Times"/>
                <w:lang w:val="es-ES"/>
              </w:rPr>
              <w:br/>
              <w:t>Tamna U.</w:t>
            </w:r>
          </w:p>
        </w:tc>
        <w:tc>
          <w:tcPr>
            <w:tcW w:w="1315"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s-ES"/>
              </w:rPr>
            </w:pPr>
            <w:r>
              <w:rPr>
                <w:rFonts w:ascii="Times" w:hAnsi="Times"/>
                <w:lang w:val="es-ES"/>
              </w:rPr>
              <w:t>127</w:t>
            </w:r>
            <w:r>
              <w:rPr>
                <w:lang w:val="es-ES"/>
              </w:rPr>
              <w:t>° 22' 18"</w:t>
            </w:r>
            <w:r>
              <w:rPr>
                <w:lang w:val="es-ES"/>
              </w:rPr>
              <w:br/>
            </w:r>
            <w:r>
              <w:rPr>
                <w:rFonts w:ascii="Times" w:hAnsi="Times"/>
                <w:lang w:val="es-ES"/>
              </w:rPr>
              <w:t>126</w:t>
            </w:r>
            <w:r>
              <w:rPr>
                <w:lang w:val="es-ES"/>
              </w:rPr>
              <w:t>°</w:t>
            </w:r>
            <w:r>
              <w:rPr>
                <w:rFonts w:ascii="Times" w:hAnsi="Times"/>
                <w:lang w:val="es-ES"/>
              </w:rPr>
              <w:t xml:space="preserve"> 56' 35"</w:t>
            </w:r>
            <w:r>
              <w:rPr>
                <w:rFonts w:ascii="Times" w:hAnsi="Times"/>
                <w:lang w:val="es-ES"/>
              </w:rPr>
              <w:br/>
              <w:t>129</w:t>
            </w:r>
            <w:r>
              <w:rPr>
                <w:lang w:val="es-ES"/>
              </w:rPr>
              <w:t>°</w:t>
            </w:r>
            <w:r>
              <w:rPr>
                <w:rFonts w:ascii="Times" w:hAnsi="Times"/>
                <w:lang w:val="es-ES"/>
              </w:rPr>
              <w:t xml:space="preserve"> 15' 04"</w:t>
            </w:r>
            <w:r>
              <w:rPr>
                <w:rFonts w:ascii="Times" w:hAnsi="Times"/>
                <w:lang w:val="es-ES"/>
              </w:rPr>
              <w:br/>
              <w:t>126</w:t>
            </w:r>
            <w:r>
              <w:rPr>
                <w:lang w:val="es-ES"/>
              </w:rPr>
              <w:t>°</w:t>
            </w:r>
            <w:r>
              <w:rPr>
                <w:rFonts w:ascii="Times" w:hAnsi="Times"/>
                <w:lang w:val="es-ES"/>
              </w:rPr>
              <w:t xml:space="preserve"> 27' 43"</w:t>
            </w:r>
          </w:p>
        </w:tc>
        <w:tc>
          <w:tcPr>
            <w:tcW w:w="126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s-ES"/>
              </w:rPr>
            </w:pPr>
            <w:r>
              <w:rPr>
                <w:lang w:val="es-ES"/>
              </w:rPr>
              <w:t>36° 23' 54"</w:t>
            </w:r>
            <w:r>
              <w:rPr>
                <w:lang w:val="es-ES"/>
              </w:rPr>
              <w:br/>
            </w:r>
            <w:r>
              <w:rPr>
                <w:rFonts w:ascii="Times" w:hAnsi="Times"/>
                <w:lang w:val="es-ES"/>
              </w:rPr>
              <w:t>37</w:t>
            </w:r>
            <w:r>
              <w:rPr>
                <w:lang w:val="es-ES"/>
              </w:rPr>
              <w:t>°</w:t>
            </w:r>
            <w:r>
              <w:rPr>
                <w:rFonts w:ascii="Times" w:hAnsi="Times"/>
                <w:lang w:val="es-ES"/>
              </w:rPr>
              <w:t xml:space="preserve"> 33' 44"</w:t>
            </w:r>
            <w:r>
              <w:rPr>
                <w:rFonts w:ascii="Times" w:hAnsi="Times"/>
                <w:lang w:val="es-ES"/>
              </w:rPr>
              <w:br/>
              <w:t>35</w:t>
            </w:r>
            <w:r>
              <w:rPr>
                <w:lang w:val="es-ES"/>
              </w:rPr>
              <w:t>°</w:t>
            </w:r>
            <w:r>
              <w:rPr>
                <w:rFonts w:ascii="Times" w:hAnsi="Times"/>
                <w:lang w:val="es-ES"/>
              </w:rPr>
              <w:t xml:space="preserve"> 32' 33"</w:t>
            </w:r>
            <w:r>
              <w:rPr>
                <w:rFonts w:ascii="Times" w:hAnsi="Times"/>
                <w:lang w:val="es-ES"/>
              </w:rPr>
              <w:br/>
              <w:t>33</w:t>
            </w:r>
            <w:r>
              <w:rPr>
                <w:lang w:val="es-ES"/>
              </w:rPr>
              <w:t>°</w:t>
            </w:r>
            <w:r>
              <w:rPr>
                <w:rFonts w:ascii="Times" w:hAnsi="Times"/>
                <w:lang w:val="es-ES"/>
              </w:rPr>
              <w:t xml:space="preserve"> 17' 18"</w:t>
            </w:r>
          </w:p>
        </w:tc>
        <w:tc>
          <w:tcPr>
            <w:tcW w:w="100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120</w:t>
            </w:r>
            <w:r>
              <w:rPr>
                <w:lang w:val="en-US"/>
              </w:rPr>
              <w:br/>
            </w:r>
            <w:r>
              <w:rPr>
                <w:rFonts w:ascii="½Å¸íÁ¶" w:hAnsi="½Å¸íÁ¶"/>
                <w:lang w:val="en-US"/>
              </w:rPr>
              <w:t>260</w:t>
            </w:r>
            <w:r>
              <w:rPr>
                <w:rFonts w:ascii="½Å¸íÁ¶" w:hAnsi="½Å¸íÁ¶"/>
                <w:lang w:val="en-US"/>
              </w:rPr>
              <w:br/>
            </w:r>
            <w:r>
              <w:rPr>
                <w:lang w:val="en-US"/>
              </w:rPr>
              <w:t>1</w:t>
            </w:r>
            <w:r>
              <w:rPr>
                <w:rFonts w:hint="eastAsia"/>
                <w:lang w:val="en-US"/>
              </w:rPr>
              <w:t>20</w:t>
            </w:r>
            <w:r>
              <w:rPr>
                <w:lang w:val="en-US"/>
              </w:rPr>
              <w:br/>
              <w:t>100</w:t>
            </w:r>
          </w:p>
        </w:tc>
        <w:tc>
          <w:tcPr>
            <w:tcW w:w="1117"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13,7</w:t>
            </w:r>
            <w:r>
              <w:rPr>
                <w:lang w:val="en-US"/>
              </w:rPr>
              <w:br/>
              <w:t>20</w:t>
            </w:r>
            <w:r>
              <w:rPr>
                <w:lang w:val="en-US"/>
              </w:rPr>
              <w:br/>
              <w:t>20</w:t>
            </w:r>
            <w:r>
              <w:rPr>
                <w:lang w:val="en-US"/>
              </w:rPr>
              <w:br/>
              <w:t>20</w:t>
            </w:r>
          </w:p>
        </w:tc>
        <w:tc>
          <w:tcPr>
            <w:tcW w:w="1310"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en-US"/>
              </w:rPr>
            </w:pPr>
            <w:r>
              <w:rPr>
                <w:lang w:val="en-US"/>
              </w:rPr>
              <w:t>S</w:t>
            </w:r>
            <w:r>
              <w:rPr>
                <w:lang w:val="en-US"/>
              </w:rPr>
              <w:br/>
              <w:t>S</w:t>
            </w:r>
            <w:r>
              <w:rPr>
                <w:lang w:val="en-US"/>
              </w:rPr>
              <w:br/>
              <w:t>S</w:t>
            </w:r>
            <w:r>
              <w:rPr>
                <w:lang w:val="en-US"/>
              </w:rPr>
              <w:br/>
              <w:t>S</w:t>
            </w:r>
          </w:p>
        </w:tc>
      </w:tr>
      <w:tr w:rsidR="002B489A">
        <w:tc>
          <w:tcPr>
            <w:tcW w:w="9639" w:type="dxa"/>
            <w:gridSpan w:val="7"/>
            <w:tcBorders>
              <w:top w:val="single" w:sz="4" w:space="0" w:color="auto"/>
              <w:left w:val="single" w:sz="4" w:space="0" w:color="auto"/>
              <w:bottom w:val="single" w:sz="4" w:space="0" w:color="auto"/>
              <w:right w:val="single" w:sz="4" w:space="0" w:color="auto"/>
            </w:tcBorders>
          </w:tcPr>
          <w:p w:rsidR="002B489A" w:rsidRDefault="004F19C4">
            <w:pPr>
              <w:pStyle w:val="Tablehead"/>
              <w:framePr w:hSpace="181" w:wrap="notBeside" w:vAnchor="text" w:hAnchor="text" w:xAlign="center" w:y="1"/>
              <w:spacing w:before="60" w:after="60"/>
              <w:rPr>
                <w:lang w:val="fr-CH"/>
              </w:rPr>
            </w:pPr>
            <w:r>
              <w:rPr>
                <w:lang w:val="fr-CH"/>
              </w:rPr>
              <w:t>Autres</w:t>
            </w:r>
          </w:p>
        </w:tc>
      </w:tr>
      <w:tr w:rsidR="002B489A">
        <w:tc>
          <w:tcPr>
            <w:tcW w:w="168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fr-CH"/>
              </w:rPr>
            </w:pPr>
            <w:r>
              <w:rPr>
                <w:lang w:val="fr-CH"/>
              </w:rPr>
              <w:t>Financement Etats</w:t>
            </w:r>
            <w:r>
              <w:rPr>
                <w:lang w:val="fr-CH"/>
              </w:rPr>
              <w:noBreakHyphen/>
              <w:t>Unis d'Amérique</w:t>
            </w:r>
          </w:p>
        </w:tc>
        <w:tc>
          <w:tcPr>
            <w:tcW w:w="1945"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fr-CH"/>
              </w:rPr>
            </w:pPr>
            <w:r>
              <w:rPr>
                <w:lang w:val="fr-CH"/>
              </w:rPr>
              <w:t>Antarctique</w:t>
            </w:r>
          </w:p>
        </w:tc>
        <w:tc>
          <w:tcPr>
            <w:tcW w:w="1315"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fr-CH"/>
              </w:rPr>
            </w:pPr>
            <w:r>
              <w:rPr>
                <w:lang w:val="fr-CH"/>
              </w:rPr>
              <w:t>N/A</w:t>
            </w:r>
          </w:p>
        </w:tc>
        <w:tc>
          <w:tcPr>
            <w:tcW w:w="126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ind w:left="-57" w:right="-57"/>
              <w:jc w:val="center"/>
              <w:rPr>
                <w:lang w:val="fr-CH"/>
              </w:rPr>
            </w:pPr>
            <w:r>
              <w:rPr>
                <w:lang w:val="fr-CH"/>
              </w:rPr>
              <w:t>–90</w:t>
            </w:r>
            <w:r>
              <w:rPr>
                <w:lang w:val="en-US"/>
              </w:rPr>
              <w:t>°</w:t>
            </w:r>
            <w:r>
              <w:rPr>
                <w:lang w:val="fr-CH"/>
              </w:rPr>
              <w:t> 00' 00"</w:t>
            </w:r>
          </w:p>
        </w:tc>
        <w:tc>
          <w:tcPr>
            <w:tcW w:w="1004"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fr-CH"/>
              </w:rPr>
            </w:pPr>
            <w:r>
              <w:rPr>
                <w:lang w:val="fr-CH"/>
              </w:rPr>
              <w:t>3</w:t>
            </w:r>
            <w:r>
              <w:rPr>
                <w:rFonts w:ascii="Tms Rmn" w:hAnsi="Tms Rmn"/>
                <w:sz w:val="12"/>
                <w:lang w:val="fr-CH"/>
              </w:rPr>
              <w:t> </w:t>
            </w:r>
            <w:r>
              <w:rPr>
                <w:lang w:val="fr-CH"/>
              </w:rPr>
              <w:t>000</w:t>
            </w:r>
          </w:p>
        </w:tc>
        <w:tc>
          <w:tcPr>
            <w:tcW w:w="1117"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fr-CH"/>
              </w:rPr>
            </w:pPr>
            <w:r>
              <w:rPr>
                <w:lang w:val="fr-CH"/>
              </w:rPr>
              <w:t>Divers</w:t>
            </w:r>
          </w:p>
        </w:tc>
        <w:tc>
          <w:tcPr>
            <w:tcW w:w="1310" w:type="dxa"/>
            <w:tcBorders>
              <w:top w:val="single" w:sz="4" w:space="0" w:color="auto"/>
              <w:left w:val="single" w:sz="4" w:space="0" w:color="auto"/>
              <w:bottom w:val="single" w:sz="4" w:space="0" w:color="auto"/>
              <w:right w:val="single" w:sz="4" w:space="0" w:color="auto"/>
            </w:tcBorders>
          </w:tcPr>
          <w:p w:rsidR="002B489A" w:rsidRDefault="004F19C4">
            <w:pPr>
              <w:pStyle w:val="Tabletext"/>
              <w:framePr w:hSpace="181" w:wrap="notBeside" w:vAnchor="text" w:hAnchor="text" w:xAlign="center" w:y="1"/>
              <w:jc w:val="center"/>
              <w:rPr>
                <w:lang w:val="fr-CH"/>
              </w:rPr>
            </w:pPr>
            <w:r>
              <w:rPr>
                <w:lang w:val="fr-CH"/>
              </w:rPr>
              <w:t>S</w:t>
            </w:r>
          </w:p>
        </w:tc>
      </w:tr>
      <w:tr w:rsidR="002B489A">
        <w:tc>
          <w:tcPr>
            <w:tcW w:w="9639" w:type="dxa"/>
            <w:gridSpan w:val="7"/>
            <w:tcBorders>
              <w:top w:val="single" w:sz="4" w:space="0" w:color="auto"/>
              <w:left w:val="nil"/>
              <w:bottom w:val="nil"/>
              <w:right w:val="nil"/>
            </w:tcBorders>
          </w:tcPr>
          <w:p w:rsidR="002B489A" w:rsidRDefault="004F19C4">
            <w:pPr>
              <w:pStyle w:val="Tablelegend"/>
              <w:framePr w:hSpace="181" w:wrap="notBeside" w:vAnchor="text" w:hAnchor="text" w:xAlign="center" w:y="1"/>
              <w:tabs>
                <w:tab w:val="clear" w:pos="284"/>
              </w:tabs>
              <w:ind w:left="-78" w:hanging="7"/>
              <w:rPr>
                <w:lang w:val="fr-CH"/>
              </w:rPr>
            </w:pPr>
            <w:r>
              <w:rPr>
                <w:bCs/>
                <w:lang w:val="fr-CH"/>
              </w:rPr>
              <w:t>NOTE 1 – </w:t>
            </w:r>
            <w:r>
              <w:t>S se rapporte à des stations où sont faites des opérations à antenne unique et VLBI se rapporte à des stations utilisées exclusivement pour de la VLBI.</w:t>
            </w:r>
          </w:p>
        </w:tc>
      </w:tr>
    </w:tbl>
    <w:p w:rsidR="002B489A" w:rsidRDefault="002B489A">
      <w:pPr>
        <w:pStyle w:val="Tablefin"/>
        <w:spacing w:before="0"/>
        <w:rPr>
          <w:sz w:val="2"/>
          <w:lang w:val="fr-CH"/>
        </w:rPr>
      </w:pPr>
    </w:p>
    <w:p w:rsidR="002B489A" w:rsidRDefault="004F19C4">
      <w:pPr>
        <w:pStyle w:val="Heading1"/>
      </w:pPr>
      <w:r>
        <w:t>2</w:t>
      </w:r>
      <w:r>
        <w:tab/>
        <w:t>SFS et SRS</w:t>
      </w:r>
    </w:p>
    <w:p w:rsidR="002B489A" w:rsidRDefault="004F19C4">
      <w:pPr>
        <w:pStyle w:val="Heading2"/>
      </w:pPr>
      <w:r>
        <w:t>2.1</w:t>
      </w:r>
      <w:r>
        <w:tab/>
        <w:t>Bande d'émission attribuée</w:t>
      </w:r>
    </w:p>
    <w:p w:rsidR="002B489A" w:rsidRDefault="004F19C4">
      <w:pPr>
        <w:tabs>
          <w:tab w:val="left" w:pos="1080"/>
        </w:tabs>
      </w:pPr>
      <w:r>
        <w:t>La bande de service active considérée est la bande 41,5</w:t>
      </w:r>
      <w:r>
        <w:noBreakHyphen/>
        <w:t>42,5 GHz.</w:t>
      </w:r>
    </w:p>
    <w:p w:rsidR="002B489A" w:rsidRDefault="004F19C4">
      <w:pPr>
        <w:pStyle w:val="Heading2"/>
      </w:pPr>
      <w:r>
        <w:t>2.2</w:t>
      </w:r>
      <w:r>
        <w:tab/>
        <w:t>Application</w:t>
      </w:r>
    </w:p>
    <w:p w:rsidR="002B489A" w:rsidRDefault="004F19C4">
      <w:pPr>
        <w:tabs>
          <w:tab w:val="left" w:pos="1080"/>
        </w:tabs>
      </w:pPr>
      <w:r>
        <w:t>Sur la base des notifications à l'UIT, plus de 250 systèmes du SFS et du SRS sont prévus pour un fonctionnement dans la bande des 40 GHz et la bande de liaison montante correspondante à 47 GHz. Les paramètres typiques des systèmes du SFS dont le fonctionnement est prévu dans les bandes des 50/40 GHz sont indiqués dans le Tableau 98.</w:t>
      </w:r>
    </w:p>
    <w:p w:rsidR="002B489A" w:rsidRDefault="004F19C4">
      <w:pPr>
        <w:pStyle w:val="Heading2"/>
      </w:pPr>
      <w:r>
        <w:t>2.3</w:t>
      </w:r>
      <w:r>
        <w:tab/>
        <w:t>Niveaux fondés sur des documents existants de l'UIT</w:t>
      </w:r>
    </w:p>
    <w:p w:rsidR="002B489A" w:rsidRDefault="004F19C4">
      <w:pPr>
        <w:rPr>
          <w:rFonts w:ascii="Times" w:hAnsi="Times"/>
        </w:rPr>
      </w:pPr>
      <w:r>
        <w:rPr>
          <w:rFonts w:ascii="Times" w:hAnsi="Times"/>
        </w:rPr>
        <w:t>Les Recommandations pertinentes de l'UIT-R sont les suivantes:</w:t>
      </w:r>
    </w:p>
    <w:p w:rsidR="002B489A" w:rsidRDefault="004F19C4">
      <w:pPr>
        <w:ind w:left="3600" w:hanging="3600"/>
      </w:pPr>
      <w:r>
        <w:rPr>
          <w:rFonts w:ascii="Times" w:hAnsi="Times"/>
        </w:rPr>
        <w:t>Recommandation UIT-R</w:t>
      </w:r>
      <w:r>
        <w:t> S.1557 –</w:t>
      </w:r>
      <w:r>
        <w:tab/>
        <w:t>Caractéristiques et prescriptions opérationnelles relatives aux systèmes du service fixe par satellite fonctionnant dans les bandes des 50/40 GHz à utiliser pour les études de partage entre le service fixe par satellite et le service fixe.</w:t>
      </w:r>
    </w:p>
    <w:p w:rsidR="002B489A" w:rsidRDefault="004F19C4">
      <w:pPr>
        <w:ind w:left="3600" w:hanging="3600"/>
      </w:pPr>
      <w:r>
        <w:rPr>
          <w:rFonts w:ascii="Times" w:hAnsi="Times"/>
        </w:rPr>
        <w:t>Recommandation UIT-R</w:t>
      </w:r>
      <w:r>
        <w:t> SF.1484 –</w:t>
      </w:r>
      <w:r>
        <w:tab/>
        <w:t>Valeurs maximales admissibles de la puissance surfacique produite à la surface de la Terre par des satellites non géosta</w:t>
      </w:r>
      <w:r>
        <w:softHyphen/>
        <w:t>tionnaires du service fixe par satellite fonctionnant dans la bande 37,5-42,5 GHz afin de protéger le service fixe.</w:t>
      </w:r>
    </w:p>
    <w:p w:rsidR="002B489A" w:rsidRDefault="004F19C4">
      <w:pPr>
        <w:tabs>
          <w:tab w:val="clear" w:pos="794"/>
          <w:tab w:val="clear" w:pos="1191"/>
          <w:tab w:val="clear" w:pos="1588"/>
          <w:tab w:val="clear" w:pos="1985"/>
          <w:tab w:val="left" w:pos="3572"/>
          <w:tab w:val="left" w:pos="3600"/>
        </w:tabs>
      </w:pPr>
      <w:r>
        <w:br w:type="page"/>
      </w:r>
      <w:r>
        <w:rPr>
          <w:rFonts w:ascii="Times" w:hAnsi="Times"/>
        </w:rPr>
        <w:t>Recommandation UIT-R</w:t>
      </w:r>
      <w:r>
        <w:t xml:space="preserve"> SF.1573 – Valeurs maximales admissibles de la puissance surfacique </w:t>
      </w:r>
      <w:r>
        <w:tab/>
        <w:t>produite à la surface de la Terre par des satellites géosta</w:t>
      </w:r>
      <w:r>
        <w:softHyphen/>
      </w:r>
      <w:r>
        <w:tab/>
        <w:t xml:space="preserve">tionnaires du service fixe par satellite fonctionnant dans la </w:t>
      </w:r>
      <w:r>
        <w:tab/>
        <w:t>bande 37,5-42,5 GHz afin de protéger le service fixe.</w:t>
      </w:r>
    </w:p>
    <w:p w:rsidR="002B489A" w:rsidRDefault="004F19C4">
      <w:pPr>
        <w:ind w:left="3600" w:hanging="3600"/>
      </w:pPr>
      <w:r>
        <w:rPr>
          <w:rFonts w:ascii="Times" w:hAnsi="Times"/>
        </w:rPr>
        <w:t>Recommandation UIT-R</w:t>
      </w:r>
      <w:r>
        <w:t> SM.1540</w:t>
      </w:r>
      <w:bookmarkStart w:id="4" w:name="Pre_title"/>
      <w:r>
        <w:t> – Rayonnements non désirés dans le domaine des émissions hors bande tombant dans les bandes adjacentes</w:t>
      </w:r>
      <w:bookmarkEnd w:id="4"/>
      <w:r>
        <w:t xml:space="preserve"> attribuées.</w:t>
      </w:r>
    </w:p>
    <w:p w:rsidR="002B489A" w:rsidRDefault="004F19C4">
      <w:pPr>
        <w:ind w:left="3600" w:hanging="3600"/>
      </w:pPr>
      <w:r>
        <w:rPr>
          <w:rFonts w:ascii="Times" w:hAnsi="Times"/>
        </w:rPr>
        <w:t>Recommandation UIT-R</w:t>
      </w:r>
      <w:r>
        <w:t> SM.1541 – Rayonnements non désirés dans le domaine des émissions hors bande.</w:t>
      </w:r>
    </w:p>
    <w:p w:rsidR="002B489A" w:rsidRDefault="004F19C4">
      <w:pPr>
        <w:pStyle w:val="Heading2"/>
      </w:pPr>
      <w:r>
        <w:t>2.4</w:t>
      </w:r>
      <w:r>
        <w:tab/>
        <w:t>Caractéristiques de l'émetteur</w:t>
      </w:r>
    </w:p>
    <w:p w:rsidR="002B489A" w:rsidRDefault="004F19C4">
      <w:r>
        <w:t xml:space="preserve">La plupart des systèmes du SFS dont le fonctionnement est proposé dans les bandes des 50/40 GHz prévoient de fournir de hauts débits de données allant de la visioconférence de qualité au moyen de très hauts débits de transmission de STM-1 (155 Mbit/s) au 10 </w:t>
      </w:r>
      <w:r>
        <w:rPr>
          <w:rFonts w:ascii="Symbol" w:hAnsi="Symbol"/>
        </w:rPr>
        <w:t></w:t>
      </w:r>
      <w:r>
        <w:t xml:space="preserve"> STM-4 (6,22 Gbit/s). Dans la mesure où les dégradations dues à la propagation sont très sévères dans cette gamme, des précautions de conception spéciales s'appliquent à cette bande de fréquences, qui ne s'appliquent pas nécessairement à de plus basses fréquences. Pour obtenir une bonne disponibilité de la liaison et de forts débits de données dans la bande des 40 GHz, la plupart des systèmes du SFS proposés fonctionneront avec des antennes satellite à gain élevé. L'ouverture de faisceau à 3 dB des antennes d'émission et de réception est dans la gamme de 0,3 à 0,65°. Aussi, à cause du poids du satellite et des contraintes de puissance, le nombre de faisceaux actifs à tout instant dans le champ de vision du satellite de tous les systèmes du SFS proposés, dont le fonctionnement est prévu dans ces bandes, sera très faible, typiquement moins de 5%. Dans les études concernées (Recommandation UIT</w:t>
      </w:r>
      <w:r>
        <w:noBreakHyphen/>
        <w:t>R S.1557), les systèmes du SFS et du SRS dont le fonctionnement est prévu dans la bande des 40 GHz sont supposés avoir des paramètres de système similaires.</w:t>
      </w:r>
    </w:p>
    <w:p w:rsidR="002B489A" w:rsidRDefault="004F19C4">
      <w:r>
        <w:t>Le Tableau 98 indique que la plupart des systèmes SFS proposés prévoient d'utiliser au moins 2 GHz de spectre dans le sens espace vers Terre, et la plupart des systèmes utiliseront un schéma de réutilisation des fréquences de quatre fois. Cela signifie que 500 MHz seront attribués à chaque faisceau. Cependant, certains des systèmes proposés prévoient d'utiliser 2 GHz de spectre pour chaque faisceau. La largeur de bande réelle pour chaque faisceau dépendra des applications et de la séparation entre les faisceaux.</w:t>
      </w:r>
    </w:p>
    <w:p w:rsidR="002B489A" w:rsidRDefault="004F19C4">
      <w:pPr>
        <w:pStyle w:val="TableNo"/>
      </w:pPr>
      <w:r>
        <w:t>TABLEAU  98</w:t>
      </w:r>
    </w:p>
    <w:p w:rsidR="002B489A" w:rsidRDefault="004F19C4">
      <w:pPr>
        <w:pStyle w:val="Tabletitle"/>
      </w:pPr>
      <w:r>
        <w:t>Caractéristiques typiques des systèmes de liaison descendante des systèmes du SFS OSG et non OSG dont le fonctionnement est prévu dans la bande 37,5</w:t>
      </w:r>
      <w:r>
        <w:noBreakHyphen/>
        <w:t>42,5 GHz</w:t>
      </w:r>
      <w:r>
        <w:br/>
        <w:t>(Recommandation UIT-R S.1557)</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1"/>
        <w:gridCol w:w="2849"/>
        <w:gridCol w:w="2849"/>
      </w:tblGrid>
      <w:tr w:rsidR="002B489A">
        <w:tc>
          <w:tcPr>
            <w:tcW w:w="3941" w:type="dxa"/>
          </w:tcPr>
          <w:p w:rsidR="002B489A" w:rsidRDefault="004F19C4">
            <w:pPr>
              <w:pStyle w:val="Tablehead"/>
              <w:framePr w:hSpace="181" w:wrap="notBeside" w:vAnchor="text" w:hAnchor="text" w:xAlign="center" w:y="1"/>
            </w:pPr>
            <w:r>
              <w:t>Paramètres</w:t>
            </w:r>
          </w:p>
        </w:tc>
        <w:tc>
          <w:tcPr>
            <w:tcW w:w="2849" w:type="dxa"/>
          </w:tcPr>
          <w:p w:rsidR="002B489A" w:rsidRDefault="004F19C4">
            <w:pPr>
              <w:pStyle w:val="Tablehead"/>
              <w:framePr w:hSpace="181" w:wrap="notBeside" w:vAnchor="text" w:hAnchor="text" w:xAlign="center" w:y="1"/>
            </w:pPr>
            <w:r>
              <w:t>SFS OSG</w:t>
            </w:r>
          </w:p>
        </w:tc>
        <w:tc>
          <w:tcPr>
            <w:tcW w:w="2849" w:type="dxa"/>
          </w:tcPr>
          <w:p w:rsidR="002B489A" w:rsidRDefault="004F19C4">
            <w:pPr>
              <w:pStyle w:val="Tablehead"/>
              <w:framePr w:hSpace="181" w:wrap="notBeside" w:vAnchor="text" w:hAnchor="text" w:xAlign="center" w:y="1"/>
            </w:pPr>
            <w:r>
              <w:t>SFS non OSG (MEO)</w:t>
            </w:r>
          </w:p>
        </w:tc>
      </w:tr>
      <w:tr w:rsidR="002B489A">
        <w:tc>
          <w:tcPr>
            <w:tcW w:w="3941" w:type="dxa"/>
          </w:tcPr>
          <w:p w:rsidR="002B489A" w:rsidRDefault="004F19C4">
            <w:pPr>
              <w:pStyle w:val="Tabletext"/>
              <w:framePr w:hSpace="181" w:wrap="notBeside" w:vAnchor="text" w:hAnchor="text" w:xAlign="center" w:y="1"/>
              <w:jc w:val="left"/>
            </w:pPr>
            <w:r>
              <w:t>Taille du faisceau de l'antenne satellite (degrés)</w:t>
            </w:r>
          </w:p>
        </w:tc>
        <w:tc>
          <w:tcPr>
            <w:tcW w:w="2849" w:type="dxa"/>
          </w:tcPr>
          <w:p w:rsidR="002B489A" w:rsidRDefault="004F19C4">
            <w:pPr>
              <w:pStyle w:val="Tabletext"/>
              <w:framePr w:hSpace="181" w:wrap="notBeside" w:vAnchor="text" w:hAnchor="text" w:xAlign="center" w:y="1"/>
              <w:jc w:val="left"/>
            </w:pPr>
            <w:r>
              <w:t>0,3 à 0,6</w:t>
            </w:r>
          </w:p>
        </w:tc>
        <w:tc>
          <w:tcPr>
            <w:tcW w:w="2849" w:type="dxa"/>
          </w:tcPr>
          <w:p w:rsidR="002B489A" w:rsidRDefault="004F19C4">
            <w:pPr>
              <w:pStyle w:val="Tabletext"/>
              <w:framePr w:hSpace="181" w:wrap="notBeside" w:vAnchor="text" w:hAnchor="text" w:xAlign="center" w:y="1"/>
              <w:jc w:val="left"/>
            </w:pPr>
            <w:r>
              <w:t>0,6 à 1,8 selon l'altitude du satellite</w:t>
            </w:r>
          </w:p>
        </w:tc>
      </w:tr>
      <w:tr w:rsidR="002B489A">
        <w:tc>
          <w:tcPr>
            <w:tcW w:w="3941" w:type="dxa"/>
          </w:tcPr>
          <w:p w:rsidR="002B489A" w:rsidRDefault="004F19C4">
            <w:pPr>
              <w:pStyle w:val="Tabletext"/>
              <w:framePr w:hSpace="181" w:wrap="notBeside" w:vAnchor="text" w:hAnchor="text" w:xAlign="center" w:y="1"/>
              <w:jc w:val="left"/>
            </w:pPr>
            <w:r>
              <w:t>Puissance typique en courant continu de la station spatiale (kW)</w:t>
            </w:r>
          </w:p>
        </w:tc>
        <w:tc>
          <w:tcPr>
            <w:tcW w:w="2849" w:type="dxa"/>
          </w:tcPr>
          <w:p w:rsidR="002B489A" w:rsidRDefault="004F19C4">
            <w:pPr>
              <w:pStyle w:val="Tabletext"/>
              <w:framePr w:hSpace="181" w:wrap="notBeside" w:vAnchor="text" w:hAnchor="text" w:xAlign="center" w:y="1"/>
              <w:jc w:val="left"/>
            </w:pPr>
            <w:r>
              <w:t>10 à 15</w:t>
            </w:r>
          </w:p>
        </w:tc>
        <w:tc>
          <w:tcPr>
            <w:tcW w:w="2849" w:type="dxa"/>
          </w:tcPr>
          <w:p w:rsidR="002B489A" w:rsidRDefault="004F19C4">
            <w:pPr>
              <w:pStyle w:val="Tabletext"/>
              <w:framePr w:hSpace="181" w:wrap="notBeside" w:vAnchor="text" w:hAnchor="text" w:xAlign="center" w:y="1"/>
              <w:jc w:val="left"/>
            </w:pPr>
            <w:r>
              <w:t>3 à 5</w:t>
            </w:r>
          </w:p>
        </w:tc>
      </w:tr>
      <w:tr w:rsidR="002B489A">
        <w:tc>
          <w:tcPr>
            <w:tcW w:w="3941" w:type="dxa"/>
          </w:tcPr>
          <w:p w:rsidR="002B489A" w:rsidRDefault="004F19C4">
            <w:pPr>
              <w:pStyle w:val="Tabletext"/>
              <w:framePr w:hSpace="181" w:wrap="notBeside" w:vAnchor="text" w:hAnchor="text" w:xAlign="center" w:y="1"/>
              <w:jc w:val="left"/>
            </w:pPr>
            <w:r>
              <w:t>Puissance RF typique d'émission du satellite dans l'antenne</w:t>
            </w:r>
          </w:p>
        </w:tc>
        <w:tc>
          <w:tcPr>
            <w:tcW w:w="2849" w:type="dxa"/>
          </w:tcPr>
          <w:p w:rsidR="002B489A" w:rsidRDefault="004F19C4">
            <w:pPr>
              <w:pStyle w:val="Tabletext"/>
              <w:framePr w:hSpace="181" w:wrap="notBeside" w:vAnchor="text" w:hAnchor="text" w:xAlign="center" w:y="1"/>
              <w:jc w:val="left"/>
            </w:pPr>
            <w:r>
              <w:t>2,5 kW à 3,5 kW</w:t>
            </w:r>
          </w:p>
        </w:tc>
        <w:tc>
          <w:tcPr>
            <w:tcW w:w="2849" w:type="dxa"/>
          </w:tcPr>
          <w:p w:rsidR="002B489A" w:rsidRDefault="004F19C4">
            <w:pPr>
              <w:pStyle w:val="Tabletext"/>
              <w:framePr w:hSpace="181" w:wrap="notBeside" w:vAnchor="text" w:hAnchor="text" w:xAlign="center" w:y="1"/>
              <w:jc w:val="left"/>
            </w:pPr>
            <w:r>
              <w:t>700 W à 1,1 kW</w:t>
            </w:r>
          </w:p>
        </w:tc>
      </w:tr>
      <w:tr w:rsidR="002B489A">
        <w:tc>
          <w:tcPr>
            <w:tcW w:w="3941" w:type="dxa"/>
          </w:tcPr>
          <w:p w:rsidR="002B489A" w:rsidRDefault="004F19C4">
            <w:pPr>
              <w:pStyle w:val="Tabletext"/>
              <w:framePr w:hSpace="181" w:wrap="notBeside" w:vAnchor="text" w:hAnchor="text" w:xAlign="center" w:y="1"/>
              <w:jc w:val="left"/>
            </w:pPr>
            <w:r>
              <w:t>Nombre de faisceaux</w:t>
            </w:r>
          </w:p>
        </w:tc>
        <w:tc>
          <w:tcPr>
            <w:tcW w:w="2849" w:type="dxa"/>
          </w:tcPr>
          <w:p w:rsidR="002B489A" w:rsidRDefault="004F19C4">
            <w:pPr>
              <w:pStyle w:val="Tabletext"/>
              <w:framePr w:hSpace="181" w:wrap="notBeside" w:vAnchor="text" w:hAnchor="text" w:xAlign="center" w:y="1"/>
              <w:jc w:val="left"/>
            </w:pPr>
            <w:r>
              <w:t>30 à 60</w:t>
            </w:r>
          </w:p>
        </w:tc>
        <w:tc>
          <w:tcPr>
            <w:tcW w:w="2849" w:type="dxa"/>
          </w:tcPr>
          <w:p w:rsidR="002B489A" w:rsidRDefault="004F19C4">
            <w:pPr>
              <w:pStyle w:val="Tabletext"/>
              <w:framePr w:hSpace="181" w:wrap="notBeside" w:vAnchor="text" w:hAnchor="text" w:xAlign="center" w:y="1"/>
              <w:jc w:val="left"/>
            </w:pPr>
            <w:r>
              <w:t>10 à 20</w:t>
            </w:r>
          </w:p>
        </w:tc>
      </w:tr>
      <w:tr w:rsidR="002B489A">
        <w:tc>
          <w:tcPr>
            <w:tcW w:w="3941" w:type="dxa"/>
          </w:tcPr>
          <w:p w:rsidR="002B489A" w:rsidRDefault="004F19C4">
            <w:pPr>
              <w:pStyle w:val="Tabletext"/>
              <w:framePr w:hSpace="181" w:wrap="notBeside" w:vAnchor="text" w:hAnchor="text" w:xAlign="center" w:y="1"/>
              <w:jc w:val="left"/>
            </w:pPr>
            <w:r>
              <w:t>Largeur de bande (GHz)</w:t>
            </w:r>
          </w:p>
        </w:tc>
        <w:tc>
          <w:tcPr>
            <w:tcW w:w="5698" w:type="dxa"/>
            <w:gridSpan w:val="2"/>
          </w:tcPr>
          <w:p w:rsidR="002B489A" w:rsidRDefault="004F19C4">
            <w:pPr>
              <w:pStyle w:val="Tabletext"/>
              <w:framePr w:hSpace="181" w:wrap="notBeside" w:vAnchor="text" w:hAnchor="text" w:xAlign="center" w:y="1"/>
              <w:jc w:val="left"/>
            </w:pPr>
            <w:r>
              <w:tab/>
              <w:t>2,0 à 5,0</w:t>
            </w:r>
          </w:p>
          <w:p w:rsidR="002B489A" w:rsidRDefault="004F19C4">
            <w:pPr>
              <w:pStyle w:val="Tabletext"/>
              <w:framePr w:hSpace="181" w:wrap="notBeside" w:vAnchor="text" w:hAnchor="text" w:xAlign="center" w:y="1"/>
              <w:jc w:val="left"/>
            </w:pPr>
            <w:r>
              <w:tab/>
              <w:t>Y compris HDSFS et passerelle/concentrateur</w:t>
            </w:r>
          </w:p>
        </w:tc>
      </w:tr>
    </w:tbl>
    <w:p w:rsidR="002B489A" w:rsidRDefault="002B489A">
      <w:pPr>
        <w:pStyle w:val="Tablefin"/>
        <w:spacing w:before="0"/>
        <w:rPr>
          <w:lang w:val="fr-FR"/>
        </w:rPr>
      </w:pPr>
    </w:p>
    <w:p w:rsidR="002B489A" w:rsidRDefault="004F19C4">
      <w:pPr>
        <w:pStyle w:val="TableNo"/>
      </w:pPr>
      <w:r>
        <w:br w:type="page"/>
        <w:t>TABLEAU  98 (</w:t>
      </w:r>
      <w:r>
        <w:rPr>
          <w:i/>
          <w:iCs/>
        </w:rPr>
        <w:t>fin</w:t>
      </w:r>
      <w: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1"/>
        <w:gridCol w:w="2849"/>
        <w:gridCol w:w="2849"/>
      </w:tblGrid>
      <w:tr w:rsidR="002B489A">
        <w:tc>
          <w:tcPr>
            <w:tcW w:w="3941" w:type="dxa"/>
          </w:tcPr>
          <w:p w:rsidR="002B489A" w:rsidRDefault="004F19C4">
            <w:pPr>
              <w:pStyle w:val="Tablehead"/>
              <w:framePr w:hSpace="181" w:wrap="notBeside" w:vAnchor="text" w:hAnchor="text" w:xAlign="center" w:y="1"/>
            </w:pPr>
            <w:r>
              <w:t>Paramètres</w:t>
            </w:r>
          </w:p>
        </w:tc>
        <w:tc>
          <w:tcPr>
            <w:tcW w:w="2849" w:type="dxa"/>
          </w:tcPr>
          <w:p w:rsidR="002B489A" w:rsidRDefault="004F19C4">
            <w:pPr>
              <w:pStyle w:val="Tablehead"/>
              <w:framePr w:hSpace="181" w:wrap="notBeside" w:vAnchor="text" w:hAnchor="text" w:xAlign="center" w:y="1"/>
            </w:pPr>
            <w:r>
              <w:t>SFS OSG</w:t>
            </w:r>
          </w:p>
        </w:tc>
        <w:tc>
          <w:tcPr>
            <w:tcW w:w="2849" w:type="dxa"/>
          </w:tcPr>
          <w:p w:rsidR="002B489A" w:rsidRDefault="004F19C4">
            <w:pPr>
              <w:pStyle w:val="Tablehead"/>
              <w:framePr w:hSpace="181" w:wrap="notBeside" w:vAnchor="text" w:hAnchor="text" w:xAlign="center" w:y="1"/>
            </w:pPr>
            <w:r>
              <w:t>SFS non OSG (MEO)</w:t>
            </w:r>
          </w:p>
        </w:tc>
      </w:tr>
      <w:tr w:rsidR="002B489A">
        <w:tc>
          <w:tcPr>
            <w:tcW w:w="3941" w:type="dxa"/>
          </w:tcPr>
          <w:p w:rsidR="002B489A" w:rsidRDefault="004F19C4">
            <w:pPr>
              <w:pStyle w:val="Tabletext"/>
              <w:framePr w:hSpace="181" w:wrap="notBeside" w:vAnchor="text" w:hAnchor="text" w:xAlign="center" w:y="1"/>
              <w:jc w:val="left"/>
            </w:pPr>
            <w:r>
              <w:t>Schéma de réutilisation de fréquence</w:t>
            </w:r>
          </w:p>
        </w:tc>
        <w:tc>
          <w:tcPr>
            <w:tcW w:w="5698" w:type="dxa"/>
            <w:gridSpan w:val="2"/>
          </w:tcPr>
          <w:p w:rsidR="002B489A" w:rsidRDefault="004F19C4">
            <w:pPr>
              <w:pStyle w:val="Tabletext"/>
              <w:framePr w:hSpace="181" w:wrap="notBeside" w:vAnchor="text" w:hAnchor="text" w:xAlign="center" w:y="1"/>
              <w:jc w:val="left"/>
            </w:pPr>
            <w:r>
              <w:tab/>
              <w:t>4 ou 7 fois</w:t>
            </w:r>
          </w:p>
          <w:p w:rsidR="002B489A" w:rsidRDefault="004F19C4">
            <w:pPr>
              <w:pStyle w:val="Tabletext"/>
              <w:framePr w:hSpace="181" w:wrap="notBeside" w:vAnchor="text" w:hAnchor="text" w:xAlign="center" w:y="1"/>
              <w:jc w:val="left"/>
            </w:pPr>
            <w:r>
              <w:tab/>
              <w:t xml:space="preserve">(la plupart des systèmes ont un schéma de réutilisation de </w:t>
            </w:r>
            <w:r>
              <w:tab/>
              <w:t>fréquence de 4 fois)</w:t>
            </w:r>
          </w:p>
        </w:tc>
      </w:tr>
      <w:tr w:rsidR="002B489A">
        <w:tc>
          <w:tcPr>
            <w:tcW w:w="3941" w:type="dxa"/>
          </w:tcPr>
          <w:p w:rsidR="002B489A" w:rsidRDefault="004F19C4">
            <w:pPr>
              <w:pStyle w:val="Tabletext"/>
              <w:framePr w:hSpace="181" w:wrap="notBeside" w:vAnchor="text" w:hAnchor="text" w:xAlign="center" w:y="1"/>
              <w:jc w:val="left"/>
            </w:pPr>
            <w:r>
              <w:t>Disponibilité de la liaison :</w:t>
            </w:r>
          </w:p>
          <w:p w:rsidR="002B489A" w:rsidRDefault="004F19C4">
            <w:pPr>
              <w:pStyle w:val="Tabletext"/>
              <w:framePr w:hSpace="181" w:wrap="notBeside" w:vAnchor="text" w:hAnchor="text" w:xAlign="center" w:y="1"/>
              <w:jc w:val="left"/>
            </w:pPr>
            <w:r>
              <w:t>–</w:t>
            </w:r>
            <w:r>
              <w:tab/>
              <w:t>Passerelle/concentrateur</w:t>
            </w:r>
          </w:p>
          <w:p w:rsidR="002B489A" w:rsidRDefault="004F19C4">
            <w:pPr>
              <w:pStyle w:val="Tabletext"/>
              <w:framePr w:hSpace="181" w:wrap="notBeside" w:vAnchor="text" w:hAnchor="text" w:xAlign="center" w:y="1"/>
              <w:jc w:val="left"/>
            </w:pPr>
            <w:r>
              <w:t>–</w:t>
            </w:r>
            <w:r>
              <w:tab/>
              <w:t>HDSFS (VSAT)</w:t>
            </w:r>
          </w:p>
        </w:tc>
        <w:tc>
          <w:tcPr>
            <w:tcW w:w="5698" w:type="dxa"/>
            <w:gridSpan w:val="2"/>
          </w:tcPr>
          <w:p w:rsidR="002B489A" w:rsidRDefault="002B489A">
            <w:pPr>
              <w:pStyle w:val="Tabletext"/>
              <w:framePr w:hSpace="181" w:wrap="notBeside" w:vAnchor="text" w:hAnchor="text" w:xAlign="center" w:y="1"/>
              <w:jc w:val="left"/>
            </w:pPr>
          </w:p>
          <w:p w:rsidR="002B489A" w:rsidRDefault="004F19C4">
            <w:pPr>
              <w:pStyle w:val="Tabletext"/>
              <w:framePr w:hSpace="181" w:wrap="notBeside" w:vAnchor="text" w:hAnchor="text" w:xAlign="center" w:y="1"/>
              <w:jc w:val="left"/>
            </w:pPr>
            <w:r>
              <w:t>–</w:t>
            </w:r>
            <w:r>
              <w:tab/>
            </w:r>
            <w:r>
              <w:rPr>
                <w:rFonts w:ascii="Symbol" w:hAnsi="Symbol"/>
              </w:rPr>
              <w:t></w:t>
            </w:r>
            <w:r>
              <w:t xml:space="preserve"> 99,9%</w:t>
            </w:r>
          </w:p>
          <w:p w:rsidR="002B489A" w:rsidRDefault="004F19C4">
            <w:pPr>
              <w:pStyle w:val="Tabletext"/>
              <w:framePr w:hSpace="181" w:wrap="notBeside" w:vAnchor="text" w:hAnchor="text" w:xAlign="center" w:y="1"/>
              <w:jc w:val="left"/>
            </w:pPr>
            <w:r>
              <w:t>–</w:t>
            </w:r>
            <w:r>
              <w:tab/>
              <w:t>99,5% à 99,7%</w:t>
            </w:r>
          </w:p>
        </w:tc>
      </w:tr>
      <w:tr w:rsidR="002B489A">
        <w:tc>
          <w:tcPr>
            <w:tcW w:w="3941" w:type="dxa"/>
          </w:tcPr>
          <w:p w:rsidR="002B489A" w:rsidRDefault="004F19C4">
            <w:pPr>
              <w:pStyle w:val="Tabletext"/>
              <w:framePr w:hSpace="181" w:wrap="notBeside" w:vAnchor="text" w:hAnchor="text" w:xAlign="center" w:y="1"/>
              <w:jc w:val="left"/>
            </w:pPr>
            <w:r>
              <w:t>Charge utile</w:t>
            </w:r>
          </w:p>
        </w:tc>
        <w:tc>
          <w:tcPr>
            <w:tcW w:w="5698" w:type="dxa"/>
            <w:gridSpan w:val="2"/>
          </w:tcPr>
          <w:p w:rsidR="002B489A" w:rsidRDefault="004F19C4">
            <w:pPr>
              <w:pStyle w:val="Tabletext"/>
              <w:framePr w:hSpace="181" w:wrap="notBeside" w:vAnchor="text" w:hAnchor="text" w:xAlign="center" w:y="1"/>
              <w:jc w:val="center"/>
            </w:pPr>
            <w:r>
              <w:t>Répéteur transparent ou traitement de charge utile</w:t>
            </w:r>
          </w:p>
        </w:tc>
      </w:tr>
      <w:tr w:rsidR="002B489A">
        <w:tc>
          <w:tcPr>
            <w:tcW w:w="3941" w:type="dxa"/>
          </w:tcPr>
          <w:p w:rsidR="002B489A" w:rsidRDefault="004F19C4">
            <w:pPr>
              <w:pStyle w:val="Tabletext"/>
              <w:framePr w:hSpace="181" w:wrap="notBeside" w:vAnchor="text" w:hAnchor="text" w:xAlign="center" w:y="1"/>
              <w:jc w:val="left"/>
            </w:pPr>
            <w:r>
              <w:t>Angle d'élévation de fonctionnement minimum (degrés)</w:t>
            </w:r>
          </w:p>
        </w:tc>
        <w:tc>
          <w:tcPr>
            <w:tcW w:w="2849" w:type="dxa"/>
          </w:tcPr>
          <w:p w:rsidR="002B489A" w:rsidRDefault="004F19C4">
            <w:pPr>
              <w:pStyle w:val="Tabletext"/>
              <w:framePr w:hSpace="181" w:wrap="notBeside" w:vAnchor="text" w:hAnchor="text" w:xAlign="center" w:y="1"/>
              <w:jc w:val="center"/>
            </w:pPr>
            <w:r>
              <w:rPr>
                <w:rFonts w:ascii="Symbol" w:hAnsi="Symbol"/>
              </w:rPr>
              <w:t></w:t>
            </w:r>
            <w:r>
              <w:t xml:space="preserve"> 15</w:t>
            </w:r>
          </w:p>
        </w:tc>
        <w:tc>
          <w:tcPr>
            <w:tcW w:w="2849" w:type="dxa"/>
          </w:tcPr>
          <w:p w:rsidR="002B489A" w:rsidRDefault="004F19C4">
            <w:pPr>
              <w:pStyle w:val="Tabletext"/>
              <w:framePr w:hSpace="181" w:wrap="notBeside" w:vAnchor="text" w:hAnchor="text" w:xAlign="center" w:y="1"/>
              <w:jc w:val="center"/>
            </w:pPr>
            <w:r>
              <w:rPr>
                <w:rFonts w:ascii="Symbol" w:hAnsi="Symbol"/>
              </w:rPr>
              <w:t></w:t>
            </w:r>
            <w:r>
              <w:t xml:space="preserve"> 20</w:t>
            </w:r>
          </w:p>
        </w:tc>
      </w:tr>
      <w:tr w:rsidR="002B489A">
        <w:tc>
          <w:tcPr>
            <w:tcW w:w="3941" w:type="dxa"/>
          </w:tcPr>
          <w:p w:rsidR="002B489A" w:rsidRDefault="004F19C4">
            <w:pPr>
              <w:pStyle w:val="Tabletext"/>
              <w:framePr w:hSpace="181" w:wrap="notBeside" w:vAnchor="text" w:hAnchor="text" w:xAlign="center" w:y="1"/>
              <w:jc w:val="left"/>
            </w:pPr>
            <w:r>
              <w:t xml:space="preserve">Modulation </w:t>
            </w:r>
          </w:p>
        </w:tc>
        <w:tc>
          <w:tcPr>
            <w:tcW w:w="5698" w:type="dxa"/>
            <w:gridSpan w:val="2"/>
          </w:tcPr>
          <w:p w:rsidR="002B489A" w:rsidRDefault="004F19C4">
            <w:pPr>
              <w:pStyle w:val="Tabletext"/>
              <w:framePr w:hSpace="181" w:wrap="notBeside" w:vAnchor="text" w:hAnchor="text" w:xAlign="center" w:y="1"/>
              <w:jc w:val="left"/>
            </w:pPr>
            <w:r>
              <w:tab/>
              <w:t>MDP-4/MDP-8/MAQ-16</w:t>
            </w:r>
          </w:p>
        </w:tc>
      </w:tr>
      <w:tr w:rsidR="002B489A">
        <w:tc>
          <w:tcPr>
            <w:tcW w:w="3941" w:type="dxa"/>
          </w:tcPr>
          <w:p w:rsidR="002B489A" w:rsidRDefault="004F19C4">
            <w:pPr>
              <w:pStyle w:val="Tabletext"/>
              <w:framePr w:hSpace="181" w:wrap="notBeside" w:vAnchor="text" w:hAnchor="text" w:xAlign="center" w:y="1"/>
              <w:jc w:val="left"/>
            </w:pPr>
            <w:r>
              <w:t>TEB</w:t>
            </w:r>
          </w:p>
        </w:tc>
        <w:tc>
          <w:tcPr>
            <w:tcW w:w="5698" w:type="dxa"/>
            <w:gridSpan w:val="2"/>
          </w:tcPr>
          <w:p w:rsidR="002B489A" w:rsidRDefault="004F19C4">
            <w:pPr>
              <w:pStyle w:val="Tabletext"/>
              <w:framePr w:hSpace="181" w:wrap="notBeside" w:vAnchor="text" w:hAnchor="text" w:xAlign="center" w:y="1"/>
              <w:jc w:val="left"/>
            </w:pPr>
            <w:r>
              <w:tab/>
              <w:t xml:space="preserve">1 </w:t>
            </w:r>
            <w:r>
              <w:rPr>
                <w:rFonts w:ascii="Symbol" w:hAnsi="Symbol"/>
              </w:rPr>
              <w:sym w:font="Symbol" w:char="F0B4"/>
            </w:r>
            <w:r>
              <w:t xml:space="preserve"> 10</w:t>
            </w:r>
            <w:r>
              <w:rPr>
                <w:vertAlign w:val="superscript"/>
              </w:rPr>
              <w:t>–8</w:t>
            </w:r>
            <w:r>
              <w:t xml:space="preserve"> à 1 </w:t>
            </w:r>
            <w:r>
              <w:rPr>
                <w:rFonts w:ascii="Symbol" w:hAnsi="Symbol"/>
              </w:rPr>
              <w:sym w:font="Symbol" w:char="F0B4"/>
            </w:r>
            <w:r>
              <w:t xml:space="preserve"> 10</w:t>
            </w:r>
            <w:r>
              <w:rPr>
                <w:vertAlign w:val="superscript"/>
              </w:rPr>
              <w:t>–10</w:t>
            </w:r>
          </w:p>
        </w:tc>
      </w:tr>
      <w:tr w:rsidR="002B489A">
        <w:tc>
          <w:tcPr>
            <w:tcW w:w="3941" w:type="dxa"/>
          </w:tcPr>
          <w:p w:rsidR="002B489A" w:rsidRDefault="004F19C4">
            <w:pPr>
              <w:pStyle w:val="Tabletext"/>
              <w:framePr w:hSpace="181" w:wrap="notBeside" w:vAnchor="text" w:hAnchor="text" w:xAlign="center" w:y="1"/>
              <w:jc w:val="left"/>
            </w:pPr>
            <w:r>
              <w:t>Codage</w:t>
            </w:r>
          </w:p>
        </w:tc>
        <w:tc>
          <w:tcPr>
            <w:tcW w:w="5698" w:type="dxa"/>
            <w:gridSpan w:val="2"/>
          </w:tcPr>
          <w:p w:rsidR="002B489A" w:rsidRDefault="004F19C4">
            <w:pPr>
              <w:pStyle w:val="Tabletext"/>
              <w:framePr w:hSpace="181" w:wrap="notBeside" w:vAnchor="text" w:hAnchor="text" w:xAlign="center" w:y="1"/>
              <w:jc w:val="left"/>
            </w:pPr>
            <w:r>
              <w:tab/>
              <w:t>Code concaténé</w:t>
            </w:r>
          </w:p>
        </w:tc>
      </w:tr>
      <w:tr w:rsidR="002B489A">
        <w:tc>
          <w:tcPr>
            <w:tcW w:w="3941" w:type="dxa"/>
          </w:tcPr>
          <w:p w:rsidR="002B489A" w:rsidRDefault="004F19C4">
            <w:pPr>
              <w:pStyle w:val="Tabletext"/>
              <w:framePr w:hSpace="181" w:wrap="notBeside" w:vAnchor="text" w:hAnchor="text" w:xAlign="center" w:y="1"/>
              <w:jc w:val="left"/>
            </w:pPr>
            <w:r>
              <w:rPr>
                <w:i/>
                <w:iCs/>
              </w:rPr>
              <w:t>E</w:t>
            </w:r>
            <w:r>
              <w:rPr>
                <w:i/>
                <w:iCs/>
                <w:vertAlign w:val="subscript"/>
              </w:rPr>
              <w:t>b</w:t>
            </w:r>
            <w:r>
              <w:t>/</w:t>
            </w:r>
            <w:r>
              <w:rPr>
                <w:i/>
                <w:iCs/>
              </w:rPr>
              <w:t>N</w:t>
            </w:r>
            <w:r>
              <w:rPr>
                <w:vertAlign w:val="subscript"/>
              </w:rPr>
              <w:t>0</w:t>
            </w:r>
            <w:r>
              <w:t xml:space="preserve"> requis (dB)</w:t>
            </w:r>
          </w:p>
        </w:tc>
        <w:tc>
          <w:tcPr>
            <w:tcW w:w="5698" w:type="dxa"/>
            <w:gridSpan w:val="2"/>
          </w:tcPr>
          <w:p w:rsidR="002B489A" w:rsidRDefault="004F19C4">
            <w:pPr>
              <w:pStyle w:val="Tabletext"/>
              <w:framePr w:hSpace="181" w:wrap="notBeside" w:vAnchor="text" w:hAnchor="text" w:xAlign="center" w:y="1"/>
              <w:jc w:val="left"/>
            </w:pPr>
            <w:r>
              <w:tab/>
              <w:t>6 à 12,5 selon la modulation et le codage</w:t>
            </w:r>
          </w:p>
        </w:tc>
      </w:tr>
      <w:tr w:rsidR="002B489A">
        <w:tc>
          <w:tcPr>
            <w:tcW w:w="3941" w:type="dxa"/>
          </w:tcPr>
          <w:p w:rsidR="002B489A" w:rsidRDefault="004F19C4">
            <w:pPr>
              <w:pStyle w:val="Tabletext"/>
              <w:framePr w:hSpace="181" w:wrap="notBeside" w:vAnchor="text" w:hAnchor="text" w:xAlign="center" w:y="1"/>
              <w:jc w:val="left"/>
            </w:pPr>
            <w:r>
              <w:t>Dégradation par brouillage (dB)</w:t>
            </w:r>
          </w:p>
        </w:tc>
        <w:tc>
          <w:tcPr>
            <w:tcW w:w="5698" w:type="dxa"/>
            <w:gridSpan w:val="2"/>
          </w:tcPr>
          <w:p w:rsidR="002B489A" w:rsidRDefault="004F19C4">
            <w:pPr>
              <w:pStyle w:val="Tabletext"/>
              <w:framePr w:hSpace="181" w:wrap="notBeside" w:vAnchor="text" w:hAnchor="text" w:xAlign="center" w:y="1"/>
              <w:jc w:val="left"/>
            </w:pPr>
            <w:r>
              <w:tab/>
              <w:t>2 à 4</w:t>
            </w:r>
          </w:p>
        </w:tc>
      </w:tr>
      <w:tr w:rsidR="002B489A">
        <w:tc>
          <w:tcPr>
            <w:tcW w:w="3941" w:type="dxa"/>
          </w:tcPr>
          <w:p w:rsidR="002B489A" w:rsidRDefault="004F19C4">
            <w:pPr>
              <w:pStyle w:val="Tabletext"/>
              <w:framePr w:hSpace="181" w:wrap="notBeside" w:vAnchor="text" w:hAnchor="text" w:xAlign="center" w:y="1"/>
              <w:jc w:val="left"/>
            </w:pPr>
            <w:r>
              <w:t>Marge du système (dB)</w:t>
            </w:r>
          </w:p>
        </w:tc>
        <w:tc>
          <w:tcPr>
            <w:tcW w:w="5698" w:type="dxa"/>
            <w:gridSpan w:val="2"/>
          </w:tcPr>
          <w:p w:rsidR="002B489A" w:rsidRDefault="004F19C4">
            <w:pPr>
              <w:pStyle w:val="Tabletext"/>
              <w:framePr w:hSpace="181" w:wrap="notBeside" w:vAnchor="text" w:hAnchor="text" w:xAlign="center" w:y="1"/>
              <w:jc w:val="left"/>
            </w:pPr>
            <w:r>
              <w:tab/>
              <w:t>1 à 3</w:t>
            </w:r>
          </w:p>
        </w:tc>
      </w:tr>
      <w:tr w:rsidR="002B489A">
        <w:tc>
          <w:tcPr>
            <w:tcW w:w="3941" w:type="dxa"/>
          </w:tcPr>
          <w:p w:rsidR="002B489A" w:rsidRDefault="004F19C4">
            <w:pPr>
              <w:pStyle w:val="Tabletext"/>
              <w:framePr w:hSpace="181" w:wrap="notBeside" w:vAnchor="text" w:hAnchor="text" w:xAlign="center" w:y="1"/>
              <w:jc w:val="left"/>
            </w:pPr>
            <w:r>
              <w:t>Taille de l'antenne du terminal terrestre:</w:t>
            </w:r>
          </w:p>
          <w:p w:rsidR="002B489A" w:rsidRDefault="004F19C4">
            <w:pPr>
              <w:pStyle w:val="Tabletext"/>
              <w:framePr w:hSpace="181" w:wrap="notBeside" w:vAnchor="text" w:hAnchor="text" w:xAlign="center" w:y="1"/>
              <w:jc w:val="left"/>
            </w:pPr>
            <w:r>
              <w:rPr>
                <w:bCs/>
              </w:rPr>
              <w:t>–</w:t>
            </w:r>
            <w:r>
              <w:rPr>
                <w:bCs/>
              </w:rPr>
              <w:tab/>
            </w:r>
            <w:r>
              <w:t>Passerelle/concentrateur (m)</w:t>
            </w:r>
          </w:p>
          <w:p w:rsidR="002B489A" w:rsidRDefault="004F19C4">
            <w:pPr>
              <w:pStyle w:val="Tabletext"/>
              <w:framePr w:hSpace="181" w:wrap="notBeside" w:vAnchor="text" w:hAnchor="text" w:xAlign="center" w:y="1"/>
              <w:jc w:val="left"/>
            </w:pPr>
            <w:r>
              <w:rPr>
                <w:bCs/>
              </w:rPr>
              <w:t>–</w:t>
            </w:r>
            <w:r>
              <w:rPr>
                <w:bCs/>
              </w:rPr>
              <w:tab/>
            </w:r>
            <w:r>
              <w:t>HDSFS (VSAT) (m)</w:t>
            </w:r>
          </w:p>
        </w:tc>
        <w:tc>
          <w:tcPr>
            <w:tcW w:w="2849" w:type="dxa"/>
          </w:tcPr>
          <w:p w:rsidR="002B489A" w:rsidRDefault="002B489A">
            <w:pPr>
              <w:pStyle w:val="Tabletext"/>
              <w:framePr w:hSpace="181" w:wrap="notBeside" w:vAnchor="text" w:hAnchor="text" w:xAlign="center" w:y="1"/>
              <w:jc w:val="left"/>
            </w:pPr>
          </w:p>
          <w:p w:rsidR="002B489A" w:rsidRDefault="004F19C4">
            <w:pPr>
              <w:pStyle w:val="Tabletext"/>
              <w:framePr w:hSpace="181" w:wrap="notBeside" w:vAnchor="text" w:hAnchor="text" w:xAlign="center" w:y="1"/>
              <w:jc w:val="left"/>
            </w:pPr>
            <w:r>
              <w:rPr>
                <w:bCs/>
              </w:rPr>
              <w:t>–</w:t>
            </w:r>
            <w:r>
              <w:rPr>
                <w:bCs/>
              </w:rPr>
              <w:tab/>
            </w:r>
            <w:r>
              <w:t>1,8 à 2,7</w:t>
            </w:r>
          </w:p>
          <w:p w:rsidR="002B489A" w:rsidRDefault="004F19C4">
            <w:pPr>
              <w:pStyle w:val="Tabletext"/>
              <w:framePr w:hSpace="181" w:wrap="notBeside" w:vAnchor="text" w:hAnchor="text" w:xAlign="center" w:y="1"/>
              <w:jc w:val="left"/>
            </w:pPr>
            <w:r>
              <w:rPr>
                <w:bCs/>
              </w:rPr>
              <w:t>–</w:t>
            </w:r>
            <w:r>
              <w:rPr>
                <w:bCs/>
              </w:rPr>
              <w:tab/>
            </w:r>
            <w:r>
              <w:t xml:space="preserve">0,3 à 0,6 </w:t>
            </w:r>
          </w:p>
        </w:tc>
        <w:tc>
          <w:tcPr>
            <w:tcW w:w="2849" w:type="dxa"/>
          </w:tcPr>
          <w:p w:rsidR="002B489A" w:rsidRDefault="002B489A">
            <w:pPr>
              <w:pStyle w:val="Tabletext"/>
              <w:framePr w:hSpace="181" w:wrap="notBeside" w:vAnchor="text" w:hAnchor="text" w:xAlign="center" w:y="1"/>
              <w:jc w:val="left"/>
            </w:pPr>
          </w:p>
          <w:p w:rsidR="002B489A" w:rsidRDefault="004F19C4">
            <w:pPr>
              <w:pStyle w:val="Tabletext"/>
              <w:framePr w:hSpace="181" w:wrap="notBeside" w:vAnchor="text" w:hAnchor="text" w:xAlign="center" w:y="1"/>
              <w:jc w:val="left"/>
            </w:pPr>
            <w:r>
              <w:rPr>
                <w:bCs/>
              </w:rPr>
              <w:t>–</w:t>
            </w:r>
            <w:r>
              <w:rPr>
                <w:bCs/>
              </w:rPr>
              <w:tab/>
            </w:r>
            <w:r>
              <w:t xml:space="preserve">1,5 à 2,7 </w:t>
            </w:r>
          </w:p>
          <w:p w:rsidR="002B489A" w:rsidRDefault="004F19C4">
            <w:pPr>
              <w:pStyle w:val="Tabletext"/>
              <w:framePr w:hSpace="181" w:wrap="notBeside" w:vAnchor="text" w:hAnchor="text" w:xAlign="center" w:y="1"/>
              <w:jc w:val="left"/>
            </w:pPr>
            <w:r>
              <w:rPr>
                <w:bCs/>
              </w:rPr>
              <w:t>–</w:t>
            </w:r>
            <w:r>
              <w:rPr>
                <w:bCs/>
              </w:rPr>
              <w:tab/>
            </w:r>
            <w:r>
              <w:t xml:space="preserve">0,3 à 0,6 </w:t>
            </w:r>
          </w:p>
        </w:tc>
      </w:tr>
      <w:tr w:rsidR="002B489A">
        <w:tc>
          <w:tcPr>
            <w:tcW w:w="3941" w:type="dxa"/>
            <w:tcBorders>
              <w:bottom w:val="single" w:sz="4" w:space="0" w:color="auto"/>
            </w:tcBorders>
          </w:tcPr>
          <w:p w:rsidR="002B489A" w:rsidRDefault="004F19C4">
            <w:pPr>
              <w:pStyle w:val="Tabletext"/>
              <w:framePr w:hSpace="181" w:wrap="notBeside" w:vAnchor="text" w:hAnchor="text" w:xAlign="center" w:y="1"/>
              <w:jc w:val="left"/>
            </w:pPr>
            <w:r>
              <w:t>Température du bruit du système du terminal terrestre (K)</w:t>
            </w:r>
          </w:p>
        </w:tc>
        <w:tc>
          <w:tcPr>
            <w:tcW w:w="5698" w:type="dxa"/>
            <w:gridSpan w:val="2"/>
            <w:tcBorders>
              <w:bottom w:val="single" w:sz="4" w:space="0" w:color="auto"/>
            </w:tcBorders>
          </w:tcPr>
          <w:p w:rsidR="002B489A" w:rsidRDefault="004F19C4">
            <w:pPr>
              <w:pStyle w:val="Tabletext"/>
              <w:framePr w:hSpace="181" w:wrap="notBeside" w:vAnchor="text" w:hAnchor="text" w:xAlign="center" w:y="1"/>
              <w:jc w:val="left"/>
            </w:pPr>
            <w:r>
              <w:tab/>
              <w:t xml:space="preserve">600 à 800 </w:t>
            </w:r>
          </w:p>
        </w:tc>
      </w:tr>
      <w:tr w:rsidR="002B489A">
        <w:trPr>
          <w:cantSplit/>
        </w:trPr>
        <w:tc>
          <w:tcPr>
            <w:tcW w:w="9639" w:type="dxa"/>
            <w:gridSpan w:val="3"/>
            <w:tcBorders>
              <w:left w:val="nil"/>
              <w:bottom w:val="nil"/>
              <w:right w:val="nil"/>
            </w:tcBorders>
          </w:tcPr>
          <w:p w:rsidR="002B489A" w:rsidRDefault="004F19C4">
            <w:pPr>
              <w:pStyle w:val="Tablelegend"/>
              <w:framePr w:hSpace="181" w:wrap="notBeside" w:vAnchor="text" w:hAnchor="text" w:xAlign="center" w:y="1"/>
            </w:pPr>
            <w:r>
              <w:t>HDSFS:</w:t>
            </w:r>
            <w:r>
              <w:tab/>
              <w:t>service fixe par satellite à haute densité</w:t>
            </w:r>
          </w:p>
          <w:p w:rsidR="002B489A" w:rsidRDefault="004F19C4">
            <w:pPr>
              <w:pStyle w:val="Tablelegend"/>
              <w:framePr w:hSpace="181" w:wrap="notBeside" w:vAnchor="text" w:hAnchor="text" w:xAlign="center" w:y="1"/>
            </w:pPr>
            <w:r>
              <w:t>VSAT:</w:t>
            </w:r>
            <w:r>
              <w:tab/>
            </w:r>
            <w:r>
              <w:tab/>
              <w:t>microstation terrienne.</w:t>
            </w:r>
          </w:p>
        </w:tc>
      </w:tr>
    </w:tbl>
    <w:p w:rsidR="002B489A" w:rsidRDefault="002B489A">
      <w:pPr>
        <w:pStyle w:val="Tablefin"/>
        <w:spacing w:before="0"/>
        <w:rPr>
          <w:lang w:val="fr-FR"/>
        </w:rPr>
      </w:pPr>
    </w:p>
    <w:p w:rsidR="002B489A" w:rsidRDefault="004F19C4">
      <w:pPr>
        <w:pStyle w:val="Heading2"/>
      </w:pPr>
      <w:r>
        <w:t>2.5</w:t>
      </w:r>
      <w:r>
        <w:tab/>
        <w:t>Caractéristiques de fonctionnement</w:t>
      </w:r>
    </w:p>
    <w:p w:rsidR="002B489A" w:rsidRDefault="004F19C4">
      <w:r>
        <w:t>Voir la Recommandation UIT-R S.1557 et le § 2.4.</w:t>
      </w:r>
    </w:p>
    <w:p w:rsidR="002B489A" w:rsidRDefault="004F19C4">
      <w:pPr>
        <w:pStyle w:val="Heading2"/>
      </w:pPr>
      <w:r>
        <w:t>2.6</w:t>
      </w:r>
      <w:r>
        <w:tab/>
        <w:t>Niveau d'émission dans la bande</w:t>
      </w:r>
    </w:p>
    <w:p w:rsidR="002B489A" w:rsidRDefault="004F19C4">
      <w:r>
        <w:t>Les systèmes du SFS et du SRS dont le fonctionnement est prévu dans la bande des 40 GHz ne pourront émettre aux limites de puissance surfacique données au Tableau 21-4 du RR que pendant un très petit pourcentage du temps. Les niveaux réels de puissance surfacique de la liaison descendante pendant des conditions d'air clair dépendront de la conception de chaque système à satellites et d'éléments comme la transparence du répéteur, le traitement de la charge utile à bord, de la modulation, du codage, etc. On a supposé dans l'étude que les systèmes du SFS fonctionneront habituellement au niveau de puissance surfacique de –117 dB(W/m</w:t>
      </w:r>
      <w:r>
        <w:rPr>
          <w:vertAlign w:val="superscript"/>
        </w:rPr>
        <w:t>2</w:t>
      </w:r>
      <w:r>
        <w:t>) pour des angles d'élévation allant de 25</w:t>
      </w:r>
      <w:r>
        <w:sym w:font="Symbol" w:char="F0B0"/>
      </w:r>
      <w:r>
        <w:t xml:space="preserve"> à 90</w:t>
      </w:r>
      <w:r>
        <w:sym w:font="Symbol" w:char="F0B0"/>
      </w:r>
      <w:r>
        <w:t xml:space="preserve"> dans des conditions d'air clair.</w:t>
      </w:r>
    </w:p>
    <w:p w:rsidR="002B489A" w:rsidRDefault="004F19C4">
      <w:r>
        <w:t>La valeur de –117 dB(W/(m</w:t>
      </w:r>
      <w:r>
        <w:rPr>
          <w:vertAlign w:val="superscript"/>
        </w:rPr>
        <w:t>2</w:t>
      </w:r>
      <w:r>
        <w:t xml:space="preserve"> · MHz)) représente un niveau d'air clair qui est de 12 dB au-dessous du niveau de puissance surfacique de crête spécifié au Tableau 21-4 du RR. Du fait des limitations de puissance de la station spatiale, la pleine puissance n'est atteinte que pour de très courtes périodes de temps sur des faisceaux où les effets de la propagation doivent être surmontés. De plus, </w:t>
      </w:r>
      <w:r>
        <w:br w:type="page"/>
        <w:t>le niveau d'air clair fournit une protection à certains systèmes du service fixe sensibles déployés dans la bande. On trouvera des détails complémentaires dans les Recommandations UIT-R S.1557 et UIT-R SF.1572.</w:t>
      </w:r>
    </w:p>
    <w:p w:rsidR="002B489A" w:rsidRDefault="004F19C4">
      <w:pPr>
        <w:pStyle w:val="Heading1"/>
      </w:pPr>
      <w:r>
        <w:t>3</w:t>
      </w:r>
      <w:r>
        <w:tab/>
        <w:t>Seuil de compatibilité</w:t>
      </w:r>
    </w:p>
    <w:p w:rsidR="002B489A" w:rsidRDefault="004F19C4">
      <w:r>
        <w:t>Voir le § 1.3.</w:t>
      </w:r>
    </w:p>
    <w:p w:rsidR="002B489A" w:rsidRDefault="004F19C4">
      <w:pPr>
        <w:pStyle w:val="Heading1"/>
      </w:pPr>
      <w:r>
        <w:t>4</w:t>
      </w:r>
      <w:r>
        <w:tab/>
        <w:t>Evaluation du brouillage</w:t>
      </w:r>
    </w:p>
    <w:p w:rsidR="002B489A" w:rsidRDefault="004F19C4">
      <w:pPr>
        <w:pStyle w:val="Heading2"/>
        <w:ind w:left="0" w:firstLine="0"/>
      </w:pPr>
      <w:r>
        <w:t>4.1</w:t>
      </w:r>
      <w:r>
        <w:tab/>
        <w:t>Méthode d'évaluation du niveau de brouillage</w:t>
      </w:r>
    </w:p>
    <w:p w:rsidR="002B489A" w:rsidRDefault="004F19C4">
      <w:r>
        <w:t>L'exemple présenté à la Fig. 62 est un exemple de cas le plus défavorable fondé sur une largeur de bande nécessaire de 500 MHz et une décroissance spectrale au niveau maximum identifié dans la Recommandation UIT-R SM.1541. Cet exemple part lui aussi de l'hypothèse que la largeur de bande nécessaire s'étend jusqu'aux bords de l'attribution du SFS.</w:t>
      </w:r>
    </w:p>
    <w:p w:rsidR="002B489A" w:rsidRDefault="004F19C4">
      <w:pPr>
        <w:pStyle w:val="FigureNo"/>
      </w:pPr>
      <w:r>
        <w:object w:dxaOrig="5780" w:dyaOrig="4114">
          <v:shape id="_x0000_i1065" type="#_x0000_t75" style="width:288.5pt;height:205.5pt" o:ole="">
            <v:imagedata r:id="rId121" o:title=""/>
          </v:shape>
          <o:OLEObject Type="Embed" ProgID="Designer.Drawing.7" ShapeID="_x0000_i1065" DrawAspect="Content" ObjectID="_1649163311" r:id="rId122"/>
        </w:object>
      </w:r>
    </w:p>
    <w:p w:rsidR="002B489A" w:rsidRDefault="004F19C4">
      <w:pPr>
        <w:pStyle w:val="Heading2"/>
      </w:pPr>
      <w:r>
        <w:t>4.2</w:t>
      </w:r>
      <w:r>
        <w:tab/>
        <w:t>Calcul du niveau de brouillage</w:t>
      </w:r>
    </w:p>
    <w:p w:rsidR="002B489A" w:rsidRDefault="004F19C4">
      <w:r>
        <w:t>La courbe de performance spectrale de la Fig. 62 a été intégrée numériquement afin d'en calculer la puissance cumulée des rayonnements non désirés et évaluer l'impact dans la bande d'observation du continuum de 1 GHz.</w:t>
      </w:r>
    </w:p>
    <w:p w:rsidR="002B489A" w:rsidRDefault="004F19C4">
      <w:r>
        <w:t>Les valeurs ont été prises directement sur la courbe (le point à 3 dB a été retiré afin de refléter le changement de largeur de bande de 1 MHz à 500 kHz) de façon à vérifier la conformité au seuil de raies spectrales à antenne unique et au seuil VLBI.</w:t>
      </w:r>
    </w:p>
    <w:p w:rsidR="002B489A" w:rsidRDefault="004F19C4">
      <w:r>
        <w:t>Le calcul suppose un faisceau au point du sous-satellite. Il en résulte que les valeurs réelles de puissance surfacique seraient inférieures pour les radiotélescopes dont l'angle d'élévation au satellite est inférieur à 90°.</w:t>
      </w:r>
    </w:p>
    <w:p w:rsidR="002B489A" w:rsidRDefault="004F19C4">
      <w:r>
        <w:t>Le calcul ne tient pas compte de l'impact de l'affaiblissement atmosphérique</w:t>
      </w:r>
      <w:r>
        <w:rPr>
          <w:rStyle w:val="FootnoteReference"/>
        </w:rPr>
        <w:footnoteReference w:customMarkFollows="1" w:id="7"/>
        <w:t>4</w:t>
      </w:r>
      <w:r>
        <w:t>.</w:t>
      </w:r>
    </w:p>
    <w:p w:rsidR="002B489A" w:rsidRDefault="002B489A">
      <w:pPr>
        <w:spacing w:before="0"/>
      </w:pPr>
    </w:p>
    <w:p w:rsidR="002B489A" w:rsidRDefault="004F19C4">
      <w:pPr>
        <w:pStyle w:val="Heading2"/>
      </w:pPr>
      <w:r>
        <w:br w:type="page"/>
        <w:t>4.3</w:t>
      </w:r>
      <w:r>
        <w:tab/>
        <w:t>Valeurs obtenues</w:t>
      </w:r>
    </w:p>
    <w:p w:rsidR="002B489A" w:rsidRDefault="004F19C4">
      <w:r>
        <w:t>Sur la base de cette courbe, les niveaux de cas le plus défavorable suivants sont obtenus dans la bande 42,5 à 43,5 GHz:</w:t>
      </w:r>
    </w:p>
    <w:p w:rsidR="002B489A" w:rsidRDefault="004F19C4">
      <w:pPr>
        <w:pStyle w:val="enumlev1"/>
      </w:pPr>
      <w:r>
        <w:t>–</w:t>
      </w:r>
      <w:r>
        <w:tab/>
        <w:t>–97 dB(W/(m</w:t>
      </w:r>
      <w:r>
        <w:rPr>
          <w:vertAlign w:val="superscript"/>
        </w:rPr>
        <w:t>2</w:t>
      </w:r>
      <w:r>
        <w:t xml:space="preserve"> · GHz)), ce qui est à 37 dB au-dessus du seuil du continuum pour la bande 42,5</w:t>
      </w:r>
      <w:r>
        <w:noBreakHyphen/>
        <w:t>43,5 GHz.</w:t>
      </w:r>
    </w:p>
    <w:p w:rsidR="002B489A" w:rsidRDefault="004F19C4">
      <w:pPr>
        <w:pStyle w:val="enumlev1"/>
      </w:pPr>
      <w:r>
        <w:t>–</w:t>
      </w:r>
      <w:r>
        <w:tab/>
        <w:t>–120 dB(W/(m</w:t>
      </w:r>
      <w:r>
        <w:rPr>
          <w:vertAlign w:val="superscript"/>
        </w:rPr>
        <w:t>2</w:t>
      </w:r>
      <w:r>
        <w:t xml:space="preserve"> · 500 kHz)) à 42,5 GHz, ce qui est à 36 dB au-dessus du seuil de raies spectrales.</w:t>
      </w:r>
    </w:p>
    <w:p w:rsidR="002B489A" w:rsidRDefault="004F19C4">
      <w:r>
        <w:t>Il en résulte que la conformité aux critères de la radioastronomie nécessiterait l'application d'une ou plusieurs méthodes de réduction des brouillages.</w:t>
      </w:r>
    </w:p>
    <w:p w:rsidR="002B489A" w:rsidRDefault="004F19C4">
      <w:pPr>
        <w:pStyle w:val="Heading1"/>
        <w:tabs>
          <w:tab w:val="clear" w:pos="794"/>
          <w:tab w:val="clear" w:pos="1191"/>
          <w:tab w:val="left" w:pos="851"/>
        </w:tabs>
        <w:ind w:left="0" w:firstLine="0"/>
      </w:pPr>
      <w:r>
        <w:t>5</w:t>
      </w:r>
      <w:r>
        <w:tab/>
        <w:t>Techniques de réduction des brouillages</w:t>
      </w:r>
    </w:p>
    <w:p w:rsidR="002B489A" w:rsidRDefault="004F19C4">
      <w:pPr>
        <w:pStyle w:val="Heading2"/>
      </w:pPr>
      <w:r>
        <w:t>5.1</w:t>
      </w:r>
      <w:r>
        <w:tab/>
        <w:t>SRA</w:t>
      </w:r>
    </w:p>
    <w:p w:rsidR="002B489A" w:rsidRDefault="004F19C4">
      <w:pPr>
        <w:pStyle w:val="enumlev1"/>
        <w:ind w:left="0" w:firstLine="0"/>
      </w:pPr>
      <w:r>
        <w:t>Les méthodes de réduction des brouillages possibles pour le SRA sont soit:</w:t>
      </w:r>
    </w:p>
    <w:p w:rsidR="002B489A" w:rsidRDefault="004F19C4">
      <w:pPr>
        <w:pStyle w:val="enumlev1"/>
      </w:pPr>
      <w:r>
        <w:t>–</w:t>
      </w:r>
      <w:r>
        <w:tab/>
        <w:t>une bande de garde; soit</w:t>
      </w:r>
    </w:p>
    <w:p w:rsidR="002B489A" w:rsidRDefault="004F19C4">
      <w:pPr>
        <w:pStyle w:val="enumlev1"/>
      </w:pPr>
      <w:r>
        <w:t>–</w:t>
      </w:r>
      <w:r>
        <w:tab/>
        <w:t>d'autres méthodes de réduction des brouillages comme indiqué dans la Recommandation UIT-R SM.1542.</w:t>
      </w:r>
    </w:p>
    <w:p w:rsidR="002B489A" w:rsidRDefault="004F19C4">
      <w:pPr>
        <w:pStyle w:val="Heading2"/>
      </w:pPr>
      <w:r>
        <w:t>5.2</w:t>
      </w:r>
      <w:r>
        <w:tab/>
        <w:t>SFS et SRS</w:t>
      </w:r>
    </w:p>
    <w:p w:rsidR="002B489A" w:rsidRDefault="004F19C4">
      <w:pPr>
        <w:pStyle w:val="Heading3"/>
      </w:pPr>
      <w:r>
        <w:t>5.2.1</w:t>
      </w:r>
      <w:r>
        <w:tab/>
        <w:t>Filtrage au satellite</w:t>
      </w:r>
    </w:p>
    <w:p w:rsidR="002B489A" w:rsidRDefault="004F19C4">
      <w:pPr>
        <w:pStyle w:val="Headingi"/>
      </w:pPr>
      <w:r>
        <w:t>Cas 1: Station spatiale multifaisceaux</w:t>
      </w:r>
    </w:p>
    <w:p w:rsidR="002B489A" w:rsidRDefault="004F19C4">
      <w:pPr>
        <w:pStyle w:val="enumlev1"/>
        <w:ind w:left="0" w:firstLine="0"/>
      </w:pPr>
      <w:r>
        <w:t>Pour les porteuses à large bande, la courbe de la Fig. 63 donne en exemple la performance d'un concept typique de filtre dans cette bande avec un filtre à 7 pôles.</w:t>
      </w:r>
    </w:p>
    <w:p w:rsidR="002B489A" w:rsidRDefault="004F19C4">
      <w:pPr>
        <w:pStyle w:val="FigureNo"/>
      </w:pPr>
      <w:r>
        <w:object w:dxaOrig="9634" w:dyaOrig="4167">
          <v:shape id="_x0000_i1066" type="#_x0000_t75" style="width:481.5pt;height:208.5pt" o:ole="">
            <v:imagedata r:id="rId123" o:title=""/>
          </v:shape>
          <o:OLEObject Type="Embed" ProgID="Designer.Drawing.7" ShapeID="_x0000_i1066" DrawAspect="Content" ObjectID="_1649163312" r:id="rId124"/>
        </w:object>
      </w:r>
    </w:p>
    <w:p w:rsidR="002B489A" w:rsidRDefault="002B489A"/>
    <w:p w:rsidR="002B489A" w:rsidRDefault="004F19C4">
      <w:pPr>
        <w:pStyle w:val="Headingi"/>
      </w:pPr>
      <w:r>
        <w:t>Cas 2: Station spatiale en réseau à commande de phase</w:t>
      </w:r>
    </w:p>
    <w:p w:rsidR="002B489A" w:rsidRDefault="004F19C4">
      <w:r>
        <w:t>Pour les porteuses large bande sur un réseau à commande de phase, la Fig. 64 donne la performance d'un concept typique de filtre dans cette bande avec un filtre à 15 pôles.</w:t>
      </w:r>
    </w:p>
    <w:p w:rsidR="002B489A" w:rsidRDefault="004F19C4">
      <w:pPr>
        <w:pStyle w:val="FigureNo"/>
      </w:pPr>
      <w:r>
        <w:br w:type="page"/>
      </w:r>
      <w:r>
        <w:object w:dxaOrig="9620" w:dyaOrig="4201">
          <v:shape id="_x0000_i1067" type="#_x0000_t75" style="width:480.5pt;height:210pt" o:ole="">
            <v:imagedata r:id="rId125" o:title=""/>
          </v:shape>
          <o:OLEObject Type="Embed" ProgID="Designer.Drawing.7" ShapeID="_x0000_i1067" DrawAspect="Content" ObjectID="_1649163313" r:id="rId126"/>
        </w:object>
      </w:r>
    </w:p>
    <w:p w:rsidR="002B489A" w:rsidRDefault="004F19C4">
      <w:pPr>
        <w:pStyle w:val="Heading3"/>
      </w:pPr>
      <w:r>
        <w:t>5.2.2</w:t>
      </w:r>
      <w:r>
        <w:tab/>
        <w:t>Isolement géographique</w:t>
      </w:r>
    </w:p>
    <w:p w:rsidR="002B489A" w:rsidRDefault="004F19C4">
      <w:r>
        <w:t>Si des systèmes du SFS et du SRS fonctionnant dans la bande 40,5</w:t>
      </w:r>
      <w:r>
        <w:noBreakHyphen/>
        <w:t>42,5 GHz ne réussissent pas à mettre en oeuvre les filtres d'émission supplémentaires nécessaires pour satisfaire aux critères de brouillages gênants des stations du SRA fonctionnant dans la bande 42,5</w:t>
      </w:r>
      <w:r>
        <w:noBreakHyphen/>
        <w:t>43,5 GHz, l'isolement géographique devrait être considéré comme une technique de réduction des brouillages du brouillage.</w:t>
      </w:r>
    </w:p>
    <w:p w:rsidR="002B489A" w:rsidRDefault="004F19C4">
      <w:r>
        <w:t>Sur la base du Tableau 99, la taille du faisceau d'antenne d'émission du satellite est dans une gamme de 0,3° à 0,6°. La partie de gauche de la Fig. 65 montre les contours de gain pour une antenne de station spatiale OSG qui aurait un gain de crête de 53 dBi et une ouverture de faisceau à 3 dB de 0,4°. L'avantage de l'isolement géographique par rapport au gain de crête peut être trouvé pour toute distance en utilisant la courbe de droite de la Fig. 65.</w:t>
      </w:r>
    </w:p>
    <w:p w:rsidR="002B489A" w:rsidRDefault="0006728D">
      <w:pPr>
        <w:pStyle w:val="FigureNo"/>
      </w:pPr>
      <w:r>
        <w:rPr>
          <w:noProof/>
          <w:lang w:val="fr-CH" w:eastAsia="fr-CH"/>
        </w:rPr>
        <w:drawing>
          <wp:inline distT="0" distB="0" distL="0" distR="0">
            <wp:extent cx="6000750" cy="32480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000750" cy="3248025"/>
                    </a:xfrm>
                    <a:prstGeom prst="rect">
                      <a:avLst/>
                    </a:prstGeom>
                    <a:noFill/>
                    <a:ln>
                      <a:noFill/>
                    </a:ln>
                  </pic:spPr>
                </pic:pic>
              </a:graphicData>
            </a:graphic>
          </wp:inline>
        </w:drawing>
      </w:r>
    </w:p>
    <w:p w:rsidR="002B489A" w:rsidRDefault="004F19C4">
      <w:pPr>
        <w:pStyle w:val="Heading3"/>
      </w:pPr>
      <w:r>
        <w:br w:type="page"/>
        <w:t>5.2.3</w:t>
      </w:r>
      <w:r>
        <w:tab/>
        <w:t>Forme spectrale du signal SFS/SRS</w:t>
      </w:r>
    </w:p>
    <w:p w:rsidR="002B489A" w:rsidRDefault="004F19C4">
      <w:r>
        <w:t>La forme d'onde utilisée par le SFS/SRS pour la transmission d'informations pourrait être choisie de façon à minimiser la décroissance spectrale, et donc à limiter la quantité de rayonnements non désirés émise. De même, il serait possible de concevoir ou faire fonctionner l'amplificateur à haute puissance de telle sorte que soit minimisé le niveau de rayonnements non désirés provenant du signal SFS/SRS.</w:t>
      </w:r>
    </w:p>
    <w:p w:rsidR="002B489A" w:rsidRDefault="004F19C4">
      <w:pPr>
        <w:pStyle w:val="Heading3"/>
      </w:pPr>
      <w:r>
        <w:t>5.2.4</w:t>
      </w:r>
      <w:r>
        <w:tab/>
        <w:t>Bande de garde</w:t>
      </w:r>
    </w:p>
    <w:p w:rsidR="002B489A" w:rsidRDefault="004F19C4">
      <w:r>
        <w:t>Une bande de garde entre les deux services permettrait une diminution du signal et du filtre.</w:t>
      </w:r>
    </w:p>
    <w:p w:rsidR="002B489A" w:rsidRDefault="004F19C4">
      <w:pPr>
        <w:pStyle w:val="Heading3"/>
      </w:pPr>
      <w:r>
        <w:t>5.2.5</w:t>
      </w:r>
      <w:r>
        <w:tab/>
        <w:t>Méthodes de réduction des brouillages supplémentaires</w:t>
      </w:r>
    </w:p>
    <w:p w:rsidR="002B489A" w:rsidRDefault="004F19C4">
      <w:r>
        <w:t>Des méthodes de réduction des brouillages supplémentaires figurent dans la Recommandation UIT</w:t>
      </w:r>
      <w:r>
        <w:noBreakHyphen/>
        <w:t>R SM.1542.</w:t>
      </w:r>
    </w:p>
    <w:p w:rsidR="002B489A" w:rsidRDefault="004F19C4">
      <w:pPr>
        <w:pStyle w:val="Heading2"/>
      </w:pPr>
      <w:r>
        <w:t>5.3</w:t>
      </w:r>
      <w:r>
        <w:tab/>
        <w:t>Impact potentiel</w:t>
      </w:r>
    </w:p>
    <w:p w:rsidR="002B489A" w:rsidRDefault="004F19C4">
      <w:pPr>
        <w:pStyle w:val="Heading3"/>
      </w:pPr>
      <w:r>
        <w:t>5.3.1</w:t>
      </w:r>
      <w:r>
        <w:tab/>
        <w:t>SRA</w:t>
      </w:r>
    </w:p>
    <w:p w:rsidR="002B489A" w:rsidRDefault="004F19C4">
      <w:r>
        <w:rPr>
          <w:i/>
        </w:rPr>
        <w:t>Bande de garde à la bordure de la bande du SRA</w:t>
      </w:r>
      <w:r>
        <w:t xml:space="preserve"> – Dans le cas de mesures large bande du continuum, l'utilisation d'une bande de garde au sein de la bande de la radioastronomie conduirait effectivement à une perte de données, dans la mesure où le temps d'intégration devrait être augmenté pour compenser la perte de largeur de bande. Cette méthode est limitée en pratique comme décrit au § 1.3.</w:t>
      </w:r>
    </w:p>
    <w:p w:rsidR="002B489A" w:rsidRDefault="004F19C4">
      <w:r>
        <w:t>La bande inclut aussi les raies spectrales associées à la molécule de SiO aux fréquences de repos de 42,519, 42,821, 43,122 et 43,424 GHz qui sont parmi les plus importantes raies de l'astrophysique, mais qui ne figurent pas dans la liste de la Recommandation UIT-R RA.314. Et donc, une bande de garde dans la bande de la radioastronomie aurait une portée limitée pour qu'elle n'ait pas d'impact sur la capacité d'observer une ou plusieurs raies spectrales du SiO.</w:t>
      </w:r>
    </w:p>
    <w:p w:rsidR="002B489A" w:rsidRDefault="004F19C4">
      <w:pPr>
        <w:pStyle w:val="Heading3"/>
      </w:pPr>
      <w:r>
        <w:t>5.3.2</w:t>
      </w:r>
      <w:r>
        <w:tab/>
        <w:t>SFS et SRS</w:t>
      </w:r>
    </w:p>
    <w:p w:rsidR="002B489A" w:rsidRDefault="004F19C4">
      <w:pPr>
        <w:pStyle w:val="Heading4"/>
      </w:pPr>
      <w:r>
        <w:t>5.3.2.1</w:t>
      </w:r>
      <w:r>
        <w:tab/>
        <w:t>Filtrage au satellite</w:t>
      </w:r>
    </w:p>
    <w:p w:rsidR="002B489A" w:rsidRDefault="004F19C4">
      <w:r>
        <w:t>Dans l'exemple multifaisceaux ci-dessus, sur la base d'un filtre d'émission à 7 pôles, l'affaiblissement d'insertion est de 2,0 dB, ce qui correspond à 37% de dégradation de la capacité du système. Un tel filtrage augmenterait le poids de la station spatiale de 120 gr ou plus par faisceau, selon la puissance d'émission.</w:t>
      </w:r>
    </w:p>
    <w:p w:rsidR="002B489A" w:rsidRDefault="004F19C4">
      <w:r>
        <w:t>Dans l'exemple du réseau à commande de phase, sur la base d'un filtre d'émission à 15 pôles, l'affaiblissement d'insertion est de 2,0 dB, ce qui correspond à 37% de dégradation de la capacité du système. Un tel filtrage augmenterait la masse de la station spatiale de 160 gr ou plus par élément, selon la puissance d'émission. Pour une station spatiale avec une antenne à réseau à commande de phase de 2</w:t>
      </w:r>
      <w:r>
        <w:rPr>
          <w:rFonts w:ascii="Tms Rmn" w:hAnsi="Tms Rmn"/>
          <w:sz w:val="12"/>
        </w:rPr>
        <w:t> </w:t>
      </w:r>
      <w:r>
        <w:t>818 éléments, un poids supplémentaire de 450 kg serait ajouté à la masse de la charge utile, avec ses conséquences pénalisantes en matière de coût et de performance.</w:t>
      </w:r>
    </w:p>
    <w:p w:rsidR="002B489A" w:rsidRDefault="004F19C4">
      <w:r>
        <w:t>De plus, la plupart des systèmes fonctionnant avec des antennes à réseau à commande de phase préfèrent utiliser des amplificateurs de puissance à semi-conducteur. Si des filtres d'émission supplémentaires sont requis, et en fonction de la puissance réelle d'émission, du fait d'un affaiblissement supplémentaire, des amplificateurs ATOP peuvent être nécessaires. Il est difficile de mettre en œuvre des antennes à réseau à commande de phase avec des ATOP.</w:t>
      </w:r>
    </w:p>
    <w:p w:rsidR="002B489A" w:rsidRDefault="004F19C4">
      <w:pPr>
        <w:pStyle w:val="Heading4"/>
      </w:pPr>
      <w:r>
        <w:br w:type="page"/>
        <w:t>5.3.2.2</w:t>
      </w:r>
      <w:r>
        <w:tab/>
        <w:t>Isolement géographique</w:t>
      </w:r>
    </w:p>
    <w:p w:rsidR="002B489A" w:rsidRDefault="004F19C4">
      <w:r>
        <w:t>Cette méthode de réduction des brouillages n'est utilisable que si le nombre de radiotélescopes dans la zone de service du satellite est petite et que leurs localisations sont prises en compte lors de la conception du sous-système d'antennes de stations spatiales. Aussi cette méthode de réduction des brouillages limite la capacité des stations spatiales à être relocalisées ou à réorienter les faisceaux sur d'autres portions du champ de vision du satellite.</w:t>
      </w:r>
    </w:p>
    <w:p w:rsidR="002B489A" w:rsidRDefault="004F19C4">
      <w:pPr>
        <w:pStyle w:val="Heading4"/>
      </w:pPr>
      <w:r>
        <w:t>5.3.2.3</w:t>
      </w:r>
      <w:r>
        <w:tab/>
        <w:t>Forme spectrale du signal SFS/SRS</w:t>
      </w:r>
    </w:p>
    <w:p w:rsidR="002B489A" w:rsidRDefault="004F19C4">
      <w:pPr>
        <w:tabs>
          <w:tab w:val="clear" w:pos="794"/>
        </w:tabs>
      </w:pPr>
      <w:r>
        <w:t>La linéarité de l'amplificateur haute puissance et le point de la gamme dynamique auquel fonctionne l'amplificateur haute puissance déterminent la forme spectrale des émissions de la station spatiale. On peut réaliser une amélioration des rayonnements non désirés à partir de l'amplificateur haute puissance grâce à un fonctionnement à une puissance d'entrée inférieure ou en améliorant la linéarité de l'amplificateur. Cependant, le maintien en fonctionnement de l'amplificateur dans la gamme linéaire réduit les rayonnements non désirés au prix de la réduction de l'efficacité du HPA. Les deux méthodes ont un impact sur le débit de la station spatiale tout comme sur son coût et son poids.</w:t>
      </w:r>
    </w:p>
    <w:p w:rsidR="002B489A" w:rsidRDefault="004F19C4">
      <w:pPr>
        <w:pStyle w:val="Heading4"/>
      </w:pPr>
      <w:r>
        <w:t>5.3.2.4</w:t>
      </w:r>
      <w:r>
        <w:tab/>
        <w:t>Bande de garde</w:t>
      </w:r>
    </w:p>
    <w:p w:rsidR="002B489A" w:rsidRDefault="004F19C4">
      <w:r>
        <w:t>L'usage de toute bande de garde impose une réduction de capacité au SFS/SRS si la bande de garde est mise en œuvre à l'intérieur de son attribution.</w:t>
      </w:r>
    </w:p>
    <w:p w:rsidR="002B489A" w:rsidRDefault="004F19C4">
      <w:pPr>
        <w:pStyle w:val="Heading1"/>
      </w:pPr>
      <w:r>
        <w:t>6</w:t>
      </w:r>
      <w:r>
        <w:tab/>
        <w:t>Résultats des études</w:t>
      </w:r>
    </w:p>
    <w:p w:rsidR="002B489A" w:rsidRDefault="004F19C4">
      <w:pPr>
        <w:pStyle w:val="Heading2"/>
      </w:pPr>
      <w:r>
        <w:t>6.1</w:t>
      </w:r>
      <w:r>
        <w:tab/>
        <w:t>Résumé</w:t>
      </w:r>
    </w:p>
    <w:p w:rsidR="002B489A" w:rsidRDefault="004F19C4">
      <w:pPr>
        <w:ind w:right="1"/>
      </w:pPr>
      <w:r>
        <w:t>La majorité des sites du SRA dans le monde utilise cette bande pour des mesures à antenne unique. Une combinaison des techniques de réduction des brouillages appropriées serait nécessaire pour satisfaire aux niveaux de protection pour les mesures à antenne unique.</w:t>
      </w:r>
    </w:p>
    <w:p w:rsidR="002B489A" w:rsidRDefault="004F19C4">
      <w:r>
        <w:t>Une étude a considéré la séparation de fréquence sans l'utilisation d'autre méthode de réduction des brouillages. Cette étude suppose que les systèmes du SFS et du SRS fonctionnent jusqu'à 42 GHz et que les niveaux de rayonnement non désirés soient ceux de la Recommandation UIT-R SM.1541. L'étude montre que le niveau de brouillage nuisible pour le VLBI donné dans la Recommandation UIT</w:t>
      </w:r>
      <w:r>
        <w:noBreakHyphen/>
        <w:t>R RA.769 est satisfait. Cependant, les limites de seuil de puissance surfacique pour les observations de raies à antenne unique ou du continuum ne sont pas satisfaites, et le brouillage serait suffisamment sévère pour empêcher toute mesure astronomique utile à moins d'utiliser des méthodes de réduction des brouillages supplémentaires.</w:t>
      </w:r>
    </w:p>
    <w:p w:rsidR="002B489A" w:rsidRDefault="004F19C4">
      <w:pPr>
        <w:spacing w:before="100"/>
        <w:ind w:right="1"/>
      </w:pPr>
      <w:r>
        <w:t>Le scénario de cas le plus défavorable présenté au § 4.1, n'utilisant aucune méthode de réduction des brouillages, se fonde sur la largeur de bande nécessaire de 500 MHz et une décroissance spectrale au taux identifié dans la Recommandation UIT-R SM.1541. De plus, cet exemple suppose que la largeur de bande nécessaire s'étende jusqu'aux bordures de l'attribution du SFS à 42,5 GHz.</w:t>
      </w:r>
    </w:p>
    <w:p w:rsidR="002B489A" w:rsidRDefault="004F19C4">
      <w:pPr>
        <w:spacing w:before="100"/>
        <w:ind w:right="1"/>
      </w:pPr>
      <w:r>
        <w:t>Les rayonnements non désirés résultant de l'exemple de cas le plus défavorable considéré excèdent les limites du numéro 5.551G du RR aussi bien que les critères de raies spectrales à antenne unique et du continuum tirés de la Recommandation UIT-R RA.769. Cependant, le critère VLBI est satisfait sur la totalité de la bande 42,5 à 43,5 GHz. La déficience peut être traitée par l'utilisation de méthodes de réduction des brouillages. Une gamme variée de méthodes de réduction des brouillages peut être envisagée pour être appliquée dans des systèmes concrets; une combinaison de telles méthodes sera vraisemblablement nécessaire.</w:t>
      </w:r>
    </w:p>
    <w:p w:rsidR="002B489A" w:rsidRDefault="004F19C4">
      <w:pPr>
        <w:spacing w:before="100"/>
        <w:ind w:right="1"/>
      </w:pPr>
      <w:r>
        <w:br w:type="page"/>
        <w:t>Si, pour certains systèmes, la représentation provisoire du spectre SFS telle que décrite dans l'Appendice technique de l'Annexe 1 est prise en compte plutôt que celle de la Recommandation UIT-R SM.1541, le déficit par rapport aux critères du continuum est réduit. Cela n'allège pas nécessairement le déficit sur les bordures de bandes, à moins que des méthodes de réduction des brouillages supplémentaires ne soient envisagées. Il était cependant indiqué que cette représentation spectrale se fondait sur l'expérience des bandes de fréquences inférieures.</w:t>
      </w:r>
    </w:p>
    <w:p w:rsidR="002B489A" w:rsidRDefault="004F19C4">
      <w:pPr>
        <w:spacing w:before="100"/>
      </w:pPr>
      <w:r>
        <w:t>On s'attend à ce que, en utilisant une ou plusieurs des méthodes de réduction des brouillages identifiées dans la présente Annexe, les systèmes du SFS/SRS soient capables de satisfaire au critère de protection de la Recommandation UIT-R RA.769 pour les mesures du continuum. De plus, il pourrait être difficile pour les systèmes du SFS de satisfaire au critère de raies spectrales dans certaines parties de la bande 42,5</w:t>
      </w:r>
      <w:r>
        <w:noBreakHyphen/>
        <w:t>43,5 GHz. On peut douter qu'il soit praticable d'exiger des systèmes du SFS qui satisfassent aux critères du numéro 5.551G du RR, dans la mesure où ces exigences imposeraient de sévères contraintes de fonctionnement et une augmentation significative des coûts du système à satellites.</w:t>
      </w:r>
    </w:p>
    <w:p w:rsidR="002B489A" w:rsidRDefault="004F19C4">
      <w:pPr>
        <w:spacing w:before="100"/>
        <w:ind w:right="1"/>
      </w:pPr>
      <w:r>
        <w:t>Il en résulte qu'il est peu vraisemblable que tous les besoins des deux services puissent être satisfaits. Un travail complémentaire pourrait être nécessaire pour compléter l'étude.</w:t>
      </w:r>
    </w:p>
    <w:p w:rsidR="002B489A" w:rsidRDefault="004F19C4">
      <w:pPr>
        <w:pStyle w:val="Heading2"/>
        <w:spacing w:before="200"/>
      </w:pPr>
      <w:r>
        <w:t>6.2</w:t>
      </w:r>
      <w:r>
        <w:tab/>
        <w:t>Conclusions</w:t>
      </w:r>
    </w:p>
    <w:p w:rsidR="002B489A" w:rsidRDefault="004F19C4">
      <w:pPr>
        <w:spacing w:before="100"/>
        <w:ind w:right="1"/>
      </w:pPr>
      <w:r>
        <w:t>Dans cette bande, le niveau du seuil des brouillages gênants pour les observations de radioastronomie tel qu'il est donné dans la Recommandation UIT-R RA.769 peut être satisfait par les SFS et SRS pour le cas du VLBI. Pour le cas du continuum, il paraît possible que les systèmes du SFS/SRS satisfassent au seuil avec l'utilisation de méthodes de réduction des brouillages. Il serait possible de satisfaire au seuil de raies spectrales sur une partie de la bande. Il n'est pas certain que des méthodes de réduction des brouillages soient suffisantes pour satisfaire aux critères de raies spectrales à la bordure inférieure de l'attribution de bande du SRA.</w:t>
      </w:r>
    </w:p>
    <w:p w:rsidR="002B489A" w:rsidRDefault="004F19C4">
      <w:pPr>
        <w:spacing w:before="100"/>
        <w:ind w:right="1"/>
      </w:pPr>
      <w:r>
        <w:t>Comme près des deux tiers des sites du SRA dans le monde (voir le Tableau 97) utilisent cette bande pour des mesures à antenne unique, il est donc important qu'une combinaison de techniques de réduction des brouillages appropriées soit appliquée pour atteindre les niveaux de protection pour les mesures à antenne unique.</w:t>
      </w:r>
    </w:p>
    <w:p w:rsidR="002B489A" w:rsidRDefault="002B489A">
      <w:pPr>
        <w:spacing w:before="100"/>
        <w:ind w:right="1"/>
      </w:pPr>
    </w:p>
    <w:p w:rsidR="002B489A" w:rsidRDefault="002B489A">
      <w:pPr>
        <w:spacing w:before="100"/>
        <w:ind w:right="1"/>
      </w:pPr>
    </w:p>
    <w:p w:rsidR="002B489A" w:rsidRDefault="004F19C4">
      <w:pPr>
        <w:pStyle w:val="AnnexNoTitle"/>
      </w:pPr>
      <w:r>
        <w:rPr>
          <w:lang w:val="fr-CH"/>
        </w:rPr>
        <w:t>Annexe 19</w:t>
      </w:r>
      <w:r>
        <w:rPr>
          <w:lang w:val="fr-CH"/>
        </w:rPr>
        <w:br/>
      </w:r>
      <w:r>
        <w:rPr>
          <w:lang w:val="fr-CH"/>
        </w:rPr>
        <w:br/>
        <w:t>Analyse de compatibilité entre les systèmes du SETS (passive) fonctionnant</w:t>
      </w:r>
      <w:r>
        <w:rPr>
          <w:lang w:val="fr-CH"/>
        </w:rPr>
        <w:br/>
        <w:t>dans la bande 50,2-50,4 GHz et les systèmes du SFS (Terre vers espace)</w:t>
      </w:r>
      <w:r>
        <w:rPr>
          <w:lang w:val="fr-CH"/>
        </w:rPr>
        <w:br/>
        <w:t>fonctionnant dans la bande 47,2-50,2 GHz</w:t>
      </w:r>
    </w:p>
    <w:p w:rsidR="002B489A" w:rsidRDefault="004F19C4">
      <w:pPr>
        <w:pStyle w:val="Heading1"/>
        <w:rPr>
          <w:lang w:val="fr-CH"/>
        </w:rPr>
      </w:pPr>
      <w:r>
        <w:rPr>
          <w:lang w:val="fr-CH"/>
        </w:rPr>
        <w:t>1</w:t>
      </w:r>
      <w:r>
        <w:rPr>
          <w:lang w:val="fr-CH"/>
        </w:rPr>
        <w:tab/>
        <w:t>SETS (passive)</w:t>
      </w:r>
    </w:p>
    <w:p w:rsidR="002B489A" w:rsidRDefault="004F19C4">
      <w:pPr>
        <w:pStyle w:val="Heading2"/>
        <w:rPr>
          <w:lang w:val="fr-CH"/>
        </w:rPr>
      </w:pPr>
      <w:r>
        <w:rPr>
          <w:lang w:val="fr-CH"/>
        </w:rPr>
        <w:t>1.1</w:t>
      </w:r>
      <w:r>
        <w:rPr>
          <w:lang w:val="fr-CH"/>
        </w:rPr>
        <w:tab/>
        <w:t>Bande attribuée</w:t>
      </w:r>
    </w:p>
    <w:p w:rsidR="002B489A" w:rsidRDefault="004F19C4">
      <w:pPr>
        <w:rPr>
          <w:lang w:val="fr-CH"/>
        </w:rPr>
      </w:pPr>
      <w:r>
        <w:rPr>
          <w:lang w:val="fr-CH"/>
        </w:rPr>
        <w:t>Les attributions adjacentes aux bandes passives du SETS de 50,2</w:t>
      </w:r>
      <w:r>
        <w:rPr>
          <w:lang w:val="fr-CH"/>
        </w:rPr>
        <w:noBreakHyphen/>
        <w:t>50,4 GHz sont indiquées dans le Tableau 99. Il faut noter que la bande 50,2</w:t>
      </w:r>
      <w:r>
        <w:rPr>
          <w:lang w:val="fr-CH"/>
        </w:rPr>
        <w:noBreakHyphen/>
        <w:t>50,4 GHz est couverte par le numéro 5.340 du RR, et que le numéro 5.340.1 du RR s'applique aussi.</w:t>
      </w:r>
    </w:p>
    <w:p w:rsidR="002B489A" w:rsidRDefault="004F19C4">
      <w:pPr>
        <w:pStyle w:val="TableNo"/>
        <w:rPr>
          <w:lang w:val="fr-CH"/>
        </w:rPr>
      </w:pPr>
      <w:r>
        <w:rPr>
          <w:lang w:val="fr-CH"/>
        </w:rPr>
        <w:br w:type="page"/>
        <w:t>TABLEAU  99</w:t>
      </w:r>
    </w:p>
    <w:p w:rsidR="002B489A" w:rsidRDefault="004F19C4">
      <w:pPr>
        <w:pStyle w:val="Tabletitle"/>
        <w:rPr>
          <w:lang w:val="fr-CH"/>
        </w:rPr>
      </w:pPr>
      <w:r>
        <w:rPr>
          <w:lang w:val="fr-CH"/>
        </w:rPr>
        <w:t>Attributions dans les bandes adjacentes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2952"/>
        <w:gridCol w:w="2952"/>
      </w:tblGrid>
      <w:tr w:rsidR="002B489A">
        <w:tc>
          <w:tcPr>
            <w:tcW w:w="2952" w:type="dxa"/>
          </w:tcPr>
          <w:p w:rsidR="002B489A" w:rsidRDefault="004F19C4">
            <w:pPr>
              <w:pStyle w:val="Tablehead"/>
              <w:framePr w:hSpace="181" w:wrap="notBeside" w:vAnchor="text" w:hAnchor="text" w:xAlign="center" w:y="1"/>
              <w:rPr>
                <w:lang w:val="fr-CH"/>
              </w:rPr>
            </w:pPr>
            <w:r>
              <w:t>Services dans la bande attribuée inférieure</w:t>
            </w:r>
          </w:p>
        </w:tc>
        <w:tc>
          <w:tcPr>
            <w:tcW w:w="2952" w:type="dxa"/>
            <w:vAlign w:val="center"/>
          </w:tcPr>
          <w:p w:rsidR="002B489A" w:rsidRDefault="004F19C4">
            <w:pPr>
              <w:pStyle w:val="Tablehead"/>
              <w:framePr w:hSpace="181" w:wrap="notBeside" w:vAnchor="text" w:hAnchor="text" w:xAlign="center" w:y="1"/>
              <w:rPr>
                <w:lang w:val="fr-CH"/>
              </w:rPr>
            </w:pPr>
            <w:r>
              <w:t>Bande passive</w:t>
            </w:r>
          </w:p>
        </w:tc>
        <w:tc>
          <w:tcPr>
            <w:tcW w:w="2952" w:type="dxa"/>
          </w:tcPr>
          <w:p w:rsidR="002B489A" w:rsidRDefault="004F19C4">
            <w:pPr>
              <w:pStyle w:val="Tablehead"/>
              <w:framePr w:hSpace="181" w:wrap="notBeside" w:vAnchor="text" w:hAnchor="text" w:xAlign="center" w:y="1"/>
              <w:rPr>
                <w:lang w:val="fr-CH"/>
              </w:rPr>
            </w:pPr>
            <w:r>
              <w:t>Service dans la bande attribuée supérieure</w:t>
            </w:r>
          </w:p>
        </w:tc>
      </w:tr>
      <w:tr w:rsidR="002B489A">
        <w:tc>
          <w:tcPr>
            <w:tcW w:w="2952" w:type="dxa"/>
          </w:tcPr>
          <w:p w:rsidR="002B489A" w:rsidRDefault="004F19C4">
            <w:pPr>
              <w:pStyle w:val="Tablehead"/>
              <w:framePr w:hSpace="181" w:wrap="notBeside" w:vAnchor="text" w:hAnchor="text" w:xAlign="center" w:y="1"/>
              <w:rPr>
                <w:lang w:val="fr-CH"/>
              </w:rPr>
            </w:pPr>
            <w:r>
              <w:t>47,2</w:t>
            </w:r>
            <w:r>
              <w:noBreakHyphen/>
              <w:t>50,2 GHz</w:t>
            </w:r>
          </w:p>
        </w:tc>
        <w:tc>
          <w:tcPr>
            <w:tcW w:w="2952" w:type="dxa"/>
          </w:tcPr>
          <w:p w:rsidR="002B489A" w:rsidRDefault="004F19C4">
            <w:pPr>
              <w:pStyle w:val="Tablehead"/>
              <w:framePr w:hSpace="181" w:wrap="notBeside" w:vAnchor="text" w:hAnchor="text" w:xAlign="center" w:y="1"/>
              <w:rPr>
                <w:lang w:val="fr-CH"/>
              </w:rPr>
            </w:pPr>
            <w:r>
              <w:t>50,2</w:t>
            </w:r>
            <w:r>
              <w:noBreakHyphen/>
              <w:t>50,4 GHz</w:t>
            </w:r>
          </w:p>
        </w:tc>
        <w:tc>
          <w:tcPr>
            <w:tcW w:w="2952" w:type="dxa"/>
          </w:tcPr>
          <w:p w:rsidR="002B489A" w:rsidRDefault="004F19C4">
            <w:pPr>
              <w:pStyle w:val="Tablehead"/>
              <w:framePr w:hSpace="181" w:wrap="notBeside" w:vAnchor="text" w:hAnchor="text" w:xAlign="center" w:y="1"/>
              <w:rPr>
                <w:lang w:val="fr-CH"/>
              </w:rPr>
            </w:pPr>
            <w:r>
              <w:t>50,4</w:t>
            </w:r>
            <w:r>
              <w:noBreakHyphen/>
              <w:t>51,4 GHz</w:t>
            </w:r>
          </w:p>
        </w:tc>
      </w:tr>
      <w:tr w:rsidR="002B489A">
        <w:tc>
          <w:tcPr>
            <w:tcW w:w="2952" w:type="dxa"/>
            <w:tcBorders>
              <w:bottom w:val="nil"/>
            </w:tcBorders>
          </w:tcPr>
          <w:p w:rsidR="002B489A" w:rsidRDefault="004F19C4">
            <w:pPr>
              <w:pStyle w:val="Tabletext"/>
              <w:framePr w:hSpace="181" w:wrap="notBeside" w:vAnchor="text" w:hAnchor="text" w:xAlign="center" w:y="1"/>
              <w:jc w:val="left"/>
              <w:rPr>
                <w:lang w:val="fr-CH"/>
              </w:rPr>
            </w:pPr>
            <w:r>
              <w:rPr>
                <w:lang w:val="fr-CH"/>
              </w:rPr>
              <w:t>FIXE</w:t>
            </w:r>
          </w:p>
          <w:p w:rsidR="002B489A" w:rsidRDefault="004F19C4">
            <w:pPr>
              <w:pStyle w:val="Tabletext"/>
              <w:framePr w:hSpace="181" w:wrap="notBeside" w:vAnchor="text" w:hAnchor="text" w:xAlign="center" w:y="1"/>
              <w:jc w:val="left"/>
              <w:rPr>
                <w:lang w:val="fr-CH"/>
              </w:rPr>
            </w:pPr>
            <w:r>
              <w:rPr>
                <w:lang w:val="fr-CH"/>
              </w:rPr>
              <w:t>FIXE PAR SATELLITE (Terre vers espace)</w:t>
            </w:r>
          </w:p>
          <w:p w:rsidR="002B489A" w:rsidRDefault="004F19C4">
            <w:pPr>
              <w:pStyle w:val="Tabletext"/>
              <w:framePr w:hSpace="181" w:wrap="notBeside" w:vAnchor="text" w:hAnchor="text" w:xAlign="center" w:y="1"/>
              <w:jc w:val="left"/>
              <w:rPr>
                <w:lang w:val="fr-CH"/>
              </w:rPr>
            </w:pPr>
            <w:r>
              <w:rPr>
                <w:lang w:val="fr-CH"/>
              </w:rPr>
              <w:t>MOBILE</w:t>
            </w:r>
          </w:p>
          <w:p w:rsidR="002B489A" w:rsidRDefault="002B489A">
            <w:pPr>
              <w:framePr w:hSpace="181" w:wrap="notBeside" w:vAnchor="text" w:hAnchor="text" w:xAlign="center" w:y="1"/>
              <w:spacing w:before="40" w:after="40"/>
              <w:jc w:val="left"/>
              <w:rPr>
                <w:lang w:val="es-ES"/>
              </w:rPr>
            </w:pPr>
          </w:p>
        </w:tc>
        <w:tc>
          <w:tcPr>
            <w:tcW w:w="2952" w:type="dxa"/>
            <w:tcBorders>
              <w:bottom w:val="nil"/>
            </w:tcBorders>
          </w:tcPr>
          <w:p w:rsidR="002B489A" w:rsidRDefault="004F19C4">
            <w:pPr>
              <w:pStyle w:val="Tabletext"/>
              <w:framePr w:hSpace="181" w:wrap="notBeside" w:vAnchor="text" w:hAnchor="text" w:xAlign="center" w:y="1"/>
              <w:jc w:val="left"/>
              <w:rPr>
                <w:lang w:val="fr-CH"/>
              </w:rPr>
            </w:pPr>
            <w:r>
              <w:rPr>
                <w:lang w:val="fr-CH"/>
              </w:rPr>
              <w:t>EXPLORATION DE LA TERRE PAR SATELLITE (passive)</w:t>
            </w:r>
          </w:p>
          <w:p w:rsidR="002B489A" w:rsidRDefault="004F19C4">
            <w:pPr>
              <w:pStyle w:val="Tabletext"/>
              <w:framePr w:hSpace="181" w:wrap="notBeside" w:vAnchor="text" w:hAnchor="text" w:xAlign="center" w:y="1"/>
              <w:jc w:val="left"/>
              <w:rPr>
                <w:lang w:val="fr-CH"/>
              </w:rPr>
            </w:pPr>
            <w:r>
              <w:rPr>
                <w:lang w:val="fr-CH"/>
              </w:rPr>
              <w:t>RECHERCHE SPATIALE (passive)</w:t>
            </w:r>
          </w:p>
          <w:p w:rsidR="002B489A" w:rsidRDefault="002B489A">
            <w:pPr>
              <w:framePr w:hSpace="181" w:wrap="notBeside" w:vAnchor="text" w:hAnchor="text" w:xAlign="center" w:y="1"/>
              <w:spacing w:before="40" w:after="40"/>
              <w:jc w:val="left"/>
              <w:rPr>
                <w:lang w:val="es-ES"/>
              </w:rPr>
            </w:pPr>
          </w:p>
        </w:tc>
        <w:tc>
          <w:tcPr>
            <w:tcW w:w="2952" w:type="dxa"/>
            <w:tcBorders>
              <w:bottom w:val="nil"/>
            </w:tcBorders>
          </w:tcPr>
          <w:p w:rsidR="002B489A" w:rsidRDefault="004F19C4">
            <w:pPr>
              <w:pStyle w:val="Tabletext"/>
              <w:framePr w:hSpace="181" w:wrap="notBeside" w:vAnchor="text" w:hAnchor="text" w:xAlign="center" w:y="1"/>
              <w:jc w:val="left"/>
              <w:rPr>
                <w:lang w:val="fr-CH"/>
              </w:rPr>
            </w:pPr>
            <w:r>
              <w:rPr>
                <w:lang w:val="fr-CH"/>
              </w:rPr>
              <w:t>FIXE</w:t>
            </w:r>
          </w:p>
          <w:p w:rsidR="002B489A" w:rsidRDefault="004F19C4">
            <w:pPr>
              <w:pStyle w:val="Tabletext"/>
              <w:framePr w:hSpace="181" w:wrap="notBeside" w:vAnchor="text" w:hAnchor="text" w:xAlign="center" w:y="1"/>
              <w:jc w:val="left"/>
              <w:rPr>
                <w:lang w:val="fr-CH"/>
              </w:rPr>
            </w:pPr>
            <w:r>
              <w:rPr>
                <w:lang w:val="fr-CH"/>
              </w:rPr>
              <w:t>FIXE PAR SATELLITE (Terre vers espace)</w:t>
            </w:r>
          </w:p>
          <w:p w:rsidR="002B489A" w:rsidRDefault="004F19C4">
            <w:pPr>
              <w:pStyle w:val="Tabletext"/>
              <w:framePr w:hSpace="181" w:wrap="notBeside" w:vAnchor="text" w:hAnchor="text" w:xAlign="center" w:y="1"/>
              <w:jc w:val="left"/>
              <w:rPr>
                <w:lang w:val="fr-CH"/>
              </w:rPr>
            </w:pPr>
            <w:r>
              <w:rPr>
                <w:lang w:val="fr-CH"/>
              </w:rPr>
              <w:t>MOBILE</w:t>
            </w:r>
          </w:p>
          <w:p w:rsidR="002B489A" w:rsidRDefault="004F19C4">
            <w:pPr>
              <w:pStyle w:val="Tabletext"/>
              <w:framePr w:hSpace="181" w:wrap="notBeside" w:vAnchor="text" w:hAnchor="text" w:xAlign="center" w:y="1"/>
              <w:jc w:val="left"/>
              <w:rPr>
                <w:lang w:val="fr-CH"/>
              </w:rPr>
            </w:pPr>
            <w:r>
              <w:rPr>
                <w:lang w:val="fr-CH"/>
              </w:rPr>
              <w:t xml:space="preserve">Mobile par satellite </w:t>
            </w:r>
            <w:r>
              <w:rPr>
                <w:lang w:val="fr-CH"/>
              </w:rPr>
              <w:br/>
              <w:t>(Terre vers espace)</w:t>
            </w:r>
          </w:p>
        </w:tc>
      </w:tr>
      <w:tr w:rsidR="002B489A">
        <w:tc>
          <w:tcPr>
            <w:tcW w:w="2952" w:type="dxa"/>
            <w:tcBorders>
              <w:top w:val="nil"/>
            </w:tcBorders>
          </w:tcPr>
          <w:p w:rsidR="002B489A" w:rsidRDefault="004F19C4">
            <w:pPr>
              <w:pStyle w:val="Tabletext"/>
              <w:framePr w:hSpace="181" w:wrap="notBeside" w:vAnchor="text" w:hAnchor="text" w:xAlign="center" w:y="1"/>
              <w:jc w:val="left"/>
              <w:rPr>
                <w:lang w:val="fr-CH"/>
              </w:rPr>
            </w:pPr>
            <w:r>
              <w:rPr>
                <w:lang w:val="fr-CH"/>
              </w:rPr>
              <w:t>5.149  5.340  5.552  5.552A 5.555</w:t>
            </w:r>
          </w:p>
        </w:tc>
        <w:tc>
          <w:tcPr>
            <w:tcW w:w="2952" w:type="dxa"/>
            <w:tcBorders>
              <w:top w:val="nil"/>
            </w:tcBorders>
          </w:tcPr>
          <w:p w:rsidR="002B489A" w:rsidRDefault="004F19C4">
            <w:pPr>
              <w:pStyle w:val="Tabletext"/>
              <w:framePr w:hSpace="181" w:wrap="notBeside" w:vAnchor="text" w:hAnchor="text" w:xAlign="center" w:y="1"/>
              <w:jc w:val="left"/>
              <w:rPr>
                <w:lang w:val="fr-CH"/>
              </w:rPr>
            </w:pPr>
            <w:r>
              <w:rPr>
                <w:lang w:val="fr-CH"/>
              </w:rPr>
              <w:br/>
              <w:t>5.340  5.555A</w:t>
            </w:r>
          </w:p>
        </w:tc>
        <w:tc>
          <w:tcPr>
            <w:tcW w:w="2952" w:type="dxa"/>
            <w:tcBorders>
              <w:top w:val="nil"/>
            </w:tcBorders>
          </w:tcPr>
          <w:p w:rsidR="002B489A" w:rsidRDefault="002B489A">
            <w:pPr>
              <w:pStyle w:val="Tabletext"/>
              <w:framePr w:hSpace="181" w:wrap="notBeside" w:vAnchor="text" w:hAnchor="text" w:xAlign="center" w:y="1"/>
              <w:jc w:val="left"/>
              <w:rPr>
                <w:lang w:val="fr-CH"/>
              </w:rPr>
            </w:pPr>
          </w:p>
        </w:tc>
      </w:tr>
    </w:tbl>
    <w:p w:rsidR="002B489A" w:rsidRDefault="002B489A">
      <w:pPr>
        <w:pStyle w:val="Tablefin"/>
        <w:rPr>
          <w:lang w:val="fr-CH"/>
        </w:rPr>
      </w:pPr>
    </w:p>
    <w:p w:rsidR="002B489A" w:rsidRDefault="004F19C4">
      <w:pPr>
        <w:pStyle w:val="Heading2"/>
        <w:rPr>
          <w:lang w:val="fr-CH"/>
        </w:rPr>
      </w:pPr>
      <w:r>
        <w:rPr>
          <w:lang w:val="fr-CH"/>
        </w:rPr>
        <w:t>1.2</w:t>
      </w:r>
      <w:r>
        <w:rPr>
          <w:lang w:val="fr-CH"/>
        </w:rPr>
        <w:tab/>
        <w:t>Application</w:t>
      </w:r>
    </w:p>
    <w:p w:rsidR="002B489A" w:rsidRDefault="004F19C4">
      <w:pPr>
        <w:rPr>
          <w:lang w:val="fr-CH"/>
        </w:rPr>
      </w:pPr>
      <w:r>
        <w:rPr>
          <w:lang w:val="fr-CH"/>
        </w:rPr>
        <w:t>Cette bande de fréquences est une des bandes qui, entre 50 GHz et 60 GHz, sont utilisées de façon collective pour fournir des profils tridimensionnels de la température de l'atmosphère.</w:t>
      </w:r>
    </w:p>
    <w:p w:rsidR="002B489A" w:rsidRDefault="004F19C4">
      <w:pPr>
        <w:rPr>
          <w:lang w:val="fr-CH"/>
        </w:rPr>
      </w:pPr>
      <w:r>
        <w:rPr>
          <w:lang w:val="fr-CH"/>
        </w:rPr>
        <w:t>Ces mesures nourrissent les modèles numériques de prévision météorologique. Le modèle réclame des données toutes les six heures et est utilisé pour des prévisions météorologiques à maillage fin (10 km ou moins) à court terme (6 à 48 h).</w:t>
      </w:r>
    </w:p>
    <w:p w:rsidR="002B489A" w:rsidRDefault="004F19C4">
      <w:pPr>
        <w:pStyle w:val="Heading2"/>
        <w:rPr>
          <w:lang w:val="fr-CH"/>
        </w:rPr>
      </w:pPr>
      <w:r>
        <w:rPr>
          <w:lang w:val="fr-CH"/>
        </w:rPr>
        <w:t>1.3</w:t>
      </w:r>
      <w:r>
        <w:rPr>
          <w:lang w:val="fr-CH"/>
        </w:rPr>
        <w:tab/>
        <w:t>Critères de protection requis</w:t>
      </w:r>
    </w:p>
    <w:p w:rsidR="002B489A" w:rsidRDefault="004F19C4">
      <w:r>
        <w:t>Les</w:t>
      </w:r>
      <w:r>
        <w:rPr>
          <w:sz w:val="18"/>
        </w:rPr>
        <w:t xml:space="preserve"> </w:t>
      </w:r>
      <w:r>
        <w:t>trois</w:t>
      </w:r>
      <w:r>
        <w:rPr>
          <w:sz w:val="18"/>
        </w:rPr>
        <w:t xml:space="preserve"> </w:t>
      </w:r>
      <w:r>
        <w:t>Recommandations</w:t>
      </w:r>
      <w:r>
        <w:rPr>
          <w:sz w:val="18"/>
        </w:rPr>
        <w:t xml:space="preserve"> </w:t>
      </w:r>
      <w:r>
        <w:t>suivantes</w:t>
      </w:r>
      <w:r>
        <w:rPr>
          <w:sz w:val="18"/>
        </w:rPr>
        <w:t xml:space="preserve"> </w:t>
      </w:r>
      <w:r>
        <w:t>établissent</w:t>
      </w:r>
      <w:r>
        <w:rPr>
          <w:sz w:val="18"/>
        </w:rPr>
        <w:t xml:space="preserve"> </w:t>
      </w:r>
      <w:r>
        <w:t>les</w:t>
      </w:r>
      <w:r>
        <w:rPr>
          <w:sz w:val="18"/>
        </w:rPr>
        <w:t xml:space="preserve"> </w:t>
      </w:r>
      <w:r>
        <w:t>critères</w:t>
      </w:r>
      <w:r>
        <w:rPr>
          <w:sz w:val="18"/>
        </w:rPr>
        <w:t xml:space="preserve"> </w:t>
      </w:r>
      <w:r>
        <w:t>de</w:t>
      </w:r>
      <w:r>
        <w:rPr>
          <w:sz w:val="18"/>
        </w:rPr>
        <w:t xml:space="preserve"> </w:t>
      </w:r>
      <w:r>
        <w:t>brouillage</w:t>
      </w:r>
      <w:r>
        <w:rPr>
          <w:sz w:val="18"/>
        </w:rPr>
        <w:t xml:space="preserve"> </w:t>
      </w:r>
      <w:r>
        <w:t>pour</w:t>
      </w:r>
      <w:r>
        <w:rPr>
          <w:sz w:val="18"/>
        </w:rPr>
        <w:t xml:space="preserve"> </w:t>
      </w:r>
      <w:r>
        <w:t>les</w:t>
      </w:r>
      <w:r>
        <w:rPr>
          <w:sz w:val="18"/>
        </w:rPr>
        <w:t xml:space="preserve"> </w:t>
      </w:r>
      <w:r>
        <w:t>détecteurs</w:t>
      </w:r>
      <w:r>
        <w:rPr>
          <w:sz w:val="18"/>
        </w:rPr>
        <w:t xml:space="preserve"> </w:t>
      </w:r>
      <w:r>
        <w:t>passifs.</w:t>
      </w:r>
    </w:p>
    <w:p w:rsidR="002B489A" w:rsidRDefault="004F19C4">
      <w:pPr>
        <w:pStyle w:val="enumlev1"/>
        <w:tabs>
          <w:tab w:val="clear" w:pos="794"/>
          <w:tab w:val="clear" w:pos="1191"/>
          <w:tab w:val="clear" w:pos="1588"/>
          <w:tab w:val="clear" w:pos="1985"/>
          <w:tab w:val="left" w:pos="3515"/>
        </w:tabs>
        <w:ind w:left="3515" w:hanging="3515"/>
      </w:pPr>
      <w:r>
        <w:t>Recommandation UIT-R SA.515 –</w:t>
      </w:r>
      <w:r>
        <w:tab/>
        <w:t xml:space="preserve">Bandes de fréquences et largeurs de bande utilisées pour la télédétection passive par satellite. </w:t>
      </w:r>
    </w:p>
    <w:p w:rsidR="002B489A" w:rsidRDefault="004F19C4">
      <w:pPr>
        <w:pStyle w:val="enumlev1"/>
        <w:tabs>
          <w:tab w:val="clear" w:pos="794"/>
          <w:tab w:val="clear" w:pos="1191"/>
          <w:tab w:val="clear" w:pos="1588"/>
          <w:tab w:val="clear" w:pos="1985"/>
          <w:tab w:val="left" w:pos="3515"/>
        </w:tabs>
        <w:spacing w:before="60"/>
        <w:ind w:left="3515" w:hanging="3515"/>
      </w:pPr>
      <w:r>
        <w:t>Recommandation UIT-R SA.1028 –</w:t>
      </w:r>
      <w:r>
        <w:tab/>
        <w:t>Critères de qualité de fonctionnement pour la télédétection passive par satellite.</w:t>
      </w:r>
    </w:p>
    <w:p w:rsidR="002B489A" w:rsidRDefault="004F19C4">
      <w:pPr>
        <w:pStyle w:val="enumlev1"/>
        <w:tabs>
          <w:tab w:val="clear" w:pos="794"/>
          <w:tab w:val="clear" w:pos="1191"/>
          <w:tab w:val="clear" w:pos="1588"/>
          <w:tab w:val="clear" w:pos="1985"/>
          <w:tab w:val="left" w:pos="3515"/>
        </w:tabs>
        <w:spacing w:before="60"/>
        <w:ind w:left="3515" w:hanging="3515"/>
      </w:pPr>
      <w:r>
        <w:t>Recommandation UIT-R SA.1029 –</w:t>
      </w:r>
      <w:r>
        <w:tab/>
        <w:t>Critères de brouillage dans la télédétection passive par satellite.</w:t>
      </w:r>
    </w:p>
    <w:p w:rsidR="002B489A" w:rsidRDefault="004F19C4">
      <w:pPr>
        <w:rPr>
          <w:lang w:val="fr-CH"/>
        </w:rPr>
      </w:pPr>
      <w:r>
        <w:rPr>
          <w:lang w:val="fr-CH"/>
        </w:rPr>
        <w:t xml:space="preserve">Le premier critère est la puissance brouilleuse acceptable reçue par le détecteur SETS, qui est de </w:t>
      </w:r>
      <w:r>
        <w:rPr>
          <w:rFonts w:ascii="Symbol" w:hAnsi="Symbol"/>
          <w:lang w:val="fr-CH"/>
        </w:rPr>
        <w:noBreakHyphen/>
      </w:r>
      <w:r>
        <w:rPr>
          <w:lang w:val="fr-CH"/>
        </w:rPr>
        <w:t>166 dBW dans la largeur de bande de référence de 100 MHz. C'est un niveau maximum de brouillage provenant de toutes sources.</w:t>
      </w:r>
    </w:p>
    <w:p w:rsidR="002B489A" w:rsidRDefault="004F19C4">
      <w:pPr>
        <w:rPr>
          <w:lang w:val="fr-CH"/>
        </w:rPr>
      </w:pPr>
      <w:r>
        <w:rPr>
          <w:lang w:val="fr-CH"/>
        </w:rPr>
        <w:t>Le second critère est la limite de fréquence d'occurrence de dépassement du seuil. Pour les sondeurs de nadir utilisés pour les mesures tridimensionnelles de la température atmosphérique ou de la concentration gazeuse, la proportion de cellules de mesure perdues à cause du brouillage ne doit pas dépasser 0,01%. Cette limite de fréquence d'occurrence est valable pour les sondeurs à balayage mécanique et pour les sondeurs de nadir en peigne.</w:t>
      </w:r>
    </w:p>
    <w:p w:rsidR="002B489A" w:rsidRDefault="004F19C4">
      <w:pPr>
        <w:pStyle w:val="Heading2"/>
        <w:rPr>
          <w:lang w:val="fr-CH"/>
        </w:rPr>
      </w:pPr>
      <w:r>
        <w:rPr>
          <w:lang w:val="fr-CH"/>
        </w:rPr>
        <w:t>1.4</w:t>
      </w:r>
      <w:r>
        <w:rPr>
          <w:lang w:val="fr-CH"/>
        </w:rPr>
        <w:tab/>
        <w:t>Caractéristiques de fonctionnement</w:t>
      </w:r>
    </w:p>
    <w:p w:rsidR="002B489A" w:rsidRDefault="004F19C4">
      <w:pPr>
        <w:rPr>
          <w:lang w:val="fr-CH"/>
        </w:rPr>
      </w:pPr>
      <w:r>
        <w:rPr>
          <w:lang w:val="fr-CH"/>
        </w:rPr>
        <w:t xml:space="preserve">Trois types de détecteur ont été étudiés pour faire des mesures dans cette gamme de fréquences. Le radiomètre à balayage à piste croisée qui peut balayer à travers le nadir, le radiomètre à balayage conique qui balaye en arc en face de la station spatiale à travers sa piste et le détecteur en peigne qui utilise des faisceaux fixes multiples à travers sa piste. Le détecteur en peigne sera analysé parce </w:t>
      </w:r>
      <w:r>
        <w:rPr>
          <w:lang w:val="fr-CH"/>
        </w:rPr>
        <w:br w:type="page"/>
        <w:t>qu'il représente l'avenir en sondage hyperfréquence. Il a l'avantage spécifique de permettre un temps d'intégration plus long. Le Tableau 100 donne les caractéristiques de fonctionnement du détecteur étudié.</w:t>
      </w:r>
    </w:p>
    <w:p w:rsidR="002B489A" w:rsidRDefault="004F19C4">
      <w:pPr>
        <w:pStyle w:val="TableNo"/>
        <w:spacing w:before="240"/>
        <w:rPr>
          <w:lang w:val="fr-CH"/>
        </w:rPr>
      </w:pPr>
      <w:r>
        <w:rPr>
          <w:lang w:val="fr-CH"/>
        </w:rPr>
        <w:t>TABLEAU  100</w:t>
      </w:r>
    </w:p>
    <w:p w:rsidR="002B489A" w:rsidRDefault="004F19C4">
      <w:pPr>
        <w:pStyle w:val="Tabletitle"/>
        <w:rPr>
          <w:lang w:val="fr-CH"/>
        </w:rPr>
      </w:pPr>
      <w:r>
        <w:rPr>
          <w:lang w:val="fr-CH"/>
        </w:rPr>
        <w:t>Paramètres du détecteur en peigne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804"/>
      </w:tblGrid>
      <w:tr w:rsidR="002B489A">
        <w:tc>
          <w:tcPr>
            <w:tcW w:w="4428" w:type="dxa"/>
          </w:tcPr>
          <w:p w:rsidR="002B489A" w:rsidRDefault="004F19C4">
            <w:pPr>
              <w:pStyle w:val="Tablehead"/>
              <w:framePr w:hSpace="181" w:wrap="notBeside" w:vAnchor="text" w:hAnchor="text" w:xAlign="center" w:y="1"/>
              <w:rPr>
                <w:lang w:val="fr-CH"/>
              </w:rPr>
            </w:pPr>
            <w:r>
              <w:rPr>
                <w:lang w:val="fr-CH"/>
              </w:rPr>
              <w:t>Paramètre</w:t>
            </w:r>
          </w:p>
        </w:tc>
        <w:tc>
          <w:tcPr>
            <w:tcW w:w="4804" w:type="dxa"/>
          </w:tcPr>
          <w:p w:rsidR="002B489A" w:rsidRDefault="004F19C4">
            <w:pPr>
              <w:pStyle w:val="Tablehead"/>
              <w:framePr w:hSpace="181" w:wrap="notBeside" w:vAnchor="text" w:hAnchor="text" w:xAlign="center" w:y="1"/>
              <w:rPr>
                <w:lang w:val="fr-CH"/>
              </w:rPr>
            </w:pPr>
            <w:r>
              <w:rPr>
                <w:lang w:val="fr-CH"/>
              </w:rPr>
              <w:t>Valeur</w:t>
            </w:r>
          </w:p>
        </w:tc>
      </w:tr>
      <w:tr w:rsidR="002B489A">
        <w:tc>
          <w:tcPr>
            <w:tcW w:w="4428" w:type="dxa"/>
          </w:tcPr>
          <w:p w:rsidR="002B489A" w:rsidRDefault="004F19C4">
            <w:pPr>
              <w:pStyle w:val="Tabletext"/>
              <w:framePr w:hSpace="181" w:wrap="notBeside" w:vAnchor="text" w:hAnchor="text" w:xAlign="center" w:y="1"/>
              <w:spacing w:line="240" w:lineRule="exact"/>
              <w:jc w:val="left"/>
              <w:rPr>
                <w:lang w:val="fr-CH"/>
              </w:rPr>
            </w:pPr>
            <w:r>
              <w:rPr>
                <w:lang w:val="fr-CH"/>
              </w:rPr>
              <w:t>Altitude (km)</w:t>
            </w:r>
          </w:p>
        </w:tc>
        <w:tc>
          <w:tcPr>
            <w:tcW w:w="4804" w:type="dxa"/>
          </w:tcPr>
          <w:p w:rsidR="002B489A" w:rsidRDefault="004F19C4">
            <w:pPr>
              <w:pStyle w:val="Tabletext"/>
              <w:framePr w:hSpace="181" w:wrap="notBeside" w:vAnchor="text" w:hAnchor="text" w:xAlign="center" w:y="1"/>
              <w:spacing w:line="240" w:lineRule="exact"/>
              <w:jc w:val="center"/>
              <w:rPr>
                <w:lang w:val="fr-CH"/>
              </w:rPr>
            </w:pPr>
            <w:r>
              <w:rPr>
                <w:lang w:val="fr-CH"/>
              </w:rPr>
              <w:t>850</w:t>
            </w:r>
          </w:p>
        </w:tc>
      </w:tr>
      <w:tr w:rsidR="002B489A">
        <w:tc>
          <w:tcPr>
            <w:tcW w:w="4428" w:type="dxa"/>
          </w:tcPr>
          <w:p w:rsidR="002B489A" w:rsidRDefault="004F19C4">
            <w:pPr>
              <w:pStyle w:val="Tabletext"/>
              <w:framePr w:hSpace="181" w:wrap="notBeside" w:vAnchor="text" w:hAnchor="text" w:xAlign="center" w:y="1"/>
              <w:spacing w:line="240" w:lineRule="exact"/>
              <w:jc w:val="left"/>
              <w:rPr>
                <w:lang w:val="fr-CH"/>
              </w:rPr>
            </w:pPr>
            <w:r>
              <w:rPr>
                <w:lang w:val="fr-CH"/>
              </w:rPr>
              <w:t>Orbite</w:t>
            </w:r>
          </w:p>
        </w:tc>
        <w:tc>
          <w:tcPr>
            <w:tcW w:w="4804" w:type="dxa"/>
          </w:tcPr>
          <w:p w:rsidR="002B489A" w:rsidRDefault="004F19C4">
            <w:pPr>
              <w:pStyle w:val="Tabletext"/>
              <w:framePr w:hSpace="181" w:wrap="notBeside" w:vAnchor="text" w:hAnchor="text" w:xAlign="center" w:y="1"/>
              <w:spacing w:line="240" w:lineRule="exact"/>
              <w:jc w:val="center"/>
              <w:rPr>
                <w:lang w:val="fr-CH"/>
              </w:rPr>
            </w:pPr>
            <w:r>
              <w:rPr>
                <w:lang w:val="fr-CH"/>
              </w:rPr>
              <w:t>Polarisation synchrone au soleil</w:t>
            </w:r>
          </w:p>
        </w:tc>
      </w:tr>
      <w:tr w:rsidR="002B489A">
        <w:tc>
          <w:tcPr>
            <w:tcW w:w="4428" w:type="dxa"/>
          </w:tcPr>
          <w:p w:rsidR="002B489A" w:rsidRDefault="004F19C4">
            <w:pPr>
              <w:pStyle w:val="Tabletext"/>
              <w:framePr w:hSpace="181" w:wrap="notBeside" w:vAnchor="text" w:hAnchor="text" w:xAlign="center" w:y="1"/>
              <w:spacing w:line="240" w:lineRule="exact"/>
              <w:jc w:val="left"/>
              <w:rPr>
                <w:lang w:val="fr-CH"/>
              </w:rPr>
            </w:pPr>
            <w:r>
              <w:rPr>
                <w:lang w:val="fr-CH"/>
              </w:rPr>
              <w:t>Gain d'antenne du lobe principal (dBi)</w:t>
            </w:r>
          </w:p>
        </w:tc>
        <w:tc>
          <w:tcPr>
            <w:tcW w:w="4804" w:type="dxa"/>
          </w:tcPr>
          <w:p w:rsidR="002B489A" w:rsidRDefault="004F19C4">
            <w:pPr>
              <w:pStyle w:val="Tabletext"/>
              <w:framePr w:hSpace="181" w:wrap="notBeside" w:vAnchor="text" w:hAnchor="text" w:xAlign="center" w:y="1"/>
              <w:spacing w:line="240" w:lineRule="exact"/>
              <w:jc w:val="center"/>
              <w:rPr>
                <w:lang w:val="fr-CH"/>
              </w:rPr>
            </w:pPr>
            <w:r>
              <w:rPr>
                <w:lang w:val="fr-CH"/>
              </w:rPr>
              <w:t>45</w:t>
            </w:r>
          </w:p>
        </w:tc>
      </w:tr>
      <w:tr w:rsidR="002B489A">
        <w:tc>
          <w:tcPr>
            <w:tcW w:w="4428" w:type="dxa"/>
          </w:tcPr>
          <w:p w:rsidR="002B489A" w:rsidRDefault="004F19C4">
            <w:pPr>
              <w:pStyle w:val="Tabletext"/>
              <w:framePr w:hSpace="181" w:wrap="notBeside" w:vAnchor="text" w:hAnchor="text" w:xAlign="center" w:y="1"/>
              <w:spacing w:line="240" w:lineRule="exact"/>
              <w:jc w:val="left"/>
              <w:rPr>
                <w:lang w:val="fr-CH"/>
              </w:rPr>
            </w:pPr>
            <w:r>
              <w:rPr>
                <w:lang w:val="fr-CH"/>
              </w:rPr>
              <w:t>Ouverture de faisceau d'antenne à 3 dB (degrés)</w:t>
            </w:r>
          </w:p>
        </w:tc>
        <w:tc>
          <w:tcPr>
            <w:tcW w:w="4804" w:type="dxa"/>
          </w:tcPr>
          <w:p w:rsidR="002B489A" w:rsidRDefault="004F19C4">
            <w:pPr>
              <w:pStyle w:val="Tabletext"/>
              <w:framePr w:hSpace="181" w:wrap="notBeside" w:vAnchor="text" w:hAnchor="text" w:xAlign="center" w:y="1"/>
              <w:spacing w:line="240" w:lineRule="exact"/>
              <w:jc w:val="center"/>
              <w:rPr>
                <w:lang w:val="fr-CH"/>
              </w:rPr>
            </w:pPr>
            <w:r>
              <w:rPr>
                <w:lang w:val="fr-CH"/>
              </w:rPr>
              <w:t>1,1</w:t>
            </w:r>
          </w:p>
        </w:tc>
      </w:tr>
      <w:tr w:rsidR="002B489A">
        <w:tc>
          <w:tcPr>
            <w:tcW w:w="4428" w:type="dxa"/>
          </w:tcPr>
          <w:p w:rsidR="002B489A" w:rsidRDefault="004F19C4">
            <w:pPr>
              <w:pStyle w:val="Tabletext"/>
              <w:framePr w:hSpace="181" w:wrap="notBeside" w:vAnchor="text" w:hAnchor="text" w:xAlign="center" w:y="1"/>
              <w:spacing w:line="240" w:lineRule="exact"/>
              <w:jc w:val="left"/>
              <w:rPr>
                <w:lang w:val="fr-CH"/>
              </w:rPr>
            </w:pPr>
            <w:r>
              <w:rPr>
                <w:lang w:val="fr-CH"/>
              </w:rPr>
              <w:t>Diagramme d'antenne</w:t>
            </w:r>
          </w:p>
        </w:tc>
        <w:tc>
          <w:tcPr>
            <w:tcW w:w="4804" w:type="dxa"/>
          </w:tcPr>
          <w:p w:rsidR="002B489A" w:rsidRDefault="004F19C4">
            <w:pPr>
              <w:pStyle w:val="Tabletext"/>
              <w:framePr w:hSpace="181" w:wrap="notBeside" w:vAnchor="text" w:hAnchor="text" w:xAlign="center" w:y="1"/>
              <w:spacing w:line="240" w:lineRule="exact"/>
              <w:jc w:val="center"/>
              <w:rPr>
                <w:lang w:val="fr-CH"/>
              </w:rPr>
            </w:pPr>
            <w:r>
              <w:rPr>
                <w:lang w:val="fr-CH"/>
              </w:rPr>
              <w:t>Recommandation UIT-R F.1245</w:t>
            </w:r>
          </w:p>
        </w:tc>
      </w:tr>
      <w:tr w:rsidR="002B489A">
        <w:tc>
          <w:tcPr>
            <w:tcW w:w="4428" w:type="dxa"/>
          </w:tcPr>
          <w:p w:rsidR="002B489A" w:rsidRDefault="004F19C4">
            <w:pPr>
              <w:pStyle w:val="Tabletext"/>
              <w:framePr w:hSpace="181" w:wrap="notBeside" w:vAnchor="text" w:hAnchor="text" w:xAlign="center" w:y="1"/>
              <w:spacing w:line="240" w:lineRule="exact"/>
              <w:jc w:val="left"/>
              <w:rPr>
                <w:lang w:val="fr-CH"/>
              </w:rPr>
            </w:pPr>
            <w:r>
              <w:rPr>
                <w:lang w:val="fr-CH"/>
              </w:rPr>
              <w:t>Champ de vision (par rapport au détecteur)</w:t>
            </w:r>
          </w:p>
        </w:tc>
        <w:tc>
          <w:tcPr>
            <w:tcW w:w="4804" w:type="dxa"/>
          </w:tcPr>
          <w:p w:rsidR="002B489A" w:rsidRDefault="004F19C4">
            <w:pPr>
              <w:pStyle w:val="Tabletext"/>
              <w:framePr w:hSpace="181" w:wrap="notBeside" w:vAnchor="text" w:hAnchor="text" w:xAlign="center" w:y="1"/>
              <w:spacing w:line="240" w:lineRule="exact"/>
              <w:jc w:val="center"/>
              <w:rPr>
                <w:lang w:val="fr-CH"/>
              </w:rPr>
            </w:pPr>
            <w:r>
              <w:rPr>
                <w:rFonts w:ascii="Symbol" w:hAnsi="Symbol"/>
                <w:lang w:val="fr-CH"/>
              </w:rPr>
              <w:sym w:font="Symbol" w:char="F0B1"/>
            </w:r>
            <w:r>
              <w:rPr>
                <w:rFonts w:ascii="Tms Rmn" w:hAnsi="Tms Rmn"/>
                <w:sz w:val="12"/>
                <w:lang w:val="fr-CH"/>
              </w:rPr>
              <w:t> </w:t>
            </w:r>
            <w:r>
              <w:rPr>
                <w:lang w:val="fr-CH"/>
              </w:rPr>
              <w:t>50° dans la direction du nadir en croisant la piste</w:t>
            </w:r>
          </w:p>
        </w:tc>
      </w:tr>
      <w:tr w:rsidR="002B489A">
        <w:tc>
          <w:tcPr>
            <w:tcW w:w="4428" w:type="dxa"/>
          </w:tcPr>
          <w:p w:rsidR="002B489A" w:rsidRDefault="004F19C4">
            <w:pPr>
              <w:pStyle w:val="Tabletext"/>
              <w:framePr w:hSpace="181" w:wrap="notBeside" w:vAnchor="text" w:hAnchor="text" w:xAlign="center" w:y="1"/>
              <w:spacing w:line="240" w:lineRule="exact"/>
              <w:jc w:val="left"/>
              <w:rPr>
                <w:lang w:val="fr-CH"/>
              </w:rPr>
            </w:pPr>
            <w:r>
              <w:rPr>
                <w:lang w:val="fr-CH"/>
              </w:rPr>
              <w:t>Champ de vision (par rapport au centre de la Terre)</w:t>
            </w:r>
          </w:p>
        </w:tc>
        <w:tc>
          <w:tcPr>
            <w:tcW w:w="4804" w:type="dxa"/>
          </w:tcPr>
          <w:p w:rsidR="002B489A" w:rsidRDefault="004F19C4">
            <w:pPr>
              <w:pStyle w:val="Tabletext"/>
              <w:framePr w:hSpace="181" w:wrap="notBeside" w:vAnchor="text" w:hAnchor="text" w:xAlign="center" w:y="1"/>
              <w:spacing w:line="240" w:lineRule="exact"/>
              <w:jc w:val="center"/>
              <w:rPr>
                <w:lang w:val="fr-CH"/>
              </w:rPr>
            </w:pPr>
            <w:r>
              <w:rPr>
                <w:rFonts w:ascii="Symbol" w:hAnsi="Symbol"/>
                <w:lang w:val="fr-CH"/>
              </w:rPr>
              <w:sym w:font="Symbol" w:char="F0B1"/>
            </w:r>
            <w:r>
              <w:rPr>
                <w:rFonts w:ascii="Tms Rmn" w:hAnsi="Tms Rmn"/>
                <w:sz w:val="12"/>
                <w:lang w:val="fr-CH"/>
              </w:rPr>
              <w:t> </w:t>
            </w:r>
            <w:r>
              <w:rPr>
                <w:lang w:val="fr-CH"/>
              </w:rPr>
              <w:t>10,25° géocentrique</w:t>
            </w:r>
          </w:p>
        </w:tc>
      </w:tr>
      <w:tr w:rsidR="002B489A">
        <w:tc>
          <w:tcPr>
            <w:tcW w:w="4428" w:type="dxa"/>
          </w:tcPr>
          <w:p w:rsidR="002B489A" w:rsidRDefault="004F19C4">
            <w:pPr>
              <w:pStyle w:val="Tabletext"/>
              <w:framePr w:hSpace="181" w:wrap="notBeside" w:vAnchor="text" w:hAnchor="text" w:xAlign="center" w:y="1"/>
              <w:spacing w:line="240" w:lineRule="exact"/>
              <w:jc w:val="left"/>
              <w:rPr>
                <w:lang w:val="fr-CH"/>
              </w:rPr>
            </w:pPr>
            <w:r>
              <w:rPr>
                <w:lang w:val="fr-CH"/>
              </w:rPr>
              <w:t>Diamètre de pixel au nadir (km)</w:t>
            </w:r>
          </w:p>
        </w:tc>
        <w:tc>
          <w:tcPr>
            <w:tcW w:w="4804" w:type="dxa"/>
          </w:tcPr>
          <w:p w:rsidR="002B489A" w:rsidRDefault="004F19C4">
            <w:pPr>
              <w:pStyle w:val="Tabletext"/>
              <w:framePr w:hSpace="181" w:wrap="notBeside" w:vAnchor="text" w:hAnchor="text" w:xAlign="center" w:y="1"/>
              <w:spacing w:line="240" w:lineRule="exact"/>
              <w:jc w:val="center"/>
              <w:rPr>
                <w:lang w:val="fr-CH"/>
              </w:rPr>
            </w:pPr>
            <w:r>
              <w:rPr>
                <w:lang w:val="fr-CH"/>
              </w:rPr>
              <w:t>16</w:t>
            </w:r>
          </w:p>
        </w:tc>
      </w:tr>
      <w:tr w:rsidR="002B489A">
        <w:tc>
          <w:tcPr>
            <w:tcW w:w="4428" w:type="dxa"/>
          </w:tcPr>
          <w:p w:rsidR="002B489A" w:rsidRDefault="004F19C4">
            <w:pPr>
              <w:pStyle w:val="Tabletext"/>
              <w:framePr w:hSpace="181" w:wrap="notBeside" w:vAnchor="text" w:hAnchor="text" w:xAlign="center" w:y="1"/>
              <w:spacing w:line="240" w:lineRule="exact"/>
              <w:jc w:val="left"/>
              <w:rPr>
                <w:lang w:val="fr-CH"/>
              </w:rPr>
            </w:pPr>
            <w:r>
              <w:rPr>
                <w:lang w:val="fr-CH"/>
              </w:rPr>
              <w:t>Pixels par largeur de couloir</w:t>
            </w:r>
          </w:p>
        </w:tc>
        <w:tc>
          <w:tcPr>
            <w:tcW w:w="4804" w:type="dxa"/>
          </w:tcPr>
          <w:p w:rsidR="002B489A" w:rsidRDefault="004F19C4">
            <w:pPr>
              <w:pStyle w:val="Tabletext"/>
              <w:framePr w:hSpace="181" w:wrap="notBeside" w:vAnchor="text" w:hAnchor="text" w:xAlign="center" w:y="1"/>
              <w:spacing w:line="240" w:lineRule="exact"/>
              <w:jc w:val="center"/>
              <w:rPr>
                <w:lang w:val="fr-CH"/>
              </w:rPr>
            </w:pPr>
            <w:r>
              <w:rPr>
                <w:lang w:val="fr-CH"/>
              </w:rPr>
              <w:t>90</w:t>
            </w:r>
          </w:p>
        </w:tc>
      </w:tr>
      <w:tr w:rsidR="002B489A">
        <w:tc>
          <w:tcPr>
            <w:tcW w:w="4428" w:type="dxa"/>
          </w:tcPr>
          <w:p w:rsidR="002B489A" w:rsidRDefault="004F19C4">
            <w:pPr>
              <w:pStyle w:val="Tabletext"/>
              <w:framePr w:hSpace="181" w:wrap="notBeside" w:vAnchor="text" w:hAnchor="text" w:xAlign="center" w:y="1"/>
              <w:spacing w:line="240" w:lineRule="exact"/>
              <w:rPr>
                <w:lang w:val="fr-CH"/>
              </w:rPr>
            </w:pPr>
            <w:r>
              <w:rPr>
                <w:lang w:val="fr-CH"/>
              </w:rPr>
              <w:t>Largeur de couloir (km)</w:t>
            </w:r>
          </w:p>
        </w:tc>
        <w:tc>
          <w:tcPr>
            <w:tcW w:w="4804" w:type="dxa"/>
          </w:tcPr>
          <w:p w:rsidR="002B489A" w:rsidRDefault="004F19C4">
            <w:pPr>
              <w:pStyle w:val="Tabletext"/>
              <w:framePr w:hSpace="181" w:wrap="notBeside" w:vAnchor="text" w:hAnchor="text" w:xAlign="center" w:y="1"/>
              <w:spacing w:line="240" w:lineRule="exact"/>
              <w:jc w:val="center"/>
              <w:rPr>
                <w:lang w:val="fr-CH"/>
              </w:rPr>
            </w:pPr>
            <w:r>
              <w:rPr>
                <w:lang w:val="fr-CH"/>
              </w:rPr>
              <w:t>2</w:t>
            </w:r>
            <w:r>
              <w:rPr>
                <w:rFonts w:ascii="Tms Rmn" w:hAnsi="Tms Rmn"/>
                <w:sz w:val="12"/>
                <w:lang w:val="fr-CH"/>
              </w:rPr>
              <w:t> </w:t>
            </w:r>
            <w:r>
              <w:rPr>
                <w:lang w:val="fr-CH"/>
              </w:rPr>
              <w:t>300</w:t>
            </w:r>
          </w:p>
        </w:tc>
      </w:tr>
    </w:tbl>
    <w:p w:rsidR="002B489A" w:rsidRDefault="002B489A">
      <w:pPr>
        <w:pStyle w:val="Tablefin"/>
        <w:spacing w:before="0"/>
        <w:rPr>
          <w:lang w:val="fr-CH"/>
        </w:rPr>
      </w:pPr>
    </w:p>
    <w:p w:rsidR="002B489A" w:rsidRDefault="004F19C4">
      <w:pPr>
        <w:pStyle w:val="Heading1"/>
        <w:ind w:left="0" w:firstLine="0"/>
        <w:rPr>
          <w:lang w:val="fr-CH"/>
        </w:rPr>
      </w:pPr>
      <w:r>
        <w:rPr>
          <w:lang w:val="fr-CH"/>
        </w:rPr>
        <w:t>2</w:t>
      </w:r>
      <w:r>
        <w:rPr>
          <w:lang w:val="fr-CH"/>
        </w:rPr>
        <w:tab/>
        <w:t>SFS (Terre vers espace)</w:t>
      </w:r>
    </w:p>
    <w:p w:rsidR="002B489A" w:rsidRDefault="004F19C4">
      <w:pPr>
        <w:pStyle w:val="Heading2"/>
        <w:rPr>
          <w:lang w:val="fr-CH"/>
        </w:rPr>
      </w:pPr>
      <w:r>
        <w:rPr>
          <w:lang w:val="fr-CH"/>
        </w:rPr>
        <w:t>2.1</w:t>
      </w:r>
      <w:r>
        <w:rPr>
          <w:lang w:val="fr-CH"/>
        </w:rPr>
        <w:tab/>
        <w:t>Bande d'émission</w:t>
      </w:r>
    </w:p>
    <w:p w:rsidR="002B489A" w:rsidRDefault="004F19C4">
      <w:pPr>
        <w:rPr>
          <w:lang w:val="fr-CH"/>
        </w:rPr>
      </w:pPr>
      <w:r>
        <w:rPr>
          <w:lang w:val="fr-CH"/>
        </w:rPr>
        <w:t>Voir le Tableau 99.</w:t>
      </w:r>
    </w:p>
    <w:p w:rsidR="002B489A" w:rsidRDefault="004F19C4">
      <w:pPr>
        <w:pStyle w:val="Heading2"/>
        <w:rPr>
          <w:lang w:val="fr-CH"/>
        </w:rPr>
      </w:pPr>
      <w:r>
        <w:rPr>
          <w:lang w:val="fr-CH"/>
        </w:rPr>
        <w:t>2.2</w:t>
      </w:r>
      <w:r>
        <w:rPr>
          <w:lang w:val="fr-CH"/>
        </w:rPr>
        <w:tab/>
        <w:t>Application</w:t>
      </w:r>
    </w:p>
    <w:p w:rsidR="002B489A" w:rsidRDefault="004F19C4">
      <w:pPr>
        <w:rPr>
          <w:lang w:val="fr-CH"/>
        </w:rPr>
      </w:pPr>
      <w:r>
        <w:rPr>
          <w:lang w:val="fr-CH"/>
        </w:rPr>
        <w:t>Le service actif examiné dans la présente Annexe est le SFS (Terre vers espace) dans la bande 47,2</w:t>
      </w:r>
      <w:r>
        <w:rPr>
          <w:lang w:val="fr-CH"/>
        </w:rPr>
        <w:noBreakHyphen/>
        <w:t>50,2 GHz.</w:t>
      </w:r>
    </w:p>
    <w:p w:rsidR="002B489A" w:rsidRDefault="004F19C4">
      <w:pPr>
        <w:pStyle w:val="Heading2"/>
        <w:rPr>
          <w:lang w:val="fr-CH"/>
        </w:rPr>
      </w:pPr>
      <w:r>
        <w:rPr>
          <w:lang w:val="fr-CH"/>
        </w:rPr>
        <w:t>2.3</w:t>
      </w:r>
      <w:r>
        <w:rPr>
          <w:lang w:val="fr-CH"/>
        </w:rPr>
        <w:tab/>
        <w:t>Niveaux fondés sur la représentation spectrale</w:t>
      </w:r>
    </w:p>
    <w:p w:rsidR="002B489A" w:rsidRDefault="004F19C4">
      <w:pPr>
        <w:rPr>
          <w:lang w:val="fr-CH"/>
        </w:rPr>
      </w:pPr>
      <w:r>
        <w:rPr>
          <w:lang w:val="fr-CH"/>
        </w:rPr>
        <w:t>La présente Annexe utilise la représentation spectrale «à cosinus surélevé» qui est décrite à l'Annexe 1 de la présente Recommandation.</w:t>
      </w:r>
    </w:p>
    <w:p w:rsidR="002B489A" w:rsidRDefault="004F19C4">
      <w:pPr>
        <w:rPr>
          <w:lang w:val="fr-CH"/>
        </w:rPr>
      </w:pPr>
      <w:r>
        <w:rPr>
          <w:lang w:val="fr-CH"/>
        </w:rPr>
        <w:t>Cette représentation spectrale est destinée aux études bande par bande et est provisoire, en attendant une révision ultérieure par l'UIT-R. Elle représente d'une façon très générale la distribution de puissance typique dans les domaines des émissions hors bande et des rayonnements non essentiels sur une attribution adjacente ou voisine.</w:t>
      </w:r>
    </w:p>
    <w:p w:rsidR="002B489A" w:rsidRDefault="004F19C4">
      <w:pPr>
        <w:pStyle w:val="Heading2"/>
        <w:rPr>
          <w:lang w:val="fr-CH"/>
        </w:rPr>
      </w:pPr>
      <w:r>
        <w:rPr>
          <w:lang w:val="fr-CH"/>
        </w:rPr>
        <w:t>2.4</w:t>
      </w:r>
      <w:r>
        <w:rPr>
          <w:lang w:val="fr-CH"/>
        </w:rPr>
        <w:tab/>
        <w:t>Caractéristiques de l'émetteur</w:t>
      </w:r>
    </w:p>
    <w:p w:rsidR="002B489A" w:rsidRDefault="004F19C4">
      <w:pPr>
        <w:rPr>
          <w:lang w:val="fr-CH"/>
        </w:rPr>
      </w:pPr>
      <w:r>
        <w:rPr>
          <w:lang w:val="fr-CH"/>
        </w:rPr>
        <w:t>Les caractéristiques du SFS et du SMS sont tirées de la Recommandation UIT-R S.1328</w:t>
      </w:r>
      <w:r>
        <w:rPr>
          <w:lang w:val="fr-CH"/>
        </w:rPr>
        <w:noBreakHyphen/>
        <w:t>3 –Caractéristiques de systèmes à satellites à prendre en compte dans les analyses de partage des fréquences entre systèmes à satellites sur l'orbite des satellites géostationnaires (OSG) et système à satellites non OSG dans le service fixe par satellite (SFS), y compris les liaisons de connexion du service mobile par satellite (SMS), et figurent dans les Tableaux 101 et 102.</w:t>
      </w:r>
    </w:p>
    <w:p w:rsidR="002B489A" w:rsidRDefault="004F19C4">
      <w:pPr>
        <w:pStyle w:val="Heading2"/>
        <w:rPr>
          <w:lang w:val="fr-CH"/>
        </w:rPr>
      </w:pPr>
      <w:r>
        <w:rPr>
          <w:lang w:val="fr-CH"/>
        </w:rPr>
        <w:br w:type="page"/>
        <w:t>2.5</w:t>
      </w:r>
      <w:r>
        <w:rPr>
          <w:lang w:val="fr-CH"/>
        </w:rPr>
        <w:tab/>
        <w:t>Caractéristiques de fonctionnement</w:t>
      </w:r>
    </w:p>
    <w:p w:rsidR="002B489A" w:rsidRDefault="004F19C4">
      <w:pPr>
        <w:pStyle w:val="TableNo"/>
        <w:rPr>
          <w:lang w:val="fr-CH"/>
        </w:rPr>
      </w:pPr>
      <w:r>
        <w:rPr>
          <w:lang w:val="fr-CH"/>
        </w:rPr>
        <w:t>TABLEAU  101</w:t>
      </w:r>
    </w:p>
    <w:p w:rsidR="002B489A" w:rsidRDefault="004F19C4">
      <w:pPr>
        <w:pStyle w:val="Tabletitle"/>
        <w:rPr>
          <w:lang w:val="fr-CH"/>
        </w:rPr>
      </w:pPr>
      <w:r>
        <w:rPr>
          <w:lang w:val="fr-CH"/>
        </w:rPr>
        <w:t>Caractéristiques des liaisons montantes des stations terriennes non-OSG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6"/>
        <w:gridCol w:w="1843"/>
        <w:gridCol w:w="1851"/>
        <w:gridCol w:w="1843"/>
      </w:tblGrid>
      <w:tr w:rsidR="002B489A">
        <w:trPr>
          <w:cantSplit/>
        </w:trPr>
        <w:tc>
          <w:tcPr>
            <w:tcW w:w="2986" w:type="dxa"/>
          </w:tcPr>
          <w:p w:rsidR="002B489A" w:rsidRDefault="004F19C4">
            <w:pPr>
              <w:pStyle w:val="Tablehead"/>
              <w:framePr w:hSpace="181" w:wrap="notBeside" w:vAnchor="text" w:hAnchor="text" w:xAlign="center" w:y="1"/>
              <w:jc w:val="left"/>
              <w:rPr>
                <w:lang w:val="fr-CH"/>
              </w:rPr>
            </w:pPr>
            <w:r>
              <w:rPr>
                <w:lang w:val="fr-CH"/>
              </w:rPr>
              <w:t>Système</w:t>
            </w:r>
          </w:p>
        </w:tc>
        <w:tc>
          <w:tcPr>
            <w:tcW w:w="1843" w:type="dxa"/>
          </w:tcPr>
          <w:p w:rsidR="002B489A" w:rsidRDefault="004F19C4">
            <w:pPr>
              <w:pStyle w:val="Tablehead"/>
              <w:framePr w:hSpace="181" w:wrap="notBeside" w:vAnchor="text" w:hAnchor="text" w:xAlign="center" w:y="1"/>
              <w:rPr>
                <w:lang w:val="fr-CH"/>
              </w:rPr>
            </w:pPr>
            <w:r>
              <w:rPr>
                <w:lang w:val="fr-CH"/>
              </w:rPr>
              <w:t>MEOSAT-X</w:t>
            </w:r>
          </w:p>
        </w:tc>
        <w:tc>
          <w:tcPr>
            <w:tcW w:w="1851" w:type="dxa"/>
          </w:tcPr>
          <w:p w:rsidR="002B489A" w:rsidRDefault="004F19C4">
            <w:pPr>
              <w:pStyle w:val="Tablehead"/>
              <w:framePr w:hSpace="181" w:wrap="notBeside" w:vAnchor="text" w:hAnchor="text" w:xAlign="center" w:y="1"/>
              <w:rPr>
                <w:lang w:val="es-ES"/>
              </w:rPr>
            </w:pPr>
            <w:r>
              <w:rPr>
                <w:lang w:val="es-ES"/>
              </w:rPr>
              <w:t>LEO V1</w:t>
            </w:r>
          </w:p>
        </w:tc>
        <w:tc>
          <w:tcPr>
            <w:tcW w:w="1843" w:type="dxa"/>
          </w:tcPr>
          <w:p w:rsidR="002B489A" w:rsidRDefault="004F19C4">
            <w:pPr>
              <w:pStyle w:val="Tablehead"/>
              <w:framePr w:hSpace="181" w:wrap="notBeside" w:vAnchor="text" w:hAnchor="text" w:xAlign="center" w:y="1"/>
              <w:rPr>
                <w:lang w:val="es-ES"/>
              </w:rPr>
            </w:pPr>
            <w:r>
              <w:rPr>
                <w:lang w:val="es-ES"/>
              </w:rPr>
              <w:t>LEO V2</w:t>
            </w:r>
          </w:p>
        </w:tc>
      </w:tr>
      <w:tr w:rsidR="002B489A">
        <w:trPr>
          <w:cantSplit/>
        </w:trPr>
        <w:tc>
          <w:tcPr>
            <w:tcW w:w="2986" w:type="dxa"/>
          </w:tcPr>
          <w:p w:rsidR="002B489A" w:rsidRDefault="004F19C4">
            <w:pPr>
              <w:pStyle w:val="Tabletext"/>
              <w:framePr w:hSpace="181" w:wrap="notBeside" w:vAnchor="text" w:hAnchor="text" w:xAlign="center" w:y="1"/>
              <w:rPr>
                <w:lang w:val="fr-CH"/>
              </w:rPr>
            </w:pPr>
            <w:r>
              <w:rPr>
                <w:lang w:val="fr-CH"/>
              </w:rPr>
              <w:t>Orbite</w:t>
            </w:r>
          </w:p>
        </w:tc>
        <w:tc>
          <w:tcPr>
            <w:tcW w:w="1843" w:type="dxa"/>
          </w:tcPr>
          <w:p w:rsidR="002B489A" w:rsidRDefault="004F19C4">
            <w:pPr>
              <w:pStyle w:val="Tabletext"/>
              <w:framePr w:hSpace="181" w:wrap="notBeside" w:vAnchor="text" w:hAnchor="text" w:xAlign="center" w:y="1"/>
              <w:jc w:val="center"/>
              <w:rPr>
                <w:lang w:val="fr-CH"/>
              </w:rPr>
            </w:pPr>
            <w:r>
              <w:rPr>
                <w:lang w:val="fr-CH"/>
              </w:rPr>
              <w:t>Circulaire</w:t>
            </w:r>
          </w:p>
        </w:tc>
        <w:tc>
          <w:tcPr>
            <w:tcW w:w="1851" w:type="dxa"/>
          </w:tcPr>
          <w:p w:rsidR="002B489A" w:rsidRDefault="004F19C4">
            <w:pPr>
              <w:pStyle w:val="Tabletext"/>
              <w:framePr w:hSpace="181" w:wrap="notBeside" w:vAnchor="text" w:hAnchor="text" w:xAlign="center" w:y="1"/>
              <w:jc w:val="center"/>
              <w:rPr>
                <w:lang w:val="fr-CH"/>
              </w:rPr>
            </w:pPr>
            <w:r>
              <w:rPr>
                <w:lang w:val="fr-CH"/>
              </w:rPr>
              <w:t>Circulaire</w:t>
            </w:r>
          </w:p>
        </w:tc>
        <w:tc>
          <w:tcPr>
            <w:tcW w:w="1843" w:type="dxa"/>
          </w:tcPr>
          <w:p w:rsidR="002B489A" w:rsidRDefault="004F19C4">
            <w:pPr>
              <w:pStyle w:val="Tabletext"/>
              <w:framePr w:hSpace="181" w:wrap="notBeside" w:vAnchor="text" w:hAnchor="text" w:xAlign="center" w:y="1"/>
              <w:jc w:val="center"/>
              <w:rPr>
                <w:lang w:val="fr-CH"/>
              </w:rPr>
            </w:pPr>
            <w:r>
              <w:rPr>
                <w:lang w:val="fr-CH"/>
              </w:rPr>
              <w:t>Circulaire</w:t>
            </w:r>
          </w:p>
        </w:tc>
      </w:tr>
      <w:tr w:rsidR="002B489A">
        <w:trPr>
          <w:cantSplit/>
        </w:trPr>
        <w:tc>
          <w:tcPr>
            <w:tcW w:w="2986" w:type="dxa"/>
          </w:tcPr>
          <w:p w:rsidR="002B489A" w:rsidRDefault="004F19C4">
            <w:pPr>
              <w:pStyle w:val="Tabletext"/>
              <w:framePr w:hSpace="181" w:wrap="notBeside" w:vAnchor="text" w:hAnchor="text" w:xAlign="center" w:y="1"/>
              <w:rPr>
                <w:lang w:val="fr-CH"/>
              </w:rPr>
            </w:pPr>
            <w:r>
              <w:rPr>
                <w:lang w:val="fr-CH"/>
              </w:rPr>
              <w:t>Altitude (km)</w:t>
            </w:r>
          </w:p>
        </w:tc>
        <w:tc>
          <w:tcPr>
            <w:tcW w:w="1843" w:type="dxa"/>
          </w:tcPr>
          <w:p w:rsidR="002B489A" w:rsidRDefault="004F19C4">
            <w:pPr>
              <w:pStyle w:val="Tabletext"/>
              <w:framePr w:hSpace="181" w:wrap="notBeside" w:vAnchor="text" w:hAnchor="text" w:xAlign="center" w:y="1"/>
              <w:jc w:val="center"/>
              <w:rPr>
                <w:lang w:val="fr-CH"/>
              </w:rPr>
            </w:pPr>
            <w:r>
              <w:rPr>
                <w:lang w:val="fr-CH"/>
              </w:rPr>
              <w:t>10</w:t>
            </w:r>
            <w:r>
              <w:rPr>
                <w:rFonts w:ascii="Tms Rmn" w:hAnsi="Tms Rmn"/>
                <w:sz w:val="12"/>
                <w:lang w:val="fr-CH"/>
              </w:rPr>
              <w:t> </w:t>
            </w:r>
            <w:r>
              <w:rPr>
                <w:lang w:val="fr-CH"/>
              </w:rPr>
              <w:t>352</w:t>
            </w:r>
          </w:p>
        </w:tc>
        <w:tc>
          <w:tcPr>
            <w:tcW w:w="1851" w:type="dxa"/>
          </w:tcPr>
          <w:p w:rsidR="002B489A" w:rsidRDefault="004F19C4">
            <w:pPr>
              <w:pStyle w:val="Tabletext"/>
              <w:framePr w:hSpace="181" w:wrap="notBeside" w:vAnchor="text" w:hAnchor="text" w:xAlign="center" w:y="1"/>
              <w:jc w:val="center"/>
              <w:rPr>
                <w:lang w:val="fr-CH"/>
              </w:rPr>
            </w:pPr>
            <w:r>
              <w:rPr>
                <w:lang w:val="fr-CH"/>
              </w:rPr>
              <w:t>1</w:t>
            </w:r>
            <w:r>
              <w:rPr>
                <w:rFonts w:ascii="Tms Rmn" w:hAnsi="Tms Rmn"/>
                <w:sz w:val="12"/>
                <w:lang w:val="fr-CH"/>
              </w:rPr>
              <w:t> </w:t>
            </w:r>
            <w:r>
              <w:rPr>
                <w:lang w:val="fr-CH"/>
              </w:rPr>
              <w:t>350</w:t>
            </w:r>
          </w:p>
        </w:tc>
        <w:tc>
          <w:tcPr>
            <w:tcW w:w="1843" w:type="dxa"/>
          </w:tcPr>
          <w:p w:rsidR="002B489A" w:rsidRDefault="004F19C4">
            <w:pPr>
              <w:pStyle w:val="Tabletext"/>
              <w:framePr w:hSpace="181" w:wrap="notBeside" w:vAnchor="text" w:hAnchor="text" w:xAlign="center" w:y="1"/>
              <w:jc w:val="center"/>
              <w:rPr>
                <w:lang w:val="fr-CH"/>
              </w:rPr>
            </w:pPr>
            <w:r>
              <w:rPr>
                <w:lang w:val="fr-CH"/>
              </w:rPr>
              <w:t>10</w:t>
            </w:r>
            <w:r>
              <w:rPr>
                <w:rFonts w:ascii="Tms Rmn" w:hAnsi="Tms Rmn"/>
                <w:sz w:val="12"/>
                <w:lang w:val="fr-CH"/>
              </w:rPr>
              <w:t> </w:t>
            </w:r>
            <w:r>
              <w:rPr>
                <w:lang w:val="fr-CH"/>
              </w:rPr>
              <w:t>355</w:t>
            </w:r>
          </w:p>
        </w:tc>
      </w:tr>
      <w:tr w:rsidR="002B489A">
        <w:trPr>
          <w:cantSplit/>
        </w:trPr>
        <w:tc>
          <w:tcPr>
            <w:tcW w:w="2986" w:type="dxa"/>
          </w:tcPr>
          <w:p w:rsidR="002B489A" w:rsidRDefault="004F19C4">
            <w:pPr>
              <w:pStyle w:val="Tabletext"/>
              <w:framePr w:hSpace="181" w:wrap="notBeside" w:vAnchor="text" w:hAnchor="text" w:xAlign="center" w:y="1"/>
              <w:rPr>
                <w:lang w:val="fr-CH"/>
              </w:rPr>
            </w:pPr>
            <w:r>
              <w:rPr>
                <w:lang w:val="fr-CH"/>
              </w:rPr>
              <w:t>Inclinaison (degrés)</w:t>
            </w:r>
          </w:p>
        </w:tc>
        <w:tc>
          <w:tcPr>
            <w:tcW w:w="1843" w:type="dxa"/>
          </w:tcPr>
          <w:p w:rsidR="002B489A" w:rsidRDefault="004F19C4">
            <w:pPr>
              <w:pStyle w:val="Tabletext"/>
              <w:framePr w:hSpace="181" w:wrap="notBeside" w:vAnchor="text" w:hAnchor="text" w:xAlign="center" w:y="1"/>
              <w:jc w:val="center"/>
              <w:rPr>
                <w:lang w:val="fr-CH"/>
              </w:rPr>
            </w:pPr>
            <w:r>
              <w:rPr>
                <w:lang w:val="fr-CH"/>
              </w:rPr>
              <w:t>50</w:t>
            </w:r>
          </w:p>
        </w:tc>
        <w:tc>
          <w:tcPr>
            <w:tcW w:w="1851" w:type="dxa"/>
          </w:tcPr>
          <w:p w:rsidR="002B489A" w:rsidRDefault="004F19C4">
            <w:pPr>
              <w:pStyle w:val="Tabletext"/>
              <w:framePr w:hSpace="181" w:wrap="notBeside" w:vAnchor="text" w:hAnchor="text" w:xAlign="center" w:y="1"/>
              <w:jc w:val="center"/>
              <w:rPr>
                <w:lang w:val="fr-CH"/>
              </w:rPr>
            </w:pPr>
            <w:r>
              <w:rPr>
                <w:lang w:val="fr-CH"/>
              </w:rPr>
              <w:t>47</w:t>
            </w:r>
          </w:p>
        </w:tc>
        <w:tc>
          <w:tcPr>
            <w:tcW w:w="1843" w:type="dxa"/>
          </w:tcPr>
          <w:p w:rsidR="002B489A" w:rsidRDefault="004F19C4">
            <w:pPr>
              <w:pStyle w:val="Tabletext"/>
              <w:framePr w:hSpace="181" w:wrap="notBeside" w:vAnchor="text" w:hAnchor="text" w:xAlign="center" w:y="1"/>
              <w:jc w:val="center"/>
              <w:rPr>
                <w:lang w:val="fr-CH"/>
              </w:rPr>
            </w:pPr>
            <w:r>
              <w:rPr>
                <w:lang w:val="fr-CH"/>
              </w:rPr>
              <w:t>50</w:t>
            </w:r>
          </w:p>
        </w:tc>
      </w:tr>
      <w:tr w:rsidR="002B489A">
        <w:trPr>
          <w:cantSplit/>
        </w:trPr>
        <w:tc>
          <w:tcPr>
            <w:tcW w:w="2986" w:type="dxa"/>
          </w:tcPr>
          <w:p w:rsidR="002B489A" w:rsidRDefault="004F19C4">
            <w:pPr>
              <w:pStyle w:val="Tabletext"/>
              <w:framePr w:hSpace="181" w:wrap="notBeside" w:vAnchor="text" w:hAnchor="text" w:xAlign="center" w:y="1"/>
              <w:rPr>
                <w:lang w:val="fr-CH"/>
              </w:rPr>
            </w:pPr>
            <w:r>
              <w:rPr>
                <w:lang w:val="fr-CH"/>
              </w:rPr>
              <w:t>Satellites dans le plan</w:t>
            </w:r>
          </w:p>
        </w:tc>
        <w:tc>
          <w:tcPr>
            <w:tcW w:w="1843" w:type="dxa"/>
          </w:tcPr>
          <w:p w:rsidR="002B489A" w:rsidRDefault="004F19C4">
            <w:pPr>
              <w:pStyle w:val="Tabletext"/>
              <w:framePr w:hSpace="181" w:wrap="notBeside" w:vAnchor="text" w:hAnchor="text" w:xAlign="center" w:y="1"/>
              <w:jc w:val="center"/>
              <w:rPr>
                <w:lang w:val="fr-CH"/>
              </w:rPr>
            </w:pPr>
            <w:r>
              <w:rPr>
                <w:lang w:val="fr-CH"/>
              </w:rPr>
              <w:t>8</w:t>
            </w:r>
          </w:p>
        </w:tc>
        <w:tc>
          <w:tcPr>
            <w:tcW w:w="1851" w:type="dxa"/>
          </w:tcPr>
          <w:p w:rsidR="002B489A" w:rsidRDefault="004F19C4">
            <w:pPr>
              <w:pStyle w:val="Tabletext"/>
              <w:framePr w:hSpace="181" w:wrap="notBeside" w:vAnchor="text" w:hAnchor="text" w:xAlign="center" w:y="1"/>
              <w:jc w:val="center"/>
              <w:rPr>
                <w:lang w:val="fr-CH"/>
              </w:rPr>
            </w:pPr>
            <w:r>
              <w:rPr>
                <w:lang w:val="fr-CH"/>
              </w:rPr>
              <w:t>6</w:t>
            </w:r>
          </w:p>
        </w:tc>
        <w:tc>
          <w:tcPr>
            <w:tcW w:w="1843" w:type="dxa"/>
          </w:tcPr>
          <w:p w:rsidR="002B489A" w:rsidRDefault="004F19C4">
            <w:pPr>
              <w:pStyle w:val="Tabletext"/>
              <w:framePr w:hSpace="181" w:wrap="notBeside" w:vAnchor="text" w:hAnchor="text" w:xAlign="center" w:y="1"/>
              <w:jc w:val="center"/>
              <w:rPr>
                <w:lang w:val="fr-CH"/>
              </w:rPr>
            </w:pPr>
            <w:r>
              <w:rPr>
                <w:lang w:val="fr-CH"/>
              </w:rPr>
              <w:t>5</w:t>
            </w:r>
          </w:p>
        </w:tc>
      </w:tr>
      <w:tr w:rsidR="002B489A">
        <w:trPr>
          <w:cantSplit/>
        </w:trPr>
        <w:tc>
          <w:tcPr>
            <w:tcW w:w="2986" w:type="dxa"/>
          </w:tcPr>
          <w:p w:rsidR="002B489A" w:rsidRDefault="004F19C4">
            <w:pPr>
              <w:pStyle w:val="Tabletext"/>
              <w:framePr w:hSpace="181" w:wrap="notBeside" w:vAnchor="text" w:hAnchor="text" w:xAlign="center" w:y="1"/>
              <w:rPr>
                <w:lang w:val="fr-CH"/>
              </w:rPr>
            </w:pPr>
            <w:r>
              <w:rPr>
                <w:lang w:val="fr-CH"/>
              </w:rPr>
              <w:t>Plans</w:t>
            </w:r>
          </w:p>
        </w:tc>
        <w:tc>
          <w:tcPr>
            <w:tcW w:w="1843" w:type="dxa"/>
          </w:tcPr>
          <w:p w:rsidR="002B489A" w:rsidRDefault="004F19C4">
            <w:pPr>
              <w:pStyle w:val="Tabletext"/>
              <w:framePr w:hSpace="181" w:wrap="notBeside" w:vAnchor="text" w:hAnchor="text" w:xAlign="center" w:y="1"/>
              <w:jc w:val="center"/>
              <w:rPr>
                <w:lang w:val="fr-CH"/>
              </w:rPr>
            </w:pPr>
            <w:r>
              <w:rPr>
                <w:lang w:val="fr-CH"/>
              </w:rPr>
              <w:t>4</w:t>
            </w:r>
          </w:p>
        </w:tc>
        <w:tc>
          <w:tcPr>
            <w:tcW w:w="1851" w:type="dxa"/>
          </w:tcPr>
          <w:p w:rsidR="002B489A" w:rsidRDefault="004F19C4">
            <w:pPr>
              <w:pStyle w:val="Tabletext"/>
              <w:framePr w:hSpace="181" w:wrap="notBeside" w:vAnchor="text" w:hAnchor="text" w:xAlign="center" w:y="1"/>
              <w:jc w:val="center"/>
              <w:rPr>
                <w:lang w:val="fr-CH"/>
              </w:rPr>
            </w:pPr>
            <w:r>
              <w:rPr>
                <w:lang w:val="fr-CH"/>
              </w:rPr>
              <w:t>12</w:t>
            </w:r>
          </w:p>
        </w:tc>
        <w:tc>
          <w:tcPr>
            <w:tcW w:w="1843" w:type="dxa"/>
          </w:tcPr>
          <w:p w:rsidR="002B489A" w:rsidRDefault="004F19C4">
            <w:pPr>
              <w:pStyle w:val="Tabletext"/>
              <w:framePr w:hSpace="181" w:wrap="notBeside" w:vAnchor="text" w:hAnchor="text" w:xAlign="center" w:y="1"/>
              <w:jc w:val="center"/>
              <w:rPr>
                <w:lang w:val="fr-CH"/>
              </w:rPr>
            </w:pPr>
            <w:r>
              <w:rPr>
                <w:lang w:val="fr-CH"/>
              </w:rPr>
              <w:t>3</w:t>
            </w:r>
          </w:p>
        </w:tc>
      </w:tr>
      <w:tr w:rsidR="002B489A">
        <w:trPr>
          <w:cantSplit/>
        </w:trPr>
        <w:tc>
          <w:tcPr>
            <w:tcW w:w="2986" w:type="dxa"/>
          </w:tcPr>
          <w:p w:rsidR="002B489A" w:rsidRDefault="004F19C4">
            <w:pPr>
              <w:pStyle w:val="Tabletext"/>
              <w:framePr w:hSpace="181" w:wrap="notBeside" w:vAnchor="text" w:hAnchor="text" w:xAlign="center" w:y="1"/>
              <w:rPr>
                <w:lang w:val="fr-CH"/>
              </w:rPr>
            </w:pPr>
            <w:r>
              <w:rPr>
                <w:lang w:val="fr-CH"/>
              </w:rPr>
              <w:t>Polarisation</w:t>
            </w:r>
          </w:p>
        </w:tc>
        <w:tc>
          <w:tcPr>
            <w:tcW w:w="1843" w:type="dxa"/>
          </w:tcPr>
          <w:p w:rsidR="002B489A" w:rsidRDefault="004F19C4">
            <w:pPr>
              <w:pStyle w:val="Tabletext"/>
              <w:framePr w:hSpace="181" w:wrap="notBeside" w:vAnchor="text" w:hAnchor="text" w:xAlign="center" w:y="1"/>
              <w:jc w:val="center"/>
              <w:rPr>
                <w:lang w:val="fr-CH"/>
              </w:rPr>
            </w:pPr>
            <w:r>
              <w:rPr>
                <w:lang w:val="fr-CH"/>
              </w:rPr>
              <w:t>Circulaire gauche/droite</w:t>
            </w:r>
          </w:p>
        </w:tc>
        <w:tc>
          <w:tcPr>
            <w:tcW w:w="1851" w:type="dxa"/>
          </w:tcPr>
          <w:p w:rsidR="002B489A" w:rsidRDefault="004F19C4">
            <w:pPr>
              <w:pStyle w:val="Tabletext"/>
              <w:framePr w:hSpace="181" w:wrap="notBeside" w:vAnchor="text" w:hAnchor="text" w:xAlign="center" w:y="1"/>
              <w:jc w:val="center"/>
              <w:rPr>
                <w:lang w:val="fr-CH"/>
              </w:rPr>
            </w:pPr>
            <w:r>
              <w:rPr>
                <w:lang w:val="fr-CH"/>
              </w:rPr>
              <w:t>Circulaire gauche/droite</w:t>
            </w:r>
          </w:p>
        </w:tc>
        <w:tc>
          <w:tcPr>
            <w:tcW w:w="1843" w:type="dxa"/>
          </w:tcPr>
          <w:p w:rsidR="002B489A" w:rsidRDefault="004F19C4">
            <w:pPr>
              <w:pStyle w:val="Tabletext"/>
              <w:framePr w:hSpace="181" w:wrap="notBeside" w:vAnchor="text" w:hAnchor="text" w:xAlign="center" w:y="1"/>
              <w:jc w:val="center"/>
              <w:rPr>
                <w:lang w:val="fr-CH"/>
              </w:rPr>
            </w:pPr>
            <w:r>
              <w:rPr>
                <w:lang w:val="fr-CH"/>
              </w:rPr>
              <w:t>Circulaire gauche/droite</w:t>
            </w:r>
          </w:p>
        </w:tc>
      </w:tr>
      <w:tr w:rsidR="002B489A">
        <w:trPr>
          <w:cantSplit/>
        </w:trPr>
        <w:tc>
          <w:tcPr>
            <w:tcW w:w="2986" w:type="dxa"/>
          </w:tcPr>
          <w:p w:rsidR="002B489A" w:rsidRDefault="004F19C4">
            <w:pPr>
              <w:pStyle w:val="Tabletext"/>
              <w:framePr w:hSpace="181" w:wrap="notBeside" w:vAnchor="text" w:hAnchor="text" w:xAlign="center" w:y="1"/>
              <w:rPr>
                <w:lang w:val="fr-CH"/>
              </w:rPr>
            </w:pPr>
            <w:r>
              <w:rPr>
                <w:lang w:val="fr-CH"/>
              </w:rPr>
              <w:t>Modulation</w:t>
            </w:r>
          </w:p>
        </w:tc>
        <w:tc>
          <w:tcPr>
            <w:tcW w:w="1843" w:type="dxa"/>
          </w:tcPr>
          <w:p w:rsidR="002B489A" w:rsidRDefault="004F19C4">
            <w:pPr>
              <w:pStyle w:val="Tabletext"/>
              <w:framePr w:hSpace="181" w:wrap="notBeside" w:vAnchor="text" w:hAnchor="text" w:xAlign="center" w:y="1"/>
              <w:jc w:val="center"/>
              <w:rPr>
                <w:lang w:val="fr-CH"/>
              </w:rPr>
            </w:pPr>
            <w:r>
              <w:rPr>
                <w:lang w:val="fr-CH"/>
              </w:rPr>
              <w:t>MDP-4-O</w:t>
            </w:r>
          </w:p>
        </w:tc>
        <w:tc>
          <w:tcPr>
            <w:tcW w:w="1851" w:type="dxa"/>
          </w:tcPr>
          <w:p w:rsidR="002B489A" w:rsidRDefault="004F19C4">
            <w:pPr>
              <w:pStyle w:val="Tabletext"/>
              <w:framePr w:hSpace="181" w:wrap="notBeside" w:vAnchor="text" w:hAnchor="text" w:xAlign="center" w:y="1"/>
              <w:jc w:val="center"/>
              <w:rPr>
                <w:lang w:val="fr-CH"/>
              </w:rPr>
            </w:pPr>
            <w:r>
              <w:rPr>
                <w:lang w:val="fr-CH"/>
              </w:rPr>
              <w:t>MDP-4</w:t>
            </w:r>
          </w:p>
        </w:tc>
        <w:tc>
          <w:tcPr>
            <w:tcW w:w="1843" w:type="dxa"/>
          </w:tcPr>
          <w:p w:rsidR="002B489A" w:rsidRDefault="004F19C4">
            <w:pPr>
              <w:pStyle w:val="Tabletext"/>
              <w:framePr w:hSpace="181" w:wrap="notBeside" w:vAnchor="text" w:hAnchor="text" w:xAlign="center" w:y="1"/>
              <w:jc w:val="center"/>
              <w:rPr>
                <w:lang w:val="fr-CH"/>
              </w:rPr>
            </w:pPr>
            <w:r>
              <w:rPr>
                <w:lang w:val="fr-CH"/>
              </w:rPr>
              <w:t>MDP-4-O</w:t>
            </w:r>
          </w:p>
        </w:tc>
      </w:tr>
      <w:tr w:rsidR="002B489A">
        <w:trPr>
          <w:cantSplit/>
        </w:trPr>
        <w:tc>
          <w:tcPr>
            <w:tcW w:w="2986" w:type="dxa"/>
          </w:tcPr>
          <w:p w:rsidR="002B489A" w:rsidRDefault="004F19C4">
            <w:pPr>
              <w:pStyle w:val="Tabletext"/>
              <w:framePr w:hSpace="181" w:wrap="notBeside" w:vAnchor="text" w:hAnchor="text" w:xAlign="center" w:y="1"/>
              <w:rPr>
                <w:lang w:val="fr-CH"/>
              </w:rPr>
            </w:pPr>
            <w:r>
              <w:rPr>
                <w:lang w:val="fr-CH"/>
              </w:rPr>
              <w:t>Largeur de bande (MHz)</w:t>
            </w:r>
          </w:p>
        </w:tc>
        <w:tc>
          <w:tcPr>
            <w:tcW w:w="1843" w:type="dxa"/>
          </w:tcPr>
          <w:p w:rsidR="002B489A" w:rsidRDefault="004F19C4">
            <w:pPr>
              <w:pStyle w:val="Tabletext"/>
              <w:framePr w:hSpace="181" w:wrap="notBeside" w:vAnchor="text" w:hAnchor="text" w:xAlign="center" w:y="1"/>
              <w:jc w:val="center"/>
              <w:rPr>
                <w:lang w:val="fr-CH"/>
              </w:rPr>
            </w:pPr>
            <w:r>
              <w:rPr>
                <w:lang w:val="fr-CH"/>
              </w:rPr>
              <w:t>500</w:t>
            </w:r>
          </w:p>
        </w:tc>
        <w:tc>
          <w:tcPr>
            <w:tcW w:w="1851" w:type="dxa"/>
          </w:tcPr>
          <w:p w:rsidR="002B489A" w:rsidRDefault="004F19C4">
            <w:pPr>
              <w:pStyle w:val="Tabletext"/>
              <w:framePr w:hSpace="181" w:wrap="notBeside" w:vAnchor="text" w:hAnchor="text" w:xAlign="center" w:y="1"/>
              <w:jc w:val="center"/>
              <w:rPr>
                <w:lang w:val="fr-CH"/>
              </w:rPr>
            </w:pPr>
            <w:r>
              <w:rPr>
                <w:lang w:val="fr-CH"/>
              </w:rPr>
              <w:t>90</w:t>
            </w:r>
          </w:p>
        </w:tc>
        <w:tc>
          <w:tcPr>
            <w:tcW w:w="1843" w:type="dxa"/>
          </w:tcPr>
          <w:p w:rsidR="002B489A" w:rsidRDefault="004F19C4">
            <w:pPr>
              <w:pStyle w:val="Tabletext"/>
              <w:framePr w:hSpace="181" w:wrap="notBeside" w:vAnchor="text" w:hAnchor="text" w:xAlign="center" w:y="1"/>
              <w:jc w:val="center"/>
              <w:rPr>
                <w:lang w:val="fr-CH"/>
              </w:rPr>
            </w:pPr>
            <w:r>
              <w:rPr>
                <w:lang w:val="fr-CH"/>
              </w:rPr>
              <w:t>300</w:t>
            </w:r>
          </w:p>
        </w:tc>
      </w:tr>
      <w:tr w:rsidR="002B489A">
        <w:trPr>
          <w:cantSplit/>
        </w:trPr>
        <w:tc>
          <w:tcPr>
            <w:tcW w:w="2986" w:type="dxa"/>
          </w:tcPr>
          <w:p w:rsidR="002B489A" w:rsidRDefault="004F19C4">
            <w:pPr>
              <w:pStyle w:val="Tabletext"/>
              <w:framePr w:hSpace="181" w:wrap="notBeside" w:vAnchor="text" w:hAnchor="text" w:xAlign="center" w:y="1"/>
              <w:rPr>
                <w:lang w:val="fr-CH"/>
              </w:rPr>
            </w:pPr>
            <w:r>
              <w:rPr>
                <w:lang w:val="fr-CH"/>
              </w:rPr>
              <w:t xml:space="preserve">Attribution passive (% de </w:t>
            </w:r>
            <w:r>
              <w:rPr>
                <w:i/>
                <w:lang w:val="fr-CH"/>
              </w:rPr>
              <w:t>B</w:t>
            </w:r>
            <w:r>
              <w:rPr>
                <w:i/>
                <w:vertAlign w:val="subscript"/>
                <w:lang w:val="fr-CH"/>
              </w:rPr>
              <w:t>N</w:t>
            </w:r>
            <w:r>
              <w:rPr>
                <w:lang w:val="fr-CH"/>
              </w:rPr>
              <w:t>)</w:t>
            </w:r>
          </w:p>
        </w:tc>
        <w:tc>
          <w:tcPr>
            <w:tcW w:w="1843" w:type="dxa"/>
          </w:tcPr>
          <w:p w:rsidR="002B489A" w:rsidRDefault="004F19C4">
            <w:pPr>
              <w:pStyle w:val="Tabletext"/>
              <w:framePr w:hSpace="181" w:wrap="notBeside" w:vAnchor="text" w:hAnchor="text" w:xAlign="center" w:y="1"/>
              <w:jc w:val="center"/>
              <w:rPr>
                <w:lang w:val="fr-CH"/>
              </w:rPr>
            </w:pPr>
            <w:r>
              <w:rPr>
                <w:lang w:val="fr-CH"/>
              </w:rPr>
              <w:t>40</w:t>
            </w:r>
          </w:p>
        </w:tc>
        <w:tc>
          <w:tcPr>
            <w:tcW w:w="1851" w:type="dxa"/>
          </w:tcPr>
          <w:p w:rsidR="002B489A" w:rsidRDefault="004F19C4">
            <w:pPr>
              <w:pStyle w:val="Tabletext"/>
              <w:framePr w:hSpace="181" w:wrap="notBeside" w:vAnchor="text" w:hAnchor="text" w:xAlign="center" w:y="1"/>
              <w:jc w:val="center"/>
              <w:rPr>
                <w:lang w:val="fr-CH"/>
              </w:rPr>
            </w:pPr>
            <w:r>
              <w:rPr>
                <w:lang w:val="fr-CH"/>
              </w:rPr>
              <w:t>222</w:t>
            </w:r>
          </w:p>
        </w:tc>
        <w:tc>
          <w:tcPr>
            <w:tcW w:w="1843" w:type="dxa"/>
          </w:tcPr>
          <w:p w:rsidR="002B489A" w:rsidRDefault="004F19C4">
            <w:pPr>
              <w:pStyle w:val="Tabletext"/>
              <w:framePr w:hSpace="181" w:wrap="notBeside" w:vAnchor="text" w:hAnchor="text" w:xAlign="center" w:y="1"/>
              <w:jc w:val="center"/>
              <w:rPr>
                <w:lang w:val="fr-CH"/>
              </w:rPr>
            </w:pPr>
            <w:r>
              <w:rPr>
                <w:lang w:val="fr-CH"/>
              </w:rPr>
              <w:t>67</w:t>
            </w:r>
          </w:p>
        </w:tc>
      </w:tr>
      <w:tr w:rsidR="002B489A">
        <w:trPr>
          <w:cantSplit/>
        </w:trPr>
        <w:tc>
          <w:tcPr>
            <w:tcW w:w="2986" w:type="dxa"/>
          </w:tcPr>
          <w:p w:rsidR="002B489A" w:rsidRDefault="004F19C4">
            <w:pPr>
              <w:pStyle w:val="Tabletext"/>
              <w:framePr w:hSpace="181" w:wrap="notBeside" w:vAnchor="text" w:hAnchor="text" w:xAlign="center" w:y="1"/>
              <w:rPr>
                <w:lang w:val="fr-CH"/>
              </w:rPr>
            </w:pPr>
            <w:r>
              <w:rPr>
                <w:lang w:val="fr-CH"/>
              </w:rPr>
              <w:t>p.i.r.e. (dBW)</w:t>
            </w:r>
          </w:p>
        </w:tc>
        <w:tc>
          <w:tcPr>
            <w:tcW w:w="1843" w:type="dxa"/>
          </w:tcPr>
          <w:p w:rsidR="002B489A" w:rsidRDefault="004F19C4">
            <w:pPr>
              <w:pStyle w:val="Tabletext"/>
              <w:framePr w:hSpace="181" w:wrap="notBeside" w:vAnchor="text" w:hAnchor="text" w:xAlign="center" w:y="1"/>
              <w:jc w:val="center"/>
              <w:rPr>
                <w:lang w:val="fr-CH"/>
              </w:rPr>
            </w:pPr>
            <w:r>
              <w:rPr>
                <w:lang w:val="fr-CH"/>
              </w:rPr>
              <w:t>88</w:t>
            </w:r>
          </w:p>
        </w:tc>
        <w:tc>
          <w:tcPr>
            <w:tcW w:w="1851" w:type="dxa"/>
          </w:tcPr>
          <w:p w:rsidR="002B489A" w:rsidRDefault="004F19C4">
            <w:pPr>
              <w:pStyle w:val="Tabletext"/>
              <w:framePr w:hSpace="181" w:wrap="notBeside" w:vAnchor="text" w:hAnchor="text" w:xAlign="center" w:y="1"/>
              <w:jc w:val="center"/>
              <w:rPr>
                <w:lang w:val="fr-CH"/>
              </w:rPr>
            </w:pPr>
            <w:r>
              <w:rPr>
                <w:lang w:val="fr-CH"/>
              </w:rPr>
              <w:t>60,2</w:t>
            </w:r>
          </w:p>
        </w:tc>
        <w:tc>
          <w:tcPr>
            <w:tcW w:w="1843" w:type="dxa"/>
          </w:tcPr>
          <w:p w:rsidR="002B489A" w:rsidRDefault="004F19C4">
            <w:pPr>
              <w:pStyle w:val="Tabletext"/>
              <w:framePr w:hSpace="181" w:wrap="notBeside" w:vAnchor="text" w:hAnchor="text" w:xAlign="center" w:y="1"/>
              <w:jc w:val="center"/>
              <w:rPr>
                <w:lang w:val="fr-CH"/>
              </w:rPr>
            </w:pPr>
            <w:r>
              <w:rPr>
                <w:lang w:val="fr-CH"/>
              </w:rPr>
              <w:t>69,7</w:t>
            </w:r>
          </w:p>
        </w:tc>
      </w:tr>
      <w:tr w:rsidR="002B489A">
        <w:trPr>
          <w:cantSplit/>
        </w:trPr>
        <w:tc>
          <w:tcPr>
            <w:tcW w:w="2986" w:type="dxa"/>
          </w:tcPr>
          <w:p w:rsidR="002B489A" w:rsidRDefault="004F19C4">
            <w:pPr>
              <w:pStyle w:val="Tabletext"/>
              <w:framePr w:hSpace="181" w:wrap="notBeside" w:vAnchor="text" w:hAnchor="text" w:xAlign="center" w:y="1"/>
              <w:rPr>
                <w:lang w:val="fr-CH"/>
              </w:rPr>
            </w:pPr>
            <w:r>
              <w:rPr>
                <w:lang w:val="fr-CH"/>
              </w:rPr>
              <w:t>Gain d'antenne (dBi)</w:t>
            </w:r>
          </w:p>
        </w:tc>
        <w:tc>
          <w:tcPr>
            <w:tcW w:w="1843" w:type="dxa"/>
          </w:tcPr>
          <w:p w:rsidR="002B489A" w:rsidRDefault="004F19C4">
            <w:pPr>
              <w:pStyle w:val="Tabletext"/>
              <w:framePr w:hSpace="181" w:wrap="notBeside" w:vAnchor="text" w:hAnchor="text" w:xAlign="center" w:y="1"/>
              <w:jc w:val="center"/>
              <w:rPr>
                <w:lang w:val="fr-CH"/>
              </w:rPr>
            </w:pPr>
            <w:r>
              <w:rPr>
                <w:lang w:val="fr-CH"/>
              </w:rPr>
              <w:t>66,08</w:t>
            </w:r>
          </w:p>
        </w:tc>
        <w:tc>
          <w:tcPr>
            <w:tcW w:w="1851" w:type="dxa"/>
          </w:tcPr>
          <w:p w:rsidR="002B489A" w:rsidRDefault="004F19C4">
            <w:pPr>
              <w:pStyle w:val="Tabletext"/>
              <w:framePr w:hSpace="181" w:wrap="notBeside" w:vAnchor="text" w:hAnchor="text" w:xAlign="center" w:y="1"/>
              <w:jc w:val="center"/>
              <w:rPr>
                <w:lang w:val="fr-CH"/>
              </w:rPr>
            </w:pPr>
            <w:r>
              <w:rPr>
                <w:lang w:val="fr-CH"/>
              </w:rPr>
              <w:t>54,4</w:t>
            </w:r>
          </w:p>
        </w:tc>
        <w:tc>
          <w:tcPr>
            <w:tcW w:w="1843" w:type="dxa"/>
          </w:tcPr>
          <w:p w:rsidR="002B489A" w:rsidRDefault="004F19C4">
            <w:pPr>
              <w:pStyle w:val="Tabletext"/>
              <w:framePr w:hSpace="181" w:wrap="notBeside" w:vAnchor="text" w:hAnchor="text" w:xAlign="center" w:y="1"/>
              <w:jc w:val="center"/>
              <w:rPr>
                <w:lang w:val="fr-CH"/>
              </w:rPr>
            </w:pPr>
            <w:r>
              <w:rPr>
                <w:lang w:val="fr-CH"/>
              </w:rPr>
              <w:t>57,8</w:t>
            </w:r>
          </w:p>
        </w:tc>
      </w:tr>
      <w:tr w:rsidR="002B489A">
        <w:trPr>
          <w:cantSplit/>
        </w:trPr>
        <w:tc>
          <w:tcPr>
            <w:tcW w:w="2986" w:type="dxa"/>
            <w:vAlign w:val="center"/>
          </w:tcPr>
          <w:p w:rsidR="002B489A" w:rsidRDefault="004F19C4">
            <w:pPr>
              <w:pStyle w:val="Tabletext"/>
              <w:framePr w:hSpace="181" w:wrap="notBeside" w:vAnchor="text" w:hAnchor="text" w:xAlign="center" w:y="1"/>
              <w:rPr>
                <w:lang w:val="fr-CH"/>
              </w:rPr>
            </w:pPr>
            <w:r>
              <w:rPr>
                <w:lang w:val="fr-CH"/>
              </w:rPr>
              <w:t>Puissance d'émission (dBW)</w:t>
            </w:r>
          </w:p>
        </w:tc>
        <w:tc>
          <w:tcPr>
            <w:tcW w:w="1843" w:type="dxa"/>
            <w:vAlign w:val="center"/>
          </w:tcPr>
          <w:p w:rsidR="002B489A" w:rsidRDefault="004F19C4">
            <w:pPr>
              <w:pStyle w:val="Tabletext"/>
              <w:framePr w:hSpace="181" w:wrap="notBeside" w:vAnchor="text" w:hAnchor="text" w:xAlign="center" w:y="1"/>
              <w:jc w:val="center"/>
              <w:rPr>
                <w:lang w:val="fr-CH"/>
              </w:rPr>
            </w:pPr>
            <w:r>
              <w:rPr>
                <w:lang w:val="fr-CH"/>
              </w:rPr>
              <w:t>21,92</w:t>
            </w:r>
          </w:p>
        </w:tc>
        <w:tc>
          <w:tcPr>
            <w:tcW w:w="1851" w:type="dxa"/>
            <w:vAlign w:val="center"/>
          </w:tcPr>
          <w:p w:rsidR="002B489A" w:rsidRDefault="004F19C4">
            <w:pPr>
              <w:pStyle w:val="Tabletext"/>
              <w:framePr w:hSpace="181" w:wrap="notBeside" w:vAnchor="text" w:hAnchor="text" w:xAlign="center" w:y="1"/>
              <w:jc w:val="center"/>
              <w:rPr>
                <w:lang w:val="fr-CH"/>
              </w:rPr>
            </w:pPr>
            <w:r>
              <w:rPr>
                <w:lang w:val="fr-CH"/>
              </w:rPr>
              <w:t>5,8</w:t>
            </w:r>
          </w:p>
        </w:tc>
        <w:tc>
          <w:tcPr>
            <w:tcW w:w="1843" w:type="dxa"/>
            <w:vAlign w:val="center"/>
          </w:tcPr>
          <w:p w:rsidR="002B489A" w:rsidRDefault="004F19C4">
            <w:pPr>
              <w:pStyle w:val="Tabletext"/>
              <w:framePr w:hSpace="181" w:wrap="notBeside" w:vAnchor="text" w:hAnchor="text" w:xAlign="center" w:y="1"/>
              <w:jc w:val="center"/>
              <w:rPr>
                <w:lang w:val="fr-CH"/>
              </w:rPr>
            </w:pPr>
            <w:r>
              <w:rPr>
                <w:lang w:val="fr-CH"/>
              </w:rPr>
              <w:t>11,9</w:t>
            </w:r>
          </w:p>
        </w:tc>
      </w:tr>
    </w:tbl>
    <w:p w:rsidR="002B489A" w:rsidRDefault="002B489A">
      <w:pPr>
        <w:pStyle w:val="Tablefin"/>
        <w:spacing w:before="0"/>
      </w:pPr>
    </w:p>
    <w:p w:rsidR="002B489A" w:rsidRDefault="004F19C4">
      <w:pPr>
        <w:pStyle w:val="TableNo"/>
        <w:rPr>
          <w:lang w:val="fr-CH"/>
        </w:rPr>
      </w:pPr>
      <w:r>
        <w:rPr>
          <w:lang w:val="fr-CH"/>
        </w:rPr>
        <w:t>TABLEAU  102</w:t>
      </w:r>
    </w:p>
    <w:p w:rsidR="002B489A" w:rsidRDefault="004F19C4">
      <w:pPr>
        <w:pStyle w:val="Tabletitle"/>
        <w:rPr>
          <w:lang w:val="fr-CH"/>
        </w:rPr>
      </w:pPr>
      <w:r>
        <w:rPr>
          <w:lang w:val="fr-CH"/>
        </w:rPr>
        <w:t>Caractéristiques des liaisons montantes des stations terriennes OSG</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4"/>
        <w:gridCol w:w="1337"/>
        <w:gridCol w:w="1338"/>
        <w:gridCol w:w="1338"/>
        <w:gridCol w:w="1338"/>
        <w:gridCol w:w="1012"/>
        <w:gridCol w:w="1012"/>
      </w:tblGrid>
      <w:tr w:rsidR="002B489A">
        <w:trPr>
          <w:cantSplit/>
        </w:trPr>
        <w:tc>
          <w:tcPr>
            <w:tcW w:w="2288" w:type="dxa"/>
            <w:vMerge w:val="restart"/>
            <w:vAlign w:val="center"/>
          </w:tcPr>
          <w:p w:rsidR="002B489A" w:rsidRDefault="004F19C4">
            <w:pPr>
              <w:pStyle w:val="Tablehead"/>
              <w:framePr w:hSpace="181" w:wrap="notBeside" w:vAnchor="text" w:hAnchor="text" w:xAlign="center" w:y="1"/>
              <w:jc w:val="left"/>
            </w:pPr>
            <w:r>
              <w:t>Système</w:t>
            </w:r>
          </w:p>
        </w:tc>
        <w:tc>
          <w:tcPr>
            <w:tcW w:w="1349" w:type="dxa"/>
            <w:vMerge w:val="restart"/>
            <w:vAlign w:val="center"/>
          </w:tcPr>
          <w:p w:rsidR="002B489A" w:rsidRDefault="004F19C4">
            <w:pPr>
              <w:pStyle w:val="Tablehead"/>
              <w:framePr w:hSpace="181" w:wrap="notBeside" w:vAnchor="text" w:hAnchor="text" w:xAlign="center" w:y="1"/>
            </w:pPr>
            <w:r>
              <w:t>GSO-VX</w:t>
            </w:r>
          </w:p>
        </w:tc>
        <w:tc>
          <w:tcPr>
            <w:tcW w:w="1350" w:type="dxa"/>
            <w:vMerge w:val="restart"/>
            <w:vAlign w:val="center"/>
          </w:tcPr>
          <w:p w:rsidR="002B489A" w:rsidRDefault="004F19C4">
            <w:pPr>
              <w:pStyle w:val="Tablehead"/>
              <w:framePr w:hSpace="181" w:wrap="notBeside" w:vAnchor="text" w:hAnchor="text" w:xAlign="center" w:y="1"/>
              <w:rPr>
                <w:lang w:val="en-US"/>
              </w:rPr>
            </w:pPr>
            <w:r>
              <w:rPr>
                <w:lang w:val="en-US"/>
              </w:rPr>
              <w:t>GEO-SV</w:t>
            </w:r>
          </w:p>
        </w:tc>
        <w:tc>
          <w:tcPr>
            <w:tcW w:w="2700" w:type="dxa"/>
            <w:gridSpan w:val="2"/>
            <w:vAlign w:val="center"/>
          </w:tcPr>
          <w:p w:rsidR="002B489A" w:rsidRDefault="004F19C4">
            <w:pPr>
              <w:pStyle w:val="Tablehead"/>
              <w:framePr w:hSpace="181" w:wrap="notBeside" w:vAnchor="text" w:hAnchor="text" w:xAlign="center" w:y="1"/>
              <w:rPr>
                <w:lang w:val="en-US"/>
              </w:rPr>
            </w:pPr>
            <w:r>
              <w:rPr>
                <w:lang w:val="en-US"/>
              </w:rPr>
              <w:t>GEOSAT</w:t>
            </w:r>
          </w:p>
        </w:tc>
        <w:tc>
          <w:tcPr>
            <w:tcW w:w="1021" w:type="dxa"/>
            <w:vMerge w:val="restart"/>
            <w:vAlign w:val="center"/>
          </w:tcPr>
          <w:p w:rsidR="002B489A" w:rsidRDefault="004F19C4">
            <w:pPr>
              <w:pStyle w:val="Tablehead"/>
              <w:framePr w:hSpace="181" w:wrap="notBeside" w:vAnchor="text" w:hAnchor="text" w:xAlign="center" w:y="1"/>
              <w:ind w:left="-85" w:right="-85"/>
              <w:rPr>
                <w:lang w:val="en-US"/>
              </w:rPr>
            </w:pPr>
            <w:r>
              <w:rPr>
                <w:lang w:val="en-US"/>
              </w:rPr>
              <w:t>GSOV</w:t>
            </w:r>
            <w:r>
              <w:rPr>
                <w:lang w:val="en-US"/>
              </w:rPr>
              <w:noBreakHyphen/>
              <w:t>B1</w:t>
            </w:r>
          </w:p>
        </w:tc>
        <w:tc>
          <w:tcPr>
            <w:tcW w:w="1021" w:type="dxa"/>
            <w:vMerge w:val="restart"/>
            <w:vAlign w:val="center"/>
          </w:tcPr>
          <w:p w:rsidR="002B489A" w:rsidRDefault="004F19C4">
            <w:pPr>
              <w:pStyle w:val="Tablehead"/>
              <w:framePr w:hSpace="181" w:wrap="notBeside" w:vAnchor="text" w:hAnchor="text" w:xAlign="center" w:y="1"/>
              <w:ind w:left="-85" w:right="-85"/>
              <w:rPr>
                <w:lang w:val="en-US"/>
              </w:rPr>
            </w:pPr>
            <w:r>
              <w:rPr>
                <w:lang w:val="en-US"/>
              </w:rPr>
              <w:t>GSOV</w:t>
            </w:r>
            <w:r>
              <w:rPr>
                <w:lang w:val="en-US"/>
              </w:rPr>
              <w:noBreakHyphen/>
              <w:t>B2</w:t>
            </w:r>
          </w:p>
        </w:tc>
      </w:tr>
      <w:tr w:rsidR="002B489A">
        <w:trPr>
          <w:cantSplit/>
        </w:trPr>
        <w:tc>
          <w:tcPr>
            <w:tcW w:w="2288" w:type="dxa"/>
            <w:vMerge/>
          </w:tcPr>
          <w:p w:rsidR="002B489A" w:rsidRDefault="002B489A">
            <w:pPr>
              <w:pStyle w:val="Tabletext"/>
              <w:framePr w:hSpace="181" w:wrap="notBeside" w:vAnchor="text" w:hAnchor="text" w:xAlign="center" w:y="1"/>
              <w:jc w:val="left"/>
              <w:rPr>
                <w:rStyle w:val="Appdef"/>
                <w:b w:val="0"/>
                <w:lang w:val="en-US"/>
              </w:rPr>
            </w:pPr>
          </w:p>
        </w:tc>
        <w:tc>
          <w:tcPr>
            <w:tcW w:w="1349" w:type="dxa"/>
            <w:vMerge/>
          </w:tcPr>
          <w:p w:rsidR="002B489A" w:rsidRDefault="002B489A">
            <w:pPr>
              <w:pStyle w:val="Tabletext"/>
              <w:framePr w:hSpace="181" w:wrap="notBeside" w:vAnchor="text" w:hAnchor="text" w:xAlign="center" w:y="1"/>
              <w:ind w:left="-57" w:right="-57"/>
              <w:jc w:val="center"/>
              <w:rPr>
                <w:lang w:val="en-US"/>
              </w:rPr>
            </w:pPr>
          </w:p>
        </w:tc>
        <w:tc>
          <w:tcPr>
            <w:tcW w:w="1350" w:type="dxa"/>
            <w:vMerge/>
          </w:tcPr>
          <w:p w:rsidR="002B489A" w:rsidRDefault="002B489A">
            <w:pPr>
              <w:pStyle w:val="Tabletext"/>
              <w:framePr w:hSpace="181" w:wrap="notBeside" w:vAnchor="text" w:hAnchor="text" w:xAlign="center" w:y="1"/>
              <w:ind w:left="-57" w:right="-57"/>
              <w:jc w:val="center"/>
              <w:rPr>
                <w:lang w:val="en-US"/>
              </w:rPr>
            </w:pPr>
          </w:p>
        </w:tc>
        <w:tc>
          <w:tcPr>
            <w:tcW w:w="1350" w:type="dxa"/>
          </w:tcPr>
          <w:p w:rsidR="002B489A" w:rsidRDefault="004F19C4">
            <w:pPr>
              <w:pStyle w:val="Tablehead"/>
              <w:framePr w:hSpace="181" w:wrap="notBeside" w:vAnchor="text" w:hAnchor="text" w:xAlign="center" w:y="1"/>
            </w:pPr>
            <w:r>
              <w:t>Passerelle</w:t>
            </w:r>
          </w:p>
        </w:tc>
        <w:tc>
          <w:tcPr>
            <w:tcW w:w="1350" w:type="dxa"/>
          </w:tcPr>
          <w:p w:rsidR="002B489A" w:rsidRDefault="004F19C4">
            <w:pPr>
              <w:pStyle w:val="Tablehead"/>
              <w:framePr w:hSpace="181" w:wrap="notBeside" w:vAnchor="text" w:hAnchor="text" w:xAlign="center" w:y="1"/>
            </w:pPr>
            <w:r>
              <w:t>Usager</w:t>
            </w:r>
          </w:p>
        </w:tc>
        <w:tc>
          <w:tcPr>
            <w:tcW w:w="1021" w:type="dxa"/>
            <w:vMerge/>
          </w:tcPr>
          <w:p w:rsidR="002B489A" w:rsidRDefault="002B489A">
            <w:pPr>
              <w:pStyle w:val="Tabletext"/>
              <w:framePr w:hSpace="181" w:wrap="notBeside" w:vAnchor="text" w:hAnchor="text" w:xAlign="center" w:y="1"/>
              <w:jc w:val="center"/>
              <w:rPr>
                <w:rStyle w:val="Appdef"/>
                <w:b w:val="0"/>
                <w:lang w:val="fr-CH"/>
              </w:rPr>
            </w:pPr>
          </w:p>
        </w:tc>
        <w:tc>
          <w:tcPr>
            <w:tcW w:w="1021" w:type="dxa"/>
            <w:vMerge/>
          </w:tcPr>
          <w:p w:rsidR="002B489A" w:rsidRDefault="002B489A">
            <w:pPr>
              <w:pStyle w:val="Tabletext"/>
              <w:framePr w:hSpace="181" w:wrap="notBeside" w:vAnchor="text" w:hAnchor="text" w:xAlign="center" w:y="1"/>
              <w:jc w:val="center"/>
              <w:rPr>
                <w:rStyle w:val="Appdef"/>
                <w:b w:val="0"/>
                <w:lang w:val="fr-CH"/>
              </w:rPr>
            </w:pPr>
          </w:p>
        </w:tc>
      </w:tr>
      <w:tr w:rsidR="002B489A">
        <w:tc>
          <w:tcPr>
            <w:tcW w:w="2288" w:type="dxa"/>
          </w:tcPr>
          <w:p w:rsidR="002B489A" w:rsidRDefault="004F19C4">
            <w:pPr>
              <w:pStyle w:val="Tabletext"/>
              <w:framePr w:hSpace="181" w:wrap="notBeside" w:vAnchor="text" w:hAnchor="text" w:xAlign="center" w:y="1"/>
              <w:jc w:val="left"/>
              <w:rPr>
                <w:rStyle w:val="Appdef"/>
                <w:b w:val="0"/>
                <w:lang w:val="fr-CH"/>
              </w:rPr>
            </w:pPr>
            <w:r>
              <w:rPr>
                <w:rStyle w:val="Appdef"/>
                <w:b w:val="0"/>
                <w:lang w:val="fr-CH"/>
              </w:rPr>
              <w:t>Polarisation</w:t>
            </w:r>
          </w:p>
        </w:tc>
        <w:tc>
          <w:tcPr>
            <w:tcW w:w="1349" w:type="dxa"/>
          </w:tcPr>
          <w:p w:rsidR="002B489A" w:rsidRDefault="004F19C4">
            <w:pPr>
              <w:pStyle w:val="Tabletext"/>
              <w:framePr w:hSpace="181" w:wrap="notBeside" w:vAnchor="text" w:hAnchor="text" w:xAlign="center" w:y="1"/>
              <w:ind w:left="-57" w:right="-57"/>
              <w:jc w:val="center"/>
              <w:rPr>
                <w:lang w:val="fr-CH"/>
              </w:rPr>
            </w:pPr>
            <w:r>
              <w:rPr>
                <w:lang w:val="fr-CH"/>
              </w:rPr>
              <w:t>Circulaire gauche/droite</w:t>
            </w:r>
          </w:p>
        </w:tc>
        <w:tc>
          <w:tcPr>
            <w:tcW w:w="1350" w:type="dxa"/>
          </w:tcPr>
          <w:p w:rsidR="002B489A" w:rsidRDefault="004F19C4">
            <w:pPr>
              <w:pStyle w:val="Tabletext"/>
              <w:framePr w:hSpace="181" w:wrap="notBeside" w:vAnchor="text" w:hAnchor="text" w:xAlign="center" w:y="1"/>
              <w:ind w:left="-57" w:right="-57"/>
              <w:jc w:val="center"/>
              <w:rPr>
                <w:lang w:val="fr-CH"/>
              </w:rPr>
            </w:pPr>
            <w:r>
              <w:rPr>
                <w:lang w:val="fr-CH"/>
              </w:rPr>
              <w:t>Circulaire gauche/droite</w:t>
            </w:r>
          </w:p>
        </w:tc>
        <w:tc>
          <w:tcPr>
            <w:tcW w:w="1350" w:type="dxa"/>
          </w:tcPr>
          <w:p w:rsidR="002B489A" w:rsidRDefault="004F19C4">
            <w:pPr>
              <w:pStyle w:val="Tabletext"/>
              <w:framePr w:hSpace="181" w:wrap="notBeside" w:vAnchor="text" w:hAnchor="text" w:xAlign="center" w:y="1"/>
              <w:ind w:left="-57" w:right="-57"/>
              <w:jc w:val="center"/>
              <w:rPr>
                <w:lang w:val="fr-CH"/>
              </w:rPr>
            </w:pPr>
            <w:r>
              <w:rPr>
                <w:lang w:val="fr-CH"/>
              </w:rPr>
              <w:t>Circulaire gauche/droite</w:t>
            </w:r>
          </w:p>
        </w:tc>
        <w:tc>
          <w:tcPr>
            <w:tcW w:w="1350" w:type="dxa"/>
          </w:tcPr>
          <w:p w:rsidR="002B489A" w:rsidRDefault="004F19C4">
            <w:pPr>
              <w:pStyle w:val="Tabletext"/>
              <w:framePr w:hSpace="181" w:wrap="notBeside" w:vAnchor="text" w:hAnchor="text" w:xAlign="center" w:y="1"/>
              <w:ind w:left="-57" w:right="-57"/>
              <w:jc w:val="center"/>
              <w:rPr>
                <w:lang w:val="fr-CH"/>
              </w:rPr>
            </w:pPr>
            <w:r>
              <w:rPr>
                <w:lang w:val="fr-CH"/>
              </w:rPr>
              <w:t>Circulaire gauche/droite</w:t>
            </w:r>
          </w:p>
        </w:tc>
        <w:tc>
          <w:tcPr>
            <w:tcW w:w="1021" w:type="dxa"/>
          </w:tcPr>
          <w:p w:rsidR="002B489A" w:rsidRDefault="004F19C4">
            <w:pPr>
              <w:pStyle w:val="Tabletext"/>
              <w:framePr w:hSpace="181" w:wrap="notBeside" w:vAnchor="text" w:hAnchor="text" w:xAlign="center" w:y="1"/>
              <w:jc w:val="center"/>
              <w:rPr>
                <w:rStyle w:val="Appdef"/>
                <w:b w:val="0"/>
                <w:lang w:val="fr-CH"/>
              </w:rPr>
            </w:pPr>
            <w:r>
              <w:rPr>
                <w:rStyle w:val="Appdef"/>
                <w:b w:val="0"/>
                <w:lang w:val="fr-CH"/>
              </w:rPr>
              <w:t>Linéaire</w:t>
            </w:r>
          </w:p>
        </w:tc>
        <w:tc>
          <w:tcPr>
            <w:tcW w:w="1021" w:type="dxa"/>
          </w:tcPr>
          <w:p w:rsidR="002B489A" w:rsidRDefault="002B489A">
            <w:pPr>
              <w:pStyle w:val="Tabletext"/>
              <w:framePr w:hSpace="181" w:wrap="notBeside" w:vAnchor="text" w:hAnchor="text" w:xAlign="center" w:y="1"/>
              <w:jc w:val="center"/>
              <w:rPr>
                <w:rStyle w:val="Appdef"/>
                <w:b w:val="0"/>
                <w:lang w:val="fr-CH"/>
              </w:rPr>
            </w:pPr>
          </w:p>
        </w:tc>
      </w:tr>
      <w:tr w:rsidR="002B489A">
        <w:tc>
          <w:tcPr>
            <w:tcW w:w="2288" w:type="dxa"/>
          </w:tcPr>
          <w:p w:rsidR="002B489A" w:rsidRDefault="004F19C4">
            <w:pPr>
              <w:pStyle w:val="Tabletext"/>
              <w:framePr w:hSpace="181" w:wrap="notBeside" w:vAnchor="text" w:hAnchor="text" w:xAlign="center" w:y="1"/>
              <w:jc w:val="left"/>
              <w:rPr>
                <w:rStyle w:val="Appdef"/>
                <w:b w:val="0"/>
                <w:lang w:val="fr-CH"/>
              </w:rPr>
            </w:pPr>
            <w:r>
              <w:rPr>
                <w:rStyle w:val="Appdef"/>
                <w:b w:val="0"/>
                <w:lang w:val="fr-CH"/>
              </w:rPr>
              <w:t>Modulation</w:t>
            </w:r>
          </w:p>
        </w:tc>
        <w:tc>
          <w:tcPr>
            <w:tcW w:w="1349" w:type="dxa"/>
          </w:tcPr>
          <w:p w:rsidR="002B489A" w:rsidRDefault="004F19C4">
            <w:pPr>
              <w:pStyle w:val="Tabletext"/>
              <w:framePr w:hSpace="181" w:wrap="notBeside" w:vAnchor="text" w:hAnchor="text" w:xAlign="center" w:y="1"/>
              <w:jc w:val="center"/>
              <w:rPr>
                <w:rStyle w:val="Appdef"/>
                <w:b w:val="0"/>
                <w:lang w:val="fr-CH"/>
              </w:rPr>
            </w:pPr>
            <w:r>
              <w:rPr>
                <w:rStyle w:val="Appdef"/>
                <w:b w:val="0"/>
                <w:lang w:val="fr-CH"/>
              </w:rPr>
              <w:t>MDP-4-D</w:t>
            </w:r>
          </w:p>
        </w:tc>
        <w:tc>
          <w:tcPr>
            <w:tcW w:w="1350" w:type="dxa"/>
          </w:tcPr>
          <w:p w:rsidR="002B489A" w:rsidRDefault="004F19C4">
            <w:pPr>
              <w:pStyle w:val="Tabletext"/>
              <w:framePr w:hSpace="181" w:wrap="notBeside" w:vAnchor="text" w:hAnchor="text" w:xAlign="center" w:y="1"/>
              <w:jc w:val="center"/>
              <w:rPr>
                <w:rStyle w:val="Appdef"/>
                <w:b w:val="0"/>
                <w:lang w:val="en-US"/>
              </w:rPr>
            </w:pPr>
            <w:r>
              <w:rPr>
                <w:rStyle w:val="Appdef"/>
                <w:b w:val="0"/>
                <w:lang w:val="en-US"/>
              </w:rPr>
              <w:t>MDP-4-D</w:t>
            </w:r>
          </w:p>
        </w:tc>
        <w:tc>
          <w:tcPr>
            <w:tcW w:w="1350" w:type="dxa"/>
          </w:tcPr>
          <w:p w:rsidR="002B489A" w:rsidRDefault="004F19C4">
            <w:pPr>
              <w:pStyle w:val="Tabletext"/>
              <w:framePr w:hSpace="181" w:wrap="notBeside" w:vAnchor="text" w:hAnchor="text" w:xAlign="center" w:y="1"/>
              <w:jc w:val="center"/>
              <w:rPr>
                <w:rStyle w:val="Appdef"/>
                <w:b w:val="0"/>
                <w:lang w:val="en-US"/>
              </w:rPr>
            </w:pPr>
            <w:r>
              <w:rPr>
                <w:rStyle w:val="Appdef"/>
                <w:b w:val="0"/>
                <w:lang w:val="en-US"/>
              </w:rPr>
              <w:t>MDP-4</w:t>
            </w:r>
          </w:p>
        </w:tc>
        <w:tc>
          <w:tcPr>
            <w:tcW w:w="1350" w:type="dxa"/>
          </w:tcPr>
          <w:p w:rsidR="002B489A" w:rsidRDefault="004F19C4">
            <w:pPr>
              <w:pStyle w:val="Tabletext"/>
              <w:framePr w:hSpace="181" w:wrap="notBeside" w:vAnchor="text" w:hAnchor="text" w:xAlign="center" w:y="1"/>
              <w:jc w:val="center"/>
              <w:rPr>
                <w:rStyle w:val="Appdef"/>
                <w:b w:val="0"/>
                <w:lang w:val="en-US"/>
              </w:rPr>
            </w:pPr>
            <w:r>
              <w:rPr>
                <w:rStyle w:val="Appdef"/>
                <w:b w:val="0"/>
                <w:lang w:val="en-US"/>
              </w:rPr>
              <w:t>MDP-4</w:t>
            </w:r>
          </w:p>
        </w:tc>
        <w:tc>
          <w:tcPr>
            <w:tcW w:w="1021" w:type="dxa"/>
          </w:tcPr>
          <w:p w:rsidR="002B489A" w:rsidRDefault="004F19C4">
            <w:pPr>
              <w:pStyle w:val="Tabletext"/>
              <w:framePr w:hSpace="181" w:wrap="notBeside" w:vAnchor="text" w:hAnchor="text" w:xAlign="center" w:y="1"/>
              <w:jc w:val="center"/>
              <w:rPr>
                <w:rStyle w:val="Appdef"/>
                <w:b w:val="0"/>
                <w:lang w:val="en-US"/>
              </w:rPr>
            </w:pPr>
            <w:r>
              <w:rPr>
                <w:rStyle w:val="Appdef"/>
                <w:b w:val="0"/>
                <w:lang w:val="en-US"/>
              </w:rPr>
              <w:t>MDP-4</w:t>
            </w:r>
          </w:p>
        </w:tc>
        <w:tc>
          <w:tcPr>
            <w:tcW w:w="1021" w:type="dxa"/>
          </w:tcPr>
          <w:p w:rsidR="002B489A" w:rsidRDefault="004F19C4">
            <w:pPr>
              <w:pStyle w:val="Tabletext"/>
              <w:framePr w:hSpace="181" w:wrap="notBeside" w:vAnchor="text" w:hAnchor="text" w:xAlign="center" w:y="1"/>
              <w:jc w:val="center"/>
              <w:rPr>
                <w:rStyle w:val="Appdef"/>
                <w:b w:val="0"/>
                <w:lang w:val="en-US"/>
              </w:rPr>
            </w:pPr>
            <w:r>
              <w:rPr>
                <w:rStyle w:val="Appdef"/>
                <w:b w:val="0"/>
                <w:lang w:val="en-US"/>
              </w:rPr>
              <w:t>MDP-4</w:t>
            </w:r>
          </w:p>
        </w:tc>
      </w:tr>
      <w:tr w:rsidR="002B489A">
        <w:tc>
          <w:tcPr>
            <w:tcW w:w="2288" w:type="dxa"/>
          </w:tcPr>
          <w:p w:rsidR="002B489A" w:rsidRDefault="004F19C4">
            <w:pPr>
              <w:pStyle w:val="Tabletext"/>
              <w:framePr w:hSpace="181" w:wrap="notBeside" w:vAnchor="text" w:hAnchor="text" w:xAlign="center" w:y="1"/>
              <w:jc w:val="left"/>
              <w:rPr>
                <w:lang w:val="fr-CH"/>
              </w:rPr>
            </w:pPr>
            <w:r>
              <w:rPr>
                <w:lang w:val="fr-CH"/>
              </w:rPr>
              <w:t>Largeur de bande (MHz)</w:t>
            </w:r>
          </w:p>
        </w:tc>
        <w:tc>
          <w:tcPr>
            <w:tcW w:w="1349" w:type="dxa"/>
          </w:tcPr>
          <w:p w:rsidR="002B489A" w:rsidRDefault="004F19C4">
            <w:pPr>
              <w:pStyle w:val="Tabletext"/>
              <w:framePr w:hSpace="181" w:wrap="notBeside" w:vAnchor="text" w:hAnchor="text" w:xAlign="center" w:y="1"/>
              <w:jc w:val="center"/>
              <w:rPr>
                <w:lang w:val="fr-CH"/>
              </w:rPr>
            </w:pPr>
            <w:r>
              <w:rPr>
                <w:lang w:val="fr-CH"/>
              </w:rPr>
              <w:t>300</w:t>
            </w:r>
          </w:p>
        </w:tc>
        <w:tc>
          <w:tcPr>
            <w:tcW w:w="1350" w:type="dxa"/>
          </w:tcPr>
          <w:p w:rsidR="002B489A" w:rsidRDefault="004F19C4">
            <w:pPr>
              <w:pStyle w:val="Tabletext"/>
              <w:framePr w:hSpace="181" w:wrap="notBeside" w:vAnchor="text" w:hAnchor="text" w:xAlign="center" w:y="1"/>
              <w:jc w:val="center"/>
              <w:rPr>
                <w:lang w:val="fr-CH"/>
              </w:rPr>
            </w:pPr>
            <w:r>
              <w:rPr>
                <w:lang w:val="fr-CH"/>
              </w:rPr>
              <w:t>200</w:t>
            </w:r>
          </w:p>
        </w:tc>
        <w:tc>
          <w:tcPr>
            <w:tcW w:w="1350" w:type="dxa"/>
          </w:tcPr>
          <w:p w:rsidR="002B489A" w:rsidRDefault="004F19C4">
            <w:pPr>
              <w:pStyle w:val="Tabletext"/>
              <w:framePr w:hSpace="181" w:wrap="notBeside" w:vAnchor="text" w:hAnchor="text" w:xAlign="center" w:y="1"/>
              <w:jc w:val="center"/>
              <w:rPr>
                <w:lang w:val="fr-CH"/>
              </w:rPr>
            </w:pPr>
            <w:r>
              <w:rPr>
                <w:lang w:val="fr-CH"/>
              </w:rPr>
              <w:t>125</w:t>
            </w:r>
          </w:p>
        </w:tc>
        <w:tc>
          <w:tcPr>
            <w:tcW w:w="1350" w:type="dxa"/>
          </w:tcPr>
          <w:p w:rsidR="002B489A" w:rsidRDefault="004F19C4">
            <w:pPr>
              <w:pStyle w:val="Tabletext"/>
              <w:framePr w:hSpace="181" w:wrap="notBeside" w:vAnchor="text" w:hAnchor="text" w:xAlign="center" w:y="1"/>
              <w:jc w:val="center"/>
              <w:rPr>
                <w:lang w:val="fr-CH"/>
              </w:rPr>
            </w:pPr>
            <w:r>
              <w:rPr>
                <w:lang w:val="fr-CH"/>
              </w:rPr>
              <w:t>11</w:t>
            </w:r>
          </w:p>
        </w:tc>
        <w:tc>
          <w:tcPr>
            <w:tcW w:w="1021" w:type="dxa"/>
          </w:tcPr>
          <w:p w:rsidR="002B489A" w:rsidRDefault="004F19C4">
            <w:pPr>
              <w:pStyle w:val="Tabletext"/>
              <w:framePr w:hSpace="181" w:wrap="notBeside" w:vAnchor="text" w:hAnchor="text" w:xAlign="center" w:y="1"/>
              <w:jc w:val="center"/>
              <w:rPr>
                <w:lang w:val="fr-CH"/>
              </w:rPr>
            </w:pPr>
            <w:r>
              <w:rPr>
                <w:lang w:val="fr-CH"/>
              </w:rPr>
              <w:t>105,6</w:t>
            </w:r>
          </w:p>
        </w:tc>
        <w:tc>
          <w:tcPr>
            <w:tcW w:w="1021" w:type="dxa"/>
          </w:tcPr>
          <w:p w:rsidR="002B489A" w:rsidRDefault="004F19C4">
            <w:pPr>
              <w:pStyle w:val="Tabletext"/>
              <w:framePr w:hSpace="181" w:wrap="notBeside" w:vAnchor="text" w:hAnchor="text" w:xAlign="center" w:y="1"/>
              <w:jc w:val="center"/>
              <w:rPr>
                <w:lang w:val="fr-CH"/>
              </w:rPr>
            </w:pPr>
            <w:r>
              <w:rPr>
                <w:lang w:val="fr-CH"/>
              </w:rPr>
              <w:t>150</w:t>
            </w:r>
          </w:p>
        </w:tc>
      </w:tr>
      <w:tr w:rsidR="002B489A">
        <w:tc>
          <w:tcPr>
            <w:tcW w:w="2288" w:type="dxa"/>
          </w:tcPr>
          <w:p w:rsidR="002B489A" w:rsidRDefault="004F19C4">
            <w:pPr>
              <w:pStyle w:val="Tabletext"/>
              <w:framePr w:hSpace="181" w:wrap="notBeside" w:vAnchor="text" w:hAnchor="text" w:xAlign="center" w:y="1"/>
              <w:jc w:val="left"/>
              <w:rPr>
                <w:lang w:val="fr-CH"/>
              </w:rPr>
            </w:pPr>
            <w:r>
              <w:rPr>
                <w:lang w:val="fr-CH"/>
              </w:rPr>
              <w:t xml:space="preserve">Attribution passive (% de </w:t>
            </w:r>
            <w:r>
              <w:rPr>
                <w:i/>
                <w:lang w:val="fr-CH"/>
              </w:rPr>
              <w:t>B</w:t>
            </w:r>
            <w:r>
              <w:rPr>
                <w:i/>
                <w:vertAlign w:val="subscript"/>
                <w:lang w:val="fr-CH"/>
              </w:rPr>
              <w:t>N</w:t>
            </w:r>
            <w:r>
              <w:rPr>
                <w:lang w:val="fr-CH"/>
              </w:rPr>
              <w:t>)</w:t>
            </w:r>
          </w:p>
        </w:tc>
        <w:tc>
          <w:tcPr>
            <w:tcW w:w="1349" w:type="dxa"/>
          </w:tcPr>
          <w:p w:rsidR="002B489A" w:rsidRDefault="002B489A">
            <w:pPr>
              <w:pStyle w:val="Tabletext"/>
              <w:framePr w:hSpace="181" w:wrap="notBeside" w:vAnchor="text" w:hAnchor="text" w:xAlign="center" w:y="1"/>
              <w:jc w:val="center"/>
              <w:rPr>
                <w:lang w:val="fr-CH"/>
              </w:rPr>
            </w:pPr>
          </w:p>
        </w:tc>
        <w:tc>
          <w:tcPr>
            <w:tcW w:w="1350" w:type="dxa"/>
          </w:tcPr>
          <w:p w:rsidR="002B489A" w:rsidRDefault="002B489A">
            <w:pPr>
              <w:pStyle w:val="Tabletext"/>
              <w:framePr w:hSpace="181" w:wrap="notBeside" w:vAnchor="text" w:hAnchor="text" w:xAlign="center" w:y="1"/>
              <w:jc w:val="center"/>
              <w:rPr>
                <w:lang w:val="fr-CH"/>
              </w:rPr>
            </w:pPr>
          </w:p>
        </w:tc>
        <w:tc>
          <w:tcPr>
            <w:tcW w:w="1350" w:type="dxa"/>
          </w:tcPr>
          <w:p w:rsidR="002B489A" w:rsidRDefault="002B489A">
            <w:pPr>
              <w:pStyle w:val="Tabletext"/>
              <w:framePr w:hSpace="181" w:wrap="notBeside" w:vAnchor="text" w:hAnchor="text" w:xAlign="center" w:y="1"/>
              <w:jc w:val="center"/>
              <w:rPr>
                <w:lang w:val="fr-CH"/>
              </w:rPr>
            </w:pPr>
          </w:p>
        </w:tc>
        <w:tc>
          <w:tcPr>
            <w:tcW w:w="1350" w:type="dxa"/>
          </w:tcPr>
          <w:p w:rsidR="002B489A" w:rsidRDefault="002B489A">
            <w:pPr>
              <w:pStyle w:val="Tabletext"/>
              <w:framePr w:hSpace="181" w:wrap="notBeside" w:vAnchor="text" w:hAnchor="text" w:xAlign="center" w:y="1"/>
              <w:jc w:val="center"/>
              <w:rPr>
                <w:lang w:val="fr-CH"/>
              </w:rPr>
            </w:pPr>
          </w:p>
        </w:tc>
        <w:tc>
          <w:tcPr>
            <w:tcW w:w="1021" w:type="dxa"/>
          </w:tcPr>
          <w:p w:rsidR="002B489A" w:rsidRDefault="002B489A">
            <w:pPr>
              <w:pStyle w:val="Tabletext"/>
              <w:framePr w:hSpace="181" w:wrap="notBeside" w:vAnchor="text" w:hAnchor="text" w:xAlign="center" w:y="1"/>
              <w:jc w:val="center"/>
              <w:rPr>
                <w:lang w:val="fr-CH"/>
              </w:rPr>
            </w:pPr>
          </w:p>
        </w:tc>
        <w:tc>
          <w:tcPr>
            <w:tcW w:w="1021" w:type="dxa"/>
          </w:tcPr>
          <w:p w:rsidR="002B489A" w:rsidRDefault="002B489A">
            <w:pPr>
              <w:pStyle w:val="Tabletext"/>
              <w:framePr w:hSpace="181" w:wrap="notBeside" w:vAnchor="text" w:hAnchor="text" w:xAlign="center" w:y="1"/>
              <w:jc w:val="center"/>
              <w:rPr>
                <w:lang w:val="fr-CH"/>
              </w:rPr>
            </w:pPr>
          </w:p>
        </w:tc>
      </w:tr>
      <w:tr w:rsidR="002B489A">
        <w:tc>
          <w:tcPr>
            <w:tcW w:w="2288" w:type="dxa"/>
          </w:tcPr>
          <w:p w:rsidR="002B489A" w:rsidRDefault="004F19C4">
            <w:pPr>
              <w:pStyle w:val="Tabletext"/>
              <w:framePr w:hSpace="181" w:wrap="notBeside" w:vAnchor="text" w:hAnchor="text" w:xAlign="center" w:y="1"/>
              <w:jc w:val="left"/>
              <w:rPr>
                <w:lang w:val="fr-CH"/>
              </w:rPr>
            </w:pPr>
            <w:r>
              <w:rPr>
                <w:lang w:val="fr-CH"/>
              </w:rPr>
              <w:t>p.i.r.e. (dBW)</w:t>
            </w:r>
          </w:p>
        </w:tc>
        <w:tc>
          <w:tcPr>
            <w:tcW w:w="1349" w:type="dxa"/>
          </w:tcPr>
          <w:p w:rsidR="002B489A" w:rsidRDefault="004F19C4">
            <w:pPr>
              <w:pStyle w:val="Tabletext"/>
              <w:framePr w:hSpace="181" w:wrap="notBeside" w:vAnchor="text" w:hAnchor="text" w:xAlign="center" w:y="1"/>
              <w:jc w:val="center"/>
              <w:rPr>
                <w:lang w:val="fr-CH"/>
              </w:rPr>
            </w:pPr>
            <w:r>
              <w:rPr>
                <w:lang w:val="fr-CH"/>
              </w:rPr>
              <w:t>73,8</w:t>
            </w:r>
          </w:p>
        </w:tc>
        <w:tc>
          <w:tcPr>
            <w:tcW w:w="1350" w:type="dxa"/>
          </w:tcPr>
          <w:p w:rsidR="002B489A" w:rsidRDefault="004F19C4">
            <w:pPr>
              <w:pStyle w:val="Tabletext"/>
              <w:framePr w:hSpace="181" w:wrap="notBeside" w:vAnchor="text" w:hAnchor="text" w:xAlign="center" w:y="1"/>
              <w:jc w:val="center"/>
              <w:rPr>
                <w:lang w:val="fr-CH"/>
              </w:rPr>
            </w:pPr>
            <w:r>
              <w:rPr>
                <w:lang w:val="fr-CH"/>
              </w:rPr>
              <w:t>75,5</w:t>
            </w:r>
          </w:p>
        </w:tc>
        <w:tc>
          <w:tcPr>
            <w:tcW w:w="1350" w:type="dxa"/>
          </w:tcPr>
          <w:p w:rsidR="002B489A" w:rsidRDefault="004F19C4">
            <w:pPr>
              <w:pStyle w:val="Tabletext"/>
              <w:framePr w:hSpace="181" w:wrap="notBeside" w:vAnchor="text" w:hAnchor="text" w:xAlign="center" w:y="1"/>
              <w:jc w:val="center"/>
              <w:rPr>
                <w:lang w:val="fr-CH"/>
              </w:rPr>
            </w:pPr>
            <w:r>
              <w:rPr>
                <w:lang w:val="fr-CH"/>
              </w:rPr>
              <w:t>83,9</w:t>
            </w:r>
          </w:p>
        </w:tc>
        <w:tc>
          <w:tcPr>
            <w:tcW w:w="1350" w:type="dxa"/>
          </w:tcPr>
          <w:p w:rsidR="002B489A" w:rsidRDefault="004F19C4">
            <w:pPr>
              <w:pStyle w:val="Tabletext"/>
              <w:framePr w:hSpace="181" w:wrap="notBeside" w:vAnchor="text" w:hAnchor="text" w:xAlign="center" w:y="1"/>
              <w:jc w:val="center"/>
              <w:rPr>
                <w:lang w:val="fr-CH"/>
              </w:rPr>
            </w:pPr>
            <w:r>
              <w:rPr>
                <w:lang w:val="fr-CH"/>
              </w:rPr>
              <w:t>69,2</w:t>
            </w:r>
          </w:p>
        </w:tc>
        <w:tc>
          <w:tcPr>
            <w:tcW w:w="1021" w:type="dxa"/>
          </w:tcPr>
          <w:p w:rsidR="002B489A" w:rsidRDefault="004F19C4">
            <w:pPr>
              <w:pStyle w:val="Tabletext"/>
              <w:framePr w:hSpace="181" w:wrap="notBeside" w:vAnchor="text" w:hAnchor="text" w:xAlign="center" w:y="1"/>
              <w:jc w:val="center"/>
              <w:rPr>
                <w:lang w:val="fr-CH"/>
              </w:rPr>
            </w:pPr>
            <w:r>
              <w:rPr>
                <w:lang w:val="fr-CH"/>
              </w:rPr>
              <w:t>31,5</w:t>
            </w:r>
          </w:p>
        </w:tc>
        <w:tc>
          <w:tcPr>
            <w:tcW w:w="1021" w:type="dxa"/>
          </w:tcPr>
          <w:p w:rsidR="002B489A" w:rsidRDefault="004F19C4">
            <w:pPr>
              <w:pStyle w:val="Tabletext"/>
              <w:framePr w:hSpace="181" w:wrap="notBeside" w:vAnchor="text" w:hAnchor="text" w:xAlign="center" w:y="1"/>
              <w:jc w:val="center"/>
              <w:rPr>
                <w:lang w:val="fr-CH"/>
              </w:rPr>
            </w:pPr>
            <w:r>
              <w:rPr>
                <w:lang w:val="fr-CH"/>
              </w:rPr>
              <w:t>84,7</w:t>
            </w:r>
          </w:p>
        </w:tc>
      </w:tr>
      <w:tr w:rsidR="002B489A">
        <w:tc>
          <w:tcPr>
            <w:tcW w:w="2288" w:type="dxa"/>
          </w:tcPr>
          <w:p w:rsidR="002B489A" w:rsidRDefault="004F19C4">
            <w:pPr>
              <w:pStyle w:val="Tabletext"/>
              <w:framePr w:hSpace="181" w:wrap="notBeside" w:vAnchor="text" w:hAnchor="text" w:xAlign="center" w:y="1"/>
              <w:jc w:val="left"/>
              <w:rPr>
                <w:lang w:val="fr-CH"/>
              </w:rPr>
            </w:pPr>
            <w:r>
              <w:rPr>
                <w:lang w:val="fr-CH"/>
              </w:rPr>
              <w:t>Gain d'antenne (dBi)</w:t>
            </w:r>
          </w:p>
        </w:tc>
        <w:tc>
          <w:tcPr>
            <w:tcW w:w="1349" w:type="dxa"/>
          </w:tcPr>
          <w:p w:rsidR="002B489A" w:rsidRDefault="004F19C4">
            <w:pPr>
              <w:pStyle w:val="Tabletext"/>
              <w:framePr w:hSpace="181" w:wrap="notBeside" w:vAnchor="text" w:hAnchor="text" w:xAlign="center" w:y="1"/>
              <w:jc w:val="center"/>
              <w:rPr>
                <w:lang w:val="fr-CH"/>
              </w:rPr>
            </w:pPr>
            <w:r>
              <w:rPr>
                <w:lang w:val="fr-CH"/>
              </w:rPr>
              <w:t>59,5</w:t>
            </w:r>
          </w:p>
        </w:tc>
        <w:tc>
          <w:tcPr>
            <w:tcW w:w="1350" w:type="dxa"/>
          </w:tcPr>
          <w:p w:rsidR="002B489A" w:rsidRDefault="004F19C4">
            <w:pPr>
              <w:pStyle w:val="Tabletext"/>
              <w:framePr w:hSpace="181" w:wrap="notBeside" w:vAnchor="text" w:hAnchor="text" w:xAlign="center" w:y="1"/>
              <w:jc w:val="center"/>
              <w:rPr>
                <w:lang w:val="fr-CH"/>
              </w:rPr>
            </w:pPr>
            <w:r>
              <w:rPr>
                <w:lang w:val="fr-CH"/>
              </w:rPr>
              <w:t>59,5</w:t>
            </w:r>
          </w:p>
        </w:tc>
        <w:tc>
          <w:tcPr>
            <w:tcW w:w="1350" w:type="dxa"/>
          </w:tcPr>
          <w:p w:rsidR="002B489A" w:rsidRDefault="004F19C4">
            <w:pPr>
              <w:pStyle w:val="Tabletext"/>
              <w:framePr w:hSpace="181" w:wrap="notBeside" w:vAnchor="text" w:hAnchor="text" w:xAlign="center" w:y="1"/>
              <w:jc w:val="center"/>
              <w:rPr>
                <w:lang w:val="fr-CH"/>
              </w:rPr>
            </w:pPr>
            <w:r>
              <w:rPr>
                <w:lang w:val="fr-CH"/>
              </w:rPr>
              <w:t>64,8</w:t>
            </w:r>
          </w:p>
        </w:tc>
        <w:tc>
          <w:tcPr>
            <w:tcW w:w="1350" w:type="dxa"/>
          </w:tcPr>
          <w:p w:rsidR="002B489A" w:rsidRDefault="004F19C4">
            <w:pPr>
              <w:pStyle w:val="Tabletext"/>
              <w:framePr w:hSpace="181" w:wrap="notBeside" w:vAnchor="text" w:hAnchor="text" w:xAlign="center" w:y="1"/>
              <w:jc w:val="center"/>
              <w:rPr>
                <w:lang w:val="fr-CH"/>
              </w:rPr>
            </w:pPr>
            <w:r>
              <w:rPr>
                <w:lang w:val="fr-CH"/>
              </w:rPr>
              <w:t>59,3</w:t>
            </w:r>
          </w:p>
        </w:tc>
        <w:tc>
          <w:tcPr>
            <w:tcW w:w="1021" w:type="dxa"/>
          </w:tcPr>
          <w:p w:rsidR="002B489A" w:rsidRDefault="004F19C4">
            <w:pPr>
              <w:pStyle w:val="Tabletext"/>
              <w:framePr w:hSpace="181" w:wrap="notBeside" w:vAnchor="text" w:hAnchor="text" w:xAlign="center" w:y="1"/>
              <w:jc w:val="center"/>
              <w:rPr>
                <w:lang w:val="fr-CH"/>
              </w:rPr>
            </w:pPr>
            <w:r>
              <w:rPr>
                <w:lang w:val="fr-CH"/>
              </w:rPr>
              <w:t>45,2</w:t>
            </w:r>
          </w:p>
        </w:tc>
        <w:tc>
          <w:tcPr>
            <w:tcW w:w="1021" w:type="dxa"/>
          </w:tcPr>
          <w:p w:rsidR="002B489A" w:rsidRDefault="004F19C4">
            <w:pPr>
              <w:pStyle w:val="Tabletext"/>
              <w:framePr w:hSpace="181" w:wrap="notBeside" w:vAnchor="text" w:hAnchor="text" w:xAlign="center" w:y="1"/>
              <w:jc w:val="center"/>
              <w:rPr>
                <w:lang w:val="fr-CH"/>
              </w:rPr>
            </w:pPr>
            <w:r>
              <w:rPr>
                <w:lang w:val="fr-CH"/>
              </w:rPr>
              <w:t>65,4</w:t>
            </w:r>
          </w:p>
        </w:tc>
      </w:tr>
      <w:tr w:rsidR="002B489A">
        <w:trPr>
          <w:trHeight w:val="458"/>
        </w:trPr>
        <w:tc>
          <w:tcPr>
            <w:tcW w:w="2288" w:type="dxa"/>
          </w:tcPr>
          <w:p w:rsidR="002B489A" w:rsidRDefault="004F19C4">
            <w:pPr>
              <w:pStyle w:val="Tabletext"/>
              <w:framePr w:hSpace="181" w:wrap="notBeside" w:vAnchor="text" w:hAnchor="text" w:xAlign="center" w:y="1"/>
              <w:jc w:val="left"/>
              <w:rPr>
                <w:lang w:val="fr-CH"/>
              </w:rPr>
            </w:pPr>
            <w:r>
              <w:rPr>
                <w:lang w:val="fr-CH"/>
              </w:rPr>
              <w:t>Puissance de l'émetteur (dBW)</w:t>
            </w:r>
          </w:p>
        </w:tc>
        <w:tc>
          <w:tcPr>
            <w:tcW w:w="1349" w:type="dxa"/>
          </w:tcPr>
          <w:p w:rsidR="002B489A" w:rsidRDefault="004F19C4">
            <w:pPr>
              <w:pStyle w:val="Tabletext"/>
              <w:framePr w:hSpace="181" w:wrap="notBeside" w:vAnchor="text" w:hAnchor="text" w:xAlign="center" w:y="1"/>
              <w:jc w:val="center"/>
              <w:rPr>
                <w:lang w:val="fr-CH"/>
              </w:rPr>
            </w:pPr>
            <w:r>
              <w:rPr>
                <w:lang w:val="fr-CH"/>
              </w:rPr>
              <w:t>14,3</w:t>
            </w:r>
          </w:p>
        </w:tc>
        <w:tc>
          <w:tcPr>
            <w:tcW w:w="1350" w:type="dxa"/>
          </w:tcPr>
          <w:p w:rsidR="002B489A" w:rsidRDefault="004F19C4">
            <w:pPr>
              <w:pStyle w:val="Tabletext"/>
              <w:framePr w:hSpace="181" w:wrap="notBeside" w:vAnchor="text" w:hAnchor="text" w:xAlign="center" w:y="1"/>
              <w:jc w:val="center"/>
              <w:rPr>
                <w:lang w:val="fr-CH"/>
              </w:rPr>
            </w:pPr>
            <w:r>
              <w:rPr>
                <w:lang w:val="fr-CH"/>
              </w:rPr>
              <w:t>16</w:t>
            </w:r>
          </w:p>
        </w:tc>
        <w:tc>
          <w:tcPr>
            <w:tcW w:w="1350" w:type="dxa"/>
          </w:tcPr>
          <w:p w:rsidR="002B489A" w:rsidRDefault="004F19C4">
            <w:pPr>
              <w:pStyle w:val="Tabletext"/>
              <w:framePr w:hSpace="181" w:wrap="notBeside" w:vAnchor="text" w:hAnchor="text" w:xAlign="center" w:y="1"/>
              <w:jc w:val="center"/>
              <w:rPr>
                <w:lang w:val="fr-CH"/>
              </w:rPr>
            </w:pPr>
            <w:r>
              <w:rPr>
                <w:lang w:val="fr-CH"/>
              </w:rPr>
              <w:t>19,1</w:t>
            </w:r>
          </w:p>
        </w:tc>
        <w:tc>
          <w:tcPr>
            <w:tcW w:w="1350" w:type="dxa"/>
          </w:tcPr>
          <w:p w:rsidR="002B489A" w:rsidRDefault="004F19C4">
            <w:pPr>
              <w:pStyle w:val="Tabletext"/>
              <w:framePr w:hSpace="181" w:wrap="notBeside" w:vAnchor="text" w:hAnchor="text" w:xAlign="center" w:y="1"/>
              <w:jc w:val="center"/>
              <w:rPr>
                <w:lang w:val="fr-CH"/>
              </w:rPr>
            </w:pPr>
            <w:r>
              <w:rPr>
                <w:lang w:val="fr-CH"/>
              </w:rPr>
              <w:t>9,8</w:t>
            </w:r>
          </w:p>
        </w:tc>
        <w:tc>
          <w:tcPr>
            <w:tcW w:w="1021" w:type="dxa"/>
          </w:tcPr>
          <w:p w:rsidR="002B489A" w:rsidRDefault="004F19C4">
            <w:pPr>
              <w:pStyle w:val="Tabletext"/>
              <w:framePr w:hSpace="181" w:wrap="notBeside" w:vAnchor="text" w:hAnchor="text" w:xAlign="center" w:y="1"/>
              <w:jc w:val="center"/>
              <w:rPr>
                <w:lang w:val="fr-CH"/>
              </w:rPr>
            </w:pPr>
            <w:r>
              <w:rPr>
                <w:lang w:val="fr-CH"/>
              </w:rPr>
              <w:t>–13,7</w:t>
            </w:r>
          </w:p>
        </w:tc>
        <w:tc>
          <w:tcPr>
            <w:tcW w:w="1021" w:type="dxa"/>
          </w:tcPr>
          <w:p w:rsidR="002B489A" w:rsidRDefault="004F19C4">
            <w:pPr>
              <w:pStyle w:val="Tabletext"/>
              <w:framePr w:hSpace="181" w:wrap="notBeside" w:vAnchor="text" w:hAnchor="text" w:xAlign="center" w:y="1"/>
              <w:jc w:val="center"/>
              <w:rPr>
                <w:lang w:val="fr-CH"/>
              </w:rPr>
            </w:pPr>
            <w:r>
              <w:rPr>
                <w:lang w:val="fr-CH"/>
              </w:rPr>
              <w:t>19,3</w:t>
            </w:r>
          </w:p>
        </w:tc>
      </w:tr>
    </w:tbl>
    <w:p w:rsidR="002B489A" w:rsidRDefault="002B489A">
      <w:pPr>
        <w:pStyle w:val="Tablefin"/>
        <w:spacing w:before="0"/>
        <w:rPr>
          <w:sz w:val="12"/>
        </w:rPr>
      </w:pPr>
    </w:p>
    <w:p w:rsidR="002B489A" w:rsidRDefault="004F19C4">
      <w:pPr>
        <w:pStyle w:val="Heading1"/>
        <w:rPr>
          <w:lang w:val="fr-CH"/>
        </w:rPr>
      </w:pPr>
      <w:r>
        <w:rPr>
          <w:lang w:val="fr-CH"/>
        </w:rPr>
        <w:t>3</w:t>
      </w:r>
      <w:r>
        <w:rPr>
          <w:lang w:val="fr-CH"/>
        </w:rPr>
        <w:tab/>
        <w:t>Seuil de compatibilité</w:t>
      </w:r>
    </w:p>
    <w:p w:rsidR="002B489A" w:rsidRDefault="004F19C4">
      <w:pPr>
        <w:rPr>
          <w:lang w:val="fr-CH"/>
        </w:rPr>
      </w:pPr>
      <w:r>
        <w:rPr>
          <w:lang w:val="fr-CH"/>
        </w:rPr>
        <w:t>Il y a deux critères pour cette bande. Il y a d'abord un seuil de puissance de –166 dBW sur 100 MHz. C'est un niveau de brouillage maximum de la part de toutes les sources. Il y a ensuite le critère de disponibilité de 99,99% de toutes les cellules de mesure ou une perte de 0,01% des pixels de mesure.</w:t>
      </w:r>
    </w:p>
    <w:p w:rsidR="002B489A" w:rsidRDefault="004F19C4">
      <w:pPr>
        <w:rPr>
          <w:lang w:val="fr-CH"/>
        </w:rPr>
      </w:pPr>
      <w:r>
        <w:rPr>
          <w:lang w:val="fr-CH"/>
        </w:rPr>
        <w:br w:type="page"/>
        <w:t>Le brouillage peut être reçu de plusieurs sources provenant simultanément de différents services. Les valeurs qui figurent dans la Recommandation UIT-R SA.1029 (pour une bande spécifique) sont le niveau maximum de brouillage admis pour le détecteur passif.</w:t>
      </w:r>
    </w:p>
    <w:p w:rsidR="002B489A" w:rsidRDefault="004F19C4">
      <w:pPr>
        <w:rPr>
          <w:lang w:val="fr-CH"/>
        </w:rPr>
      </w:pPr>
      <w:r>
        <w:rPr>
          <w:lang w:val="fr-CH"/>
        </w:rPr>
        <w:t>La présente Annexe fait l'analyse des brouillages générés par un seul service actif. Des travaux ultérieurs devront donc traiter de l'impact de plusieurs services actifs au-dessus et au-dessous de la bande passive.</w:t>
      </w:r>
    </w:p>
    <w:p w:rsidR="002B489A" w:rsidRDefault="004F19C4">
      <w:pPr>
        <w:pStyle w:val="Heading1"/>
        <w:rPr>
          <w:lang w:val="fr-CH"/>
        </w:rPr>
      </w:pPr>
      <w:r>
        <w:rPr>
          <w:lang w:val="fr-CH"/>
        </w:rPr>
        <w:t>4</w:t>
      </w:r>
      <w:r>
        <w:rPr>
          <w:lang w:val="fr-CH"/>
        </w:rPr>
        <w:tab/>
        <w:t>Evaluation du brouillage</w:t>
      </w:r>
    </w:p>
    <w:p w:rsidR="002B489A" w:rsidRDefault="004F19C4">
      <w:pPr>
        <w:rPr>
          <w:lang w:val="fr-CH"/>
        </w:rPr>
      </w:pPr>
      <w:r>
        <w:rPr>
          <w:lang w:val="fr-CH"/>
        </w:rPr>
        <w:t>Les marges de brouillage pour les brouillages provenant du lobe principal de la station terrienne sont de 95 à 40 dB dans le lobe principal du détecteur et de 55 dB ou moins lorsque le lobe latéral du détecteur est couplé au lobe principal des stations terriennes. Les calculs de probabilité de survenance de ce brouillage par station terrienne montrent qu'il est faible. L'impact du brouillage de ces systèmes peut dépendre de la densité de population de stations terriennes.</w:t>
      </w:r>
    </w:p>
    <w:p w:rsidR="002B489A" w:rsidRDefault="004F19C4">
      <w:pPr>
        <w:pStyle w:val="Heading2"/>
        <w:rPr>
          <w:lang w:val="fr-CH"/>
        </w:rPr>
      </w:pPr>
      <w:r>
        <w:rPr>
          <w:lang w:val="fr-CH"/>
        </w:rPr>
        <w:t>4.1</w:t>
      </w:r>
      <w:r>
        <w:rPr>
          <w:lang w:val="fr-CH"/>
        </w:rPr>
        <w:tab/>
        <w:t>Méthode d'évaluation du niveau de brouillage</w:t>
      </w:r>
    </w:p>
    <w:p w:rsidR="002B489A" w:rsidRDefault="004F19C4">
      <w:pPr>
        <w:rPr>
          <w:lang w:val="fr-CH"/>
        </w:rPr>
      </w:pPr>
      <w:r>
        <w:rPr>
          <w:lang w:val="fr-CH"/>
        </w:rPr>
        <w:t>Dans une première étape, les niveaux de brouillage sont calculés dans le cas de cofréquence, où les stations terriennes du SFS sont supposées émettre dans la bande SETS (passive). Dans les cas où la largeur de bande nécessaire de la station terrienne est plus grande que celle de la bande SETS (passive), la puissance tombant dans la bande SETS est réduite proportionnellement, en supposant que la densité de puissance est constante dans la largeur de bande nécessaire.</w:t>
      </w:r>
    </w:p>
    <w:p w:rsidR="002B489A" w:rsidRDefault="004F19C4">
      <w:pPr>
        <w:spacing w:after="120"/>
        <w:rPr>
          <w:lang w:val="fr-CH"/>
        </w:rPr>
      </w:pPr>
      <w:r>
        <w:rPr>
          <w:lang w:val="fr-CH"/>
        </w:rPr>
        <w:t>Dans une seconde étape, le gabarit hors bande pour le service actif est pris en compte, et on définit la bande de garde qui pourrait être nécessaire pour protéger le service passif.</w:t>
      </w:r>
    </w:p>
    <w:p w:rsidR="002B489A" w:rsidRDefault="004F19C4">
      <w:pPr>
        <w:pStyle w:val="Heading3"/>
        <w:rPr>
          <w:lang w:val="fr-CH"/>
        </w:rPr>
      </w:pPr>
      <w:r>
        <w:rPr>
          <w:lang w:val="fr-CH"/>
        </w:rPr>
        <w:t>4.1.1</w:t>
      </w:r>
      <w:r>
        <w:rPr>
          <w:lang w:val="fr-CH"/>
        </w:rPr>
        <w:tab/>
        <w:t>Stations terriennes du SFS OSG</w:t>
      </w:r>
    </w:p>
    <w:p w:rsidR="002B489A" w:rsidRDefault="004F19C4">
      <w:pPr>
        <w:spacing w:after="120"/>
        <w:rPr>
          <w:lang w:val="fr-CH"/>
        </w:rPr>
      </w:pPr>
      <w:r>
        <w:rPr>
          <w:lang w:val="fr-CH"/>
        </w:rPr>
        <w:t>On adopte pour l'analyse les hypothèses de base suivantes:</w:t>
      </w:r>
    </w:p>
    <w:p w:rsidR="002B489A" w:rsidRDefault="004F19C4">
      <w:pPr>
        <w:pStyle w:val="enumlev1"/>
        <w:rPr>
          <w:lang w:val="fr-CH"/>
        </w:rPr>
      </w:pPr>
      <w:r>
        <w:rPr>
          <w:lang w:val="fr-CH"/>
        </w:rPr>
        <w:t>–</w:t>
      </w:r>
      <w:r>
        <w:rPr>
          <w:lang w:val="fr-CH"/>
        </w:rPr>
        <w:tab/>
        <w:t>Le brouillage intervient via un couplage direct entre les antennes du détecteur passif et celles de la station terrienne du SFS.</w:t>
      </w:r>
    </w:p>
    <w:p w:rsidR="002B489A" w:rsidRDefault="004F19C4">
      <w:pPr>
        <w:pStyle w:val="enumlev1"/>
        <w:rPr>
          <w:lang w:val="fr-CH"/>
        </w:rPr>
      </w:pPr>
      <w:r>
        <w:rPr>
          <w:lang w:val="fr-CH"/>
        </w:rPr>
        <w:t>–</w:t>
      </w:r>
      <w:r>
        <w:rPr>
          <w:lang w:val="fr-CH"/>
        </w:rPr>
        <w:tab/>
        <w:t>Les deux antennes sont constituées suivant la Recommandation UIT-R F.1245.</w:t>
      </w:r>
    </w:p>
    <w:p w:rsidR="002B489A" w:rsidRDefault="004F19C4">
      <w:pPr>
        <w:pStyle w:val="enumlev1"/>
        <w:rPr>
          <w:lang w:val="fr-CH"/>
        </w:rPr>
      </w:pPr>
      <w:r>
        <w:rPr>
          <w:lang w:val="fr-CH"/>
        </w:rPr>
        <w:t>–</w:t>
      </w:r>
      <w:r>
        <w:rPr>
          <w:lang w:val="fr-CH"/>
        </w:rPr>
        <w:tab/>
        <w:t>Afin d'essayer d'identifier les configurations de cas le plus défavorable possible, on suppose que la direction de pointage de la station terrienne du SFS (visant l'orbite géostationnaire dans le cas du SFS OSG) est contenue dans le plan d'orbite du satellite d'exploration de la Terre. Cette configuration rend possible des voies de brouillage du lobe latéral du détecteur au lobe principal de la station terrienne et du lobe principal du détecteur au lobe latéral de la station terrienne. Les voies de brouillage de lobe principal à lobe principal peuvent aussi survenir, mais, comme les stations terriennes visent l'orbite géostationnaire, cela n'est possible qu'avec celles qui sont situées près de l'équateur; la probabilité qu'elles surviennent devrait faire l'objet d'une étude ultérieure dans une analyse dynamique qui n'est pas mise en oeuvre dans la présente étude.</w:t>
      </w:r>
    </w:p>
    <w:p w:rsidR="002B489A" w:rsidRDefault="004F19C4">
      <w:pPr>
        <w:pStyle w:val="enumlev1"/>
        <w:rPr>
          <w:lang w:val="fr-CH"/>
        </w:rPr>
      </w:pPr>
      <w:r>
        <w:rPr>
          <w:lang w:val="fr-CH"/>
        </w:rPr>
        <w:t>–</w:t>
      </w:r>
      <w:r>
        <w:rPr>
          <w:lang w:val="fr-CH"/>
        </w:rPr>
        <w:tab/>
        <w:t xml:space="preserve">La station terrienne du SFS est supposée être située à une latitude de 35°. Cette valeur a été choisie comme un bon compromis pour représenter un cas le plus défavorable de scénario de lobe latéral de détecteur à lobe principal de station terrienne, parce qu'elle peut représenter la plus basse latitude au-dessus de laquelle les stations terriennes sont le plus </w:t>
      </w:r>
      <w:r>
        <w:rPr>
          <w:lang w:val="fr-CH"/>
        </w:rPr>
        <w:br w:type="page"/>
        <w:t>densément distribuées et où, du fait de l'angle d'incidence relativement élevé de la voie de brouillage (environ 49°), la protection naturelle due à l'affaiblissement de voie plus l'absorption atmosphérique est la plus faible.</w:t>
      </w:r>
    </w:p>
    <w:p w:rsidR="002B489A" w:rsidRDefault="004F19C4">
      <w:pPr>
        <w:pStyle w:val="enumlev1"/>
        <w:rPr>
          <w:lang w:val="fr-CH"/>
        </w:rPr>
      </w:pPr>
      <w:r>
        <w:rPr>
          <w:lang w:val="fr-CH"/>
        </w:rPr>
        <w:t>–</w:t>
      </w:r>
      <w:r>
        <w:rPr>
          <w:lang w:val="fr-CH"/>
        </w:rPr>
        <w:tab/>
        <w:t>L'analyse dynamique du § 4.4 tiendra compte de latitudes entre 0° et 50° N afin d'obtenir une large gamme de résultats.</w:t>
      </w:r>
    </w:p>
    <w:p w:rsidR="002B489A" w:rsidRDefault="004F19C4">
      <w:pPr>
        <w:spacing w:after="120"/>
        <w:rPr>
          <w:lang w:val="fr-CH"/>
        </w:rPr>
      </w:pPr>
      <w:r>
        <w:rPr>
          <w:lang w:val="fr-CH"/>
        </w:rPr>
        <w:t>Cette configuration est décrite à la Fig. 66 qui indique les principaux paramètres géométriques de l'analyse.</w:t>
      </w:r>
    </w:p>
    <w:p w:rsidR="002B489A" w:rsidRDefault="0006728D">
      <w:pPr>
        <w:pStyle w:val="FigureNo"/>
        <w:spacing w:before="240"/>
        <w:rPr>
          <w:lang w:val="fr-CH"/>
        </w:rPr>
      </w:pPr>
      <w:r>
        <w:rPr>
          <w:noProof/>
          <w:lang w:val="fr-CH" w:eastAsia="fr-CH"/>
        </w:rPr>
        <w:drawing>
          <wp:inline distT="0" distB="0" distL="0" distR="0">
            <wp:extent cx="4610100" cy="42862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610100" cy="4286250"/>
                    </a:xfrm>
                    <a:prstGeom prst="rect">
                      <a:avLst/>
                    </a:prstGeom>
                    <a:noFill/>
                    <a:ln>
                      <a:noFill/>
                    </a:ln>
                  </pic:spPr>
                </pic:pic>
              </a:graphicData>
            </a:graphic>
          </wp:inline>
        </w:drawing>
      </w:r>
    </w:p>
    <w:p w:rsidR="002B489A" w:rsidRDefault="004F19C4">
      <w:pPr>
        <w:pStyle w:val="Heading3"/>
        <w:rPr>
          <w:lang w:val="fr-CH"/>
        </w:rPr>
      </w:pPr>
      <w:r>
        <w:rPr>
          <w:lang w:val="fr-CH"/>
        </w:rPr>
        <w:t>4.1.2</w:t>
      </w:r>
      <w:r>
        <w:rPr>
          <w:lang w:val="fr-CH"/>
        </w:rPr>
        <w:tab/>
        <w:t>Stations terriennes du SFS non OSG</w:t>
      </w:r>
    </w:p>
    <w:p w:rsidR="002B489A" w:rsidRDefault="004F19C4">
      <w:pPr>
        <w:rPr>
          <w:lang w:val="fr-CH"/>
        </w:rPr>
      </w:pPr>
      <w:r>
        <w:rPr>
          <w:lang w:val="fr-CH"/>
        </w:rPr>
        <w:t>Le problème est plus complexe parce que dans ce cas, la direction de pointage de la station terrienne est un paramètre variable: une station terrienne spécifique peut être pointée à tout angle d'élévation et à tout azimut.</w:t>
      </w:r>
    </w:p>
    <w:p w:rsidR="002B489A" w:rsidRDefault="004F19C4">
      <w:pPr>
        <w:rPr>
          <w:lang w:val="fr-CH"/>
        </w:rPr>
      </w:pPr>
      <w:r>
        <w:rPr>
          <w:lang w:val="fr-CH"/>
        </w:rPr>
        <w:t>Par convention, la présente étude se limite à une configuration similaire à celle adoptée pour le cas du SFS OSG (voir la Fig. 66), où les scénarios de lobe principal à lobe principal ne sont pas pris en compte. Il est cependant clair qu'il en résultera une évaluation très optimiste de la situation réelle.</w:t>
      </w:r>
    </w:p>
    <w:p w:rsidR="002B489A" w:rsidRDefault="004F19C4">
      <w:pPr>
        <w:pStyle w:val="Heading2"/>
        <w:rPr>
          <w:lang w:val="fr-CH"/>
        </w:rPr>
      </w:pPr>
      <w:r>
        <w:rPr>
          <w:lang w:val="fr-CH"/>
        </w:rPr>
        <w:t>4.2</w:t>
      </w:r>
      <w:r>
        <w:rPr>
          <w:lang w:val="fr-CH"/>
        </w:rPr>
        <w:tab/>
        <w:t>Calcul du brouillage dans l'hypothèse cofréquence</w:t>
      </w:r>
    </w:p>
    <w:p w:rsidR="002B489A" w:rsidRDefault="004F19C4">
      <w:pPr>
        <w:rPr>
          <w:lang w:val="fr-CH"/>
        </w:rPr>
      </w:pPr>
      <w:r>
        <w:rPr>
          <w:lang w:val="fr-CH"/>
        </w:rPr>
        <w:t>En notant que les scénarios les plus critiques sont ceux qui impliquent simultanément une p.i.r.e. élevée et une largeur de bande nécessaire importante, on choisit un système non OSG et deux systèmes OSG sur ces critères pour une analyse détaillée; ce sont respectivement le «MEOSAT</w:t>
      </w:r>
      <w:r>
        <w:rPr>
          <w:lang w:val="fr-CH"/>
        </w:rPr>
        <w:noBreakHyphen/>
        <w:t>X» (voir le Tableau 101), le «GEO-SV» et le «GSOV-B2» (voir le Tableau 102).</w:t>
      </w:r>
    </w:p>
    <w:p w:rsidR="002B489A" w:rsidRDefault="004F19C4">
      <w:pPr>
        <w:spacing w:after="120"/>
        <w:rPr>
          <w:lang w:val="fr-CH"/>
        </w:rPr>
      </w:pPr>
      <w:r>
        <w:rPr>
          <w:lang w:val="fr-CH"/>
        </w:rPr>
        <w:br w:type="page"/>
        <w:t>En supposant que la direction de pointage de l'antenne de la station terrienne du SFS (visant l'orbite géostationnaire dans le cas de systèmes OSG) est contenue dans le plan orbital du satellite d'exploration de la Terre, et en considérant uniquement le faisceau de nadir du détecteur en peigne passif, on calcule les paramètres suivants, en fonction de la distance latitudinale entre le détecteur passif et la station terrienne du SFS:</w:t>
      </w:r>
    </w:p>
    <w:p w:rsidR="002B489A" w:rsidRDefault="004F19C4">
      <w:pPr>
        <w:pStyle w:val="enumlev1"/>
        <w:rPr>
          <w:lang w:val="fr-CH"/>
        </w:rPr>
      </w:pPr>
      <w:r>
        <w:rPr>
          <w:lang w:val="fr-CH"/>
        </w:rPr>
        <w:t>–</w:t>
      </w:r>
      <w:r>
        <w:rPr>
          <w:lang w:val="fr-CH"/>
        </w:rPr>
        <w:tab/>
        <w:t>la longueur en ligne de vue entre le détecteur et la station terrienne (km);</w:t>
      </w:r>
    </w:p>
    <w:p w:rsidR="002B489A" w:rsidRDefault="004F19C4">
      <w:pPr>
        <w:pStyle w:val="enumlev1"/>
        <w:rPr>
          <w:lang w:val="fr-CH"/>
        </w:rPr>
      </w:pPr>
      <w:r>
        <w:rPr>
          <w:lang w:val="fr-CH"/>
        </w:rPr>
        <w:t>–</w:t>
      </w:r>
      <w:r>
        <w:rPr>
          <w:lang w:val="fr-CH"/>
        </w:rPr>
        <w:tab/>
        <w:t>les angles de décalage entre les axes principaux des antennes de la ligne de vue du détecteur et de la station terrienne;</w:t>
      </w:r>
    </w:p>
    <w:p w:rsidR="002B489A" w:rsidRDefault="004F19C4">
      <w:pPr>
        <w:pStyle w:val="enumlev1"/>
        <w:rPr>
          <w:lang w:val="fr-CH"/>
        </w:rPr>
      </w:pPr>
      <w:r>
        <w:rPr>
          <w:lang w:val="fr-CH"/>
        </w:rPr>
        <w:t>–</w:t>
      </w:r>
      <w:r>
        <w:rPr>
          <w:lang w:val="fr-CH"/>
        </w:rPr>
        <w:tab/>
        <w:t>les gains mutuels en direction l'une de l'autre, des antennes du détecteur de la station terrienne;</w:t>
      </w:r>
    </w:p>
    <w:p w:rsidR="002B489A" w:rsidRDefault="004F19C4">
      <w:pPr>
        <w:pStyle w:val="enumlev1"/>
        <w:rPr>
          <w:lang w:val="fr-CH"/>
        </w:rPr>
      </w:pPr>
      <w:r>
        <w:rPr>
          <w:lang w:val="fr-CH"/>
        </w:rPr>
        <w:t>–</w:t>
      </w:r>
      <w:r>
        <w:rPr>
          <w:lang w:val="fr-CH"/>
        </w:rPr>
        <w:tab/>
        <w:t>l'affaiblissement dû à l'espace;</w:t>
      </w:r>
    </w:p>
    <w:p w:rsidR="002B489A" w:rsidRDefault="004F19C4">
      <w:pPr>
        <w:pStyle w:val="enumlev1"/>
        <w:rPr>
          <w:lang w:val="fr-CH"/>
        </w:rPr>
      </w:pPr>
      <w:r>
        <w:rPr>
          <w:lang w:val="fr-CH"/>
        </w:rPr>
        <w:t>–</w:t>
      </w:r>
      <w:r>
        <w:rPr>
          <w:lang w:val="fr-CH"/>
        </w:rPr>
        <w:tab/>
        <w:t>l'absorption atmosphérique en fonction de l'angle d'élévation de la voie (Recommandation UIT</w:t>
      </w:r>
      <w:r>
        <w:rPr>
          <w:lang w:val="fr-CH"/>
        </w:rPr>
        <w:noBreakHyphen/>
        <w:t>R P.676);</w:t>
      </w:r>
    </w:p>
    <w:p w:rsidR="002B489A" w:rsidRDefault="004F19C4">
      <w:pPr>
        <w:pStyle w:val="enumlev1"/>
        <w:rPr>
          <w:lang w:val="fr-CH"/>
        </w:rPr>
      </w:pPr>
      <w:r>
        <w:rPr>
          <w:lang w:val="fr-CH"/>
        </w:rPr>
        <w:t>–</w:t>
      </w:r>
      <w:r>
        <w:rPr>
          <w:lang w:val="fr-CH"/>
        </w:rPr>
        <w:tab/>
        <w:t>la puissance reçue par le détecteur passif;</w:t>
      </w:r>
    </w:p>
    <w:p w:rsidR="002B489A" w:rsidRDefault="004F19C4">
      <w:pPr>
        <w:pStyle w:val="enumlev1"/>
        <w:rPr>
          <w:lang w:val="fr-CH"/>
        </w:rPr>
      </w:pPr>
      <w:r>
        <w:rPr>
          <w:lang w:val="fr-CH"/>
        </w:rPr>
        <w:t>–</w:t>
      </w:r>
      <w:r>
        <w:rPr>
          <w:lang w:val="fr-CH"/>
        </w:rPr>
        <w:tab/>
        <w:t>la marge par rapport au seuil de brouillage dans la bande attribuée au SETS (passive);</w:t>
      </w:r>
    </w:p>
    <w:p w:rsidR="002B489A" w:rsidRDefault="004F19C4">
      <w:pPr>
        <w:pStyle w:val="enumlev1"/>
        <w:rPr>
          <w:lang w:val="fr-CH"/>
        </w:rPr>
      </w:pPr>
      <w:r>
        <w:rPr>
          <w:lang w:val="fr-CH"/>
        </w:rPr>
        <w:t>–</w:t>
      </w:r>
      <w:r>
        <w:rPr>
          <w:lang w:val="fr-CH"/>
        </w:rPr>
        <w:tab/>
        <w:t>la taille de la zone autour de la position de la station terrienne, où les données du sondage sont contaminées par le brouillage.</w:t>
      </w:r>
    </w:p>
    <w:p w:rsidR="002B489A" w:rsidRDefault="004F19C4">
      <w:pPr>
        <w:pStyle w:val="Heading2"/>
        <w:rPr>
          <w:lang w:val="fr-CH"/>
        </w:rPr>
      </w:pPr>
      <w:r>
        <w:rPr>
          <w:lang w:val="fr-CH"/>
        </w:rPr>
        <w:t>4.3</w:t>
      </w:r>
      <w:r>
        <w:rPr>
          <w:lang w:val="fr-CH"/>
        </w:rPr>
        <w:tab/>
        <w:t>Résultat de l'analyse et discussion</w:t>
      </w:r>
    </w:p>
    <w:p w:rsidR="002B489A" w:rsidRDefault="004F19C4">
      <w:pPr>
        <w:rPr>
          <w:lang w:val="fr-CH"/>
        </w:rPr>
      </w:pPr>
      <w:r>
        <w:rPr>
          <w:lang w:val="fr-CH"/>
        </w:rPr>
        <w:t>Les résultats sont donnés dans les Fig. 67 et 68 pour une station terrienne du SFS non OSG et dans les Fig. 69 et 70 pour une station terrienne du SFS OSG. Tandis que le satellite d'exploration de la Terre se déplace en direction de la station terrienne, un premier évènement apparaît lorsque le détecteur croise le lobe principal de la station terrienne; puis un second évènement survient lorsque le détecteur est au zénith de la station terrienne.</w:t>
      </w:r>
    </w:p>
    <w:p w:rsidR="002B489A" w:rsidRDefault="0006728D">
      <w:pPr>
        <w:pStyle w:val="FigureNo"/>
        <w:rPr>
          <w:lang w:val="fr-CH"/>
        </w:rPr>
      </w:pPr>
      <w:r>
        <w:rPr>
          <w:noProof/>
          <w:lang w:val="fr-CH" w:eastAsia="fr-CH"/>
        </w:rPr>
        <w:drawing>
          <wp:inline distT="0" distB="0" distL="0" distR="0">
            <wp:extent cx="4991100" cy="35337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991100" cy="3533775"/>
                    </a:xfrm>
                    <a:prstGeom prst="rect">
                      <a:avLst/>
                    </a:prstGeom>
                    <a:noFill/>
                    <a:ln>
                      <a:noFill/>
                    </a:ln>
                  </pic:spPr>
                </pic:pic>
              </a:graphicData>
            </a:graphic>
          </wp:inline>
        </w:drawing>
      </w:r>
    </w:p>
    <w:p w:rsidR="002B489A" w:rsidRDefault="004F19C4">
      <w:pPr>
        <w:pStyle w:val="FigureNo"/>
        <w:rPr>
          <w:lang w:val="fr-CH"/>
        </w:rPr>
      </w:pPr>
      <w:r>
        <w:rPr>
          <w:lang w:val="fr-CH"/>
        </w:rPr>
        <w:br w:type="page"/>
      </w:r>
      <w:r>
        <w:rPr>
          <w:lang w:val="fr-CH"/>
        </w:rPr>
        <w:object w:dxaOrig="7724" w:dyaOrig="5602">
          <v:shape id="_x0000_i1068" type="#_x0000_t75" style="width:386pt;height:280pt" o:ole="">
            <v:imagedata r:id="rId130" o:title=""/>
          </v:shape>
          <o:OLEObject Type="Embed" ProgID="Designer.Drawing.7" ShapeID="_x0000_i1068" DrawAspect="Content" ObjectID="_1649163314" r:id="rId131"/>
        </w:object>
      </w:r>
    </w:p>
    <w:p w:rsidR="002B489A" w:rsidRDefault="004F19C4">
      <w:pPr>
        <w:pStyle w:val="FigureNo"/>
      </w:pPr>
      <w:r>
        <w:object w:dxaOrig="7811" w:dyaOrig="5684">
          <v:shape id="_x0000_i1069" type="#_x0000_t75" style="width:391pt;height:284pt" o:ole="">
            <v:imagedata r:id="rId132" o:title=""/>
          </v:shape>
          <o:OLEObject Type="Embed" ProgID="Designer.Drawing.7" ShapeID="_x0000_i1069" DrawAspect="Content" ObjectID="_1649163315" r:id="rId133"/>
        </w:object>
      </w:r>
    </w:p>
    <w:p w:rsidR="002B489A" w:rsidRDefault="002B489A"/>
    <w:p w:rsidR="002B489A" w:rsidRDefault="004F19C4">
      <w:pPr>
        <w:rPr>
          <w:lang w:val="fr-CH"/>
        </w:rPr>
      </w:pPr>
      <w:r>
        <w:rPr>
          <w:lang w:val="fr-CH"/>
        </w:rPr>
        <w:t>Il faut noter que dans le cas des systèmes SFS non OSG, les voies de brouillage de lobe principal à lobe principal sont possibles à toutes les latitudes lorsque le détecteur passif passe près du zénith des stations terriennes. Dans ce cas, l'excès de puissance au-delà du seuil de brouillage est augmenté par la discrimination de lobe principal à lobe distant de l'antenne de la station terrienne (d'environ 80 dB).</w:t>
      </w:r>
    </w:p>
    <w:p w:rsidR="002B489A" w:rsidRDefault="004F19C4">
      <w:pPr>
        <w:pStyle w:val="FigureNo"/>
        <w:rPr>
          <w:lang w:val="fr-CH"/>
        </w:rPr>
      </w:pPr>
      <w:r>
        <w:br w:type="page"/>
      </w:r>
      <w:r w:rsidR="0006728D">
        <w:rPr>
          <w:noProof/>
          <w:lang w:val="fr-CH" w:eastAsia="fr-CH"/>
        </w:rPr>
        <w:drawing>
          <wp:inline distT="0" distB="0" distL="0" distR="0">
            <wp:extent cx="4991100" cy="366712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991100" cy="3667125"/>
                    </a:xfrm>
                    <a:prstGeom prst="rect">
                      <a:avLst/>
                    </a:prstGeom>
                    <a:noFill/>
                    <a:ln>
                      <a:noFill/>
                    </a:ln>
                  </pic:spPr>
                </pic:pic>
              </a:graphicData>
            </a:graphic>
          </wp:inline>
        </w:drawing>
      </w:r>
    </w:p>
    <w:p w:rsidR="002B489A" w:rsidRDefault="004F19C4">
      <w:pPr>
        <w:pStyle w:val="Heading3"/>
        <w:rPr>
          <w:lang w:val="fr-CH"/>
        </w:rPr>
      </w:pPr>
      <w:r>
        <w:rPr>
          <w:lang w:val="fr-CH"/>
        </w:rPr>
        <w:t>4.3.1</w:t>
      </w:r>
      <w:r>
        <w:rPr>
          <w:lang w:val="fr-CH"/>
        </w:rPr>
        <w:tab/>
        <w:t>Evènements de brouillage survenant via le lobe distant de l'antenne d'un détecteur passif et le lobe principal de l'antenne d'une station terrienne du SFS</w:t>
      </w:r>
    </w:p>
    <w:p w:rsidR="002B489A" w:rsidRDefault="004F19C4">
      <w:pPr>
        <w:spacing w:line="270" w:lineRule="exact"/>
        <w:rPr>
          <w:lang w:val="fr-CH"/>
        </w:rPr>
      </w:pPr>
      <w:r>
        <w:rPr>
          <w:lang w:val="fr-CH"/>
        </w:rPr>
        <w:t>Ils sont à près de 50 dB au-dessus du seuil de brouillage du détecteur passif (non OSG «MEOSAT</w:t>
      </w:r>
      <w:r>
        <w:rPr>
          <w:lang w:val="fr-CH"/>
        </w:rPr>
        <w:noBreakHyphen/>
        <w:t xml:space="preserve">X» et GSOV-B2). Ils durent jusqu'à 21 s, ce qui est à comparer à la période orbitale de 100 min du détecteur passif. Dans la mesure où les faisceaux d'antenne du détecteur sont activés en permanence, plusieurs lignes complètes de balayage (de 90 pixels chacune) peuvent être perdues à chaque évènement. Cela conduit à une perte d'environ 810 pixels par évènement dans le cas du réseau GSOV-B2. Comme le satellite d'exploration de la Terre a une orbite presque polaire, la condition requise pour le brouillage est une coïncidence dans les </w:t>
      </w:r>
      <w:r>
        <w:rPr>
          <w:lang w:val="fr-CH"/>
        </w:rPr>
        <w:sym w:font="Symbol" w:char="F0B1"/>
      </w:r>
      <w:r>
        <w:rPr>
          <w:lang w:val="fr-CH"/>
        </w:rPr>
        <w:t xml:space="preserve"> 0,6° autour de la longitude de la station terrienne. La probabilité d'occurrence de tels évènements devra être étudiée plus en détail, en considérant en particulier les paramètres de dérive d'orbite du détecteur passif, la densité et la latitude des stations terriennes et les critères de disponibilité des détecteurs passifs. Compte tenu de la magnitude des évènements, on peut cependant douter que leur probabilité d'occurrence soit négligeable.</w:t>
      </w:r>
    </w:p>
    <w:p w:rsidR="002B489A" w:rsidRDefault="004F19C4">
      <w:pPr>
        <w:pStyle w:val="Heading3"/>
        <w:rPr>
          <w:lang w:val="fr-CH"/>
        </w:rPr>
      </w:pPr>
      <w:r>
        <w:rPr>
          <w:lang w:val="fr-CH"/>
        </w:rPr>
        <w:t>4.3.2</w:t>
      </w:r>
      <w:r>
        <w:rPr>
          <w:lang w:val="fr-CH"/>
        </w:rPr>
        <w:tab/>
        <w:t>Brouillage survenant lorsque le détecteur passif est proche du zénith de la station terrienne du SFS</w:t>
      </w:r>
    </w:p>
    <w:p w:rsidR="002B489A" w:rsidRDefault="004F19C4">
      <w:pPr>
        <w:spacing w:line="270" w:lineRule="exact"/>
        <w:rPr>
          <w:lang w:val="fr-CH"/>
        </w:rPr>
      </w:pPr>
      <w:r>
        <w:rPr>
          <w:lang w:val="fr-CH"/>
        </w:rPr>
        <w:t xml:space="preserve">Ils sont à près de 30 dB au-dessus du seuil de brouillage du détecteur dans le cas de réseaux OSG, mais peuvent atteindre plus de 105 dB au-dessus du seuil de brouillage du détecteur dans le cas de réseaux non OSG (configuration de lobe principal à lobe principal). Ils sont aussi une très sérieuse source de préoccupation, parce que le champ de vision à 100° du détecteur «en peigne» (croisant la piste) se compose d'environ 90 faisceaux d'antenne adjacents, activés en permanence, créant une zone longitudinale de </w:t>
      </w:r>
      <w:r>
        <w:rPr>
          <w:rFonts w:ascii="Symbol" w:hAnsi="Symbol"/>
          <w:lang w:val="fr-CH"/>
        </w:rPr>
        <w:sym w:font="Symbol" w:char="F0B1"/>
      </w:r>
      <w:r>
        <w:rPr>
          <w:lang w:val="fr-CH"/>
        </w:rPr>
        <w:t>10,25° autour de la position de la station terrienne dans laquelle le détecteur peut recevoir des brouillages gênants dans tout faisceau de ses antennes.</w:t>
      </w:r>
    </w:p>
    <w:p w:rsidR="002B489A" w:rsidRDefault="004F19C4">
      <w:pPr>
        <w:rPr>
          <w:lang w:val="fr-CH"/>
        </w:rPr>
      </w:pPr>
      <w:r>
        <w:rPr>
          <w:lang w:val="fr-CH"/>
        </w:rPr>
        <w:br w:type="page"/>
        <w:t>Le brouillage interviendra donc chaque fois que les deux conditions géométriques suivantes seront réunies:</w:t>
      </w:r>
    </w:p>
    <w:p w:rsidR="002B489A" w:rsidRDefault="004F19C4">
      <w:pPr>
        <w:pStyle w:val="enumlev1"/>
        <w:rPr>
          <w:lang w:val="fr-CH"/>
        </w:rPr>
      </w:pPr>
      <w:r>
        <w:rPr>
          <w:lang w:val="fr-CH"/>
        </w:rPr>
        <w:t>–</w:t>
      </w:r>
      <w:r>
        <w:rPr>
          <w:lang w:val="fr-CH"/>
        </w:rPr>
        <w:tab/>
        <w:t>le détecteur croise la latitude de la station terrienne;</w:t>
      </w:r>
    </w:p>
    <w:p w:rsidR="002B489A" w:rsidRDefault="004F19C4">
      <w:pPr>
        <w:pStyle w:val="enumlev1"/>
        <w:rPr>
          <w:lang w:val="fr-CH"/>
        </w:rPr>
      </w:pPr>
      <w:r>
        <w:rPr>
          <w:lang w:val="fr-CH"/>
        </w:rPr>
        <w:t>–</w:t>
      </w:r>
      <w:r>
        <w:rPr>
          <w:lang w:val="fr-CH"/>
        </w:rPr>
        <w:tab/>
        <w:t xml:space="preserve">le détecteur est à une distance longitudinale de </w:t>
      </w:r>
      <w:r>
        <w:rPr>
          <w:rFonts w:ascii="Symbol" w:hAnsi="Symbol"/>
          <w:lang w:val="fr-CH"/>
        </w:rPr>
        <w:sym w:font="Symbol" w:char="F0B1"/>
      </w:r>
      <w:r>
        <w:rPr>
          <w:lang w:val="fr-CH"/>
        </w:rPr>
        <w:t>10,25° de la station terrienne.</w:t>
      </w:r>
    </w:p>
    <w:p w:rsidR="002B489A" w:rsidRDefault="004F19C4">
      <w:pPr>
        <w:rPr>
          <w:lang w:val="fr-CH"/>
        </w:rPr>
      </w:pPr>
      <w:r>
        <w:rPr>
          <w:lang w:val="fr-CH"/>
        </w:rPr>
        <w:t>Cette configuration est illustrée à la Fig. 71.</w:t>
      </w:r>
    </w:p>
    <w:p w:rsidR="002B489A" w:rsidRDefault="0006728D">
      <w:pPr>
        <w:pStyle w:val="FigureNo"/>
        <w:rPr>
          <w:lang w:val="fr-CH"/>
        </w:rPr>
      </w:pPr>
      <w:r>
        <w:rPr>
          <w:noProof/>
          <w:lang w:val="fr-CH" w:eastAsia="fr-CH"/>
        </w:rPr>
        <w:drawing>
          <wp:inline distT="0" distB="0" distL="0" distR="0">
            <wp:extent cx="4600575" cy="41529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600575" cy="4152900"/>
                    </a:xfrm>
                    <a:prstGeom prst="rect">
                      <a:avLst/>
                    </a:prstGeom>
                    <a:noFill/>
                    <a:ln>
                      <a:noFill/>
                    </a:ln>
                  </pic:spPr>
                </pic:pic>
              </a:graphicData>
            </a:graphic>
          </wp:inline>
        </w:drawing>
      </w:r>
    </w:p>
    <w:p w:rsidR="002B489A" w:rsidRDefault="004F19C4">
      <w:pPr>
        <w:rPr>
          <w:lang w:val="fr-CH"/>
        </w:rPr>
      </w:pPr>
      <w:r>
        <w:rPr>
          <w:lang w:val="fr-CH"/>
        </w:rPr>
        <w:t>Lorsqu'on considère que la distance longitudinale entre deux orbites successives est d'environ 25° à l'équateur, il en résulte que le fonctionnement du détecteur passif sera gêné par un évènement de brouillage environ deux fois par jour à partir d'une unique station terrienne, en tenant compte à la fois du trajet orbital ascendant et descendant. Le nombre d'évènements augmente avec la latitude de la station terrienne, car la distance entre les orbites successives décroît avec le cosinus de la latitude. Il est directement proportionnel au nombre de stations terriennes.</w:t>
      </w:r>
    </w:p>
    <w:p w:rsidR="002B489A" w:rsidRDefault="004F19C4">
      <w:pPr>
        <w:rPr>
          <w:lang w:val="fr-CH"/>
        </w:rPr>
      </w:pPr>
      <w:r>
        <w:rPr>
          <w:lang w:val="fr-CH"/>
        </w:rPr>
        <w:t>Les principales caractéristiques de chaque évènement de brouillage sont les suivantes, dans le cas d'une station terrienne du SFS GSOV-B2:</w:t>
      </w:r>
    </w:p>
    <w:p w:rsidR="002B489A" w:rsidRDefault="004F19C4">
      <w:pPr>
        <w:pStyle w:val="enumlev1"/>
        <w:rPr>
          <w:lang w:val="fr-CH"/>
        </w:rPr>
      </w:pPr>
      <w:r>
        <w:rPr>
          <w:lang w:val="fr-CH"/>
        </w:rPr>
        <w:t>–</w:t>
      </w:r>
      <w:r>
        <w:rPr>
          <w:lang w:val="fr-CH"/>
        </w:rPr>
        <w:tab/>
        <w:t>la durée est d'environ 16 s;</w:t>
      </w:r>
    </w:p>
    <w:p w:rsidR="002B489A" w:rsidRDefault="004F19C4">
      <w:pPr>
        <w:pStyle w:val="enumlev1"/>
        <w:rPr>
          <w:lang w:val="fr-CH"/>
        </w:rPr>
      </w:pPr>
      <w:r>
        <w:rPr>
          <w:lang w:val="fr-CH"/>
        </w:rPr>
        <w:t>–</w:t>
      </w:r>
      <w:r>
        <w:rPr>
          <w:lang w:val="fr-CH"/>
        </w:rPr>
        <w:tab/>
        <w:t>une zone circulaire d'environ 110 km de diamètre sur la surface de la Terre, autour de chaque position de station terrienne, est contaminée par un brouillage nuisible;</w:t>
      </w:r>
    </w:p>
    <w:p w:rsidR="002B489A" w:rsidRDefault="004F19C4">
      <w:pPr>
        <w:pStyle w:val="enumlev1"/>
        <w:rPr>
          <w:lang w:val="fr-CH"/>
        </w:rPr>
      </w:pPr>
      <w:r>
        <w:rPr>
          <w:lang w:val="fr-CH"/>
        </w:rPr>
        <w:t>–</w:t>
      </w:r>
      <w:r>
        <w:rPr>
          <w:lang w:val="fr-CH"/>
        </w:rPr>
        <w:tab/>
        <w:t>cette zone de 9</w:t>
      </w:r>
      <w:r>
        <w:rPr>
          <w:rFonts w:ascii="Tms Rmn" w:hAnsi="Tms Rmn"/>
          <w:sz w:val="12"/>
          <w:lang w:val="fr-CH"/>
        </w:rPr>
        <w:t> </w:t>
      </w:r>
      <w:r>
        <w:rPr>
          <w:lang w:val="fr-CH"/>
        </w:rPr>
        <w:t>500 km</w:t>
      </w:r>
      <w:r>
        <w:rPr>
          <w:vertAlign w:val="superscript"/>
          <w:lang w:val="fr-CH"/>
        </w:rPr>
        <w:t>2</w:t>
      </w:r>
      <w:r>
        <w:rPr>
          <w:lang w:val="fr-CH"/>
        </w:rPr>
        <w:t>, correspondant à 47 pixels, est à comparer à la zone de service de référence de 2</w:t>
      </w:r>
      <w:r>
        <w:rPr>
          <w:rFonts w:ascii="Tms Rmn" w:hAnsi="Tms Rmn"/>
          <w:sz w:val="12"/>
          <w:lang w:val="fr-CH"/>
        </w:rPr>
        <w:t> </w:t>
      </w:r>
      <w:r>
        <w:rPr>
          <w:lang w:val="fr-CH"/>
        </w:rPr>
        <w:t>000</w:t>
      </w:r>
      <w:r>
        <w:rPr>
          <w:rFonts w:ascii="Tms Rmn" w:hAnsi="Tms Rmn"/>
          <w:sz w:val="12"/>
          <w:lang w:val="fr-CH"/>
        </w:rPr>
        <w:t> </w:t>
      </w:r>
      <w:r>
        <w:rPr>
          <w:lang w:val="fr-CH"/>
        </w:rPr>
        <w:t>000 km</w:t>
      </w:r>
      <w:r>
        <w:rPr>
          <w:vertAlign w:val="superscript"/>
          <w:lang w:val="fr-CH"/>
        </w:rPr>
        <w:t>2</w:t>
      </w:r>
      <w:r>
        <w:rPr>
          <w:lang w:val="fr-CH"/>
        </w:rPr>
        <w:t xml:space="preserve"> du détecteur qui est stipulée dans les Recommandations UIT</w:t>
      </w:r>
      <w:r>
        <w:rPr>
          <w:lang w:val="fr-CH"/>
        </w:rPr>
        <w:noBreakHyphen/>
        <w:t>R SA.1028 et UIT</w:t>
      </w:r>
      <w:r>
        <w:rPr>
          <w:lang w:val="fr-CH"/>
        </w:rPr>
        <w:noBreakHyphen/>
        <w:t>R SA.1029;</w:t>
      </w:r>
    </w:p>
    <w:p w:rsidR="002B489A" w:rsidRDefault="004F19C4">
      <w:pPr>
        <w:pStyle w:val="enumlev1"/>
        <w:rPr>
          <w:lang w:val="fr-CH"/>
        </w:rPr>
      </w:pPr>
      <w:r>
        <w:rPr>
          <w:lang w:val="fr-CH"/>
        </w:rPr>
        <w:t>–</w:t>
      </w:r>
      <w:r>
        <w:rPr>
          <w:lang w:val="fr-CH"/>
        </w:rPr>
        <w:tab/>
        <w:t>le critère de non-disponibilité de 0,01% est dépassé de beaucoup dans le voisinage des stations terriennes.</w:t>
      </w:r>
    </w:p>
    <w:p w:rsidR="002B489A" w:rsidRDefault="004F19C4">
      <w:pPr>
        <w:rPr>
          <w:lang w:val="fr-CH"/>
        </w:rPr>
      </w:pPr>
      <w:r>
        <w:rPr>
          <w:lang w:val="fr-CH"/>
        </w:rPr>
        <w:br w:type="page"/>
        <w:t>Les résultats numériques les plus significatifs sont résumés dans les Tableaux 103 et 104.</w:t>
      </w:r>
    </w:p>
    <w:p w:rsidR="002B489A" w:rsidRDefault="002B489A">
      <w:pPr>
        <w:rPr>
          <w:lang w:val="fr-CH"/>
        </w:rPr>
      </w:pPr>
    </w:p>
    <w:p w:rsidR="002B489A" w:rsidRDefault="004F19C4">
      <w:pPr>
        <w:pStyle w:val="TableNo"/>
        <w:rPr>
          <w:lang w:val="fr-CH"/>
        </w:rPr>
      </w:pPr>
      <w:r>
        <w:rPr>
          <w:lang w:val="fr-CH"/>
        </w:rPr>
        <w:t>TABLEAU  103</w:t>
      </w:r>
    </w:p>
    <w:p w:rsidR="002B489A" w:rsidRDefault="004F19C4">
      <w:pPr>
        <w:pStyle w:val="Tabletitle"/>
        <w:rPr>
          <w:lang w:val="fr-CH"/>
        </w:rPr>
      </w:pPr>
      <w:r>
        <w:rPr>
          <w:lang w:val="fr-CH"/>
        </w:rPr>
        <w:t xml:space="preserve">Excédent de puissance au-delà du seuil de brouillage, réseaux non OSG </w:t>
      </w:r>
      <w:r>
        <w:rPr>
          <w:lang w:val="fr-CH"/>
        </w:rPr>
        <w:br/>
        <w:t>(hypothèse de cofréquence)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93"/>
        <w:gridCol w:w="1482"/>
        <w:gridCol w:w="1482"/>
        <w:gridCol w:w="1482"/>
      </w:tblGrid>
      <w:tr w:rsidR="002B489A">
        <w:tc>
          <w:tcPr>
            <w:tcW w:w="5193" w:type="dxa"/>
          </w:tcPr>
          <w:p w:rsidR="002B489A" w:rsidRDefault="004F19C4">
            <w:pPr>
              <w:pStyle w:val="Tabletext"/>
              <w:framePr w:hSpace="181" w:wrap="notBeside" w:vAnchor="text" w:hAnchor="text" w:xAlign="center" w:y="1"/>
              <w:jc w:val="left"/>
              <w:rPr>
                <w:lang w:val="fr-CH"/>
              </w:rPr>
            </w:pPr>
            <w:r>
              <w:rPr>
                <w:bCs/>
                <w:lang w:val="fr-CH"/>
              </w:rPr>
              <w:t>Lobes distants du détecteur à lobe principal de la station terrienne</w:t>
            </w:r>
          </w:p>
        </w:tc>
        <w:tc>
          <w:tcPr>
            <w:tcW w:w="1482" w:type="dxa"/>
            <w:vAlign w:val="center"/>
          </w:tcPr>
          <w:p w:rsidR="002B489A" w:rsidRDefault="004F19C4">
            <w:pPr>
              <w:pStyle w:val="Tabletext"/>
              <w:framePr w:hSpace="181" w:wrap="notBeside" w:vAnchor="text" w:hAnchor="text" w:xAlign="center" w:y="1"/>
              <w:jc w:val="center"/>
              <w:rPr>
                <w:b/>
                <w:bCs/>
                <w:lang w:val="es-ES"/>
              </w:rPr>
            </w:pPr>
            <w:r>
              <w:rPr>
                <w:b/>
                <w:bCs/>
                <w:lang w:val="es-ES"/>
              </w:rPr>
              <w:t>MEOSAT-X</w:t>
            </w:r>
          </w:p>
        </w:tc>
        <w:tc>
          <w:tcPr>
            <w:tcW w:w="1482" w:type="dxa"/>
            <w:vAlign w:val="center"/>
          </w:tcPr>
          <w:p w:rsidR="002B489A" w:rsidRDefault="004F19C4">
            <w:pPr>
              <w:pStyle w:val="Tabletext"/>
              <w:framePr w:hSpace="181" w:wrap="notBeside" w:vAnchor="text" w:hAnchor="text" w:xAlign="center" w:y="1"/>
              <w:jc w:val="center"/>
              <w:rPr>
                <w:b/>
                <w:bCs/>
                <w:lang w:val="es-ES"/>
              </w:rPr>
            </w:pPr>
            <w:r>
              <w:rPr>
                <w:b/>
                <w:bCs/>
                <w:lang w:val="es-ES"/>
              </w:rPr>
              <w:t>LEO V1</w:t>
            </w:r>
          </w:p>
        </w:tc>
        <w:tc>
          <w:tcPr>
            <w:tcW w:w="1482" w:type="dxa"/>
            <w:vAlign w:val="center"/>
          </w:tcPr>
          <w:p w:rsidR="002B489A" w:rsidRDefault="004F19C4">
            <w:pPr>
              <w:pStyle w:val="Tabletext"/>
              <w:framePr w:hSpace="181" w:wrap="notBeside" w:vAnchor="text" w:hAnchor="text" w:xAlign="center" w:y="1"/>
              <w:jc w:val="center"/>
              <w:rPr>
                <w:b/>
                <w:bCs/>
                <w:lang w:val="es-ES"/>
              </w:rPr>
            </w:pPr>
            <w:r>
              <w:rPr>
                <w:b/>
                <w:bCs/>
                <w:lang w:val="es-ES"/>
              </w:rPr>
              <w:t>LEO V2</w:t>
            </w:r>
          </w:p>
        </w:tc>
      </w:tr>
      <w:tr w:rsidR="002B489A">
        <w:tc>
          <w:tcPr>
            <w:tcW w:w="5193" w:type="dxa"/>
          </w:tcPr>
          <w:p w:rsidR="002B489A" w:rsidRDefault="004F19C4">
            <w:pPr>
              <w:pStyle w:val="Tabletext"/>
              <w:framePr w:hSpace="181" w:wrap="notBeside" w:vAnchor="text" w:hAnchor="text" w:xAlign="center" w:y="1"/>
              <w:jc w:val="left"/>
              <w:rPr>
                <w:lang w:val="fr-CH"/>
              </w:rPr>
            </w:pPr>
            <w:r>
              <w:rPr>
                <w:bCs/>
                <w:lang w:val="fr-CH"/>
              </w:rPr>
              <w:t>Excédent de puissance dans les faisceaux de l'antenne du détecteur</w:t>
            </w:r>
            <w:r>
              <w:rPr>
                <w:lang w:val="fr-CH"/>
              </w:rPr>
              <w:t xml:space="preserve"> (dB)</w:t>
            </w:r>
          </w:p>
        </w:tc>
        <w:tc>
          <w:tcPr>
            <w:tcW w:w="1482" w:type="dxa"/>
          </w:tcPr>
          <w:p w:rsidR="002B489A" w:rsidRDefault="004F19C4">
            <w:pPr>
              <w:pStyle w:val="Tabletext"/>
              <w:framePr w:hSpace="181" w:wrap="notBeside" w:vAnchor="text" w:hAnchor="text" w:xAlign="center" w:y="1"/>
              <w:jc w:val="center"/>
              <w:rPr>
                <w:lang w:val="fr-CH"/>
              </w:rPr>
            </w:pPr>
            <w:r>
              <w:rPr>
                <w:lang w:val="fr-CH"/>
              </w:rPr>
              <w:t>49,2</w:t>
            </w:r>
          </w:p>
        </w:tc>
        <w:tc>
          <w:tcPr>
            <w:tcW w:w="1482" w:type="dxa"/>
          </w:tcPr>
          <w:p w:rsidR="002B489A" w:rsidRDefault="004F19C4">
            <w:pPr>
              <w:pStyle w:val="Tabletext"/>
              <w:framePr w:hSpace="181" w:wrap="notBeside" w:vAnchor="text" w:hAnchor="text" w:xAlign="center" w:y="1"/>
              <w:jc w:val="center"/>
              <w:rPr>
                <w:lang w:val="fr-CH"/>
              </w:rPr>
            </w:pPr>
            <w:r>
              <w:rPr>
                <w:lang w:val="fr-CH"/>
              </w:rPr>
              <w:t>21,4</w:t>
            </w:r>
          </w:p>
        </w:tc>
        <w:tc>
          <w:tcPr>
            <w:tcW w:w="1482" w:type="dxa"/>
          </w:tcPr>
          <w:p w:rsidR="002B489A" w:rsidRDefault="004F19C4">
            <w:pPr>
              <w:pStyle w:val="Tabletext"/>
              <w:framePr w:hSpace="181" w:wrap="notBeside" w:vAnchor="text" w:hAnchor="text" w:xAlign="center" w:y="1"/>
              <w:jc w:val="center"/>
              <w:rPr>
                <w:lang w:val="fr-CH"/>
              </w:rPr>
            </w:pPr>
            <w:r>
              <w:rPr>
                <w:lang w:val="fr-CH"/>
              </w:rPr>
              <w:t>30,9</w:t>
            </w:r>
          </w:p>
        </w:tc>
      </w:tr>
      <w:tr w:rsidR="002B489A">
        <w:tc>
          <w:tcPr>
            <w:tcW w:w="5193" w:type="dxa"/>
          </w:tcPr>
          <w:p w:rsidR="002B489A" w:rsidRDefault="004F19C4">
            <w:pPr>
              <w:pStyle w:val="Tabletext"/>
              <w:framePr w:hSpace="181" w:wrap="notBeside" w:vAnchor="text" w:hAnchor="text" w:xAlign="center" w:y="1"/>
              <w:jc w:val="left"/>
              <w:rPr>
                <w:lang w:val="fr-CH"/>
              </w:rPr>
            </w:pPr>
            <w:r>
              <w:rPr>
                <w:bCs/>
                <w:lang w:val="fr-CH"/>
              </w:rPr>
              <w:t>Zone géographique concernée (approximativement)</w:t>
            </w:r>
            <w:r>
              <w:rPr>
                <w:lang w:val="fr-CH"/>
              </w:rPr>
              <w:t xml:space="preserve"> (km)</w:t>
            </w:r>
          </w:p>
        </w:tc>
        <w:tc>
          <w:tcPr>
            <w:tcW w:w="1482" w:type="dxa"/>
          </w:tcPr>
          <w:p w:rsidR="002B489A" w:rsidRDefault="004F19C4">
            <w:pPr>
              <w:pStyle w:val="Tabletext"/>
              <w:framePr w:hSpace="181" w:wrap="notBeside" w:vAnchor="text" w:hAnchor="text" w:xAlign="center" w:y="1"/>
              <w:jc w:val="center"/>
              <w:rPr>
                <w:lang w:val="fr-CH"/>
              </w:rPr>
            </w:pPr>
            <w:r>
              <w:rPr>
                <w:lang w:val="fr-CH"/>
              </w:rPr>
              <w:t xml:space="preserve">125 </w:t>
            </w:r>
            <w:r>
              <w:rPr>
                <w:lang w:val="fr-CH"/>
              </w:rPr>
              <w:sym w:font="Symbol" w:char="F0B4"/>
            </w:r>
            <w:r>
              <w:rPr>
                <w:lang w:val="fr-CH"/>
              </w:rPr>
              <w:t xml:space="preserve"> 110</w:t>
            </w:r>
          </w:p>
        </w:tc>
        <w:tc>
          <w:tcPr>
            <w:tcW w:w="1482" w:type="dxa"/>
          </w:tcPr>
          <w:p w:rsidR="002B489A" w:rsidRDefault="004F19C4">
            <w:pPr>
              <w:pStyle w:val="Tabletext"/>
              <w:framePr w:hSpace="181" w:wrap="notBeside" w:vAnchor="text" w:hAnchor="text" w:xAlign="center" w:y="1"/>
              <w:jc w:val="center"/>
              <w:rPr>
                <w:lang w:val="fr-CH"/>
              </w:rPr>
            </w:pPr>
            <w:r>
              <w:rPr>
                <w:lang w:val="fr-CH"/>
              </w:rPr>
              <w:t>–</w:t>
            </w:r>
          </w:p>
        </w:tc>
        <w:tc>
          <w:tcPr>
            <w:tcW w:w="1482" w:type="dxa"/>
          </w:tcPr>
          <w:p w:rsidR="002B489A" w:rsidRDefault="004F19C4">
            <w:pPr>
              <w:pStyle w:val="Tabletext"/>
              <w:framePr w:hSpace="181" w:wrap="notBeside" w:vAnchor="text" w:hAnchor="text" w:xAlign="center" w:y="1"/>
              <w:jc w:val="center"/>
              <w:rPr>
                <w:lang w:val="fr-CH"/>
              </w:rPr>
            </w:pPr>
            <w:r>
              <w:rPr>
                <w:lang w:val="fr-CH"/>
              </w:rPr>
              <w:t>–</w:t>
            </w:r>
          </w:p>
        </w:tc>
      </w:tr>
      <w:tr w:rsidR="002B489A">
        <w:tc>
          <w:tcPr>
            <w:tcW w:w="5193" w:type="dxa"/>
            <w:tcBorders>
              <w:bottom w:val="single" w:sz="4" w:space="0" w:color="auto"/>
            </w:tcBorders>
          </w:tcPr>
          <w:p w:rsidR="002B489A" w:rsidRDefault="004F19C4">
            <w:pPr>
              <w:pStyle w:val="Tabletext"/>
              <w:framePr w:hSpace="181" w:wrap="notBeside" w:vAnchor="text" w:hAnchor="text" w:xAlign="center" w:y="1"/>
              <w:jc w:val="left"/>
              <w:rPr>
                <w:lang w:val="fr-CH"/>
              </w:rPr>
            </w:pPr>
            <w:r>
              <w:rPr>
                <w:bCs/>
                <w:lang w:val="fr-CH"/>
              </w:rPr>
              <w:t>Nombre de pixels contaminés (approximativement)</w:t>
            </w:r>
          </w:p>
        </w:tc>
        <w:tc>
          <w:tcPr>
            <w:tcW w:w="1482" w:type="dxa"/>
            <w:tcBorders>
              <w:bottom w:val="single" w:sz="4" w:space="0" w:color="auto"/>
            </w:tcBorders>
          </w:tcPr>
          <w:p w:rsidR="002B489A" w:rsidRDefault="004F19C4">
            <w:pPr>
              <w:pStyle w:val="Tabletext"/>
              <w:framePr w:hSpace="181" w:wrap="notBeside" w:vAnchor="text" w:hAnchor="text" w:xAlign="center" w:y="1"/>
              <w:jc w:val="center"/>
              <w:rPr>
                <w:lang w:val="fr-CH"/>
              </w:rPr>
            </w:pPr>
            <w:r>
              <w:rPr>
                <w:lang w:val="fr-CH"/>
              </w:rPr>
              <w:t>8 lignes de balayage</w:t>
            </w:r>
          </w:p>
        </w:tc>
        <w:tc>
          <w:tcPr>
            <w:tcW w:w="1482" w:type="dxa"/>
            <w:tcBorders>
              <w:bottom w:val="single" w:sz="4" w:space="0" w:color="auto"/>
            </w:tcBorders>
          </w:tcPr>
          <w:p w:rsidR="002B489A" w:rsidRDefault="004F19C4">
            <w:pPr>
              <w:pStyle w:val="Tabletext"/>
              <w:framePr w:hSpace="181" w:wrap="notBeside" w:vAnchor="text" w:hAnchor="text" w:xAlign="center" w:y="1"/>
              <w:jc w:val="center"/>
              <w:rPr>
                <w:lang w:val="fr-CH"/>
              </w:rPr>
            </w:pPr>
            <w:r>
              <w:rPr>
                <w:lang w:val="fr-CH"/>
              </w:rPr>
              <w:t>–</w:t>
            </w:r>
          </w:p>
        </w:tc>
        <w:tc>
          <w:tcPr>
            <w:tcW w:w="1482" w:type="dxa"/>
            <w:tcBorders>
              <w:bottom w:val="single" w:sz="4" w:space="0" w:color="auto"/>
            </w:tcBorders>
          </w:tcPr>
          <w:p w:rsidR="002B489A" w:rsidRDefault="004F19C4">
            <w:pPr>
              <w:pStyle w:val="Tabletext"/>
              <w:framePr w:hSpace="181" w:wrap="notBeside" w:vAnchor="text" w:hAnchor="text" w:xAlign="center" w:y="1"/>
              <w:jc w:val="center"/>
              <w:rPr>
                <w:lang w:val="fr-CH"/>
              </w:rPr>
            </w:pPr>
            <w:r>
              <w:rPr>
                <w:lang w:val="fr-CH"/>
              </w:rPr>
              <w:t>–</w:t>
            </w:r>
          </w:p>
        </w:tc>
      </w:tr>
      <w:tr w:rsidR="002B489A">
        <w:tc>
          <w:tcPr>
            <w:tcW w:w="5193" w:type="dxa"/>
            <w:tcBorders>
              <w:bottom w:val="single" w:sz="4" w:space="0" w:color="auto"/>
            </w:tcBorders>
          </w:tcPr>
          <w:p w:rsidR="002B489A" w:rsidRDefault="004F19C4">
            <w:pPr>
              <w:pStyle w:val="Tabletext"/>
              <w:framePr w:hSpace="181" w:wrap="notBeside" w:vAnchor="text" w:hAnchor="text" w:xAlign="center" w:y="1"/>
              <w:jc w:val="left"/>
              <w:rPr>
                <w:lang w:val="fr-CH"/>
              </w:rPr>
            </w:pPr>
            <w:r>
              <w:rPr>
                <w:bCs/>
                <w:lang w:val="fr-CH"/>
              </w:rPr>
              <w:t>Durée d'un évènement (approximativement) (s)</w:t>
            </w:r>
          </w:p>
        </w:tc>
        <w:tc>
          <w:tcPr>
            <w:tcW w:w="1482" w:type="dxa"/>
            <w:tcBorders>
              <w:bottom w:val="single" w:sz="4" w:space="0" w:color="auto"/>
            </w:tcBorders>
          </w:tcPr>
          <w:p w:rsidR="002B489A" w:rsidRDefault="004F19C4">
            <w:pPr>
              <w:pStyle w:val="Tabletext"/>
              <w:framePr w:hSpace="181" w:wrap="notBeside" w:vAnchor="text" w:hAnchor="text" w:xAlign="center" w:y="1"/>
              <w:jc w:val="center"/>
              <w:rPr>
                <w:lang w:val="fr-CH"/>
              </w:rPr>
            </w:pPr>
            <w:r>
              <w:rPr>
                <w:lang w:val="fr-CH"/>
              </w:rPr>
              <w:t>18</w:t>
            </w:r>
          </w:p>
        </w:tc>
        <w:tc>
          <w:tcPr>
            <w:tcW w:w="1482" w:type="dxa"/>
            <w:tcBorders>
              <w:bottom w:val="single" w:sz="4" w:space="0" w:color="auto"/>
            </w:tcBorders>
          </w:tcPr>
          <w:p w:rsidR="002B489A" w:rsidRDefault="004F19C4">
            <w:pPr>
              <w:pStyle w:val="Tabletext"/>
              <w:framePr w:hSpace="181" w:wrap="notBeside" w:vAnchor="text" w:hAnchor="text" w:xAlign="center" w:y="1"/>
              <w:jc w:val="center"/>
              <w:rPr>
                <w:lang w:val="fr-CH"/>
              </w:rPr>
            </w:pPr>
            <w:r>
              <w:rPr>
                <w:lang w:val="fr-CH"/>
              </w:rPr>
              <w:t>–</w:t>
            </w:r>
          </w:p>
        </w:tc>
        <w:tc>
          <w:tcPr>
            <w:tcW w:w="1482" w:type="dxa"/>
            <w:tcBorders>
              <w:bottom w:val="single" w:sz="4" w:space="0" w:color="auto"/>
            </w:tcBorders>
          </w:tcPr>
          <w:p w:rsidR="002B489A" w:rsidRDefault="004F19C4">
            <w:pPr>
              <w:pStyle w:val="Tabletext"/>
              <w:framePr w:hSpace="181" w:wrap="notBeside" w:vAnchor="text" w:hAnchor="text" w:xAlign="center" w:y="1"/>
              <w:jc w:val="center"/>
              <w:rPr>
                <w:lang w:val="fr-CH"/>
              </w:rPr>
            </w:pPr>
            <w:r>
              <w:rPr>
                <w:lang w:val="fr-CH"/>
              </w:rPr>
              <w:t>–</w:t>
            </w:r>
          </w:p>
        </w:tc>
      </w:tr>
      <w:tr w:rsidR="002B489A">
        <w:tc>
          <w:tcPr>
            <w:tcW w:w="5193" w:type="dxa"/>
            <w:tcBorders>
              <w:top w:val="single" w:sz="4" w:space="0" w:color="auto"/>
              <w:bottom w:val="single" w:sz="4" w:space="0" w:color="auto"/>
            </w:tcBorders>
          </w:tcPr>
          <w:p w:rsidR="002B489A" w:rsidRDefault="004F19C4">
            <w:pPr>
              <w:pStyle w:val="Tabletext"/>
              <w:framePr w:hSpace="181" w:wrap="notBeside" w:vAnchor="text" w:hAnchor="text" w:xAlign="center" w:y="1"/>
              <w:jc w:val="left"/>
              <w:rPr>
                <w:lang w:val="fr-CH"/>
              </w:rPr>
            </w:pPr>
            <w:r>
              <w:rPr>
                <w:bCs/>
                <w:lang w:val="fr-CH"/>
              </w:rPr>
              <w:t>Détecteur proche du zénith de la station terrienne</w:t>
            </w:r>
          </w:p>
        </w:tc>
        <w:tc>
          <w:tcPr>
            <w:tcW w:w="1482" w:type="dxa"/>
            <w:tcBorders>
              <w:top w:val="single" w:sz="4" w:space="0" w:color="auto"/>
              <w:bottom w:val="single" w:sz="4" w:space="0" w:color="auto"/>
            </w:tcBorders>
            <w:vAlign w:val="center"/>
          </w:tcPr>
          <w:p w:rsidR="002B489A" w:rsidRDefault="004F19C4">
            <w:pPr>
              <w:pStyle w:val="Tabletext"/>
              <w:framePr w:hSpace="181" w:wrap="notBeside" w:vAnchor="text" w:hAnchor="text" w:xAlign="center" w:y="1"/>
              <w:jc w:val="center"/>
              <w:rPr>
                <w:b/>
                <w:bCs/>
                <w:lang w:val="es-ES"/>
              </w:rPr>
            </w:pPr>
            <w:r>
              <w:rPr>
                <w:b/>
                <w:bCs/>
                <w:lang w:val="es-ES"/>
              </w:rPr>
              <w:t>MEOSAT-X</w:t>
            </w:r>
          </w:p>
        </w:tc>
        <w:tc>
          <w:tcPr>
            <w:tcW w:w="1482" w:type="dxa"/>
            <w:tcBorders>
              <w:top w:val="single" w:sz="4" w:space="0" w:color="auto"/>
              <w:bottom w:val="single" w:sz="4" w:space="0" w:color="auto"/>
            </w:tcBorders>
            <w:vAlign w:val="center"/>
          </w:tcPr>
          <w:p w:rsidR="002B489A" w:rsidRDefault="004F19C4">
            <w:pPr>
              <w:pStyle w:val="Tabletext"/>
              <w:framePr w:hSpace="181" w:wrap="notBeside" w:vAnchor="text" w:hAnchor="text" w:xAlign="center" w:y="1"/>
              <w:jc w:val="center"/>
              <w:rPr>
                <w:b/>
                <w:bCs/>
                <w:lang w:val="es-ES"/>
              </w:rPr>
            </w:pPr>
            <w:r>
              <w:rPr>
                <w:b/>
                <w:bCs/>
                <w:lang w:val="es-ES"/>
              </w:rPr>
              <w:t>LEO V1</w:t>
            </w:r>
          </w:p>
        </w:tc>
        <w:tc>
          <w:tcPr>
            <w:tcW w:w="1482" w:type="dxa"/>
            <w:tcBorders>
              <w:top w:val="single" w:sz="4" w:space="0" w:color="auto"/>
              <w:bottom w:val="single" w:sz="4" w:space="0" w:color="auto"/>
            </w:tcBorders>
            <w:vAlign w:val="center"/>
          </w:tcPr>
          <w:p w:rsidR="002B489A" w:rsidRDefault="004F19C4">
            <w:pPr>
              <w:pStyle w:val="Tabletext"/>
              <w:framePr w:hSpace="181" w:wrap="notBeside" w:vAnchor="text" w:hAnchor="text" w:xAlign="center" w:y="1"/>
              <w:jc w:val="center"/>
              <w:rPr>
                <w:b/>
                <w:bCs/>
                <w:lang w:val="es-ES"/>
              </w:rPr>
            </w:pPr>
            <w:r>
              <w:rPr>
                <w:b/>
                <w:bCs/>
                <w:lang w:val="es-ES"/>
              </w:rPr>
              <w:t>LEO V2</w:t>
            </w:r>
          </w:p>
        </w:tc>
      </w:tr>
      <w:tr w:rsidR="002B489A">
        <w:tc>
          <w:tcPr>
            <w:tcW w:w="9639" w:type="dxa"/>
            <w:gridSpan w:val="4"/>
            <w:tcBorders>
              <w:top w:val="single" w:sz="4" w:space="0" w:color="auto"/>
            </w:tcBorders>
          </w:tcPr>
          <w:p w:rsidR="002B489A" w:rsidRDefault="004F19C4">
            <w:pPr>
              <w:pStyle w:val="Tabletext"/>
              <w:framePr w:hSpace="181" w:wrap="notBeside" w:vAnchor="text" w:hAnchor="text" w:xAlign="center" w:y="1"/>
              <w:jc w:val="left"/>
              <w:rPr>
                <w:lang w:val="fr-CH"/>
              </w:rPr>
            </w:pPr>
            <w:r>
              <w:rPr>
                <w:bCs/>
                <w:lang w:val="fr-CH"/>
              </w:rPr>
              <w:t>Brouillage des lobes principaux du détecteur sur le lobe distant de la station terrienne</w:t>
            </w:r>
          </w:p>
        </w:tc>
      </w:tr>
      <w:tr w:rsidR="002B489A">
        <w:tc>
          <w:tcPr>
            <w:tcW w:w="5193" w:type="dxa"/>
          </w:tcPr>
          <w:p w:rsidR="002B489A" w:rsidRDefault="004F19C4">
            <w:pPr>
              <w:pStyle w:val="Tabletext"/>
              <w:framePr w:hSpace="181" w:wrap="notBeside" w:vAnchor="text" w:hAnchor="text" w:xAlign="center" w:y="1"/>
              <w:jc w:val="left"/>
              <w:rPr>
                <w:lang w:val="fr-CH"/>
              </w:rPr>
            </w:pPr>
            <w:r>
              <w:rPr>
                <w:bCs/>
                <w:lang w:val="fr-CH"/>
              </w:rPr>
              <w:t>Excédent de puissance dans le faisceau de nadir</w:t>
            </w:r>
            <w:r>
              <w:rPr>
                <w:lang w:val="fr-CH"/>
              </w:rPr>
              <w:t xml:space="preserve"> (dB)</w:t>
            </w:r>
          </w:p>
        </w:tc>
        <w:tc>
          <w:tcPr>
            <w:tcW w:w="1482" w:type="dxa"/>
          </w:tcPr>
          <w:p w:rsidR="002B489A" w:rsidRDefault="004F19C4">
            <w:pPr>
              <w:pStyle w:val="Tabletext"/>
              <w:framePr w:hSpace="181" w:wrap="notBeside" w:vAnchor="text" w:hAnchor="text" w:xAlign="center" w:y="1"/>
              <w:jc w:val="center"/>
              <w:rPr>
                <w:lang w:val="fr-CH"/>
              </w:rPr>
            </w:pPr>
            <w:r>
              <w:rPr>
                <w:lang w:val="fr-CH"/>
              </w:rPr>
              <w:t>28,3</w:t>
            </w:r>
          </w:p>
        </w:tc>
        <w:tc>
          <w:tcPr>
            <w:tcW w:w="1482" w:type="dxa"/>
          </w:tcPr>
          <w:p w:rsidR="002B489A" w:rsidRDefault="004F19C4">
            <w:pPr>
              <w:pStyle w:val="Tabletext"/>
              <w:framePr w:hSpace="181" w:wrap="notBeside" w:vAnchor="text" w:hAnchor="text" w:xAlign="center" w:y="1"/>
              <w:jc w:val="center"/>
              <w:rPr>
                <w:lang w:val="fr-CH"/>
              </w:rPr>
            </w:pPr>
            <w:r>
              <w:rPr>
                <w:lang w:val="fr-CH"/>
              </w:rPr>
              <w:t>4,5</w:t>
            </w:r>
          </w:p>
        </w:tc>
        <w:tc>
          <w:tcPr>
            <w:tcW w:w="1482" w:type="dxa"/>
          </w:tcPr>
          <w:p w:rsidR="002B489A" w:rsidRDefault="004F19C4">
            <w:pPr>
              <w:pStyle w:val="Tabletext"/>
              <w:framePr w:hSpace="181" w:wrap="notBeside" w:vAnchor="text" w:hAnchor="text" w:xAlign="center" w:y="1"/>
              <w:jc w:val="center"/>
              <w:rPr>
                <w:lang w:val="fr-CH"/>
              </w:rPr>
            </w:pPr>
            <w:r>
              <w:rPr>
                <w:lang w:val="fr-CH"/>
              </w:rPr>
              <w:t>12</w:t>
            </w:r>
          </w:p>
        </w:tc>
      </w:tr>
      <w:tr w:rsidR="002B489A">
        <w:tc>
          <w:tcPr>
            <w:tcW w:w="5193" w:type="dxa"/>
          </w:tcPr>
          <w:p w:rsidR="002B489A" w:rsidRDefault="004F19C4">
            <w:pPr>
              <w:pStyle w:val="Tabletext"/>
              <w:framePr w:hSpace="181" w:wrap="notBeside" w:vAnchor="text" w:hAnchor="text" w:xAlign="center" w:y="1"/>
              <w:jc w:val="left"/>
              <w:rPr>
                <w:lang w:val="fr-CH"/>
              </w:rPr>
            </w:pPr>
            <w:r>
              <w:rPr>
                <w:bCs/>
                <w:lang w:val="fr-CH"/>
              </w:rPr>
              <w:t xml:space="preserve">Excédent de puissance dans les faisceaux hors-nadir à </w:t>
            </w:r>
            <w:r>
              <w:rPr>
                <w:rFonts w:ascii="Symbol" w:hAnsi="Symbol"/>
                <w:bCs/>
                <w:lang w:val="fr-CH"/>
              </w:rPr>
              <w:sym w:font="Symbol" w:char="F0B1"/>
            </w:r>
            <w:r>
              <w:rPr>
                <w:rFonts w:ascii="Tms Rmn" w:hAnsi="Tms Rmn"/>
                <w:bCs/>
                <w:sz w:val="12"/>
                <w:lang w:val="fr-CH"/>
              </w:rPr>
              <w:t> </w:t>
            </w:r>
            <w:r>
              <w:rPr>
                <w:bCs/>
                <w:lang w:val="fr-CH"/>
              </w:rPr>
              <w:t>50°</w:t>
            </w:r>
            <w:r>
              <w:rPr>
                <w:lang w:val="fr-CH"/>
              </w:rPr>
              <w:t xml:space="preserve"> (dB)</w:t>
            </w:r>
          </w:p>
        </w:tc>
        <w:tc>
          <w:tcPr>
            <w:tcW w:w="1482" w:type="dxa"/>
          </w:tcPr>
          <w:p w:rsidR="002B489A" w:rsidRDefault="004F19C4">
            <w:pPr>
              <w:pStyle w:val="Tabletext"/>
              <w:framePr w:hSpace="181" w:wrap="notBeside" w:vAnchor="text" w:hAnchor="text" w:xAlign="center" w:y="1"/>
              <w:jc w:val="center"/>
              <w:rPr>
                <w:lang w:val="fr-CH"/>
              </w:rPr>
            </w:pPr>
            <w:r>
              <w:rPr>
                <w:lang w:val="fr-CH"/>
              </w:rPr>
              <w:t>22,1</w:t>
            </w:r>
          </w:p>
        </w:tc>
        <w:tc>
          <w:tcPr>
            <w:tcW w:w="1482" w:type="dxa"/>
          </w:tcPr>
          <w:p w:rsidR="002B489A" w:rsidRDefault="004F19C4">
            <w:pPr>
              <w:pStyle w:val="Tabletext"/>
              <w:framePr w:hSpace="181" w:wrap="notBeside" w:vAnchor="text" w:hAnchor="text" w:xAlign="center" w:y="1"/>
              <w:jc w:val="center"/>
              <w:rPr>
                <w:lang w:val="fr-CH"/>
              </w:rPr>
            </w:pPr>
            <w:r>
              <w:rPr>
                <w:lang w:val="fr-CH"/>
              </w:rPr>
              <w:t>Aucun</w:t>
            </w:r>
          </w:p>
        </w:tc>
        <w:tc>
          <w:tcPr>
            <w:tcW w:w="1482" w:type="dxa"/>
          </w:tcPr>
          <w:p w:rsidR="002B489A" w:rsidRDefault="004F19C4">
            <w:pPr>
              <w:pStyle w:val="Tabletext"/>
              <w:framePr w:hSpace="181" w:wrap="notBeside" w:vAnchor="text" w:hAnchor="text" w:xAlign="center" w:y="1"/>
              <w:jc w:val="center"/>
              <w:rPr>
                <w:lang w:val="fr-CH"/>
              </w:rPr>
            </w:pPr>
            <w:r>
              <w:rPr>
                <w:lang w:val="fr-CH"/>
              </w:rPr>
              <w:t>6</w:t>
            </w:r>
          </w:p>
        </w:tc>
      </w:tr>
      <w:tr w:rsidR="002B489A">
        <w:tc>
          <w:tcPr>
            <w:tcW w:w="5193" w:type="dxa"/>
          </w:tcPr>
          <w:p w:rsidR="002B489A" w:rsidRDefault="004F19C4">
            <w:pPr>
              <w:pStyle w:val="Tabletext"/>
              <w:framePr w:hSpace="181" w:wrap="notBeside" w:vAnchor="text" w:hAnchor="text" w:xAlign="center" w:y="1"/>
              <w:jc w:val="left"/>
              <w:rPr>
                <w:lang w:val="fr-CH"/>
              </w:rPr>
            </w:pPr>
            <w:r>
              <w:rPr>
                <w:bCs/>
                <w:lang w:val="fr-CH"/>
              </w:rPr>
              <w:t>Zone autour de la station terrienne (approximativement) (km)</w:t>
            </w:r>
          </w:p>
        </w:tc>
        <w:tc>
          <w:tcPr>
            <w:tcW w:w="1482" w:type="dxa"/>
          </w:tcPr>
          <w:p w:rsidR="002B489A" w:rsidRDefault="004F19C4">
            <w:pPr>
              <w:pStyle w:val="Tabletext"/>
              <w:framePr w:hSpace="181" w:wrap="notBeside" w:vAnchor="text" w:hAnchor="text" w:xAlign="center" w:y="1"/>
              <w:jc w:val="center"/>
              <w:rPr>
                <w:lang w:val="fr-CH"/>
              </w:rPr>
            </w:pPr>
            <w:r>
              <w:rPr>
                <w:lang w:val="fr-CH"/>
              </w:rPr>
              <w:t>Diamètre 98</w:t>
            </w:r>
          </w:p>
        </w:tc>
        <w:tc>
          <w:tcPr>
            <w:tcW w:w="1482" w:type="dxa"/>
          </w:tcPr>
          <w:p w:rsidR="002B489A" w:rsidRDefault="004F19C4">
            <w:pPr>
              <w:pStyle w:val="Tabletext"/>
              <w:framePr w:hSpace="181" w:wrap="notBeside" w:vAnchor="text" w:hAnchor="text" w:xAlign="center" w:y="1"/>
              <w:jc w:val="center"/>
              <w:rPr>
                <w:lang w:val="fr-CH"/>
              </w:rPr>
            </w:pPr>
            <w:r>
              <w:rPr>
                <w:lang w:val="fr-CH"/>
              </w:rPr>
              <w:t>–</w:t>
            </w:r>
          </w:p>
        </w:tc>
        <w:tc>
          <w:tcPr>
            <w:tcW w:w="1482" w:type="dxa"/>
          </w:tcPr>
          <w:p w:rsidR="002B489A" w:rsidRDefault="004F19C4">
            <w:pPr>
              <w:pStyle w:val="Tabletext"/>
              <w:framePr w:hSpace="181" w:wrap="notBeside" w:vAnchor="text" w:hAnchor="text" w:xAlign="center" w:y="1"/>
              <w:jc w:val="center"/>
              <w:rPr>
                <w:lang w:val="fr-CH"/>
              </w:rPr>
            </w:pPr>
            <w:r>
              <w:rPr>
                <w:lang w:val="fr-CH"/>
              </w:rPr>
              <w:t>–</w:t>
            </w:r>
          </w:p>
        </w:tc>
      </w:tr>
      <w:tr w:rsidR="002B489A">
        <w:tc>
          <w:tcPr>
            <w:tcW w:w="5193" w:type="dxa"/>
            <w:tcBorders>
              <w:bottom w:val="single" w:sz="4" w:space="0" w:color="auto"/>
            </w:tcBorders>
          </w:tcPr>
          <w:p w:rsidR="002B489A" w:rsidRDefault="004F19C4">
            <w:pPr>
              <w:pStyle w:val="Tabletext"/>
              <w:framePr w:hSpace="181" w:wrap="notBeside" w:vAnchor="text" w:hAnchor="text" w:xAlign="center" w:y="1"/>
              <w:jc w:val="left"/>
              <w:rPr>
                <w:lang w:val="fr-CH"/>
              </w:rPr>
            </w:pPr>
            <w:r>
              <w:rPr>
                <w:bCs/>
                <w:lang w:val="fr-CH"/>
              </w:rPr>
              <w:t>Nombre de pixels/évènements contaminés</w:t>
            </w:r>
          </w:p>
        </w:tc>
        <w:tc>
          <w:tcPr>
            <w:tcW w:w="1482" w:type="dxa"/>
            <w:tcBorders>
              <w:bottom w:val="single" w:sz="4" w:space="0" w:color="auto"/>
            </w:tcBorders>
          </w:tcPr>
          <w:p w:rsidR="002B489A" w:rsidRDefault="004F19C4">
            <w:pPr>
              <w:pStyle w:val="Tabletext"/>
              <w:framePr w:hSpace="181" w:wrap="notBeside" w:vAnchor="text" w:hAnchor="text" w:xAlign="center" w:y="1"/>
              <w:jc w:val="center"/>
              <w:rPr>
                <w:lang w:val="fr-CH"/>
              </w:rPr>
            </w:pPr>
            <w:r>
              <w:rPr>
                <w:lang w:val="fr-CH"/>
              </w:rPr>
              <w:t>38 pixels</w:t>
            </w:r>
          </w:p>
        </w:tc>
        <w:tc>
          <w:tcPr>
            <w:tcW w:w="1482" w:type="dxa"/>
            <w:tcBorders>
              <w:bottom w:val="single" w:sz="4" w:space="0" w:color="auto"/>
            </w:tcBorders>
          </w:tcPr>
          <w:p w:rsidR="002B489A" w:rsidRDefault="004F19C4">
            <w:pPr>
              <w:pStyle w:val="Tabletext"/>
              <w:framePr w:hSpace="181" w:wrap="notBeside" w:vAnchor="text" w:hAnchor="text" w:xAlign="center" w:y="1"/>
              <w:jc w:val="center"/>
              <w:rPr>
                <w:lang w:val="fr-CH"/>
              </w:rPr>
            </w:pPr>
            <w:r>
              <w:rPr>
                <w:lang w:val="fr-CH"/>
              </w:rPr>
              <w:t>–</w:t>
            </w:r>
          </w:p>
        </w:tc>
        <w:tc>
          <w:tcPr>
            <w:tcW w:w="1482" w:type="dxa"/>
            <w:tcBorders>
              <w:bottom w:val="single" w:sz="4" w:space="0" w:color="auto"/>
            </w:tcBorders>
          </w:tcPr>
          <w:p w:rsidR="002B489A" w:rsidRDefault="004F19C4">
            <w:pPr>
              <w:pStyle w:val="Tabletext"/>
              <w:framePr w:hSpace="181" w:wrap="notBeside" w:vAnchor="text" w:hAnchor="text" w:xAlign="center" w:y="1"/>
              <w:jc w:val="center"/>
              <w:rPr>
                <w:lang w:val="fr-CH"/>
              </w:rPr>
            </w:pPr>
            <w:r>
              <w:rPr>
                <w:lang w:val="fr-CH"/>
              </w:rPr>
              <w:t>–</w:t>
            </w:r>
          </w:p>
        </w:tc>
      </w:tr>
      <w:tr w:rsidR="002B489A">
        <w:tc>
          <w:tcPr>
            <w:tcW w:w="5193" w:type="dxa"/>
            <w:tcBorders>
              <w:bottom w:val="single" w:sz="4" w:space="0" w:color="auto"/>
            </w:tcBorders>
          </w:tcPr>
          <w:p w:rsidR="002B489A" w:rsidRDefault="004F19C4">
            <w:pPr>
              <w:pStyle w:val="Tabletext"/>
              <w:framePr w:hSpace="181" w:wrap="notBeside" w:vAnchor="text" w:hAnchor="text" w:xAlign="center" w:y="1"/>
              <w:jc w:val="left"/>
              <w:rPr>
                <w:lang w:val="fr-CH"/>
              </w:rPr>
            </w:pPr>
            <w:r>
              <w:rPr>
                <w:bCs/>
                <w:lang w:val="fr-CH"/>
              </w:rPr>
              <w:t>Durée d'un évènement (s)</w:t>
            </w:r>
          </w:p>
        </w:tc>
        <w:tc>
          <w:tcPr>
            <w:tcW w:w="1482" w:type="dxa"/>
            <w:tcBorders>
              <w:bottom w:val="single" w:sz="4" w:space="0" w:color="auto"/>
            </w:tcBorders>
          </w:tcPr>
          <w:p w:rsidR="002B489A" w:rsidRDefault="004F19C4">
            <w:pPr>
              <w:pStyle w:val="Tabletext"/>
              <w:framePr w:hSpace="181" w:wrap="notBeside" w:vAnchor="text" w:hAnchor="text" w:xAlign="center" w:y="1"/>
              <w:jc w:val="center"/>
              <w:rPr>
                <w:lang w:val="fr-CH"/>
              </w:rPr>
            </w:pPr>
            <w:r>
              <w:rPr>
                <w:lang w:val="fr-CH"/>
              </w:rPr>
              <w:t>15</w:t>
            </w:r>
          </w:p>
        </w:tc>
        <w:tc>
          <w:tcPr>
            <w:tcW w:w="1482" w:type="dxa"/>
            <w:tcBorders>
              <w:bottom w:val="single" w:sz="4" w:space="0" w:color="auto"/>
            </w:tcBorders>
          </w:tcPr>
          <w:p w:rsidR="002B489A" w:rsidRDefault="004F19C4">
            <w:pPr>
              <w:pStyle w:val="Tabletext"/>
              <w:framePr w:hSpace="181" w:wrap="notBeside" w:vAnchor="text" w:hAnchor="text" w:xAlign="center" w:y="1"/>
              <w:jc w:val="center"/>
              <w:rPr>
                <w:lang w:val="fr-CH"/>
              </w:rPr>
            </w:pPr>
            <w:r>
              <w:rPr>
                <w:lang w:val="fr-CH"/>
              </w:rPr>
              <w:t>–</w:t>
            </w:r>
          </w:p>
        </w:tc>
        <w:tc>
          <w:tcPr>
            <w:tcW w:w="1482" w:type="dxa"/>
            <w:tcBorders>
              <w:bottom w:val="single" w:sz="4" w:space="0" w:color="auto"/>
            </w:tcBorders>
          </w:tcPr>
          <w:p w:rsidR="002B489A" w:rsidRDefault="004F19C4">
            <w:pPr>
              <w:pStyle w:val="Tabletext"/>
              <w:framePr w:hSpace="181" w:wrap="notBeside" w:vAnchor="text" w:hAnchor="text" w:xAlign="center" w:y="1"/>
              <w:jc w:val="center"/>
              <w:rPr>
                <w:lang w:val="fr-CH"/>
              </w:rPr>
            </w:pPr>
            <w:r>
              <w:rPr>
                <w:lang w:val="fr-CH"/>
              </w:rPr>
              <w:t>–</w:t>
            </w:r>
          </w:p>
        </w:tc>
      </w:tr>
      <w:tr w:rsidR="002B489A">
        <w:tc>
          <w:tcPr>
            <w:tcW w:w="5193" w:type="dxa"/>
            <w:tcBorders>
              <w:top w:val="single" w:sz="4" w:space="0" w:color="auto"/>
              <w:right w:val="single" w:sz="4" w:space="0" w:color="auto"/>
            </w:tcBorders>
          </w:tcPr>
          <w:p w:rsidR="002B489A" w:rsidRDefault="004F19C4">
            <w:pPr>
              <w:pStyle w:val="Tabletext"/>
              <w:framePr w:hSpace="181" w:wrap="notBeside" w:vAnchor="text" w:hAnchor="text" w:xAlign="center" w:y="1"/>
              <w:ind w:left="113"/>
              <w:jc w:val="left"/>
              <w:rPr>
                <w:lang w:val="fr-CH"/>
              </w:rPr>
            </w:pPr>
            <w:r>
              <w:rPr>
                <w:bCs/>
                <w:lang w:val="fr-CH"/>
              </w:rPr>
              <w:t>Détecteur proche du zénith de la station terrienne</w:t>
            </w:r>
          </w:p>
        </w:tc>
        <w:tc>
          <w:tcPr>
            <w:tcW w:w="1482" w:type="dxa"/>
            <w:tcBorders>
              <w:top w:val="single" w:sz="4" w:space="0" w:color="auto"/>
              <w:left w:val="single" w:sz="4" w:space="0" w:color="auto"/>
              <w:right w:val="single" w:sz="4" w:space="0" w:color="auto"/>
            </w:tcBorders>
          </w:tcPr>
          <w:p w:rsidR="002B489A" w:rsidRDefault="004F19C4">
            <w:pPr>
              <w:pStyle w:val="Tabletext"/>
              <w:framePr w:hSpace="181" w:wrap="notBeside" w:vAnchor="text" w:hAnchor="text" w:xAlign="center" w:y="1"/>
              <w:jc w:val="center"/>
              <w:rPr>
                <w:b/>
                <w:bCs/>
                <w:lang w:val="es-ES"/>
              </w:rPr>
            </w:pPr>
            <w:r>
              <w:rPr>
                <w:b/>
                <w:bCs/>
                <w:lang w:val="es-ES"/>
              </w:rPr>
              <w:t>MEOSAT-X</w:t>
            </w:r>
          </w:p>
        </w:tc>
        <w:tc>
          <w:tcPr>
            <w:tcW w:w="1482" w:type="dxa"/>
            <w:tcBorders>
              <w:top w:val="single" w:sz="4" w:space="0" w:color="auto"/>
              <w:left w:val="single" w:sz="4" w:space="0" w:color="auto"/>
              <w:right w:val="single" w:sz="4" w:space="0" w:color="auto"/>
            </w:tcBorders>
          </w:tcPr>
          <w:p w:rsidR="002B489A" w:rsidRDefault="004F19C4">
            <w:pPr>
              <w:pStyle w:val="Tabletext"/>
              <w:framePr w:hSpace="181" w:wrap="notBeside" w:vAnchor="text" w:hAnchor="text" w:xAlign="center" w:y="1"/>
              <w:jc w:val="center"/>
              <w:rPr>
                <w:b/>
                <w:bCs/>
                <w:lang w:val="es-ES"/>
              </w:rPr>
            </w:pPr>
            <w:r>
              <w:rPr>
                <w:b/>
                <w:bCs/>
                <w:lang w:val="es-ES"/>
              </w:rPr>
              <w:t>LEO V1</w:t>
            </w:r>
          </w:p>
        </w:tc>
        <w:tc>
          <w:tcPr>
            <w:tcW w:w="1482" w:type="dxa"/>
            <w:tcBorders>
              <w:top w:val="single" w:sz="4" w:space="0" w:color="auto"/>
              <w:left w:val="single" w:sz="4" w:space="0" w:color="auto"/>
            </w:tcBorders>
          </w:tcPr>
          <w:p w:rsidR="002B489A" w:rsidRDefault="004F19C4">
            <w:pPr>
              <w:pStyle w:val="Tabletext"/>
              <w:framePr w:hSpace="181" w:wrap="notBeside" w:vAnchor="text" w:hAnchor="text" w:xAlign="center" w:y="1"/>
              <w:jc w:val="center"/>
              <w:rPr>
                <w:b/>
                <w:bCs/>
                <w:lang w:val="es-ES"/>
              </w:rPr>
            </w:pPr>
            <w:r>
              <w:rPr>
                <w:b/>
                <w:bCs/>
                <w:lang w:val="es-ES"/>
              </w:rPr>
              <w:t>LEO V2</w:t>
            </w:r>
          </w:p>
        </w:tc>
      </w:tr>
      <w:tr w:rsidR="002B489A">
        <w:tc>
          <w:tcPr>
            <w:tcW w:w="9639" w:type="dxa"/>
            <w:gridSpan w:val="4"/>
          </w:tcPr>
          <w:p w:rsidR="002B489A" w:rsidRDefault="004F19C4">
            <w:pPr>
              <w:pStyle w:val="Tabletext"/>
              <w:framePr w:hSpace="181" w:wrap="notBeside" w:vAnchor="text" w:hAnchor="text" w:xAlign="center" w:y="1"/>
              <w:jc w:val="left"/>
              <w:rPr>
                <w:lang w:val="fr-CH"/>
              </w:rPr>
            </w:pPr>
            <w:r>
              <w:rPr>
                <w:bCs/>
                <w:lang w:val="fr-CH"/>
              </w:rPr>
              <w:t>Brouillage des lobes principaux du détecteur sur le lobe principal de la station terrienne</w:t>
            </w:r>
          </w:p>
        </w:tc>
      </w:tr>
      <w:tr w:rsidR="002B489A">
        <w:tc>
          <w:tcPr>
            <w:tcW w:w="5193" w:type="dxa"/>
          </w:tcPr>
          <w:p w:rsidR="002B489A" w:rsidRDefault="004F19C4">
            <w:pPr>
              <w:pStyle w:val="Tabletext"/>
              <w:framePr w:hSpace="181" w:wrap="notBeside" w:vAnchor="text" w:hAnchor="text" w:xAlign="center" w:y="1"/>
              <w:jc w:val="left"/>
              <w:rPr>
                <w:lang w:val="fr-CH"/>
              </w:rPr>
            </w:pPr>
            <w:r>
              <w:rPr>
                <w:bCs/>
                <w:lang w:val="fr-CH"/>
              </w:rPr>
              <w:t>Excédent maximum de puissance dans les faisceaux du détecteur</w:t>
            </w:r>
            <w:r>
              <w:rPr>
                <w:lang w:val="fr-CH"/>
              </w:rPr>
              <w:t xml:space="preserve"> (dB)</w:t>
            </w:r>
          </w:p>
        </w:tc>
        <w:tc>
          <w:tcPr>
            <w:tcW w:w="1482" w:type="dxa"/>
          </w:tcPr>
          <w:p w:rsidR="002B489A" w:rsidRDefault="004F19C4">
            <w:pPr>
              <w:pStyle w:val="Tabletext"/>
              <w:framePr w:hSpace="181" w:wrap="notBeside" w:vAnchor="text" w:hAnchor="text" w:xAlign="center" w:y="1"/>
              <w:jc w:val="center"/>
              <w:rPr>
                <w:lang w:val="fr-CH"/>
              </w:rPr>
            </w:pPr>
            <w:r>
              <w:rPr>
                <w:lang w:val="fr-CH"/>
              </w:rPr>
              <w:t>105,6</w:t>
            </w:r>
          </w:p>
        </w:tc>
        <w:tc>
          <w:tcPr>
            <w:tcW w:w="1482" w:type="dxa"/>
          </w:tcPr>
          <w:p w:rsidR="002B489A" w:rsidRDefault="004F19C4">
            <w:pPr>
              <w:pStyle w:val="Tabletext"/>
              <w:framePr w:hSpace="181" w:wrap="notBeside" w:vAnchor="text" w:hAnchor="text" w:xAlign="center" w:y="1"/>
              <w:jc w:val="center"/>
              <w:rPr>
                <w:lang w:val="fr-CH"/>
              </w:rPr>
            </w:pPr>
            <w:r>
              <w:rPr>
                <w:lang w:val="fr-CH"/>
              </w:rPr>
              <w:t>70</w:t>
            </w:r>
          </w:p>
        </w:tc>
        <w:tc>
          <w:tcPr>
            <w:tcW w:w="1482" w:type="dxa"/>
          </w:tcPr>
          <w:p w:rsidR="002B489A" w:rsidRDefault="004F19C4">
            <w:pPr>
              <w:pStyle w:val="Tabletext"/>
              <w:framePr w:hSpace="181" w:wrap="notBeside" w:vAnchor="text" w:hAnchor="text" w:xAlign="center" w:y="1"/>
              <w:jc w:val="center"/>
              <w:rPr>
                <w:lang w:val="fr-CH"/>
              </w:rPr>
            </w:pPr>
            <w:r>
              <w:rPr>
                <w:lang w:val="fr-CH"/>
              </w:rPr>
              <w:t>81</w:t>
            </w:r>
          </w:p>
        </w:tc>
      </w:tr>
      <w:tr w:rsidR="002B489A">
        <w:tc>
          <w:tcPr>
            <w:tcW w:w="5193" w:type="dxa"/>
          </w:tcPr>
          <w:p w:rsidR="002B489A" w:rsidRDefault="004F19C4">
            <w:pPr>
              <w:pStyle w:val="Tabletext"/>
              <w:framePr w:hSpace="181" w:wrap="notBeside" w:vAnchor="text" w:hAnchor="text" w:xAlign="center" w:y="1"/>
              <w:jc w:val="left"/>
              <w:rPr>
                <w:lang w:val="fr-CH"/>
              </w:rPr>
            </w:pPr>
            <w:r>
              <w:rPr>
                <w:bCs/>
                <w:lang w:val="fr-CH"/>
              </w:rPr>
              <w:t xml:space="preserve">Zone autour de la station terrienne (approximativement) </w:t>
            </w:r>
            <w:r>
              <w:rPr>
                <w:lang w:val="fr-CH"/>
              </w:rPr>
              <w:t>(km)</w:t>
            </w:r>
          </w:p>
        </w:tc>
        <w:tc>
          <w:tcPr>
            <w:tcW w:w="1482" w:type="dxa"/>
          </w:tcPr>
          <w:p w:rsidR="002B489A" w:rsidRDefault="004F19C4">
            <w:pPr>
              <w:pStyle w:val="Tabletext"/>
              <w:framePr w:hSpace="181" w:wrap="notBeside" w:vAnchor="text" w:hAnchor="text" w:xAlign="center" w:y="1"/>
              <w:jc w:val="center"/>
              <w:rPr>
                <w:lang w:val="fr-CH"/>
              </w:rPr>
            </w:pPr>
            <w:r>
              <w:rPr>
                <w:lang w:val="fr-CH"/>
              </w:rPr>
              <w:t>Diamètre 325</w:t>
            </w:r>
          </w:p>
        </w:tc>
        <w:tc>
          <w:tcPr>
            <w:tcW w:w="1482" w:type="dxa"/>
          </w:tcPr>
          <w:p w:rsidR="002B489A" w:rsidRDefault="004F19C4">
            <w:pPr>
              <w:pStyle w:val="Tabletext"/>
              <w:framePr w:hSpace="181" w:wrap="notBeside" w:vAnchor="text" w:hAnchor="text" w:xAlign="center" w:y="1"/>
              <w:jc w:val="center"/>
              <w:rPr>
                <w:lang w:val="fr-CH"/>
              </w:rPr>
            </w:pPr>
            <w:r>
              <w:rPr>
                <w:lang w:val="fr-CH"/>
              </w:rPr>
              <w:t>–</w:t>
            </w:r>
          </w:p>
        </w:tc>
        <w:tc>
          <w:tcPr>
            <w:tcW w:w="1482" w:type="dxa"/>
          </w:tcPr>
          <w:p w:rsidR="002B489A" w:rsidRDefault="004F19C4">
            <w:pPr>
              <w:pStyle w:val="Tabletext"/>
              <w:framePr w:hSpace="181" w:wrap="notBeside" w:vAnchor="text" w:hAnchor="text" w:xAlign="center" w:y="1"/>
              <w:jc w:val="center"/>
              <w:rPr>
                <w:lang w:val="fr-CH"/>
              </w:rPr>
            </w:pPr>
            <w:r>
              <w:rPr>
                <w:lang w:val="fr-CH"/>
              </w:rPr>
              <w:t>–</w:t>
            </w:r>
          </w:p>
        </w:tc>
      </w:tr>
      <w:tr w:rsidR="002B489A">
        <w:tc>
          <w:tcPr>
            <w:tcW w:w="5193" w:type="dxa"/>
          </w:tcPr>
          <w:p w:rsidR="002B489A" w:rsidRDefault="004F19C4">
            <w:pPr>
              <w:pStyle w:val="Tabletext"/>
              <w:framePr w:hSpace="181" w:wrap="notBeside" w:vAnchor="text" w:hAnchor="text" w:xAlign="center" w:y="1"/>
              <w:jc w:val="left"/>
              <w:rPr>
                <w:lang w:val="fr-CH"/>
              </w:rPr>
            </w:pPr>
            <w:r>
              <w:rPr>
                <w:bCs/>
                <w:lang w:val="fr-CH"/>
              </w:rPr>
              <w:t>Nombre de pixels contaminés (approximativement)</w:t>
            </w:r>
          </w:p>
        </w:tc>
        <w:tc>
          <w:tcPr>
            <w:tcW w:w="1482" w:type="dxa"/>
          </w:tcPr>
          <w:p w:rsidR="002B489A" w:rsidRDefault="004F19C4">
            <w:pPr>
              <w:pStyle w:val="Tabletext"/>
              <w:framePr w:hSpace="181" w:wrap="notBeside" w:vAnchor="text" w:hAnchor="text" w:xAlign="center" w:y="1"/>
              <w:jc w:val="center"/>
              <w:rPr>
                <w:lang w:val="fr-CH"/>
              </w:rPr>
            </w:pPr>
            <w:r>
              <w:rPr>
                <w:lang w:val="fr-CH"/>
              </w:rPr>
              <w:t>20 lignes de balayage</w:t>
            </w:r>
          </w:p>
        </w:tc>
        <w:tc>
          <w:tcPr>
            <w:tcW w:w="1482" w:type="dxa"/>
          </w:tcPr>
          <w:p w:rsidR="002B489A" w:rsidRDefault="004F19C4">
            <w:pPr>
              <w:pStyle w:val="Tabletext"/>
              <w:framePr w:hSpace="181" w:wrap="notBeside" w:vAnchor="text" w:hAnchor="text" w:xAlign="center" w:y="1"/>
              <w:jc w:val="center"/>
              <w:rPr>
                <w:lang w:val="fr-CH"/>
              </w:rPr>
            </w:pPr>
            <w:r>
              <w:rPr>
                <w:lang w:val="fr-CH"/>
              </w:rPr>
              <w:t>–</w:t>
            </w:r>
          </w:p>
        </w:tc>
        <w:tc>
          <w:tcPr>
            <w:tcW w:w="1482" w:type="dxa"/>
          </w:tcPr>
          <w:p w:rsidR="002B489A" w:rsidRDefault="004F19C4">
            <w:pPr>
              <w:pStyle w:val="Tabletext"/>
              <w:framePr w:hSpace="181" w:wrap="notBeside" w:vAnchor="text" w:hAnchor="text" w:xAlign="center" w:y="1"/>
              <w:jc w:val="center"/>
              <w:rPr>
                <w:lang w:val="fr-CH"/>
              </w:rPr>
            </w:pPr>
            <w:r>
              <w:rPr>
                <w:lang w:val="fr-CH"/>
              </w:rPr>
              <w:t>–</w:t>
            </w:r>
          </w:p>
        </w:tc>
      </w:tr>
      <w:tr w:rsidR="002B489A">
        <w:tc>
          <w:tcPr>
            <w:tcW w:w="5193" w:type="dxa"/>
            <w:tcBorders>
              <w:bottom w:val="single" w:sz="4" w:space="0" w:color="auto"/>
            </w:tcBorders>
          </w:tcPr>
          <w:p w:rsidR="002B489A" w:rsidRDefault="004F19C4">
            <w:pPr>
              <w:pStyle w:val="Tabletext"/>
              <w:framePr w:hSpace="181" w:wrap="notBeside" w:vAnchor="text" w:hAnchor="text" w:xAlign="center" w:y="1"/>
              <w:ind w:right="-57"/>
              <w:jc w:val="left"/>
              <w:rPr>
                <w:lang w:val="fr-CH"/>
              </w:rPr>
            </w:pPr>
            <w:r>
              <w:rPr>
                <w:bCs/>
                <w:lang w:val="fr-CH"/>
              </w:rPr>
              <w:t>Durée moyenne d'un évènement (approximativement) (s)</w:t>
            </w:r>
          </w:p>
        </w:tc>
        <w:tc>
          <w:tcPr>
            <w:tcW w:w="1482" w:type="dxa"/>
            <w:tcBorders>
              <w:bottom w:val="single" w:sz="4" w:space="0" w:color="auto"/>
            </w:tcBorders>
          </w:tcPr>
          <w:p w:rsidR="002B489A" w:rsidRDefault="004F19C4">
            <w:pPr>
              <w:pStyle w:val="Tabletext"/>
              <w:framePr w:hSpace="181" w:wrap="notBeside" w:vAnchor="text" w:hAnchor="text" w:xAlign="center" w:y="1"/>
              <w:jc w:val="center"/>
              <w:rPr>
                <w:lang w:val="fr-CH"/>
              </w:rPr>
            </w:pPr>
            <w:r>
              <w:rPr>
                <w:lang w:val="fr-CH"/>
              </w:rPr>
              <w:t>46</w:t>
            </w:r>
          </w:p>
        </w:tc>
        <w:tc>
          <w:tcPr>
            <w:tcW w:w="1482" w:type="dxa"/>
            <w:tcBorders>
              <w:bottom w:val="single" w:sz="4" w:space="0" w:color="auto"/>
            </w:tcBorders>
          </w:tcPr>
          <w:p w:rsidR="002B489A" w:rsidRDefault="004F19C4">
            <w:pPr>
              <w:pStyle w:val="Tabletext"/>
              <w:framePr w:hSpace="181" w:wrap="notBeside" w:vAnchor="text" w:hAnchor="text" w:xAlign="center" w:y="1"/>
              <w:jc w:val="center"/>
              <w:rPr>
                <w:lang w:val="fr-CH"/>
              </w:rPr>
            </w:pPr>
            <w:r>
              <w:rPr>
                <w:lang w:val="fr-CH"/>
              </w:rPr>
              <w:t>–</w:t>
            </w:r>
          </w:p>
        </w:tc>
        <w:tc>
          <w:tcPr>
            <w:tcW w:w="1482" w:type="dxa"/>
            <w:tcBorders>
              <w:bottom w:val="single" w:sz="4" w:space="0" w:color="auto"/>
            </w:tcBorders>
          </w:tcPr>
          <w:p w:rsidR="002B489A" w:rsidRDefault="004F19C4">
            <w:pPr>
              <w:pStyle w:val="Tabletext"/>
              <w:framePr w:hSpace="181" w:wrap="notBeside" w:vAnchor="text" w:hAnchor="text" w:xAlign="center" w:y="1"/>
              <w:jc w:val="center"/>
              <w:rPr>
                <w:lang w:val="fr-CH"/>
              </w:rPr>
            </w:pPr>
            <w:r>
              <w:rPr>
                <w:lang w:val="fr-CH"/>
              </w:rPr>
              <w:t>–</w:t>
            </w:r>
          </w:p>
        </w:tc>
      </w:tr>
      <w:tr w:rsidR="002B489A">
        <w:tc>
          <w:tcPr>
            <w:tcW w:w="9639" w:type="dxa"/>
            <w:gridSpan w:val="4"/>
            <w:tcBorders>
              <w:top w:val="single" w:sz="4" w:space="0" w:color="auto"/>
              <w:left w:val="nil"/>
              <w:bottom w:val="nil"/>
              <w:right w:val="nil"/>
            </w:tcBorders>
          </w:tcPr>
          <w:p w:rsidR="002B489A" w:rsidRDefault="004F19C4">
            <w:pPr>
              <w:pStyle w:val="Tablelegend"/>
              <w:framePr w:hSpace="181" w:wrap="notBeside" w:vAnchor="text" w:hAnchor="text" w:xAlign="center" w:y="1"/>
              <w:tabs>
                <w:tab w:val="clear" w:pos="284"/>
              </w:tabs>
              <w:ind w:left="-76" w:hanging="9"/>
              <w:jc w:val="left"/>
              <w:rPr>
                <w:lang w:val="fr-CH"/>
              </w:rPr>
            </w:pPr>
            <w:r>
              <w:rPr>
                <w:lang w:val="fr-CH"/>
              </w:rPr>
              <w:t>NOTE 1 – La durée des évènements est évaluée avec l'hypothèse que la direction de pointage de l'antenne de la station terrienne est stable (c'est-à-dire que seul le satellite SETS est en mouvement). Il est clair que cette durée peut être plus courte ou plus longue en fonction de la vélocité relative des satellites SETS et SFS non</w:t>
            </w:r>
            <w:r>
              <w:rPr>
                <w:lang w:val="fr-CH"/>
              </w:rPr>
              <w:noBreakHyphen/>
              <w:t>OSG.</w:t>
            </w:r>
          </w:p>
        </w:tc>
      </w:tr>
    </w:tbl>
    <w:p w:rsidR="002B489A" w:rsidRDefault="002B489A">
      <w:pPr>
        <w:pStyle w:val="Tablefin"/>
      </w:pPr>
    </w:p>
    <w:p w:rsidR="002B489A" w:rsidRDefault="002B489A">
      <w:pPr>
        <w:rPr>
          <w:lang w:val="en-GB"/>
        </w:rPr>
      </w:pPr>
    </w:p>
    <w:p w:rsidR="002B489A" w:rsidRDefault="002B489A">
      <w:pPr>
        <w:rPr>
          <w:lang w:val="en-GB"/>
        </w:rPr>
      </w:pPr>
    </w:p>
    <w:p w:rsidR="002B489A" w:rsidRDefault="002B489A">
      <w:pPr>
        <w:rPr>
          <w:lang w:val="en-GB"/>
        </w:rPr>
      </w:pPr>
    </w:p>
    <w:p w:rsidR="002B489A" w:rsidRDefault="004F19C4">
      <w:pPr>
        <w:pStyle w:val="TableNo"/>
        <w:rPr>
          <w:lang w:val="fr-CH"/>
        </w:rPr>
      </w:pPr>
      <w:r>
        <w:rPr>
          <w:lang w:val="fr-CH"/>
        </w:rPr>
        <w:br w:type="page"/>
        <w:t>TABLEAU  104</w:t>
      </w:r>
    </w:p>
    <w:p w:rsidR="002B489A" w:rsidRDefault="004F19C4">
      <w:pPr>
        <w:pStyle w:val="Tabletitle"/>
        <w:rPr>
          <w:lang w:val="fr-CH"/>
        </w:rPr>
      </w:pPr>
      <w:r>
        <w:rPr>
          <w:lang w:val="fr-CH"/>
        </w:rPr>
        <w:t xml:space="preserve">Excédent de puissance au-delà du seuil de brouillage, réseaux OSG </w:t>
      </w:r>
      <w:r>
        <w:rPr>
          <w:lang w:val="fr-CH"/>
        </w:rPr>
        <w:br/>
        <w:t>(hypothèse de cofréquence)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2410"/>
        <w:gridCol w:w="2410"/>
      </w:tblGrid>
      <w:tr w:rsidR="002B489A">
        <w:tc>
          <w:tcPr>
            <w:tcW w:w="4819" w:type="dxa"/>
          </w:tcPr>
          <w:p w:rsidR="002B489A" w:rsidRDefault="004F19C4">
            <w:pPr>
              <w:pStyle w:val="Tablehead"/>
              <w:framePr w:hSpace="181" w:wrap="notBeside" w:vAnchor="text" w:hAnchor="text" w:xAlign="center" w:y="1"/>
              <w:rPr>
                <w:lang w:val="fr-CH"/>
              </w:rPr>
            </w:pPr>
            <w:r>
              <w:rPr>
                <w:lang w:val="fr-CH"/>
              </w:rPr>
              <w:t xml:space="preserve">Détecteur dans le lobe principal </w:t>
            </w:r>
            <w:r>
              <w:rPr>
                <w:lang w:val="fr-CH"/>
              </w:rPr>
              <w:br/>
              <w:t>de la station terrienne</w:t>
            </w:r>
          </w:p>
        </w:tc>
        <w:tc>
          <w:tcPr>
            <w:tcW w:w="2410" w:type="dxa"/>
          </w:tcPr>
          <w:p w:rsidR="002B489A" w:rsidRDefault="004F19C4">
            <w:pPr>
              <w:pStyle w:val="Tablehead"/>
              <w:framePr w:hSpace="181" w:wrap="notBeside" w:vAnchor="text" w:hAnchor="text" w:xAlign="center" w:y="1"/>
              <w:rPr>
                <w:lang w:val="fr-CH"/>
              </w:rPr>
            </w:pPr>
            <w:r>
              <w:rPr>
                <w:lang w:val="fr-CH"/>
              </w:rPr>
              <w:t>Station terrienne</w:t>
            </w:r>
            <w:r>
              <w:rPr>
                <w:lang w:val="fr-CH"/>
              </w:rPr>
              <w:br/>
              <w:t>SFS V-B2</w:t>
            </w:r>
          </w:p>
        </w:tc>
        <w:tc>
          <w:tcPr>
            <w:tcW w:w="2410" w:type="dxa"/>
          </w:tcPr>
          <w:p w:rsidR="002B489A" w:rsidRDefault="004F19C4">
            <w:pPr>
              <w:pStyle w:val="Tablehead"/>
              <w:framePr w:hSpace="181" w:wrap="notBeside" w:vAnchor="text" w:hAnchor="text" w:xAlign="center" w:y="1"/>
              <w:rPr>
                <w:lang w:val="fr-CH"/>
              </w:rPr>
            </w:pPr>
            <w:r>
              <w:rPr>
                <w:lang w:val="fr-CH"/>
              </w:rPr>
              <w:t>Station terrienne</w:t>
            </w:r>
            <w:r>
              <w:rPr>
                <w:lang w:val="fr-CH"/>
              </w:rPr>
              <w:br/>
              <w:t xml:space="preserve">SFS SV </w:t>
            </w:r>
          </w:p>
        </w:tc>
      </w:tr>
      <w:tr w:rsidR="002B489A">
        <w:tc>
          <w:tcPr>
            <w:tcW w:w="4819" w:type="dxa"/>
          </w:tcPr>
          <w:p w:rsidR="002B489A" w:rsidRDefault="004F19C4">
            <w:pPr>
              <w:pStyle w:val="Tabletext"/>
              <w:framePr w:hSpace="181" w:wrap="notBeside" w:vAnchor="text" w:hAnchor="text" w:xAlign="center" w:y="1"/>
              <w:jc w:val="left"/>
              <w:rPr>
                <w:lang w:val="fr-CH"/>
              </w:rPr>
            </w:pPr>
            <w:r>
              <w:rPr>
                <w:lang w:val="fr-CH"/>
              </w:rPr>
              <w:t>Excédent de puissance (dB)</w:t>
            </w:r>
          </w:p>
        </w:tc>
        <w:tc>
          <w:tcPr>
            <w:tcW w:w="2410" w:type="dxa"/>
          </w:tcPr>
          <w:p w:rsidR="002B489A" w:rsidRDefault="004F19C4">
            <w:pPr>
              <w:pStyle w:val="Tabletext"/>
              <w:framePr w:hSpace="181" w:wrap="notBeside" w:vAnchor="text" w:hAnchor="text" w:xAlign="center" w:y="1"/>
              <w:jc w:val="center"/>
              <w:rPr>
                <w:lang w:val="fr-CH"/>
              </w:rPr>
            </w:pPr>
            <w:r>
              <w:rPr>
                <w:lang w:val="fr-CH"/>
              </w:rPr>
              <w:t>49,9</w:t>
            </w:r>
          </w:p>
        </w:tc>
        <w:tc>
          <w:tcPr>
            <w:tcW w:w="2410" w:type="dxa"/>
          </w:tcPr>
          <w:p w:rsidR="002B489A" w:rsidRDefault="004F19C4">
            <w:pPr>
              <w:pStyle w:val="Tabletext"/>
              <w:framePr w:hSpace="181" w:wrap="notBeside" w:vAnchor="text" w:hAnchor="text" w:xAlign="center" w:y="1"/>
              <w:jc w:val="center"/>
              <w:rPr>
                <w:lang w:val="fr-CH"/>
              </w:rPr>
            </w:pPr>
            <w:r>
              <w:rPr>
                <w:lang w:val="fr-CH"/>
              </w:rPr>
              <w:t>40,5</w:t>
            </w:r>
          </w:p>
        </w:tc>
      </w:tr>
      <w:tr w:rsidR="002B489A">
        <w:tc>
          <w:tcPr>
            <w:tcW w:w="4819" w:type="dxa"/>
          </w:tcPr>
          <w:p w:rsidR="002B489A" w:rsidRDefault="004F19C4">
            <w:pPr>
              <w:pStyle w:val="Tabletext"/>
              <w:framePr w:hSpace="181" w:wrap="notBeside" w:vAnchor="text" w:hAnchor="text" w:xAlign="center" w:y="1"/>
              <w:jc w:val="left"/>
              <w:rPr>
                <w:lang w:val="fr-CH"/>
              </w:rPr>
            </w:pPr>
            <w:r>
              <w:rPr>
                <w:lang w:val="fr-CH"/>
              </w:rPr>
              <w:t>Zone concernée (approximativement) (km)</w:t>
            </w:r>
          </w:p>
        </w:tc>
        <w:tc>
          <w:tcPr>
            <w:tcW w:w="2410" w:type="dxa"/>
          </w:tcPr>
          <w:p w:rsidR="002B489A" w:rsidRDefault="004F19C4">
            <w:pPr>
              <w:pStyle w:val="Tabletext"/>
              <w:framePr w:hSpace="181" w:wrap="notBeside" w:vAnchor="text" w:hAnchor="text" w:xAlign="center" w:y="1"/>
              <w:jc w:val="center"/>
              <w:rPr>
                <w:lang w:val="fr-CH"/>
              </w:rPr>
            </w:pPr>
            <w:r>
              <w:rPr>
                <w:lang w:val="fr-CH"/>
              </w:rPr>
              <w:t xml:space="preserve">150 </w:t>
            </w:r>
            <w:r>
              <w:rPr>
                <w:rFonts w:ascii="Symbol" w:hAnsi="Symbol"/>
                <w:lang w:val="fr-CH"/>
              </w:rPr>
              <w:t></w:t>
            </w:r>
            <w:r>
              <w:rPr>
                <w:lang w:val="fr-CH"/>
              </w:rPr>
              <w:t xml:space="preserve"> 130</w:t>
            </w:r>
          </w:p>
        </w:tc>
        <w:tc>
          <w:tcPr>
            <w:tcW w:w="2410" w:type="dxa"/>
          </w:tcPr>
          <w:p w:rsidR="002B489A" w:rsidRDefault="004F19C4">
            <w:pPr>
              <w:pStyle w:val="Tabletext"/>
              <w:framePr w:hSpace="181" w:wrap="notBeside" w:vAnchor="text" w:hAnchor="text" w:xAlign="center" w:y="1"/>
              <w:jc w:val="center"/>
              <w:rPr>
                <w:lang w:val="fr-CH"/>
              </w:rPr>
            </w:pPr>
            <w:r>
              <w:rPr>
                <w:lang w:val="fr-CH"/>
              </w:rPr>
              <w:t xml:space="preserve">102 </w:t>
            </w:r>
            <w:r>
              <w:rPr>
                <w:rFonts w:ascii="Symbol" w:hAnsi="Symbol"/>
                <w:lang w:val="fr-CH"/>
              </w:rPr>
              <w:t></w:t>
            </w:r>
            <w:r>
              <w:rPr>
                <w:lang w:val="fr-CH"/>
              </w:rPr>
              <w:t xml:space="preserve"> 88</w:t>
            </w:r>
          </w:p>
        </w:tc>
      </w:tr>
      <w:tr w:rsidR="002B489A">
        <w:tc>
          <w:tcPr>
            <w:tcW w:w="4819" w:type="dxa"/>
            <w:tcBorders>
              <w:bottom w:val="single" w:sz="4" w:space="0" w:color="auto"/>
            </w:tcBorders>
          </w:tcPr>
          <w:p w:rsidR="002B489A" w:rsidRDefault="004F19C4">
            <w:pPr>
              <w:pStyle w:val="Tabletext"/>
              <w:framePr w:hSpace="181" w:wrap="notBeside" w:vAnchor="text" w:hAnchor="text" w:xAlign="center" w:y="1"/>
              <w:jc w:val="left"/>
              <w:rPr>
                <w:lang w:val="fr-CH"/>
              </w:rPr>
            </w:pPr>
            <w:r>
              <w:rPr>
                <w:lang w:val="fr-CH"/>
              </w:rPr>
              <w:t>Nombre de pixels/évènements contaminés</w:t>
            </w:r>
          </w:p>
        </w:tc>
        <w:tc>
          <w:tcPr>
            <w:tcW w:w="2410" w:type="dxa"/>
            <w:tcBorders>
              <w:bottom w:val="single" w:sz="4" w:space="0" w:color="auto"/>
            </w:tcBorders>
          </w:tcPr>
          <w:p w:rsidR="002B489A" w:rsidRDefault="004F19C4">
            <w:pPr>
              <w:pStyle w:val="Tabletext"/>
              <w:framePr w:hSpace="181" w:wrap="notBeside" w:vAnchor="text" w:hAnchor="text" w:xAlign="center" w:y="1"/>
              <w:jc w:val="center"/>
              <w:rPr>
                <w:caps/>
                <w:lang w:val="fr-CH"/>
              </w:rPr>
            </w:pPr>
            <w:r>
              <w:rPr>
                <w:lang w:val="fr-CH"/>
              </w:rPr>
              <w:t>9 lignes de balayage</w:t>
            </w:r>
          </w:p>
        </w:tc>
        <w:tc>
          <w:tcPr>
            <w:tcW w:w="2410" w:type="dxa"/>
            <w:tcBorders>
              <w:bottom w:val="single" w:sz="4" w:space="0" w:color="auto"/>
            </w:tcBorders>
          </w:tcPr>
          <w:p w:rsidR="002B489A" w:rsidRDefault="004F19C4">
            <w:pPr>
              <w:pStyle w:val="Tabletext"/>
              <w:framePr w:hSpace="181" w:wrap="notBeside" w:vAnchor="text" w:hAnchor="text" w:xAlign="center" w:y="1"/>
              <w:jc w:val="center"/>
              <w:rPr>
                <w:lang w:val="fr-CH"/>
              </w:rPr>
            </w:pPr>
            <w:r>
              <w:rPr>
                <w:lang w:val="fr-CH"/>
              </w:rPr>
              <w:t>6,4 lignes de balayage</w:t>
            </w:r>
          </w:p>
        </w:tc>
      </w:tr>
      <w:tr w:rsidR="002B489A">
        <w:tc>
          <w:tcPr>
            <w:tcW w:w="4819" w:type="dxa"/>
            <w:tcBorders>
              <w:bottom w:val="single" w:sz="4" w:space="0" w:color="auto"/>
            </w:tcBorders>
          </w:tcPr>
          <w:p w:rsidR="002B489A" w:rsidRDefault="004F19C4">
            <w:pPr>
              <w:pStyle w:val="Tabletext"/>
              <w:framePr w:hSpace="181" w:wrap="notBeside" w:vAnchor="text" w:hAnchor="text" w:xAlign="center" w:y="1"/>
              <w:jc w:val="left"/>
              <w:rPr>
                <w:lang w:val="fr-CH"/>
              </w:rPr>
            </w:pPr>
            <w:r>
              <w:rPr>
                <w:lang w:val="fr-CH"/>
              </w:rPr>
              <w:t>Durée d'un évènement (approximativement) (s)</w:t>
            </w:r>
          </w:p>
        </w:tc>
        <w:tc>
          <w:tcPr>
            <w:tcW w:w="2410" w:type="dxa"/>
            <w:tcBorders>
              <w:bottom w:val="single" w:sz="4" w:space="0" w:color="auto"/>
            </w:tcBorders>
          </w:tcPr>
          <w:p w:rsidR="002B489A" w:rsidRDefault="004F19C4">
            <w:pPr>
              <w:pStyle w:val="Tabletext"/>
              <w:framePr w:hSpace="181" w:wrap="notBeside" w:vAnchor="text" w:hAnchor="text" w:xAlign="center" w:y="1"/>
              <w:jc w:val="center"/>
              <w:rPr>
                <w:lang w:val="fr-CH"/>
              </w:rPr>
            </w:pPr>
            <w:r>
              <w:rPr>
                <w:lang w:val="fr-CH"/>
              </w:rPr>
              <w:t>21</w:t>
            </w:r>
          </w:p>
        </w:tc>
        <w:tc>
          <w:tcPr>
            <w:tcW w:w="2410" w:type="dxa"/>
            <w:tcBorders>
              <w:bottom w:val="single" w:sz="4" w:space="0" w:color="auto"/>
            </w:tcBorders>
          </w:tcPr>
          <w:p w:rsidR="002B489A" w:rsidRDefault="004F19C4">
            <w:pPr>
              <w:pStyle w:val="Tabletext"/>
              <w:framePr w:hSpace="181" w:wrap="notBeside" w:vAnchor="text" w:hAnchor="text" w:xAlign="center" w:y="1"/>
              <w:jc w:val="center"/>
              <w:rPr>
                <w:lang w:val="fr-CH"/>
              </w:rPr>
            </w:pPr>
            <w:r>
              <w:rPr>
                <w:lang w:val="fr-CH"/>
              </w:rPr>
              <w:t>15</w:t>
            </w:r>
          </w:p>
        </w:tc>
      </w:tr>
      <w:tr w:rsidR="002B489A">
        <w:tc>
          <w:tcPr>
            <w:tcW w:w="4819" w:type="dxa"/>
            <w:tcBorders>
              <w:top w:val="single" w:sz="4" w:space="0" w:color="auto"/>
            </w:tcBorders>
          </w:tcPr>
          <w:p w:rsidR="002B489A" w:rsidRDefault="004F19C4">
            <w:pPr>
              <w:pStyle w:val="Tablehead"/>
              <w:framePr w:hSpace="181" w:wrap="notBeside" w:vAnchor="text" w:hAnchor="text" w:xAlign="center" w:y="1"/>
              <w:rPr>
                <w:lang w:val="fr-CH"/>
              </w:rPr>
            </w:pPr>
            <w:r>
              <w:rPr>
                <w:lang w:val="fr-CH"/>
              </w:rPr>
              <w:t xml:space="preserve">Détecteur proche du zénith </w:t>
            </w:r>
            <w:r>
              <w:rPr>
                <w:lang w:val="fr-CH"/>
              </w:rPr>
              <w:br/>
              <w:t>de la station terrienne</w:t>
            </w:r>
          </w:p>
        </w:tc>
        <w:tc>
          <w:tcPr>
            <w:tcW w:w="2410" w:type="dxa"/>
            <w:tcBorders>
              <w:top w:val="single" w:sz="4" w:space="0" w:color="auto"/>
            </w:tcBorders>
          </w:tcPr>
          <w:p w:rsidR="002B489A" w:rsidRDefault="004F19C4">
            <w:pPr>
              <w:pStyle w:val="Tablehead"/>
              <w:framePr w:hSpace="181" w:wrap="notBeside" w:vAnchor="text" w:hAnchor="text" w:xAlign="center" w:y="1"/>
              <w:rPr>
                <w:lang w:val="fr-CH"/>
              </w:rPr>
            </w:pPr>
            <w:r>
              <w:rPr>
                <w:lang w:val="fr-CH"/>
              </w:rPr>
              <w:t>Station terrienne</w:t>
            </w:r>
            <w:r>
              <w:rPr>
                <w:lang w:val="fr-CH"/>
              </w:rPr>
              <w:br/>
              <w:t>SFS V-B2</w:t>
            </w:r>
          </w:p>
        </w:tc>
        <w:tc>
          <w:tcPr>
            <w:tcW w:w="2410" w:type="dxa"/>
            <w:tcBorders>
              <w:top w:val="single" w:sz="4" w:space="0" w:color="auto"/>
            </w:tcBorders>
          </w:tcPr>
          <w:p w:rsidR="002B489A" w:rsidRDefault="004F19C4">
            <w:pPr>
              <w:pStyle w:val="Tablehead"/>
              <w:framePr w:hSpace="181" w:wrap="notBeside" w:vAnchor="text" w:hAnchor="text" w:xAlign="center" w:y="1"/>
              <w:rPr>
                <w:bCs/>
                <w:lang w:val="fr-CH"/>
              </w:rPr>
            </w:pPr>
            <w:r>
              <w:rPr>
                <w:bCs/>
                <w:lang w:val="fr-CH"/>
              </w:rPr>
              <w:t>Station terrienne</w:t>
            </w:r>
            <w:r>
              <w:rPr>
                <w:bCs/>
                <w:lang w:val="fr-CH"/>
              </w:rPr>
              <w:br/>
              <w:t xml:space="preserve">SFS SV </w:t>
            </w:r>
          </w:p>
        </w:tc>
      </w:tr>
      <w:tr w:rsidR="002B489A">
        <w:tc>
          <w:tcPr>
            <w:tcW w:w="4819" w:type="dxa"/>
          </w:tcPr>
          <w:p w:rsidR="002B489A" w:rsidRDefault="004F19C4">
            <w:pPr>
              <w:pStyle w:val="Tabletext"/>
              <w:framePr w:hSpace="181" w:wrap="notBeside" w:vAnchor="text" w:hAnchor="text" w:xAlign="center" w:y="1"/>
              <w:jc w:val="left"/>
              <w:rPr>
                <w:lang w:val="fr-CH"/>
              </w:rPr>
            </w:pPr>
            <w:r>
              <w:rPr>
                <w:lang w:val="fr-CH"/>
              </w:rPr>
              <w:t>Faisceau de nadir (dB)</w:t>
            </w:r>
          </w:p>
        </w:tc>
        <w:tc>
          <w:tcPr>
            <w:tcW w:w="2410" w:type="dxa"/>
          </w:tcPr>
          <w:p w:rsidR="002B489A" w:rsidRDefault="004F19C4">
            <w:pPr>
              <w:pStyle w:val="Tabletext"/>
              <w:framePr w:hSpace="181" w:wrap="notBeside" w:vAnchor="text" w:hAnchor="text" w:xAlign="center" w:y="1"/>
              <w:jc w:val="center"/>
              <w:rPr>
                <w:lang w:val="fr-CH"/>
              </w:rPr>
            </w:pPr>
            <w:r>
              <w:rPr>
                <w:lang w:val="fr-CH"/>
              </w:rPr>
              <w:t>29,7</w:t>
            </w:r>
          </w:p>
        </w:tc>
        <w:tc>
          <w:tcPr>
            <w:tcW w:w="2410" w:type="dxa"/>
          </w:tcPr>
          <w:p w:rsidR="002B489A" w:rsidRDefault="004F19C4">
            <w:pPr>
              <w:pStyle w:val="Tabletext"/>
              <w:framePr w:hSpace="181" w:wrap="notBeside" w:vAnchor="text" w:hAnchor="text" w:xAlign="center" w:y="1"/>
              <w:jc w:val="center"/>
              <w:rPr>
                <w:lang w:val="fr-CH"/>
              </w:rPr>
            </w:pPr>
            <w:r>
              <w:rPr>
                <w:lang w:val="fr-CH"/>
              </w:rPr>
              <w:t>26,4</w:t>
            </w:r>
          </w:p>
        </w:tc>
      </w:tr>
      <w:tr w:rsidR="002B489A">
        <w:tc>
          <w:tcPr>
            <w:tcW w:w="4819" w:type="dxa"/>
          </w:tcPr>
          <w:p w:rsidR="002B489A" w:rsidRDefault="004F19C4">
            <w:pPr>
              <w:pStyle w:val="Tabletext"/>
              <w:framePr w:hSpace="181" w:wrap="notBeside" w:vAnchor="text" w:hAnchor="text" w:xAlign="center" w:y="1"/>
              <w:jc w:val="left"/>
              <w:rPr>
                <w:lang w:val="fr-CH"/>
              </w:rPr>
            </w:pPr>
            <w:r>
              <w:rPr>
                <w:lang w:val="fr-CH"/>
              </w:rPr>
              <w:t xml:space="preserve">Faisceaux hors-nadir à </w:t>
            </w:r>
            <w:r>
              <w:rPr>
                <w:rFonts w:ascii="Symbol" w:hAnsi="Symbol"/>
                <w:lang w:val="fr-CH"/>
              </w:rPr>
              <w:t></w:t>
            </w:r>
            <w:r>
              <w:rPr>
                <w:rFonts w:ascii="Tms Rmn" w:hAnsi="Tms Rmn"/>
                <w:sz w:val="12"/>
                <w:lang w:val="fr-CH"/>
              </w:rPr>
              <w:t> </w:t>
            </w:r>
            <w:r>
              <w:rPr>
                <w:lang w:val="fr-CH"/>
              </w:rPr>
              <w:t>50° (dB)</w:t>
            </w:r>
          </w:p>
        </w:tc>
        <w:tc>
          <w:tcPr>
            <w:tcW w:w="2410" w:type="dxa"/>
          </w:tcPr>
          <w:p w:rsidR="002B489A" w:rsidRDefault="004F19C4">
            <w:pPr>
              <w:pStyle w:val="Tabletext"/>
              <w:framePr w:hSpace="181" w:wrap="notBeside" w:vAnchor="text" w:hAnchor="text" w:xAlign="center" w:y="1"/>
              <w:jc w:val="center"/>
              <w:rPr>
                <w:lang w:val="fr-CH"/>
              </w:rPr>
            </w:pPr>
            <w:r>
              <w:rPr>
                <w:lang w:val="fr-CH"/>
              </w:rPr>
              <w:t>23,5</w:t>
            </w:r>
          </w:p>
        </w:tc>
        <w:tc>
          <w:tcPr>
            <w:tcW w:w="2410" w:type="dxa"/>
          </w:tcPr>
          <w:p w:rsidR="002B489A" w:rsidRDefault="004F19C4">
            <w:pPr>
              <w:pStyle w:val="Tabletext"/>
              <w:framePr w:hSpace="181" w:wrap="notBeside" w:vAnchor="text" w:hAnchor="text" w:xAlign="center" w:y="1"/>
              <w:jc w:val="center"/>
              <w:rPr>
                <w:lang w:val="fr-CH"/>
              </w:rPr>
            </w:pPr>
            <w:r>
              <w:rPr>
                <w:lang w:val="fr-CH"/>
              </w:rPr>
              <w:t>20,2</w:t>
            </w:r>
          </w:p>
        </w:tc>
      </w:tr>
      <w:tr w:rsidR="002B489A">
        <w:tc>
          <w:tcPr>
            <w:tcW w:w="4819" w:type="dxa"/>
          </w:tcPr>
          <w:p w:rsidR="002B489A" w:rsidRDefault="004F19C4">
            <w:pPr>
              <w:pStyle w:val="Tabletext"/>
              <w:framePr w:hSpace="181" w:wrap="notBeside" w:vAnchor="text" w:hAnchor="text" w:xAlign="center" w:y="1"/>
              <w:jc w:val="left"/>
              <w:rPr>
                <w:lang w:val="fr-CH"/>
              </w:rPr>
            </w:pPr>
            <w:r>
              <w:rPr>
                <w:lang w:val="fr-CH"/>
              </w:rPr>
              <w:t>Zone autour de la station terrienne (approximativement) (km)</w:t>
            </w:r>
          </w:p>
        </w:tc>
        <w:tc>
          <w:tcPr>
            <w:tcW w:w="2410" w:type="dxa"/>
          </w:tcPr>
          <w:p w:rsidR="002B489A" w:rsidRDefault="004F19C4">
            <w:pPr>
              <w:pStyle w:val="Tabletext"/>
              <w:framePr w:hSpace="181" w:wrap="notBeside" w:vAnchor="text" w:hAnchor="text" w:xAlign="center" w:y="1"/>
              <w:jc w:val="center"/>
              <w:rPr>
                <w:lang w:val="en-US"/>
              </w:rPr>
            </w:pPr>
            <w:r>
              <w:rPr>
                <w:lang w:val="en-US"/>
              </w:rPr>
              <w:t>Diamètre 110</w:t>
            </w:r>
          </w:p>
        </w:tc>
        <w:tc>
          <w:tcPr>
            <w:tcW w:w="2410" w:type="dxa"/>
          </w:tcPr>
          <w:p w:rsidR="002B489A" w:rsidRDefault="004F19C4">
            <w:pPr>
              <w:pStyle w:val="Tabletext"/>
              <w:framePr w:hSpace="181" w:wrap="notBeside" w:vAnchor="text" w:hAnchor="text" w:xAlign="center" w:y="1"/>
              <w:jc w:val="center"/>
              <w:rPr>
                <w:lang w:val="en-US"/>
              </w:rPr>
            </w:pPr>
            <w:r>
              <w:rPr>
                <w:lang w:val="en-US"/>
              </w:rPr>
              <w:t>Diamètre 82</w:t>
            </w:r>
          </w:p>
        </w:tc>
      </w:tr>
      <w:tr w:rsidR="002B489A">
        <w:tc>
          <w:tcPr>
            <w:tcW w:w="4819" w:type="dxa"/>
          </w:tcPr>
          <w:p w:rsidR="002B489A" w:rsidRDefault="004F19C4">
            <w:pPr>
              <w:pStyle w:val="Tabletext"/>
              <w:framePr w:hSpace="181" w:wrap="notBeside" w:vAnchor="text" w:hAnchor="text" w:xAlign="center" w:y="1"/>
              <w:jc w:val="left"/>
              <w:rPr>
                <w:lang w:val="fr-CH"/>
              </w:rPr>
            </w:pPr>
            <w:r>
              <w:rPr>
                <w:lang w:val="fr-CH"/>
              </w:rPr>
              <w:t>Nombre de pixels/évènements contaminés</w:t>
            </w:r>
          </w:p>
        </w:tc>
        <w:tc>
          <w:tcPr>
            <w:tcW w:w="2410" w:type="dxa"/>
          </w:tcPr>
          <w:p w:rsidR="002B489A" w:rsidRDefault="004F19C4">
            <w:pPr>
              <w:pStyle w:val="Tabletext"/>
              <w:framePr w:hSpace="181" w:wrap="notBeside" w:vAnchor="text" w:hAnchor="text" w:xAlign="center" w:y="1"/>
              <w:jc w:val="center"/>
              <w:rPr>
                <w:lang w:val="fr-CH"/>
              </w:rPr>
            </w:pPr>
            <w:r>
              <w:rPr>
                <w:lang w:val="fr-CH"/>
              </w:rPr>
              <w:t>47</w:t>
            </w:r>
          </w:p>
        </w:tc>
        <w:tc>
          <w:tcPr>
            <w:tcW w:w="2410" w:type="dxa"/>
          </w:tcPr>
          <w:p w:rsidR="002B489A" w:rsidRDefault="004F19C4">
            <w:pPr>
              <w:pStyle w:val="Tabletext"/>
              <w:framePr w:hSpace="181" w:wrap="notBeside" w:vAnchor="text" w:hAnchor="text" w:xAlign="center" w:y="1"/>
              <w:jc w:val="center"/>
              <w:rPr>
                <w:lang w:val="fr-CH"/>
              </w:rPr>
            </w:pPr>
            <w:r>
              <w:rPr>
                <w:lang w:val="fr-CH"/>
              </w:rPr>
              <w:t>27</w:t>
            </w:r>
          </w:p>
        </w:tc>
      </w:tr>
      <w:tr w:rsidR="002B489A">
        <w:tc>
          <w:tcPr>
            <w:tcW w:w="4819" w:type="dxa"/>
          </w:tcPr>
          <w:p w:rsidR="002B489A" w:rsidRDefault="004F19C4">
            <w:pPr>
              <w:pStyle w:val="Tabletext"/>
              <w:framePr w:hSpace="181" w:wrap="notBeside" w:vAnchor="text" w:hAnchor="text" w:xAlign="center" w:y="1"/>
              <w:jc w:val="left"/>
              <w:rPr>
                <w:lang w:val="fr-CH"/>
              </w:rPr>
            </w:pPr>
            <w:r>
              <w:rPr>
                <w:lang w:val="fr-CH"/>
              </w:rPr>
              <w:t>Durée d'un évènement (approximativement) (s)</w:t>
            </w:r>
          </w:p>
        </w:tc>
        <w:tc>
          <w:tcPr>
            <w:tcW w:w="2410" w:type="dxa"/>
          </w:tcPr>
          <w:p w:rsidR="002B489A" w:rsidRDefault="004F19C4">
            <w:pPr>
              <w:pStyle w:val="Tabletext"/>
              <w:framePr w:hSpace="181" w:wrap="notBeside" w:vAnchor="text" w:hAnchor="text" w:xAlign="center" w:y="1"/>
              <w:jc w:val="center"/>
              <w:rPr>
                <w:lang w:val="fr-CH"/>
              </w:rPr>
            </w:pPr>
            <w:r>
              <w:rPr>
                <w:lang w:val="fr-CH"/>
              </w:rPr>
              <w:t>16</w:t>
            </w:r>
          </w:p>
        </w:tc>
        <w:tc>
          <w:tcPr>
            <w:tcW w:w="2410" w:type="dxa"/>
          </w:tcPr>
          <w:p w:rsidR="002B489A" w:rsidRDefault="004F19C4">
            <w:pPr>
              <w:pStyle w:val="Tabletext"/>
              <w:framePr w:hSpace="181" w:wrap="notBeside" w:vAnchor="text" w:hAnchor="text" w:xAlign="center" w:y="1"/>
              <w:jc w:val="center"/>
              <w:rPr>
                <w:lang w:val="fr-CH"/>
              </w:rPr>
            </w:pPr>
            <w:r>
              <w:rPr>
                <w:lang w:val="fr-CH"/>
              </w:rPr>
              <w:t>12</w:t>
            </w:r>
          </w:p>
        </w:tc>
      </w:tr>
    </w:tbl>
    <w:p w:rsidR="002B489A" w:rsidRDefault="002B489A">
      <w:pPr>
        <w:pStyle w:val="Tablefin"/>
      </w:pPr>
    </w:p>
    <w:p w:rsidR="002B489A" w:rsidRDefault="004F19C4">
      <w:pPr>
        <w:rPr>
          <w:lang w:val="fr-CH"/>
        </w:rPr>
      </w:pPr>
      <w:r>
        <w:rPr>
          <w:lang w:val="fr-CH"/>
        </w:rPr>
        <w:t>Noter que les configurations de lobe principal à lobe principal deviennent possibles avec des stations terriennes du SFS OSG situées à proximité de l'équateur. Dans ce cas, l'excédent de puissance indiqué dans la seconde partie du Tableau 104 est augmenté par la discrimination d'antenne de la station terrienne (jusqu'à 80 dB). La probabilité d'occurrence de telles configurations doit faire l'objet d'études complémentaires.</w:t>
      </w:r>
    </w:p>
    <w:p w:rsidR="002B489A" w:rsidRDefault="004F19C4">
      <w:pPr>
        <w:pStyle w:val="Heading2"/>
        <w:rPr>
          <w:lang w:val="fr-CH"/>
        </w:rPr>
      </w:pPr>
      <w:r>
        <w:rPr>
          <w:lang w:val="fr-CH"/>
        </w:rPr>
        <w:t>4.4</w:t>
      </w:r>
      <w:r>
        <w:rPr>
          <w:lang w:val="fr-CH"/>
        </w:rPr>
        <w:tab/>
        <w:t>Analyse de brouillage dynamique</w:t>
      </w:r>
    </w:p>
    <w:p w:rsidR="002B489A" w:rsidRDefault="004F19C4">
      <w:pPr>
        <w:rPr>
          <w:lang w:val="fr-CH"/>
        </w:rPr>
      </w:pPr>
      <w:r>
        <w:rPr>
          <w:lang w:val="fr-CH"/>
        </w:rPr>
        <w:t>En plus des cas statique et semi-statique ci-dessus, une analyse dynamique est nécessaire afin de prendre en considération le pourcentage du temps pendant lequel intervient le brouillage. Comme indiqué ci-dessus, le seuil de –166 dBW ne doit pas être dépassé pendant plus de 0,01% du temps dans une largeur de bande de 100 MHz.</w:t>
      </w:r>
    </w:p>
    <w:p w:rsidR="002B489A" w:rsidRDefault="004F19C4">
      <w:pPr>
        <w:rPr>
          <w:lang w:val="fr-CH"/>
        </w:rPr>
      </w:pPr>
      <w:r>
        <w:rPr>
          <w:lang w:val="fr-CH"/>
        </w:rPr>
        <w:t>Des simulations ont été effectuées pour déterminer la probabilité de survenance d'un brouillage en utilisant un incrément de temps (échantillonnage) de 5 s afin d'obtenir des résultats précis. Les simulations sont arrêtées lorsque la fonction de distribution cumulée devient stable. De plus, on a noté que toutes ces simulations, qui sont présentées ci-dessous, ne traitent que du satellite «en peigne» à sondeur de nadir, parce que les cas statique et semi-statique ci-dessus ont montré qu'il s'agit du cas de figure le plus défavorable.</w:t>
      </w:r>
    </w:p>
    <w:p w:rsidR="002B489A" w:rsidRDefault="004F19C4">
      <w:pPr>
        <w:pStyle w:val="Heading3"/>
        <w:ind w:left="0" w:firstLine="0"/>
        <w:rPr>
          <w:lang w:val="fr-CH"/>
        </w:rPr>
      </w:pPr>
      <w:r>
        <w:rPr>
          <w:lang w:val="fr-CH"/>
        </w:rPr>
        <w:t>4.4.1</w:t>
      </w:r>
      <w:r>
        <w:rPr>
          <w:lang w:val="fr-CH"/>
        </w:rPr>
        <w:tab/>
        <w:t>Modélisation de l'antenne en peigne</w:t>
      </w:r>
    </w:p>
    <w:p w:rsidR="002B489A" w:rsidRDefault="004F19C4">
      <w:pPr>
        <w:rPr>
          <w:lang w:val="fr-CH"/>
        </w:rPr>
      </w:pPr>
      <w:r>
        <w:rPr>
          <w:lang w:val="fr-CH"/>
        </w:rPr>
        <w:t xml:space="preserve">Comme expliqué ci-dessus, l'antenne en peigne est capable de voir une ligne complète de pixels situés autour du nadir à </w:t>
      </w:r>
      <w:r>
        <w:rPr>
          <w:rFonts w:ascii="Symbol" w:hAnsi="Symbol"/>
          <w:lang w:val="fr-CH"/>
        </w:rPr>
        <w:sym w:font="Symbol" w:char="F0B1"/>
      </w:r>
      <w:r>
        <w:rPr>
          <w:rFonts w:ascii="Tms Rmn" w:hAnsi="Tms Rmn"/>
          <w:sz w:val="12"/>
          <w:lang w:val="fr-CH"/>
        </w:rPr>
        <w:t> </w:t>
      </w:r>
      <w:r>
        <w:rPr>
          <w:lang w:val="fr-CH"/>
        </w:rPr>
        <w:t xml:space="preserve">50° pour l'azimut, et à </w:t>
      </w:r>
      <w:r>
        <w:rPr>
          <w:rFonts w:ascii="Symbol" w:hAnsi="Symbol"/>
          <w:lang w:val="fr-CH"/>
        </w:rPr>
        <w:sym w:font="Symbol" w:char="F0B1"/>
      </w:r>
      <w:r>
        <w:rPr>
          <w:rFonts w:ascii="Tms Rmn" w:hAnsi="Tms Rmn"/>
          <w:sz w:val="12"/>
          <w:lang w:val="fr-CH"/>
        </w:rPr>
        <w:t> </w:t>
      </w:r>
      <w:r>
        <w:rPr>
          <w:lang w:val="fr-CH"/>
        </w:rPr>
        <w:t>0,55° pour l'élévation. Le gain d'antenne maximum est de 45 dBi, et comme il est habituel pour les antennes de radiomètres, il y a une forte décroissance du niveau de lobe latéral de –12 dBi. La Fig. 72 montre le diagramme d'antenne en fonction de l'angle hors axe d'azimut.</w:t>
      </w:r>
    </w:p>
    <w:p w:rsidR="002B489A" w:rsidRDefault="004F19C4">
      <w:pPr>
        <w:pStyle w:val="FigureNo"/>
        <w:rPr>
          <w:lang w:val="fr-CH"/>
        </w:rPr>
      </w:pPr>
      <w:r>
        <w:br w:type="page"/>
      </w:r>
      <w:r w:rsidR="0006728D">
        <w:rPr>
          <w:noProof/>
          <w:lang w:val="fr-CH" w:eastAsia="fr-CH"/>
        </w:rPr>
        <w:drawing>
          <wp:inline distT="0" distB="0" distL="0" distR="0">
            <wp:extent cx="3038475" cy="18859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038475" cy="1885950"/>
                    </a:xfrm>
                    <a:prstGeom prst="rect">
                      <a:avLst/>
                    </a:prstGeom>
                    <a:noFill/>
                    <a:ln>
                      <a:noFill/>
                    </a:ln>
                  </pic:spPr>
                </pic:pic>
              </a:graphicData>
            </a:graphic>
          </wp:inline>
        </w:drawing>
      </w:r>
    </w:p>
    <w:p w:rsidR="002B489A" w:rsidRDefault="004F19C4">
      <w:pPr>
        <w:pStyle w:val="Heading3"/>
        <w:ind w:left="0" w:firstLine="0"/>
        <w:rPr>
          <w:lang w:val="fr-CH"/>
        </w:rPr>
      </w:pPr>
      <w:r>
        <w:rPr>
          <w:lang w:val="fr-CH"/>
        </w:rPr>
        <w:t>4.4.2</w:t>
      </w:r>
      <w:r>
        <w:rPr>
          <w:lang w:val="fr-CH"/>
        </w:rPr>
        <w:tab/>
        <w:t>Calculs dynamiques avec des systèmes OSG</w:t>
      </w:r>
    </w:p>
    <w:p w:rsidR="002B489A" w:rsidRDefault="004F19C4">
      <w:pPr>
        <w:pStyle w:val="TableNo"/>
        <w:rPr>
          <w:lang w:val="fr-CH"/>
        </w:rPr>
      </w:pPr>
      <w:r>
        <w:rPr>
          <w:lang w:val="fr-CH"/>
        </w:rPr>
        <w:t>TABLEAU  105</w:t>
      </w:r>
    </w:p>
    <w:p w:rsidR="002B489A" w:rsidRDefault="004F19C4">
      <w:pPr>
        <w:pStyle w:val="Tabletitle"/>
        <w:rPr>
          <w:lang w:val="fr-CH"/>
        </w:rPr>
      </w:pPr>
      <w:r>
        <w:rPr>
          <w:lang w:val="fr-CH"/>
        </w:rPr>
        <w:t xml:space="preserve">Analyse dynamique entre un système OSG GSOV-B2 et le SETS avec </w:t>
      </w:r>
      <w:r>
        <w:rPr>
          <w:lang w:val="fr-CH"/>
        </w:rPr>
        <w:br/>
        <w:t>une seule station terrienne fonctionnant sur le site N0, E0</w:t>
      </w:r>
    </w:p>
    <w:tbl>
      <w:tblPr>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008"/>
        <w:gridCol w:w="756"/>
        <w:gridCol w:w="790"/>
        <w:gridCol w:w="791"/>
        <w:gridCol w:w="790"/>
        <w:gridCol w:w="791"/>
        <w:gridCol w:w="790"/>
        <w:gridCol w:w="923"/>
      </w:tblGrid>
      <w:tr w:rsidR="002B489A">
        <w:tc>
          <w:tcPr>
            <w:tcW w:w="3952" w:type="dxa"/>
            <w:vAlign w:val="center"/>
          </w:tcPr>
          <w:p w:rsidR="002B489A" w:rsidRDefault="004F19C4">
            <w:pPr>
              <w:pStyle w:val="Tabletext"/>
              <w:framePr w:hSpace="181" w:wrap="notBeside" w:vAnchor="text" w:hAnchor="text" w:xAlign="center" w:y="1"/>
              <w:jc w:val="left"/>
            </w:pPr>
            <w:r>
              <w:t>Pourcentage de distribution cumulative</w:t>
            </w:r>
          </w:p>
        </w:tc>
        <w:tc>
          <w:tcPr>
            <w:tcW w:w="745" w:type="dxa"/>
            <w:vAlign w:val="center"/>
          </w:tcPr>
          <w:p w:rsidR="002B489A" w:rsidRDefault="004F19C4">
            <w:pPr>
              <w:pStyle w:val="Tabletext"/>
              <w:framePr w:hSpace="181" w:wrap="notBeside" w:vAnchor="text" w:hAnchor="text" w:xAlign="center" w:y="1"/>
              <w:jc w:val="center"/>
            </w:pPr>
            <w:r>
              <w:t>3</w:t>
            </w:r>
          </w:p>
        </w:tc>
        <w:tc>
          <w:tcPr>
            <w:tcW w:w="779" w:type="dxa"/>
            <w:vAlign w:val="center"/>
          </w:tcPr>
          <w:p w:rsidR="002B489A" w:rsidRDefault="004F19C4">
            <w:pPr>
              <w:pStyle w:val="Tabletext"/>
              <w:framePr w:hSpace="181" w:wrap="notBeside" w:vAnchor="text" w:hAnchor="text" w:xAlign="center" w:y="1"/>
              <w:jc w:val="center"/>
            </w:pPr>
            <w:r>
              <w:t>1</w:t>
            </w:r>
          </w:p>
        </w:tc>
        <w:tc>
          <w:tcPr>
            <w:tcW w:w="780" w:type="dxa"/>
            <w:vAlign w:val="center"/>
          </w:tcPr>
          <w:p w:rsidR="002B489A" w:rsidRDefault="004F19C4">
            <w:pPr>
              <w:pStyle w:val="Tabletext"/>
              <w:framePr w:hSpace="181" w:wrap="notBeside" w:vAnchor="text" w:hAnchor="text" w:xAlign="center" w:y="1"/>
              <w:jc w:val="center"/>
            </w:pPr>
            <w:r>
              <w:t>0,1</w:t>
            </w:r>
          </w:p>
        </w:tc>
        <w:tc>
          <w:tcPr>
            <w:tcW w:w="779" w:type="dxa"/>
            <w:vAlign w:val="center"/>
          </w:tcPr>
          <w:p w:rsidR="002B489A" w:rsidRDefault="004F19C4">
            <w:pPr>
              <w:pStyle w:val="Tabletext"/>
              <w:framePr w:hSpace="181" w:wrap="notBeside" w:vAnchor="text" w:hAnchor="text" w:xAlign="center" w:y="1"/>
              <w:jc w:val="center"/>
            </w:pPr>
            <w:r>
              <w:t>0,06</w:t>
            </w:r>
          </w:p>
        </w:tc>
        <w:tc>
          <w:tcPr>
            <w:tcW w:w="780" w:type="dxa"/>
            <w:vAlign w:val="center"/>
          </w:tcPr>
          <w:p w:rsidR="002B489A" w:rsidRDefault="004F19C4">
            <w:pPr>
              <w:pStyle w:val="Tabletext"/>
              <w:framePr w:hSpace="181" w:wrap="notBeside" w:vAnchor="text" w:hAnchor="text" w:xAlign="center" w:y="1"/>
              <w:jc w:val="center"/>
            </w:pPr>
            <w:r>
              <w:t>0,01</w:t>
            </w:r>
          </w:p>
        </w:tc>
        <w:tc>
          <w:tcPr>
            <w:tcW w:w="779" w:type="dxa"/>
            <w:vAlign w:val="center"/>
          </w:tcPr>
          <w:p w:rsidR="002B489A" w:rsidRDefault="004F19C4">
            <w:pPr>
              <w:pStyle w:val="Tabletext"/>
              <w:framePr w:hSpace="181" w:wrap="notBeside" w:vAnchor="text" w:hAnchor="text" w:xAlign="center" w:y="1"/>
              <w:jc w:val="center"/>
            </w:pPr>
            <w:r>
              <w:t>0,001</w:t>
            </w:r>
          </w:p>
        </w:tc>
        <w:tc>
          <w:tcPr>
            <w:tcW w:w="910" w:type="dxa"/>
            <w:vAlign w:val="center"/>
          </w:tcPr>
          <w:p w:rsidR="002B489A" w:rsidRDefault="004F19C4">
            <w:pPr>
              <w:pStyle w:val="Tabletext"/>
              <w:framePr w:hSpace="181" w:wrap="notBeside" w:vAnchor="text" w:hAnchor="text" w:xAlign="center" w:y="1"/>
              <w:jc w:val="center"/>
            </w:pPr>
            <w:r>
              <w:t>0,0002</w:t>
            </w:r>
          </w:p>
        </w:tc>
      </w:tr>
      <w:tr w:rsidR="002B489A">
        <w:tc>
          <w:tcPr>
            <w:tcW w:w="3952" w:type="dxa"/>
            <w:vAlign w:val="center"/>
          </w:tcPr>
          <w:p w:rsidR="002B489A" w:rsidRDefault="004F19C4">
            <w:pPr>
              <w:pStyle w:val="Tabletext"/>
              <w:framePr w:hSpace="181" w:wrap="notBeside" w:vAnchor="text" w:hAnchor="text" w:xAlign="center" w:y="1"/>
              <w:jc w:val="left"/>
            </w:pPr>
            <w:r>
              <w:t>Détecteur en peigne: puissance brouilleuse correspondante reçue par le SETS (dBW) (largeur de bande de 150 MHz)</w:t>
            </w:r>
          </w:p>
        </w:tc>
        <w:tc>
          <w:tcPr>
            <w:tcW w:w="745" w:type="dxa"/>
            <w:vAlign w:val="center"/>
          </w:tcPr>
          <w:p w:rsidR="002B489A" w:rsidRDefault="004F19C4">
            <w:pPr>
              <w:pStyle w:val="Tabletext"/>
              <w:framePr w:hSpace="181" w:wrap="notBeside" w:vAnchor="text" w:hAnchor="text" w:xAlign="center" w:y="1"/>
              <w:jc w:val="center"/>
            </w:pPr>
            <w:r>
              <w:t>–220</w:t>
            </w:r>
          </w:p>
        </w:tc>
        <w:tc>
          <w:tcPr>
            <w:tcW w:w="779" w:type="dxa"/>
            <w:vAlign w:val="center"/>
          </w:tcPr>
          <w:p w:rsidR="002B489A" w:rsidRDefault="004F19C4">
            <w:pPr>
              <w:pStyle w:val="Tabletext"/>
              <w:framePr w:hSpace="181" w:wrap="notBeside" w:vAnchor="text" w:hAnchor="text" w:xAlign="center" w:y="1"/>
              <w:jc w:val="center"/>
            </w:pPr>
            <w:r>
              <w:t>–200</w:t>
            </w:r>
          </w:p>
        </w:tc>
        <w:tc>
          <w:tcPr>
            <w:tcW w:w="780" w:type="dxa"/>
            <w:vAlign w:val="center"/>
          </w:tcPr>
          <w:p w:rsidR="002B489A" w:rsidRDefault="004F19C4">
            <w:pPr>
              <w:pStyle w:val="Tabletext"/>
              <w:framePr w:hSpace="181" w:wrap="notBeside" w:vAnchor="text" w:hAnchor="text" w:xAlign="center" w:y="1"/>
              <w:jc w:val="center"/>
            </w:pPr>
            <w:r>
              <w:t>–186</w:t>
            </w:r>
          </w:p>
        </w:tc>
        <w:tc>
          <w:tcPr>
            <w:tcW w:w="779" w:type="dxa"/>
            <w:vAlign w:val="center"/>
          </w:tcPr>
          <w:p w:rsidR="002B489A" w:rsidRDefault="004F19C4">
            <w:pPr>
              <w:pStyle w:val="Tabletext"/>
              <w:framePr w:hSpace="181" w:wrap="notBeside" w:vAnchor="text" w:hAnchor="text" w:xAlign="center" w:y="1"/>
              <w:jc w:val="center"/>
            </w:pPr>
            <w:r>
              <w:t>–166</w:t>
            </w:r>
          </w:p>
        </w:tc>
        <w:tc>
          <w:tcPr>
            <w:tcW w:w="780" w:type="dxa"/>
            <w:vAlign w:val="center"/>
          </w:tcPr>
          <w:p w:rsidR="002B489A" w:rsidRDefault="004F19C4">
            <w:pPr>
              <w:pStyle w:val="Tabletext"/>
              <w:framePr w:hSpace="181" w:wrap="notBeside" w:vAnchor="text" w:hAnchor="text" w:xAlign="center" w:y="1"/>
              <w:jc w:val="center"/>
            </w:pPr>
            <w:r>
              <w:t>–138</w:t>
            </w:r>
          </w:p>
        </w:tc>
        <w:tc>
          <w:tcPr>
            <w:tcW w:w="779" w:type="dxa"/>
            <w:vAlign w:val="center"/>
          </w:tcPr>
          <w:p w:rsidR="002B489A" w:rsidRDefault="004F19C4">
            <w:pPr>
              <w:pStyle w:val="Tabletext"/>
              <w:framePr w:hSpace="181" w:wrap="notBeside" w:vAnchor="text" w:hAnchor="text" w:xAlign="center" w:y="1"/>
              <w:jc w:val="center"/>
            </w:pPr>
            <w:r>
              <w:t>–115</w:t>
            </w:r>
          </w:p>
        </w:tc>
        <w:tc>
          <w:tcPr>
            <w:tcW w:w="910" w:type="dxa"/>
            <w:vAlign w:val="center"/>
          </w:tcPr>
          <w:p w:rsidR="002B489A" w:rsidRDefault="004F19C4">
            <w:pPr>
              <w:pStyle w:val="Tabletext"/>
              <w:framePr w:hSpace="181" w:wrap="notBeside" w:vAnchor="text" w:hAnchor="text" w:xAlign="center" w:y="1"/>
              <w:jc w:val="center"/>
            </w:pPr>
            <w:r>
              <w:t>–58</w:t>
            </w:r>
          </w:p>
        </w:tc>
      </w:tr>
    </w:tbl>
    <w:p w:rsidR="002B489A" w:rsidRDefault="002B489A">
      <w:pPr>
        <w:pStyle w:val="Tablefin"/>
      </w:pPr>
    </w:p>
    <w:p w:rsidR="002B489A" w:rsidRDefault="004F19C4">
      <w:pPr>
        <w:rPr>
          <w:lang w:val="fr-CH"/>
        </w:rPr>
      </w:pPr>
      <w:r>
        <w:rPr>
          <w:lang w:val="fr-CH"/>
        </w:rPr>
        <w:t xml:space="preserve">Le Tableau 105 montre qu'il est possible de trouver une différence de 108 dB entre le seuil de </w:t>
      </w:r>
      <w:r>
        <w:rPr>
          <w:rFonts w:ascii="Symbol" w:hAnsi="Symbol"/>
          <w:lang w:val="fr-CH"/>
        </w:rPr>
        <w:noBreakHyphen/>
      </w:r>
      <w:r>
        <w:rPr>
          <w:lang w:val="fr-CH"/>
        </w:rPr>
        <w:t>166 dBW et la puissance maximum de –58 dBW reçue par le radiomètre. Un tel niveau présente un risque de dommage au détecteur.</w:t>
      </w:r>
    </w:p>
    <w:p w:rsidR="002B489A" w:rsidRDefault="004F19C4">
      <w:pPr>
        <w:pStyle w:val="TableNo"/>
        <w:rPr>
          <w:lang w:val="fr-CH"/>
        </w:rPr>
      </w:pPr>
      <w:r>
        <w:rPr>
          <w:lang w:val="fr-CH"/>
        </w:rPr>
        <w:t>TABLEAU  106</w:t>
      </w:r>
    </w:p>
    <w:p w:rsidR="002B489A" w:rsidRDefault="004F19C4">
      <w:pPr>
        <w:pStyle w:val="Tabletitle"/>
        <w:rPr>
          <w:lang w:val="fr-CH"/>
        </w:rPr>
      </w:pPr>
      <w:r>
        <w:rPr>
          <w:lang w:val="fr-CH"/>
        </w:rPr>
        <w:t xml:space="preserve">Analyse dynamique entre un système OSG GSOV-B2 et le SETS </w:t>
      </w:r>
      <w:r>
        <w:rPr>
          <w:lang w:val="fr-CH"/>
        </w:rPr>
        <w:br/>
        <w:t>avec une seule station terrienne fonctionnant sur le site N50, E0</w:t>
      </w:r>
    </w:p>
    <w:tbl>
      <w:tblPr>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065"/>
        <w:gridCol w:w="929"/>
        <w:gridCol w:w="929"/>
        <w:gridCol w:w="929"/>
        <w:gridCol w:w="929"/>
        <w:gridCol w:w="929"/>
        <w:gridCol w:w="929"/>
      </w:tblGrid>
      <w:tr w:rsidR="002B489A">
        <w:tc>
          <w:tcPr>
            <w:tcW w:w="3969" w:type="dxa"/>
          </w:tcPr>
          <w:p w:rsidR="002B489A" w:rsidRDefault="004F19C4">
            <w:pPr>
              <w:pStyle w:val="Tabletext"/>
              <w:framePr w:hSpace="181" w:wrap="notBeside" w:vAnchor="text" w:hAnchor="text" w:xAlign="center" w:y="1"/>
              <w:jc w:val="left"/>
              <w:rPr>
                <w:lang w:val="fr-CH"/>
              </w:rPr>
            </w:pPr>
            <w:r>
              <w:rPr>
                <w:lang w:val="fr-CH"/>
              </w:rPr>
              <w:t>Pourcentage de distribution cumulative</w:t>
            </w:r>
          </w:p>
        </w:tc>
        <w:tc>
          <w:tcPr>
            <w:tcW w:w="907" w:type="dxa"/>
            <w:vAlign w:val="center"/>
          </w:tcPr>
          <w:p w:rsidR="002B489A" w:rsidRDefault="004F19C4">
            <w:pPr>
              <w:pStyle w:val="Tabletext"/>
              <w:framePr w:hSpace="181" w:wrap="notBeside" w:vAnchor="text" w:hAnchor="text" w:xAlign="center" w:y="1"/>
              <w:jc w:val="center"/>
              <w:rPr>
                <w:lang w:val="fr-CH"/>
              </w:rPr>
            </w:pPr>
            <w:r>
              <w:rPr>
                <w:lang w:val="fr-CH"/>
              </w:rPr>
              <w:t>5,3</w:t>
            </w:r>
          </w:p>
        </w:tc>
        <w:tc>
          <w:tcPr>
            <w:tcW w:w="907" w:type="dxa"/>
            <w:vAlign w:val="center"/>
          </w:tcPr>
          <w:p w:rsidR="002B489A" w:rsidRDefault="004F19C4">
            <w:pPr>
              <w:pStyle w:val="Tabletext"/>
              <w:framePr w:hSpace="181" w:wrap="notBeside" w:vAnchor="text" w:hAnchor="text" w:xAlign="center" w:y="1"/>
              <w:jc w:val="center"/>
              <w:rPr>
                <w:lang w:val="fr-CH"/>
              </w:rPr>
            </w:pPr>
            <w:r>
              <w:rPr>
                <w:lang w:val="fr-CH"/>
              </w:rPr>
              <w:t>1</w:t>
            </w:r>
          </w:p>
        </w:tc>
        <w:tc>
          <w:tcPr>
            <w:tcW w:w="907" w:type="dxa"/>
            <w:vAlign w:val="center"/>
          </w:tcPr>
          <w:p w:rsidR="002B489A" w:rsidRDefault="004F19C4">
            <w:pPr>
              <w:pStyle w:val="Tabletext"/>
              <w:framePr w:hSpace="181" w:wrap="notBeside" w:vAnchor="text" w:hAnchor="text" w:xAlign="center" w:y="1"/>
              <w:jc w:val="center"/>
              <w:rPr>
                <w:lang w:val="fr-CH"/>
              </w:rPr>
            </w:pPr>
            <w:r>
              <w:rPr>
                <w:lang w:val="fr-CH"/>
              </w:rPr>
              <w:t>0,1</w:t>
            </w:r>
          </w:p>
        </w:tc>
        <w:tc>
          <w:tcPr>
            <w:tcW w:w="907" w:type="dxa"/>
            <w:vAlign w:val="center"/>
          </w:tcPr>
          <w:p w:rsidR="002B489A" w:rsidRDefault="004F19C4">
            <w:pPr>
              <w:pStyle w:val="Tabletext"/>
              <w:framePr w:hSpace="181" w:wrap="notBeside" w:vAnchor="text" w:hAnchor="text" w:xAlign="center" w:y="1"/>
              <w:jc w:val="center"/>
              <w:rPr>
                <w:lang w:val="fr-CH"/>
              </w:rPr>
            </w:pPr>
            <w:r>
              <w:rPr>
                <w:lang w:val="fr-CH"/>
              </w:rPr>
              <w:t>0,08</w:t>
            </w:r>
          </w:p>
        </w:tc>
        <w:tc>
          <w:tcPr>
            <w:tcW w:w="907" w:type="dxa"/>
            <w:vAlign w:val="center"/>
          </w:tcPr>
          <w:p w:rsidR="002B489A" w:rsidRDefault="004F19C4">
            <w:pPr>
              <w:pStyle w:val="Tabletext"/>
              <w:framePr w:hSpace="181" w:wrap="notBeside" w:vAnchor="text" w:hAnchor="text" w:xAlign="center" w:y="1"/>
              <w:jc w:val="center"/>
              <w:rPr>
                <w:lang w:val="fr-CH"/>
              </w:rPr>
            </w:pPr>
            <w:r>
              <w:rPr>
                <w:lang w:val="fr-CH"/>
              </w:rPr>
              <w:t>0,01</w:t>
            </w:r>
          </w:p>
        </w:tc>
        <w:tc>
          <w:tcPr>
            <w:tcW w:w="907" w:type="dxa"/>
            <w:vAlign w:val="center"/>
          </w:tcPr>
          <w:p w:rsidR="002B489A" w:rsidRDefault="004F19C4">
            <w:pPr>
              <w:pStyle w:val="Tabletext"/>
              <w:framePr w:hSpace="181" w:wrap="notBeside" w:vAnchor="text" w:hAnchor="text" w:xAlign="center" w:y="1"/>
              <w:jc w:val="center"/>
              <w:rPr>
                <w:lang w:val="fr-CH"/>
              </w:rPr>
            </w:pPr>
            <w:r>
              <w:rPr>
                <w:lang w:val="fr-CH"/>
              </w:rPr>
              <w:t>0,008</w:t>
            </w:r>
          </w:p>
        </w:tc>
      </w:tr>
      <w:tr w:rsidR="002B489A">
        <w:tc>
          <w:tcPr>
            <w:tcW w:w="3969" w:type="dxa"/>
            <w:vAlign w:val="center"/>
          </w:tcPr>
          <w:p w:rsidR="002B489A" w:rsidRDefault="004F19C4">
            <w:pPr>
              <w:pStyle w:val="Tabletext"/>
              <w:framePr w:hSpace="181" w:wrap="notBeside" w:vAnchor="text" w:hAnchor="text" w:xAlign="center" w:y="1"/>
              <w:jc w:val="left"/>
              <w:rPr>
                <w:lang w:val="fr-CH"/>
              </w:rPr>
            </w:pPr>
            <w:r>
              <w:rPr>
                <w:lang w:val="fr-CH"/>
              </w:rPr>
              <w:t>Détecteur en peigne: puissance brouilleuse correspondante reçue par le SETS (dBW) (largeur de bande de 150 MHz)</w:t>
            </w:r>
          </w:p>
        </w:tc>
        <w:tc>
          <w:tcPr>
            <w:tcW w:w="907" w:type="dxa"/>
            <w:vAlign w:val="center"/>
          </w:tcPr>
          <w:p w:rsidR="002B489A" w:rsidRDefault="004F19C4">
            <w:pPr>
              <w:pStyle w:val="Tabletext"/>
              <w:framePr w:hSpace="181" w:wrap="notBeside" w:vAnchor="text" w:hAnchor="text" w:xAlign="center" w:y="1"/>
              <w:jc w:val="center"/>
              <w:rPr>
                <w:lang w:val="fr-CH"/>
              </w:rPr>
            </w:pPr>
            <w:r>
              <w:rPr>
                <w:lang w:val="fr-CH"/>
              </w:rPr>
              <w:t>–220</w:t>
            </w:r>
          </w:p>
        </w:tc>
        <w:tc>
          <w:tcPr>
            <w:tcW w:w="907" w:type="dxa"/>
            <w:vAlign w:val="center"/>
          </w:tcPr>
          <w:p w:rsidR="002B489A" w:rsidRDefault="004F19C4">
            <w:pPr>
              <w:pStyle w:val="Tabletext"/>
              <w:framePr w:hSpace="181" w:wrap="notBeside" w:vAnchor="text" w:hAnchor="text" w:xAlign="center" w:y="1"/>
              <w:jc w:val="center"/>
              <w:rPr>
                <w:lang w:val="fr-CH"/>
              </w:rPr>
            </w:pPr>
            <w:r>
              <w:rPr>
                <w:lang w:val="fr-CH"/>
              </w:rPr>
              <w:t>–194</w:t>
            </w:r>
          </w:p>
        </w:tc>
        <w:tc>
          <w:tcPr>
            <w:tcW w:w="907" w:type="dxa"/>
            <w:vAlign w:val="center"/>
          </w:tcPr>
          <w:p w:rsidR="002B489A" w:rsidRDefault="004F19C4">
            <w:pPr>
              <w:pStyle w:val="Tabletext"/>
              <w:framePr w:hSpace="181" w:wrap="notBeside" w:vAnchor="text" w:hAnchor="text" w:xAlign="center" w:y="1"/>
              <w:jc w:val="center"/>
              <w:rPr>
                <w:lang w:val="fr-CH"/>
              </w:rPr>
            </w:pPr>
            <w:r>
              <w:rPr>
                <w:lang w:val="fr-CH"/>
              </w:rPr>
              <w:t>–170</w:t>
            </w:r>
          </w:p>
        </w:tc>
        <w:tc>
          <w:tcPr>
            <w:tcW w:w="907" w:type="dxa"/>
            <w:vAlign w:val="center"/>
          </w:tcPr>
          <w:p w:rsidR="002B489A" w:rsidRDefault="004F19C4">
            <w:pPr>
              <w:pStyle w:val="Tabletext"/>
              <w:framePr w:hSpace="181" w:wrap="notBeside" w:vAnchor="text" w:hAnchor="text" w:xAlign="center" w:y="1"/>
              <w:jc w:val="center"/>
              <w:rPr>
                <w:lang w:val="fr-CH"/>
              </w:rPr>
            </w:pPr>
            <w:r>
              <w:rPr>
                <w:lang w:val="fr-CH"/>
              </w:rPr>
              <w:t>–166</w:t>
            </w:r>
          </w:p>
        </w:tc>
        <w:tc>
          <w:tcPr>
            <w:tcW w:w="907" w:type="dxa"/>
            <w:vAlign w:val="center"/>
          </w:tcPr>
          <w:p w:rsidR="002B489A" w:rsidRDefault="004F19C4">
            <w:pPr>
              <w:pStyle w:val="Tabletext"/>
              <w:framePr w:hSpace="181" w:wrap="notBeside" w:vAnchor="text" w:hAnchor="text" w:xAlign="center" w:y="1"/>
              <w:jc w:val="center"/>
              <w:rPr>
                <w:lang w:val="fr-CH"/>
              </w:rPr>
            </w:pPr>
            <w:r>
              <w:rPr>
                <w:lang w:val="fr-CH"/>
              </w:rPr>
              <w:t>–138</w:t>
            </w:r>
          </w:p>
        </w:tc>
        <w:tc>
          <w:tcPr>
            <w:tcW w:w="907" w:type="dxa"/>
            <w:vAlign w:val="center"/>
          </w:tcPr>
          <w:p w:rsidR="002B489A" w:rsidRDefault="004F19C4">
            <w:pPr>
              <w:pStyle w:val="Tabletext"/>
              <w:framePr w:hSpace="181" w:wrap="notBeside" w:vAnchor="text" w:hAnchor="text" w:xAlign="center" w:y="1"/>
              <w:jc w:val="center"/>
              <w:rPr>
                <w:lang w:val="fr-CH"/>
              </w:rPr>
            </w:pPr>
            <w:r>
              <w:rPr>
                <w:lang w:val="fr-CH"/>
              </w:rPr>
              <w:t>–134</w:t>
            </w:r>
          </w:p>
        </w:tc>
      </w:tr>
    </w:tbl>
    <w:p w:rsidR="002B489A" w:rsidRDefault="002B489A">
      <w:pPr>
        <w:pStyle w:val="Tablefin"/>
      </w:pPr>
    </w:p>
    <w:p w:rsidR="002B489A" w:rsidRDefault="004F19C4">
      <w:pPr>
        <w:rPr>
          <w:lang w:val="fr-CH"/>
        </w:rPr>
      </w:pPr>
      <w:r>
        <w:rPr>
          <w:lang w:val="fr-CH"/>
        </w:rPr>
        <w:t>Selon les Tableaux 105 et 106, il y a un risque que le satellite SETS rencontre un brouillage lorsqu'une seule station terrienne fonctionne (ou que le pourcentage de données brouillées est au</w:t>
      </w:r>
      <w:r>
        <w:rPr>
          <w:lang w:val="fr-CH"/>
        </w:rPr>
        <w:noBreakHyphen/>
        <w:t>dessus de ce qui est acceptable). En prenant en compte la largeur de bande relative, l'affaiblissement spectral requis est de 26,3 dB pour GSOV-B2. On s'attend à ce qu'un nombre significativement plus important de stations terriennes soient opérationnelles dans les systèmes à satellites pour lesquels les résultats des simulations dynamiques sont rapportés dans les Tableaux 105 et 106. L'augmentation du nombre de stations terriennes incluses dans les simulations dynamiques va vraisemblablement accroître le pourcentage du temps pendant lequel le critère SETS est dépassé. Dans ce cas, les conclusions tirées au § 4.5 sur la quantité de bandes de garde nécessaires devraient être réévaluées.</w:t>
      </w:r>
    </w:p>
    <w:p w:rsidR="002B489A" w:rsidRDefault="004F19C4">
      <w:pPr>
        <w:pStyle w:val="Heading3"/>
        <w:ind w:left="0" w:firstLine="0"/>
        <w:rPr>
          <w:lang w:val="fr-CH"/>
        </w:rPr>
      </w:pPr>
      <w:r>
        <w:rPr>
          <w:lang w:val="fr-CH"/>
        </w:rPr>
        <w:br w:type="page"/>
        <w:t>4.4.3</w:t>
      </w:r>
      <w:r>
        <w:rPr>
          <w:lang w:val="fr-CH"/>
        </w:rPr>
        <w:tab/>
        <w:t>Calculs dynamiques avec des systèmes non OSG</w:t>
      </w:r>
    </w:p>
    <w:p w:rsidR="002B489A" w:rsidRDefault="004F19C4">
      <w:pPr>
        <w:pStyle w:val="TableNo"/>
        <w:rPr>
          <w:lang w:val="fr-CH"/>
        </w:rPr>
      </w:pPr>
      <w:r>
        <w:rPr>
          <w:lang w:val="fr-CH"/>
        </w:rPr>
        <w:t>TABLEAU  107</w:t>
      </w:r>
    </w:p>
    <w:p w:rsidR="002B489A" w:rsidRDefault="004F19C4">
      <w:pPr>
        <w:pStyle w:val="Tabletitle"/>
        <w:rPr>
          <w:lang w:val="fr-CH"/>
        </w:rPr>
      </w:pPr>
      <w:r>
        <w:rPr>
          <w:lang w:val="fr-CH"/>
        </w:rPr>
        <w:t xml:space="preserve">Analyse dynamique entre le système non-OSG MEOSAT-X et le SETS </w:t>
      </w:r>
      <w:r>
        <w:rPr>
          <w:lang w:val="fr-CH"/>
        </w:rPr>
        <w:br/>
        <w:t>avec six stations terriennes réparties autour de l'équateur</w:t>
      </w:r>
    </w:p>
    <w:tbl>
      <w:tblPr>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065"/>
        <w:gridCol w:w="929"/>
        <w:gridCol w:w="929"/>
        <w:gridCol w:w="929"/>
        <w:gridCol w:w="929"/>
        <w:gridCol w:w="929"/>
        <w:gridCol w:w="929"/>
      </w:tblGrid>
      <w:tr w:rsidR="002B489A">
        <w:tc>
          <w:tcPr>
            <w:tcW w:w="3969" w:type="dxa"/>
            <w:vAlign w:val="center"/>
          </w:tcPr>
          <w:p w:rsidR="002B489A" w:rsidRDefault="004F19C4">
            <w:pPr>
              <w:pStyle w:val="Tabletext"/>
              <w:framePr w:hSpace="181" w:wrap="notBeside" w:vAnchor="text" w:hAnchor="text" w:xAlign="center" w:y="1"/>
              <w:jc w:val="left"/>
              <w:rPr>
                <w:lang w:val="fr-CH"/>
              </w:rPr>
            </w:pPr>
            <w:r>
              <w:rPr>
                <w:lang w:val="fr-CH"/>
              </w:rPr>
              <w:t>Pourcentage de distribution cumulative</w:t>
            </w:r>
          </w:p>
        </w:tc>
        <w:tc>
          <w:tcPr>
            <w:tcW w:w="907" w:type="dxa"/>
            <w:vAlign w:val="center"/>
          </w:tcPr>
          <w:p w:rsidR="002B489A" w:rsidRDefault="004F19C4">
            <w:pPr>
              <w:pStyle w:val="Tabletext"/>
              <w:framePr w:hSpace="181" w:wrap="notBeside" w:vAnchor="text" w:hAnchor="text" w:xAlign="center" w:y="1"/>
              <w:jc w:val="center"/>
              <w:rPr>
                <w:lang w:val="fr-CH"/>
              </w:rPr>
            </w:pPr>
            <w:r>
              <w:rPr>
                <w:lang w:val="fr-CH"/>
              </w:rPr>
              <w:t>23</w:t>
            </w:r>
          </w:p>
        </w:tc>
        <w:tc>
          <w:tcPr>
            <w:tcW w:w="907" w:type="dxa"/>
            <w:vAlign w:val="center"/>
          </w:tcPr>
          <w:p w:rsidR="002B489A" w:rsidRDefault="004F19C4">
            <w:pPr>
              <w:pStyle w:val="Tabletext"/>
              <w:framePr w:hSpace="181" w:wrap="notBeside" w:vAnchor="text" w:hAnchor="text" w:xAlign="center" w:y="1"/>
              <w:jc w:val="center"/>
              <w:rPr>
                <w:lang w:val="fr-CH"/>
              </w:rPr>
            </w:pPr>
            <w:r>
              <w:rPr>
                <w:lang w:val="fr-CH"/>
              </w:rPr>
              <w:t>1</w:t>
            </w:r>
          </w:p>
        </w:tc>
        <w:tc>
          <w:tcPr>
            <w:tcW w:w="907" w:type="dxa"/>
            <w:vAlign w:val="center"/>
          </w:tcPr>
          <w:p w:rsidR="002B489A" w:rsidRDefault="004F19C4">
            <w:pPr>
              <w:pStyle w:val="Tabletext"/>
              <w:framePr w:hSpace="181" w:wrap="notBeside" w:vAnchor="text" w:hAnchor="text" w:xAlign="center" w:y="1"/>
              <w:jc w:val="center"/>
              <w:rPr>
                <w:lang w:val="fr-CH"/>
              </w:rPr>
            </w:pPr>
            <w:r>
              <w:rPr>
                <w:lang w:val="fr-CH"/>
              </w:rPr>
              <w:t>0,3</w:t>
            </w:r>
          </w:p>
        </w:tc>
        <w:tc>
          <w:tcPr>
            <w:tcW w:w="907" w:type="dxa"/>
            <w:vAlign w:val="center"/>
          </w:tcPr>
          <w:p w:rsidR="002B489A" w:rsidRDefault="004F19C4">
            <w:pPr>
              <w:pStyle w:val="Tabletext"/>
              <w:framePr w:hSpace="181" w:wrap="notBeside" w:vAnchor="text" w:hAnchor="text" w:xAlign="center" w:y="1"/>
              <w:jc w:val="center"/>
              <w:rPr>
                <w:lang w:val="fr-CH"/>
              </w:rPr>
            </w:pPr>
            <w:r>
              <w:rPr>
                <w:lang w:val="fr-CH"/>
              </w:rPr>
              <w:t>0,1</w:t>
            </w:r>
          </w:p>
        </w:tc>
        <w:tc>
          <w:tcPr>
            <w:tcW w:w="907" w:type="dxa"/>
            <w:vAlign w:val="center"/>
          </w:tcPr>
          <w:p w:rsidR="002B489A" w:rsidRDefault="004F19C4">
            <w:pPr>
              <w:pStyle w:val="Tabletext"/>
              <w:framePr w:hSpace="181" w:wrap="notBeside" w:vAnchor="text" w:hAnchor="text" w:xAlign="center" w:y="1"/>
              <w:jc w:val="center"/>
              <w:rPr>
                <w:lang w:val="fr-CH"/>
              </w:rPr>
            </w:pPr>
            <w:r>
              <w:rPr>
                <w:lang w:val="fr-CH"/>
              </w:rPr>
              <w:t>0,01</w:t>
            </w:r>
          </w:p>
        </w:tc>
        <w:tc>
          <w:tcPr>
            <w:tcW w:w="907" w:type="dxa"/>
            <w:vAlign w:val="center"/>
          </w:tcPr>
          <w:p w:rsidR="002B489A" w:rsidRDefault="004F19C4">
            <w:pPr>
              <w:pStyle w:val="Tabletext"/>
              <w:framePr w:hSpace="181" w:wrap="notBeside" w:vAnchor="text" w:hAnchor="text" w:xAlign="center" w:y="1"/>
              <w:jc w:val="center"/>
              <w:rPr>
                <w:lang w:val="fr-CH"/>
              </w:rPr>
            </w:pPr>
            <w:r>
              <w:rPr>
                <w:lang w:val="fr-CH"/>
              </w:rPr>
              <w:t>0,009</w:t>
            </w:r>
          </w:p>
        </w:tc>
      </w:tr>
      <w:tr w:rsidR="002B489A">
        <w:tc>
          <w:tcPr>
            <w:tcW w:w="3969" w:type="dxa"/>
            <w:vAlign w:val="center"/>
          </w:tcPr>
          <w:p w:rsidR="002B489A" w:rsidRDefault="004F19C4">
            <w:pPr>
              <w:pStyle w:val="Tabletext"/>
              <w:framePr w:hSpace="181" w:wrap="notBeside" w:vAnchor="text" w:hAnchor="text" w:xAlign="center" w:y="1"/>
              <w:jc w:val="left"/>
              <w:rPr>
                <w:lang w:val="fr-CH"/>
              </w:rPr>
            </w:pPr>
            <w:r>
              <w:rPr>
                <w:lang w:val="fr-CH"/>
              </w:rPr>
              <w:t>Détecteur en peigne: puissance brouilleuse correspondante reçue par le SETS (dBW) (largeur de bande de 500 MHz)</w:t>
            </w:r>
          </w:p>
        </w:tc>
        <w:tc>
          <w:tcPr>
            <w:tcW w:w="907" w:type="dxa"/>
            <w:vAlign w:val="center"/>
          </w:tcPr>
          <w:p w:rsidR="002B489A" w:rsidRDefault="004F19C4">
            <w:pPr>
              <w:pStyle w:val="Tabletext"/>
              <w:framePr w:hSpace="181" w:wrap="notBeside" w:vAnchor="text" w:hAnchor="text" w:xAlign="center" w:y="1"/>
              <w:jc w:val="center"/>
              <w:rPr>
                <w:lang w:val="fr-CH"/>
              </w:rPr>
            </w:pPr>
            <w:r>
              <w:rPr>
                <w:lang w:val="fr-CH"/>
              </w:rPr>
              <w:t>–250</w:t>
            </w:r>
          </w:p>
        </w:tc>
        <w:tc>
          <w:tcPr>
            <w:tcW w:w="907" w:type="dxa"/>
            <w:vAlign w:val="center"/>
          </w:tcPr>
          <w:p w:rsidR="002B489A" w:rsidRDefault="004F19C4">
            <w:pPr>
              <w:pStyle w:val="Tabletext"/>
              <w:framePr w:hSpace="181" w:wrap="notBeside" w:vAnchor="text" w:hAnchor="text" w:xAlign="center" w:y="1"/>
              <w:jc w:val="center"/>
              <w:rPr>
                <w:lang w:val="fr-CH"/>
              </w:rPr>
            </w:pPr>
            <w:r>
              <w:rPr>
                <w:lang w:val="fr-CH"/>
              </w:rPr>
              <w:t>–175</w:t>
            </w:r>
          </w:p>
        </w:tc>
        <w:tc>
          <w:tcPr>
            <w:tcW w:w="907" w:type="dxa"/>
            <w:vAlign w:val="center"/>
          </w:tcPr>
          <w:p w:rsidR="002B489A" w:rsidRDefault="004F19C4">
            <w:pPr>
              <w:pStyle w:val="Tabletext"/>
              <w:framePr w:hSpace="181" w:wrap="notBeside" w:vAnchor="text" w:hAnchor="text" w:xAlign="center" w:y="1"/>
              <w:jc w:val="center"/>
              <w:rPr>
                <w:lang w:val="fr-CH"/>
              </w:rPr>
            </w:pPr>
            <w:r>
              <w:rPr>
                <w:lang w:val="fr-CH"/>
              </w:rPr>
              <w:t>–166</w:t>
            </w:r>
          </w:p>
        </w:tc>
        <w:tc>
          <w:tcPr>
            <w:tcW w:w="907" w:type="dxa"/>
            <w:vAlign w:val="center"/>
          </w:tcPr>
          <w:p w:rsidR="002B489A" w:rsidRDefault="004F19C4">
            <w:pPr>
              <w:pStyle w:val="Tabletext"/>
              <w:framePr w:hSpace="181" w:wrap="notBeside" w:vAnchor="text" w:hAnchor="text" w:xAlign="center" w:y="1"/>
              <w:jc w:val="center"/>
              <w:rPr>
                <w:lang w:val="fr-CH"/>
              </w:rPr>
            </w:pPr>
            <w:r>
              <w:rPr>
                <w:lang w:val="fr-CH"/>
              </w:rPr>
              <w:t>–134</w:t>
            </w:r>
          </w:p>
        </w:tc>
        <w:tc>
          <w:tcPr>
            <w:tcW w:w="907" w:type="dxa"/>
            <w:vAlign w:val="center"/>
          </w:tcPr>
          <w:p w:rsidR="002B489A" w:rsidRDefault="004F19C4">
            <w:pPr>
              <w:pStyle w:val="Tabletext"/>
              <w:framePr w:hSpace="181" w:wrap="notBeside" w:vAnchor="text" w:hAnchor="text" w:xAlign="center" w:y="1"/>
              <w:jc w:val="center"/>
              <w:rPr>
                <w:lang w:val="fr-CH"/>
              </w:rPr>
            </w:pPr>
            <w:r>
              <w:rPr>
                <w:lang w:val="fr-CH"/>
              </w:rPr>
              <w:t>–120</w:t>
            </w:r>
          </w:p>
        </w:tc>
        <w:tc>
          <w:tcPr>
            <w:tcW w:w="907" w:type="dxa"/>
            <w:vAlign w:val="center"/>
          </w:tcPr>
          <w:p w:rsidR="002B489A" w:rsidRDefault="004F19C4">
            <w:pPr>
              <w:pStyle w:val="Tabletext"/>
              <w:framePr w:hSpace="181" w:wrap="notBeside" w:vAnchor="text" w:hAnchor="text" w:xAlign="center" w:y="1"/>
              <w:jc w:val="center"/>
              <w:rPr>
                <w:lang w:val="fr-CH"/>
              </w:rPr>
            </w:pPr>
            <w:r>
              <w:rPr>
                <w:lang w:val="fr-CH"/>
              </w:rPr>
              <w:t>–119</w:t>
            </w:r>
          </w:p>
        </w:tc>
      </w:tr>
    </w:tbl>
    <w:p w:rsidR="002B489A" w:rsidRDefault="002B489A">
      <w:pPr>
        <w:pStyle w:val="Tablefin"/>
      </w:pPr>
    </w:p>
    <w:p w:rsidR="002B489A" w:rsidRDefault="004F19C4">
      <w:pPr>
        <w:pStyle w:val="TableNo"/>
        <w:rPr>
          <w:lang w:val="fr-CH"/>
        </w:rPr>
      </w:pPr>
      <w:r>
        <w:rPr>
          <w:lang w:val="fr-CH"/>
        </w:rPr>
        <w:t>TABLEAU  108</w:t>
      </w:r>
    </w:p>
    <w:p w:rsidR="002B489A" w:rsidRDefault="004F19C4">
      <w:pPr>
        <w:pStyle w:val="Tabletitle"/>
        <w:rPr>
          <w:lang w:val="fr-CH"/>
        </w:rPr>
      </w:pPr>
      <w:r>
        <w:rPr>
          <w:lang w:val="fr-CH"/>
        </w:rPr>
        <w:t>Analyse dynamique entre système non-OSG MEOSAT-X et SETS avec six stations terriennes fonctionnant à (N35,E0), (N35,E60), (N35,E120), (N0,O60), (N35,O110), (N35,O80)</w:t>
      </w:r>
    </w:p>
    <w:tbl>
      <w:tblPr>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065"/>
        <w:gridCol w:w="929"/>
        <w:gridCol w:w="929"/>
        <w:gridCol w:w="929"/>
        <w:gridCol w:w="929"/>
        <w:gridCol w:w="929"/>
        <w:gridCol w:w="929"/>
      </w:tblGrid>
      <w:tr w:rsidR="002B489A">
        <w:tc>
          <w:tcPr>
            <w:tcW w:w="3969" w:type="dxa"/>
            <w:vAlign w:val="center"/>
          </w:tcPr>
          <w:p w:rsidR="002B489A" w:rsidRDefault="004F19C4">
            <w:pPr>
              <w:pStyle w:val="Tabletext"/>
              <w:framePr w:hSpace="181" w:wrap="notBeside" w:vAnchor="text" w:hAnchor="text" w:xAlign="center" w:y="1"/>
              <w:jc w:val="left"/>
              <w:rPr>
                <w:lang w:val="fr-CH"/>
              </w:rPr>
            </w:pPr>
            <w:r>
              <w:rPr>
                <w:lang w:val="fr-CH"/>
              </w:rPr>
              <w:t>Pourcentage de distribution cumulative</w:t>
            </w:r>
          </w:p>
        </w:tc>
        <w:tc>
          <w:tcPr>
            <w:tcW w:w="907" w:type="dxa"/>
            <w:vAlign w:val="center"/>
          </w:tcPr>
          <w:p w:rsidR="002B489A" w:rsidRDefault="004F19C4">
            <w:pPr>
              <w:pStyle w:val="Tabletext"/>
              <w:framePr w:hSpace="181" w:wrap="notBeside" w:vAnchor="text" w:hAnchor="text" w:xAlign="center" w:y="1"/>
              <w:jc w:val="center"/>
              <w:rPr>
                <w:lang w:val="fr-CH"/>
              </w:rPr>
            </w:pPr>
            <w:r>
              <w:rPr>
                <w:lang w:val="fr-CH"/>
              </w:rPr>
              <w:t>25</w:t>
            </w:r>
          </w:p>
        </w:tc>
        <w:tc>
          <w:tcPr>
            <w:tcW w:w="907" w:type="dxa"/>
            <w:vAlign w:val="center"/>
          </w:tcPr>
          <w:p w:rsidR="002B489A" w:rsidRDefault="004F19C4">
            <w:pPr>
              <w:pStyle w:val="Tabletext"/>
              <w:framePr w:hSpace="181" w:wrap="notBeside" w:vAnchor="text" w:hAnchor="text" w:xAlign="center" w:y="1"/>
              <w:jc w:val="center"/>
              <w:rPr>
                <w:lang w:val="fr-CH"/>
              </w:rPr>
            </w:pPr>
            <w:r>
              <w:rPr>
                <w:lang w:val="fr-CH"/>
              </w:rPr>
              <w:t>1</w:t>
            </w:r>
          </w:p>
        </w:tc>
        <w:tc>
          <w:tcPr>
            <w:tcW w:w="907" w:type="dxa"/>
            <w:vAlign w:val="center"/>
          </w:tcPr>
          <w:p w:rsidR="002B489A" w:rsidRDefault="004F19C4">
            <w:pPr>
              <w:pStyle w:val="Tabletext"/>
              <w:framePr w:hSpace="181" w:wrap="notBeside" w:vAnchor="text" w:hAnchor="text" w:xAlign="center" w:y="1"/>
              <w:jc w:val="center"/>
              <w:rPr>
                <w:lang w:val="fr-CH"/>
              </w:rPr>
            </w:pPr>
            <w:r>
              <w:rPr>
                <w:lang w:val="fr-CH"/>
              </w:rPr>
              <w:t>0,4</w:t>
            </w:r>
          </w:p>
        </w:tc>
        <w:tc>
          <w:tcPr>
            <w:tcW w:w="907" w:type="dxa"/>
            <w:vAlign w:val="center"/>
          </w:tcPr>
          <w:p w:rsidR="002B489A" w:rsidRDefault="004F19C4">
            <w:pPr>
              <w:pStyle w:val="Tabletext"/>
              <w:framePr w:hSpace="181" w:wrap="notBeside" w:vAnchor="text" w:hAnchor="text" w:xAlign="center" w:y="1"/>
              <w:jc w:val="center"/>
              <w:rPr>
                <w:lang w:val="fr-CH"/>
              </w:rPr>
            </w:pPr>
            <w:r>
              <w:rPr>
                <w:lang w:val="fr-CH"/>
              </w:rPr>
              <w:t>0,1</w:t>
            </w:r>
          </w:p>
        </w:tc>
        <w:tc>
          <w:tcPr>
            <w:tcW w:w="907" w:type="dxa"/>
            <w:vAlign w:val="center"/>
          </w:tcPr>
          <w:p w:rsidR="002B489A" w:rsidRDefault="004F19C4">
            <w:pPr>
              <w:pStyle w:val="Tabletext"/>
              <w:framePr w:hSpace="181" w:wrap="notBeside" w:vAnchor="text" w:hAnchor="text" w:xAlign="center" w:y="1"/>
              <w:jc w:val="center"/>
              <w:rPr>
                <w:lang w:val="fr-CH"/>
              </w:rPr>
            </w:pPr>
            <w:r>
              <w:rPr>
                <w:lang w:val="fr-CH"/>
              </w:rPr>
              <w:t>0,01</w:t>
            </w:r>
          </w:p>
        </w:tc>
        <w:tc>
          <w:tcPr>
            <w:tcW w:w="907" w:type="dxa"/>
            <w:vAlign w:val="center"/>
          </w:tcPr>
          <w:p w:rsidR="002B489A" w:rsidRDefault="004F19C4">
            <w:pPr>
              <w:pStyle w:val="Tabletext"/>
              <w:framePr w:hSpace="181" w:wrap="notBeside" w:vAnchor="text" w:hAnchor="text" w:xAlign="center" w:y="1"/>
              <w:jc w:val="center"/>
              <w:rPr>
                <w:lang w:val="fr-CH"/>
              </w:rPr>
            </w:pPr>
            <w:r>
              <w:rPr>
                <w:lang w:val="fr-CH"/>
              </w:rPr>
              <w:t>0,004</w:t>
            </w:r>
          </w:p>
        </w:tc>
      </w:tr>
      <w:tr w:rsidR="002B489A">
        <w:tc>
          <w:tcPr>
            <w:tcW w:w="3969" w:type="dxa"/>
            <w:vAlign w:val="center"/>
          </w:tcPr>
          <w:p w:rsidR="002B489A" w:rsidRDefault="004F19C4">
            <w:pPr>
              <w:pStyle w:val="Tabletext"/>
              <w:framePr w:hSpace="181" w:wrap="notBeside" w:vAnchor="text" w:hAnchor="text" w:xAlign="center" w:y="1"/>
              <w:jc w:val="left"/>
              <w:rPr>
                <w:lang w:val="fr-CH"/>
              </w:rPr>
            </w:pPr>
            <w:r>
              <w:rPr>
                <w:lang w:val="fr-CH"/>
              </w:rPr>
              <w:t xml:space="preserve">Détecteur en peigne: puissance brouilleuse correspondante reçue par le SETS (dBW) </w:t>
            </w:r>
            <w:r>
              <w:rPr>
                <w:lang w:val="fr-CH"/>
              </w:rPr>
              <w:br/>
              <w:t>(largeur de bande de 500 MHz)</w:t>
            </w:r>
          </w:p>
        </w:tc>
        <w:tc>
          <w:tcPr>
            <w:tcW w:w="907" w:type="dxa"/>
            <w:vAlign w:val="center"/>
          </w:tcPr>
          <w:p w:rsidR="002B489A" w:rsidRDefault="004F19C4">
            <w:pPr>
              <w:pStyle w:val="Tabletext"/>
              <w:framePr w:hSpace="181" w:wrap="notBeside" w:vAnchor="text" w:hAnchor="text" w:xAlign="center" w:y="1"/>
              <w:jc w:val="center"/>
              <w:rPr>
                <w:lang w:val="fr-CH"/>
              </w:rPr>
            </w:pPr>
            <w:r>
              <w:rPr>
                <w:lang w:val="fr-CH"/>
              </w:rPr>
              <w:t>–250</w:t>
            </w:r>
          </w:p>
        </w:tc>
        <w:tc>
          <w:tcPr>
            <w:tcW w:w="907" w:type="dxa"/>
            <w:vAlign w:val="center"/>
          </w:tcPr>
          <w:p w:rsidR="002B489A" w:rsidRDefault="004F19C4">
            <w:pPr>
              <w:pStyle w:val="Tabletext"/>
              <w:framePr w:hSpace="181" w:wrap="notBeside" w:vAnchor="text" w:hAnchor="text" w:xAlign="center" w:y="1"/>
              <w:jc w:val="center"/>
              <w:rPr>
                <w:lang w:val="fr-CH"/>
              </w:rPr>
            </w:pPr>
            <w:r>
              <w:rPr>
                <w:lang w:val="fr-CH"/>
              </w:rPr>
              <w:t>–175</w:t>
            </w:r>
          </w:p>
        </w:tc>
        <w:tc>
          <w:tcPr>
            <w:tcW w:w="907" w:type="dxa"/>
            <w:vAlign w:val="center"/>
          </w:tcPr>
          <w:p w:rsidR="002B489A" w:rsidRDefault="004F19C4">
            <w:pPr>
              <w:pStyle w:val="Tabletext"/>
              <w:framePr w:hSpace="181" w:wrap="notBeside" w:vAnchor="text" w:hAnchor="text" w:xAlign="center" w:y="1"/>
              <w:jc w:val="center"/>
              <w:rPr>
                <w:lang w:val="fr-CH"/>
              </w:rPr>
            </w:pPr>
            <w:r>
              <w:rPr>
                <w:lang w:val="fr-CH"/>
              </w:rPr>
              <w:t>–166</w:t>
            </w:r>
          </w:p>
        </w:tc>
        <w:tc>
          <w:tcPr>
            <w:tcW w:w="907" w:type="dxa"/>
            <w:vAlign w:val="center"/>
          </w:tcPr>
          <w:p w:rsidR="002B489A" w:rsidRDefault="004F19C4">
            <w:pPr>
              <w:pStyle w:val="Tabletext"/>
              <w:framePr w:hSpace="181" w:wrap="notBeside" w:vAnchor="text" w:hAnchor="text" w:xAlign="center" w:y="1"/>
              <w:jc w:val="center"/>
              <w:rPr>
                <w:lang w:val="fr-CH"/>
              </w:rPr>
            </w:pPr>
            <w:r>
              <w:rPr>
                <w:lang w:val="fr-CH"/>
              </w:rPr>
              <w:t>–131</w:t>
            </w:r>
          </w:p>
        </w:tc>
        <w:tc>
          <w:tcPr>
            <w:tcW w:w="907" w:type="dxa"/>
            <w:vAlign w:val="center"/>
          </w:tcPr>
          <w:p w:rsidR="002B489A" w:rsidRDefault="004F19C4">
            <w:pPr>
              <w:pStyle w:val="Tabletext"/>
              <w:framePr w:hSpace="181" w:wrap="notBeside" w:vAnchor="text" w:hAnchor="text" w:xAlign="center" w:y="1"/>
              <w:jc w:val="center"/>
              <w:rPr>
                <w:lang w:val="fr-CH"/>
              </w:rPr>
            </w:pPr>
            <w:r>
              <w:rPr>
                <w:lang w:val="fr-CH"/>
              </w:rPr>
              <w:t>–123</w:t>
            </w:r>
          </w:p>
        </w:tc>
        <w:tc>
          <w:tcPr>
            <w:tcW w:w="907" w:type="dxa"/>
            <w:vAlign w:val="center"/>
          </w:tcPr>
          <w:p w:rsidR="002B489A" w:rsidRDefault="004F19C4">
            <w:pPr>
              <w:pStyle w:val="Tabletext"/>
              <w:framePr w:hSpace="181" w:wrap="notBeside" w:vAnchor="text" w:hAnchor="text" w:xAlign="center" w:y="1"/>
              <w:jc w:val="center"/>
              <w:rPr>
                <w:lang w:val="fr-CH"/>
              </w:rPr>
            </w:pPr>
            <w:r>
              <w:rPr>
                <w:lang w:val="fr-CH"/>
              </w:rPr>
              <w:t>–122</w:t>
            </w:r>
          </w:p>
        </w:tc>
      </w:tr>
    </w:tbl>
    <w:p w:rsidR="002B489A" w:rsidRDefault="002B489A">
      <w:pPr>
        <w:pStyle w:val="Tablefin"/>
      </w:pPr>
    </w:p>
    <w:p w:rsidR="002B489A" w:rsidRDefault="004F19C4">
      <w:pPr>
        <w:rPr>
          <w:lang w:val="fr-CH"/>
        </w:rPr>
      </w:pPr>
      <w:r>
        <w:rPr>
          <w:lang w:val="fr-CH"/>
        </w:rPr>
        <w:t>Selon les Tableaux 107 et 108, il y a un risque que le satellite SETS rencontre un brouillage lorsque six stations terriennes fonctionnent (ou que le pourcentage de données brouillées est au</w:t>
      </w:r>
      <w:r>
        <w:rPr>
          <w:lang w:val="fr-CH"/>
        </w:rPr>
        <w:noBreakHyphen/>
        <w:t>dessus de ce qui est acceptable). Dans ce cas, l'affaiblissement spectral requis est de 39 dB pour MEOSAT-X dans le cas le plus défavorable. On s'attend à ce qu'un nombre significativement plus important de stations terriennes soient opérationnelles dans les systèmes à satellites pour lesquels les résultats des simulations dynamiques sont rapportés dans les Tableaux 107 et 108. L'augmentation du nombre de stations terriennes incluses dans les simulations dynamiques va vraisemblablement accroître le pourcentage du temps pendant lequel le critère SETS est dépassé. Dans ce cas, les conclusions tirées au § 4.5 sur la quantité de bandes de garde nécessaires devraient être réévaluées.</w:t>
      </w:r>
    </w:p>
    <w:p w:rsidR="002B489A" w:rsidRDefault="004F19C4">
      <w:pPr>
        <w:pStyle w:val="Heading2"/>
        <w:rPr>
          <w:lang w:val="fr-CH"/>
        </w:rPr>
      </w:pPr>
      <w:r>
        <w:rPr>
          <w:lang w:val="fr-CH"/>
        </w:rPr>
        <w:t>4.5</w:t>
      </w:r>
      <w:r>
        <w:rPr>
          <w:lang w:val="fr-CH"/>
        </w:rPr>
        <w:tab/>
        <w:t>Application de la représentation spectrale hors bande aux émissions de la station terrienne du SFS</w:t>
      </w:r>
    </w:p>
    <w:p w:rsidR="002B489A" w:rsidRDefault="004F19C4">
      <w:pPr>
        <w:rPr>
          <w:lang w:val="fr-CH"/>
        </w:rPr>
      </w:pPr>
      <w:r>
        <w:rPr>
          <w:lang w:val="fr-CH"/>
        </w:rPr>
        <w:t>En considérant maintenant que les stations terriennes du SFS émettent dans leur propre bande de fréquences, la suppression de leur puissance d'émission au sein de la bande adjacente attribuée au SETS (passive ) se tient dans la gamme 26,4 dB à 49,9 dB pour les configurations impliquant les systèmes GSOV-B2 et SV. On a aussi calculé les valeurs de crête en cas de scénarios impliquant les autres systèmes OSG dont la liste figure au Tableau 102.</w:t>
      </w:r>
    </w:p>
    <w:p w:rsidR="002B489A" w:rsidRDefault="004F19C4">
      <w:pPr>
        <w:rPr>
          <w:lang w:val="fr-CH"/>
        </w:rPr>
      </w:pPr>
      <w:r>
        <w:rPr>
          <w:lang w:val="fr-CH"/>
        </w:rPr>
        <w:t>La Fig. 73 représente la puissance tombant dans l'attribution du SETS, en fonction de la bande de garde. Pour couvrir les caractéristiques variables des émissions du SFS, l'intégration glissante est effectuée pour trois valeurs de la bande passive, exprimées en terme de pourcentage de la largeur de bande SFS nécessaire (1</w:t>
      </w:r>
      <w:r>
        <w:rPr>
          <w:rFonts w:ascii="Tms Rmn" w:hAnsi="Tms Rmn"/>
          <w:sz w:val="12"/>
          <w:lang w:val="fr-CH"/>
        </w:rPr>
        <w:t> </w:t>
      </w:r>
      <w:r>
        <w:rPr>
          <w:lang w:val="fr-CH"/>
        </w:rPr>
        <w:t>000, 100 et 50%). Il n'y a qu'une différence mineure entre les trois courbes.</w:t>
      </w:r>
    </w:p>
    <w:p w:rsidR="002B489A" w:rsidRDefault="004F19C4">
      <w:pPr>
        <w:rPr>
          <w:lang w:val="fr-CH"/>
        </w:rPr>
      </w:pPr>
      <w:r>
        <w:rPr>
          <w:lang w:val="fr-CH"/>
        </w:rPr>
        <w:t>Noter que sur la Fig. 73, le décalage de fréquence est pris à partir du centre de la largeur de bande nécessaire. Cela servira à déterminer la séparation minimum entre le centre de la largeur de bande nécessaire et la limite supérieure de la bande attribuée au SFS qui est requise pour la protection de la bande adjacente attribuée au SETS contre les rayonnements non désirés du SFS.</w:t>
      </w:r>
    </w:p>
    <w:p w:rsidR="002B489A" w:rsidRDefault="004F19C4">
      <w:pPr>
        <w:pStyle w:val="FigureNo"/>
        <w:rPr>
          <w:lang w:val="fr-CH"/>
        </w:rPr>
      </w:pPr>
      <w:r>
        <w:br w:type="page"/>
      </w:r>
      <w:r>
        <w:object w:dxaOrig="8550" w:dyaOrig="7479">
          <v:shape id="_x0000_i1070" type="#_x0000_t75" style="width:427.5pt;height:374.5pt" o:ole="">
            <v:imagedata r:id="rId137" o:title=""/>
          </v:shape>
          <o:OLEObject Type="Embed" ProgID="Designer.Drawing.7" ShapeID="_x0000_i1070" DrawAspect="Content" ObjectID="_1649163316" r:id="rId138"/>
        </w:object>
      </w:r>
    </w:p>
    <w:p w:rsidR="002B489A" w:rsidRDefault="004F19C4">
      <w:pPr>
        <w:rPr>
          <w:lang w:val="fr-CH"/>
        </w:rPr>
      </w:pPr>
      <w:r>
        <w:rPr>
          <w:lang w:val="fr-CH"/>
        </w:rPr>
        <w:t>En utilisant cette représentation spectrale, on peut calculer les conditions suivantes, qui sont résumées dans les Tableaux 109 et 110 pour les systèmes SFS non OSG, et dans les Tableaux 111 et 112 pour les systèmes SFS OSG. La dernière ligne de ces Tableaux indique la bande de garde supplémentaire qui serait nécessaire</w:t>
      </w:r>
      <w:r>
        <w:rPr>
          <w:b/>
          <w:lang w:val="fr-CH"/>
        </w:rPr>
        <w:t xml:space="preserve"> </w:t>
      </w:r>
      <w:r>
        <w:rPr>
          <w:lang w:val="fr-CH"/>
        </w:rPr>
        <w:t xml:space="preserve">entre la limite supérieure de la bande et la limite inférieure de la bande attribuée au SETS, pour protéger les détecteurs passifs contre les rayonnements non désirés dans la bande adjacente. La bande de garde supplémentaire s'exprime par le décalage à partir du centre de </w:t>
      </w:r>
      <w:r>
        <w:rPr>
          <w:i/>
          <w:lang w:val="fr-CH"/>
        </w:rPr>
        <w:t>B</w:t>
      </w:r>
      <w:r>
        <w:rPr>
          <w:i/>
          <w:vertAlign w:val="subscript"/>
          <w:lang w:val="fr-CH"/>
        </w:rPr>
        <w:t>N</w:t>
      </w:r>
      <w:r>
        <w:rPr>
          <w:lang w:val="fr-CH"/>
        </w:rPr>
        <w:t xml:space="preserve"> – </w:t>
      </w:r>
      <w:r>
        <w:rPr>
          <w:i/>
          <w:lang w:val="fr-CH"/>
        </w:rPr>
        <w:t>B</w:t>
      </w:r>
      <w:r>
        <w:rPr>
          <w:i/>
          <w:vertAlign w:val="subscript"/>
          <w:lang w:val="fr-CH"/>
        </w:rPr>
        <w:t>N</w:t>
      </w:r>
      <w:r>
        <w:rPr>
          <w:rFonts w:ascii="Tms Rmn" w:hAnsi="Tms Rmn"/>
          <w:i/>
          <w:sz w:val="12"/>
          <w:vertAlign w:val="subscript"/>
          <w:lang w:val="fr-CH"/>
        </w:rPr>
        <w:t> </w:t>
      </w:r>
      <w:r>
        <w:rPr>
          <w:lang w:val="fr-CH"/>
        </w:rPr>
        <w:t>/2.</w:t>
      </w:r>
    </w:p>
    <w:p w:rsidR="002B489A" w:rsidRDefault="004F19C4">
      <w:pPr>
        <w:pStyle w:val="TableNo"/>
        <w:rPr>
          <w:lang w:val="fr-CH"/>
        </w:rPr>
      </w:pPr>
      <w:r>
        <w:rPr>
          <w:lang w:val="fr-CH"/>
        </w:rPr>
        <w:t>TABLEAU  109</w:t>
      </w:r>
    </w:p>
    <w:p w:rsidR="002B489A" w:rsidRDefault="004F19C4">
      <w:pPr>
        <w:pStyle w:val="Tabletitle"/>
        <w:rPr>
          <w:lang w:val="fr-CH"/>
        </w:rPr>
      </w:pPr>
      <w:r>
        <w:rPr>
          <w:lang w:val="fr-CH"/>
        </w:rPr>
        <w:t xml:space="preserve">Résumé des bandes de garde nécessaires pour protéger les détecteurs passifs </w:t>
      </w:r>
      <w:r>
        <w:rPr>
          <w:lang w:val="fr-CH"/>
        </w:rPr>
        <w:br/>
        <w:t xml:space="preserve">contre les stations terriennes du SFS non OSG </w:t>
      </w:r>
      <w:r>
        <w:rPr>
          <w:lang w:val="fr-CH"/>
        </w:rPr>
        <w:br/>
      </w:r>
      <w:r>
        <w:rPr>
          <w:bCs/>
          <w:lang w:val="fr-CH"/>
        </w:rPr>
        <w:t>(Lobe distant du détecteur à lobe principal de la station terrienne)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3"/>
        <w:gridCol w:w="4176"/>
      </w:tblGrid>
      <w:tr w:rsidR="002B489A">
        <w:trPr>
          <w:cantSplit/>
        </w:trPr>
        <w:tc>
          <w:tcPr>
            <w:tcW w:w="5463" w:type="dxa"/>
          </w:tcPr>
          <w:p w:rsidR="002B489A" w:rsidRDefault="004F19C4">
            <w:pPr>
              <w:pStyle w:val="Tablehead"/>
              <w:framePr w:hSpace="181" w:wrap="notBeside" w:vAnchor="text" w:hAnchor="text" w:xAlign="center" w:y="1"/>
              <w:jc w:val="left"/>
              <w:rPr>
                <w:lang w:val="fr-CH"/>
              </w:rPr>
            </w:pPr>
            <w:r>
              <w:rPr>
                <w:lang w:val="fr-CH"/>
              </w:rPr>
              <w:t>Système SFS</w:t>
            </w:r>
          </w:p>
        </w:tc>
        <w:tc>
          <w:tcPr>
            <w:tcW w:w="4176" w:type="dxa"/>
          </w:tcPr>
          <w:p w:rsidR="002B489A" w:rsidRDefault="004F19C4">
            <w:pPr>
              <w:pStyle w:val="Tablehead"/>
              <w:framePr w:hSpace="181" w:wrap="notBeside" w:vAnchor="text" w:hAnchor="text" w:xAlign="center" w:y="1"/>
              <w:rPr>
                <w:lang w:val="fr-CH"/>
              </w:rPr>
            </w:pPr>
            <w:r>
              <w:rPr>
                <w:lang w:val="fr-CH"/>
              </w:rPr>
              <w:t>MEOSAT-X</w:t>
            </w:r>
          </w:p>
        </w:tc>
      </w:tr>
      <w:tr w:rsidR="002B489A">
        <w:tc>
          <w:tcPr>
            <w:tcW w:w="5463" w:type="dxa"/>
          </w:tcPr>
          <w:p w:rsidR="002B489A" w:rsidRDefault="004F19C4">
            <w:pPr>
              <w:pStyle w:val="Tabletext"/>
              <w:framePr w:hSpace="181" w:wrap="notBeside" w:vAnchor="text" w:hAnchor="text" w:xAlign="center" w:y="1"/>
              <w:rPr>
                <w:lang w:val="fr-CH"/>
              </w:rPr>
            </w:pPr>
            <w:r>
              <w:rPr>
                <w:lang w:val="fr-CH"/>
              </w:rPr>
              <w:t>Suppression de puissance requise (dB)</w:t>
            </w:r>
          </w:p>
        </w:tc>
        <w:tc>
          <w:tcPr>
            <w:tcW w:w="4176" w:type="dxa"/>
          </w:tcPr>
          <w:p w:rsidR="002B489A" w:rsidRDefault="004F19C4">
            <w:pPr>
              <w:pStyle w:val="Tabletext"/>
              <w:framePr w:hSpace="181" w:wrap="notBeside" w:vAnchor="text" w:hAnchor="text" w:xAlign="center" w:y="1"/>
              <w:jc w:val="center"/>
              <w:rPr>
                <w:lang w:val="fr-CH"/>
              </w:rPr>
            </w:pPr>
            <w:r>
              <w:rPr>
                <w:lang w:val="fr-CH"/>
              </w:rPr>
              <w:t>49,2</w:t>
            </w:r>
          </w:p>
        </w:tc>
      </w:tr>
      <w:tr w:rsidR="002B489A">
        <w:trPr>
          <w:cantSplit/>
        </w:trPr>
        <w:tc>
          <w:tcPr>
            <w:tcW w:w="5463" w:type="dxa"/>
          </w:tcPr>
          <w:p w:rsidR="002B489A" w:rsidRDefault="004F19C4">
            <w:pPr>
              <w:pStyle w:val="Tabletext"/>
              <w:framePr w:hSpace="181" w:wrap="notBeside" w:vAnchor="text" w:hAnchor="text" w:xAlign="center" w:y="1"/>
              <w:rPr>
                <w:lang w:val="fr-CH"/>
              </w:rPr>
            </w:pPr>
            <w:r>
              <w:rPr>
                <w:lang w:val="fr-CH"/>
              </w:rPr>
              <w:t>Largeur de bande nécessaire (MHz)</w:t>
            </w:r>
          </w:p>
        </w:tc>
        <w:tc>
          <w:tcPr>
            <w:tcW w:w="4176" w:type="dxa"/>
          </w:tcPr>
          <w:p w:rsidR="002B489A" w:rsidRDefault="004F19C4">
            <w:pPr>
              <w:pStyle w:val="Tabletext"/>
              <w:framePr w:hSpace="181" w:wrap="notBeside" w:vAnchor="text" w:hAnchor="text" w:xAlign="center" w:y="1"/>
              <w:jc w:val="center"/>
              <w:rPr>
                <w:lang w:val="fr-CH"/>
              </w:rPr>
            </w:pPr>
            <w:r>
              <w:rPr>
                <w:lang w:val="fr-CH"/>
              </w:rPr>
              <w:t>500</w:t>
            </w:r>
          </w:p>
        </w:tc>
      </w:tr>
      <w:tr w:rsidR="002B489A">
        <w:tc>
          <w:tcPr>
            <w:tcW w:w="5463" w:type="dxa"/>
          </w:tcPr>
          <w:p w:rsidR="002B489A" w:rsidRDefault="004F19C4">
            <w:pPr>
              <w:pStyle w:val="Tabletext"/>
              <w:framePr w:hSpace="181" w:wrap="notBeside" w:vAnchor="text" w:hAnchor="text" w:xAlign="center" w:y="1"/>
              <w:rPr>
                <w:lang w:val="fr-CH"/>
              </w:rPr>
            </w:pPr>
            <w:r>
              <w:rPr>
                <w:lang w:val="fr-CH"/>
              </w:rPr>
              <w:t>Attribution passive (% </w:t>
            </w:r>
            <w:r>
              <w:rPr>
                <w:i/>
                <w:lang w:val="fr-CH"/>
              </w:rPr>
              <w:t>B</w:t>
            </w:r>
            <w:r>
              <w:rPr>
                <w:i/>
                <w:vertAlign w:val="subscript"/>
                <w:lang w:val="fr-CH"/>
              </w:rPr>
              <w:t>N</w:t>
            </w:r>
            <w:r>
              <w:rPr>
                <w:lang w:val="fr-CH"/>
              </w:rPr>
              <w:t>)</w:t>
            </w:r>
          </w:p>
        </w:tc>
        <w:tc>
          <w:tcPr>
            <w:tcW w:w="4176" w:type="dxa"/>
          </w:tcPr>
          <w:p w:rsidR="002B489A" w:rsidRDefault="004F19C4">
            <w:pPr>
              <w:pStyle w:val="Tabletext"/>
              <w:framePr w:hSpace="181" w:wrap="notBeside" w:vAnchor="text" w:hAnchor="text" w:xAlign="center" w:y="1"/>
              <w:jc w:val="center"/>
              <w:rPr>
                <w:lang w:val="fr-CH"/>
              </w:rPr>
            </w:pPr>
            <w:r>
              <w:rPr>
                <w:lang w:val="fr-CH"/>
              </w:rPr>
              <w:t>40</w:t>
            </w:r>
          </w:p>
        </w:tc>
      </w:tr>
      <w:tr w:rsidR="002B489A">
        <w:tc>
          <w:tcPr>
            <w:tcW w:w="5463" w:type="dxa"/>
          </w:tcPr>
          <w:p w:rsidR="002B489A" w:rsidRDefault="004F19C4">
            <w:pPr>
              <w:pStyle w:val="Tabletext"/>
              <w:framePr w:hSpace="181" w:wrap="notBeside" w:vAnchor="text" w:hAnchor="text" w:xAlign="center" w:y="1"/>
              <w:rPr>
                <w:lang w:val="fr-CH"/>
              </w:rPr>
            </w:pPr>
            <w:r>
              <w:rPr>
                <w:lang w:val="fr-CH"/>
              </w:rPr>
              <w:t xml:space="preserve">Décalage par rapport au centre de </w:t>
            </w:r>
            <w:r>
              <w:rPr>
                <w:i/>
                <w:lang w:val="fr-CH"/>
              </w:rPr>
              <w:t>B</w:t>
            </w:r>
            <w:r>
              <w:rPr>
                <w:i/>
                <w:vertAlign w:val="subscript"/>
                <w:lang w:val="fr-CH"/>
              </w:rPr>
              <w:t>N</w:t>
            </w:r>
            <w:r>
              <w:rPr>
                <w:lang w:val="fr-CH"/>
              </w:rPr>
              <w:t xml:space="preserve"> (% </w:t>
            </w:r>
            <w:r>
              <w:rPr>
                <w:i/>
                <w:lang w:val="fr-CH"/>
              </w:rPr>
              <w:t>B</w:t>
            </w:r>
            <w:r>
              <w:rPr>
                <w:i/>
                <w:vertAlign w:val="subscript"/>
                <w:lang w:val="fr-CH"/>
              </w:rPr>
              <w:t>N</w:t>
            </w:r>
            <w:r>
              <w:rPr>
                <w:lang w:val="fr-CH"/>
              </w:rPr>
              <w:t>)</w:t>
            </w:r>
          </w:p>
        </w:tc>
        <w:tc>
          <w:tcPr>
            <w:tcW w:w="4176" w:type="dxa"/>
          </w:tcPr>
          <w:p w:rsidR="002B489A" w:rsidRDefault="004F19C4">
            <w:pPr>
              <w:pStyle w:val="Tabletext"/>
              <w:framePr w:hSpace="181" w:wrap="notBeside" w:vAnchor="text" w:hAnchor="text" w:xAlign="center" w:y="1"/>
              <w:jc w:val="center"/>
              <w:rPr>
                <w:lang w:val="fr-CH"/>
              </w:rPr>
            </w:pPr>
            <w:r>
              <w:rPr>
                <w:lang w:val="fr-CH"/>
              </w:rPr>
              <w:t>180</w:t>
            </w:r>
          </w:p>
        </w:tc>
      </w:tr>
      <w:tr w:rsidR="002B489A">
        <w:tc>
          <w:tcPr>
            <w:tcW w:w="5463" w:type="dxa"/>
          </w:tcPr>
          <w:p w:rsidR="002B489A" w:rsidRDefault="004F19C4">
            <w:pPr>
              <w:pStyle w:val="Tabletext"/>
              <w:framePr w:hSpace="181" w:wrap="notBeside" w:vAnchor="text" w:hAnchor="text" w:xAlign="center" w:y="1"/>
              <w:rPr>
                <w:lang w:val="fr-CH"/>
              </w:rPr>
            </w:pPr>
            <w:r>
              <w:rPr>
                <w:lang w:val="fr-CH"/>
              </w:rPr>
              <w:t xml:space="preserve">Décalage par rapport au centre de </w:t>
            </w:r>
            <w:r>
              <w:rPr>
                <w:i/>
                <w:lang w:val="fr-CH"/>
              </w:rPr>
              <w:t>B</w:t>
            </w:r>
            <w:r>
              <w:rPr>
                <w:i/>
                <w:vertAlign w:val="subscript"/>
                <w:lang w:val="fr-CH"/>
              </w:rPr>
              <w:t>N</w:t>
            </w:r>
            <w:r>
              <w:rPr>
                <w:lang w:val="fr-CH"/>
              </w:rPr>
              <w:t xml:space="preserve"> (MHz)</w:t>
            </w:r>
          </w:p>
        </w:tc>
        <w:tc>
          <w:tcPr>
            <w:tcW w:w="4176" w:type="dxa"/>
          </w:tcPr>
          <w:p w:rsidR="002B489A" w:rsidRDefault="004F19C4">
            <w:pPr>
              <w:pStyle w:val="Tabletext"/>
              <w:framePr w:hSpace="181" w:wrap="notBeside" w:vAnchor="text" w:hAnchor="text" w:xAlign="center" w:y="1"/>
              <w:jc w:val="center"/>
              <w:rPr>
                <w:b/>
                <w:lang w:val="fr-CH"/>
              </w:rPr>
            </w:pPr>
            <w:r>
              <w:rPr>
                <w:b/>
                <w:lang w:val="fr-CH"/>
              </w:rPr>
              <w:t>900</w:t>
            </w:r>
          </w:p>
        </w:tc>
      </w:tr>
      <w:tr w:rsidR="002B489A">
        <w:tc>
          <w:tcPr>
            <w:tcW w:w="5463" w:type="dxa"/>
          </w:tcPr>
          <w:p w:rsidR="002B489A" w:rsidRDefault="004F19C4">
            <w:pPr>
              <w:pStyle w:val="Tabletext"/>
              <w:framePr w:hSpace="181" w:wrap="notBeside" w:vAnchor="text" w:hAnchor="text" w:xAlign="center" w:y="1"/>
              <w:rPr>
                <w:lang w:val="fr-CH"/>
              </w:rPr>
            </w:pPr>
            <w:r>
              <w:rPr>
                <w:lang w:val="fr-CH"/>
              </w:rPr>
              <w:t>Bande de garde supplémentaire requise (MHz)</w:t>
            </w:r>
          </w:p>
        </w:tc>
        <w:tc>
          <w:tcPr>
            <w:tcW w:w="4176" w:type="dxa"/>
          </w:tcPr>
          <w:p w:rsidR="002B489A" w:rsidRDefault="004F19C4">
            <w:pPr>
              <w:pStyle w:val="Tabletext"/>
              <w:framePr w:hSpace="181" w:wrap="notBeside" w:vAnchor="text" w:hAnchor="text" w:xAlign="center" w:y="1"/>
              <w:jc w:val="center"/>
              <w:rPr>
                <w:b/>
                <w:lang w:val="fr-CH"/>
              </w:rPr>
            </w:pPr>
            <w:r>
              <w:rPr>
                <w:b/>
                <w:lang w:val="fr-CH"/>
              </w:rPr>
              <w:t>650</w:t>
            </w:r>
          </w:p>
        </w:tc>
      </w:tr>
    </w:tbl>
    <w:p w:rsidR="002B489A" w:rsidRDefault="002B489A">
      <w:pPr>
        <w:pStyle w:val="Tablefin"/>
        <w:spacing w:before="0"/>
        <w:rPr>
          <w:sz w:val="2"/>
        </w:rPr>
      </w:pPr>
    </w:p>
    <w:p w:rsidR="002B489A" w:rsidRDefault="004F19C4">
      <w:pPr>
        <w:pStyle w:val="TableNo"/>
        <w:rPr>
          <w:lang w:val="fr-CH"/>
        </w:rPr>
      </w:pPr>
      <w:r>
        <w:rPr>
          <w:lang w:val="fr-CH"/>
        </w:rPr>
        <w:br w:type="page"/>
        <w:t>TABLEAU  110</w:t>
      </w:r>
    </w:p>
    <w:p w:rsidR="002B489A" w:rsidRDefault="004F19C4">
      <w:pPr>
        <w:pStyle w:val="Tabletitle"/>
        <w:rPr>
          <w:lang w:val="fr-CH"/>
        </w:rPr>
      </w:pPr>
      <w:r>
        <w:rPr>
          <w:lang w:val="fr-CH"/>
        </w:rPr>
        <w:t xml:space="preserve">Résumé des bandes de garde nécessaires pour protéger les détecteurs passifs contre les stations terriennes du SFS non OSG </w:t>
      </w:r>
      <w:r>
        <w:rPr>
          <w:bCs/>
          <w:lang w:val="fr-CH"/>
        </w:rPr>
        <w:t>(Détecteur proche du zénith de la station terrienne)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3"/>
        <w:gridCol w:w="4176"/>
      </w:tblGrid>
      <w:tr w:rsidR="002B489A">
        <w:tc>
          <w:tcPr>
            <w:tcW w:w="4820" w:type="dxa"/>
          </w:tcPr>
          <w:p w:rsidR="002B489A" w:rsidRDefault="004F19C4">
            <w:pPr>
              <w:pStyle w:val="Tablehead"/>
              <w:framePr w:hSpace="181" w:wrap="notBeside" w:vAnchor="text" w:hAnchor="text" w:xAlign="center" w:y="1"/>
              <w:spacing w:before="60" w:after="60"/>
              <w:jc w:val="left"/>
              <w:rPr>
                <w:lang w:val="fr-CH"/>
              </w:rPr>
            </w:pPr>
            <w:r>
              <w:rPr>
                <w:lang w:val="fr-CH"/>
              </w:rPr>
              <w:t>Système SFS</w:t>
            </w:r>
          </w:p>
        </w:tc>
        <w:tc>
          <w:tcPr>
            <w:tcW w:w="3685" w:type="dxa"/>
          </w:tcPr>
          <w:p w:rsidR="002B489A" w:rsidRDefault="004F19C4">
            <w:pPr>
              <w:pStyle w:val="Tablehead"/>
              <w:framePr w:hSpace="181" w:wrap="notBeside" w:vAnchor="text" w:hAnchor="text" w:xAlign="center" w:y="1"/>
              <w:spacing w:before="60" w:after="60"/>
              <w:rPr>
                <w:lang w:val="fr-CH"/>
              </w:rPr>
            </w:pPr>
            <w:r>
              <w:rPr>
                <w:lang w:val="fr-CH"/>
              </w:rPr>
              <w:t>MEOSAT-X</w:t>
            </w:r>
          </w:p>
        </w:tc>
      </w:tr>
      <w:tr w:rsidR="002B489A">
        <w:trPr>
          <w:trHeight w:hRule="exact" w:val="340"/>
        </w:trPr>
        <w:tc>
          <w:tcPr>
            <w:tcW w:w="4820" w:type="dxa"/>
          </w:tcPr>
          <w:p w:rsidR="002B489A" w:rsidRDefault="004F19C4">
            <w:pPr>
              <w:pStyle w:val="Tabletext"/>
              <w:framePr w:hSpace="181" w:wrap="notBeside" w:vAnchor="text" w:hAnchor="text" w:xAlign="center" w:y="1"/>
              <w:spacing w:before="30" w:after="30" w:line="240" w:lineRule="exact"/>
              <w:rPr>
                <w:bCs/>
                <w:lang w:val="fr-CH"/>
              </w:rPr>
            </w:pPr>
            <w:r>
              <w:rPr>
                <w:bCs/>
                <w:lang w:val="fr-CH"/>
              </w:rPr>
              <w:t>Suppression de puissance requise (dB)</w:t>
            </w:r>
          </w:p>
        </w:tc>
        <w:tc>
          <w:tcPr>
            <w:tcW w:w="3685" w:type="dxa"/>
          </w:tcPr>
          <w:p w:rsidR="002B489A" w:rsidRDefault="004F19C4">
            <w:pPr>
              <w:pStyle w:val="Tabletext"/>
              <w:framePr w:hSpace="181" w:wrap="notBeside" w:vAnchor="text" w:hAnchor="text" w:xAlign="center" w:y="1"/>
              <w:spacing w:before="30" w:after="30" w:line="240" w:lineRule="exact"/>
              <w:jc w:val="center"/>
              <w:rPr>
                <w:bCs/>
                <w:lang w:val="fr-CH"/>
              </w:rPr>
            </w:pPr>
            <w:r>
              <w:rPr>
                <w:bCs/>
                <w:lang w:val="fr-CH"/>
              </w:rPr>
              <w:t>105,6</w:t>
            </w:r>
          </w:p>
        </w:tc>
      </w:tr>
      <w:tr w:rsidR="002B489A">
        <w:trPr>
          <w:trHeight w:hRule="exact" w:val="340"/>
        </w:trPr>
        <w:tc>
          <w:tcPr>
            <w:tcW w:w="4820" w:type="dxa"/>
          </w:tcPr>
          <w:p w:rsidR="002B489A" w:rsidRDefault="004F19C4">
            <w:pPr>
              <w:pStyle w:val="Tabletext"/>
              <w:framePr w:hSpace="181" w:wrap="notBeside" w:vAnchor="text" w:hAnchor="text" w:xAlign="center" w:y="1"/>
              <w:spacing w:before="30" w:after="30" w:line="240" w:lineRule="exact"/>
              <w:rPr>
                <w:bCs/>
                <w:lang w:val="fr-CH"/>
              </w:rPr>
            </w:pPr>
            <w:r>
              <w:rPr>
                <w:bCs/>
                <w:lang w:val="fr-CH"/>
              </w:rPr>
              <w:t>Largeur de bande nécessaire (MHz)</w:t>
            </w:r>
          </w:p>
        </w:tc>
        <w:tc>
          <w:tcPr>
            <w:tcW w:w="3685" w:type="dxa"/>
          </w:tcPr>
          <w:p w:rsidR="002B489A" w:rsidRDefault="004F19C4">
            <w:pPr>
              <w:pStyle w:val="Tabletext"/>
              <w:framePr w:hSpace="181" w:wrap="notBeside" w:vAnchor="text" w:hAnchor="text" w:xAlign="center" w:y="1"/>
              <w:spacing w:before="30" w:after="30" w:line="240" w:lineRule="exact"/>
              <w:jc w:val="center"/>
              <w:rPr>
                <w:bCs/>
                <w:lang w:val="fr-CH"/>
              </w:rPr>
            </w:pPr>
            <w:r>
              <w:rPr>
                <w:bCs/>
                <w:lang w:val="fr-CH"/>
              </w:rPr>
              <w:t>500</w:t>
            </w:r>
          </w:p>
        </w:tc>
      </w:tr>
      <w:tr w:rsidR="002B489A">
        <w:trPr>
          <w:trHeight w:hRule="exact" w:val="340"/>
        </w:trPr>
        <w:tc>
          <w:tcPr>
            <w:tcW w:w="4820" w:type="dxa"/>
          </w:tcPr>
          <w:p w:rsidR="002B489A" w:rsidRDefault="004F19C4">
            <w:pPr>
              <w:pStyle w:val="Tabletext"/>
              <w:framePr w:hSpace="181" w:wrap="notBeside" w:vAnchor="text" w:hAnchor="text" w:xAlign="center" w:y="1"/>
              <w:spacing w:before="30" w:after="30" w:line="240" w:lineRule="exact"/>
              <w:rPr>
                <w:bCs/>
                <w:lang w:val="fr-CH"/>
              </w:rPr>
            </w:pPr>
            <w:r>
              <w:rPr>
                <w:bCs/>
                <w:lang w:val="fr-CH"/>
              </w:rPr>
              <w:t xml:space="preserve">Attribution passive (% </w:t>
            </w:r>
            <w:r>
              <w:rPr>
                <w:bCs/>
                <w:i/>
                <w:lang w:val="fr-CH"/>
              </w:rPr>
              <w:t>B</w:t>
            </w:r>
            <w:r>
              <w:rPr>
                <w:bCs/>
                <w:i/>
                <w:vertAlign w:val="subscript"/>
                <w:lang w:val="fr-CH"/>
              </w:rPr>
              <w:t>N</w:t>
            </w:r>
            <w:r>
              <w:rPr>
                <w:bCs/>
                <w:lang w:val="fr-CH"/>
              </w:rPr>
              <w:t>)</w:t>
            </w:r>
          </w:p>
        </w:tc>
        <w:tc>
          <w:tcPr>
            <w:tcW w:w="3685" w:type="dxa"/>
          </w:tcPr>
          <w:p w:rsidR="002B489A" w:rsidRDefault="004F19C4">
            <w:pPr>
              <w:pStyle w:val="Tabletext"/>
              <w:framePr w:hSpace="181" w:wrap="notBeside" w:vAnchor="text" w:hAnchor="text" w:xAlign="center" w:y="1"/>
              <w:spacing w:before="30" w:after="30" w:line="240" w:lineRule="exact"/>
              <w:jc w:val="center"/>
              <w:rPr>
                <w:bCs/>
                <w:lang w:val="fr-CH"/>
              </w:rPr>
            </w:pPr>
            <w:r>
              <w:rPr>
                <w:bCs/>
                <w:lang w:val="fr-CH"/>
              </w:rPr>
              <w:t>40</w:t>
            </w:r>
          </w:p>
        </w:tc>
      </w:tr>
      <w:tr w:rsidR="002B489A">
        <w:trPr>
          <w:trHeight w:hRule="exact" w:val="340"/>
        </w:trPr>
        <w:tc>
          <w:tcPr>
            <w:tcW w:w="4820" w:type="dxa"/>
          </w:tcPr>
          <w:p w:rsidR="002B489A" w:rsidRDefault="004F19C4">
            <w:pPr>
              <w:pStyle w:val="Tabletext"/>
              <w:framePr w:hSpace="181" w:wrap="notBeside" w:vAnchor="text" w:hAnchor="text" w:xAlign="center" w:y="1"/>
              <w:spacing w:before="30" w:after="30" w:line="240" w:lineRule="exact"/>
              <w:rPr>
                <w:bCs/>
                <w:lang w:val="fr-CH"/>
              </w:rPr>
            </w:pPr>
            <w:r>
              <w:rPr>
                <w:bCs/>
                <w:lang w:val="fr-CH"/>
              </w:rPr>
              <w:t xml:space="preserve">Décalage par rapport au centre de </w:t>
            </w:r>
            <w:r>
              <w:rPr>
                <w:bCs/>
                <w:i/>
                <w:lang w:val="fr-CH"/>
              </w:rPr>
              <w:t>B</w:t>
            </w:r>
            <w:r>
              <w:rPr>
                <w:bCs/>
                <w:i/>
                <w:vertAlign w:val="subscript"/>
                <w:lang w:val="fr-CH"/>
              </w:rPr>
              <w:t>N</w:t>
            </w:r>
            <w:r>
              <w:rPr>
                <w:bCs/>
                <w:lang w:val="fr-CH"/>
              </w:rPr>
              <w:t xml:space="preserve"> (% </w:t>
            </w:r>
            <w:r>
              <w:rPr>
                <w:bCs/>
                <w:i/>
                <w:lang w:val="fr-CH"/>
              </w:rPr>
              <w:t>B</w:t>
            </w:r>
            <w:r>
              <w:rPr>
                <w:bCs/>
                <w:i/>
                <w:vertAlign w:val="subscript"/>
                <w:lang w:val="fr-CH"/>
              </w:rPr>
              <w:t>N</w:t>
            </w:r>
            <w:r>
              <w:rPr>
                <w:bCs/>
                <w:lang w:val="fr-CH"/>
              </w:rPr>
              <w:t>)</w:t>
            </w:r>
          </w:p>
        </w:tc>
        <w:tc>
          <w:tcPr>
            <w:tcW w:w="3685" w:type="dxa"/>
          </w:tcPr>
          <w:p w:rsidR="002B489A" w:rsidRDefault="004F19C4">
            <w:pPr>
              <w:pStyle w:val="Tabletext"/>
              <w:framePr w:hSpace="181" w:wrap="notBeside" w:vAnchor="text" w:hAnchor="text" w:xAlign="center" w:y="1"/>
              <w:spacing w:before="30" w:after="30" w:line="240" w:lineRule="exact"/>
              <w:jc w:val="center"/>
              <w:rPr>
                <w:bCs/>
                <w:lang w:val="fr-CH"/>
              </w:rPr>
            </w:pPr>
            <w:r>
              <w:rPr>
                <w:rFonts w:ascii="Symbol" w:hAnsi="Symbol"/>
                <w:bCs/>
                <w:lang w:val="fr-CH"/>
              </w:rPr>
              <w:t></w:t>
            </w:r>
            <w:r>
              <w:rPr>
                <w:bCs/>
                <w:lang w:val="fr-CH"/>
              </w:rPr>
              <w:t xml:space="preserve"> 500</w:t>
            </w:r>
          </w:p>
        </w:tc>
      </w:tr>
      <w:tr w:rsidR="002B489A">
        <w:trPr>
          <w:trHeight w:hRule="exact" w:val="340"/>
        </w:trPr>
        <w:tc>
          <w:tcPr>
            <w:tcW w:w="4820" w:type="dxa"/>
          </w:tcPr>
          <w:p w:rsidR="002B489A" w:rsidRDefault="004F19C4">
            <w:pPr>
              <w:pStyle w:val="Tabletext"/>
              <w:framePr w:hSpace="181" w:wrap="notBeside" w:vAnchor="text" w:hAnchor="text" w:xAlign="center" w:y="1"/>
              <w:spacing w:before="30" w:after="30" w:line="240" w:lineRule="exact"/>
              <w:rPr>
                <w:bCs/>
                <w:lang w:val="fr-CH"/>
              </w:rPr>
            </w:pPr>
            <w:r>
              <w:rPr>
                <w:bCs/>
                <w:lang w:val="fr-CH"/>
              </w:rPr>
              <w:t xml:space="preserve">Décalage par rapport au centre de </w:t>
            </w:r>
            <w:r>
              <w:rPr>
                <w:bCs/>
                <w:i/>
                <w:lang w:val="fr-CH"/>
              </w:rPr>
              <w:t>B</w:t>
            </w:r>
            <w:r>
              <w:rPr>
                <w:bCs/>
                <w:i/>
                <w:vertAlign w:val="subscript"/>
                <w:lang w:val="fr-CH"/>
              </w:rPr>
              <w:t>N</w:t>
            </w:r>
            <w:r>
              <w:rPr>
                <w:bCs/>
                <w:lang w:val="fr-CH"/>
              </w:rPr>
              <w:t xml:space="preserve"> (MHz)</w:t>
            </w:r>
          </w:p>
        </w:tc>
        <w:tc>
          <w:tcPr>
            <w:tcW w:w="3685" w:type="dxa"/>
          </w:tcPr>
          <w:p w:rsidR="002B489A" w:rsidRDefault="004F19C4">
            <w:pPr>
              <w:pStyle w:val="Tabletext"/>
              <w:framePr w:hSpace="181" w:wrap="notBeside" w:vAnchor="text" w:hAnchor="text" w:xAlign="center" w:y="1"/>
              <w:spacing w:before="30" w:after="30" w:line="240" w:lineRule="exact"/>
              <w:jc w:val="center"/>
              <w:rPr>
                <w:b/>
                <w:lang w:val="fr-CH"/>
              </w:rPr>
            </w:pPr>
            <w:r>
              <w:rPr>
                <w:rFonts w:ascii="Symbol" w:hAnsi="Symbol"/>
                <w:b/>
                <w:lang w:val="fr-CH"/>
              </w:rPr>
              <w:t></w:t>
            </w:r>
            <w:r>
              <w:rPr>
                <w:b/>
                <w:lang w:val="fr-CH"/>
              </w:rPr>
              <w:t xml:space="preserve"> 2</w:t>
            </w:r>
            <w:r>
              <w:rPr>
                <w:rFonts w:ascii="Tms Rmn" w:hAnsi="Tms Rmn"/>
                <w:b/>
                <w:sz w:val="12"/>
                <w:lang w:val="fr-CH"/>
              </w:rPr>
              <w:t> </w:t>
            </w:r>
            <w:r>
              <w:rPr>
                <w:b/>
                <w:lang w:val="fr-CH"/>
              </w:rPr>
              <w:t>500</w:t>
            </w:r>
          </w:p>
        </w:tc>
      </w:tr>
      <w:tr w:rsidR="002B489A">
        <w:trPr>
          <w:trHeight w:hRule="exact" w:val="340"/>
        </w:trPr>
        <w:tc>
          <w:tcPr>
            <w:tcW w:w="4820" w:type="dxa"/>
          </w:tcPr>
          <w:p w:rsidR="002B489A" w:rsidRDefault="004F19C4">
            <w:pPr>
              <w:pStyle w:val="Tabletext"/>
              <w:framePr w:hSpace="181" w:wrap="notBeside" w:vAnchor="text" w:hAnchor="text" w:xAlign="center" w:y="1"/>
              <w:spacing w:before="30" w:after="30" w:line="240" w:lineRule="exact"/>
              <w:rPr>
                <w:bCs/>
                <w:lang w:val="fr-CH"/>
              </w:rPr>
            </w:pPr>
            <w:r>
              <w:rPr>
                <w:bCs/>
                <w:lang w:val="fr-CH"/>
              </w:rPr>
              <w:t>Bande de garde supplémentaire requise (MHz)</w:t>
            </w:r>
          </w:p>
        </w:tc>
        <w:tc>
          <w:tcPr>
            <w:tcW w:w="3685" w:type="dxa"/>
          </w:tcPr>
          <w:p w:rsidR="002B489A" w:rsidRDefault="004F19C4">
            <w:pPr>
              <w:pStyle w:val="Tabletext"/>
              <w:framePr w:hSpace="181" w:wrap="notBeside" w:vAnchor="text" w:hAnchor="text" w:xAlign="center" w:y="1"/>
              <w:spacing w:before="30" w:after="30" w:line="240" w:lineRule="exact"/>
              <w:jc w:val="center"/>
              <w:rPr>
                <w:b/>
                <w:lang w:val="fr-CH"/>
              </w:rPr>
            </w:pPr>
            <w:r>
              <w:rPr>
                <w:b/>
                <w:lang w:val="fr-CH"/>
              </w:rPr>
              <w:t>Hors de portée</w:t>
            </w:r>
          </w:p>
        </w:tc>
      </w:tr>
    </w:tbl>
    <w:p w:rsidR="002B489A" w:rsidRDefault="002B489A">
      <w:pPr>
        <w:pStyle w:val="Tablefin"/>
        <w:spacing w:before="0"/>
        <w:rPr>
          <w:sz w:val="2"/>
        </w:rPr>
      </w:pPr>
    </w:p>
    <w:p w:rsidR="002B489A" w:rsidRDefault="004F19C4">
      <w:pPr>
        <w:rPr>
          <w:lang w:val="fr-CH"/>
        </w:rPr>
      </w:pPr>
      <w:r>
        <w:rPr>
          <w:lang w:val="fr-CH"/>
        </w:rPr>
        <w:t>L'analyse dynamique donne un affaiblissement requis de 39 dB, correspondant à une bande de garde requise de 375 MHz.</w:t>
      </w:r>
    </w:p>
    <w:p w:rsidR="002B489A" w:rsidRDefault="004F19C4">
      <w:pPr>
        <w:pStyle w:val="TableNo"/>
        <w:rPr>
          <w:lang w:val="fr-CH"/>
        </w:rPr>
      </w:pPr>
      <w:r>
        <w:rPr>
          <w:lang w:val="fr-CH"/>
        </w:rPr>
        <w:t>TABLEAU  111</w:t>
      </w:r>
    </w:p>
    <w:p w:rsidR="002B489A" w:rsidRDefault="004F19C4">
      <w:pPr>
        <w:pStyle w:val="Tabletitle"/>
        <w:rPr>
          <w:lang w:val="fr-CH"/>
        </w:rPr>
      </w:pPr>
      <w:r>
        <w:rPr>
          <w:lang w:val="fr-CH"/>
        </w:rPr>
        <w:t>Résumé des bandes de garde nécessaires pour protéger les détecteurs passifs contre les stations terriennes du SFS OSG</w:t>
      </w:r>
      <w:r>
        <w:rPr>
          <w:bCs/>
          <w:lang w:val="fr-CH"/>
        </w:rPr>
        <w:t xml:space="preserve"> (Détecteur dans le lobe principal de la station terrienne)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6"/>
        <w:gridCol w:w="1162"/>
        <w:gridCol w:w="1162"/>
        <w:gridCol w:w="1098"/>
        <w:gridCol w:w="915"/>
        <w:gridCol w:w="1128"/>
        <w:gridCol w:w="1068"/>
      </w:tblGrid>
      <w:tr w:rsidR="002B489A">
        <w:trPr>
          <w:cantSplit/>
        </w:trPr>
        <w:tc>
          <w:tcPr>
            <w:tcW w:w="3031" w:type="dxa"/>
            <w:vMerge w:val="restart"/>
            <w:vAlign w:val="center"/>
          </w:tcPr>
          <w:p w:rsidR="002B489A" w:rsidRDefault="004F19C4">
            <w:pPr>
              <w:pStyle w:val="Tablehead"/>
              <w:framePr w:hSpace="181" w:wrap="notBeside" w:vAnchor="text" w:hAnchor="text" w:xAlign="center" w:y="1"/>
              <w:spacing w:before="60" w:after="60"/>
              <w:jc w:val="left"/>
              <w:rPr>
                <w:lang w:val="fr-CH"/>
              </w:rPr>
            </w:pPr>
            <w:r>
              <w:rPr>
                <w:lang w:val="fr-CH"/>
              </w:rPr>
              <w:t>Système SFS</w:t>
            </w:r>
          </w:p>
        </w:tc>
        <w:tc>
          <w:tcPr>
            <w:tcW w:w="1134" w:type="dxa"/>
            <w:vMerge w:val="restart"/>
            <w:vAlign w:val="center"/>
          </w:tcPr>
          <w:p w:rsidR="002B489A" w:rsidRDefault="004F19C4">
            <w:pPr>
              <w:pStyle w:val="Tablehead"/>
              <w:framePr w:hSpace="181" w:wrap="notBeside" w:vAnchor="text" w:hAnchor="text" w:xAlign="center" w:y="1"/>
              <w:spacing w:before="60" w:after="60"/>
              <w:ind w:left="-57" w:right="-57"/>
              <w:rPr>
                <w:lang w:val="en-US"/>
              </w:rPr>
            </w:pPr>
            <w:r>
              <w:rPr>
                <w:lang w:val="en-US"/>
              </w:rPr>
              <w:t>GSOV-B1</w:t>
            </w:r>
          </w:p>
        </w:tc>
        <w:tc>
          <w:tcPr>
            <w:tcW w:w="1134" w:type="dxa"/>
            <w:vMerge w:val="restart"/>
            <w:vAlign w:val="center"/>
          </w:tcPr>
          <w:p w:rsidR="002B489A" w:rsidRDefault="004F19C4">
            <w:pPr>
              <w:pStyle w:val="Tablehead"/>
              <w:framePr w:hSpace="181" w:wrap="notBeside" w:vAnchor="text" w:hAnchor="text" w:xAlign="center" w:y="1"/>
              <w:spacing w:before="60" w:after="60"/>
              <w:ind w:left="-57" w:right="-57"/>
              <w:rPr>
                <w:lang w:val="en-US"/>
              </w:rPr>
            </w:pPr>
            <w:r>
              <w:rPr>
                <w:lang w:val="en-US"/>
              </w:rPr>
              <w:t>GSOV-B2</w:t>
            </w:r>
          </w:p>
        </w:tc>
        <w:tc>
          <w:tcPr>
            <w:tcW w:w="1072" w:type="dxa"/>
            <w:vMerge w:val="restart"/>
            <w:vAlign w:val="center"/>
          </w:tcPr>
          <w:p w:rsidR="002B489A" w:rsidRDefault="004F19C4">
            <w:pPr>
              <w:pStyle w:val="Tablehead"/>
              <w:framePr w:hSpace="181" w:wrap="notBeside" w:vAnchor="text" w:hAnchor="text" w:xAlign="center" w:y="1"/>
              <w:spacing w:before="60" w:after="60"/>
              <w:ind w:left="-57" w:right="-57"/>
              <w:rPr>
                <w:lang w:val="es-ES"/>
              </w:rPr>
            </w:pPr>
            <w:r>
              <w:rPr>
                <w:lang w:val="es-ES"/>
              </w:rPr>
              <w:t>GSO-VX</w:t>
            </w:r>
          </w:p>
        </w:tc>
        <w:tc>
          <w:tcPr>
            <w:tcW w:w="893" w:type="dxa"/>
            <w:vMerge w:val="restart"/>
            <w:vAlign w:val="center"/>
          </w:tcPr>
          <w:p w:rsidR="002B489A" w:rsidRDefault="004F19C4">
            <w:pPr>
              <w:pStyle w:val="Tablehead"/>
              <w:framePr w:hSpace="181" w:wrap="notBeside" w:vAnchor="text" w:hAnchor="text" w:xAlign="center" w:y="1"/>
              <w:spacing w:before="60" w:after="60"/>
              <w:ind w:left="-85" w:right="-85"/>
              <w:rPr>
                <w:lang w:val="es-ES"/>
              </w:rPr>
            </w:pPr>
            <w:r>
              <w:rPr>
                <w:lang w:val="es-ES"/>
              </w:rPr>
              <w:t>GSO-SV</w:t>
            </w:r>
          </w:p>
        </w:tc>
        <w:tc>
          <w:tcPr>
            <w:tcW w:w="2143" w:type="dxa"/>
            <w:gridSpan w:val="2"/>
          </w:tcPr>
          <w:p w:rsidR="002B489A" w:rsidRDefault="004F19C4">
            <w:pPr>
              <w:pStyle w:val="Tablehead"/>
              <w:framePr w:hSpace="181" w:wrap="notBeside" w:vAnchor="text" w:hAnchor="text" w:xAlign="center" w:y="1"/>
              <w:spacing w:before="60" w:after="60"/>
              <w:rPr>
                <w:lang w:val="fr-CH"/>
              </w:rPr>
            </w:pPr>
            <w:r>
              <w:rPr>
                <w:lang w:val="fr-CH"/>
              </w:rPr>
              <w:t>GEOSAT</w:t>
            </w:r>
          </w:p>
        </w:tc>
      </w:tr>
      <w:tr w:rsidR="002B489A">
        <w:trPr>
          <w:cantSplit/>
        </w:trPr>
        <w:tc>
          <w:tcPr>
            <w:tcW w:w="3031" w:type="dxa"/>
            <w:vMerge/>
          </w:tcPr>
          <w:p w:rsidR="002B489A" w:rsidRDefault="002B489A">
            <w:pPr>
              <w:pStyle w:val="Tablehead"/>
              <w:framePr w:hSpace="181" w:wrap="notBeside" w:vAnchor="text" w:hAnchor="text" w:xAlign="center" w:y="1"/>
              <w:spacing w:before="60" w:after="60"/>
              <w:jc w:val="left"/>
              <w:rPr>
                <w:lang w:val="fr-CH"/>
              </w:rPr>
            </w:pPr>
          </w:p>
        </w:tc>
        <w:tc>
          <w:tcPr>
            <w:tcW w:w="1134" w:type="dxa"/>
            <w:vMerge/>
          </w:tcPr>
          <w:p w:rsidR="002B489A" w:rsidRDefault="002B489A">
            <w:pPr>
              <w:pStyle w:val="Tablehead"/>
              <w:framePr w:hSpace="181" w:wrap="notBeside" w:vAnchor="text" w:hAnchor="text" w:xAlign="center" w:y="1"/>
              <w:spacing w:before="60" w:after="60"/>
              <w:rPr>
                <w:lang w:val="fr-CH"/>
              </w:rPr>
            </w:pPr>
          </w:p>
        </w:tc>
        <w:tc>
          <w:tcPr>
            <w:tcW w:w="1134" w:type="dxa"/>
            <w:vMerge/>
          </w:tcPr>
          <w:p w:rsidR="002B489A" w:rsidRDefault="002B489A">
            <w:pPr>
              <w:pStyle w:val="Tablehead"/>
              <w:framePr w:hSpace="181" w:wrap="notBeside" w:vAnchor="text" w:hAnchor="text" w:xAlign="center" w:y="1"/>
              <w:spacing w:before="60" w:after="60"/>
              <w:rPr>
                <w:lang w:val="fr-CH"/>
              </w:rPr>
            </w:pPr>
          </w:p>
        </w:tc>
        <w:tc>
          <w:tcPr>
            <w:tcW w:w="1072" w:type="dxa"/>
            <w:vMerge/>
          </w:tcPr>
          <w:p w:rsidR="002B489A" w:rsidRDefault="002B489A">
            <w:pPr>
              <w:pStyle w:val="Tablehead"/>
              <w:framePr w:hSpace="181" w:wrap="notBeside" w:vAnchor="text" w:hAnchor="text" w:xAlign="center" w:y="1"/>
              <w:spacing w:before="60" w:after="60"/>
              <w:rPr>
                <w:lang w:val="fr-CH"/>
              </w:rPr>
            </w:pPr>
          </w:p>
        </w:tc>
        <w:tc>
          <w:tcPr>
            <w:tcW w:w="893" w:type="dxa"/>
            <w:vMerge/>
          </w:tcPr>
          <w:p w:rsidR="002B489A" w:rsidRDefault="002B489A">
            <w:pPr>
              <w:pStyle w:val="Tablehead"/>
              <w:framePr w:hSpace="181" w:wrap="notBeside" w:vAnchor="text" w:hAnchor="text" w:xAlign="center" w:y="1"/>
              <w:spacing w:before="60" w:after="60"/>
              <w:rPr>
                <w:lang w:val="fr-CH"/>
              </w:rPr>
            </w:pPr>
          </w:p>
        </w:tc>
        <w:tc>
          <w:tcPr>
            <w:tcW w:w="1101" w:type="dxa"/>
          </w:tcPr>
          <w:p w:rsidR="002B489A" w:rsidRDefault="004F19C4">
            <w:pPr>
              <w:pStyle w:val="Tablehead"/>
              <w:framePr w:hSpace="181" w:wrap="notBeside" w:vAnchor="text" w:hAnchor="text" w:xAlign="center" w:y="1"/>
              <w:spacing w:before="60" w:after="60"/>
              <w:ind w:left="-57" w:right="-57"/>
              <w:rPr>
                <w:bCs/>
                <w:lang w:val="fr-CH"/>
              </w:rPr>
            </w:pPr>
            <w:r>
              <w:rPr>
                <w:lang w:val="fr-CH"/>
              </w:rPr>
              <w:t>Passerelle</w:t>
            </w:r>
          </w:p>
        </w:tc>
        <w:tc>
          <w:tcPr>
            <w:tcW w:w="1042" w:type="dxa"/>
          </w:tcPr>
          <w:p w:rsidR="002B489A" w:rsidRDefault="004F19C4">
            <w:pPr>
              <w:pStyle w:val="Tablehead"/>
              <w:framePr w:hSpace="181" w:wrap="notBeside" w:vAnchor="text" w:hAnchor="text" w:xAlign="center" w:y="1"/>
              <w:spacing w:before="60" w:after="60"/>
              <w:ind w:left="-57" w:right="-57"/>
              <w:rPr>
                <w:bCs/>
                <w:lang w:val="fr-CH"/>
              </w:rPr>
            </w:pPr>
            <w:r>
              <w:rPr>
                <w:lang w:val="fr-CH"/>
              </w:rPr>
              <w:t>Usager</w:t>
            </w:r>
          </w:p>
        </w:tc>
      </w:tr>
      <w:tr w:rsidR="002B489A">
        <w:tc>
          <w:tcPr>
            <w:tcW w:w="3031" w:type="dxa"/>
          </w:tcPr>
          <w:p w:rsidR="002B489A" w:rsidRDefault="004F19C4">
            <w:pPr>
              <w:pStyle w:val="Tabletext"/>
              <w:framePr w:hSpace="181" w:wrap="notBeside" w:vAnchor="text" w:hAnchor="text" w:xAlign="center" w:y="1"/>
              <w:spacing w:before="30" w:after="30"/>
              <w:jc w:val="left"/>
              <w:rPr>
                <w:lang w:val="fr-CH"/>
              </w:rPr>
            </w:pPr>
            <w:r>
              <w:rPr>
                <w:bCs/>
                <w:lang w:val="fr-CH"/>
              </w:rPr>
              <w:t>Suppression de puissance requise (dB)</w:t>
            </w:r>
          </w:p>
        </w:tc>
        <w:tc>
          <w:tcPr>
            <w:tcW w:w="1134" w:type="dxa"/>
          </w:tcPr>
          <w:p w:rsidR="002B489A" w:rsidRDefault="004F19C4">
            <w:pPr>
              <w:pStyle w:val="Tabletext"/>
              <w:framePr w:hSpace="181" w:wrap="notBeside" w:vAnchor="text" w:hAnchor="text" w:xAlign="center" w:y="1"/>
              <w:spacing w:before="30" w:after="30"/>
              <w:jc w:val="center"/>
              <w:rPr>
                <w:lang w:val="fr-CH"/>
              </w:rPr>
            </w:pPr>
            <w:r>
              <w:rPr>
                <w:lang w:val="fr-CH"/>
              </w:rPr>
              <w:t>Aucune</w:t>
            </w:r>
          </w:p>
        </w:tc>
        <w:tc>
          <w:tcPr>
            <w:tcW w:w="1134" w:type="dxa"/>
          </w:tcPr>
          <w:p w:rsidR="002B489A" w:rsidRDefault="004F19C4">
            <w:pPr>
              <w:pStyle w:val="Tabletext"/>
              <w:framePr w:hSpace="181" w:wrap="notBeside" w:vAnchor="text" w:hAnchor="text" w:xAlign="center" w:y="1"/>
              <w:spacing w:before="30" w:after="30"/>
              <w:jc w:val="center"/>
              <w:rPr>
                <w:lang w:val="es-ES"/>
              </w:rPr>
            </w:pPr>
            <w:r>
              <w:rPr>
                <w:lang w:val="es-ES"/>
              </w:rPr>
              <w:t>49,9</w:t>
            </w:r>
          </w:p>
        </w:tc>
        <w:tc>
          <w:tcPr>
            <w:tcW w:w="1072" w:type="dxa"/>
          </w:tcPr>
          <w:p w:rsidR="002B489A" w:rsidRDefault="004F19C4">
            <w:pPr>
              <w:pStyle w:val="Tabletext"/>
              <w:framePr w:hSpace="181" w:wrap="notBeside" w:vAnchor="text" w:hAnchor="text" w:xAlign="center" w:y="1"/>
              <w:spacing w:before="30" w:after="30"/>
              <w:jc w:val="center"/>
              <w:rPr>
                <w:lang w:val="es-ES"/>
              </w:rPr>
            </w:pPr>
            <w:r>
              <w:rPr>
                <w:lang w:val="es-ES"/>
              </w:rPr>
              <w:t>37,2</w:t>
            </w:r>
          </w:p>
        </w:tc>
        <w:tc>
          <w:tcPr>
            <w:tcW w:w="893" w:type="dxa"/>
          </w:tcPr>
          <w:p w:rsidR="002B489A" w:rsidRDefault="004F19C4">
            <w:pPr>
              <w:pStyle w:val="Tabletext"/>
              <w:framePr w:hSpace="181" w:wrap="notBeside" w:vAnchor="text" w:hAnchor="text" w:xAlign="center" w:y="1"/>
              <w:spacing w:before="30" w:after="30"/>
              <w:jc w:val="center"/>
              <w:rPr>
                <w:lang w:val="es-ES"/>
              </w:rPr>
            </w:pPr>
            <w:r>
              <w:rPr>
                <w:lang w:val="es-ES"/>
              </w:rPr>
              <w:t>40,5</w:t>
            </w:r>
          </w:p>
        </w:tc>
        <w:tc>
          <w:tcPr>
            <w:tcW w:w="1101" w:type="dxa"/>
          </w:tcPr>
          <w:p w:rsidR="002B489A" w:rsidRDefault="004F19C4">
            <w:pPr>
              <w:pStyle w:val="Tabletext"/>
              <w:framePr w:hSpace="181" w:wrap="notBeside" w:vAnchor="text" w:hAnchor="text" w:xAlign="center" w:y="1"/>
              <w:spacing w:before="30" w:after="30"/>
              <w:jc w:val="center"/>
              <w:rPr>
                <w:lang w:val="es-ES"/>
              </w:rPr>
            </w:pPr>
            <w:r>
              <w:rPr>
                <w:lang w:val="es-ES"/>
              </w:rPr>
              <w:t>49,1</w:t>
            </w:r>
          </w:p>
        </w:tc>
        <w:tc>
          <w:tcPr>
            <w:tcW w:w="1042" w:type="dxa"/>
          </w:tcPr>
          <w:p w:rsidR="002B489A" w:rsidRDefault="004F19C4">
            <w:pPr>
              <w:pStyle w:val="Tabletext"/>
              <w:framePr w:hSpace="181" w:wrap="notBeside" w:vAnchor="text" w:hAnchor="text" w:xAlign="center" w:y="1"/>
              <w:spacing w:before="30" w:after="30"/>
              <w:jc w:val="center"/>
              <w:rPr>
                <w:lang w:val="es-ES"/>
              </w:rPr>
            </w:pPr>
            <w:r>
              <w:rPr>
                <w:lang w:val="es-ES"/>
              </w:rPr>
              <w:t>34,4</w:t>
            </w:r>
          </w:p>
        </w:tc>
      </w:tr>
      <w:tr w:rsidR="002B489A">
        <w:tc>
          <w:tcPr>
            <w:tcW w:w="3031" w:type="dxa"/>
          </w:tcPr>
          <w:p w:rsidR="002B489A" w:rsidRDefault="004F19C4">
            <w:pPr>
              <w:pStyle w:val="Tabletext"/>
              <w:framePr w:hSpace="181" w:wrap="notBeside" w:vAnchor="text" w:hAnchor="text" w:xAlign="center" w:y="1"/>
              <w:spacing w:before="30" w:after="30"/>
              <w:jc w:val="left"/>
              <w:rPr>
                <w:lang w:val="fr-CH"/>
              </w:rPr>
            </w:pPr>
            <w:r>
              <w:rPr>
                <w:bCs/>
                <w:lang w:val="fr-CH"/>
              </w:rPr>
              <w:t>Largeur de bande nécessaire (MHz)</w:t>
            </w:r>
          </w:p>
        </w:tc>
        <w:tc>
          <w:tcPr>
            <w:tcW w:w="1134" w:type="dxa"/>
          </w:tcPr>
          <w:p w:rsidR="002B489A" w:rsidRDefault="004F19C4">
            <w:pPr>
              <w:pStyle w:val="Tabletext"/>
              <w:framePr w:hSpace="181" w:wrap="notBeside" w:vAnchor="text" w:hAnchor="text" w:xAlign="center" w:y="1"/>
              <w:spacing w:before="30" w:after="30"/>
              <w:jc w:val="center"/>
              <w:rPr>
                <w:lang w:val="es-ES"/>
              </w:rPr>
            </w:pPr>
            <w:r>
              <w:rPr>
                <w:lang w:val="es-ES"/>
              </w:rPr>
              <w:t>105,6</w:t>
            </w:r>
          </w:p>
        </w:tc>
        <w:tc>
          <w:tcPr>
            <w:tcW w:w="1134" w:type="dxa"/>
          </w:tcPr>
          <w:p w:rsidR="002B489A" w:rsidRDefault="004F19C4">
            <w:pPr>
              <w:pStyle w:val="Tabletext"/>
              <w:framePr w:hSpace="181" w:wrap="notBeside" w:vAnchor="text" w:hAnchor="text" w:xAlign="center" w:y="1"/>
              <w:spacing w:before="30" w:after="30"/>
              <w:jc w:val="center"/>
              <w:rPr>
                <w:lang w:val="es-ES"/>
              </w:rPr>
            </w:pPr>
            <w:r>
              <w:rPr>
                <w:lang w:val="es-ES"/>
              </w:rPr>
              <w:t>150</w:t>
            </w:r>
          </w:p>
        </w:tc>
        <w:tc>
          <w:tcPr>
            <w:tcW w:w="1072" w:type="dxa"/>
          </w:tcPr>
          <w:p w:rsidR="002B489A" w:rsidRDefault="004F19C4">
            <w:pPr>
              <w:pStyle w:val="Tabletext"/>
              <w:framePr w:hSpace="181" w:wrap="notBeside" w:vAnchor="text" w:hAnchor="text" w:xAlign="center" w:y="1"/>
              <w:spacing w:before="30" w:after="30"/>
              <w:jc w:val="center"/>
              <w:rPr>
                <w:lang w:val="es-ES"/>
              </w:rPr>
            </w:pPr>
            <w:r>
              <w:rPr>
                <w:lang w:val="es-ES"/>
              </w:rPr>
              <w:t>300</w:t>
            </w:r>
          </w:p>
        </w:tc>
        <w:tc>
          <w:tcPr>
            <w:tcW w:w="893" w:type="dxa"/>
          </w:tcPr>
          <w:p w:rsidR="002B489A" w:rsidRDefault="004F19C4">
            <w:pPr>
              <w:pStyle w:val="Tabletext"/>
              <w:framePr w:hSpace="181" w:wrap="notBeside" w:vAnchor="text" w:hAnchor="text" w:xAlign="center" w:y="1"/>
              <w:spacing w:before="30" w:after="30"/>
              <w:jc w:val="center"/>
              <w:rPr>
                <w:lang w:val="es-ES"/>
              </w:rPr>
            </w:pPr>
            <w:r>
              <w:rPr>
                <w:lang w:val="es-ES"/>
              </w:rPr>
              <w:t>200</w:t>
            </w:r>
          </w:p>
        </w:tc>
        <w:tc>
          <w:tcPr>
            <w:tcW w:w="1101" w:type="dxa"/>
          </w:tcPr>
          <w:p w:rsidR="002B489A" w:rsidRDefault="004F19C4">
            <w:pPr>
              <w:pStyle w:val="Tabletext"/>
              <w:framePr w:hSpace="181" w:wrap="notBeside" w:vAnchor="text" w:hAnchor="text" w:xAlign="center" w:y="1"/>
              <w:spacing w:before="30" w:after="30"/>
              <w:jc w:val="center"/>
              <w:rPr>
                <w:lang w:val="es-ES"/>
              </w:rPr>
            </w:pPr>
            <w:r>
              <w:rPr>
                <w:lang w:val="es-ES"/>
              </w:rPr>
              <w:t>125</w:t>
            </w:r>
          </w:p>
        </w:tc>
        <w:tc>
          <w:tcPr>
            <w:tcW w:w="1042" w:type="dxa"/>
          </w:tcPr>
          <w:p w:rsidR="002B489A" w:rsidRDefault="004F19C4">
            <w:pPr>
              <w:pStyle w:val="Tabletext"/>
              <w:framePr w:hSpace="181" w:wrap="notBeside" w:vAnchor="text" w:hAnchor="text" w:xAlign="center" w:y="1"/>
              <w:spacing w:before="30" w:after="30"/>
              <w:jc w:val="center"/>
              <w:rPr>
                <w:lang w:val="es-ES"/>
              </w:rPr>
            </w:pPr>
            <w:r>
              <w:rPr>
                <w:lang w:val="es-ES"/>
              </w:rPr>
              <w:t>11</w:t>
            </w:r>
          </w:p>
        </w:tc>
      </w:tr>
      <w:tr w:rsidR="002B489A">
        <w:tc>
          <w:tcPr>
            <w:tcW w:w="3031" w:type="dxa"/>
          </w:tcPr>
          <w:p w:rsidR="002B489A" w:rsidRDefault="004F19C4">
            <w:pPr>
              <w:pStyle w:val="Tabletext"/>
              <w:framePr w:hSpace="181" w:wrap="notBeside" w:vAnchor="text" w:hAnchor="text" w:xAlign="center" w:y="1"/>
              <w:spacing w:before="30" w:after="30"/>
              <w:jc w:val="left"/>
              <w:rPr>
                <w:lang w:val="fr-CH"/>
              </w:rPr>
            </w:pPr>
            <w:r>
              <w:rPr>
                <w:bCs/>
                <w:lang w:val="fr-CH"/>
              </w:rPr>
              <w:t>Bande passive (% </w:t>
            </w:r>
            <w:r>
              <w:rPr>
                <w:bCs/>
                <w:i/>
                <w:lang w:val="fr-CH"/>
              </w:rPr>
              <w:t>B</w:t>
            </w:r>
            <w:r>
              <w:rPr>
                <w:bCs/>
                <w:i/>
                <w:vertAlign w:val="subscript"/>
                <w:lang w:val="fr-CH"/>
              </w:rPr>
              <w:t>N</w:t>
            </w:r>
            <w:r>
              <w:rPr>
                <w:bCs/>
                <w:lang w:val="fr-CH"/>
              </w:rPr>
              <w:t>)</w:t>
            </w:r>
          </w:p>
        </w:tc>
        <w:tc>
          <w:tcPr>
            <w:tcW w:w="1134" w:type="dxa"/>
          </w:tcPr>
          <w:p w:rsidR="002B489A" w:rsidRDefault="004F19C4">
            <w:pPr>
              <w:pStyle w:val="Tabletext"/>
              <w:framePr w:hSpace="181" w:wrap="notBeside" w:vAnchor="text" w:hAnchor="text" w:xAlign="center" w:y="1"/>
              <w:spacing w:before="30" w:after="30"/>
              <w:jc w:val="center"/>
              <w:rPr>
                <w:lang w:val="es-ES"/>
              </w:rPr>
            </w:pPr>
            <w:r>
              <w:rPr>
                <w:lang w:val="es-ES"/>
              </w:rPr>
              <w:t>190</w:t>
            </w:r>
          </w:p>
        </w:tc>
        <w:tc>
          <w:tcPr>
            <w:tcW w:w="1134" w:type="dxa"/>
          </w:tcPr>
          <w:p w:rsidR="002B489A" w:rsidRDefault="004F19C4">
            <w:pPr>
              <w:pStyle w:val="Tabletext"/>
              <w:framePr w:hSpace="181" w:wrap="notBeside" w:vAnchor="text" w:hAnchor="text" w:xAlign="center" w:y="1"/>
              <w:spacing w:before="30" w:after="30"/>
              <w:jc w:val="center"/>
              <w:rPr>
                <w:lang w:val="es-ES"/>
              </w:rPr>
            </w:pPr>
            <w:r>
              <w:rPr>
                <w:lang w:val="es-ES"/>
              </w:rPr>
              <w:t>133</w:t>
            </w:r>
          </w:p>
        </w:tc>
        <w:tc>
          <w:tcPr>
            <w:tcW w:w="1072" w:type="dxa"/>
          </w:tcPr>
          <w:p w:rsidR="002B489A" w:rsidRDefault="004F19C4">
            <w:pPr>
              <w:pStyle w:val="Tabletext"/>
              <w:framePr w:hSpace="181" w:wrap="notBeside" w:vAnchor="text" w:hAnchor="text" w:xAlign="center" w:y="1"/>
              <w:spacing w:before="30" w:after="30"/>
              <w:jc w:val="center"/>
              <w:rPr>
                <w:lang w:val="es-ES"/>
              </w:rPr>
            </w:pPr>
            <w:r>
              <w:rPr>
                <w:lang w:val="es-ES"/>
              </w:rPr>
              <w:t>67</w:t>
            </w:r>
          </w:p>
        </w:tc>
        <w:tc>
          <w:tcPr>
            <w:tcW w:w="893" w:type="dxa"/>
          </w:tcPr>
          <w:p w:rsidR="002B489A" w:rsidRDefault="004F19C4">
            <w:pPr>
              <w:pStyle w:val="Tabletext"/>
              <w:framePr w:hSpace="181" w:wrap="notBeside" w:vAnchor="text" w:hAnchor="text" w:xAlign="center" w:y="1"/>
              <w:spacing w:before="30" w:after="30"/>
              <w:jc w:val="center"/>
              <w:rPr>
                <w:lang w:val="es-ES"/>
              </w:rPr>
            </w:pPr>
            <w:r>
              <w:rPr>
                <w:lang w:val="es-ES"/>
              </w:rPr>
              <w:t>100</w:t>
            </w:r>
          </w:p>
        </w:tc>
        <w:tc>
          <w:tcPr>
            <w:tcW w:w="1101" w:type="dxa"/>
          </w:tcPr>
          <w:p w:rsidR="002B489A" w:rsidRDefault="002B489A">
            <w:pPr>
              <w:pStyle w:val="Tabletext"/>
              <w:framePr w:hSpace="181" w:wrap="notBeside" w:vAnchor="text" w:hAnchor="text" w:xAlign="center" w:y="1"/>
              <w:spacing w:before="30" w:after="30"/>
              <w:jc w:val="center"/>
              <w:rPr>
                <w:lang w:val="es-ES"/>
              </w:rPr>
            </w:pPr>
          </w:p>
        </w:tc>
        <w:tc>
          <w:tcPr>
            <w:tcW w:w="1042" w:type="dxa"/>
          </w:tcPr>
          <w:p w:rsidR="002B489A" w:rsidRDefault="002B489A">
            <w:pPr>
              <w:pStyle w:val="Tabletext"/>
              <w:framePr w:hSpace="181" w:wrap="notBeside" w:vAnchor="text" w:hAnchor="text" w:xAlign="center" w:y="1"/>
              <w:spacing w:before="30" w:after="30"/>
              <w:jc w:val="center"/>
              <w:rPr>
                <w:lang w:val="es-ES"/>
              </w:rPr>
            </w:pPr>
          </w:p>
        </w:tc>
      </w:tr>
      <w:tr w:rsidR="002B489A">
        <w:tc>
          <w:tcPr>
            <w:tcW w:w="3031" w:type="dxa"/>
          </w:tcPr>
          <w:p w:rsidR="002B489A" w:rsidRDefault="004F19C4">
            <w:pPr>
              <w:pStyle w:val="Tabletext"/>
              <w:framePr w:hSpace="181" w:wrap="notBeside" w:vAnchor="text" w:hAnchor="text" w:xAlign="center" w:y="1"/>
              <w:spacing w:before="30" w:after="30"/>
              <w:jc w:val="left"/>
              <w:rPr>
                <w:lang w:val="fr-CH"/>
              </w:rPr>
            </w:pPr>
            <w:r>
              <w:rPr>
                <w:bCs/>
                <w:lang w:val="fr-CH"/>
              </w:rPr>
              <w:t xml:space="preserve">Décalage au centre de </w:t>
            </w:r>
            <w:r>
              <w:rPr>
                <w:bCs/>
                <w:i/>
                <w:lang w:val="fr-CH"/>
              </w:rPr>
              <w:t>B</w:t>
            </w:r>
            <w:r>
              <w:rPr>
                <w:bCs/>
                <w:i/>
                <w:vertAlign w:val="subscript"/>
                <w:lang w:val="fr-CH"/>
              </w:rPr>
              <w:t>N</w:t>
            </w:r>
            <w:r>
              <w:rPr>
                <w:bCs/>
                <w:lang w:val="fr-CH"/>
              </w:rPr>
              <w:t> (% </w:t>
            </w:r>
            <w:r>
              <w:rPr>
                <w:bCs/>
                <w:i/>
                <w:lang w:val="fr-CH"/>
              </w:rPr>
              <w:t>B</w:t>
            </w:r>
            <w:r>
              <w:rPr>
                <w:bCs/>
                <w:i/>
                <w:vertAlign w:val="subscript"/>
                <w:lang w:val="fr-CH"/>
              </w:rPr>
              <w:t>N</w:t>
            </w:r>
            <w:r>
              <w:rPr>
                <w:bCs/>
                <w:lang w:val="fr-CH"/>
              </w:rPr>
              <w:t>)</w:t>
            </w:r>
          </w:p>
        </w:tc>
        <w:tc>
          <w:tcPr>
            <w:tcW w:w="1134" w:type="dxa"/>
          </w:tcPr>
          <w:p w:rsidR="002B489A" w:rsidRDefault="004F19C4">
            <w:pPr>
              <w:pStyle w:val="Tabletext"/>
              <w:framePr w:hSpace="181" w:wrap="notBeside" w:vAnchor="text" w:hAnchor="text" w:xAlign="center" w:y="1"/>
              <w:spacing w:before="30" w:after="30"/>
              <w:jc w:val="center"/>
              <w:rPr>
                <w:lang w:val="es-ES"/>
              </w:rPr>
            </w:pPr>
            <w:r>
              <w:rPr>
                <w:lang w:val="fr-CH"/>
              </w:rPr>
              <w:t>Aucun</w:t>
            </w:r>
          </w:p>
        </w:tc>
        <w:tc>
          <w:tcPr>
            <w:tcW w:w="1134" w:type="dxa"/>
          </w:tcPr>
          <w:p w:rsidR="002B489A" w:rsidRDefault="004F19C4">
            <w:pPr>
              <w:pStyle w:val="Tabletext"/>
              <w:framePr w:hSpace="181" w:wrap="notBeside" w:vAnchor="text" w:hAnchor="text" w:xAlign="center" w:y="1"/>
              <w:spacing w:before="30" w:after="30"/>
              <w:jc w:val="center"/>
              <w:rPr>
                <w:lang w:val="es-ES"/>
              </w:rPr>
            </w:pPr>
            <w:r>
              <w:rPr>
                <w:lang w:val="es-ES"/>
              </w:rPr>
              <w:t>184</w:t>
            </w:r>
          </w:p>
        </w:tc>
        <w:tc>
          <w:tcPr>
            <w:tcW w:w="1072" w:type="dxa"/>
          </w:tcPr>
          <w:p w:rsidR="002B489A" w:rsidRDefault="004F19C4">
            <w:pPr>
              <w:pStyle w:val="Tabletext"/>
              <w:framePr w:hSpace="181" w:wrap="notBeside" w:vAnchor="text" w:hAnchor="text" w:xAlign="center" w:y="1"/>
              <w:spacing w:before="30" w:after="30"/>
              <w:jc w:val="center"/>
              <w:rPr>
                <w:lang w:val="es-ES"/>
              </w:rPr>
            </w:pPr>
            <w:r>
              <w:rPr>
                <w:lang w:val="es-ES"/>
              </w:rPr>
              <w:t>116</w:t>
            </w:r>
          </w:p>
        </w:tc>
        <w:tc>
          <w:tcPr>
            <w:tcW w:w="893" w:type="dxa"/>
          </w:tcPr>
          <w:p w:rsidR="002B489A" w:rsidRDefault="004F19C4">
            <w:pPr>
              <w:pStyle w:val="Tabletext"/>
              <w:framePr w:hSpace="181" w:wrap="notBeside" w:vAnchor="text" w:hAnchor="text" w:xAlign="center" w:y="1"/>
              <w:spacing w:before="30" w:after="30"/>
              <w:jc w:val="center"/>
              <w:rPr>
                <w:lang w:val="es-ES"/>
              </w:rPr>
            </w:pPr>
            <w:r>
              <w:rPr>
                <w:lang w:val="es-ES"/>
              </w:rPr>
              <w:t>128</w:t>
            </w:r>
          </w:p>
        </w:tc>
        <w:tc>
          <w:tcPr>
            <w:tcW w:w="1101" w:type="dxa"/>
          </w:tcPr>
          <w:p w:rsidR="002B489A" w:rsidRDefault="004F19C4">
            <w:pPr>
              <w:pStyle w:val="Tabletext"/>
              <w:framePr w:hSpace="181" w:wrap="notBeside" w:vAnchor="text" w:hAnchor="text" w:xAlign="center" w:y="1"/>
              <w:spacing w:before="30" w:after="30"/>
              <w:jc w:val="center"/>
              <w:rPr>
                <w:lang w:val="es-ES"/>
              </w:rPr>
            </w:pPr>
            <w:r>
              <w:rPr>
                <w:lang w:val="es-ES"/>
              </w:rPr>
              <w:t>181</w:t>
            </w:r>
          </w:p>
        </w:tc>
        <w:tc>
          <w:tcPr>
            <w:tcW w:w="1042" w:type="dxa"/>
          </w:tcPr>
          <w:p w:rsidR="002B489A" w:rsidRDefault="004F19C4">
            <w:pPr>
              <w:pStyle w:val="Tabletext"/>
              <w:framePr w:hSpace="181" w:wrap="notBeside" w:vAnchor="text" w:hAnchor="text" w:xAlign="center" w:y="1"/>
              <w:spacing w:before="30" w:after="30"/>
              <w:jc w:val="center"/>
              <w:rPr>
                <w:lang w:val="es-ES"/>
              </w:rPr>
            </w:pPr>
            <w:r>
              <w:rPr>
                <w:lang w:val="es-ES"/>
              </w:rPr>
              <w:t>91</w:t>
            </w:r>
          </w:p>
        </w:tc>
      </w:tr>
      <w:tr w:rsidR="002B489A">
        <w:tc>
          <w:tcPr>
            <w:tcW w:w="3031" w:type="dxa"/>
          </w:tcPr>
          <w:p w:rsidR="002B489A" w:rsidRDefault="004F19C4">
            <w:pPr>
              <w:pStyle w:val="Tabletext"/>
              <w:framePr w:hSpace="181" w:wrap="notBeside" w:vAnchor="text" w:hAnchor="text" w:xAlign="center" w:y="1"/>
              <w:spacing w:before="30" w:after="30"/>
              <w:jc w:val="left"/>
              <w:rPr>
                <w:lang w:val="fr-CH"/>
              </w:rPr>
            </w:pPr>
            <w:r>
              <w:rPr>
                <w:bCs/>
                <w:lang w:val="fr-CH"/>
              </w:rPr>
              <w:t xml:space="preserve">Décalage au centre de </w:t>
            </w:r>
            <w:r>
              <w:rPr>
                <w:bCs/>
                <w:i/>
                <w:lang w:val="fr-CH"/>
              </w:rPr>
              <w:t>B</w:t>
            </w:r>
            <w:r>
              <w:rPr>
                <w:bCs/>
                <w:i/>
                <w:vertAlign w:val="subscript"/>
                <w:lang w:val="fr-CH"/>
              </w:rPr>
              <w:t>N</w:t>
            </w:r>
            <w:r>
              <w:rPr>
                <w:bCs/>
                <w:lang w:val="fr-CH"/>
              </w:rPr>
              <w:t> (MHz)</w:t>
            </w:r>
          </w:p>
        </w:tc>
        <w:tc>
          <w:tcPr>
            <w:tcW w:w="1134" w:type="dxa"/>
          </w:tcPr>
          <w:p w:rsidR="002B489A" w:rsidRDefault="004F19C4">
            <w:pPr>
              <w:pStyle w:val="Tabletext"/>
              <w:framePr w:hSpace="181" w:wrap="notBeside" w:vAnchor="text" w:hAnchor="text" w:xAlign="center" w:y="1"/>
              <w:spacing w:before="30" w:after="30"/>
              <w:jc w:val="center"/>
              <w:rPr>
                <w:b/>
                <w:lang w:val="es-ES"/>
              </w:rPr>
            </w:pPr>
            <w:r>
              <w:rPr>
                <w:b/>
                <w:lang w:val="fr-CH"/>
              </w:rPr>
              <w:t>Aucun</w:t>
            </w:r>
          </w:p>
        </w:tc>
        <w:tc>
          <w:tcPr>
            <w:tcW w:w="1134" w:type="dxa"/>
          </w:tcPr>
          <w:p w:rsidR="002B489A" w:rsidRDefault="004F19C4">
            <w:pPr>
              <w:pStyle w:val="Tabletext"/>
              <w:framePr w:hSpace="181" w:wrap="notBeside" w:vAnchor="text" w:hAnchor="text" w:xAlign="center" w:y="1"/>
              <w:spacing w:before="30" w:after="30"/>
              <w:jc w:val="center"/>
              <w:rPr>
                <w:b/>
                <w:lang w:val="es-ES"/>
              </w:rPr>
            </w:pPr>
            <w:r>
              <w:rPr>
                <w:b/>
                <w:lang w:val="es-ES"/>
              </w:rPr>
              <w:t>276</w:t>
            </w:r>
          </w:p>
        </w:tc>
        <w:tc>
          <w:tcPr>
            <w:tcW w:w="1072" w:type="dxa"/>
          </w:tcPr>
          <w:p w:rsidR="002B489A" w:rsidRDefault="004F19C4">
            <w:pPr>
              <w:pStyle w:val="Tabletext"/>
              <w:framePr w:hSpace="181" w:wrap="notBeside" w:vAnchor="text" w:hAnchor="text" w:xAlign="center" w:y="1"/>
              <w:spacing w:before="30" w:after="30"/>
              <w:jc w:val="center"/>
              <w:rPr>
                <w:b/>
                <w:lang w:val="es-ES"/>
              </w:rPr>
            </w:pPr>
            <w:r>
              <w:rPr>
                <w:b/>
                <w:lang w:val="es-ES"/>
              </w:rPr>
              <w:t>250</w:t>
            </w:r>
          </w:p>
        </w:tc>
        <w:tc>
          <w:tcPr>
            <w:tcW w:w="893" w:type="dxa"/>
          </w:tcPr>
          <w:p w:rsidR="002B489A" w:rsidRDefault="004F19C4">
            <w:pPr>
              <w:pStyle w:val="Tabletext"/>
              <w:framePr w:hSpace="181" w:wrap="notBeside" w:vAnchor="text" w:hAnchor="text" w:xAlign="center" w:y="1"/>
              <w:spacing w:before="30" w:after="30"/>
              <w:ind w:left="-57" w:right="-57"/>
              <w:jc w:val="center"/>
              <w:rPr>
                <w:b/>
                <w:lang w:val="es-ES"/>
              </w:rPr>
            </w:pPr>
            <w:r>
              <w:rPr>
                <w:b/>
                <w:lang w:val="es-ES"/>
              </w:rPr>
              <w:t>256</w:t>
            </w:r>
          </w:p>
        </w:tc>
        <w:tc>
          <w:tcPr>
            <w:tcW w:w="1101" w:type="dxa"/>
          </w:tcPr>
          <w:p w:rsidR="002B489A" w:rsidRDefault="004F19C4">
            <w:pPr>
              <w:pStyle w:val="Tabletext"/>
              <w:framePr w:hSpace="181" w:wrap="notBeside" w:vAnchor="text" w:hAnchor="text" w:xAlign="center" w:y="1"/>
              <w:spacing w:before="30" w:after="30"/>
              <w:ind w:left="-57" w:right="-57"/>
              <w:jc w:val="center"/>
              <w:rPr>
                <w:b/>
                <w:lang w:val="es-ES"/>
              </w:rPr>
            </w:pPr>
            <w:r>
              <w:rPr>
                <w:b/>
                <w:lang w:val="es-ES"/>
              </w:rPr>
              <w:t>226</w:t>
            </w:r>
          </w:p>
        </w:tc>
        <w:tc>
          <w:tcPr>
            <w:tcW w:w="1042" w:type="dxa"/>
          </w:tcPr>
          <w:p w:rsidR="002B489A" w:rsidRDefault="004F19C4">
            <w:pPr>
              <w:pStyle w:val="Tabletext"/>
              <w:framePr w:hSpace="181" w:wrap="notBeside" w:vAnchor="text" w:hAnchor="text" w:xAlign="center" w:y="1"/>
              <w:spacing w:before="30" w:after="30"/>
              <w:ind w:left="-57" w:right="-57"/>
              <w:jc w:val="center"/>
              <w:rPr>
                <w:b/>
                <w:lang w:val="es-ES"/>
              </w:rPr>
            </w:pPr>
            <w:r>
              <w:rPr>
                <w:b/>
                <w:lang w:val="es-ES"/>
              </w:rPr>
              <w:t>10</w:t>
            </w:r>
          </w:p>
        </w:tc>
      </w:tr>
      <w:tr w:rsidR="002B489A">
        <w:tc>
          <w:tcPr>
            <w:tcW w:w="3031" w:type="dxa"/>
          </w:tcPr>
          <w:p w:rsidR="002B489A" w:rsidRDefault="004F19C4">
            <w:pPr>
              <w:pStyle w:val="Tabletext"/>
              <w:framePr w:hSpace="181" w:wrap="notBeside" w:vAnchor="text" w:hAnchor="text" w:xAlign="center" w:y="1"/>
              <w:spacing w:before="30" w:after="30"/>
              <w:jc w:val="left"/>
              <w:rPr>
                <w:lang w:val="fr-CH"/>
              </w:rPr>
            </w:pPr>
            <w:r>
              <w:rPr>
                <w:bCs/>
                <w:lang w:val="fr-CH"/>
              </w:rPr>
              <w:t>Bande de garde supplémentaire requise (MHz)</w:t>
            </w:r>
          </w:p>
        </w:tc>
        <w:tc>
          <w:tcPr>
            <w:tcW w:w="1134" w:type="dxa"/>
          </w:tcPr>
          <w:p w:rsidR="002B489A" w:rsidRDefault="004F19C4">
            <w:pPr>
              <w:pStyle w:val="Tabletext"/>
              <w:framePr w:hSpace="181" w:wrap="notBeside" w:vAnchor="text" w:hAnchor="text" w:xAlign="center" w:y="1"/>
              <w:spacing w:before="30" w:after="30"/>
              <w:jc w:val="center"/>
              <w:rPr>
                <w:b/>
                <w:lang w:val="fr-CH"/>
              </w:rPr>
            </w:pPr>
            <w:r>
              <w:rPr>
                <w:b/>
                <w:lang w:val="fr-CH"/>
              </w:rPr>
              <w:t>0</w:t>
            </w:r>
          </w:p>
        </w:tc>
        <w:tc>
          <w:tcPr>
            <w:tcW w:w="1134" w:type="dxa"/>
          </w:tcPr>
          <w:p w:rsidR="002B489A" w:rsidRDefault="004F19C4">
            <w:pPr>
              <w:pStyle w:val="Tabletext"/>
              <w:framePr w:hSpace="181" w:wrap="notBeside" w:vAnchor="text" w:hAnchor="text" w:xAlign="center" w:y="1"/>
              <w:spacing w:before="30" w:after="30"/>
              <w:jc w:val="center"/>
              <w:rPr>
                <w:b/>
                <w:lang w:val="fr-CH"/>
              </w:rPr>
            </w:pPr>
            <w:r>
              <w:rPr>
                <w:b/>
                <w:lang w:val="fr-CH"/>
              </w:rPr>
              <w:t>201</w:t>
            </w:r>
          </w:p>
        </w:tc>
        <w:tc>
          <w:tcPr>
            <w:tcW w:w="1072" w:type="dxa"/>
          </w:tcPr>
          <w:p w:rsidR="002B489A" w:rsidRDefault="004F19C4">
            <w:pPr>
              <w:pStyle w:val="Tabletext"/>
              <w:framePr w:hSpace="181" w:wrap="notBeside" w:vAnchor="text" w:hAnchor="text" w:xAlign="center" w:y="1"/>
              <w:spacing w:before="30" w:after="30"/>
              <w:jc w:val="center"/>
              <w:rPr>
                <w:b/>
                <w:lang w:val="fr-CH"/>
              </w:rPr>
            </w:pPr>
            <w:r>
              <w:rPr>
                <w:b/>
                <w:lang w:val="fr-CH"/>
              </w:rPr>
              <w:t>100</w:t>
            </w:r>
          </w:p>
        </w:tc>
        <w:tc>
          <w:tcPr>
            <w:tcW w:w="893" w:type="dxa"/>
          </w:tcPr>
          <w:p w:rsidR="002B489A" w:rsidRDefault="004F19C4">
            <w:pPr>
              <w:pStyle w:val="Tabletext"/>
              <w:framePr w:hSpace="181" w:wrap="notBeside" w:vAnchor="text" w:hAnchor="text" w:xAlign="center" w:y="1"/>
              <w:spacing w:before="30" w:after="30"/>
              <w:ind w:left="-57" w:right="-57"/>
              <w:jc w:val="center"/>
              <w:rPr>
                <w:b/>
                <w:lang w:val="fr-CH"/>
              </w:rPr>
            </w:pPr>
            <w:r>
              <w:rPr>
                <w:b/>
                <w:lang w:val="fr-CH"/>
              </w:rPr>
              <w:t>156</w:t>
            </w:r>
          </w:p>
        </w:tc>
        <w:tc>
          <w:tcPr>
            <w:tcW w:w="1101" w:type="dxa"/>
          </w:tcPr>
          <w:p w:rsidR="002B489A" w:rsidRDefault="004F19C4">
            <w:pPr>
              <w:pStyle w:val="Tabletext"/>
              <w:framePr w:hSpace="181" w:wrap="notBeside" w:vAnchor="text" w:hAnchor="text" w:xAlign="center" w:y="1"/>
              <w:spacing w:before="30" w:after="30"/>
              <w:ind w:left="-57" w:right="-57"/>
              <w:jc w:val="center"/>
              <w:rPr>
                <w:b/>
                <w:lang w:val="fr-CH"/>
              </w:rPr>
            </w:pPr>
            <w:r>
              <w:rPr>
                <w:b/>
                <w:lang w:val="fr-CH"/>
              </w:rPr>
              <w:t>164</w:t>
            </w:r>
          </w:p>
        </w:tc>
        <w:tc>
          <w:tcPr>
            <w:tcW w:w="1042" w:type="dxa"/>
          </w:tcPr>
          <w:p w:rsidR="002B489A" w:rsidRDefault="004F19C4">
            <w:pPr>
              <w:pStyle w:val="Tabletext"/>
              <w:framePr w:hSpace="181" w:wrap="notBeside" w:vAnchor="text" w:hAnchor="text" w:xAlign="center" w:y="1"/>
              <w:spacing w:before="30" w:after="30"/>
              <w:jc w:val="center"/>
              <w:rPr>
                <w:b/>
                <w:lang w:val="fr-CH"/>
              </w:rPr>
            </w:pPr>
            <w:r>
              <w:rPr>
                <w:b/>
                <w:lang w:val="fr-CH"/>
              </w:rPr>
              <w:t>0</w:t>
            </w:r>
          </w:p>
        </w:tc>
      </w:tr>
    </w:tbl>
    <w:p w:rsidR="002B489A" w:rsidRDefault="002B489A">
      <w:pPr>
        <w:pStyle w:val="Tablefin"/>
        <w:spacing w:before="0"/>
        <w:rPr>
          <w:sz w:val="2"/>
          <w:lang w:val="fr-CH"/>
        </w:rPr>
      </w:pPr>
    </w:p>
    <w:p w:rsidR="002B489A" w:rsidRDefault="004F19C4">
      <w:pPr>
        <w:pStyle w:val="TableNo"/>
        <w:rPr>
          <w:lang w:val="fr-CH"/>
        </w:rPr>
      </w:pPr>
      <w:r>
        <w:rPr>
          <w:lang w:val="fr-CH"/>
        </w:rPr>
        <w:t>TABLEAU  112</w:t>
      </w:r>
    </w:p>
    <w:p w:rsidR="002B489A" w:rsidRDefault="004F19C4">
      <w:pPr>
        <w:pStyle w:val="Tabletitle"/>
        <w:rPr>
          <w:lang w:val="fr-CH"/>
        </w:rPr>
      </w:pPr>
      <w:r>
        <w:rPr>
          <w:lang w:val="fr-CH"/>
        </w:rPr>
        <w:t>Résumé des bandes de garde nécessaires pour protéger les détecteurs passifs contre les stations terriennes du SFS OSG</w:t>
      </w:r>
      <w:r>
        <w:rPr>
          <w:b w:val="0"/>
          <w:lang w:val="fr-CH"/>
        </w:rPr>
        <w:t xml:space="preserve"> </w:t>
      </w:r>
      <w:r>
        <w:rPr>
          <w:bCs/>
          <w:lang w:val="fr-CH"/>
        </w:rPr>
        <w:t>(Détecteur proche du zénith de la station terrienne)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3"/>
        <w:gridCol w:w="1168"/>
        <w:gridCol w:w="1168"/>
        <w:gridCol w:w="1104"/>
        <w:gridCol w:w="917"/>
        <w:gridCol w:w="1151"/>
        <w:gridCol w:w="1008"/>
      </w:tblGrid>
      <w:tr w:rsidR="002B489A">
        <w:trPr>
          <w:cantSplit/>
        </w:trPr>
        <w:tc>
          <w:tcPr>
            <w:tcW w:w="3033" w:type="dxa"/>
            <w:vMerge w:val="restart"/>
            <w:vAlign w:val="center"/>
          </w:tcPr>
          <w:p w:rsidR="002B489A" w:rsidRDefault="004F19C4">
            <w:pPr>
              <w:pStyle w:val="Tablehead"/>
              <w:framePr w:hSpace="181" w:wrap="notBeside" w:vAnchor="text" w:hAnchor="text" w:xAlign="center" w:y="1"/>
              <w:spacing w:before="60" w:after="60"/>
              <w:jc w:val="left"/>
              <w:rPr>
                <w:lang w:val="fr-CH"/>
              </w:rPr>
            </w:pPr>
            <w:r>
              <w:rPr>
                <w:lang w:val="fr-CH"/>
              </w:rPr>
              <w:t>Système SFS</w:t>
            </w:r>
          </w:p>
        </w:tc>
        <w:tc>
          <w:tcPr>
            <w:tcW w:w="1134" w:type="dxa"/>
            <w:vMerge w:val="restart"/>
            <w:vAlign w:val="center"/>
          </w:tcPr>
          <w:p w:rsidR="002B489A" w:rsidRDefault="004F19C4">
            <w:pPr>
              <w:pStyle w:val="Tablehead"/>
              <w:framePr w:hSpace="181" w:wrap="notBeside" w:vAnchor="text" w:hAnchor="text" w:xAlign="center" w:y="1"/>
              <w:spacing w:before="60" w:after="60"/>
              <w:ind w:left="-57" w:right="-57"/>
              <w:rPr>
                <w:lang w:val="fr-CH"/>
              </w:rPr>
            </w:pPr>
            <w:r>
              <w:rPr>
                <w:lang w:val="fr-CH"/>
              </w:rPr>
              <w:t>GSOV-B1</w:t>
            </w:r>
          </w:p>
        </w:tc>
        <w:tc>
          <w:tcPr>
            <w:tcW w:w="1134" w:type="dxa"/>
            <w:vMerge w:val="restart"/>
            <w:vAlign w:val="center"/>
          </w:tcPr>
          <w:p w:rsidR="002B489A" w:rsidRDefault="004F19C4">
            <w:pPr>
              <w:pStyle w:val="Tablehead"/>
              <w:framePr w:hSpace="181" w:wrap="notBeside" w:vAnchor="text" w:hAnchor="text" w:xAlign="center" w:y="1"/>
              <w:spacing w:before="60" w:after="60"/>
              <w:ind w:left="-57" w:right="-57"/>
              <w:rPr>
                <w:lang w:val="en-US"/>
              </w:rPr>
            </w:pPr>
            <w:r>
              <w:rPr>
                <w:lang w:val="en-US"/>
              </w:rPr>
              <w:t>GSOV-B2</w:t>
            </w:r>
          </w:p>
        </w:tc>
        <w:tc>
          <w:tcPr>
            <w:tcW w:w="1072" w:type="dxa"/>
            <w:vMerge w:val="restart"/>
            <w:vAlign w:val="center"/>
          </w:tcPr>
          <w:p w:rsidR="002B489A" w:rsidRDefault="004F19C4">
            <w:pPr>
              <w:pStyle w:val="Tablehead"/>
              <w:framePr w:hSpace="181" w:wrap="notBeside" w:vAnchor="text" w:hAnchor="text" w:xAlign="center" w:y="1"/>
              <w:spacing w:before="60" w:after="60"/>
              <w:ind w:left="-57" w:right="-57"/>
              <w:rPr>
                <w:lang w:val="en-US"/>
              </w:rPr>
            </w:pPr>
            <w:r>
              <w:rPr>
                <w:lang w:val="en-US"/>
              </w:rPr>
              <w:t>GSO-VX</w:t>
            </w:r>
          </w:p>
        </w:tc>
        <w:tc>
          <w:tcPr>
            <w:tcW w:w="890" w:type="dxa"/>
            <w:vMerge w:val="restart"/>
            <w:vAlign w:val="center"/>
          </w:tcPr>
          <w:p w:rsidR="002B489A" w:rsidRDefault="004F19C4">
            <w:pPr>
              <w:pStyle w:val="Tablehead"/>
              <w:framePr w:hSpace="181" w:wrap="notBeside" w:vAnchor="text" w:hAnchor="text" w:xAlign="center" w:y="1"/>
              <w:spacing w:before="60" w:after="60"/>
              <w:ind w:left="-85" w:right="-85"/>
              <w:rPr>
                <w:lang w:val="es-ES"/>
              </w:rPr>
            </w:pPr>
            <w:r>
              <w:rPr>
                <w:lang w:val="es-ES"/>
              </w:rPr>
              <w:t>GSO-SV</w:t>
            </w:r>
          </w:p>
        </w:tc>
        <w:tc>
          <w:tcPr>
            <w:tcW w:w="2097" w:type="dxa"/>
            <w:gridSpan w:val="2"/>
            <w:tcBorders>
              <w:bottom w:val="nil"/>
            </w:tcBorders>
            <w:vAlign w:val="center"/>
          </w:tcPr>
          <w:p w:rsidR="002B489A" w:rsidRDefault="004F19C4">
            <w:pPr>
              <w:pStyle w:val="Tablehead"/>
              <w:framePr w:hSpace="181" w:wrap="notBeside" w:vAnchor="text" w:hAnchor="text" w:xAlign="center" w:y="1"/>
              <w:spacing w:before="60" w:after="60"/>
              <w:rPr>
                <w:lang w:val="fr-CH"/>
              </w:rPr>
            </w:pPr>
            <w:r>
              <w:rPr>
                <w:lang w:val="fr-CH"/>
              </w:rPr>
              <w:t>GEOSAT</w:t>
            </w:r>
          </w:p>
        </w:tc>
      </w:tr>
      <w:tr w:rsidR="002B489A">
        <w:trPr>
          <w:cantSplit/>
        </w:trPr>
        <w:tc>
          <w:tcPr>
            <w:tcW w:w="3033" w:type="dxa"/>
            <w:vMerge/>
            <w:vAlign w:val="center"/>
          </w:tcPr>
          <w:p w:rsidR="002B489A" w:rsidRDefault="002B489A">
            <w:pPr>
              <w:pStyle w:val="Tabletext"/>
              <w:framePr w:hSpace="181" w:wrap="notBeside" w:vAnchor="text" w:hAnchor="text" w:xAlign="center" w:y="1"/>
              <w:spacing w:before="60" w:after="60"/>
              <w:rPr>
                <w:lang w:val="es-ES"/>
              </w:rPr>
            </w:pPr>
          </w:p>
        </w:tc>
        <w:tc>
          <w:tcPr>
            <w:tcW w:w="1134" w:type="dxa"/>
            <w:vMerge/>
            <w:vAlign w:val="center"/>
          </w:tcPr>
          <w:p w:rsidR="002B489A" w:rsidRDefault="002B489A">
            <w:pPr>
              <w:pStyle w:val="Tablehead"/>
              <w:framePr w:hSpace="181" w:wrap="notBeside" w:vAnchor="text" w:hAnchor="text" w:xAlign="center" w:y="1"/>
              <w:spacing w:before="60" w:after="60"/>
              <w:rPr>
                <w:lang w:val="es-ES"/>
              </w:rPr>
            </w:pPr>
          </w:p>
        </w:tc>
        <w:tc>
          <w:tcPr>
            <w:tcW w:w="1134" w:type="dxa"/>
            <w:vMerge/>
            <w:vAlign w:val="center"/>
          </w:tcPr>
          <w:p w:rsidR="002B489A" w:rsidRDefault="002B489A">
            <w:pPr>
              <w:pStyle w:val="Tablehead"/>
              <w:framePr w:hSpace="181" w:wrap="notBeside" w:vAnchor="text" w:hAnchor="text" w:xAlign="center" w:y="1"/>
              <w:spacing w:before="60" w:after="60"/>
              <w:rPr>
                <w:lang w:val="es-ES"/>
              </w:rPr>
            </w:pPr>
          </w:p>
        </w:tc>
        <w:tc>
          <w:tcPr>
            <w:tcW w:w="1072" w:type="dxa"/>
            <w:vMerge/>
            <w:vAlign w:val="center"/>
          </w:tcPr>
          <w:p w:rsidR="002B489A" w:rsidRDefault="002B489A">
            <w:pPr>
              <w:pStyle w:val="Tablehead"/>
              <w:framePr w:hSpace="181" w:wrap="notBeside" w:vAnchor="text" w:hAnchor="text" w:xAlign="center" w:y="1"/>
              <w:spacing w:before="60" w:after="60"/>
              <w:rPr>
                <w:lang w:val="es-ES"/>
              </w:rPr>
            </w:pPr>
          </w:p>
        </w:tc>
        <w:tc>
          <w:tcPr>
            <w:tcW w:w="890" w:type="dxa"/>
            <w:vMerge/>
            <w:vAlign w:val="center"/>
          </w:tcPr>
          <w:p w:rsidR="002B489A" w:rsidRDefault="002B489A">
            <w:pPr>
              <w:pStyle w:val="Tablehead"/>
              <w:framePr w:hSpace="181" w:wrap="notBeside" w:vAnchor="text" w:hAnchor="text" w:xAlign="center" w:y="1"/>
              <w:spacing w:before="60" w:after="60"/>
              <w:rPr>
                <w:lang w:val="es-ES"/>
              </w:rPr>
            </w:pPr>
          </w:p>
        </w:tc>
        <w:tc>
          <w:tcPr>
            <w:tcW w:w="1118" w:type="dxa"/>
            <w:tcBorders>
              <w:top w:val="single" w:sz="4" w:space="0" w:color="auto"/>
            </w:tcBorders>
            <w:vAlign w:val="center"/>
          </w:tcPr>
          <w:p w:rsidR="002B489A" w:rsidRDefault="004F19C4">
            <w:pPr>
              <w:pStyle w:val="Tablehead"/>
              <w:framePr w:hSpace="181" w:wrap="notBeside" w:vAnchor="text" w:hAnchor="text" w:xAlign="center" w:y="1"/>
              <w:spacing w:before="60" w:after="60"/>
              <w:ind w:left="-57" w:right="-57"/>
              <w:rPr>
                <w:bCs/>
                <w:lang w:val="es-ES"/>
              </w:rPr>
            </w:pPr>
            <w:r>
              <w:rPr>
                <w:lang w:val="es-ES"/>
              </w:rPr>
              <w:t>Passerelle</w:t>
            </w:r>
          </w:p>
        </w:tc>
        <w:tc>
          <w:tcPr>
            <w:tcW w:w="979" w:type="dxa"/>
            <w:tcBorders>
              <w:top w:val="single" w:sz="4" w:space="0" w:color="auto"/>
            </w:tcBorders>
            <w:vAlign w:val="center"/>
          </w:tcPr>
          <w:p w:rsidR="002B489A" w:rsidRDefault="004F19C4">
            <w:pPr>
              <w:pStyle w:val="Tablehead"/>
              <w:framePr w:hSpace="181" w:wrap="notBeside" w:vAnchor="text" w:hAnchor="text" w:xAlign="center" w:y="1"/>
              <w:spacing w:before="60" w:after="60"/>
              <w:ind w:left="-57" w:right="-57"/>
              <w:rPr>
                <w:bCs/>
                <w:lang w:val="fr-CH"/>
              </w:rPr>
            </w:pPr>
            <w:r>
              <w:rPr>
                <w:lang w:val="fr-CH"/>
              </w:rPr>
              <w:t>Usager</w:t>
            </w:r>
          </w:p>
        </w:tc>
      </w:tr>
      <w:tr w:rsidR="002B489A">
        <w:tc>
          <w:tcPr>
            <w:tcW w:w="3033" w:type="dxa"/>
          </w:tcPr>
          <w:p w:rsidR="002B489A" w:rsidRDefault="004F19C4">
            <w:pPr>
              <w:pStyle w:val="Tabletext"/>
              <w:framePr w:hSpace="181" w:wrap="notBeside" w:vAnchor="text" w:hAnchor="text" w:xAlign="center" w:y="1"/>
              <w:spacing w:before="30" w:after="30"/>
              <w:jc w:val="left"/>
              <w:rPr>
                <w:lang w:val="fr-CH"/>
              </w:rPr>
            </w:pPr>
            <w:r>
              <w:rPr>
                <w:bCs/>
                <w:lang w:val="fr-CH"/>
              </w:rPr>
              <w:t>Suppression de puissance requise (dB)</w:t>
            </w:r>
          </w:p>
        </w:tc>
        <w:tc>
          <w:tcPr>
            <w:tcW w:w="1134" w:type="dxa"/>
          </w:tcPr>
          <w:p w:rsidR="002B489A" w:rsidRDefault="004F19C4">
            <w:pPr>
              <w:pStyle w:val="Tabletext"/>
              <w:framePr w:hSpace="181" w:wrap="notBeside" w:vAnchor="text" w:hAnchor="text" w:xAlign="center" w:y="1"/>
              <w:spacing w:before="30" w:after="30"/>
              <w:jc w:val="center"/>
              <w:rPr>
                <w:lang w:val="es-ES"/>
              </w:rPr>
            </w:pPr>
            <w:r>
              <w:rPr>
                <w:lang w:val="fr-CH"/>
              </w:rPr>
              <w:t>Aucune</w:t>
            </w:r>
          </w:p>
        </w:tc>
        <w:tc>
          <w:tcPr>
            <w:tcW w:w="1134" w:type="dxa"/>
          </w:tcPr>
          <w:p w:rsidR="002B489A" w:rsidRDefault="004F19C4">
            <w:pPr>
              <w:pStyle w:val="Tabletext"/>
              <w:framePr w:hSpace="181" w:wrap="notBeside" w:vAnchor="text" w:hAnchor="text" w:xAlign="center" w:y="1"/>
              <w:spacing w:before="30" w:after="30"/>
              <w:jc w:val="center"/>
              <w:rPr>
                <w:lang w:val="es-ES"/>
              </w:rPr>
            </w:pPr>
            <w:r>
              <w:rPr>
                <w:lang w:val="es-ES"/>
              </w:rPr>
              <w:t>29,7</w:t>
            </w:r>
          </w:p>
        </w:tc>
        <w:tc>
          <w:tcPr>
            <w:tcW w:w="1072" w:type="dxa"/>
          </w:tcPr>
          <w:p w:rsidR="002B489A" w:rsidRDefault="004F19C4">
            <w:pPr>
              <w:pStyle w:val="Tabletext"/>
              <w:framePr w:hSpace="181" w:wrap="notBeside" w:vAnchor="text" w:hAnchor="text" w:xAlign="center" w:y="1"/>
              <w:spacing w:before="30" w:after="30"/>
              <w:jc w:val="center"/>
              <w:rPr>
                <w:lang w:val="es-ES"/>
              </w:rPr>
            </w:pPr>
            <w:r>
              <w:rPr>
                <w:lang w:val="es-ES"/>
              </w:rPr>
              <w:t>17</w:t>
            </w:r>
          </w:p>
        </w:tc>
        <w:tc>
          <w:tcPr>
            <w:tcW w:w="890" w:type="dxa"/>
          </w:tcPr>
          <w:p w:rsidR="002B489A" w:rsidRDefault="004F19C4">
            <w:pPr>
              <w:pStyle w:val="Tabletext"/>
              <w:framePr w:hSpace="181" w:wrap="notBeside" w:vAnchor="text" w:hAnchor="text" w:xAlign="center" w:y="1"/>
              <w:spacing w:before="30" w:after="30"/>
              <w:jc w:val="center"/>
              <w:rPr>
                <w:lang w:val="es-ES"/>
              </w:rPr>
            </w:pPr>
            <w:r>
              <w:rPr>
                <w:lang w:val="es-ES"/>
              </w:rPr>
              <w:t>26,4</w:t>
            </w:r>
          </w:p>
        </w:tc>
        <w:tc>
          <w:tcPr>
            <w:tcW w:w="1118" w:type="dxa"/>
            <w:tcBorders>
              <w:top w:val="single" w:sz="4" w:space="0" w:color="auto"/>
            </w:tcBorders>
          </w:tcPr>
          <w:p w:rsidR="002B489A" w:rsidRDefault="004F19C4">
            <w:pPr>
              <w:pStyle w:val="Tabletext"/>
              <w:framePr w:hSpace="181" w:wrap="notBeside" w:vAnchor="text" w:hAnchor="text" w:xAlign="center" w:y="1"/>
              <w:spacing w:before="30" w:after="30"/>
              <w:jc w:val="center"/>
              <w:rPr>
                <w:lang w:val="es-ES"/>
              </w:rPr>
            </w:pPr>
            <w:r>
              <w:rPr>
                <w:lang w:val="es-ES"/>
              </w:rPr>
              <w:t>28,9</w:t>
            </w:r>
          </w:p>
        </w:tc>
        <w:tc>
          <w:tcPr>
            <w:tcW w:w="979" w:type="dxa"/>
            <w:tcBorders>
              <w:top w:val="single" w:sz="4" w:space="0" w:color="auto"/>
            </w:tcBorders>
          </w:tcPr>
          <w:p w:rsidR="002B489A" w:rsidRDefault="004F19C4">
            <w:pPr>
              <w:pStyle w:val="Tabletext"/>
              <w:framePr w:hSpace="181" w:wrap="notBeside" w:vAnchor="text" w:hAnchor="text" w:xAlign="center" w:y="1"/>
              <w:spacing w:before="30" w:after="30"/>
              <w:jc w:val="center"/>
              <w:rPr>
                <w:lang w:val="es-ES"/>
              </w:rPr>
            </w:pPr>
            <w:r>
              <w:rPr>
                <w:lang w:val="es-ES"/>
              </w:rPr>
              <w:t>14,2</w:t>
            </w:r>
          </w:p>
        </w:tc>
      </w:tr>
      <w:tr w:rsidR="002B489A">
        <w:tc>
          <w:tcPr>
            <w:tcW w:w="3033" w:type="dxa"/>
          </w:tcPr>
          <w:p w:rsidR="002B489A" w:rsidRDefault="004F19C4">
            <w:pPr>
              <w:pStyle w:val="Tabletext"/>
              <w:framePr w:hSpace="181" w:wrap="notBeside" w:vAnchor="text" w:hAnchor="text" w:xAlign="center" w:y="1"/>
              <w:spacing w:before="30" w:after="30"/>
              <w:jc w:val="left"/>
              <w:rPr>
                <w:lang w:val="fr-CH"/>
              </w:rPr>
            </w:pPr>
            <w:r>
              <w:rPr>
                <w:bCs/>
                <w:lang w:val="fr-CH"/>
              </w:rPr>
              <w:t>Largeur de bande nécessaire (MHz)</w:t>
            </w:r>
          </w:p>
        </w:tc>
        <w:tc>
          <w:tcPr>
            <w:tcW w:w="1134" w:type="dxa"/>
          </w:tcPr>
          <w:p w:rsidR="002B489A" w:rsidRDefault="004F19C4">
            <w:pPr>
              <w:pStyle w:val="Tabletext"/>
              <w:framePr w:hSpace="181" w:wrap="notBeside" w:vAnchor="text" w:hAnchor="text" w:xAlign="center" w:y="1"/>
              <w:spacing w:before="30" w:after="30"/>
              <w:jc w:val="center"/>
              <w:rPr>
                <w:lang w:val="es-ES"/>
              </w:rPr>
            </w:pPr>
            <w:r>
              <w:rPr>
                <w:lang w:val="es-ES"/>
              </w:rPr>
              <w:t>105,6</w:t>
            </w:r>
          </w:p>
        </w:tc>
        <w:tc>
          <w:tcPr>
            <w:tcW w:w="1134" w:type="dxa"/>
          </w:tcPr>
          <w:p w:rsidR="002B489A" w:rsidRDefault="004F19C4">
            <w:pPr>
              <w:pStyle w:val="Tabletext"/>
              <w:framePr w:hSpace="181" w:wrap="notBeside" w:vAnchor="text" w:hAnchor="text" w:xAlign="center" w:y="1"/>
              <w:spacing w:before="30" w:after="30"/>
              <w:jc w:val="center"/>
              <w:rPr>
                <w:lang w:val="es-ES"/>
              </w:rPr>
            </w:pPr>
            <w:r>
              <w:rPr>
                <w:lang w:val="es-ES"/>
              </w:rPr>
              <w:t>150</w:t>
            </w:r>
          </w:p>
        </w:tc>
        <w:tc>
          <w:tcPr>
            <w:tcW w:w="1072" w:type="dxa"/>
          </w:tcPr>
          <w:p w:rsidR="002B489A" w:rsidRDefault="004F19C4">
            <w:pPr>
              <w:pStyle w:val="Tabletext"/>
              <w:framePr w:hSpace="181" w:wrap="notBeside" w:vAnchor="text" w:hAnchor="text" w:xAlign="center" w:y="1"/>
              <w:spacing w:before="30" w:after="30"/>
              <w:jc w:val="center"/>
              <w:rPr>
                <w:lang w:val="es-ES"/>
              </w:rPr>
            </w:pPr>
            <w:r>
              <w:rPr>
                <w:lang w:val="es-ES"/>
              </w:rPr>
              <w:t>300</w:t>
            </w:r>
          </w:p>
        </w:tc>
        <w:tc>
          <w:tcPr>
            <w:tcW w:w="890" w:type="dxa"/>
          </w:tcPr>
          <w:p w:rsidR="002B489A" w:rsidRDefault="004F19C4">
            <w:pPr>
              <w:pStyle w:val="Tabletext"/>
              <w:framePr w:hSpace="181" w:wrap="notBeside" w:vAnchor="text" w:hAnchor="text" w:xAlign="center" w:y="1"/>
              <w:spacing w:before="30" w:after="30"/>
              <w:jc w:val="center"/>
              <w:rPr>
                <w:lang w:val="es-ES"/>
              </w:rPr>
            </w:pPr>
            <w:r>
              <w:rPr>
                <w:lang w:val="es-ES"/>
              </w:rPr>
              <w:t>200</w:t>
            </w:r>
          </w:p>
        </w:tc>
        <w:tc>
          <w:tcPr>
            <w:tcW w:w="1118" w:type="dxa"/>
          </w:tcPr>
          <w:p w:rsidR="002B489A" w:rsidRDefault="004F19C4">
            <w:pPr>
              <w:pStyle w:val="Tabletext"/>
              <w:framePr w:hSpace="181" w:wrap="notBeside" w:vAnchor="text" w:hAnchor="text" w:xAlign="center" w:y="1"/>
              <w:spacing w:before="30" w:after="30"/>
              <w:jc w:val="center"/>
              <w:rPr>
                <w:lang w:val="es-ES"/>
              </w:rPr>
            </w:pPr>
            <w:r>
              <w:rPr>
                <w:lang w:val="es-ES"/>
              </w:rPr>
              <w:t>125</w:t>
            </w:r>
          </w:p>
        </w:tc>
        <w:tc>
          <w:tcPr>
            <w:tcW w:w="979" w:type="dxa"/>
          </w:tcPr>
          <w:p w:rsidR="002B489A" w:rsidRDefault="004F19C4">
            <w:pPr>
              <w:pStyle w:val="Tabletext"/>
              <w:framePr w:hSpace="181" w:wrap="notBeside" w:vAnchor="text" w:hAnchor="text" w:xAlign="center" w:y="1"/>
              <w:spacing w:before="30" w:after="30"/>
              <w:jc w:val="center"/>
              <w:rPr>
                <w:lang w:val="es-ES"/>
              </w:rPr>
            </w:pPr>
            <w:r>
              <w:rPr>
                <w:lang w:val="es-ES"/>
              </w:rPr>
              <w:t>11</w:t>
            </w:r>
          </w:p>
        </w:tc>
      </w:tr>
      <w:tr w:rsidR="002B489A">
        <w:tc>
          <w:tcPr>
            <w:tcW w:w="3033" w:type="dxa"/>
          </w:tcPr>
          <w:p w:rsidR="002B489A" w:rsidRDefault="004F19C4">
            <w:pPr>
              <w:pStyle w:val="Tabletext"/>
              <w:framePr w:hSpace="181" w:wrap="notBeside" w:vAnchor="text" w:hAnchor="text" w:xAlign="center" w:y="1"/>
              <w:spacing w:before="30" w:after="30"/>
              <w:jc w:val="left"/>
              <w:rPr>
                <w:lang w:val="fr-CH"/>
              </w:rPr>
            </w:pPr>
            <w:r>
              <w:rPr>
                <w:bCs/>
                <w:lang w:val="fr-CH"/>
              </w:rPr>
              <w:t>Attribution passive (% </w:t>
            </w:r>
            <w:r>
              <w:rPr>
                <w:bCs/>
                <w:i/>
                <w:lang w:val="fr-CH"/>
              </w:rPr>
              <w:t>B</w:t>
            </w:r>
            <w:r>
              <w:rPr>
                <w:bCs/>
                <w:i/>
                <w:vertAlign w:val="subscript"/>
                <w:lang w:val="fr-CH"/>
              </w:rPr>
              <w:t>N</w:t>
            </w:r>
            <w:r>
              <w:rPr>
                <w:bCs/>
                <w:lang w:val="fr-CH"/>
              </w:rPr>
              <w:t>)</w:t>
            </w:r>
          </w:p>
        </w:tc>
        <w:tc>
          <w:tcPr>
            <w:tcW w:w="1134" w:type="dxa"/>
          </w:tcPr>
          <w:p w:rsidR="002B489A" w:rsidRDefault="004F19C4">
            <w:pPr>
              <w:pStyle w:val="Tabletext"/>
              <w:framePr w:hSpace="181" w:wrap="notBeside" w:vAnchor="text" w:hAnchor="text" w:xAlign="center" w:y="1"/>
              <w:spacing w:before="30" w:after="30"/>
              <w:jc w:val="center"/>
              <w:rPr>
                <w:lang w:val="es-ES"/>
              </w:rPr>
            </w:pPr>
            <w:r>
              <w:rPr>
                <w:lang w:val="es-ES"/>
              </w:rPr>
              <w:t>190</w:t>
            </w:r>
          </w:p>
        </w:tc>
        <w:tc>
          <w:tcPr>
            <w:tcW w:w="1134" w:type="dxa"/>
          </w:tcPr>
          <w:p w:rsidR="002B489A" w:rsidRDefault="004F19C4">
            <w:pPr>
              <w:pStyle w:val="Tabletext"/>
              <w:framePr w:hSpace="181" w:wrap="notBeside" w:vAnchor="text" w:hAnchor="text" w:xAlign="center" w:y="1"/>
              <w:spacing w:before="30" w:after="30"/>
              <w:jc w:val="center"/>
              <w:rPr>
                <w:lang w:val="es-ES"/>
              </w:rPr>
            </w:pPr>
            <w:r>
              <w:rPr>
                <w:lang w:val="es-ES"/>
              </w:rPr>
              <w:t>133</w:t>
            </w:r>
          </w:p>
        </w:tc>
        <w:tc>
          <w:tcPr>
            <w:tcW w:w="1072" w:type="dxa"/>
          </w:tcPr>
          <w:p w:rsidR="002B489A" w:rsidRDefault="004F19C4">
            <w:pPr>
              <w:pStyle w:val="Tabletext"/>
              <w:framePr w:hSpace="181" w:wrap="notBeside" w:vAnchor="text" w:hAnchor="text" w:xAlign="center" w:y="1"/>
              <w:spacing w:before="30" w:after="30"/>
              <w:jc w:val="center"/>
              <w:rPr>
                <w:lang w:val="es-ES"/>
              </w:rPr>
            </w:pPr>
            <w:r>
              <w:rPr>
                <w:lang w:val="es-ES"/>
              </w:rPr>
              <w:t>67</w:t>
            </w:r>
          </w:p>
        </w:tc>
        <w:tc>
          <w:tcPr>
            <w:tcW w:w="890" w:type="dxa"/>
          </w:tcPr>
          <w:p w:rsidR="002B489A" w:rsidRDefault="004F19C4">
            <w:pPr>
              <w:pStyle w:val="Tabletext"/>
              <w:framePr w:hSpace="181" w:wrap="notBeside" w:vAnchor="text" w:hAnchor="text" w:xAlign="center" w:y="1"/>
              <w:spacing w:before="30" w:after="30"/>
              <w:jc w:val="center"/>
              <w:rPr>
                <w:lang w:val="es-ES"/>
              </w:rPr>
            </w:pPr>
            <w:r>
              <w:rPr>
                <w:lang w:val="es-ES"/>
              </w:rPr>
              <w:t>100</w:t>
            </w:r>
          </w:p>
        </w:tc>
        <w:tc>
          <w:tcPr>
            <w:tcW w:w="1118" w:type="dxa"/>
          </w:tcPr>
          <w:p w:rsidR="002B489A" w:rsidRDefault="004F19C4">
            <w:pPr>
              <w:pStyle w:val="Tabletext"/>
              <w:framePr w:hSpace="181" w:wrap="notBeside" w:vAnchor="text" w:hAnchor="text" w:xAlign="center" w:y="1"/>
              <w:spacing w:before="30" w:after="30"/>
              <w:jc w:val="center"/>
              <w:rPr>
                <w:lang w:val="es-ES"/>
              </w:rPr>
            </w:pPr>
            <w:r>
              <w:rPr>
                <w:lang w:val="es-ES"/>
              </w:rPr>
              <w:t>160</w:t>
            </w:r>
          </w:p>
        </w:tc>
        <w:tc>
          <w:tcPr>
            <w:tcW w:w="979" w:type="dxa"/>
          </w:tcPr>
          <w:p w:rsidR="002B489A" w:rsidRDefault="004F19C4">
            <w:pPr>
              <w:pStyle w:val="Tabletext"/>
              <w:framePr w:hSpace="181" w:wrap="notBeside" w:vAnchor="text" w:hAnchor="text" w:xAlign="center" w:y="1"/>
              <w:spacing w:before="30" w:after="30"/>
              <w:jc w:val="center"/>
              <w:rPr>
                <w:lang w:val="es-ES"/>
              </w:rPr>
            </w:pPr>
            <w:r>
              <w:rPr>
                <w:lang w:val="es-ES"/>
              </w:rPr>
              <w:t>1 818</w:t>
            </w:r>
          </w:p>
        </w:tc>
      </w:tr>
      <w:tr w:rsidR="002B489A">
        <w:tc>
          <w:tcPr>
            <w:tcW w:w="3033" w:type="dxa"/>
          </w:tcPr>
          <w:p w:rsidR="002B489A" w:rsidRDefault="004F19C4">
            <w:pPr>
              <w:pStyle w:val="Tabletext"/>
              <w:framePr w:hSpace="181" w:wrap="notBeside" w:vAnchor="text" w:hAnchor="text" w:xAlign="center" w:y="1"/>
              <w:spacing w:before="30" w:after="30"/>
              <w:jc w:val="left"/>
              <w:rPr>
                <w:lang w:val="fr-CH"/>
              </w:rPr>
            </w:pPr>
            <w:r>
              <w:rPr>
                <w:bCs/>
                <w:lang w:val="fr-CH"/>
              </w:rPr>
              <w:t xml:space="preserve">Décalage au centre de </w:t>
            </w:r>
            <w:r>
              <w:rPr>
                <w:bCs/>
                <w:i/>
                <w:lang w:val="fr-CH"/>
              </w:rPr>
              <w:t>B</w:t>
            </w:r>
            <w:r>
              <w:rPr>
                <w:bCs/>
                <w:i/>
                <w:vertAlign w:val="subscript"/>
                <w:lang w:val="fr-CH"/>
              </w:rPr>
              <w:t>N</w:t>
            </w:r>
            <w:r>
              <w:rPr>
                <w:bCs/>
                <w:lang w:val="fr-CH"/>
              </w:rPr>
              <w:t> (% </w:t>
            </w:r>
            <w:r>
              <w:rPr>
                <w:bCs/>
                <w:i/>
                <w:lang w:val="fr-CH"/>
              </w:rPr>
              <w:t>B</w:t>
            </w:r>
            <w:r>
              <w:rPr>
                <w:bCs/>
                <w:i/>
                <w:vertAlign w:val="subscript"/>
                <w:lang w:val="fr-CH"/>
              </w:rPr>
              <w:t>N</w:t>
            </w:r>
            <w:r>
              <w:rPr>
                <w:bCs/>
                <w:lang w:val="fr-CH"/>
              </w:rPr>
              <w:t>)</w:t>
            </w:r>
          </w:p>
        </w:tc>
        <w:tc>
          <w:tcPr>
            <w:tcW w:w="1134" w:type="dxa"/>
          </w:tcPr>
          <w:p w:rsidR="002B489A" w:rsidRDefault="004F19C4">
            <w:pPr>
              <w:pStyle w:val="Tabletext"/>
              <w:framePr w:hSpace="181" w:wrap="notBeside" w:vAnchor="text" w:hAnchor="text" w:xAlign="center" w:y="1"/>
              <w:spacing w:before="30" w:after="30"/>
              <w:jc w:val="center"/>
              <w:rPr>
                <w:lang w:val="fr-CH"/>
              </w:rPr>
            </w:pPr>
            <w:r>
              <w:rPr>
                <w:lang w:val="fr-CH"/>
              </w:rPr>
              <w:t>Aucun</w:t>
            </w:r>
          </w:p>
        </w:tc>
        <w:tc>
          <w:tcPr>
            <w:tcW w:w="1134" w:type="dxa"/>
          </w:tcPr>
          <w:p w:rsidR="002B489A" w:rsidRDefault="004F19C4">
            <w:pPr>
              <w:pStyle w:val="Tabletext"/>
              <w:framePr w:hSpace="181" w:wrap="notBeside" w:vAnchor="text" w:hAnchor="text" w:xAlign="center" w:y="1"/>
              <w:spacing w:before="30" w:after="30"/>
              <w:jc w:val="center"/>
              <w:rPr>
                <w:lang w:val="es-ES"/>
              </w:rPr>
            </w:pPr>
            <w:r>
              <w:rPr>
                <w:lang w:val="es-ES"/>
              </w:rPr>
              <w:t>82</w:t>
            </w:r>
          </w:p>
        </w:tc>
        <w:tc>
          <w:tcPr>
            <w:tcW w:w="1072" w:type="dxa"/>
          </w:tcPr>
          <w:p w:rsidR="002B489A" w:rsidRDefault="004F19C4">
            <w:pPr>
              <w:pStyle w:val="Tabletext"/>
              <w:framePr w:hSpace="181" w:wrap="notBeside" w:vAnchor="text" w:hAnchor="text" w:xAlign="center" w:y="1"/>
              <w:spacing w:before="30" w:after="30"/>
              <w:jc w:val="center"/>
              <w:rPr>
                <w:lang w:val="es-ES"/>
              </w:rPr>
            </w:pPr>
            <w:r>
              <w:rPr>
                <w:lang w:val="es-ES"/>
              </w:rPr>
              <w:t>60</w:t>
            </w:r>
          </w:p>
        </w:tc>
        <w:tc>
          <w:tcPr>
            <w:tcW w:w="890" w:type="dxa"/>
          </w:tcPr>
          <w:p w:rsidR="002B489A" w:rsidRDefault="004F19C4">
            <w:pPr>
              <w:pStyle w:val="Tabletext"/>
              <w:framePr w:hSpace="181" w:wrap="notBeside" w:vAnchor="text" w:hAnchor="text" w:xAlign="center" w:y="1"/>
              <w:spacing w:before="30" w:after="30"/>
              <w:jc w:val="center"/>
              <w:rPr>
                <w:lang w:val="es-ES"/>
              </w:rPr>
            </w:pPr>
            <w:r>
              <w:rPr>
                <w:lang w:val="es-ES"/>
              </w:rPr>
              <w:t>77</w:t>
            </w:r>
          </w:p>
        </w:tc>
        <w:tc>
          <w:tcPr>
            <w:tcW w:w="1118" w:type="dxa"/>
          </w:tcPr>
          <w:p w:rsidR="002B489A" w:rsidRDefault="004F19C4">
            <w:pPr>
              <w:pStyle w:val="Tabletext"/>
              <w:framePr w:hSpace="181" w:wrap="notBeside" w:vAnchor="text" w:hAnchor="text" w:xAlign="center" w:y="1"/>
              <w:spacing w:before="30" w:after="30"/>
              <w:jc w:val="center"/>
              <w:rPr>
                <w:lang w:val="es-ES"/>
              </w:rPr>
            </w:pPr>
            <w:r>
              <w:rPr>
                <w:lang w:val="es-ES"/>
              </w:rPr>
              <w:t>81</w:t>
            </w:r>
          </w:p>
        </w:tc>
        <w:tc>
          <w:tcPr>
            <w:tcW w:w="979" w:type="dxa"/>
          </w:tcPr>
          <w:p w:rsidR="002B489A" w:rsidRDefault="004F19C4">
            <w:pPr>
              <w:pStyle w:val="Tabletext"/>
              <w:framePr w:hSpace="181" w:wrap="notBeside" w:vAnchor="text" w:hAnchor="text" w:xAlign="center" w:y="1"/>
              <w:spacing w:before="30" w:after="30"/>
              <w:jc w:val="center"/>
              <w:rPr>
                <w:lang w:val="es-ES"/>
              </w:rPr>
            </w:pPr>
            <w:r>
              <w:rPr>
                <w:lang w:val="es-ES"/>
              </w:rPr>
              <w:t>53</w:t>
            </w:r>
          </w:p>
        </w:tc>
      </w:tr>
      <w:tr w:rsidR="002B489A">
        <w:tc>
          <w:tcPr>
            <w:tcW w:w="3033" w:type="dxa"/>
          </w:tcPr>
          <w:p w:rsidR="002B489A" w:rsidRDefault="004F19C4">
            <w:pPr>
              <w:pStyle w:val="Tabletext"/>
              <w:framePr w:hSpace="181" w:wrap="notBeside" w:vAnchor="text" w:hAnchor="text" w:xAlign="center" w:y="1"/>
              <w:spacing w:before="30" w:after="30"/>
              <w:jc w:val="left"/>
              <w:rPr>
                <w:lang w:val="fr-CH"/>
              </w:rPr>
            </w:pPr>
            <w:r>
              <w:rPr>
                <w:bCs/>
                <w:lang w:val="fr-CH"/>
              </w:rPr>
              <w:t xml:space="preserve">Décalage au centre de </w:t>
            </w:r>
            <w:r>
              <w:rPr>
                <w:bCs/>
                <w:i/>
                <w:lang w:val="fr-CH"/>
              </w:rPr>
              <w:t>B</w:t>
            </w:r>
            <w:r>
              <w:rPr>
                <w:bCs/>
                <w:i/>
                <w:vertAlign w:val="subscript"/>
                <w:lang w:val="fr-CH"/>
              </w:rPr>
              <w:t>N</w:t>
            </w:r>
            <w:r>
              <w:rPr>
                <w:bCs/>
                <w:lang w:val="fr-CH"/>
              </w:rPr>
              <w:t> (MHz)</w:t>
            </w:r>
          </w:p>
        </w:tc>
        <w:tc>
          <w:tcPr>
            <w:tcW w:w="1134" w:type="dxa"/>
          </w:tcPr>
          <w:p w:rsidR="002B489A" w:rsidRDefault="004F19C4">
            <w:pPr>
              <w:pStyle w:val="Tabletext"/>
              <w:framePr w:hSpace="181" w:wrap="notBeside" w:vAnchor="text" w:hAnchor="text" w:xAlign="center" w:y="1"/>
              <w:spacing w:before="30" w:after="30"/>
              <w:jc w:val="center"/>
              <w:rPr>
                <w:b/>
                <w:bCs/>
                <w:lang w:val="fr-CH"/>
              </w:rPr>
            </w:pPr>
            <w:r>
              <w:rPr>
                <w:b/>
                <w:bCs/>
                <w:lang w:val="fr-CH"/>
              </w:rPr>
              <w:t>Aucun</w:t>
            </w:r>
          </w:p>
        </w:tc>
        <w:tc>
          <w:tcPr>
            <w:tcW w:w="1134" w:type="dxa"/>
          </w:tcPr>
          <w:p w:rsidR="002B489A" w:rsidRDefault="004F19C4">
            <w:pPr>
              <w:pStyle w:val="Tabletext"/>
              <w:framePr w:hSpace="181" w:wrap="notBeside" w:vAnchor="text" w:hAnchor="text" w:xAlign="center" w:y="1"/>
              <w:spacing w:before="30" w:after="30"/>
              <w:jc w:val="center"/>
              <w:rPr>
                <w:b/>
                <w:lang w:val="es-ES"/>
              </w:rPr>
            </w:pPr>
            <w:r>
              <w:rPr>
                <w:b/>
                <w:lang w:val="es-ES"/>
              </w:rPr>
              <w:t xml:space="preserve">123 </w:t>
            </w:r>
          </w:p>
        </w:tc>
        <w:tc>
          <w:tcPr>
            <w:tcW w:w="1072" w:type="dxa"/>
          </w:tcPr>
          <w:p w:rsidR="002B489A" w:rsidRDefault="004F19C4">
            <w:pPr>
              <w:pStyle w:val="Tabletext"/>
              <w:framePr w:hSpace="181" w:wrap="notBeside" w:vAnchor="text" w:hAnchor="text" w:xAlign="center" w:y="1"/>
              <w:spacing w:before="30" w:after="30"/>
              <w:jc w:val="center"/>
              <w:rPr>
                <w:b/>
                <w:lang w:val="es-ES"/>
              </w:rPr>
            </w:pPr>
            <w:r>
              <w:rPr>
                <w:b/>
                <w:lang w:val="es-ES"/>
              </w:rPr>
              <w:t xml:space="preserve">180 </w:t>
            </w:r>
          </w:p>
        </w:tc>
        <w:tc>
          <w:tcPr>
            <w:tcW w:w="890" w:type="dxa"/>
          </w:tcPr>
          <w:p w:rsidR="002B489A" w:rsidRDefault="004F19C4">
            <w:pPr>
              <w:pStyle w:val="Tabletext"/>
              <w:framePr w:hSpace="181" w:wrap="notBeside" w:vAnchor="text" w:hAnchor="text" w:xAlign="center" w:y="1"/>
              <w:spacing w:before="30" w:after="30"/>
              <w:jc w:val="center"/>
              <w:rPr>
                <w:b/>
                <w:lang w:val="es-ES"/>
              </w:rPr>
            </w:pPr>
            <w:r>
              <w:rPr>
                <w:b/>
                <w:lang w:val="es-ES"/>
              </w:rPr>
              <w:t xml:space="preserve">154 </w:t>
            </w:r>
          </w:p>
        </w:tc>
        <w:tc>
          <w:tcPr>
            <w:tcW w:w="1118" w:type="dxa"/>
          </w:tcPr>
          <w:p w:rsidR="002B489A" w:rsidRDefault="004F19C4">
            <w:pPr>
              <w:pStyle w:val="Tabletext"/>
              <w:framePr w:hSpace="181" w:wrap="notBeside" w:vAnchor="text" w:hAnchor="text" w:xAlign="center" w:y="1"/>
              <w:spacing w:before="30" w:after="30"/>
              <w:ind w:left="-57" w:right="-57"/>
              <w:jc w:val="center"/>
              <w:rPr>
                <w:b/>
                <w:lang w:val="es-ES"/>
              </w:rPr>
            </w:pPr>
            <w:r>
              <w:rPr>
                <w:b/>
                <w:lang w:val="es-ES"/>
              </w:rPr>
              <w:t xml:space="preserve">101 </w:t>
            </w:r>
          </w:p>
        </w:tc>
        <w:tc>
          <w:tcPr>
            <w:tcW w:w="979" w:type="dxa"/>
          </w:tcPr>
          <w:p w:rsidR="002B489A" w:rsidRDefault="004F19C4">
            <w:pPr>
              <w:pStyle w:val="Tabletext"/>
              <w:framePr w:hSpace="181" w:wrap="notBeside" w:vAnchor="text" w:hAnchor="text" w:xAlign="center" w:y="1"/>
              <w:spacing w:before="30" w:after="30"/>
              <w:ind w:left="-57" w:right="-57"/>
              <w:jc w:val="center"/>
              <w:rPr>
                <w:b/>
                <w:lang w:val="es-ES"/>
              </w:rPr>
            </w:pPr>
            <w:r>
              <w:rPr>
                <w:b/>
                <w:lang w:val="es-ES"/>
              </w:rPr>
              <w:t xml:space="preserve">6 </w:t>
            </w:r>
          </w:p>
        </w:tc>
      </w:tr>
      <w:tr w:rsidR="002B489A">
        <w:tc>
          <w:tcPr>
            <w:tcW w:w="3033" w:type="dxa"/>
          </w:tcPr>
          <w:p w:rsidR="002B489A" w:rsidRDefault="004F19C4">
            <w:pPr>
              <w:pStyle w:val="Tabletext"/>
              <w:framePr w:hSpace="181" w:wrap="notBeside" w:vAnchor="text" w:hAnchor="text" w:xAlign="center" w:y="1"/>
              <w:spacing w:before="30" w:after="30"/>
              <w:jc w:val="left"/>
              <w:rPr>
                <w:lang w:val="fr-CH"/>
              </w:rPr>
            </w:pPr>
            <w:r>
              <w:rPr>
                <w:bCs/>
                <w:lang w:val="fr-CH"/>
              </w:rPr>
              <w:t>Bande de garde supplémentaire requise (MHz)</w:t>
            </w:r>
          </w:p>
        </w:tc>
        <w:tc>
          <w:tcPr>
            <w:tcW w:w="1134" w:type="dxa"/>
          </w:tcPr>
          <w:p w:rsidR="002B489A" w:rsidRDefault="004F19C4">
            <w:pPr>
              <w:pStyle w:val="Tabletext"/>
              <w:framePr w:hSpace="181" w:wrap="notBeside" w:vAnchor="text" w:hAnchor="text" w:xAlign="center" w:y="1"/>
              <w:spacing w:before="30" w:after="30"/>
              <w:jc w:val="center"/>
              <w:rPr>
                <w:b/>
                <w:lang w:val="fr-CH"/>
              </w:rPr>
            </w:pPr>
            <w:r>
              <w:rPr>
                <w:b/>
                <w:lang w:val="fr-CH"/>
              </w:rPr>
              <w:t>0</w:t>
            </w:r>
          </w:p>
        </w:tc>
        <w:tc>
          <w:tcPr>
            <w:tcW w:w="1134" w:type="dxa"/>
          </w:tcPr>
          <w:p w:rsidR="002B489A" w:rsidRDefault="004F19C4">
            <w:pPr>
              <w:pStyle w:val="Tabletext"/>
              <w:framePr w:hSpace="181" w:wrap="notBeside" w:vAnchor="text" w:hAnchor="text" w:xAlign="center" w:y="1"/>
              <w:spacing w:before="30" w:after="30"/>
              <w:jc w:val="center"/>
              <w:rPr>
                <w:b/>
                <w:lang w:val="fr-CH"/>
              </w:rPr>
            </w:pPr>
            <w:r>
              <w:rPr>
                <w:b/>
                <w:lang w:val="fr-CH"/>
              </w:rPr>
              <w:t xml:space="preserve">48 </w:t>
            </w:r>
          </w:p>
        </w:tc>
        <w:tc>
          <w:tcPr>
            <w:tcW w:w="1072" w:type="dxa"/>
          </w:tcPr>
          <w:p w:rsidR="002B489A" w:rsidRDefault="004F19C4">
            <w:pPr>
              <w:pStyle w:val="Tabletext"/>
              <w:framePr w:hSpace="181" w:wrap="notBeside" w:vAnchor="text" w:hAnchor="text" w:xAlign="center" w:y="1"/>
              <w:spacing w:before="30" w:after="30"/>
              <w:jc w:val="center"/>
              <w:rPr>
                <w:b/>
                <w:lang w:val="fr-CH"/>
              </w:rPr>
            </w:pPr>
            <w:r>
              <w:rPr>
                <w:b/>
                <w:lang w:val="fr-CH"/>
              </w:rPr>
              <w:t xml:space="preserve">30 </w:t>
            </w:r>
          </w:p>
        </w:tc>
        <w:tc>
          <w:tcPr>
            <w:tcW w:w="890" w:type="dxa"/>
          </w:tcPr>
          <w:p w:rsidR="002B489A" w:rsidRDefault="004F19C4">
            <w:pPr>
              <w:pStyle w:val="Tabletext"/>
              <w:framePr w:hSpace="181" w:wrap="notBeside" w:vAnchor="text" w:hAnchor="text" w:xAlign="center" w:y="1"/>
              <w:spacing w:before="30" w:after="30"/>
              <w:jc w:val="center"/>
              <w:rPr>
                <w:b/>
                <w:lang w:val="fr-CH"/>
              </w:rPr>
            </w:pPr>
            <w:r>
              <w:rPr>
                <w:b/>
                <w:lang w:val="fr-CH"/>
              </w:rPr>
              <w:t xml:space="preserve">54 </w:t>
            </w:r>
          </w:p>
        </w:tc>
        <w:tc>
          <w:tcPr>
            <w:tcW w:w="1118" w:type="dxa"/>
          </w:tcPr>
          <w:p w:rsidR="002B489A" w:rsidRDefault="004F19C4">
            <w:pPr>
              <w:pStyle w:val="Tabletext"/>
              <w:framePr w:hSpace="181" w:wrap="notBeside" w:vAnchor="text" w:hAnchor="text" w:xAlign="center" w:y="1"/>
              <w:spacing w:before="30" w:after="30"/>
              <w:jc w:val="center"/>
              <w:rPr>
                <w:b/>
                <w:lang w:val="fr-CH"/>
              </w:rPr>
            </w:pPr>
            <w:r>
              <w:rPr>
                <w:b/>
                <w:lang w:val="fr-CH"/>
              </w:rPr>
              <w:t xml:space="preserve">39 </w:t>
            </w:r>
          </w:p>
        </w:tc>
        <w:tc>
          <w:tcPr>
            <w:tcW w:w="979" w:type="dxa"/>
          </w:tcPr>
          <w:p w:rsidR="002B489A" w:rsidRDefault="004F19C4">
            <w:pPr>
              <w:pStyle w:val="Tabletext"/>
              <w:framePr w:hSpace="181" w:wrap="notBeside" w:vAnchor="text" w:hAnchor="text" w:xAlign="center" w:y="1"/>
              <w:spacing w:before="30" w:after="30"/>
              <w:jc w:val="center"/>
              <w:rPr>
                <w:b/>
                <w:lang w:val="fr-CH"/>
              </w:rPr>
            </w:pPr>
            <w:r>
              <w:rPr>
                <w:b/>
                <w:lang w:val="fr-CH"/>
              </w:rPr>
              <w:t>0</w:t>
            </w:r>
          </w:p>
        </w:tc>
      </w:tr>
    </w:tbl>
    <w:p w:rsidR="002B489A" w:rsidRDefault="002B489A">
      <w:pPr>
        <w:pStyle w:val="Tablefin"/>
        <w:spacing w:before="0"/>
        <w:rPr>
          <w:sz w:val="2"/>
          <w:lang w:val="fr-CH"/>
        </w:rPr>
      </w:pPr>
    </w:p>
    <w:p w:rsidR="002B489A" w:rsidRDefault="004F19C4">
      <w:pPr>
        <w:rPr>
          <w:lang w:val="fr-CH"/>
        </w:rPr>
      </w:pPr>
      <w:r>
        <w:rPr>
          <w:lang w:val="fr-CH"/>
        </w:rPr>
        <w:br w:type="page"/>
        <w:t>L'analyse dynamique donne un affaiblissement requis de 26,3 dB pour GSOV-B2, ce qui implique une bande de garde de 30 MHz.</w:t>
      </w:r>
    </w:p>
    <w:p w:rsidR="002B489A" w:rsidRDefault="004F19C4">
      <w:pPr>
        <w:pStyle w:val="Heading1"/>
        <w:rPr>
          <w:lang w:val="fr-CH"/>
        </w:rPr>
      </w:pPr>
      <w:r>
        <w:rPr>
          <w:lang w:val="fr-CH"/>
        </w:rPr>
        <w:t>5</w:t>
      </w:r>
      <w:r>
        <w:rPr>
          <w:lang w:val="fr-CH"/>
        </w:rPr>
        <w:tab/>
        <w:t>Techniques de réduction des brouillages</w:t>
      </w:r>
    </w:p>
    <w:p w:rsidR="002B489A" w:rsidRDefault="004F19C4">
      <w:pPr>
        <w:pStyle w:val="Heading2"/>
        <w:rPr>
          <w:lang w:val="fr-CH"/>
        </w:rPr>
      </w:pPr>
      <w:r>
        <w:rPr>
          <w:lang w:val="fr-CH"/>
        </w:rPr>
        <w:t>5.1</w:t>
      </w:r>
      <w:r>
        <w:rPr>
          <w:lang w:val="fr-CH"/>
        </w:rPr>
        <w:tab/>
        <w:t>SETS (passive)</w:t>
      </w:r>
    </w:p>
    <w:p w:rsidR="002B489A" w:rsidRDefault="004F19C4">
      <w:pPr>
        <w:rPr>
          <w:lang w:val="fr-CH"/>
        </w:rPr>
      </w:pPr>
      <w:r>
        <w:rPr>
          <w:lang w:val="fr-CH"/>
        </w:rPr>
        <w:t>Ce sujet devra faire l'objet d'études supplémentaires.</w:t>
      </w:r>
    </w:p>
    <w:p w:rsidR="002B489A" w:rsidRDefault="004F19C4">
      <w:pPr>
        <w:pStyle w:val="Heading2"/>
        <w:rPr>
          <w:lang w:val="fr-CH"/>
        </w:rPr>
      </w:pPr>
      <w:r>
        <w:rPr>
          <w:lang w:val="fr-CH"/>
        </w:rPr>
        <w:t>5.2</w:t>
      </w:r>
      <w:r>
        <w:rPr>
          <w:lang w:val="fr-CH"/>
        </w:rPr>
        <w:tab/>
        <w:t>SFS</w:t>
      </w:r>
    </w:p>
    <w:p w:rsidR="002B489A" w:rsidRDefault="004F19C4">
      <w:pPr>
        <w:pStyle w:val="Heading3"/>
        <w:rPr>
          <w:lang w:val="fr-CH"/>
        </w:rPr>
      </w:pPr>
      <w:r>
        <w:rPr>
          <w:lang w:val="fr-CH"/>
        </w:rPr>
        <w:t>5.2.1</w:t>
      </w:r>
      <w:r>
        <w:rPr>
          <w:lang w:val="fr-CH"/>
        </w:rPr>
        <w:tab/>
        <w:t>Décalage du canal actif de la bordure de bande</w:t>
      </w:r>
    </w:p>
    <w:p w:rsidR="002B489A" w:rsidRDefault="004F19C4">
      <w:pPr>
        <w:rPr>
          <w:lang w:val="fr-CH"/>
        </w:rPr>
      </w:pPr>
      <w:r>
        <w:rPr>
          <w:lang w:val="fr-CH"/>
        </w:rPr>
        <w:t>Les résultats de l'analyse (voir les Tableaux 111 et 112) indiquent que, dans la plupart des cas, des décalages de fréquence considérables seraient nécessaires entre le centre des largeurs de bande nécessaires et la limite supérieure de la bande attribuée au SFS pour protéger les détecteurs passifs contre les rayonnements non désirés. Les situations les plus critiques sont obtenues avec des émissions qui impliquent simultanément une p.i.r.e. élevée et une importante largeur de bande nécessaire. Comme la vraisemblance de coïncidences de lobe principal à lobe principal peut être forte dans le cas de systèmes SFS non OSG et dans le cas de stations terriennes du SFS OSG proches de l'équateur, dans la plupart des cas, il est difficile de réaliser un décalage de fréquence acceptable pour protéger l'attribution passive adjacente.</w:t>
      </w:r>
    </w:p>
    <w:p w:rsidR="002B489A" w:rsidRDefault="004F19C4">
      <w:pPr>
        <w:pStyle w:val="Heading3"/>
        <w:rPr>
          <w:lang w:val="fr-CH"/>
        </w:rPr>
      </w:pPr>
      <w:r>
        <w:rPr>
          <w:lang w:val="fr-CH"/>
        </w:rPr>
        <w:t>5.2.2</w:t>
      </w:r>
      <w:r>
        <w:rPr>
          <w:lang w:val="fr-CH"/>
        </w:rPr>
        <w:tab/>
        <w:t>Puissance et largeur de bande nécessaire</w:t>
      </w:r>
    </w:p>
    <w:p w:rsidR="002B489A" w:rsidRDefault="004F19C4">
      <w:pPr>
        <w:rPr>
          <w:lang w:val="fr-CH"/>
        </w:rPr>
      </w:pPr>
      <w:r>
        <w:rPr>
          <w:lang w:val="fr-CH"/>
        </w:rPr>
        <w:t>La réduction de puissance et de largeur de bande nécessaire pourraient réduire la taille du décalage de fréquence nécessaire.</w:t>
      </w:r>
    </w:p>
    <w:p w:rsidR="002B489A" w:rsidRDefault="004F19C4">
      <w:pPr>
        <w:pStyle w:val="Heading3"/>
        <w:rPr>
          <w:lang w:val="fr-CH"/>
        </w:rPr>
      </w:pPr>
      <w:r>
        <w:rPr>
          <w:lang w:val="fr-CH"/>
        </w:rPr>
        <w:t>5.2.3</w:t>
      </w:r>
      <w:r>
        <w:rPr>
          <w:lang w:val="fr-CH"/>
        </w:rPr>
        <w:tab/>
        <w:t>Inversion des directions d'émission</w:t>
      </w:r>
    </w:p>
    <w:p w:rsidR="002B489A" w:rsidRDefault="004F19C4">
      <w:pPr>
        <w:rPr>
          <w:lang w:val="fr-CH"/>
        </w:rPr>
      </w:pPr>
      <w:r>
        <w:rPr>
          <w:lang w:val="fr-CH"/>
        </w:rPr>
        <w:t>Selon les caractéristiques de certaines liaisons SFS OSG Terre vers espace, des bandes de garde d'environ 30 MHz (selon l'analyse dynamique) seraient nécessaires pour protéger complètement la bande SETS (passive) de 50,2</w:t>
      </w:r>
      <w:r>
        <w:rPr>
          <w:lang w:val="fr-CH"/>
        </w:rPr>
        <w:noBreakHyphen/>
        <w:t>50,4 GHz.</w:t>
      </w:r>
    </w:p>
    <w:p w:rsidR="002B489A" w:rsidRDefault="004F19C4">
      <w:pPr>
        <w:rPr>
          <w:lang w:val="fr-CH"/>
        </w:rPr>
      </w:pPr>
      <w:r>
        <w:rPr>
          <w:lang w:val="fr-CH"/>
        </w:rPr>
        <w:t>Les caractéristiques de certaines liaisons Terre vers espace du SFS non OSG les rendent clairement incompatibles avec un fonctionnement satisfaisant des détecteurs passifs dans la bande de fréquences adjacente, parce que le décalage de fréquence qu'elles requerraient pour garantir une suppression suffisante de la puissance non désirée est habituellement trop important (une bande de garde d'environ 375 MHz). Dans le Tableau 113, l'excédent de puissance au-delà du seuil de brouillage est calculé (hypothèse de cofréquence) en supposant que les liaisons espace vers Terre sont mises en oeuvre dans la bande de fréquences 47,2</w:t>
      </w:r>
      <w:r>
        <w:rPr>
          <w:lang w:val="fr-CH"/>
        </w:rPr>
        <w:noBreakHyphen/>
        <w:t>50,2 GHz, au lieu de la bande de fréquences 37,5</w:t>
      </w:r>
      <w:r>
        <w:rPr>
          <w:lang w:val="fr-CH"/>
        </w:rPr>
        <w:noBreakHyphen/>
        <w:t>42,5 GHz. Les résultats montrent que cette situation serait plus favorable et qu'aucun décalage de fréquence, ou seulement des décalages mineurs, ne serait requis pour protéger la bande passive attribuée.</w:t>
      </w:r>
    </w:p>
    <w:p w:rsidR="002B489A" w:rsidRDefault="004F19C4">
      <w:pPr>
        <w:pStyle w:val="TableNo"/>
        <w:rPr>
          <w:lang w:val="fr-CH"/>
        </w:rPr>
      </w:pPr>
      <w:r>
        <w:rPr>
          <w:lang w:val="fr-CH"/>
        </w:rPr>
        <w:br w:type="page"/>
        <w:t>TABLEAU  113</w:t>
      </w:r>
    </w:p>
    <w:p w:rsidR="002B489A" w:rsidRDefault="004F19C4">
      <w:pPr>
        <w:pStyle w:val="Tabletitle"/>
        <w:rPr>
          <w:lang w:val="fr-CH"/>
        </w:rPr>
      </w:pPr>
      <w:r>
        <w:rPr>
          <w:lang w:val="fr-CH"/>
        </w:rPr>
        <w:t>Brouillage cofréquence avec des liaisons descendantes SFS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57"/>
        <w:gridCol w:w="1390"/>
        <w:gridCol w:w="975"/>
        <w:gridCol w:w="976"/>
        <w:gridCol w:w="1114"/>
        <w:gridCol w:w="975"/>
        <w:gridCol w:w="1252"/>
      </w:tblGrid>
      <w:tr w:rsidR="002B489A">
        <w:tc>
          <w:tcPr>
            <w:tcW w:w="2957" w:type="dxa"/>
            <w:tcBorders>
              <w:bottom w:val="single" w:sz="4" w:space="0" w:color="auto"/>
            </w:tcBorders>
            <w:tcMar>
              <w:left w:w="108" w:type="dxa"/>
              <w:right w:w="108" w:type="dxa"/>
            </w:tcMar>
          </w:tcPr>
          <w:p w:rsidR="002B489A" w:rsidRDefault="004F19C4">
            <w:pPr>
              <w:pStyle w:val="Tablehead"/>
              <w:framePr w:hSpace="181" w:wrap="notBeside" w:vAnchor="text" w:hAnchor="text" w:xAlign="center" w:y="1"/>
              <w:jc w:val="left"/>
              <w:rPr>
                <w:lang w:val="fr-CH"/>
              </w:rPr>
            </w:pPr>
            <w:r>
              <w:rPr>
                <w:lang w:val="fr-CH"/>
              </w:rPr>
              <w:t>Système SFS</w:t>
            </w:r>
          </w:p>
        </w:tc>
        <w:tc>
          <w:tcPr>
            <w:tcW w:w="1390" w:type="dxa"/>
            <w:tcBorders>
              <w:bottom w:val="single" w:sz="4" w:space="0" w:color="auto"/>
            </w:tcBorders>
            <w:tcMar>
              <w:left w:w="108" w:type="dxa"/>
              <w:right w:w="108" w:type="dxa"/>
            </w:tcMar>
          </w:tcPr>
          <w:p w:rsidR="002B489A" w:rsidRDefault="004F19C4">
            <w:pPr>
              <w:pStyle w:val="Tablehead"/>
              <w:framePr w:hSpace="181" w:wrap="notBeside" w:vAnchor="text" w:hAnchor="text" w:xAlign="center" w:y="1"/>
              <w:ind w:left="-57" w:right="-57"/>
              <w:rPr>
                <w:lang w:val="fr-CH"/>
              </w:rPr>
            </w:pPr>
            <w:r>
              <w:rPr>
                <w:lang w:val="fr-CH"/>
              </w:rPr>
              <w:t>MEOSAT-X</w:t>
            </w:r>
          </w:p>
        </w:tc>
        <w:tc>
          <w:tcPr>
            <w:tcW w:w="975" w:type="dxa"/>
            <w:tcBorders>
              <w:bottom w:val="single" w:sz="4" w:space="0" w:color="auto"/>
            </w:tcBorders>
            <w:tcMar>
              <w:left w:w="108" w:type="dxa"/>
              <w:right w:w="108" w:type="dxa"/>
            </w:tcMar>
          </w:tcPr>
          <w:p w:rsidR="002B489A" w:rsidRDefault="004F19C4">
            <w:pPr>
              <w:pStyle w:val="Tablehead"/>
              <w:framePr w:hSpace="181" w:wrap="notBeside" w:vAnchor="text" w:hAnchor="text" w:xAlign="center" w:y="1"/>
              <w:ind w:left="-57" w:right="-57"/>
              <w:rPr>
                <w:lang w:val="es-ES"/>
              </w:rPr>
            </w:pPr>
            <w:r>
              <w:rPr>
                <w:lang w:val="es-ES"/>
              </w:rPr>
              <w:t>LEO V1</w:t>
            </w:r>
          </w:p>
        </w:tc>
        <w:tc>
          <w:tcPr>
            <w:tcW w:w="976" w:type="dxa"/>
            <w:tcBorders>
              <w:bottom w:val="single" w:sz="4" w:space="0" w:color="auto"/>
            </w:tcBorders>
            <w:tcMar>
              <w:left w:w="108" w:type="dxa"/>
              <w:right w:w="108" w:type="dxa"/>
            </w:tcMar>
          </w:tcPr>
          <w:p w:rsidR="002B489A" w:rsidRDefault="004F19C4">
            <w:pPr>
              <w:pStyle w:val="Tablehead"/>
              <w:framePr w:hSpace="181" w:wrap="notBeside" w:vAnchor="text" w:hAnchor="text" w:xAlign="center" w:y="1"/>
              <w:ind w:left="-57" w:right="-57"/>
              <w:rPr>
                <w:lang w:val="es-ES"/>
              </w:rPr>
            </w:pPr>
            <w:r>
              <w:rPr>
                <w:lang w:val="es-ES"/>
              </w:rPr>
              <w:t>LEO V2</w:t>
            </w:r>
          </w:p>
        </w:tc>
        <w:tc>
          <w:tcPr>
            <w:tcW w:w="1114" w:type="dxa"/>
            <w:tcBorders>
              <w:bottom w:val="single" w:sz="4" w:space="0" w:color="auto"/>
            </w:tcBorders>
            <w:tcMar>
              <w:left w:w="108" w:type="dxa"/>
              <w:right w:w="108" w:type="dxa"/>
            </w:tcMar>
          </w:tcPr>
          <w:p w:rsidR="002B489A" w:rsidRDefault="004F19C4">
            <w:pPr>
              <w:pStyle w:val="Tablehead"/>
              <w:framePr w:hSpace="181" w:wrap="notBeside" w:vAnchor="text" w:hAnchor="text" w:xAlign="center" w:y="1"/>
              <w:rPr>
                <w:lang w:val="es-ES"/>
              </w:rPr>
            </w:pPr>
            <w:r>
              <w:rPr>
                <w:lang w:val="es-ES"/>
              </w:rPr>
              <w:t>GSO-VX</w:t>
            </w:r>
          </w:p>
        </w:tc>
        <w:tc>
          <w:tcPr>
            <w:tcW w:w="975" w:type="dxa"/>
            <w:tcBorders>
              <w:bottom w:val="single" w:sz="4" w:space="0" w:color="auto"/>
            </w:tcBorders>
            <w:tcMar>
              <w:left w:w="108" w:type="dxa"/>
              <w:right w:w="108" w:type="dxa"/>
            </w:tcMar>
          </w:tcPr>
          <w:p w:rsidR="002B489A" w:rsidRDefault="004F19C4">
            <w:pPr>
              <w:pStyle w:val="Tablehead"/>
              <w:framePr w:hSpace="181" w:wrap="notBeside" w:vAnchor="text" w:hAnchor="text" w:xAlign="center" w:y="1"/>
              <w:ind w:left="-57" w:right="-57"/>
              <w:rPr>
                <w:lang w:val="es-ES"/>
              </w:rPr>
            </w:pPr>
            <w:r>
              <w:rPr>
                <w:lang w:val="es-ES"/>
              </w:rPr>
              <w:t>GSO-SV</w:t>
            </w:r>
          </w:p>
        </w:tc>
        <w:tc>
          <w:tcPr>
            <w:tcW w:w="1252" w:type="dxa"/>
            <w:tcBorders>
              <w:bottom w:val="single" w:sz="4" w:space="0" w:color="auto"/>
            </w:tcBorders>
            <w:tcMar>
              <w:left w:w="108" w:type="dxa"/>
              <w:right w:w="108" w:type="dxa"/>
            </w:tcMar>
          </w:tcPr>
          <w:p w:rsidR="002B489A" w:rsidRDefault="004F19C4">
            <w:pPr>
              <w:pStyle w:val="Tablehead"/>
              <w:framePr w:hSpace="181" w:wrap="notBeside" w:vAnchor="text" w:hAnchor="text" w:xAlign="center" w:y="1"/>
              <w:rPr>
                <w:lang w:val="fr-CH"/>
              </w:rPr>
            </w:pPr>
            <w:r>
              <w:rPr>
                <w:lang w:val="fr-CH"/>
              </w:rPr>
              <w:t>GSOV-B2</w:t>
            </w:r>
          </w:p>
        </w:tc>
      </w:tr>
      <w:tr w:rsidR="002B489A">
        <w:tc>
          <w:tcPr>
            <w:tcW w:w="2957" w:type="dxa"/>
            <w:tcMar>
              <w:left w:w="108" w:type="dxa"/>
              <w:right w:w="108" w:type="dxa"/>
            </w:tcMar>
          </w:tcPr>
          <w:p w:rsidR="002B489A" w:rsidRDefault="004F19C4">
            <w:pPr>
              <w:pStyle w:val="Tabletext"/>
              <w:framePr w:hSpace="181" w:wrap="notBeside" w:vAnchor="text" w:hAnchor="text" w:xAlign="center" w:y="1"/>
              <w:jc w:val="left"/>
              <w:rPr>
                <w:bCs/>
                <w:lang w:val="fr-CH"/>
              </w:rPr>
            </w:pPr>
            <w:r>
              <w:rPr>
                <w:bCs/>
                <w:lang w:val="fr-CH"/>
              </w:rPr>
              <w:t>Fréquence (GHz)</w:t>
            </w:r>
          </w:p>
        </w:tc>
        <w:tc>
          <w:tcPr>
            <w:tcW w:w="6682" w:type="dxa"/>
            <w:gridSpan w:val="6"/>
            <w:tcMar>
              <w:left w:w="108" w:type="dxa"/>
              <w:right w:w="108" w:type="dxa"/>
            </w:tcMar>
          </w:tcPr>
          <w:p w:rsidR="002B489A" w:rsidRDefault="004F19C4">
            <w:pPr>
              <w:pStyle w:val="Tabletext"/>
              <w:framePr w:hSpace="181" w:wrap="notBeside" w:vAnchor="text" w:hAnchor="text" w:xAlign="center" w:y="1"/>
              <w:jc w:val="center"/>
              <w:rPr>
                <w:bCs/>
                <w:lang w:val="es-ES"/>
              </w:rPr>
            </w:pPr>
            <w:r>
              <w:rPr>
                <w:bCs/>
                <w:lang w:val="es-ES"/>
              </w:rPr>
              <w:t>37,5</w:t>
            </w:r>
            <w:r>
              <w:rPr>
                <w:bCs/>
                <w:lang w:val="es-ES"/>
              </w:rPr>
              <w:noBreakHyphen/>
              <w:t>42,5</w:t>
            </w:r>
          </w:p>
        </w:tc>
      </w:tr>
      <w:tr w:rsidR="002B489A">
        <w:tc>
          <w:tcPr>
            <w:tcW w:w="2957" w:type="dxa"/>
            <w:tcMar>
              <w:left w:w="108" w:type="dxa"/>
              <w:right w:w="108" w:type="dxa"/>
            </w:tcMar>
          </w:tcPr>
          <w:p w:rsidR="002B489A" w:rsidRDefault="004F19C4">
            <w:pPr>
              <w:pStyle w:val="Tabletext"/>
              <w:framePr w:hSpace="181" w:wrap="notBeside" w:vAnchor="text" w:hAnchor="text" w:xAlign="center" w:y="1"/>
              <w:jc w:val="left"/>
              <w:rPr>
                <w:bCs/>
                <w:lang w:val="fr-CH"/>
              </w:rPr>
            </w:pPr>
            <w:r>
              <w:rPr>
                <w:bCs/>
                <w:lang w:val="fr-CH"/>
              </w:rPr>
              <w:t>Forme d'orbite</w:t>
            </w:r>
          </w:p>
        </w:tc>
        <w:tc>
          <w:tcPr>
            <w:tcW w:w="3341" w:type="dxa"/>
            <w:gridSpan w:val="3"/>
            <w:tcMar>
              <w:left w:w="108" w:type="dxa"/>
              <w:right w:w="108" w:type="dxa"/>
            </w:tcMar>
          </w:tcPr>
          <w:p w:rsidR="002B489A" w:rsidRDefault="004F19C4">
            <w:pPr>
              <w:pStyle w:val="Tabletext"/>
              <w:framePr w:hSpace="181" w:wrap="notBeside" w:vAnchor="text" w:hAnchor="text" w:xAlign="center" w:y="1"/>
              <w:jc w:val="center"/>
              <w:rPr>
                <w:bCs/>
                <w:lang w:val="fr-CH"/>
              </w:rPr>
            </w:pPr>
            <w:r>
              <w:rPr>
                <w:bCs/>
                <w:lang w:val="fr-CH"/>
              </w:rPr>
              <w:t>Circulaire</w:t>
            </w:r>
          </w:p>
        </w:tc>
        <w:tc>
          <w:tcPr>
            <w:tcW w:w="3341" w:type="dxa"/>
            <w:gridSpan w:val="3"/>
            <w:tcMar>
              <w:left w:w="108" w:type="dxa"/>
              <w:right w:w="108" w:type="dxa"/>
            </w:tcMar>
          </w:tcPr>
          <w:p w:rsidR="002B489A" w:rsidRDefault="004F19C4">
            <w:pPr>
              <w:pStyle w:val="Tabletext"/>
              <w:framePr w:hSpace="181" w:wrap="notBeside" w:vAnchor="text" w:hAnchor="text" w:xAlign="center" w:y="1"/>
              <w:jc w:val="center"/>
              <w:rPr>
                <w:bCs/>
                <w:lang w:val="es-ES"/>
              </w:rPr>
            </w:pPr>
            <w:r>
              <w:rPr>
                <w:bCs/>
                <w:lang w:val="es-ES"/>
              </w:rPr>
              <w:t>GSO</w:t>
            </w:r>
          </w:p>
        </w:tc>
      </w:tr>
      <w:tr w:rsidR="002B489A">
        <w:tc>
          <w:tcPr>
            <w:tcW w:w="2957" w:type="dxa"/>
            <w:tcMar>
              <w:left w:w="108" w:type="dxa"/>
              <w:right w:w="108" w:type="dxa"/>
            </w:tcMar>
          </w:tcPr>
          <w:p w:rsidR="002B489A" w:rsidRDefault="004F19C4">
            <w:pPr>
              <w:pStyle w:val="Tabletext"/>
              <w:framePr w:hSpace="181" w:wrap="notBeside" w:vAnchor="text" w:hAnchor="text" w:xAlign="center" w:y="1"/>
              <w:jc w:val="left"/>
              <w:rPr>
                <w:bCs/>
                <w:lang w:val="fr-CH"/>
              </w:rPr>
            </w:pPr>
            <w:r>
              <w:rPr>
                <w:bCs/>
                <w:lang w:val="fr-CH"/>
              </w:rPr>
              <w:t>Altitude d'orbite (km)</w:t>
            </w:r>
          </w:p>
        </w:tc>
        <w:tc>
          <w:tcPr>
            <w:tcW w:w="1390" w:type="dxa"/>
            <w:tcMar>
              <w:left w:w="108" w:type="dxa"/>
              <w:right w:w="108" w:type="dxa"/>
            </w:tcMar>
          </w:tcPr>
          <w:p w:rsidR="002B489A" w:rsidRDefault="004F19C4">
            <w:pPr>
              <w:pStyle w:val="Tabletext"/>
              <w:framePr w:hSpace="181" w:wrap="notBeside" w:vAnchor="text" w:hAnchor="text" w:xAlign="center" w:y="1"/>
              <w:jc w:val="center"/>
              <w:rPr>
                <w:lang w:val="es-ES"/>
              </w:rPr>
            </w:pPr>
            <w:r>
              <w:rPr>
                <w:lang w:val="es-ES"/>
              </w:rPr>
              <w:t>10 352</w:t>
            </w:r>
          </w:p>
        </w:tc>
        <w:tc>
          <w:tcPr>
            <w:tcW w:w="975" w:type="dxa"/>
            <w:tcMar>
              <w:left w:w="108" w:type="dxa"/>
              <w:right w:w="108" w:type="dxa"/>
            </w:tcMar>
          </w:tcPr>
          <w:p w:rsidR="002B489A" w:rsidRDefault="004F19C4">
            <w:pPr>
              <w:pStyle w:val="Tabletext"/>
              <w:framePr w:hSpace="181" w:wrap="notBeside" w:vAnchor="text" w:hAnchor="text" w:xAlign="center" w:y="1"/>
              <w:jc w:val="center"/>
              <w:rPr>
                <w:lang w:val="es-ES"/>
              </w:rPr>
            </w:pPr>
            <w:r>
              <w:rPr>
                <w:lang w:val="es-ES"/>
              </w:rPr>
              <w:t>1 350</w:t>
            </w:r>
          </w:p>
        </w:tc>
        <w:tc>
          <w:tcPr>
            <w:tcW w:w="976" w:type="dxa"/>
            <w:tcMar>
              <w:left w:w="108" w:type="dxa"/>
              <w:right w:w="108" w:type="dxa"/>
            </w:tcMar>
          </w:tcPr>
          <w:p w:rsidR="002B489A" w:rsidRDefault="004F19C4">
            <w:pPr>
              <w:pStyle w:val="Tabletext"/>
              <w:framePr w:hSpace="181" w:wrap="notBeside" w:vAnchor="text" w:hAnchor="text" w:xAlign="center" w:y="1"/>
              <w:jc w:val="center"/>
              <w:rPr>
                <w:lang w:val="es-ES"/>
              </w:rPr>
            </w:pPr>
            <w:r>
              <w:rPr>
                <w:lang w:val="es-ES"/>
              </w:rPr>
              <w:t>10 355</w:t>
            </w:r>
          </w:p>
        </w:tc>
        <w:tc>
          <w:tcPr>
            <w:tcW w:w="3341" w:type="dxa"/>
            <w:gridSpan w:val="3"/>
            <w:tcMar>
              <w:left w:w="108" w:type="dxa"/>
              <w:right w:w="108" w:type="dxa"/>
            </w:tcMar>
          </w:tcPr>
          <w:p w:rsidR="002B489A" w:rsidRDefault="004F19C4">
            <w:pPr>
              <w:pStyle w:val="Tabletext"/>
              <w:framePr w:hSpace="181" w:wrap="notBeside" w:vAnchor="text" w:hAnchor="text" w:xAlign="center" w:y="1"/>
              <w:jc w:val="center"/>
              <w:rPr>
                <w:lang w:val="es-ES"/>
              </w:rPr>
            </w:pPr>
            <w:r>
              <w:rPr>
                <w:lang w:val="es-ES"/>
              </w:rPr>
              <w:t>35 900</w:t>
            </w:r>
          </w:p>
        </w:tc>
      </w:tr>
      <w:tr w:rsidR="002B489A">
        <w:tc>
          <w:tcPr>
            <w:tcW w:w="2957" w:type="dxa"/>
            <w:tcMar>
              <w:left w:w="108" w:type="dxa"/>
              <w:right w:w="108" w:type="dxa"/>
            </w:tcMar>
          </w:tcPr>
          <w:p w:rsidR="002B489A" w:rsidRDefault="004F19C4">
            <w:pPr>
              <w:pStyle w:val="Tabletext"/>
              <w:framePr w:hSpace="181" w:wrap="notBeside" w:vAnchor="text" w:hAnchor="text" w:xAlign="center" w:y="1"/>
              <w:jc w:val="left"/>
              <w:rPr>
                <w:bCs/>
                <w:lang w:val="es-ES"/>
              </w:rPr>
            </w:pPr>
            <w:r>
              <w:rPr>
                <w:bCs/>
                <w:lang w:val="es-ES"/>
              </w:rPr>
              <w:t>p.i.r.e. (dBW)</w:t>
            </w:r>
          </w:p>
        </w:tc>
        <w:tc>
          <w:tcPr>
            <w:tcW w:w="1390" w:type="dxa"/>
            <w:tcMar>
              <w:left w:w="108" w:type="dxa"/>
              <w:right w:w="108" w:type="dxa"/>
            </w:tcMar>
          </w:tcPr>
          <w:p w:rsidR="002B489A" w:rsidRDefault="004F19C4">
            <w:pPr>
              <w:pStyle w:val="Tabletext"/>
              <w:framePr w:hSpace="181" w:wrap="notBeside" w:vAnchor="text" w:hAnchor="text" w:xAlign="center" w:y="1"/>
              <w:jc w:val="center"/>
              <w:rPr>
                <w:lang w:val="es-ES"/>
              </w:rPr>
            </w:pPr>
            <w:r>
              <w:rPr>
                <w:lang w:val="es-ES"/>
              </w:rPr>
              <w:t>60</w:t>
            </w:r>
          </w:p>
        </w:tc>
        <w:tc>
          <w:tcPr>
            <w:tcW w:w="975" w:type="dxa"/>
            <w:tcMar>
              <w:left w:w="108" w:type="dxa"/>
              <w:right w:w="108" w:type="dxa"/>
            </w:tcMar>
          </w:tcPr>
          <w:p w:rsidR="002B489A" w:rsidRDefault="004F19C4">
            <w:pPr>
              <w:pStyle w:val="Tabletext"/>
              <w:framePr w:hSpace="181" w:wrap="notBeside" w:vAnchor="text" w:hAnchor="text" w:xAlign="center" w:y="1"/>
              <w:jc w:val="center"/>
              <w:rPr>
                <w:lang w:val="es-ES"/>
              </w:rPr>
            </w:pPr>
            <w:r>
              <w:rPr>
                <w:lang w:val="es-ES"/>
              </w:rPr>
              <w:t>46,9</w:t>
            </w:r>
          </w:p>
        </w:tc>
        <w:tc>
          <w:tcPr>
            <w:tcW w:w="976" w:type="dxa"/>
            <w:tcMar>
              <w:left w:w="108" w:type="dxa"/>
              <w:right w:w="108" w:type="dxa"/>
            </w:tcMar>
          </w:tcPr>
          <w:p w:rsidR="002B489A" w:rsidRDefault="004F19C4">
            <w:pPr>
              <w:pStyle w:val="Tabletext"/>
              <w:framePr w:hSpace="181" w:wrap="notBeside" w:vAnchor="text" w:hAnchor="text" w:xAlign="center" w:y="1"/>
              <w:jc w:val="center"/>
              <w:rPr>
                <w:lang w:val="es-ES"/>
              </w:rPr>
            </w:pPr>
            <w:r>
              <w:rPr>
                <w:lang w:val="es-ES"/>
              </w:rPr>
              <w:t>49,5</w:t>
            </w:r>
          </w:p>
        </w:tc>
        <w:tc>
          <w:tcPr>
            <w:tcW w:w="1114" w:type="dxa"/>
            <w:tcMar>
              <w:left w:w="108" w:type="dxa"/>
              <w:right w:w="108" w:type="dxa"/>
            </w:tcMar>
          </w:tcPr>
          <w:p w:rsidR="002B489A" w:rsidRDefault="004F19C4">
            <w:pPr>
              <w:pStyle w:val="Tabletext"/>
              <w:framePr w:hSpace="181" w:wrap="notBeside" w:vAnchor="text" w:hAnchor="text" w:xAlign="center" w:y="1"/>
              <w:jc w:val="center"/>
              <w:rPr>
                <w:lang w:val="es-ES"/>
              </w:rPr>
            </w:pPr>
            <w:r>
              <w:rPr>
                <w:lang w:val="es-ES"/>
              </w:rPr>
              <w:t>56</w:t>
            </w:r>
          </w:p>
        </w:tc>
        <w:tc>
          <w:tcPr>
            <w:tcW w:w="975" w:type="dxa"/>
            <w:tcMar>
              <w:left w:w="108" w:type="dxa"/>
              <w:right w:w="108" w:type="dxa"/>
            </w:tcMar>
          </w:tcPr>
          <w:p w:rsidR="002B489A" w:rsidRDefault="004F19C4">
            <w:pPr>
              <w:pStyle w:val="Tabletext"/>
              <w:framePr w:hSpace="181" w:wrap="notBeside" w:vAnchor="text" w:hAnchor="text" w:xAlign="center" w:y="1"/>
              <w:jc w:val="center"/>
              <w:rPr>
                <w:lang w:val="es-ES"/>
              </w:rPr>
            </w:pPr>
            <w:r>
              <w:rPr>
                <w:lang w:val="es-ES"/>
              </w:rPr>
              <w:t>62</w:t>
            </w:r>
          </w:p>
        </w:tc>
        <w:tc>
          <w:tcPr>
            <w:tcW w:w="1252" w:type="dxa"/>
            <w:tcMar>
              <w:left w:w="108" w:type="dxa"/>
              <w:right w:w="108" w:type="dxa"/>
            </w:tcMar>
          </w:tcPr>
          <w:p w:rsidR="002B489A" w:rsidRDefault="004F19C4">
            <w:pPr>
              <w:pStyle w:val="Tabletext"/>
              <w:framePr w:hSpace="181" w:wrap="notBeside" w:vAnchor="text" w:hAnchor="text" w:xAlign="center" w:y="1"/>
              <w:jc w:val="center"/>
              <w:rPr>
                <w:lang w:val="es-ES"/>
              </w:rPr>
            </w:pPr>
            <w:r>
              <w:rPr>
                <w:lang w:val="es-ES"/>
              </w:rPr>
              <w:t>63,8</w:t>
            </w:r>
          </w:p>
        </w:tc>
      </w:tr>
      <w:tr w:rsidR="002B489A">
        <w:tc>
          <w:tcPr>
            <w:tcW w:w="2957" w:type="dxa"/>
            <w:tcMar>
              <w:left w:w="108" w:type="dxa"/>
              <w:right w:w="108" w:type="dxa"/>
            </w:tcMar>
          </w:tcPr>
          <w:p w:rsidR="002B489A" w:rsidRDefault="004F19C4">
            <w:pPr>
              <w:pStyle w:val="Tabletext"/>
              <w:framePr w:hSpace="181" w:wrap="notBeside" w:vAnchor="text" w:hAnchor="text" w:xAlign="center" w:y="1"/>
              <w:jc w:val="left"/>
              <w:rPr>
                <w:bCs/>
                <w:lang w:val="fr-CH"/>
              </w:rPr>
            </w:pPr>
            <w:r>
              <w:rPr>
                <w:bCs/>
                <w:lang w:val="fr-CH"/>
              </w:rPr>
              <w:t>Largeur de bande (MHz)</w:t>
            </w:r>
          </w:p>
        </w:tc>
        <w:tc>
          <w:tcPr>
            <w:tcW w:w="1390" w:type="dxa"/>
            <w:tcMar>
              <w:left w:w="108" w:type="dxa"/>
              <w:right w:w="108" w:type="dxa"/>
            </w:tcMar>
          </w:tcPr>
          <w:p w:rsidR="002B489A" w:rsidRDefault="004F19C4">
            <w:pPr>
              <w:pStyle w:val="Tabletext"/>
              <w:framePr w:hSpace="181" w:wrap="notBeside" w:vAnchor="text" w:hAnchor="text" w:xAlign="center" w:y="1"/>
              <w:jc w:val="center"/>
              <w:rPr>
                <w:bCs/>
                <w:lang w:val="es-ES"/>
              </w:rPr>
            </w:pPr>
            <w:r>
              <w:rPr>
                <w:bCs/>
                <w:lang w:val="es-ES"/>
              </w:rPr>
              <w:t>500</w:t>
            </w:r>
          </w:p>
        </w:tc>
        <w:tc>
          <w:tcPr>
            <w:tcW w:w="975" w:type="dxa"/>
            <w:tcMar>
              <w:left w:w="108" w:type="dxa"/>
              <w:right w:w="108" w:type="dxa"/>
            </w:tcMar>
          </w:tcPr>
          <w:p w:rsidR="002B489A" w:rsidRDefault="004F19C4">
            <w:pPr>
              <w:pStyle w:val="Tabletext"/>
              <w:framePr w:hSpace="181" w:wrap="notBeside" w:vAnchor="text" w:hAnchor="text" w:xAlign="center" w:y="1"/>
              <w:jc w:val="center"/>
              <w:rPr>
                <w:bCs/>
                <w:lang w:val="es-ES"/>
              </w:rPr>
            </w:pPr>
            <w:r>
              <w:rPr>
                <w:bCs/>
                <w:lang w:val="es-ES"/>
              </w:rPr>
              <w:t>90</w:t>
            </w:r>
          </w:p>
        </w:tc>
        <w:tc>
          <w:tcPr>
            <w:tcW w:w="976" w:type="dxa"/>
            <w:tcMar>
              <w:left w:w="108" w:type="dxa"/>
              <w:right w:w="108" w:type="dxa"/>
            </w:tcMar>
          </w:tcPr>
          <w:p w:rsidR="002B489A" w:rsidRDefault="004F19C4">
            <w:pPr>
              <w:pStyle w:val="Tabletext"/>
              <w:framePr w:hSpace="181" w:wrap="notBeside" w:vAnchor="text" w:hAnchor="text" w:xAlign="center" w:y="1"/>
              <w:jc w:val="center"/>
              <w:rPr>
                <w:bCs/>
                <w:lang w:val="es-ES"/>
              </w:rPr>
            </w:pPr>
            <w:r>
              <w:rPr>
                <w:bCs/>
                <w:lang w:val="es-ES"/>
              </w:rPr>
              <w:t>300</w:t>
            </w:r>
          </w:p>
        </w:tc>
        <w:tc>
          <w:tcPr>
            <w:tcW w:w="1114" w:type="dxa"/>
            <w:tcMar>
              <w:left w:w="108" w:type="dxa"/>
              <w:right w:w="108" w:type="dxa"/>
            </w:tcMar>
          </w:tcPr>
          <w:p w:rsidR="002B489A" w:rsidRDefault="004F19C4">
            <w:pPr>
              <w:pStyle w:val="Tabletext"/>
              <w:framePr w:hSpace="181" w:wrap="notBeside" w:vAnchor="text" w:hAnchor="text" w:xAlign="center" w:y="1"/>
              <w:jc w:val="center"/>
              <w:rPr>
                <w:bCs/>
                <w:lang w:val="es-ES"/>
              </w:rPr>
            </w:pPr>
            <w:r>
              <w:rPr>
                <w:bCs/>
                <w:lang w:val="es-ES"/>
              </w:rPr>
              <w:t>300</w:t>
            </w:r>
          </w:p>
        </w:tc>
        <w:tc>
          <w:tcPr>
            <w:tcW w:w="975" w:type="dxa"/>
            <w:tcMar>
              <w:left w:w="108" w:type="dxa"/>
              <w:right w:w="108" w:type="dxa"/>
            </w:tcMar>
          </w:tcPr>
          <w:p w:rsidR="002B489A" w:rsidRDefault="004F19C4">
            <w:pPr>
              <w:pStyle w:val="Tabletext"/>
              <w:framePr w:hSpace="181" w:wrap="notBeside" w:vAnchor="text" w:hAnchor="text" w:xAlign="center" w:y="1"/>
              <w:jc w:val="center"/>
              <w:rPr>
                <w:bCs/>
                <w:lang w:val="es-ES"/>
              </w:rPr>
            </w:pPr>
            <w:r>
              <w:rPr>
                <w:bCs/>
                <w:lang w:val="es-ES"/>
              </w:rPr>
              <w:t>200</w:t>
            </w:r>
          </w:p>
        </w:tc>
        <w:tc>
          <w:tcPr>
            <w:tcW w:w="1252" w:type="dxa"/>
            <w:tcMar>
              <w:left w:w="108" w:type="dxa"/>
              <w:right w:w="108" w:type="dxa"/>
            </w:tcMar>
          </w:tcPr>
          <w:p w:rsidR="002B489A" w:rsidRDefault="004F19C4">
            <w:pPr>
              <w:pStyle w:val="Tabletext"/>
              <w:framePr w:hSpace="181" w:wrap="notBeside" w:vAnchor="text" w:hAnchor="text" w:xAlign="center" w:y="1"/>
              <w:jc w:val="center"/>
              <w:rPr>
                <w:bCs/>
                <w:lang w:val="es-ES"/>
              </w:rPr>
            </w:pPr>
            <w:r>
              <w:rPr>
                <w:bCs/>
                <w:lang w:val="es-ES"/>
              </w:rPr>
              <w:t>150</w:t>
            </w:r>
          </w:p>
        </w:tc>
      </w:tr>
      <w:tr w:rsidR="002B489A">
        <w:tc>
          <w:tcPr>
            <w:tcW w:w="2957" w:type="dxa"/>
            <w:tcMar>
              <w:left w:w="108" w:type="dxa"/>
              <w:right w:w="108" w:type="dxa"/>
            </w:tcMar>
          </w:tcPr>
          <w:p w:rsidR="002B489A" w:rsidRDefault="004F19C4">
            <w:pPr>
              <w:pStyle w:val="Tabletext"/>
              <w:framePr w:hSpace="181" w:wrap="notBeside" w:vAnchor="text" w:hAnchor="text" w:xAlign="center" w:y="1"/>
              <w:jc w:val="left"/>
              <w:rPr>
                <w:bCs/>
                <w:lang w:val="fr-CH"/>
              </w:rPr>
            </w:pPr>
            <w:r>
              <w:rPr>
                <w:bCs/>
                <w:lang w:val="fr-CH"/>
              </w:rPr>
              <w:t>Distance minimum au détecteur (km)</w:t>
            </w:r>
          </w:p>
        </w:tc>
        <w:tc>
          <w:tcPr>
            <w:tcW w:w="1390" w:type="dxa"/>
            <w:tcMar>
              <w:left w:w="108" w:type="dxa"/>
              <w:right w:w="108" w:type="dxa"/>
            </w:tcMar>
          </w:tcPr>
          <w:p w:rsidR="002B489A" w:rsidRDefault="004F19C4">
            <w:pPr>
              <w:pStyle w:val="Tabletext"/>
              <w:framePr w:hSpace="181" w:wrap="notBeside" w:vAnchor="text" w:hAnchor="text" w:xAlign="center" w:y="1"/>
              <w:jc w:val="center"/>
              <w:rPr>
                <w:bCs/>
                <w:lang w:val="es-ES"/>
              </w:rPr>
            </w:pPr>
            <w:r>
              <w:rPr>
                <w:bCs/>
                <w:lang w:val="es-ES"/>
              </w:rPr>
              <w:t>9 502</w:t>
            </w:r>
          </w:p>
        </w:tc>
        <w:tc>
          <w:tcPr>
            <w:tcW w:w="975" w:type="dxa"/>
            <w:tcMar>
              <w:left w:w="108" w:type="dxa"/>
              <w:right w:w="108" w:type="dxa"/>
            </w:tcMar>
          </w:tcPr>
          <w:p w:rsidR="002B489A" w:rsidRDefault="004F19C4">
            <w:pPr>
              <w:pStyle w:val="Tabletext"/>
              <w:framePr w:hSpace="181" w:wrap="notBeside" w:vAnchor="text" w:hAnchor="text" w:xAlign="center" w:y="1"/>
              <w:jc w:val="center"/>
              <w:rPr>
                <w:bCs/>
                <w:lang w:val="es-ES"/>
              </w:rPr>
            </w:pPr>
            <w:r>
              <w:rPr>
                <w:bCs/>
                <w:lang w:val="es-ES"/>
              </w:rPr>
              <w:t>500</w:t>
            </w:r>
          </w:p>
        </w:tc>
        <w:tc>
          <w:tcPr>
            <w:tcW w:w="976" w:type="dxa"/>
            <w:tcMar>
              <w:left w:w="108" w:type="dxa"/>
              <w:right w:w="108" w:type="dxa"/>
            </w:tcMar>
          </w:tcPr>
          <w:p w:rsidR="002B489A" w:rsidRDefault="004F19C4">
            <w:pPr>
              <w:pStyle w:val="Tabletext"/>
              <w:framePr w:hSpace="181" w:wrap="notBeside" w:vAnchor="text" w:hAnchor="text" w:xAlign="center" w:y="1"/>
              <w:jc w:val="center"/>
              <w:rPr>
                <w:bCs/>
                <w:lang w:val="es-ES"/>
              </w:rPr>
            </w:pPr>
            <w:r>
              <w:rPr>
                <w:bCs/>
                <w:lang w:val="es-ES"/>
              </w:rPr>
              <w:t>9 505</w:t>
            </w:r>
          </w:p>
        </w:tc>
        <w:tc>
          <w:tcPr>
            <w:tcW w:w="1114" w:type="dxa"/>
            <w:tcMar>
              <w:left w:w="108" w:type="dxa"/>
              <w:right w:w="108" w:type="dxa"/>
            </w:tcMar>
          </w:tcPr>
          <w:p w:rsidR="002B489A" w:rsidRDefault="004F19C4">
            <w:pPr>
              <w:pStyle w:val="Tabletext"/>
              <w:framePr w:hSpace="181" w:wrap="notBeside" w:vAnchor="text" w:hAnchor="text" w:xAlign="center" w:y="1"/>
              <w:jc w:val="center"/>
              <w:rPr>
                <w:bCs/>
                <w:lang w:val="es-ES"/>
              </w:rPr>
            </w:pPr>
            <w:r>
              <w:rPr>
                <w:bCs/>
                <w:lang w:val="es-ES"/>
              </w:rPr>
              <w:t>35 050</w:t>
            </w:r>
          </w:p>
        </w:tc>
        <w:tc>
          <w:tcPr>
            <w:tcW w:w="975" w:type="dxa"/>
            <w:tcMar>
              <w:left w:w="108" w:type="dxa"/>
              <w:right w:w="108" w:type="dxa"/>
            </w:tcMar>
          </w:tcPr>
          <w:p w:rsidR="002B489A" w:rsidRDefault="004F19C4">
            <w:pPr>
              <w:pStyle w:val="Tabletext"/>
              <w:framePr w:hSpace="181" w:wrap="notBeside" w:vAnchor="text" w:hAnchor="text" w:xAlign="center" w:y="1"/>
              <w:jc w:val="center"/>
              <w:rPr>
                <w:bCs/>
                <w:lang w:val="es-ES"/>
              </w:rPr>
            </w:pPr>
            <w:r>
              <w:rPr>
                <w:bCs/>
                <w:lang w:val="es-ES"/>
              </w:rPr>
              <w:t>–850</w:t>
            </w:r>
          </w:p>
        </w:tc>
        <w:tc>
          <w:tcPr>
            <w:tcW w:w="1252" w:type="dxa"/>
            <w:tcMar>
              <w:left w:w="108" w:type="dxa"/>
              <w:right w:w="108" w:type="dxa"/>
            </w:tcMar>
          </w:tcPr>
          <w:p w:rsidR="002B489A" w:rsidRDefault="004F19C4">
            <w:pPr>
              <w:pStyle w:val="Tabletext"/>
              <w:framePr w:hSpace="181" w:wrap="notBeside" w:vAnchor="text" w:hAnchor="text" w:xAlign="center" w:y="1"/>
              <w:jc w:val="center"/>
              <w:rPr>
                <w:bCs/>
                <w:lang w:val="es-ES"/>
              </w:rPr>
            </w:pPr>
            <w:r>
              <w:rPr>
                <w:bCs/>
                <w:lang w:val="es-ES"/>
              </w:rPr>
              <w:t>–850</w:t>
            </w:r>
          </w:p>
        </w:tc>
      </w:tr>
      <w:tr w:rsidR="002B489A">
        <w:tc>
          <w:tcPr>
            <w:tcW w:w="2957" w:type="dxa"/>
            <w:tcMar>
              <w:left w:w="108" w:type="dxa"/>
              <w:right w:w="108" w:type="dxa"/>
            </w:tcMar>
          </w:tcPr>
          <w:p w:rsidR="002B489A" w:rsidRDefault="004F19C4">
            <w:pPr>
              <w:pStyle w:val="Tabletext"/>
              <w:framePr w:hSpace="181" w:wrap="notBeside" w:vAnchor="text" w:hAnchor="text" w:xAlign="center" w:y="1"/>
              <w:jc w:val="left"/>
              <w:rPr>
                <w:bCs/>
                <w:lang w:val="fr-CH"/>
              </w:rPr>
            </w:pPr>
            <w:r>
              <w:rPr>
                <w:bCs/>
                <w:lang w:val="fr-CH"/>
              </w:rPr>
              <w:t>Affaiblissement minimum de voie (dB)</w:t>
            </w:r>
          </w:p>
        </w:tc>
        <w:tc>
          <w:tcPr>
            <w:tcW w:w="1390" w:type="dxa"/>
            <w:tcMar>
              <w:left w:w="108" w:type="dxa"/>
              <w:right w:w="108" w:type="dxa"/>
            </w:tcMar>
          </w:tcPr>
          <w:p w:rsidR="002B489A" w:rsidRDefault="004F19C4">
            <w:pPr>
              <w:pStyle w:val="Tabletext"/>
              <w:framePr w:hSpace="181" w:wrap="notBeside" w:vAnchor="text" w:hAnchor="text" w:xAlign="center" w:y="1"/>
              <w:jc w:val="center"/>
              <w:rPr>
                <w:bCs/>
                <w:lang w:val="es-ES"/>
              </w:rPr>
            </w:pPr>
            <w:r>
              <w:rPr>
                <w:bCs/>
                <w:lang w:val="es-ES"/>
              </w:rPr>
              <w:t>–206,03</w:t>
            </w:r>
          </w:p>
        </w:tc>
        <w:tc>
          <w:tcPr>
            <w:tcW w:w="975" w:type="dxa"/>
            <w:tcMar>
              <w:left w:w="108" w:type="dxa"/>
              <w:right w:w="108" w:type="dxa"/>
            </w:tcMar>
          </w:tcPr>
          <w:p w:rsidR="002B489A" w:rsidRDefault="004F19C4">
            <w:pPr>
              <w:pStyle w:val="Tabletext"/>
              <w:framePr w:hSpace="181" w:wrap="notBeside" w:vAnchor="text" w:hAnchor="text" w:xAlign="center" w:y="1"/>
              <w:jc w:val="center"/>
              <w:rPr>
                <w:bCs/>
                <w:lang w:val="es-ES"/>
              </w:rPr>
            </w:pPr>
            <w:r>
              <w:rPr>
                <w:bCs/>
                <w:lang w:val="es-ES"/>
              </w:rPr>
              <w:t>–180,45</w:t>
            </w:r>
          </w:p>
        </w:tc>
        <w:tc>
          <w:tcPr>
            <w:tcW w:w="976" w:type="dxa"/>
            <w:tcMar>
              <w:left w:w="108" w:type="dxa"/>
              <w:right w:w="108" w:type="dxa"/>
            </w:tcMar>
          </w:tcPr>
          <w:p w:rsidR="002B489A" w:rsidRDefault="004F19C4">
            <w:pPr>
              <w:pStyle w:val="Tabletext"/>
              <w:framePr w:hSpace="181" w:wrap="notBeside" w:vAnchor="text" w:hAnchor="text" w:xAlign="center" w:y="1"/>
              <w:jc w:val="center"/>
              <w:rPr>
                <w:bCs/>
                <w:lang w:val="es-ES"/>
              </w:rPr>
            </w:pPr>
            <w:r>
              <w:rPr>
                <w:bCs/>
                <w:lang w:val="es-ES"/>
              </w:rPr>
              <w:t>–206,03</w:t>
            </w:r>
          </w:p>
        </w:tc>
        <w:tc>
          <w:tcPr>
            <w:tcW w:w="1114" w:type="dxa"/>
            <w:tcMar>
              <w:left w:w="108" w:type="dxa"/>
              <w:right w:w="108" w:type="dxa"/>
            </w:tcMar>
          </w:tcPr>
          <w:p w:rsidR="002B489A" w:rsidRDefault="004F19C4">
            <w:pPr>
              <w:pStyle w:val="Tabletext"/>
              <w:framePr w:hSpace="181" w:wrap="notBeside" w:vAnchor="text" w:hAnchor="text" w:xAlign="center" w:y="1"/>
              <w:jc w:val="center"/>
              <w:rPr>
                <w:bCs/>
                <w:lang w:val="es-ES"/>
              </w:rPr>
            </w:pPr>
            <w:r>
              <w:rPr>
                <w:bCs/>
                <w:lang w:val="es-ES"/>
              </w:rPr>
              <w:t>–217,37</w:t>
            </w:r>
          </w:p>
        </w:tc>
        <w:tc>
          <w:tcPr>
            <w:tcW w:w="975" w:type="dxa"/>
            <w:tcMar>
              <w:left w:w="108" w:type="dxa"/>
              <w:right w:w="108" w:type="dxa"/>
            </w:tcMar>
          </w:tcPr>
          <w:p w:rsidR="002B489A" w:rsidRDefault="004F19C4">
            <w:pPr>
              <w:pStyle w:val="Tabletext"/>
              <w:framePr w:hSpace="181" w:wrap="notBeside" w:vAnchor="text" w:hAnchor="text" w:xAlign="center" w:y="1"/>
              <w:jc w:val="center"/>
              <w:rPr>
                <w:bCs/>
                <w:lang w:val="es-ES"/>
              </w:rPr>
            </w:pPr>
            <w:r>
              <w:rPr>
                <w:bCs/>
                <w:lang w:val="es-ES"/>
              </w:rPr>
              <w:t>–217,37</w:t>
            </w:r>
          </w:p>
        </w:tc>
        <w:tc>
          <w:tcPr>
            <w:tcW w:w="1252" w:type="dxa"/>
            <w:tcMar>
              <w:left w:w="108" w:type="dxa"/>
              <w:right w:w="108" w:type="dxa"/>
            </w:tcMar>
          </w:tcPr>
          <w:p w:rsidR="002B489A" w:rsidRDefault="004F19C4">
            <w:pPr>
              <w:pStyle w:val="Tabletext"/>
              <w:framePr w:hSpace="181" w:wrap="notBeside" w:vAnchor="text" w:hAnchor="text" w:xAlign="center" w:y="1"/>
              <w:jc w:val="center"/>
              <w:rPr>
                <w:bCs/>
                <w:lang w:val="es-ES"/>
              </w:rPr>
            </w:pPr>
            <w:r>
              <w:rPr>
                <w:bCs/>
                <w:lang w:val="es-ES"/>
              </w:rPr>
              <w:t>–217,37</w:t>
            </w:r>
          </w:p>
        </w:tc>
      </w:tr>
      <w:tr w:rsidR="002B489A">
        <w:tc>
          <w:tcPr>
            <w:tcW w:w="2957" w:type="dxa"/>
            <w:tcMar>
              <w:left w:w="108" w:type="dxa"/>
              <w:right w:w="108" w:type="dxa"/>
            </w:tcMar>
          </w:tcPr>
          <w:p w:rsidR="002B489A" w:rsidRDefault="004F19C4">
            <w:pPr>
              <w:pStyle w:val="Tabletext"/>
              <w:framePr w:hSpace="181" w:wrap="notBeside" w:vAnchor="text" w:hAnchor="text" w:xAlign="center" w:y="1"/>
              <w:jc w:val="left"/>
              <w:rPr>
                <w:bCs/>
                <w:lang w:val="fr-CH"/>
              </w:rPr>
            </w:pPr>
            <w:r>
              <w:rPr>
                <w:bCs/>
                <w:lang w:val="fr-CH"/>
              </w:rPr>
              <w:t>Puissance reçue en cofréquence (dBW)</w:t>
            </w:r>
          </w:p>
        </w:tc>
        <w:tc>
          <w:tcPr>
            <w:tcW w:w="1390" w:type="dxa"/>
            <w:tcMar>
              <w:left w:w="108" w:type="dxa"/>
              <w:right w:w="108" w:type="dxa"/>
            </w:tcMar>
          </w:tcPr>
          <w:p w:rsidR="002B489A" w:rsidRDefault="004F19C4">
            <w:pPr>
              <w:pStyle w:val="Tabletext"/>
              <w:framePr w:hSpace="181" w:wrap="notBeside" w:vAnchor="text" w:hAnchor="text" w:xAlign="center" w:y="1"/>
              <w:jc w:val="center"/>
              <w:rPr>
                <w:bCs/>
                <w:lang w:val="es-ES"/>
              </w:rPr>
            </w:pPr>
            <w:r>
              <w:rPr>
                <w:bCs/>
                <w:lang w:val="es-ES"/>
              </w:rPr>
              <w:t>–162,34</w:t>
            </w:r>
          </w:p>
        </w:tc>
        <w:tc>
          <w:tcPr>
            <w:tcW w:w="975" w:type="dxa"/>
            <w:tcMar>
              <w:left w:w="108" w:type="dxa"/>
              <w:right w:w="108" w:type="dxa"/>
            </w:tcMar>
          </w:tcPr>
          <w:p w:rsidR="002B489A" w:rsidRDefault="004F19C4">
            <w:pPr>
              <w:pStyle w:val="Tabletext"/>
              <w:framePr w:hSpace="181" w:wrap="notBeside" w:vAnchor="text" w:hAnchor="text" w:xAlign="center" w:y="1"/>
              <w:jc w:val="center"/>
              <w:rPr>
                <w:bCs/>
                <w:lang w:val="es-ES"/>
              </w:rPr>
            </w:pPr>
            <w:r>
              <w:rPr>
                <w:bCs/>
                <w:lang w:val="es-ES"/>
              </w:rPr>
              <w:t>–145,88</w:t>
            </w:r>
          </w:p>
        </w:tc>
        <w:tc>
          <w:tcPr>
            <w:tcW w:w="976" w:type="dxa"/>
            <w:tcMar>
              <w:left w:w="108" w:type="dxa"/>
              <w:right w:w="108" w:type="dxa"/>
            </w:tcMar>
          </w:tcPr>
          <w:p w:rsidR="002B489A" w:rsidRDefault="004F19C4">
            <w:pPr>
              <w:pStyle w:val="Tabletext"/>
              <w:framePr w:hSpace="181" w:wrap="notBeside" w:vAnchor="text" w:hAnchor="text" w:xAlign="center" w:y="1"/>
              <w:jc w:val="center"/>
              <w:rPr>
                <w:bCs/>
                <w:lang w:val="es-ES"/>
              </w:rPr>
            </w:pPr>
            <w:r>
              <w:rPr>
                <w:bCs/>
                <w:lang w:val="es-ES"/>
              </w:rPr>
              <w:t>–170,62</w:t>
            </w:r>
          </w:p>
        </w:tc>
        <w:tc>
          <w:tcPr>
            <w:tcW w:w="1114" w:type="dxa"/>
            <w:tcMar>
              <w:left w:w="108" w:type="dxa"/>
              <w:right w:w="108" w:type="dxa"/>
            </w:tcMar>
          </w:tcPr>
          <w:p w:rsidR="002B489A" w:rsidRDefault="004F19C4">
            <w:pPr>
              <w:pStyle w:val="Tabletext"/>
              <w:framePr w:hSpace="181" w:wrap="notBeside" w:vAnchor="text" w:hAnchor="text" w:xAlign="center" w:y="1"/>
              <w:jc w:val="center"/>
              <w:rPr>
                <w:bCs/>
                <w:lang w:val="es-ES"/>
              </w:rPr>
            </w:pPr>
            <w:r>
              <w:rPr>
                <w:bCs/>
                <w:lang w:val="es-ES"/>
              </w:rPr>
              <w:t>–175,46</w:t>
            </w:r>
          </w:p>
        </w:tc>
        <w:tc>
          <w:tcPr>
            <w:tcW w:w="975" w:type="dxa"/>
            <w:tcMar>
              <w:left w:w="108" w:type="dxa"/>
              <w:right w:w="108" w:type="dxa"/>
            </w:tcMar>
          </w:tcPr>
          <w:p w:rsidR="002B489A" w:rsidRDefault="004F19C4">
            <w:pPr>
              <w:pStyle w:val="Tabletext"/>
              <w:framePr w:hSpace="181" w:wrap="notBeside" w:vAnchor="text" w:hAnchor="text" w:xAlign="center" w:y="1"/>
              <w:jc w:val="center"/>
              <w:rPr>
                <w:bCs/>
                <w:lang w:val="es-ES"/>
              </w:rPr>
            </w:pPr>
            <w:r>
              <w:rPr>
                <w:bCs/>
                <w:lang w:val="es-ES"/>
              </w:rPr>
              <w:t>–167,70</w:t>
            </w:r>
          </w:p>
        </w:tc>
        <w:tc>
          <w:tcPr>
            <w:tcW w:w="1252" w:type="dxa"/>
            <w:tcMar>
              <w:left w:w="108" w:type="dxa"/>
              <w:right w:w="108" w:type="dxa"/>
            </w:tcMar>
          </w:tcPr>
          <w:p w:rsidR="002B489A" w:rsidRDefault="004F19C4">
            <w:pPr>
              <w:pStyle w:val="Tabletext"/>
              <w:framePr w:hSpace="181" w:wrap="notBeside" w:vAnchor="text" w:hAnchor="text" w:xAlign="center" w:y="1"/>
              <w:jc w:val="center"/>
              <w:rPr>
                <w:bCs/>
                <w:lang w:val="es-ES"/>
              </w:rPr>
            </w:pPr>
            <w:r>
              <w:rPr>
                <w:bCs/>
                <w:lang w:val="es-ES"/>
              </w:rPr>
              <w:t>–165,90</w:t>
            </w:r>
          </w:p>
        </w:tc>
      </w:tr>
      <w:tr w:rsidR="002B489A">
        <w:tc>
          <w:tcPr>
            <w:tcW w:w="2957" w:type="dxa"/>
            <w:tcBorders>
              <w:bottom w:val="single" w:sz="4" w:space="0" w:color="auto"/>
            </w:tcBorders>
            <w:tcMar>
              <w:left w:w="108" w:type="dxa"/>
              <w:right w:w="108" w:type="dxa"/>
            </w:tcMar>
          </w:tcPr>
          <w:p w:rsidR="002B489A" w:rsidRDefault="004F19C4">
            <w:pPr>
              <w:pStyle w:val="Tabletext"/>
              <w:framePr w:hSpace="181" w:wrap="notBeside" w:vAnchor="text" w:hAnchor="text" w:xAlign="center" w:y="1"/>
              <w:jc w:val="left"/>
              <w:rPr>
                <w:bCs/>
                <w:lang w:val="fr-CH"/>
              </w:rPr>
            </w:pPr>
            <w:r>
              <w:rPr>
                <w:bCs/>
                <w:lang w:val="fr-CH"/>
              </w:rPr>
              <w:t>Excédent de puissance au-delà du seuil de brouillage (dB)</w:t>
            </w:r>
          </w:p>
        </w:tc>
        <w:tc>
          <w:tcPr>
            <w:tcW w:w="1390" w:type="dxa"/>
            <w:tcBorders>
              <w:bottom w:val="single" w:sz="4" w:space="0" w:color="auto"/>
            </w:tcBorders>
            <w:tcMar>
              <w:left w:w="108" w:type="dxa"/>
              <w:right w:w="108" w:type="dxa"/>
            </w:tcMar>
          </w:tcPr>
          <w:p w:rsidR="002B489A" w:rsidRDefault="004F19C4">
            <w:pPr>
              <w:pStyle w:val="Tabletext"/>
              <w:framePr w:hSpace="181" w:wrap="notBeside" w:vAnchor="text" w:hAnchor="text" w:xAlign="center" w:y="1"/>
              <w:jc w:val="center"/>
              <w:rPr>
                <w:b/>
                <w:lang w:val="es-ES"/>
              </w:rPr>
            </w:pPr>
            <w:r>
              <w:rPr>
                <w:b/>
                <w:lang w:val="es-ES"/>
              </w:rPr>
              <w:t>0,66</w:t>
            </w:r>
          </w:p>
        </w:tc>
        <w:tc>
          <w:tcPr>
            <w:tcW w:w="975" w:type="dxa"/>
            <w:tcBorders>
              <w:bottom w:val="single" w:sz="4" w:space="0" w:color="auto"/>
            </w:tcBorders>
            <w:tcMar>
              <w:left w:w="108" w:type="dxa"/>
              <w:right w:w="108" w:type="dxa"/>
            </w:tcMar>
          </w:tcPr>
          <w:p w:rsidR="002B489A" w:rsidRDefault="004F19C4">
            <w:pPr>
              <w:pStyle w:val="Tabletext"/>
              <w:framePr w:hSpace="181" w:wrap="notBeside" w:vAnchor="text" w:hAnchor="text" w:xAlign="center" w:y="1"/>
              <w:jc w:val="center"/>
              <w:rPr>
                <w:b/>
                <w:lang w:val="es-ES"/>
              </w:rPr>
            </w:pPr>
            <w:r>
              <w:rPr>
                <w:b/>
                <w:lang w:val="es-ES"/>
              </w:rPr>
              <w:t>17,12</w:t>
            </w:r>
          </w:p>
        </w:tc>
        <w:tc>
          <w:tcPr>
            <w:tcW w:w="976" w:type="dxa"/>
            <w:tcBorders>
              <w:bottom w:val="single" w:sz="4" w:space="0" w:color="auto"/>
            </w:tcBorders>
            <w:tcMar>
              <w:left w:w="108" w:type="dxa"/>
              <w:right w:w="108" w:type="dxa"/>
            </w:tcMar>
          </w:tcPr>
          <w:p w:rsidR="002B489A" w:rsidRDefault="004F19C4">
            <w:pPr>
              <w:pStyle w:val="Tabletext"/>
              <w:framePr w:hSpace="181" w:wrap="notBeside" w:vAnchor="text" w:hAnchor="text" w:xAlign="center" w:y="1"/>
              <w:jc w:val="center"/>
              <w:rPr>
                <w:b/>
                <w:lang w:val="es-ES"/>
              </w:rPr>
            </w:pPr>
            <w:r>
              <w:rPr>
                <w:b/>
                <w:lang w:val="es-ES"/>
              </w:rPr>
              <w:t>–7,62</w:t>
            </w:r>
          </w:p>
        </w:tc>
        <w:tc>
          <w:tcPr>
            <w:tcW w:w="1114" w:type="dxa"/>
            <w:tcBorders>
              <w:bottom w:val="single" w:sz="4" w:space="0" w:color="auto"/>
            </w:tcBorders>
            <w:tcMar>
              <w:left w:w="108" w:type="dxa"/>
              <w:right w:w="108" w:type="dxa"/>
            </w:tcMar>
          </w:tcPr>
          <w:p w:rsidR="002B489A" w:rsidRDefault="004F19C4">
            <w:pPr>
              <w:pStyle w:val="Tabletext"/>
              <w:framePr w:hSpace="181" w:wrap="notBeside" w:vAnchor="text" w:hAnchor="text" w:xAlign="center" w:y="1"/>
              <w:jc w:val="center"/>
              <w:rPr>
                <w:b/>
                <w:lang w:val="es-ES"/>
              </w:rPr>
            </w:pPr>
            <w:r>
              <w:rPr>
                <w:b/>
                <w:lang w:val="es-ES"/>
              </w:rPr>
              <w:t>–12,46</w:t>
            </w:r>
          </w:p>
        </w:tc>
        <w:tc>
          <w:tcPr>
            <w:tcW w:w="975" w:type="dxa"/>
            <w:tcBorders>
              <w:bottom w:val="single" w:sz="4" w:space="0" w:color="auto"/>
            </w:tcBorders>
            <w:tcMar>
              <w:left w:w="108" w:type="dxa"/>
              <w:right w:w="108" w:type="dxa"/>
            </w:tcMar>
          </w:tcPr>
          <w:p w:rsidR="002B489A" w:rsidRDefault="004F19C4">
            <w:pPr>
              <w:pStyle w:val="Tabletext"/>
              <w:framePr w:hSpace="181" w:wrap="notBeside" w:vAnchor="text" w:hAnchor="text" w:xAlign="center" w:y="1"/>
              <w:jc w:val="center"/>
              <w:rPr>
                <w:b/>
                <w:lang w:val="es-ES"/>
              </w:rPr>
            </w:pPr>
            <w:r>
              <w:rPr>
                <w:b/>
                <w:lang w:val="es-ES"/>
              </w:rPr>
              <w:t>–4,70</w:t>
            </w:r>
          </w:p>
        </w:tc>
        <w:tc>
          <w:tcPr>
            <w:tcW w:w="1252" w:type="dxa"/>
            <w:tcBorders>
              <w:bottom w:val="single" w:sz="4" w:space="0" w:color="auto"/>
            </w:tcBorders>
            <w:tcMar>
              <w:left w:w="108" w:type="dxa"/>
              <w:right w:w="108" w:type="dxa"/>
            </w:tcMar>
          </w:tcPr>
          <w:p w:rsidR="002B489A" w:rsidRDefault="004F19C4">
            <w:pPr>
              <w:pStyle w:val="Tabletext"/>
              <w:framePr w:hSpace="181" w:wrap="notBeside" w:vAnchor="text" w:hAnchor="text" w:xAlign="center" w:y="1"/>
              <w:jc w:val="center"/>
              <w:rPr>
                <w:b/>
                <w:lang w:val="es-ES"/>
              </w:rPr>
            </w:pPr>
            <w:r>
              <w:rPr>
                <w:b/>
                <w:lang w:val="es-ES"/>
              </w:rPr>
              <w:t>–2,90</w:t>
            </w:r>
          </w:p>
        </w:tc>
      </w:tr>
      <w:tr w:rsidR="002B489A">
        <w:trPr>
          <w:cantSplit/>
        </w:trPr>
        <w:tc>
          <w:tcPr>
            <w:tcW w:w="9639" w:type="dxa"/>
            <w:gridSpan w:val="7"/>
            <w:tcBorders>
              <w:left w:val="nil"/>
              <w:bottom w:val="nil"/>
              <w:right w:val="nil"/>
            </w:tcBorders>
          </w:tcPr>
          <w:p w:rsidR="002B489A" w:rsidRDefault="004F19C4">
            <w:pPr>
              <w:pStyle w:val="Tablelegend"/>
              <w:framePr w:hSpace="181" w:wrap="notBeside" w:vAnchor="text" w:hAnchor="text" w:xAlign="center" w:y="1"/>
              <w:ind w:left="369" w:right="0"/>
              <w:rPr>
                <w:b/>
                <w:lang w:val="fr-CH"/>
              </w:rPr>
            </w:pPr>
            <w:r>
              <w:rPr>
                <w:lang w:val="fr-CH"/>
              </w:rPr>
              <w:t>NOTE 1 – </w:t>
            </w:r>
            <w:r>
              <w:rPr>
                <w:bCs/>
                <w:lang w:val="fr-CH"/>
              </w:rPr>
              <w:t>Il faudrait peut-être redéfinir les caractéristiques susmentionnées.</w:t>
            </w:r>
          </w:p>
        </w:tc>
      </w:tr>
    </w:tbl>
    <w:p w:rsidR="002B489A" w:rsidRDefault="002B489A">
      <w:pPr>
        <w:pStyle w:val="Tablefin"/>
        <w:rPr>
          <w:lang w:val="fr-CH"/>
        </w:rPr>
      </w:pPr>
    </w:p>
    <w:p w:rsidR="002B489A" w:rsidRDefault="004F19C4">
      <w:pPr>
        <w:pStyle w:val="Heading3"/>
        <w:rPr>
          <w:lang w:val="fr-CH"/>
        </w:rPr>
      </w:pPr>
      <w:r>
        <w:rPr>
          <w:lang w:val="fr-CH"/>
        </w:rPr>
        <w:t>5.2.4</w:t>
      </w:r>
      <w:r>
        <w:rPr>
          <w:lang w:val="fr-CH"/>
        </w:rPr>
        <w:tab/>
        <w:t>Filtrage en bande de base</w:t>
      </w:r>
    </w:p>
    <w:p w:rsidR="002B489A" w:rsidRDefault="004F19C4">
      <w:pPr>
        <w:spacing w:after="120"/>
        <w:rPr>
          <w:lang w:val="fr-CH"/>
        </w:rPr>
      </w:pPr>
      <w:r>
        <w:rPr>
          <w:lang w:val="fr-CH"/>
        </w:rPr>
        <w:t>Les niveaux de rayonnements non désirés provenant des systèmes du service actif peuvent être réduits grâce à l'utilisation de techniques de modulation et de filtrage efficaces.</w:t>
      </w:r>
    </w:p>
    <w:p w:rsidR="002B489A" w:rsidRDefault="004F19C4">
      <w:pPr>
        <w:pStyle w:val="Heading2"/>
        <w:rPr>
          <w:lang w:val="fr-CH"/>
        </w:rPr>
      </w:pPr>
      <w:r>
        <w:rPr>
          <w:lang w:val="fr-CH"/>
        </w:rPr>
        <w:t>5.3</w:t>
      </w:r>
      <w:r>
        <w:rPr>
          <w:lang w:val="fr-CH"/>
        </w:rPr>
        <w:tab/>
        <w:t>Impact potentiel</w:t>
      </w:r>
    </w:p>
    <w:p w:rsidR="002B489A" w:rsidRDefault="004F19C4">
      <w:pPr>
        <w:pStyle w:val="Heading3"/>
        <w:rPr>
          <w:lang w:val="fr-CH"/>
        </w:rPr>
      </w:pPr>
      <w:r>
        <w:rPr>
          <w:lang w:val="fr-CH"/>
        </w:rPr>
        <w:t>5.3.1</w:t>
      </w:r>
      <w:r>
        <w:rPr>
          <w:lang w:val="fr-CH"/>
        </w:rPr>
        <w:tab/>
        <w:t>SETS (passive)</w:t>
      </w:r>
    </w:p>
    <w:p w:rsidR="002B489A" w:rsidRDefault="004F19C4">
      <w:pPr>
        <w:rPr>
          <w:lang w:val="fr-CH"/>
        </w:rPr>
      </w:pPr>
      <w:r>
        <w:rPr>
          <w:lang w:val="fr-CH"/>
        </w:rPr>
        <w:t>L'impact potentiel sur le SETS (passive) ne peut pas être évalué tant que les techniques de réduction des brouillages (§ 5.1) ne seront pas finalisées.</w:t>
      </w:r>
    </w:p>
    <w:p w:rsidR="002B489A" w:rsidRDefault="004F19C4">
      <w:pPr>
        <w:pStyle w:val="Heading3"/>
        <w:rPr>
          <w:lang w:val="fr-CH"/>
        </w:rPr>
      </w:pPr>
      <w:r>
        <w:rPr>
          <w:lang w:val="fr-CH"/>
        </w:rPr>
        <w:t>5.3.2</w:t>
      </w:r>
      <w:r>
        <w:rPr>
          <w:lang w:val="fr-CH"/>
        </w:rPr>
        <w:tab/>
        <w:t>SFS</w:t>
      </w:r>
    </w:p>
    <w:p w:rsidR="002B489A" w:rsidRDefault="004F19C4">
      <w:pPr>
        <w:rPr>
          <w:lang w:val="fr-CH"/>
        </w:rPr>
      </w:pPr>
      <w:r>
        <w:rPr>
          <w:lang w:val="fr-CH"/>
        </w:rPr>
        <w:t>L'impact des techniques de réduction des brouillages reste à évaluer.</w:t>
      </w:r>
    </w:p>
    <w:p w:rsidR="002B489A" w:rsidRDefault="004F19C4">
      <w:pPr>
        <w:pStyle w:val="Heading1"/>
        <w:rPr>
          <w:lang w:val="fr-CH"/>
        </w:rPr>
      </w:pPr>
      <w:r>
        <w:rPr>
          <w:lang w:val="fr-CH"/>
        </w:rPr>
        <w:t>6</w:t>
      </w:r>
      <w:r>
        <w:rPr>
          <w:lang w:val="fr-CH"/>
        </w:rPr>
        <w:tab/>
        <w:t>Résultats des études</w:t>
      </w:r>
    </w:p>
    <w:p w:rsidR="002B489A" w:rsidRDefault="004F19C4">
      <w:pPr>
        <w:rPr>
          <w:lang w:val="fr-CH"/>
        </w:rPr>
      </w:pPr>
      <w:r>
        <w:rPr>
          <w:lang w:val="fr-CH"/>
        </w:rPr>
        <w:t>La présente analyse montre qu'en général, un détecteur en peigne recevra une puissance non désirée considérable, excédant le seuil de brouillage à la fois en magnitude et en durée, deux fois par orbite à travers un de ses faisceaux d'antenne, lorsque qu'il croise la latitude de toute station terrienne.</w:t>
      </w:r>
    </w:p>
    <w:p w:rsidR="002B489A" w:rsidRDefault="004F19C4">
      <w:pPr>
        <w:rPr>
          <w:lang w:val="fr-CH"/>
        </w:rPr>
      </w:pPr>
      <w:r>
        <w:rPr>
          <w:lang w:val="fr-CH"/>
        </w:rPr>
        <w:t>Les cas les plus défavorables de configurations impliquant des voies de brouillage à travers le lobe principal de la station terrienne sont les plus dommageables parce qu'ils conduisent à la perte d'un certain nombre de lignes de balayage complètes successives du détecteur passif. De plus, la magnitude de l'excès de puissance au-delà du seuil de brouillage, qui peut se monter jusqu'à 108 dB, peut avoir un effet destructeur sur les récepteurs du détecteur passif.</w:t>
      </w:r>
    </w:p>
    <w:p w:rsidR="002B489A" w:rsidRDefault="004F19C4">
      <w:pPr>
        <w:pStyle w:val="AnnexNoTitle"/>
      </w:pPr>
      <w:r>
        <w:rPr>
          <w:lang w:val="fr-CH"/>
        </w:rPr>
        <w:br w:type="page"/>
        <w:t>Annexe 20</w:t>
      </w:r>
      <w:r>
        <w:rPr>
          <w:lang w:val="fr-CH"/>
        </w:rPr>
        <w:br/>
      </w:r>
      <w:r>
        <w:rPr>
          <w:lang w:val="fr-CH"/>
        </w:rPr>
        <w:br/>
        <w:t>Analyse de compatibilité entre les systèmes du SETS (passive) fonctionnant dans la bande 50,2</w:t>
      </w:r>
      <w:r>
        <w:rPr>
          <w:lang w:val="fr-CH"/>
        </w:rPr>
        <w:noBreakHyphen/>
        <w:t>50,4 GHz et les systèmes du SFS (Terre vers espace) et du SMS (Terre vers espace) fonctionnant dans la bande 50,4</w:t>
      </w:r>
      <w:r>
        <w:rPr>
          <w:lang w:val="fr-CH"/>
        </w:rPr>
        <w:noBreakHyphen/>
        <w:t>51,4 GHz</w:t>
      </w:r>
    </w:p>
    <w:p w:rsidR="002B489A" w:rsidRDefault="004F19C4">
      <w:pPr>
        <w:pStyle w:val="Heading1"/>
        <w:rPr>
          <w:lang w:val="fr-CH"/>
        </w:rPr>
      </w:pPr>
      <w:r>
        <w:rPr>
          <w:lang w:val="fr-CH"/>
        </w:rPr>
        <w:t>1</w:t>
      </w:r>
      <w:r>
        <w:rPr>
          <w:lang w:val="fr-CH"/>
        </w:rPr>
        <w:tab/>
        <w:t>SETS (passive)</w:t>
      </w:r>
    </w:p>
    <w:p w:rsidR="002B489A" w:rsidRDefault="004F19C4">
      <w:pPr>
        <w:pStyle w:val="Heading2"/>
        <w:rPr>
          <w:lang w:val="fr-CH"/>
        </w:rPr>
      </w:pPr>
      <w:r>
        <w:rPr>
          <w:lang w:val="fr-CH"/>
        </w:rPr>
        <w:t>1.1</w:t>
      </w:r>
      <w:r>
        <w:rPr>
          <w:lang w:val="fr-CH"/>
        </w:rPr>
        <w:tab/>
        <w:t>Bande attribuée</w:t>
      </w:r>
    </w:p>
    <w:p w:rsidR="002B489A" w:rsidRDefault="004F19C4">
      <w:pPr>
        <w:rPr>
          <w:lang w:val="fr-CH"/>
        </w:rPr>
      </w:pPr>
      <w:r>
        <w:rPr>
          <w:lang w:val="fr-CH"/>
        </w:rPr>
        <w:t>Les attributions adjacentes à la bande passive de 50,2</w:t>
      </w:r>
      <w:r>
        <w:rPr>
          <w:lang w:val="fr-CH"/>
        </w:rPr>
        <w:noBreakHyphen/>
        <w:t>50,4 GHz du SETS figurent dans le Tableau 114. On notera que la bande 50,2</w:t>
      </w:r>
      <w:r>
        <w:rPr>
          <w:lang w:val="fr-CH"/>
        </w:rPr>
        <w:noBreakHyphen/>
        <w:t>50,4 GHz est couverte par le numréo 5.340 du RR et que le numéro 5.340.1 du RR s'applique aussi.</w:t>
      </w:r>
    </w:p>
    <w:p w:rsidR="002B489A" w:rsidRDefault="004F19C4">
      <w:pPr>
        <w:pStyle w:val="TableNo"/>
        <w:rPr>
          <w:lang w:val="fr-CH"/>
        </w:rPr>
      </w:pPr>
      <w:r>
        <w:rPr>
          <w:lang w:val="fr-CH"/>
        </w:rPr>
        <w:t>TABLEAU  114</w:t>
      </w:r>
    </w:p>
    <w:p w:rsidR="002B489A" w:rsidRDefault="004F19C4">
      <w:pPr>
        <w:pStyle w:val="Tabletitle"/>
        <w:rPr>
          <w:lang w:val="fr-CH"/>
        </w:rPr>
      </w:pPr>
      <w:r>
        <w:rPr>
          <w:lang w:val="fr-CH"/>
        </w:rPr>
        <w:t>Attributions dans les bandes adjacentes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2B489A">
        <w:tc>
          <w:tcPr>
            <w:tcW w:w="3213" w:type="dxa"/>
          </w:tcPr>
          <w:p w:rsidR="002B489A" w:rsidRDefault="004F19C4">
            <w:pPr>
              <w:pStyle w:val="Tablehead"/>
              <w:framePr w:hSpace="181" w:wrap="notBeside" w:vAnchor="text" w:hAnchor="text" w:xAlign="center" w:y="1"/>
              <w:rPr>
                <w:lang w:val="fr-CH"/>
              </w:rPr>
            </w:pPr>
            <w:r>
              <w:rPr>
                <w:lang w:val="fr-CH"/>
              </w:rPr>
              <w:t>Services dans la bande attribuée inférieure</w:t>
            </w:r>
          </w:p>
        </w:tc>
        <w:tc>
          <w:tcPr>
            <w:tcW w:w="3213" w:type="dxa"/>
            <w:vAlign w:val="center"/>
          </w:tcPr>
          <w:p w:rsidR="002B489A" w:rsidRDefault="004F19C4">
            <w:pPr>
              <w:pStyle w:val="Tablehead"/>
              <w:framePr w:hSpace="181" w:wrap="notBeside" w:vAnchor="text" w:hAnchor="text" w:xAlign="center" w:y="1"/>
              <w:rPr>
                <w:lang w:val="fr-CH"/>
              </w:rPr>
            </w:pPr>
            <w:r>
              <w:rPr>
                <w:lang w:val="fr-CH"/>
              </w:rPr>
              <w:t>Bande passive</w:t>
            </w:r>
          </w:p>
        </w:tc>
        <w:tc>
          <w:tcPr>
            <w:tcW w:w="3213" w:type="dxa"/>
          </w:tcPr>
          <w:p w:rsidR="002B489A" w:rsidRDefault="004F19C4">
            <w:pPr>
              <w:pStyle w:val="Tablehead"/>
              <w:framePr w:hSpace="181" w:wrap="notBeside" w:vAnchor="text" w:hAnchor="text" w:xAlign="center" w:y="1"/>
              <w:rPr>
                <w:lang w:val="fr-CH"/>
              </w:rPr>
            </w:pPr>
            <w:r>
              <w:rPr>
                <w:lang w:val="fr-CH"/>
              </w:rPr>
              <w:t>Services dans la bande attribuée supérieure</w:t>
            </w:r>
          </w:p>
        </w:tc>
      </w:tr>
      <w:tr w:rsidR="002B489A">
        <w:tc>
          <w:tcPr>
            <w:tcW w:w="3213" w:type="dxa"/>
          </w:tcPr>
          <w:p w:rsidR="002B489A" w:rsidRDefault="004F19C4">
            <w:pPr>
              <w:pStyle w:val="Tablehead"/>
              <w:framePr w:hSpace="181" w:wrap="notBeside" w:vAnchor="text" w:hAnchor="text" w:xAlign="center" w:y="1"/>
              <w:rPr>
                <w:lang w:val="es-ES"/>
              </w:rPr>
            </w:pPr>
            <w:r>
              <w:rPr>
                <w:lang w:val="es-ES"/>
              </w:rPr>
              <w:t>47,2-50,2 GHz</w:t>
            </w:r>
          </w:p>
        </w:tc>
        <w:tc>
          <w:tcPr>
            <w:tcW w:w="3213" w:type="dxa"/>
          </w:tcPr>
          <w:p w:rsidR="002B489A" w:rsidRDefault="004F19C4">
            <w:pPr>
              <w:pStyle w:val="Tablehead"/>
              <w:framePr w:hSpace="181" w:wrap="notBeside" w:vAnchor="text" w:hAnchor="text" w:xAlign="center" w:y="1"/>
              <w:rPr>
                <w:lang w:val="es-ES"/>
              </w:rPr>
            </w:pPr>
            <w:r>
              <w:rPr>
                <w:lang w:val="es-ES"/>
              </w:rPr>
              <w:t>50,2-50,4 GHz</w:t>
            </w:r>
          </w:p>
        </w:tc>
        <w:tc>
          <w:tcPr>
            <w:tcW w:w="3213" w:type="dxa"/>
          </w:tcPr>
          <w:p w:rsidR="002B489A" w:rsidRDefault="004F19C4">
            <w:pPr>
              <w:pStyle w:val="Tablehead"/>
              <w:framePr w:hSpace="181" w:wrap="notBeside" w:vAnchor="text" w:hAnchor="text" w:xAlign="center" w:y="1"/>
              <w:rPr>
                <w:lang w:val="es-ES"/>
              </w:rPr>
            </w:pPr>
            <w:r>
              <w:rPr>
                <w:lang w:val="es-ES"/>
              </w:rPr>
              <w:t>50,4-51,4 GHz</w:t>
            </w:r>
          </w:p>
        </w:tc>
      </w:tr>
      <w:tr w:rsidR="002B489A">
        <w:tc>
          <w:tcPr>
            <w:tcW w:w="3213" w:type="dxa"/>
            <w:tcBorders>
              <w:bottom w:val="nil"/>
            </w:tcBorders>
          </w:tcPr>
          <w:p w:rsidR="002B489A" w:rsidRDefault="004F19C4">
            <w:pPr>
              <w:pStyle w:val="Tabletext"/>
              <w:framePr w:hSpace="181" w:wrap="notBeside" w:vAnchor="text" w:hAnchor="text" w:xAlign="center" w:y="1"/>
              <w:jc w:val="left"/>
              <w:rPr>
                <w:lang w:val="fr-CH"/>
              </w:rPr>
            </w:pPr>
            <w:r>
              <w:rPr>
                <w:lang w:val="fr-CH"/>
              </w:rPr>
              <w:t>FIXE</w:t>
            </w:r>
          </w:p>
          <w:p w:rsidR="002B489A" w:rsidRDefault="004F19C4">
            <w:pPr>
              <w:pStyle w:val="Tabletext"/>
              <w:framePr w:hSpace="181" w:wrap="notBeside" w:vAnchor="text" w:hAnchor="text" w:xAlign="center" w:y="1"/>
              <w:jc w:val="left"/>
              <w:rPr>
                <w:lang w:val="fr-CH"/>
              </w:rPr>
            </w:pPr>
            <w:r>
              <w:rPr>
                <w:lang w:val="fr-CH"/>
              </w:rPr>
              <w:t xml:space="preserve">FIXE PAR SATELLITE </w:t>
            </w:r>
            <w:r>
              <w:rPr>
                <w:lang w:val="fr-CH"/>
              </w:rPr>
              <w:br/>
              <w:t>(Terre vers espace)</w:t>
            </w:r>
          </w:p>
          <w:p w:rsidR="002B489A" w:rsidRDefault="004F19C4">
            <w:pPr>
              <w:pStyle w:val="Tabletext"/>
              <w:framePr w:hSpace="181" w:wrap="notBeside" w:vAnchor="text" w:hAnchor="text" w:xAlign="center" w:y="1"/>
              <w:jc w:val="left"/>
              <w:rPr>
                <w:lang w:val="es-ES"/>
              </w:rPr>
            </w:pPr>
            <w:r>
              <w:rPr>
                <w:lang w:val="fr-CH"/>
              </w:rPr>
              <w:t>MOBILE</w:t>
            </w:r>
          </w:p>
          <w:p w:rsidR="002B489A" w:rsidRDefault="002B489A">
            <w:pPr>
              <w:framePr w:hSpace="181" w:wrap="notBeside" w:vAnchor="text" w:hAnchor="text" w:xAlign="center" w:y="1"/>
              <w:spacing w:before="40" w:after="40"/>
              <w:jc w:val="left"/>
              <w:rPr>
                <w:lang w:val="es-ES"/>
              </w:rPr>
            </w:pPr>
          </w:p>
        </w:tc>
        <w:tc>
          <w:tcPr>
            <w:tcW w:w="3213" w:type="dxa"/>
            <w:tcBorders>
              <w:bottom w:val="nil"/>
            </w:tcBorders>
          </w:tcPr>
          <w:p w:rsidR="002B489A" w:rsidRDefault="004F19C4">
            <w:pPr>
              <w:pStyle w:val="Tabletext"/>
              <w:framePr w:hSpace="181" w:wrap="notBeside" w:vAnchor="text" w:hAnchor="text" w:xAlign="center" w:y="1"/>
              <w:jc w:val="left"/>
              <w:rPr>
                <w:lang w:val="fr-CH"/>
              </w:rPr>
            </w:pPr>
            <w:r>
              <w:rPr>
                <w:lang w:val="fr-CH"/>
              </w:rPr>
              <w:t>EXPLORATION DE LA TERRE PAR SATELLITE (passive)</w:t>
            </w:r>
          </w:p>
          <w:p w:rsidR="002B489A" w:rsidRDefault="004F19C4">
            <w:pPr>
              <w:pStyle w:val="Tabletext"/>
              <w:framePr w:hSpace="181" w:wrap="notBeside" w:vAnchor="text" w:hAnchor="text" w:xAlign="center" w:y="1"/>
              <w:jc w:val="left"/>
              <w:rPr>
                <w:lang w:val="fr-CH"/>
              </w:rPr>
            </w:pPr>
            <w:r>
              <w:rPr>
                <w:lang w:val="fr-CH"/>
              </w:rPr>
              <w:t>RECHERCHE SPATIALE (passive)</w:t>
            </w:r>
          </w:p>
          <w:p w:rsidR="002B489A" w:rsidRDefault="002B489A">
            <w:pPr>
              <w:framePr w:hSpace="181" w:wrap="notBeside" w:vAnchor="text" w:hAnchor="text" w:xAlign="center" w:y="1"/>
              <w:spacing w:before="40" w:after="40"/>
              <w:jc w:val="left"/>
              <w:rPr>
                <w:lang w:val="es-ES"/>
              </w:rPr>
            </w:pPr>
          </w:p>
        </w:tc>
        <w:tc>
          <w:tcPr>
            <w:tcW w:w="3213" w:type="dxa"/>
            <w:tcBorders>
              <w:bottom w:val="nil"/>
            </w:tcBorders>
          </w:tcPr>
          <w:p w:rsidR="002B489A" w:rsidRDefault="004F19C4">
            <w:pPr>
              <w:pStyle w:val="Tabletext"/>
              <w:framePr w:hSpace="181" w:wrap="notBeside" w:vAnchor="text" w:hAnchor="text" w:xAlign="center" w:y="1"/>
              <w:jc w:val="left"/>
              <w:rPr>
                <w:lang w:val="fr-CH"/>
              </w:rPr>
            </w:pPr>
            <w:r>
              <w:rPr>
                <w:lang w:val="fr-CH"/>
              </w:rPr>
              <w:t>FIXE</w:t>
            </w:r>
          </w:p>
          <w:p w:rsidR="002B489A" w:rsidRDefault="004F19C4">
            <w:pPr>
              <w:pStyle w:val="Tabletext"/>
              <w:framePr w:hSpace="181" w:wrap="notBeside" w:vAnchor="text" w:hAnchor="text" w:xAlign="center" w:y="1"/>
              <w:jc w:val="left"/>
              <w:rPr>
                <w:lang w:val="fr-CH"/>
              </w:rPr>
            </w:pPr>
            <w:r>
              <w:rPr>
                <w:lang w:val="fr-CH"/>
              </w:rPr>
              <w:t xml:space="preserve">FIXE PAR SATELLITE </w:t>
            </w:r>
            <w:r>
              <w:rPr>
                <w:lang w:val="fr-CH"/>
              </w:rPr>
              <w:br/>
              <w:t>(Terre vers espace)</w:t>
            </w:r>
          </w:p>
          <w:p w:rsidR="002B489A" w:rsidRDefault="004F19C4">
            <w:pPr>
              <w:pStyle w:val="Tabletext"/>
              <w:framePr w:hSpace="181" w:wrap="notBeside" w:vAnchor="text" w:hAnchor="text" w:xAlign="center" w:y="1"/>
              <w:jc w:val="left"/>
              <w:rPr>
                <w:lang w:val="fr-CH"/>
              </w:rPr>
            </w:pPr>
            <w:r>
              <w:rPr>
                <w:lang w:val="fr-CH"/>
              </w:rPr>
              <w:t>MOBILE</w:t>
            </w:r>
          </w:p>
          <w:p w:rsidR="002B489A" w:rsidRDefault="004F19C4">
            <w:pPr>
              <w:pStyle w:val="Tabletext"/>
              <w:framePr w:hSpace="181" w:wrap="notBeside" w:vAnchor="text" w:hAnchor="text" w:xAlign="center" w:y="1"/>
              <w:jc w:val="left"/>
              <w:rPr>
                <w:lang w:val="fr-CH"/>
              </w:rPr>
            </w:pPr>
            <w:r>
              <w:rPr>
                <w:lang w:val="fr-CH"/>
              </w:rPr>
              <w:t xml:space="preserve">Mobile par satellite </w:t>
            </w:r>
            <w:r>
              <w:rPr>
                <w:lang w:val="fr-CH"/>
              </w:rPr>
              <w:br/>
              <w:t>(Terre vers espace)</w:t>
            </w:r>
          </w:p>
        </w:tc>
      </w:tr>
      <w:tr w:rsidR="002B489A">
        <w:tc>
          <w:tcPr>
            <w:tcW w:w="3213" w:type="dxa"/>
            <w:tcBorders>
              <w:top w:val="nil"/>
            </w:tcBorders>
          </w:tcPr>
          <w:p w:rsidR="002B489A" w:rsidRDefault="004F19C4">
            <w:pPr>
              <w:pStyle w:val="Tabletext"/>
              <w:framePr w:hSpace="181" w:wrap="notBeside" w:vAnchor="text" w:hAnchor="text" w:xAlign="center" w:y="1"/>
              <w:jc w:val="left"/>
              <w:rPr>
                <w:lang w:val="fr-CH"/>
              </w:rPr>
            </w:pPr>
            <w:r>
              <w:rPr>
                <w:lang w:val="fr-CH"/>
              </w:rPr>
              <w:t>5.149  5.340  5.552  5.552A  5.555</w:t>
            </w:r>
          </w:p>
        </w:tc>
        <w:tc>
          <w:tcPr>
            <w:tcW w:w="3213" w:type="dxa"/>
            <w:tcBorders>
              <w:top w:val="nil"/>
            </w:tcBorders>
          </w:tcPr>
          <w:p w:rsidR="002B489A" w:rsidRDefault="004F19C4">
            <w:pPr>
              <w:pStyle w:val="Tabletext"/>
              <w:framePr w:hSpace="181" w:wrap="notBeside" w:vAnchor="text" w:hAnchor="text" w:xAlign="center" w:y="1"/>
              <w:jc w:val="left"/>
              <w:rPr>
                <w:lang w:val="fr-CH"/>
              </w:rPr>
            </w:pPr>
            <w:r>
              <w:rPr>
                <w:lang w:val="fr-CH"/>
              </w:rPr>
              <w:br/>
              <w:t>5.340  5.555A</w:t>
            </w:r>
          </w:p>
        </w:tc>
        <w:tc>
          <w:tcPr>
            <w:tcW w:w="3213" w:type="dxa"/>
            <w:tcBorders>
              <w:top w:val="nil"/>
            </w:tcBorders>
          </w:tcPr>
          <w:p w:rsidR="002B489A" w:rsidRDefault="002B489A">
            <w:pPr>
              <w:pStyle w:val="Tabletext"/>
              <w:framePr w:hSpace="181" w:wrap="notBeside" w:vAnchor="text" w:hAnchor="text" w:xAlign="center" w:y="1"/>
              <w:jc w:val="left"/>
              <w:rPr>
                <w:lang w:val="fr-CH"/>
              </w:rPr>
            </w:pPr>
          </w:p>
        </w:tc>
      </w:tr>
    </w:tbl>
    <w:p w:rsidR="002B489A" w:rsidRDefault="002B489A">
      <w:pPr>
        <w:pStyle w:val="Tablefin"/>
        <w:rPr>
          <w:lang w:val="fr-CH"/>
        </w:rPr>
      </w:pPr>
    </w:p>
    <w:p w:rsidR="002B489A" w:rsidRDefault="004F19C4">
      <w:pPr>
        <w:pStyle w:val="Heading2"/>
        <w:rPr>
          <w:lang w:val="fr-CH"/>
        </w:rPr>
      </w:pPr>
      <w:r>
        <w:rPr>
          <w:lang w:val="fr-CH"/>
        </w:rPr>
        <w:t>1.2</w:t>
      </w:r>
      <w:r>
        <w:rPr>
          <w:lang w:val="fr-CH"/>
        </w:rPr>
        <w:tab/>
        <w:t>Application</w:t>
      </w:r>
    </w:p>
    <w:p w:rsidR="002B489A" w:rsidRDefault="004F19C4">
      <w:pPr>
        <w:rPr>
          <w:lang w:val="fr-CH"/>
        </w:rPr>
      </w:pPr>
      <w:r>
        <w:rPr>
          <w:lang w:val="fr-CH"/>
        </w:rPr>
        <w:t>Cette bande de fréquences est une de celles qui, entre 50 GHz et 60 GHz, sont utilisées collectivement pour fournir les profils tridimensionnels de température de l'atmosphère.</w:t>
      </w:r>
    </w:p>
    <w:p w:rsidR="002B489A" w:rsidRDefault="004F19C4">
      <w:pPr>
        <w:rPr>
          <w:b/>
          <w:lang w:val="fr-CH"/>
        </w:rPr>
      </w:pPr>
      <w:r>
        <w:rPr>
          <w:lang w:val="fr-CH"/>
        </w:rPr>
        <w:t>Ces mesures alimentent les modèles numériques de prévision météorologique. Le modèle a besoin de données toutes les six heures et est utilisé pour des prévisions météorologiques à maillage fin (10 km ou moins) à court terme (6 à 48 h.)</w:t>
      </w:r>
    </w:p>
    <w:p w:rsidR="002B489A" w:rsidRDefault="004F19C4">
      <w:pPr>
        <w:pStyle w:val="Heading2"/>
        <w:rPr>
          <w:lang w:val="fr-CH"/>
        </w:rPr>
      </w:pPr>
      <w:r>
        <w:rPr>
          <w:lang w:val="fr-CH"/>
        </w:rPr>
        <w:t>1.3</w:t>
      </w:r>
      <w:r>
        <w:rPr>
          <w:lang w:val="fr-CH"/>
        </w:rPr>
        <w:tab/>
        <w:t>Critères de protection requis</w:t>
      </w:r>
    </w:p>
    <w:p w:rsidR="002B489A" w:rsidRDefault="004F19C4">
      <w:r>
        <w:t>Les</w:t>
      </w:r>
      <w:r>
        <w:rPr>
          <w:sz w:val="18"/>
        </w:rPr>
        <w:t xml:space="preserve"> </w:t>
      </w:r>
      <w:r>
        <w:t>trois</w:t>
      </w:r>
      <w:r>
        <w:rPr>
          <w:sz w:val="18"/>
        </w:rPr>
        <w:t xml:space="preserve"> </w:t>
      </w:r>
      <w:r>
        <w:t>Recommandations</w:t>
      </w:r>
      <w:r>
        <w:rPr>
          <w:sz w:val="18"/>
        </w:rPr>
        <w:t xml:space="preserve"> </w:t>
      </w:r>
      <w:r>
        <w:t>suivantes</w:t>
      </w:r>
      <w:r>
        <w:rPr>
          <w:sz w:val="18"/>
        </w:rPr>
        <w:t xml:space="preserve"> </w:t>
      </w:r>
      <w:r>
        <w:t>établissent</w:t>
      </w:r>
      <w:r>
        <w:rPr>
          <w:sz w:val="18"/>
        </w:rPr>
        <w:t xml:space="preserve"> </w:t>
      </w:r>
      <w:r>
        <w:t>les</w:t>
      </w:r>
      <w:r>
        <w:rPr>
          <w:sz w:val="18"/>
        </w:rPr>
        <w:t xml:space="preserve"> </w:t>
      </w:r>
      <w:r>
        <w:t>critères</w:t>
      </w:r>
      <w:r>
        <w:rPr>
          <w:sz w:val="18"/>
        </w:rPr>
        <w:t xml:space="preserve"> </w:t>
      </w:r>
      <w:r>
        <w:t>de</w:t>
      </w:r>
      <w:r>
        <w:rPr>
          <w:sz w:val="18"/>
        </w:rPr>
        <w:t xml:space="preserve"> </w:t>
      </w:r>
      <w:r>
        <w:t>brouillage</w:t>
      </w:r>
      <w:r>
        <w:rPr>
          <w:sz w:val="18"/>
        </w:rPr>
        <w:t xml:space="preserve"> </w:t>
      </w:r>
      <w:r>
        <w:t>pour</w:t>
      </w:r>
      <w:r>
        <w:rPr>
          <w:sz w:val="18"/>
        </w:rPr>
        <w:t xml:space="preserve"> </w:t>
      </w:r>
      <w:r>
        <w:t>les</w:t>
      </w:r>
      <w:r>
        <w:rPr>
          <w:sz w:val="18"/>
        </w:rPr>
        <w:t xml:space="preserve"> </w:t>
      </w:r>
      <w:r>
        <w:t>détecteurs</w:t>
      </w:r>
      <w:r>
        <w:rPr>
          <w:sz w:val="18"/>
        </w:rPr>
        <w:t xml:space="preserve"> </w:t>
      </w:r>
      <w:r>
        <w:t>passifs.</w:t>
      </w:r>
    </w:p>
    <w:p w:rsidR="002B489A" w:rsidRDefault="004F19C4">
      <w:pPr>
        <w:pStyle w:val="enumlev1"/>
        <w:tabs>
          <w:tab w:val="clear" w:pos="794"/>
          <w:tab w:val="clear" w:pos="1191"/>
          <w:tab w:val="clear" w:pos="1588"/>
          <w:tab w:val="clear" w:pos="1985"/>
          <w:tab w:val="left" w:pos="3515"/>
        </w:tabs>
        <w:ind w:left="3515" w:hanging="3515"/>
      </w:pPr>
      <w:r>
        <w:t>Recommandation UIT-R SA.515 –</w:t>
      </w:r>
      <w:r>
        <w:tab/>
        <w:t xml:space="preserve">Bandes de fréquences et largeurs de bande utilisées pour la télédétection passive par satellite. </w:t>
      </w:r>
    </w:p>
    <w:p w:rsidR="002B489A" w:rsidRDefault="004F19C4">
      <w:pPr>
        <w:pStyle w:val="enumlev1"/>
        <w:tabs>
          <w:tab w:val="clear" w:pos="794"/>
          <w:tab w:val="clear" w:pos="1191"/>
          <w:tab w:val="clear" w:pos="1588"/>
          <w:tab w:val="clear" w:pos="1985"/>
          <w:tab w:val="left" w:pos="3515"/>
        </w:tabs>
        <w:spacing w:before="60"/>
        <w:ind w:left="3515" w:hanging="3515"/>
      </w:pPr>
      <w:r>
        <w:t>Recommandation UIT-R SA.1028 –</w:t>
      </w:r>
      <w:r>
        <w:tab/>
        <w:t>Critères de qualité de fonctionnement pour la télédétection passive par satellite.</w:t>
      </w:r>
    </w:p>
    <w:p w:rsidR="002B489A" w:rsidRDefault="004F19C4">
      <w:pPr>
        <w:pStyle w:val="enumlev1"/>
        <w:tabs>
          <w:tab w:val="clear" w:pos="794"/>
          <w:tab w:val="clear" w:pos="1191"/>
          <w:tab w:val="clear" w:pos="1588"/>
          <w:tab w:val="clear" w:pos="1985"/>
          <w:tab w:val="left" w:pos="3515"/>
        </w:tabs>
        <w:spacing w:before="60"/>
        <w:ind w:left="3515" w:hanging="3515"/>
      </w:pPr>
      <w:r>
        <w:t>Recommandation UIT-R SA.1029 –</w:t>
      </w:r>
      <w:r>
        <w:tab/>
        <w:t>Critères de brouillage dans la télédétection passive par satellite.</w:t>
      </w:r>
    </w:p>
    <w:p w:rsidR="002B489A" w:rsidRDefault="004F19C4">
      <w:pPr>
        <w:rPr>
          <w:lang w:val="fr-CH"/>
        </w:rPr>
      </w:pPr>
      <w:r>
        <w:rPr>
          <w:lang w:val="fr-CH"/>
        </w:rPr>
        <w:br w:type="page"/>
        <w:t xml:space="preserve">Le premier critère est la puissance brouilleuse acceptable reçue par le détecteur SETS, qui est de </w:t>
      </w:r>
      <w:r>
        <w:rPr>
          <w:lang w:val="fr-CH"/>
        </w:rPr>
        <w:sym w:font="Symbol" w:char="F02D"/>
      </w:r>
      <w:r>
        <w:rPr>
          <w:lang w:val="fr-CH"/>
        </w:rPr>
        <w:t>166 dBW dans la largeur de bande de référence de 100 MHz. C'est un niveau de brouillage maximum en provenance de toutes sources.</w:t>
      </w:r>
    </w:p>
    <w:p w:rsidR="002B489A" w:rsidRDefault="004F19C4">
      <w:pPr>
        <w:rPr>
          <w:lang w:val="fr-CH"/>
        </w:rPr>
      </w:pPr>
      <w:r>
        <w:rPr>
          <w:lang w:val="fr-CH"/>
        </w:rPr>
        <w:t>Le second critère est la limite de fréquence d'occurrence de dépassement du seuil. Pour les sondeurs de nadir utilisés pour les mesures tridimensionnelles de la température atmosphérique ou de la concentration gazeuse, la proportion de cellules de mesure perdues à cause du brouillage ne doit pas dépasser 0,01%. Cette limite de fréquence d'occurrence est valable pour les sondeurs à balayage mécanique et pour les sondeurs de nadir en peigne.</w:t>
      </w:r>
    </w:p>
    <w:p w:rsidR="002B489A" w:rsidRDefault="004F19C4">
      <w:pPr>
        <w:pStyle w:val="Heading2"/>
        <w:rPr>
          <w:lang w:val="fr-CH"/>
        </w:rPr>
      </w:pPr>
      <w:r>
        <w:rPr>
          <w:lang w:val="fr-CH"/>
        </w:rPr>
        <w:t>1.4</w:t>
      </w:r>
      <w:r>
        <w:rPr>
          <w:lang w:val="fr-CH"/>
        </w:rPr>
        <w:tab/>
        <w:t>Caractéristiques de fonctionnement</w:t>
      </w:r>
    </w:p>
    <w:p w:rsidR="002B489A" w:rsidRDefault="004F19C4">
      <w:pPr>
        <w:rPr>
          <w:lang w:val="fr-CH"/>
        </w:rPr>
      </w:pPr>
      <w:r>
        <w:rPr>
          <w:lang w:val="fr-CH"/>
        </w:rPr>
        <w:t>Trois types de détecteur ont été étudiés pour faire des mesures dans cette gamme de fréquences. Le radiomètre à balayage à piste croisée qui peut balayer à travers le nadir, le radiomètre à balayage conique qui balaye en arc en face de la station spatiale à travers sa piste et le détecteur en peigne qui utilise des faisceaux fixes multiples à travers sa piste. Le détecteur en peigne sera analysé parce qu'il représente l'avenir en sondage hyperfréquence. Il a l'avantage spécifique de permettre un temps d'intégration plus long. Le Tableau 115 donne les caractéristiques de fonctionnement du détecteur étudié.</w:t>
      </w:r>
    </w:p>
    <w:p w:rsidR="002B489A" w:rsidRDefault="004F19C4">
      <w:pPr>
        <w:pStyle w:val="TableNo"/>
        <w:rPr>
          <w:lang w:val="fr-CH"/>
        </w:rPr>
      </w:pPr>
      <w:r>
        <w:rPr>
          <w:lang w:val="fr-CH"/>
        </w:rPr>
        <w:t>TABLEAU  115</w:t>
      </w:r>
    </w:p>
    <w:p w:rsidR="002B489A" w:rsidRDefault="004F19C4">
      <w:pPr>
        <w:pStyle w:val="Tabletitle"/>
        <w:rPr>
          <w:lang w:val="fr-CH"/>
        </w:rPr>
      </w:pPr>
      <w:r>
        <w:rPr>
          <w:lang w:val="fr-CH"/>
        </w:rPr>
        <w:t>Paramètres du détecteur en peigne</w:t>
      </w:r>
    </w:p>
    <w:tbl>
      <w:tblPr>
        <w:tblW w:w="963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807"/>
        <w:gridCol w:w="4832"/>
      </w:tblGrid>
      <w:tr w:rsidR="002B489A">
        <w:tc>
          <w:tcPr>
            <w:tcW w:w="4807" w:type="dxa"/>
          </w:tcPr>
          <w:p w:rsidR="002B489A" w:rsidRDefault="004F19C4">
            <w:pPr>
              <w:pStyle w:val="Tablehead"/>
              <w:framePr w:hSpace="181" w:wrap="notBeside" w:vAnchor="text" w:hAnchor="text" w:xAlign="center" w:y="1"/>
              <w:rPr>
                <w:lang w:val="fr-CH"/>
              </w:rPr>
            </w:pPr>
            <w:r>
              <w:rPr>
                <w:lang w:val="fr-CH"/>
              </w:rPr>
              <w:t>Paramètre</w:t>
            </w:r>
          </w:p>
        </w:tc>
        <w:tc>
          <w:tcPr>
            <w:tcW w:w="4832" w:type="dxa"/>
          </w:tcPr>
          <w:p w:rsidR="002B489A" w:rsidRDefault="004F19C4">
            <w:pPr>
              <w:pStyle w:val="Tablehead"/>
              <w:framePr w:hSpace="181" w:wrap="notBeside" w:vAnchor="text" w:hAnchor="text" w:xAlign="center" w:y="1"/>
              <w:rPr>
                <w:lang w:val="fr-CH"/>
              </w:rPr>
            </w:pPr>
            <w:r>
              <w:rPr>
                <w:lang w:val="fr-CH"/>
              </w:rPr>
              <w:t>Valeur</w:t>
            </w:r>
          </w:p>
        </w:tc>
      </w:tr>
      <w:tr w:rsidR="002B489A">
        <w:tc>
          <w:tcPr>
            <w:tcW w:w="4807" w:type="dxa"/>
          </w:tcPr>
          <w:p w:rsidR="002B489A" w:rsidRDefault="004F19C4">
            <w:pPr>
              <w:pStyle w:val="Tabletext"/>
              <w:framePr w:hSpace="181" w:wrap="notBeside" w:vAnchor="text" w:hAnchor="text" w:xAlign="center" w:y="1"/>
              <w:spacing w:line="240" w:lineRule="exact"/>
              <w:rPr>
                <w:lang w:val="fr-CH"/>
              </w:rPr>
            </w:pPr>
            <w:r>
              <w:rPr>
                <w:lang w:val="fr-CH"/>
              </w:rPr>
              <w:t>Altitude (km)</w:t>
            </w:r>
          </w:p>
        </w:tc>
        <w:tc>
          <w:tcPr>
            <w:tcW w:w="4832" w:type="dxa"/>
          </w:tcPr>
          <w:p w:rsidR="002B489A" w:rsidRDefault="004F19C4">
            <w:pPr>
              <w:pStyle w:val="Tabletext"/>
              <w:framePr w:hSpace="181" w:wrap="notBeside" w:vAnchor="text" w:hAnchor="text" w:xAlign="center" w:y="1"/>
              <w:spacing w:line="240" w:lineRule="exact"/>
              <w:jc w:val="center"/>
              <w:rPr>
                <w:lang w:val="es-ES"/>
              </w:rPr>
            </w:pPr>
            <w:r>
              <w:rPr>
                <w:lang w:val="es-ES"/>
              </w:rPr>
              <w:t xml:space="preserve">850 </w:t>
            </w:r>
          </w:p>
        </w:tc>
      </w:tr>
      <w:tr w:rsidR="002B489A">
        <w:tc>
          <w:tcPr>
            <w:tcW w:w="4807" w:type="dxa"/>
          </w:tcPr>
          <w:p w:rsidR="002B489A" w:rsidRDefault="004F19C4">
            <w:pPr>
              <w:pStyle w:val="Tabletext"/>
              <w:framePr w:hSpace="181" w:wrap="notBeside" w:vAnchor="text" w:hAnchor="text" w:xAlign="center" w:y="1"/>
              <w:spacing w:line="240" w:lineRule="exact"/>
              <w:rPr>
                <w:lang w:val="fr-CH"/>
              </w:rPr>
            </w:pPr>
            <w:r>
              <w:rPr>
                <w:lang w:val="fr-CH"/>
              </w:rPr>
              <w:t>Orbite</w:t>
            </w:r>
          </w:p>
        </w:tc>
        <w:tc>
          <w:tcPr>
            <w:tcW w:w="4832" w:type="dxa"/>
          </w:tcPr>
          <w:p w:rsidR="002B489A" w:rsidRDefault="004F19C4">
            <w:pPr>
              <w:pStyle w:val="Tabletext"/>
              <w:framePr w:hSpace="181" w:wrap="notBeside" w:vAnchor="text" w:hAnchor="text" w:xAlign="center" w:y="1"/>
              <w:spacing w:line="240" w:lineRule="exact"/>
              <w:jc w:val="center"/>
              <w:rPr>
                <w:lang w:val="fr-CH"/>
              </w:rPr>
            </w:pPr>
            <w:r>
              <w:rPr>
                <w:lang w:val="fr-CH"/>
              </w:rPr>
              <w:t>Polarisation synchrone au soleil</w:t>
            </w:r>
          </w:p>
        </w:tc>
      </w:tr>
      <w:tr w:rsidR="002B489A">
        <w:tc>
          <w:tcPr>
            <w:tcW w:w="4807" w:type="dxa"/>
          </w:tcPr>
          <w:p w:rsidR="002B489A" w:rsidRDefault="004F19C4">
            <w:pPr>
              <w:pStyle w:val="Tabletext"/>
              <w:framePr w:hSpace="181" w:wrap="notBeside" w:vAnchor="text" w:hAnchor="text" w:xAlign="center" w:y="1"/>
              <w:spacing w:line="240" w:lineRule="exact"/>
              <w:rPr>
                <w:lang w:val="fr-CH"/>
              </w:rPr>
            </w:pPr>
            <w:r>
              <w:rPr>
                <w:lang w:val="fr-CH"/>
              </w:rPr>
              <w:t>Gain d'antenne du lobe principal (dBi)</w:t>
            </w:r>
          </w:p>
        </w:tc>
        <w:tc>
          <w:tcPr>
            <w:tcW w:w="4832" w:type="dxa"/>
          </w:tcPr>
          <w:p w:rsidR="002B489A" w:rsidRDefault="004F19C4">
            <w:pPr>
              <w:pStyle w:val="Tabletext"/>
              <w:framePr w:hSpace="181" w:wrap="notBeside" w:vAnchor="text" w:hAnchor="text" w:xAlign="center" w:y="1"/>
              <w:spacing w:line="240" w:lineRule="exact"/>
              <w:jc w:val="center"/>
              <w:rPr>
                <w:lang w:val="es-ES"/>
              </w:rPr>
            </w:pPr>
            <w:r>
              <w:rPr>
                <w:lang w:val="es-ES"/>
              </w:rPr>
              <w:t xml:space="preserve">45 </w:t>
            </w:r>
          </w:p>
        </w:tc>
      </w:tr>
      <w:tr w:rsidR="002B489A">
        <w:tc>
          <w:tcPr>
            <w:tcW w:w="4807" w:type="dxa"/>
          </w:tcPr>
          <w:p w:rsidR="002B489A" w:rsidRDefault="004F19C4">
            <w:pPr>
              <w:pStyle w:val="Tabletext"/>
              <w:framePr w:hSpace="181" w:wrap="notBeside" w:vAnchor="text" w:hAnchor="text" w:xAlign="center" w:y="1"/>
              <w:spacing w:line="240" w:lineRule="exact"/>
              <w:rPr>
                <w:b/>
                <w:bCs/>
                <w:lang w:val="fr-CH"/>
              </w:rPr>
            </w:pPr>
            <w:r>
              <w:rPr>
                <w:lang w:val="fr-CH"/>
              </w:rPr>
              <w:t>Ouverture de faisceau d'antenne à 3 dB (degrés)</w:t>
            </w:r>
          </w:p>
        </w:tc>
        <w:tc>
          <w:tcPr>
            <w:tcW w:w="4832" w:type="dxa"/>
          </w:tcPr>
          <w:p w:rsidR="002B489A" w:rsidRDefault="004F19C4">
            <w:pPr>
              <w:pStyle w:val="Tabletext"/>
              <w:framePr w:hSpace="181" w:wrap="notBeside" w:vAnchor="text" w:hAnchor="text" w:xAlign="center" w:y="1"/>
              <w:spacing w:line="240" w:lineRule="exact"/>
              <w:jc w:val="center"/>
              <w:rPr>
                <w:lang w:val="es-ES"/>
              </w:rPr>
            </w:pPr>
            <w:r>
              <w:rPr>
                <w:lang w:val="es-ES"/>
              </w:rPr>
              <w:t xml:space="preserve">1,1 </w:t>
            </w:r>
          </w:p>
        </w:tc>
      </w:tr>
      <w:tr w:rsidR="002B489A">
        <w:trPr>
          <w:trHeight w:val="20"/>
        </w:trPr>
        <w:tc>
          <w:tcPr>
            <w:tcW w:w="4807" w:type="dxa"/>
          </w:tcPr>
          <w:p w:rsidR="002B489A" w:rsidRDefault="004F19C4">
            <w:pPr>
              <w:pStyle w:val="Tabletext"/>
              <w:framePr w:hSpace="181" w:wrap="notBeside" w:vAnchor="text" w:hAnchor="text" w:xAlign="center" w:y="1"/>
              <w:spacing w:line="240" w:lineRule="exact"/>
              <w:rPr>
                <w:lang w:val="fr-CH"/>
              </w:rPr>
            </w:pPr>
            <w:r>
              <w:rPr>
                <w:lang w:val="fr-CH"/>
              </w:rPr>
              <w:t>Diagramme d'antenne</w:t>
            </w:r>
          </w:p>
        </w:tc>
        <w:tc>
          <w:tcPr>
            <w:tcW w:w="4832" w:type="dxa"/>
          </w:tcPr>
          <w:p w:rsidR="002B489A" w:rsidRDefault="004F19C4">
            <w:pPr>
              <w:pStyle w:val="Tabletext"/>
              <w:framePr w:hSpace="181" w:wrap="notBeside" w:vAnchor="text" w:hAnchor="text" w:xAlign="center" w:y="1"/>
              <w:spacing w:line="240" w:lineRule="exact"/>
              <w:jc w:val="center"/>
              <w:rPr>
                <w:lang w:val="fr-CH"/>
              </w:rPr>
            </w:pPr>
            <w:r>
              <w:rPr>
                <w:lang w:val="fr-CH"/>
              </w:rPr>
              <w:t>Recommandation UIT-R F.1245</w:t>
            </w:r>
          </w:p>
        </w:tc>
      </w:tr>
      <w:tr w:rsidR="002B489A">
        <w:tc>
          <w:tcPr>
            <w:tcW w:w="4807" w:type="dxa"/>
          </w:tcPr>
          <w:p w:rsidR="002B489A" w:rsidRDefault="004F19C4">
            <w:pPr>
              <w:pStyle w:val="Tabletext"/>
              <w:framePr w:hSpace="181" w:wrap="notBeside" w:vAnchor="text" w:hAnchor="text" w:xAlign="center" w:y="1"/>
              <w:spacing w:line="240" w:lineRule="exact"/>
              <w:rPr>
                <w:lang w:val="fr-CH"/>
              </w:rPr>
            </w:pPr>
            <w:r>
              <w:rPr>
                <w:lang w:val="fr-CH"/>
              </w:rPr>
              <w:t>Champ de vision (par rapport au détecteur)</w:t>
            </w:r>
          </w:p>
        </w:tc>
        <w:tc>
          <w:tcPr>
            <w:tcW w:w="4832" w:type="dxa"/>
          </w:tcPr>
          <w:p w:rsidR="002B489A" w:rsidRDefault="004F19C4">
            <w:pPr>
              <w:pStyle w:val="Tabletext"/>
              <w:framePr w:hSpace="181" w:wrap="notBeside" w:vAnchor="text" w:hAnchor="text" w:xAlign="center" w:y="1"/>
              <w:spacing w:line="240" w:lineRule="exact"/>
              <w:jc w:val="center"/>
              <w:rPr>
                <w:lang w:val="fr-CH"/>
              </w:rPr>
            </w:pPr>
            <w:r>
              <w:rPr>
                <w:lang w:val="fr-CH"/>
              </w:rPr>
              <w:sym w:font="Symbol" w:char="F0B1"/>
            </w:r>
            <w:r>
              <w:rPr>
                <w:lang w:val="fr-CH"/>
              </w:rPr>
              <w:t xml:space="preserve"> 50° dans la direction du nadir en croisant la piste</w:t>
            </w:r>
          </w:p>
        </w:tc>
      </w:tr>
      <w:tr w:rsidR="002B489A">
        <w:tc>
          <w:tcPr>
            <w:tcW w:w="4807" w:type="dxa"/>
          </w:tcPr>
          <w:p w:rsidR="002B489A" w:rsidRDefault="004F19C4">
            <w:pPr>
              <w:pStyle w:val="Tabletext"/>
              <w:framePr w:hSpace="181" w:wrap="notBeside" w:vAnchor="text" w:hAnchor="text" w:xAlign="center" w:y="1"/>
              <w:spacing w:line="240" w:lineRule="exact"/>
              <w:rPr>
                <w:lang w:val="fr-CH"/>
              </w:rPr>
            </w:pPr>
            <w:r>
              <w:rPr>
                <w:lang w:val="fr-CH"/>
              </w:rPr>
              <w:t>Champ de vision (par rapport au centre de la Terre)</w:t>
            </w:r>
          </w:p>
        </w:tc>
        <w:tc>
          <w:tcPr>
            <w:tcW w:w="4832" w:type="dxa"/>
          </w:tcPr>
          <w:p w:rsidR="002B489A" w:rsidRDefault="004F19C4">
            <w:pPr>
              <w:pStyle w:val="Tabletext"/>
              <w:framePr w:hSpace="181" w:wrap="notBeside" w:vAnchor="text" w:hAnchor="text" w:xAlign="center" w:y="1"/>
              <w:spacing w:line="240" w:lineRule="exact"/>
              <w:jc w:val="center"/>
              <w:rPr>
                <w:lang w:val="es-ES"/>
              </w:rPr>
            </w:pPr>
            <w:r>
              <w:rPr>
                <w:lang w:val="fr-CH"/>
              </w:rPr>
              <w:sym w:font="Symbol" w:char="F0B1"/>
            </w:r>
            <w:r>
              <w:rPr>
                <w:lang w:val="fr-CH"/>
              </w:rPr>
              <w:t xml:space="preserve"> 10,25° géocentrique</w:t>
            </w:r>
          </w:p>
        </w:tc>
      </w:tr>
      <w:tr w:rsidR="002B489A">
        <w:tc>
          <w:tcPr>
            <w:tcW w:w="4807" w:type="dxa"/>
          </w:tcPr>
          <w:p w:rsidR="002B489A" w:rsidRDefault="004F19C4">
            <w:pPr>
              <w:pStyle w:val="Tabletext"/>
              <w:framePr w:hSpace="181" w:wrap="notBeside" w:vAnchor="text" w:hAnchor="text" w:xAlign="center" w:y="1"/>
              <w:spacing w:line="240" w:lineRule="exact"/>
              <w:rPr>
                <w:lang w:val="fr-CH"/>
              </w:rPr>
            </w:pPr>
            <w:r>
              <w:rPr>
                <w:lang w:val="fr-CH"/>
              </w:rPr>
              <w:t>Diamètre de pixel au nadir (km)</w:t>
            </w:r>
          </w:p>
        </w:tc>
        <w:tc>
          <w:tcPr>
            <w:tcW w:w="4832" w:type="dxa"/>
          </w:tcPr>
          <w:p w:rsidR="002B489A" w:rsidRDefault="004F19C4">
            <w:pPr>
              <w:pStyle w:val="Tabletext"/>
              <w:framePr w:hSpace="181" w:wrap="notBeside" w:vAnchor="text" w:hAnchor="text" w:xAlign="center" w:y="1"/>
              <w:spacing w:line="240" w:lineRule="exact"/>
              <w:jc w:val="center"/>
              <w:rPr>
                <w:lang w:val="es-ES"/>
              </w:rPr>
            </w:pPr>
            <w:r>
              <w:rPr>
                <w:lang w:val="es-ES"/>
              </w:rPr>
              <w:t>16</w:t>
            </w:r>
          </w:p>
        </w:tc>
      </w:tr>
      <w:tr w:rsidR="002B489A">
        <w:tc>
          <w:tcPr>
            <w:tcW w:w="4807" w:type="dxa"/>
          </w:tcPr>
          <w:p w:rsidR="002B489A" w:rsidRDefault="004F19C4">
            <w:pPr>
              <w:pStyle w:val="Tabletext"/>
              <w:framePr w:hSpace="181" w:wrap="notBeside" w:vAnchor="text" w:hAnchor="text" w:xAlign="center" w:y="1"/>
              <w:spacing w:line="240" w:lineRule="exact"/>
              <w:rPr>
                <w:lang w:val="fr-CH"/>
              </w:rPr>
            </w:pPr>
            <w:r>
              <w:rPr>
                <w:lang w:val="fr-CH"/>
              </w:rPr>
              <w:t>Pixels par largeur de couloir</w:t>
            </w:r>
          </w:p>
        </w:tc>
        <w:tc>
          <w:tcPr>
            <w:tcW w:w="4832" w:type="dxa"/>
          </w:tcPr>
          <w:p w:rsidR="002B489A" w:rsidRDefault="004F19C4">
            <w:pPr>
              <w:pStyle w:val="Tabletext"/>
              <w:framePr w:hSpace="181" w:wrap="notBeside" w:vAnchor="text" w:hAnchor="text" w:xAlign="center" w:y="1"/>
              <w:spacing w:line="240" w:lineRule="exact"/>
              <w:jc w:val="center"/>
              <w:rPr>
                <w:lang w:val="es-ES"/>
              </w:rPr>
            </w:pPr>
            <w:r>
              <w:rPr>
                <w:lang w:val="es-ES"/>
              </w:rPr>
              <w:t>90</w:t>
            </w:r>
          </w:p>
        </w:tc>
      </w:tr>
      <w:tr w:rsidR="002B489A">
        <w:tc>
          <w:tcPr>
            <w:tcW w:w="4807" w:type="dxa"/>
          </w:tcPr>
          <w:p w:rsidR="002B489A" w:rsidRDefault="004F19C4">
            <w:pPr>
              <w:pStyle w:val="Tabletext"/>
              <w:framePr w:hSpace="181" w:wrap="notBeside" w:vAnchor="text" w:hAnchor="text" w:xAlign="center" w:y="1"/>
              <w:spacing w:line="240" w:lineRule="exact"/>
              <w:rPr>
                <w:lang w:val="fr-CH"/>
              </w:rPr>
            </w:pPr>
            <w:r>
              <w:rPr>
                <w:lang w:val="fr-CH"/>
              </w:rPr>
              <w:t>Largeur de couloir (km)</w:t>
            </w:r>
          </w:p>
        </w:tc>
        <w:tc>
          <w:tcPr>
            <w:tcW w:w="4832" w:type="dxa"/>
          </w:tcPr>
          <w:p w:rsidR="002B489A" w:rsidRDefault="004F19C4">
            <w:pPr>
              <w:pStyle w:val="Tabletext"/>
              <w:framePr w:hSpace="181" w:wrap="notBeside" w:vAnchor="text" w:hAnchor="text" w:xAlign="center" w:y="1"/>
              <w:spacing w:line="240" w:lineRule="exact"/>
              <w:jc w:val="center"/>
              <w:rPr>
                <w:lang w:val="fr-CH"/>
              </w:rPr>
            </w:pPr>
            <w:r>
              <w:rPr>
                <w:lang w:val="fr-CH"/>
              </w:rPr>
              <w:t>2</w:t>
            </w:r>
            <w:r>
              <w:rPr>
                <w:rFonts w:ascii="Tms Rmn" w:hAnsi="Tms Rmn"/>
                <w:sz w:val="12"/>
                <w:lang w:val="fr-CH"/>
              </w:rPr>
              <w:t> </w:t>
            </w:r>
            <w:r>
              <w:rPr>
                <w:lang w:val="fr-CH"/>
              </w:rPr>
              <w:t xml:space="preserve">300 </w:t>
            </w:r>
          </w:p>
        </w:tc>
      </w:tr>
    </w:tbl>
    <w:p w:rsidR="002B489A" w:rsidRDefault="002B489A">
      <w:pPr>
        <w:pStyle w:val="Tablefin"/>
        <w:spacing w:before="240"/>
        <w:rPr>
          <w:lang w:val="fr-CH"/>
        </w:rPr>
      </w:pPr>
    </w:p>
    <w:p w:rsidR="002B489A" w:rsidRDefault="004F19C4">
      <w:pPr>
        <w:pStyle w:val="Heading1"/>
        <w:rPr>
          <w:lang w:val="fr-CH"/>
        </w:rPr>
      </w:pPr>
      <w:r>
        <w:rPr>
          <w:lang w:val="fr-CH"/>
        </w:rPr>
        <w:t>2</w:t>
      </w:r>
      <w:r>
        <w:rPr>
          <w:lang w:val="fr-CH"/>
        </w:rPr>
        <w:tab/>
        <w:t>SFS et SMS</w:t>
      </w:r>
    </w:p>
    <w:p w:rsidR="002B489A" w:rsidRDefault="004F19C4">
      <w:pPr>
        <w:pStyle w:val="Heading2"/>
        <w:rPr>
          <w:lang w:val="fr-CH"/>
        </w:rPr>
      </w:pPr>
      <w:r>
        <w:rPr>
          <w:lang w:val="fr-CH"/>
        </w:rPr>
        <w:t>2.1</w:t>
      </w:r>
      <w:r>
        <w:rPr>
          <w:lang w:val="fr-CH"/>
        </w:rPr>
        <w:tab/>
        <w:t>Bande d'émission attribuée</w:t>
      </w:r>
    </w:p>
    <w:p w:rsidR="002B489A" w:rsidRDefault="004F19C4">
      <w:pPr>
        <w:rPr>
          <w:lang w:val="fr-CH"/>
        </w:rPr>
      </w:pPr>
      <w:r>
        <w:rPr>
          <w:lang w:val="fr-CH"/>
        </w:rPr>
        <w:t>Voir le Tableau 114.</w:t>
      </w:r>
    </w:p>
    <w:p w:rsidR="002B489A" w:rsidRDefault="004F19C4">
      <w:pPr>
        <w:pStyle w:val="Heading2"/>
        <w:rPr>
          <w:lang w:val="fr-CH"/>
        </w:rPr>
      </w:pPr>
      <w:r>
        <w:rPr>
          <w:lang w:val="fr-CH"/>
        </w:rPr>
        <w:t>2.2</w:t>
      </w:r>
      <w:r>
        <w:rPr>
          <w:lang w:val="fr-CH"/>
        </w:rPr>
        <w:tab/>
        <w:t>Application</w:t>
      </w:r>
    </w:p>
    <w:p w:rsidR="002B489A" w:rsidRDefault="004F19C4">
      <w:pPr>
        <w:rPr>
          <w:lang w:val="fr-CH"/>
        </w:rPr>
      </w:pPr>
      <w:r>
        <w:rPr>
          <w:lang w:val="fr-CH"/>
        </w:rPr>
        <w:t>Les services actifs pris en compte dans la présente Annexe sont le SFS (Terre vers espace) et le SMS (Terre vers espace) dans la bande 47,2</w:t>
      </w:r>
      <w:r>
        <w:rPr>
          <w:lang w:val="fr-CH"/>
        </w:rPr>
        <w:noBreakHyphen/>
        <w:t>50,2 GHz.</w:t>
      </w:r>
    </w:p>
    <w:p w:rsidR="002B489A" w:rsidRDefault="004F19C4">
      <w:pPr>
        <w:pStyle w:val="Heading2"/>
        <w:rPr>
          <w:lang w:val="fr-CH"/>
        </w:rPr>
      </w:pPr>
      <w:r>
        <w:rPr>
          <w:lang w:val="fr-CH"/>
        </w:rPr>
        <w:br w:type="page"/>
        <w:t>2.3</w:t>
      </w:r>
      <w:r>
        <w:rPr>
          <w:lang w:val="fr-CH"/>
        </w:rPr>
        <w:tab/>
        <w:t>Niveaux fondés sur la représentation spectrale</w:t>
      </w:r>
    </w:p>
    <w:p w:rsidR="002B489A" w:rsidRDefault="004F19C4">
      <w:pPr>
        <w:rPr>
          <w:lang w:val="fr-CH"/>
        </w:rPr>
      </w:pPr>
      <w:r>
        <w:rPr>
          <w:lang w:val="fr-CH"/>
        </w:rPr>
        <w:t>La présente Annexe utilise la représentation spectrale du cosinus surélevé qui est décrite à l'Annexe 1.</w:t>
      </w:r>
    </w:p>
    <w:p w:rsidR="002B489A" w:rsidRDefault="004F19C4">
      <w:pPr>
        <w:rPr>
          <w:lang w:val="fr-CH"/>
        </w:rPr>
      </w:pPr>
      <w:r>
        <w:rPr>
          <w:lang w:val="fr-CH"/>
        </w:rPr>
        <w:t>Cette représentation spectrale est destinée aux études bande par bande et est provisoire, en attentant une révision à l'avenir au sein de l'UIT-R. Elle représente de façon très générale la distribution de puissance moyenne typique à travers les domaines des émissions hors bande et des rayonnements non essentiels dans l'attribution adjacente ou voisine.</w:t>
      </w:r>
    </w:p>
    <w:p w:rsidR="002B489A" w:rsidRDefault="004F19C4">
      <w:pPr>
        <w:pStyle w:val="Heading2"/>
        <w:rPr>
          <w:lang w:val="fr-CH"/>
        </w:rPr>
      </w:pPr>
      <w:r>
        <w:rPr>
          <w:lang w:val="fr-CH"/>
        </w:rPr>
        <w:t>2.4</w:t>
      </w:r>
      <w:r>
        <w:rPr>
          <w:lang w:val="fr-CH"/>
        </w:rPr>
        <w:tab/>
        <w:t>Caractéristiques de l'émetteur</w:t>
      </w:r>
    </w:p>
    <w:p w:rsidR="002B489A" w:rsidRDefault="004F19C4">
      <w:pPr>
        <w:rPr>
          <w:lang w:val="fr-CH"/>
        </w:rPr>
      </w:pPr>
      <w:r>
        <w:rPr>
          <w:lang w:val="fr-CH"/>
        </w:rPr>
        <w:t>Les caractéristiques des SFS et SMS sont tirées de la Recommandation UIT-R S.1328-3 «Caractéristiques de systèmes à satellites à prendre en compte dans les analyses de partage des fréquences entre systèmes à satellites sur l'orbite des satellites géostationnaires (OSG) et système à satellites non OSG dans le service fixe par satellite (SFS), y compris les liaisons de connexion du service mobile par satellite (SMS)». Les terminaux du SMS sont modélisés comme ceux du SFS, excepté pour les largeurs de bande plus étroites et les plus petites antennes. On suppose qu'elles sont montées sur un véhicule et utilisées lorsqu'il est au repos.</w:t>
      </w:r>
    </w:p>
    <w:p w:rsidR="002B489A" w:rsidRDefault="004F19C4">
      <w:pPr>
        <w:pStyle w:val="TableNo"/>
        <w:rPr>
          <w:lang w:val="fr-CH"/>
        </w:rPr>
      </w:pPr>
      <w:r>
        <w:rPr>
          <w:lang w:val="fr-CH"/>
        </w:rPr>
        <w:t>TABLEAU  116</w:t>
      </w:r>
    </w:p>
    <w:p w:rsidR="002B489A" w:rsidRDefault="004F19C4">
      <w:pPr>
        <w:pStyle w:val="Tabletitle"/>
        <w:rPr>
          <w:lang w:val="fr-CH"/>
        </w:rPr>
      </w:pPr>
      <w:r>
        <w:rPr>
          <w:lang w:val="fr-CH"/>
        </w:rPr>
        <w:t>Caractéristiques des stations terriennes OSG à liaison montante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4"/>
        <w:gridCol w:w="1800"/>
        <w:gridCol w:w="2330"/>
      </w:tblGrid>
      <w:tr w:rsidR="002B489A">
        <w:trPr>
          <w:cantSplit/>
          <w:trHeight w:val="173"/>
        </w:trPr>
        <w:tc>
          <w:tcPr>
            <w:tcW w:w="3394" w:type="dxa"/>
            <w:vMerge w:val="restart"/>
            <w:tcBorders>
              <w:top w:val="nil"/>
              <w:left w:val="nil"/>
              <w:bottom w:val="single" w:sz="4" w:space="0" w:color="auto"/>
              <w:right w:val="single" w:sz="4" w:space="0" w:color="auto"/>
            </w:tcBorders>
          </w:tcPr>
          <w:p w:rsidR="002B489A" w:rsidRDefault="002B489A">
            <w:pPr>
              <w:framePr w:hSpace="181" w:wrap="notBeside" w:vAnchor="text" w:hAnchor="text" w:xAlign="center" w:y="1"/>
              <w:jc w:val="center"/>
              <w:rPr>
                <w:lang w:val="fr-CH"/>
              </w:rPr>
            </w:pPr>
          </w:p>
        </w:tc>
        <w:tc>
          <w:tcPr>
            <w:tcW w:w="4130" w:type="dxa"/>
            <w:gridSpan w:val="2"/>
            <w:tcBorders>
              <w:top w:val="single" w:sz="4" w:space="0" w:color="auto"/>
              <w:left w:val="single" w:sz="4" w:space="0" w:color="auto"/>
              <w:bottom w:val="single" w:sz="4" w:space="0" w:color="auto"/>
              <w:right w:val="single" w:sz="4" w:space="0" w:color="auto"/>
            </w:tcBorders>
          </w:tcPr>
          <w:p w:rsidR="002B489A" w:rsidRDefault="004F19C4">
            <w:pPr>
              <w:pStyle w:val="Tablehead"/>
              <w:rPr>
                <w:lang w:val="fr-CH"/>
              </w:rPr>
            </w:pPr>
            <w:r>
              <w:rPr>
                <w:lang w:val="fr-CH"/>
              </w:rPr>
              <w:t>Système</w:t>
            </w:r>
          </w:p>
        </w:tc>
      </w:tr>
      <w:tr w:rsidR="002B489A">
        <w:trPr>
          <w:cantSplit/>
          <w:trHeight w:val="172"/>
        </w:trPr>
        <w:tc>
          <w:tcPr>
            <w:tcW w:w="3394" w:type="dxa"/>
            <w:vMerge/>
            <w:tcBorders>
              <w:top w:val="nil"/>
              <w:left w:val="nil"/>
              <w:bottom w:val="single" w:sz="4" w:space="0" w:color="auto"/>
              <w:right w:val="single" w:sz="4" w:space="0" w:color="auto"/>
            </w:tcBorders>
          </w:tcPr>
          <w:p w:rsidR="002B489A" w:rsidRDefault="002B489A">
            <w:pPr>
              <w:framePr w:hSpace="181" w:wrap="notBeside" w:vAnchor="text" w:hAnchor="text" w:xAlign="center" w:y="1"/>
              <w:jc w:val="center"/>
              <w:rPr>
                <w:lang w:val="fr-CH"/>
              </w:rPr>
            </w:pPr>
          </w:p>
        </w:tc>
        <w:tc>
          <w:tcPr>
            <w:tcW w:w="1800" w:type="dxa"/>
            <w:tcBorders>
              <w:top w:val="single" w:sz="4" w:space="0" w:color="auto"/>
              <w:left w:val="single" w:sz="4" w:space="0" w:color="auto"/>
              <w:bottom w:val="single" w:sz="4" w:space="0" w:color="auto"/>
              <w:right w:val="single" w:sz="4" w:space="0" w:color="auto"/>
            </w:tcBorders>
          </w:tcPr>
          <w:p w:rsidR="002B489A" w:rsidRDefault="004F19C4">
            <w:pPr>
              <w:pStyle w:val="Tablehead"/>
              <w:rPr>
                <w:lang w:val="fr-CH"/>
              </w:rPr>
            </w:pPr>
            <w:r>
              <w:rPr>
                <w:lang w:val="fr-CH"/>
              </w:rPr>
              <w:t>Fixe par satellite</w:t>
            </w:r>
          </w:p>
        </w:tc>
        <w:tc>
          <w:tcPr>
            <w:tcW w:w="2330" w:type="dxa"/>
            <w:tcBorders>
              <w:top w:val="single" w:sz="4" w:space="0" w:color="auto"/>
              <w:left w:val="single" w:sz="4" w:space="0" w:color="auto"/>
              <w:bottom w:val="single" w:sz="4" w:space="0" w:color="auto"/>
              <w:right w:val="single" w:sz="4" w:space="0" w:color="auto"/>
            </w:tcBorders>
          </w:tcPr>
          <w:p w:rsidR="002B489A" w:rsidRDefault="004F19C4">
            <w:pPr>
              <w:pStyle w:val="Tablehead"/>
              <w:rPr>
                <w:lang w:val="fr-CH"/>
              </w:rPr>
            </w:pPr>
            <w:r>
              <w:rPr>
                <w:lang w:val="fr-CH"/>
              </w:rPr>
              <w:t>Mobile par satellite</w:t>
            </w:r>
          </w:p>
        </w:tc>
      </w:tr>
      <w:tr w:rsidR="002B489A">
        <w:tc>
          <w:tcPr>
            <w:tcW w:w="3394" w:type="dxa"/>
            <w:tcBorders>
              <w:top w:val="single" w:sz="4" w:space="0" w:color="auto"/>
              <w:left w:val="single" w:sz="4" w:space="0" w:color="auto"/>
              <w:bottom w:val="single" w:sz="6" w:space="0" w:color="auto"/>
              <w:right w:val="single" w:sz="6" w:space="0" w:color="auto"/>
            </w:tcBorders>
          </w:tcPr>
          <w:p w:rsidR="002B489A" w:rsidRDefault="004F19C4">
            <w:pPr>
              <w:pStyle w:val="Tabletext"/>
              <w:framePr w:hSpace="181" w:wrap="notBeside" w:vAnchor="text" w:hAnchor="text" w:xAlign="center" w:y="1"/>
              <w:rPr>
                <w:lang w:val="fr-CH"/>
              </w:rPr>
            </w:pPr>
            <w:r>
              <w:rPr>
                <w:lang w:val="fr-CH"/>
              </w:rPr>
              <w:t>Polarisation</w:t>
            </w:r>
          </w:p>
        </w:tc>
        <w:tc>
          <w:tcPr>
            <w:tcW w:w="1800" w:type="dxa"/>
            <w:tcBorders>
              <w:top w:val="single" w:sz="4" w:space="0" w:color="auto"/>
              <w:left w:val="single" w:sz="6" w:space="0" w:color="auto"/>
            </w:tcBorders>
          </w:tcPr>
          <w:p w:rsidR="002B489A" w:rsidRDefault="004F19C4">
            <w:pPr>
              <w:pStyle w:val="Tabletext"/>
              <w:framePr w:hSpace="181" w:wrap="notBeside" w:vAnchor="text" w:hAnchor="text" w:xAlign="center" w:y="1"/>
              <w:jc w:val="center"/>
              <w:rPr>
                <w:lang w:val="fr-CH"/>
              </w:rPr>
            </w:pPr>
            <w:r>
              <w:rPr>
                <w:lang w:val="fr-CH"/>
              </w:rPr>
              <w:t>Circulaire gauche/droite</w:t>
            </w:r>
          </w:p>
        </w:tc>
        <w:tc>
          <w:tcPr>
            <w:tcW w:w="2330" w:type="dxa"/>
            <w:tcBorders>
              <w:top w:val="single" w:sz="4" w:space="0" w:color="auto"/>
              <w:right w:val="single" w:sz="4" w:space="0" w:color="auto"/>
            </w:tcBorders>
          </w:tcPr>
          <w:p w:rsidR="002B489A" w:rsidRDefault="004F19C4">
            <w:pPr>
              <w:pStyle w:val="Tabletext"/>
              <w:framePr w:hSpace="181" w:wrap="notBeside" w:vAnchor="text" w:hAnchor="text" w:xAlign="center" w:y="1"/>
              <w:jc w:val="center"/>
              <w:rPr>
                <w:lang w:val="fr-CH"/>
              </w:rPr>
            </w:pPr>
            <w:r>
              <w:rPr>
                <w:lang w:val="fr-CH"/>
              </w:rPr>
              <w:t>Circulaire droite/gauche</w:t>
            </w:r>
          </w:p>
        </w:tc>
      </w:tr>
      <w:tr w:rsidR="002B489A">
        <w:tc>
          <w:tcPr>
            <w:tcW w:w="3394" w:type="dxa"/>
            <w:tcBorders>
              <w:top w:val="single" w:sz="6" w:space="0" w:color="auto"/>
              <w:left w:val="single" w:sz="4" w:space="0" w:color="auto"/>
              <w:bottom w:val="single" w:sz="6" w:space="0" w:color="auto"/>
              <w:right w:val="single" w:sz="6" w:space="0" w:color="auto"/>
            </w:tcBorders>
          </w:tcPr>
          <w:p w:rsidR="002B489A" w:rsidRDefault="004F19C4">
            <w:pPr>
              <w:pStyle w:val="Tabletext"/>
              <w:framePr w:hSpace="181" w:wrap="notBeside" w:vAnchor="text" w:hAnchor="text" w:xAlign="center" w:y="1"/>
              <w:rPr>
                <w:lang w:val="fr-CH"/>
              </w:rPr>
            </w:pPr>
            <w:r>
              <w:rPr>
                <w:lang w:val="fr-CH"/>
              </w:rPr>
              <w:t>Modulation</w:t>
            </w:r>
          </w:p>
        </w:tc>
        <w:tc>
          <w:tcPr>
            <w:tcW w:w="1800" w:type="dxa"/>
            <w:tcBorders>
              <w:left w:val="single" w:sz="6" w:space="0" w:color="auto"/>
            </w:tcBorders>
          </w:tcPr>
          <w:p w:rsidR="002B489A" w:rsidRDefault="004F19C4">
            <w:pPr>
              <w:pStyle w:val="Tabletext"/>
              <w:framePr w:hSpace="181" w:wrap="notBeside" w:vAnchor="text" w:hAnchor="text" w:xAlign="center" w:y="1"/>
              <w:jc w:val="center"/>
              <w:rPr>
                <w:lang w:val="fr-CH"/>
              </w:rPr>
            </w:pPr>
            <w:r>
              <w:rPr>
                <w:lang w:val="fr-CH"/>
              </w:rPr>
              <w:t>MDP-4</w:t>
            </w:r>
          </w:p>
        </w:tc>
        <w:tc>
          <w:tcPr>
            <w:tcW w:w="2330" w:type="dxa"/>
            <w:tcBorders>
              <w:right w:val="single" w:sz="4" w:space="0" w:color="auto"/>
            </w:tcBorders>
          </w:tcPr>
          <w:p w:rsidR="002B489A" w:rsidRDefault="004F19C4">
            <w:pPr>
              <w:pStyle w:val="Tabletext"/>
              <w:framePr w:hSpace="181" w:wrap="notBeside" w:vAnchor="text" w:hAnchor="text" w:xAlign="center" w:y="1"/>
              <w:jc w:val="center"/>
              <w:rPr>
                <w:lang w:val="fr-CH"/>
              </w:rPr>
            </w:pPr>
            <w:r>
              <w:rPr>
                <w:lang w:val="fr-CH"/>
              </w:rPr>
              <w:t>MDP-4</w:t>
            </w:r>
          </w:p>
        </w:tc>
      </w:tr>
      <w:tr w:rsidR="002B489A">
        <w:tc>
          <w:tcPr>
            <w:tcW w:w="3394" w:type="dxa"/>
            <w:tcBorders>
              <w:top w:val="single" w:sz="6" w:space="0" w:color="auto"/>
              <w:left w:val="single" w:sz="4" w:space="0" w:color="auto"/>
              <w:bottom w:val="single" w:sz="6" w:space="0" w:color="auto"/>
              <w:right w:val="single" w:sz="6" w:space="0" w:color="auto"/>
            </w:tcBorders>
          </w:tcPr>
          <w:p w:rsidR="002B489A" w:rsidRDefault="004F19C4">
            <w:pPr>
              <w:pStyle w:val="Tabletext"/>
              <w:framePr w:hSpace="181" w:wrap="notBeside" w:vAnchor="text" w:hAnchor="text" w:xAlign="center" w:y="1"/>
              <w:rPr>
                <w:lang w:val="fr-CH"/>
              </w:rPr>
            </w:pPr>
            <w:r>
              <w:rPr>
                <w:lang w:val="fr-CH"/>
              </w:rPr>
              <w:t>Largeur de bande (MHz)</w:t>
            </w:r>
          </w:p>
        </w:tc>
        <w:tc>
          <w:tcPr>
            <w:tcW w:w="1800" w:type="dxa"/>
            <w:tcBorders>
              <w:left w:val="single" w:sz="6" w:space="0" w:color="auto"/>
            </w:tcBorders>
          </w:tcPr>
          <w:p w:rsidR="002B489A" w:rsidRDefault="004F19C4">
            <w:pPr>
              <w:pStyle w:val="Tabletext"/>
              <w:framePr w:hSpace="181" w:wrap="notBeside" w:vAnchor="text" w:hAnchor="text" w:xAlign="center" w:y="1"/>
              <w:jc w:val="center"/>
              <w:rPr>
                <w:lang w:val="es-ES"/>
              </w:rPr>
            </w:pPr>
            <w:r>
              <w:rPr>
                <w:lang w:val="es-ES"/>
              </w:rPr>
              <w:t>125</w:t>
            </w:r>
          </w:p>
        </w:tc>
        <w:tc>
          <w:tcPr>
            <w:tcW w:w="2330" w:type="dxa"/>
            <w:tcBorders>
              <w:right w:val="single" w:sz="4" w:space="0" w:color="auto"/>
            </w:tcBorders>
          </w:tcPr>
          <w:p w:rsidR="002B489A" w:rsidRDefault="004F19C4">
            <w:pPr>
              <w:pStyle w:val="Tabletext"/>
              <w:framePr w:hSpace="181" w:wrap="notBeside" w:vAnchor="text" w:hAnchor="text" w:xAlign="center" w:y="1"/>
              <w:jc w:val="center"/>
              <w:rPr>
                <w:lang w:val="es-ES"/>
              </w:rPr>
            </w:pPr>
            <w:r>
              <w:rPr>
                <w:lang w:val="es-ES"/>
              </w:rPr>
              <w:t>11</w:t>
            </w:r>
          </w:p>
        </w:tc>
      </w:tr>
      <w:tr w:rsidR="002B489A">
        <w:tc>
          <w:tcPr>
            <w:tcW w:w="3394" w:type="dxa"/>
            <w:tcBorders>
              <w:top w:val="single" w:sz="6" w:space="0" w:color="auto"/>
              <w:left w:val="single" w:sz="4" w:space="0" w:color="auto"/>
              <w:bottom w:val="single" w:sz="6" w:space="0" w:color="auto"/>
              <w:right w:val="single" w:sz="6" w:space="0" w:color="auto"/>
            </w:tcBorders>
          </w:tcPr>
          <w:p w:rsidR="002B489A" w:rsidRDefault="004F19C4">
            <w:pPr>
              <w:pStyle w:val="Tabletext"/>
              <w:framePr w:hSpace="181" w:wrap="notBeside" w:vAnchor="text" w:hAnchor="text" w:xAlign="center" w:y="1"/>
              <w:rPr>
                <w:lang w:val="es-ES"/>
              </w:rPr>
            </w:pPr>
            <w:r>
              <w:rPr>
                <w:lang w:val="es-ES"/>
              </w:rPr>
              <w:t>p.i.r.e. (dBW)</w:t>
            </w:r>
          </w:p>
        </w:tc>
        <w:tc>
          <w:tcPr>
            <w:tcW w:w="1800" w:type="dxa"/>
            <w:tcBorders>
              <w:left w:val="single" w:sz="6" w:space="0" w:color="auto"/>
            </w:tcBorders>
          </w:tcPr>
          <w:p w:rsidR="002B489A" w:rsidRDefault="004F19C4">
            <w:pPr>
              <w:pStyle w:val="Tabletext"/>
              <w:framePr w:hSpace="181" w:wrap="notBeside" w:vAnchor="text" w:hAnchor="text" w:xAlign="center" w:y="1"/>
              <w:jc w:val="center"/>
              <w:rPr>
                <w:lang w:val="es-ES"/>
              </w:rPr>
            </w:pPr>
            <w:r>
              <w:rPr>
                <w:lang w:val="es-ES"/>
              </w:rPr>
              <w:t>83,9</w:t>
            </w:r>
          </w:p>
        </w:tc>
        <w:tc>
          <w:tcPr>
            <w:tcW w:w="2330" w:type="dxa"/>
            <w:tcBorders>
              <w:right w:val="single" w:sz="4" w:space="0" w:color="auto"/>
            </w:tcBorders>
          </w:tcPr>
          <w:p w:rsidR="002B489A" w:rsidRDefault="004F19C4">
            <w:pPr>
              <w:pStyle w:val="Tabletext"/>
              <w:framePr w:hSpace="181" w:wrap="notBeside" w:vAnchor="text" w:hAnchor="text" w:xAlign="center" w:y="1"/>
              <w:jc w:val="center"/>
              <w:rPr>
                <w:lang w:val="es-ES"/>
              </w:rPr>
            </w:pPr>
            <w:r>
              <w:rPr>
                <w:lang w:val="es-ES"/>
              </w:rPr>
              <w:t>69,2</w:t>
            </w:r>
          </w:p>
        </w:tc>
      </w:tr>
      <w:tr w:rsidR="002B489A">
        <w:tc>
          <w:tcPr>
            <w:tcW w:w="3394" w:type="dxa"/>
            <w:tcBorders>
              <w:top w:val="single" w:sz="6" w:space="0" w:color="auto"/>
              <w:left w:val="single" w:sz="4" w:space="0" w:color="auto"/>
              <w:bottom w:val="single" w:sz="6" w:space="0" w:color="auto"/>
              <w:right w:val="single" w:sz="6" w:space="0" w:color="auto"/>
            </w:tcBorders>
          </w:tcPr>
          <w:p w:rsidR="002B489A" w:rsidRDefault="004F19C4">
            <w:pPr>
              <w:pStyle w:val="Tabletext"/>
              <w:framePr w:hSpace="181" w:wrap="notBeside" w:vAnchor="text" w:hAnchor="text" w:xAlign="center" w:y="1"/>
              <w:rPr>
                <w:lang w:val="fr-CH"/>
              </w:rPr>
            </w:pPr>
            <w:r>
              <w:rPr>
                <w:lang w:val="fr-CH"/>
              </w:rPr>
              <w:t>Gain d'antenne (dBi)</w:t>
            </w:r>
          </w:p>
        </w:tc>
        <w:tc>
          <w:tcPr>
            <w:tcW w:w="1800" w:type="dxa"/>
            <w:tcBorders>
              <w:left w:val="single" w:sz="6" w:space="0" w:color="auto"/>
            </w:tcBorders>
          </w:tcPr>
          <w:p w:rsidR="002B489A" w:rsidRDefault="004F19C4">
            <w:pPr>
              <w:pStyle w:val="Tabletext"/>
              <w:framePr w:hSpace="181" w:wrap="notBeside" w:vAnchor="text" w:hAnchor="text" w:xAlign="center" w:y="1"/>
              <w:jc w:val="center"/>
              <w:rPr>
                <w:lang w:val="es-ES"/>
              </w:rPr>
            </w:pPr>
            <w:r>
              <w:rPr>
                <w:lang w:val="es-ES"/>
              </w:rPr>
              <w:t>64,8</w:t>
            </w:r>
          </w:p>
        </w:tc>
        <w:tc>
          <w:tcPr>
            <w:tcW w:w="2330" w:type="dxa"/>
            <w:tcBorders>
              <w:right w:val="single" w:sz="4" w:space="0" w:color="auto"/>
            </w:tcBorders>
          </w:tcPr>
          <w:p w:rsidR="002B489A" w:rsidRDefault="004F19C4">
            <w:pPr>
              <w:pStyle w:val="Tabletext"/>
              <w:framePr w:hSpace="181" w:wrap="notBeside" w:vAnchor="text" w:hAnchor="text" w:xAlign="center" w:y="1"/>
              <w:jc w:val="center"/>
              <w:rPr>
                <w:lang w:val="es-ES"/>
              </w:rPr>
            </w:pPr>
            <w:r>
              <w:rPr>
                <w:lang w:val="es-ES"/>
              </w:rPr>
              <w:t>59,3</w:t>
            </w:r>
          </w:p>
        </w:tc>
      </w:tr>
      <w:tr w:rsidR="002B489A">
        <w:tc>
          <w:tcPr>
            <w:tcW w:w="3394" w:type="dxa"/>
            <w:tcBorders>
              <w:top w:val="single" w:sz="6" w:space="0" w:color="auto"/>
              <w:left w:val="single" w:sz="4" w:space="0" w:color="auto"/>
              <w:bottom w:val="single" w:sz="4" w:space="0" w:color="auto"/>
              <w:right w:val="single" w:sz="6" w:space="0" w:color="auto"/>
            </w:tcBorders>
          </w:tcPr>
          <w:p w:rsidR="002B489A" w:rsidRDefault="004F19C4">
            <w:pPr>
              <w:pStyle w:val="Tabletext"/>
              <w:framePr w:hSpace="181" w:wrap="notBeside" w:vAnchor="text" w:hAnchor="text" w:xAlign="center" w:y="1"/>
              <w:rPr>
                <w:bCs/>
                <w:lang w:val="fr-CH"/>
              </w:rPr>
            </w:pPr>
            <w:r>
              <w:rPr>
                <w:bCs/>
                <w:lang w:val="fr-CH"/>
              </w:rPr>
              <w:t>Puissance de l'émetteur (dBW)</w:t>
            </w:r>
          </w:p>
        </w:tc>
        <w:tc>
          <w:tcPr>
            <w:tcW w:w="1800" w:type="dxa"/>
            <w:tcBorders>
              <w:left w:val="single" w:sz="6" w:space="0" w:color="auto"/>
              <w:bottom w:val="single" w:sz="4" w:space="0" w:color="auto"/>
            </w:tcBorders>
          </w:tcPr>
          <w:p w:rsidR="002B489A" w:rsidRDefault="004F19C4">
            <w:pPr>
              <w:pStyle w:val="Tabletext"/>
              <w:framePr w:hSpace="181" w:wrap="notBeside" w:vAnchor="text" w:hAnchor="text" w:xAlign="center" w:y="1"/>
              <w:jc w:val="center"/>
              <w:rPr>
                <w:bCs/>
                <w:lang w:val="fr-CH"/>
              </w:rPr>
            </w:pPr>
            <w:r>
              <w:rPr>
                <w:bCs/>
                <w:lang w:val="fr-CH"/>
              </w:rPr>
              <w:t>19,1</w:t>
            </w:r>
          </w:p>
        </w:tc>
        <w:tc>
          <w:tcPr>
            <w:tcW w:w="2330" w:type="dxa"/>
            <w:tcBorders>
              <w:bottom w:val="single" w:sz="4" w:space="0" w:color="auto"/>
              <w:right w:val="single" w:sz="4" w:space="0" w:color="auto"/>
            </w:tcBorders>
          </w:tcPr>
          <w:p w:rsidR="002B489A" w:rsidRDefault="004F19C4">
            <w:pPr>
              <w:pStyle w:val="Tabletext"/>
              <w:framePr w:hSpace="181" w:wrap="notBeside" w:vAnchor="text" w:hAnchor="text" w:xAlign="center" w:y="1"/>
              <w:jc w:val="center"/>
              <w:rPr>
                <w:bCs/>
                <w:lang w:val="fr-CH"/>
              </w:rPr>
            </w:pPr>
            <w:r>
              <w:rPr>
                <w:bCs/>
                <w:lang w:val="fr-CH"/>
              </w:rPr>
              <w:t>9,9</w:t>
            </w:r>
          </w:p>
        </w:tc>
      </w:tr>
    </w:tbl>
    <w:p w:rsidR="002B489A" w:rsidRDefault="002B489A">
      <w:pPr>
        <w:pStyle w:val="Tablefin"/>
        <w:rPr>
          <w:lang w:val="fr-CH"/>
        </w:rPr>
      </w:pPr>
    </w:p>
    <w:p w:rsidR="002B489A" w:rsidRDefault="004F19C4">
      <w:pPr>
        <w:pStyle w:val="Heading1"/>
        <w:rPr>
          <w:lang w:val="fr-CH"/>
        </w:rPr>
      </w:pPr>
      <w:r>
        <w:rPr>
          <w:lang w:val="fr-CH"/>
        </w:rPr>
        <w:t>3</w:t>
      </w:r>
      <w:r>
        <w:rPr>
          <w:lang w:val="fr-CH"/>
        </w:rPr>
        <w:tab/>
        <w:t>Seuil de compatibilité</w:t>
      </w:r>
    </w:p>
    <w:p w:rsidR="002B489A" w:rsidRDefault="004F19C4">
      <w:pPr>
        <w:rPr>
          <w:lang w:val="fr-CH"/>
        </w:rPr>
      </w:pPr>
      <w:r>
        <w:rPr>
          <w:lang w:val="fr-CH"/>
        </w:rPr>
        <w:t>Le brouillage peut être reçu de plusieurs sources provenant simultanément de plusieurs services. La valeur qui figure dans la Recommandation UIT-R SA.1029 (pour une bande spécifique) est le niveau maximum de brouillage admissible pour le détecteur passif.</w:t>
      </w:r>
    </w:p>
    <w:p w:rsidR="002B489A" w:rsidRDefault="004F19C4">
      <w:pPr>
        <w:rPr>
          <w:lang w:val="fr-CH"/>
        </w:rPr>
      </w:pPr>
      <w:r>
        <w:rPr>
          <w:lang w:val="fr-CH"/>
        </w:rPr>
        <w:t>La présente Annexe fait l'analyse du brouillage généré par un seul service actif. Des travaux complémentaires sont donc nécessaires pour traiter de l'impact de services actifs multiples au</w:t>
      </w:r>
      <w:r>
        <w:rPr>
          <w:lang w:val="fr-CH"/>
        </w:rPr>
        <w:noBreakHyphen/>
        <w:t>dessus et au-dessous de la bande passive.</w:t>
      </w:r>
    </w:p>
    <w:p w:rsidR="002B489A" w:rsidRDefault="004F19C4">
      <w:pPr>
        <w:pStyle w:val="Heading1"/>
        <w:rPr>
          <w:lang w:val="fr-CH"/>
        </w:rPr>
      </w:pPr>
      <w:r>
        <w:rPr>
          <w:lang w:val="fr-CH"/>
        </w:rPr>
        <w:br w:type="page"/>
        <w:t>4</w:t>
      </w:r>
      <w:r>
        <w:rPr>
          <w:lang w:val="fr-CH"/>
        </w:rPr>
        <w:tab/>
        <w:t>Evaluation du brouillage</w:t>
      </w:r>
    </w:p>
    <w:p w:rsidR="002B489A" w:rsidRDefault="004F19C4">
      <w:pPr>
        <w:pStyle w:val="Heading2"/>
        <w:rPr>
          <w:lang w:val="fr-CH"/>
        </w:rPr>
      </w:pPr>
      <w:r>
        <w:rPr>
          <w:lang w:val="fr-CH"/>
        </w:rPr>
        <w:t>4.1</w:t>
      </w:r>
      <w:r>
        <w:rPr>
          <w:lang w:val="fr-CH"/>
        </w:rPr>
        <w:tab/>
        <w:t>Méthode d'évaluation du niveau de brouillage</w:t>
      </w:r>
    </w:p>
    <w:p w:rsidR="002B489A" w:rsidRDefault="004F19C4">
      <w:pPr>
        <w:rPr>
          <w:lang w:val="fr-CH"/>
        </w:rPr>
      </w:pPr>
      <w:r>
        <w:rPr>
          <w:lang w:val="fr-CH"/>
        </w:rPr>
        <w:t>Dans une première étape, les niveaux de brouillage sont calculés dans le cas de cofréquence, où les stations terriennes du SFS/SMS sont supposées émettre dans la bande SETS (passive). Dans les cas où la largeur de bande nécessaire de la station terrienne est plus grande que celle de la bande SETS (passive), la puissance émise est réduite proportionnellement, en supposant que la densité de puissance soit constante dans la largeur de bande nécessaire.</w:t>
      </w:r>
    </w:p>
    <w:p w:rsidR="002B489A" w:rsidRDefault="004F19C4">
      <w:pPr>
        <w:spacing w:after="120"/>
        <w:rPr>
          <w:lang w:val="fr-CH"/>
        </w:rPr>
      </w:pPr>
      <w:r>
        <w:rPr>
          <w:lang w:val="fr-CH"/>
        </w:rPr>
        <w:t>Dans une seconde étape, le gabarit hors bande pour le service actif est pris en compte, et on définit la bande de garde qui pourrait être nécessaire pour protéger le service passif.</w:t>
      </w:r>
    </w:p>
    <w:p w:rsidR="002B489A" w:rsidRDefault="004F19C4">
      <w:pPr>
        <w:spacing w:after="120"/>
        <w:rPr>
          <w:lang w:val="fr-CH"/>
        </w:rPr>
      </w:pPr>
      <w:r>
        <w:rPr>
          <w:lang w:val="fr-CH"/>
        </w:rPr>
        <w:t>On adopte pour l'analyse les hypothèses de base suivantes:</w:t>
      </w:r>
    </w:p>
    <w:p w:rsidR="002B489A" w:rsidRDefault="004F19C4">
      <w:pPr>
        <w:pStyle w:val="enumlev1"/>
        <w:rPr>
          <w:lang w:val="fr-CH"/>
        </w:rPr>
      </w:pPr>
      <w:r>
        <w:rPr>
          <w:lang w:val="fr-CH"/>
        </w:rPr>
        <w:t>–</w:t>
      </w:r>
      <w:r>
        <w:rPr>
          <w:lang w:val="fr-CH"/>
        </w:rPr>
        <w:tab/>
        <w:t>Le brouillage intervient via un couplage direct entre les antennes du détecteur passif et celles de la station terrienne du SFS/SMS.</w:t>
      </w:r>
    </w:p>
    <w:p w:rsidR="002B489A" w:rsidRDefault="004F19C4">
      <w:pPr>
        <w:pStyle w:val="enumlev1"/>
        <w:rPr>
          <w:lang w:val="fr-CH"/>
        </w:rPr>
      </w:pPr>
      <w:r>
        <w:rPr>
          <w:lang w:val="fr-CH"/>
        </w:rPr>
        <w:t>–</w:t>
      </w:r>
      <w:r>
        <w:rPr>
          <w:lang w:val="fr-CH"/>
        </w:rPr>
        <w:tab/>
        <w:t>Les deux antennes sont constituées suivant la Recommandation UIT-R F.1245.</w:t>
      </w:r>
    </w:p>
    <w:p w:rsidR="002B489A" w:rsidRDefault="004F19C4">
      <w:pPr>
        <w:pStyle w:val="enumlev1"/>
        <w:rPr>
          <w:lang w:val="fr-CH"/>
        </w:rPr>
      </w:pPr>
      <w:r>
        <w:rPr>
          <w:lang w:val="fr-CH"/>
        </w:rPr>
        <w:t>–</w:t>
      </w:r>
      <w:r>
        <w:rPr>
          <w:lang w:val="fr-CH"/>
        </w:rPr>
        <w:tab/>
        <w:t>A titre de configuration de cas le plus défavorable possible, on suppose que la direction de pointage de la station terrienne du SFS/SMS (visant l'orbite géostationnaire) est contenue dans le plan d'orbite du satellite d'exploration de la Terre. Cette configuration rend possible des voies de brouillage du lobe latéral du détecteur au lobe principal de la station terrienne et du lobe principal du détecteur au lobe latéral de la station terrienne. Les voies de brouillage de lobe principal à lobe principal sont aussi possibles, mais seulement si les stations terriennes sont situées près de l'équateur, cas qui n'est pas développé dans la présente Annexe.</w:t>
      </w:r>
    </w:p>
    <w:p w:rsidR="002B489A" w:rsidRDefault="004F19C4">
      <w:pPr>
        <w:pStyle w:val="enumlev1"/>
        <w:rPr>
          <w:lang w:val="fr-CH"/>
        </w:rPr>
      </w:pPr>
      <w:r>
        <w:rPr>
          <w:lang w:val="fr-CH"/>
        </w:rPr>
        <w:t>–</w:t>
      </w:r>
      <w:r>
        <w:rPr>
          <w:lang w:val="fr-CH"/>
        </w:rPr>
        <w:tab/>
        <w:t>La station terrienne du SFS/SMS est supposée être située à une latitude de 35°. Cette valeur a été choisie comme bon compromis pour représenter un cas le plus défavorable de scénario de lobe latéral de détecteur à lobe principal de station terrienne, parce qu'elle peut représenter la plus basse latitude au-dessus de laquelle les stations terriennes sont le plus densément distribuées et où, du fait de l'angle d'incidence relativement élevé de la voie de brouillage (environ 49°), la protection naturelle due à l'affaiblissement du trajet plus l'absorption atmosphérique est la plus faible.</w:t>
      </w:r>
    </w:p>
    <w:p w:rsidR="002B489A" w:rsidRDefault="004F19C4">
      <w:pPr>
        <w:pStyle w:val="enumlev1"/>
        <w:rPr>
          <w:lang w:val="fr-CH"/>
        </w:rPr>
      </w:pPr>
      <w:r>
        <w:rPr>
          <w:lang w:val="fr-CH"/>
        </w:rPr>
        <w:t>–</w:t>
      </w:r>
      <w:r>
        <w:rPr>
          <w:lang w:val="fr-CH"/>
        </w:rPr>
        <w:tab/>
        <w:t>L'analyse dynamique du § 4.4 tiendra compte de latitudes entre 0° et 50° N afin d'obtenir une large gamme de résultats.</w:t>
      </w:r>
    </w:p>
    <w:p w:rsidR="002B489A" w:rsidRDefault="004F19C4">
      <w:pPr>
        <w:spacing w:after="120"/>
        <w:rPr>
          <w:lang w:val="fr-CH"/>
        </w:rPr>
      </w:pPr>
      <w:r>
        <w:rPr>
          <w:lang w:val="fr-CH"/>
        </w:rPr>
        <w:t>Cette configuration est décrite à la Fig. 74 qui indique les principaux paramètres géométriques de l'analyse.</w:t>
      </w:r>
    </w:p>
    <w:p w:rsidR="002B489A" w:rsidRDefault="004F19C4">
      <w:pPr>
        <w:pStyle w:val="Heading2"/>
        <w:rPr>
          <w:lang w:val="fr-CH"/>
        </w:rPr>
      </w:pPr>
      <w:r>
        <w:rPr>
          <w:lang w:val="fr-CH"/>
        </w:rPr>
        <w:t>4.2</w:t>
      </w:r>
      <w:r>
        <w:rPr>
          <w:lang w:val="fr-CH"/>
        </w:rPr>
        <w:tab/>
        <w:t>Calcul de brouillage dans l'hypothèse de cofréquence</w:t>
      </w:r>
    </w:p>
    <w:p w:rsidR="002B489A" w:rsidRDefault="004F19C4">
      <w:pPr>
        <w:spacing w:after="120"/>
        <w:rPr>
          <w:lang w:val="fr-CH"/>
        </w:rPr>
      </w:pPr>
      <w:r>
        <w:rPr>
          <w:lang w:val="fr-CH"/>
        </w:rPr>
        <w:t>En supposant que la direction de pointage de l'antenne de la station terrienne du SFS/SMS (visant l'orbite géostationnaire) est contenue dans le plan orbital de l'exploration de la Terre par satellite, et en ne considérant que le faisceau de nadir du détecteur en peigne passif, on calcule les paramètres suivants en fonction de la distance latitudinale entre le détecteur passif et la station terrienne du SFS/SMS:</w:t>
      </w:r>
    </w:p>
    <w:p w:rsidR="002B489A" w:rsidRDefault="004F19C4">
      <w:pPr>
        <w:pStyle w:val="enumlev1"/>
        <w:rPr>
          <w:lang w:val="fr-CH"/>
        </w:rPr>
      </w:pPr>
      <w:r>
        <w:rPr>
          <w:lang w:val="fr-CH"/>
        </w:rPr>
        <w:t>–</w:t>
      </w:r>
      <w:r>
        <w:rPr>
          <w:lang w:val="fr-CH"/>
        </w:rPr>
        <w:tab/>
        <w:t>la distance linéaire entre le détecteur et la station terrienne (km);</w:t>
      </w:r>
    </w:p>
    <w:p w:rsidR="002B489A" w:rsidRDefault="004F19C4">
      <w:pPr>
        <w:pStyle w:val="enumlev1"/>
        <w:rPr>
          <w:lang w:val="fr-CH"/>
        </w:rPr>
      </w:pPr>
      <w:r>
        <w:rPr>
          <w:lang w:val="fr-CH"/>
        </w:rPr>
        <w:t>–</w:t>
      </w:r>
      <w:r>
        <w:rPr>
          <w:lang w:val="fr-CH"/>
        </w:rPr>
        <w:tab/>
        <w:t>les angles de décalage entre la ligne de visée du détecteur/station terrienne et l'axe principal des antennes;</w:t>
      </w:r>
    </w:p>
    <w:p w:rsidR="002B489A" w:rsidRDefault="004F19C4">
      <w:pPr>
        <w:pStyle w:val="enumlev1"/>
        <w:rPr>
          <w:lang w:val="fr-CH"/>
        </w:rPr>
      </w:pPr>
      <w:r>
        <w:rPr>
          <w:lang w:val="fr-CH"/>
        </w:rPr>
        <w:br w:type="page"/>
        <w:t>–</w:t>
      </w:r>
      <w:r>
        <w:rPr>
          <w:lang w:val="fr-CH"/>
        </w:rPr>
        <w:tab/>
        <w:t>les gains mutuels en direction l'une de l'autre, des antennes du détecteur et de la station terrienne;</w:t>
      </w:r>
    </w:p>
    <w:p w:rsidR="002B489A" w:rsidRDefault="004F19C4">
      <w:pPr>
        <w:pStyle w:val="enumlev1"/>
        <w:rPr>
          <w:lang w:val="fr-CH"/>
        </w:rPr>
      </w:pPr>
      <w:r>
        <w:rPr>
          <w:lang w:val="fr-CH"/>
        </w:rPr>
        <w:t>–</w:t>
      </w:r>
      <w:r>
        <w:rPr>
          <w:lang w:val="fr-CH"/>
        </w:rPr>
        <w:tab/>
        <w:t>l'affaiblissement de l'espace;</w:t>
      </w:r>
    </w:p>
    <w:p w:rsidR="002B489A" w:rsidRDefault="004F19C4">
      <w:pPr>
        <w:pStyle w:val="enumlev1"/>
        <w:rPr>
          <w:lang w:val="fr-CH"/>
        </w:rPr>
      </w:pPr>
      <w:r>
        <w:rPr>
          <w:lang w:val="fr-CH"/>
        </w:rPr>
        <w:t>–</w:t>
      </w:r>
      <w:r>
        <w:rPr>
          <w:lang w:val="fr-CH"/>
        </w:rPr>
        <w:tab/>
        <w:t>l'absorption atmosphérique en fonction de l'angle d'élévation du trajet (Recommandation UIT-R P.676);</w:t>
      </w:r>
    </w:p>
    <w:p w:rsidR="002B489A" w:rsidRDefault="004F19C4">
      <w:pPr>
        <w:pStyle w:val="enumlev1"/>
        <w:rPr>
          <w:lang w:val="fr-CH"/>
        </w:rPr>
      </w:pPr>
      <w:r>
        <w:rPr>
          <w:lang w:val="fr-CH"/>
        </w:rPr>
        <w:t>–</w:t>
      </w:r>
      <w:r>
        <w:rPr>
          <w:lang w:val="fr-CH"/>
        </w:rPr>
        <w:tab/>
        <w:t>la puissance reçue par le détecteur passif dans la largeur de bande de 200 MHz attribuée;</w:t>
      </w:r>
    </w:p>
    <w:p w:rsidR="002B489A" w:rsidRDefault="004F19C4">
      <w:pPr>
        <w:pStyle w:val="enumlev1"/>
        <w:rPr>
          <w:lang w:val="fr-CH"/>
        </w:rPr>
      </w:pPr>
      <w:r>
        <w:rPr>
          <w:lang w:val="fr-CH"/>
        </w:rPr>
        <w:t>–</w:t>
      </w:r>
      <w:r>
        <w:rPr>
          <w:lang w:val="fr-CH"/>
        </w:rPr>
        <w:tab/>
        <w:t>la marge par rapport au seuil de brouillage, dans les cas du SFS et du SMS;</w:t>
      </w:r>
    </w:p>
    <w:p w:rsidR="002B489A" w:rsidRDefault="004F19C4">
      <w:pPr>
        <w:pStyle w:val="enumlev1"/>
        <w:rPr>
          <w:lang w:val="fr-CH"/>
        </w:rPr>
      </w:pPr>
      <w:r>
        <w:rPr>
          <w:lang w:val="fr-CH"/>
        </w:rPr>
        <w:t>–</w:t>
      </w:r>
      <w:r>
        <w:rPr>
          <w:lang w:val="fr-CH"/>
        </w:rPr>
        <w:tab/>
        <w:t>la taille de la zone autour de la position de la station terrienne, où les données du sondage sont contaminées par le brouillage.</w:t>
      </w:r>
    </w:p>
    <w:p w:rsidR="002B489A" w:rsidRDefault="002B489A">
      <w:pPr>
        <w:rPr>
          <w:lang w:val="fr-CH"/>
        </w:rPr>
      </w:pPr>
    </w:p>
    <w:p w:rsidR="002B489A" w:rsidRDefault="002B489A">
      <w:pPr>
        <w:rPr>
          <w:lang w:val="fr-CH"/>
        </w:rPr>
      </w:pPr>
    </w:p>
    <w:p w:rsidR="002B489A" w:rsidRDefault="0006728D">
      <w:pPr>
        <w:pStyle w:val="FigureNo"/>
        <w:rPr>
          <w:lang w:val="fr-CH"/>
        </w:rPr>
      </w:pPr>
      <w:r>
        <w:rPr>
          <w:noProof/>
          <w:lang w:val="fr-CH" w:eastAsia="fr-CH"/>
        </w:rPr>
        <w:drawing>
          <wp:inline distT="0" distB="0" distL="0" distR="0">
            <wp:extent cx="4610100" cy="429577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610100" cy="4295775"/>
                    </a:xfrm>
                    <a:prstGeom prst="rect">
                      <a:avLst/>
                    </a:prstGeom>
                    <a:noFill/>
                    <a:ln>
                      <a:noFill/>
                    </a:ln>
                  </pic:spPr>
                </pic:pic>
              </a:graphicData>
            </a:graphic>
          </wp:inline>
        </w:drawing>
      </w:r>
    </w:p>
    <w:p w:rsidR="002B489A" w:rsidRDefault="002B489A">
      <w:pPr>
        <w:spacing w:after="120"/>
        <w:rPr>
          <w:lang w:val="fr-CH"/>
        </w:rPr>
      </w:pPr>
    </w:p>
    <w:p w:rsidR="002B489A" w:rsidRDefault="002B489A">
      <w:pPr>
        <w:spacing w:after="120"/>
        <w:rPr>
          <w:lang w:val="fr-CH"/>
        </w:rPr>
      </w:pPr>
    </w:p>
    <w:p w:rsidR="002B489A" w:rsidRDefault="004F19C4">
      <w:pPr>
        <w:spacing w:after="120"/>
        <w:rPr>
          <w:lang w:val="fr-CH"/>
        </w:rPr>
      </w:pPr>
      <w:r>
        <w:rPr>
          <w:lang w:val="fr-CH"/>
        </w:rPr>
        <w:t>Le Tableau 118 donne un échantillon de calcul numérique à la fin du présent document. Noter que la résolution (en latitude) de la feuille de calcul réelle est dix fois meilleure, afin d'identifier précisément les pointes de brouillage et la taille des zones contaminées.</w:t>
      </w:r>
    </w:p>
    <w:p w:rsidR="002B489A" w:rsidRDefault="004F19C4">
      <w:pPr>
        <w:pStyle w:val="Heading2"/>
        <w:rPr>
          <w:lang w:val="fr-CH"/>
        </w:rPr>
      </w:pPr>
      <w:r>
        <w:rPr>
          <w:lang w:val="fr-CH"/>
        </w:rPr>
        <w:br w:type="page"/>
        <w:t>4.3</w:t>
      </w:r>
      <w:r>
        <w:rPr>
          <w:lang w:val="fr-CH"/>
        </w:rPr>
        <w:tab/>
        <w:t>Résultat de l'analyse et discussion</w:t>
      </w:r>
    </w:p>
    <w:p w:rsidR="002B489A" w:rsidRDefault="004F19C4">
      <w:pPr>
        <w:spacing w:after="120"/>
        <w:rPr>
          <w:lang w:val="fr-CH"/>
        </w:rPr>
      </w:pPr>
      <w:r>
        <w:rPr>
          <w:lang w:val="fr-CH"/>
        </w:rPr>
        <w:t>Les résultats sont contenus dans les Fig. 75 et 76, respectivement pour les stations terriennes du SFS et SMS. Alors que l'exploration de la Terre par satellite se déplace en direction de la station terrienne, un premier évènement apparaît lorsque le détecteur croise le lobe principal de la station terrienne; puis un second évènement survient lorsque le détecteur est au zénith de la station terrienne.</w:t>
      </w:r>
    </w:p>
    <w:p w:rsidR="002B489A" w:rsidRDefault="0006728D">
      <w:pPr>
        <w:pStyle w:val="FigureNo"/>
        <w:spacing w:before="120" w:after="120"/>
        <w:rPr>
          <w:lang w:val="fr-CH"/>
        </w:rPr>
      </w:pPr>
      <w:r>
        <w:rPr>
          <w:noProof/>
          <w:lang w:val="fr-CH" w:eastAsia="fr-CH"/>
        </w:rPr>
        <w:drawing>
          <wp:inline distT="0" distB="0" distL="0" distR="0">
            <wp:extent cx="4962525" cy="366712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962525" cy="3667125"/>
                    </a:xfrm>
                    <a:prstGeom prst="rect">
                      <a:avLst/>
                    </a:prstGeom>
                    <a:noFill/>
                    <a:ln>
                      <a:noFill/>
                    </a:ln>
                  </pic:spPr>
                </pic:pic>
              </a:graphicData>
            </a:graphic>
          </wp:inline>
        </w:drawing>
      </w:r>
    </w:p>
    <w:p w:rsidR="002B489A" w:rsidRDefault="0006728D">
      <w:pPr>
        <w:pStyle w:val="FigureNo"/>
        <w:spacing w:before="120" w:after="0"/>
        <w:rPr>
          <w:lang w:val="fr-CH"/>
        </w:rPr>
      </w:pPr>
      <w:r>
        <w:rPr>
          <w:noProof/>
          <w:lang w:val="fr-CH" w:eastAsia="fr-CH"/>
        </w:rPr>
        <w:drawing>
          <wp:inline distT="0" distB="0" distL="0" distR="0">
            <wp:extent cx="4991100" cy="366712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991100" cy="3667125"/>
                    </a:xfrm>
                    <a:prstGeom prst="rect">
                      <a:avLst/>
                    </a:prstGeom>
                    <a:noFill/>
                    <a:ln>
                      <a:noFill/>
                    </a:ln>
                  </pic:spPr>
                </pic:pic>
              </a:graphicData>
            </a:graphic>
          </wp:inline>
        </w:drawing>
      </w:r>
    </w:p>
    <w:p w:rsidR="002B489A" w:rsidRDefault="004F19C4">
      <w:pPr>
        <w:pStyle w:val="Heading3"/>
        <w:rPr>
          <w:lang w:val="fr-CH"/>
        </w:rPr>
      </w:pPr>
      <w:r>
        <w:rPr>
          <w:lang w:val="fr-CH"/>
        </w:rPr>
        <w:br w:type="page"/>
        <w:t>4.3.1</w:t>
      </w:r>
      <w:r>
        <w:rPr>
          <w:lang w:val="fr-CH"/>
        </w:rPr>
        <w:tab/>
        <w:t>Evènements de brouillage survenant lorsque le détecteur passif est dans le lobe principal de la station terrienne du SFS</w:t>
      </w:r>
    </w:p>
    <w:p w:rsidR="002B489A" w:rsidRDefault="004F19C4">
      <w:pPr>
        <w:spacing w:line="280" w:lineRule="exact"/>
        <w:rPr>
          <w:lang w:val="fr-CH"/>
        </w:rPr>
      </w:pPr>
      <w:r>
        <w:rPr>
          <w:lang w:val="fr-CH"/>
        </w:rPr>
        <w:t xml:space="preserve">Ils sont de 49 dB au-dessus du seuil de brouillage du détecteur passif. Ils durent jusqu'à 21 s, ce qui est à comparer à la période orbitale du détecteur passif de 100 min. Dans la mesure où tous les faisceaux d'antenne du détecteur sont activés en permanence, plusieurs lignes de balayage complètes (de 90 pixels chacune) sont contaminées à chaque évènement; ce qui nous conduit à une perte d'environ 810 pixels à chaque évènement dans le cas d'une station terrienne du SFS OSG. Le satellite d'exploration de la Terre étant presque en orbite polaire, la condition requise pour le brouillage est une coïncidence dans les </w:t>
      </w:r>
      <w:r>
        <w:rPr>
          <w:lang w:val="fr-CH"/>
        </w:rPr>
        <w:sym w:font="Symbol" w:char="F0B1"/>
      </w:r>
      <w:r>
        <w:rPr>
          <w:lang w:val="fr-CH"/>
        </w:rPr>
        <w:t xml:space="preserve"> 0,6° autour de la longitude de la station terrienne. La probabilité d'occurrence de tels évènements devrait faire l'objet d'études complémentaires, en considérant en particulier les paramètres de dérive de l'orbite du détecteur passif, la densité et la latitude des stations terriennes et les critères de disponibilité des détecteurs passifs. Du fait de la taille de ces évènements, il est douteux que la probabilité d'occurrence puisse être négligée.</w:t>
      </w:r>
    </w:p>
    <w:p w:rsidR="002B489A" w:rsidRDefault="004F19C4">
      <w:pPr>
        <w:pStyle w:val="Heading3"/>
        <w:rPr>
          <w:lang w:val="fr-CH"/>
        </w:rPr>
      </w:pPr>
      <w:r>
        <w:rPr>
          <w:lang w:val="fr-CH"/>
        </w:rPr>
        <w:t>4.3.2</w:t>
      </w:r>
      <w:r>
        <w:rPr>
          <w:lang w:val="fr-CH"/>
        </w:rPr>
        <w:tab/>
        <w:t>Brouillage survenant lorsque le détecteur passif est proche du zénith de la station terrienne du SFS</w:t>
      </w:r>
    </w:p>
    <w:p w:rsidR="002B489A" w:rsidRDefault="004F19C4">
      <w:pPr>
        <w:rPr>
          <w:lang w:val="fr-CH"/>
        </w:rPr>
      </w:pPr>
      <w:r>
        <w:rPr>
          <w:lang w:val="fr-CH"/>
        </w:rPr>
        <w:t xml:space="preserve">Ils sont à 29,5 dB au-dessus du seuil de brouillage du détecteur. Ils constituent le plus sérieux sujet de préoccupation, parce que le champ de vision à 100° du détecteur en peigne (croisant la piste) est composé d'environ 90 faisceaux d'antenne adjacents, activés en permanence, qui créent une zone longitudinale de </w:t>
      </w:r>
      <w:r>
        <w:rPr>
          <w:lang w:val="fr-CH"/>
        </w:rPr>
        <w:sym w:font="Symbol" w:char="F0B1"/>
      </w:r>
      <w:r>
        <w:rPr>
          <w:lang w:val="fr-CH"/>
        </w:rPr>
        <w:t xml:space="preserve"> 10,25° autour de la position de la station terrienne, où le détecteur peut recevoir des brouillages gênants dans tous ses faisceaux d'antenne.</w:t>
      </w:r>
    </w:p>
    <w:p w:rsidR="002B489A" w:rsidRDefault="004F19C4">
      <w:pPr>
        <w:spacing w:after="120"/>
        <w:rPr>
          <w:lang w:val="fr-CH"/>
        </w:rPr>
      </w:pPr>
      <w:r>
        <w:rPr>
          <w:lang w:val="fr-CH"/>
        </w:rPr>
        <w:t>Le brouillage va donc certainement survenir lorsque les deux conditions géométriques suivantes sont satisfaites:</w:t>
      </w:r>
    </w:p>
    <w:p w:rsidR="002B489A" w:rsidRDefault="004F19C4">
      <w:pPr>
        <w:pStyle w:val="enumlev1"/>
        <w:rPr>
          <w:lang w:val="fr-CH"/>
        </w:rPr>
      </w:pPr>
      <w:r>
        <w:rPr>
          <w:lang w:val="fr-CH"/>
        </w:rPr>
        <w:t>–</w:t>
      </w:r>
      <w:r>
        <w:rPr>
          <w:lang w:val="fr-CH"/>
        </w:rPr>
        <w:tab/>
        <w:t>le détecteur croise la latitude de la station terrienne;</w:t>
      </w:r>
    </w:p>
    <w:p w:rsidR="002B489A" w:rsidRDefault="004F19C4">
      <w:pPr>
        <w:pStyle w:val="enumlev1"/>
        <w:rPr>
          <w:lang w:val="fr-CH"/>
        </w:rPr>
      </w:pPr>
      <w:r>
        <w:rPr>
          <w:lang w:val="fr-CH"/>
        </w:rPr>
        <w:t>–</w:t>
      </w:r>
      <w:r>
        <w:rPr>
          <w:lang w:val="fr-CH"/>
        </w:rPr>
        <w:tab/>
        <w:t xml:space="preserve">le détecteur est à une distance longitudinale dans les </w:t>
      </w:r>
      <w:r>
        <w:rPr>
          <w:lang w:val="fr-CH"/>
        </w:rPr>
        <w:sym w:font="Symbol" w:char="F0B1"/>
      </w:r>
      <w:r>
        <w:rPr>
          <w:lang w:val="fr-CH"/>
        </w:rPr>
        <w:t xml:space="preserve"> 10,25° de la station terrienne.</w:t>
      </w:r>
    </w:p>
    <w:p w:rsidR="002B489A" w:rsidRDefault="004F19C4">
      <w:pPr>
        <w:spacing w:after="120"/>
        <w:rPr>
          <w:lang w:val="fr-CH"/>
        </w:rPr>
      </w:pPr>
      <w:r>
        <w:rPr>
          <w:lang w:val="fr-CH"/>
        </w:rPr>
        <w:t>Si on considère que la distance longitudinale entre deux orbites successives est d'environ 25° à l'équateur, il en résulte que le fonctionnement du détecteur passif sera gêné par un évènement de brouillage deux fois par jour de la part d'une seule station terrienne, en considérant à la fois les trajets orbitaux ascendants et descendants. Le nombre d'évènements augmente avec la latitude de la station terrienne, car la distance entre les orbites successives décroît avec le cosinus de la latitude. Il est directement proportionnel au nombre de stations terriennes.</w:t>
      </w:r>
    </w:p>
    <w:p w:rsidR="002B489A" w:rsidRDefault="004F19C4">
      <w:pPr>
        <w:rPr>
          <w:lang w:val="fr-CH"/>
        </w:rPr>
      </w:pPr>
      <w:r>
        <w:rPr>
          <w:lang w:val="fr-CH"/>
        </w:rPr>
        <w:t>Les principales caractéristiques de chaque évènement de brouillage sont les suivantes, dans le cas d'une station terrienne du SFS:</w:t>
      </w:r>
    </w:p>
    <w:p w:rsidR="002B489A" w:rsidRDefault="004F19C4">
      <w:pPr>
        <w:pStyle w:val="enumlev1"/>
        <w:rPr>
          <w:lang w:val="fr-CH"/>
        </w:rPr>
      </w:pPr>
      <w:r>
        <w:rPr>
          <w:lang w:val="fr-CH"/>
        </w:rPr>
        <w:t>–</w:t>
      </w:r>
      <w:r>
        <w:rPr>
          <w:lang w:val="fr-CH"/>
        </w:rPr>
        <w:tab/>
        <w:t>la durée est d'environ 16 s;</w:t>
      </w:r>
    </w:p>
    <w:p w:rsidR="002B489A" w:rsidRDefault="004F19C4">
      <w:pPr>
        <w:pStyle w:val="enumlev1"/>
        <w:rPr>
          <w:lang w:val="fr-CH"/>
        </w:rPr>
      </w:pPr>
      <w:r>
        <w:rPr>
          <w:lang w:val="fr-CH"/>
        </w:rPr>
        <w:t>–</w:t>
      </w:r>
      <w:r>
        <w:rPr>
          <w:lang w:val="fr-CH"/>
        </w:rPr>
        <w:tab/>
        <w:t>une zone circulaire de la surface de la Terre d'environ 110 km de diamètre autour de la position de chaque station terrienne est contaminée par des brouillages gênants;</w:t>
      </w:r>
    </w:p>
    <w:p w:rsidR="002B489A" w:rsidRDefault="004F19C4">
      <w:pPr>
        <w:pStyle w:val="enumlev1"/>
        <w:rPr>
          <w:lang w:val="fr-CH"/>
        </w:rPr>
      </w:pPr>
      <w:r>
        <w:rPr>
          <w:lang w:val="fr-CH"/>
        </w:rPr>
        <w:t>–</w:t>
      </w:r>
      <w:r>
        <w:rPr>
          <w:lang w:val="fr-CH"/>
        </w:rPr>
        <w:tab/>
        <w:t>cette zone de 9</w:t>
      </w:r>
      <w:r>
        <w:rPr>
          <w:rFonts w:ascii="Tms Rmn" w:hAnsi="Tms Rmn"/>
          <w:sz w:val="12"/>
          <w:lang w:val="fr-CH"/>
        </w:rPr>
        <w:t> </w:t>
      </w:r>
      <w:r>
        <w:rPr>
          <w:lang w:val="fr-CH"/>
        </w:rPr>
        <w:t>500 km</w:t>
      </w:r>
      <w:r>
        <w:rPr>
          <w:vertAlign w:val="superscript"/>
          <w:lang w:val="fr-CH"/>
        </w:rPr>
        <w:t>2</w:t>
      </w:r>
      <w:r>
        <w:rPr>
          <w:lang w:val="fr-CH"/>
        </w:rPr>
        <w:t>, correspondant à 47 pixels, est à comparer à la zone de service de référence de 2</w:t>
      </w:r>
      <w:r>
        <w:rPr>
          <w:rFonts w:ascii="Tms Rmn" w:hAnsi="Tms Rmn"/>
          <w:sz w:val="12"/>
          <w:lang w:val="fr-CH"/>
        </w:rPr>
        <w:t> </w:t>
      </w:r>
      <w:r>
        <w:rPr>
          <w:lang w:val="fr-CH"/>
        </w:rPr>
        <w:t>000</w:t>
      </w:r>
      <w:r>
        <w:rPr>
          <w:rFonts w:ascii="Tms Rmn" w:hAnsi="Tms Rmn"/>
          <w:sz w:val="12"/>
          <w:lang w:val="fr-CH"/>
        </w:rPr>
        <w:t> </w:t>
      </w:r>
      <w:r>
        <w:rPr>
          <w:lang w:val="fr-CH"/>
        </w:rPr>
        <w:t>000 km</w:t>
      </w:r>
      <w:r>
        <w:rPr>
          <w:vertAlign w:val="superscript"/>
          <w:lang w:val="fr-CH"/>
        </w:rPr>
        <w:t>2</w:t>
      </w:r>
      <w:r>
        <w:rPr>
          <w:lang w:val="fr-CH"/>
        </w:rPr>
        <w:t xml:space="preserve"> du détecteur qui est stipulée dans les Recommandations UIT</w:t>
      </w:r>
      <w:r>
        <w:rPr>
          <w:lang w:val="fr-CH"/>
        </w:rPr>
        <w:noBreakHyphen/>
        <w:t>R SA.1028 et UIT-R SA.1029;</w:t>
      </w:r>
    </w:p>
    <w:p w:rsidR="002B489A" w:rsidRDefault="004F19C4">
      <w:pPr>
        <w:pStyle w:val="enumlev1"/>
        <w:rPr>
          <w:lang w:val="fr-CH"/>
        </w:rPr>
      </w:pPr>
      <w:r>
        <w:rPr>
          <w:lang w:val="fr-CH"/>
        </w:rPr>
        <w:t>–</w:t>
      </w:r>
      <w:r>
        <w:rPr>
          <w:lang w:val="fr-CH"/>
        </w:rPr>
        <w:tab/>
        <w:t>le critère de non-disponibilité de 0,01% est excédé de beaucoup dans le voisinage des stations terriennes.</w:t>
      </w:r>
    </w:p>
    <w:p w:rsidR="002B489A" w:rsidRDefault="004F19C4">
      <w:pPr>
        <w:spacing w:after="120"/>
        <w:rPr>
          <w:lang w:val="fr-CH"/>
        </w:rPr>
      </w:pPr>
      <w:r>
        <w:rPr>
          <w:lang w:val="fr-CH"/>
        </w:rPr>
        <w:br w:type="page"/>
        <w:t>Cette configuration est décrite à la Fig. 77.</w:t>
      </w:r>
    </w:p>
    <w:p w:rsidR="002B489A" w:rsidRDefault="0006728D">
      <w:pPr>
        <w:pStyle w:val="FigureNo"/>
        <w:spacing w:before="240" w:after="120"/>
        <w:rPr>
          <w:lang w:val="fr-CH"/>
        </w:rPr>
      </w:pPr>
      <w:r>
        <w:rPr>
          <w:noProof/>
          <w:lang w:val="fr-CH" w:eastAsia="fr-CH"/>
        </w:rPr>
        <w:drawing>
          <wp:inline distT="0" distB="0" distL="0" distR="0">
            <wp:extent cx="4600575" cy="41529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600575" cy="4152900"/>
                    </a:xfrm>
                    <a:prstGeom prst="rect">
                      <a:avLst/>
                    </a:prstGeom>
                    <a:noFill/>
                    <a:ln>
                      <a:noFill/>
                    </a:ln>
                  </pic:spPr>
                </pic:pic>
              </a:graphicData>
            </a:graphic>
          </wp:inline>
        </w:drawing>
      </w:r>
    </w:p>
    <w:p w:rsidR="002B489A" w:rsidRDefault="004F19C4">
      <w:pPr>
        <w:spacing w:before="240"/>
        <w:rPr>
          <w:lang w:val="fr-CH"/>
        </w:rPr>
      </w:pPr>
      <w:r>
        <w:rPr>
          <w:lang w:val="fr-CH"/>
        </w:rPr>
        <w:t>Les résultats numériques les plus significatifs sont résumés dans le Tableau 117.</w:t>
      </w:r>
    </w:p>
    <w:p w:rsidR="002B489A" w:rsidRDefault="004F19C4">
      <w:pPr>
        <w:pStyle w:val="TableNo"/>
        <w:rPr>
          <w:lang w:val="fr-CH"/>
        </w:rPr>
      </w:pPr>
      <w:r>
        <w:rPr>
          <w:lang w:val="fr-CH"/>
        </w:rPr>
        <w:t>TABLEAU  117</w:t>
      </w:r>
    </w:p>
    <w:p w:rsidR="002B489A" w:rsidRDefault="004F19C4">
      <w:pPr>
        <w:pStyle w:val="Tabletitle"/>
        <w:rPr>
          <w:lang w:val="fr-CH"/>
        </w:rPr>
      </w:pPr>
      <w:r>
        <w:rPr>
          <w:lang w:val="fr-CH"/>
        </w:rPr>
        <w:t>Excédent de puissance sur le seuil de brouillage (hypothèse de cofréquence)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5"/>
        <w:gridCol w:w="2460"/>
        <w:gridCol w:w="2504"/>
      </w:tblGrid>
      <w:tr w:rsidR="002B489A">
        <w:tc>
          <w:tcPr>
            <w:tcW w:w="4675" w:type="dxa"/>
          </w:tcPr>
          <w:p w:rsidR="002B489A" w:rsidRDefault="004F19C4">
            <w:pPr>
              <w:pStyle w:val="Tablehead"/>
              <w:framePr w:hSpace="181" w:wrap="notBeside" w:vAnchor="text" w:hAnchor="text" w:xAlign="center" w:y="1"/>
              <w:spacing w:line="240" w:lineRule="exact"/>
              <w:rPr>
                <w:lang w:val="fr-CH"/>
              </w:rPr>
            </w:pPr>
            <w:r>
              <w:rPr>
                <w:lang w:val="fr-CH"/>
              </w:rPr>
              <w:t xml:space="preserve">Détecteur dans le lobe principal </w:t>
            </w:r>
            <w:r>
              <w:rPr>
                <w:lang w:val="fr-CH"/>
              </w:rPr>
              <w:br/>
              <w:t>de la station terrienne</w:t>
            </w:r>
          </w:p>
        </w:tc>
        <w:tc>
          <w:tcPr>
            <w:tcW w:w="2460" w:type="dxa"/>
            <w:vAlign w:val="center"/>
          </w:tcPr>
          <w:p w:rsidR="002B489A" w:rsidRDefault="004F19C4">
            <w:pPr>
              <w:pStyle w:val="Tablehead"/>
              <w:framePr w:hSpace="181" w:wrap="notBeside" w:vAnchor="text" w:hAnchor="text" w:xAlign="center" w:y="1"/>
              <w:spacing w:line="240" w:lineRule="exact"/>
              <w:rPr>
                <w:lang w:val="fr-CH"/>
              </w:rPr>
            </w:pPr>
            <w:r>
              <w:rPr>
                <w:lang w:val="fr-CH"/>
              </w:rPr>
              <w:t>Station terrienne du SFS</w:t>
            </w:r>
          </w:p>
        </w:tc>
        <w:tc>
          <w:tcPr>
            <w:tcW w:w="2504" w:type="dxa"/>
            <w:vAlign w:val="center"/>
          </w:tcPr>
          <w:p w:rsidR="002B489A" w:rsidRDefault="004F19C4">
            <w:pPr>
              <w:pStyle w:val="Tablehead"/>
              <w:framePr w:hSpace="181" w:wrap="notBeside" w:vAnchor="text" w:hAnchor="text" w:xAlign="center" w:y="1"/>
              <w:spacing w:line="240" w:lineRule="exact"/>
              <w:rPr>
                <w:lang w:val="fr-CH"/>
              </w:rPr>
            </w:pPr>
            <w:r>
              <w:rPr>
                <w:lang w:val="fr-CH"/>
              </w:rPr>
              <w:t xml:space="preserve">Station terrienne </w:t>
            </w:r>
            <w:r>
              <w:rPr>
                <w:lang w:val="fr-CH"/>
              </w:rPr>
              <w:br/>
              <w:t>SMS</w:t>
            </w:r>
          </w:p>
        </w:tc>
      </w:tr>
      <w:tr w:rsidR="002B489A">
        <w:tc>
          <w:tcPr>
            <w:tcW w:w="4675" w:type="dxa"/>
          </w:tcPr>
          <w:p w:rsidR="002B489A" w:rsidRDefault="004F19C4">
            <w:pPr>
              <w:pStyle w:val="Tabletext"/>
              <w:framePr w:hSpace="181" w:wrap="notBeside" w:vAnchor="text" w:hAnchor="text" w:xAlign="center" w:y="1"/>
              <w:spacing w:line="240" w:lineRule="exact"/>
              <w:rPr>
                <w:lang w:val="fr-CH"/>
              </w:rPr>
            </w:pPr>
            <w:r>
              <w:rPr>
                <w:lang w:val="fr-CH"/>
              </w:rPr>
              <w:t>Excédent de puissance (dB)</w:t>
            </w:r>
          </w:p>
        </w:tc>
        <w:tc>
          <w:tcPr>
            <w:tcW w:w="2460" w:type="dxa"/>
          </w:tcPr>
          <w:p w:rsidR="002B489A" w:rsidRDefault="004F19C4">
            <w:pPr>
              <w:pStyle w:val="Tabletext"/>
              <w:framePr w:hSpace="181" w:wrap="notBeside" w:vAnchor="text" w:hAnchor="text" w:xAlign="center" w:y="1"/>
              <w:spacing w:line="240" w:lineRule="exact"/>
              <w:jc w:val="center"/>
              <w:rPr>
                <w:lang w:val="fr-CH"/>
              </w:rPr>
            </w:pPr>
            <w:r>
              <w:rPr>
                <w:lang w:val="fr-CH"/>
              </w:rPr>
              <w:t>49,1</w:t>
            </w:r>
          </w:p>
        </w:tc>
        <w:tc>
          <w:tcPr>
            <w:tcW w:w="2504" w:type="dxa"/>
          </w:tcPr>
          <w:p w:rsidR="002B489A" w:rsidRDefault="004F19C4">
            <w:pPr>
              <w:pStyle w:val="Tabletext"/>
              <w:framePr w:hSpace="181" w:wrap="notBeside" w:vAnchor="text" w:hAnchor="text" w:xAlign="center" w:y="1"/>
              <w:spacing w:line="240" w:lineRule="exact"/>
              <w:jc w:val="center"/>
              <w:rPr>
                <w:lang w:val="fr-CH"/>
              </w:rPr>
            </w:pPr>
            <w:r>
              <w:rPr>
                <w:lang w:val="fr-CH"/>
              </w:rPr>
              <w:t>34,4</w:t>
            </w:r>
          </w:p>
        </w:tc>
      </w:tr>
      <w:tr w:rsidR="002B489A">
        <w:tc>
          <w:tcPr>
            <w:tcW w:w="4675" w:type="dxa"/>
          </w:tcPr>
          <w:p w:rsidR="002B489A" w:rsidRDefault="004F19C4">
            <w:pPr>
              <w:pStyle w:val="Tabletext"/>
              <w:framePr w:hSpace="181" w:wrap="notBeside" w:vAnchor="text" w:hAnchor="text" w:xAlign="center" w:y="1"/>
              <w:spacing w:line="240" w:lineRule="exact"/>
              <w:jc w:val="left"/>
              <w:rPr>
                <w:lang w:val="fr-CH"/>
              </w:rPr>
            </w:pPr>
            <w:r>
              <w:rPr>
                <w:lang w:val="fr-CH"/>
              </w:rPr>
              <w:t>Zone autour de la station terrienne (approximativement) (km)</w:t>
            </w:r>
          </w:p>
        </w:tc>
        <w:tc>
          <w:tcPr>
            <w:tcW w:w="2460" w:type="dxa"/>
          </w:tcPr>
          <w:p w:rsidR="002B489A" w:rsidRDefault="004F19C4">
            <w:pPr>
              <w:pStyle w:val="Tabletext"/>
              <w:framePr w:hSpace="181" w:wrap="notBeside" w:vAnchor="text" w:hAnchor="text" w:xAlign="center" w:y="1"/>
              <w:spacing w:line="240" w:lineRule="exact"/>
              <w:jc w:val="center"/>
              <w:rPr>
                <w:lang w:val="fr-CH"/>
              </w:rPr>
            </w:pPr>
            <w:r>
              <w:rPr>
                <w:lang w:val="fr-CH"/>
              </w:rPr>
              <w:t xml:space="preserve">150 </w:t>
            </w:r>
            <w:r>
              <w:sym w:font="Symbol" w:char="F0B4"/>
            </w:r>
            <w:r>
              <w:rPr>
                <w:lang w:val="fr-CH"/>
              </w:rPr>
              <w:t xml:space="preserve">  130</w:t>
            </w:r>
          </w:p>
        </w:tc>
        <w:tc>
          <w:tcPr>
            <w:tcW w:w="2504" w:type="dxa"/>
          </w:tcPr>
          <w:p w:rsidR="002B489A" w:rsidRDefault="004F19C4">
            <w:pPr>
              <w:pStyle w:val="Tabletext"/>
              <w:framePr w:hSpace="181" w:wrap="notBeside" w:vAnchor="text" w:hAnchor="text" w:xAlign="center" w:y="1"/>
              <w:spacing w:line="240" w:lineRule="exact"/>
              <w:jc w:val="center"/>
              <w:rPr>
                <w:lang w:val="fr-CH"/>
              </w:rPr>
            </w:pPr>
            <w:r>
              <w:rPr>
                <w:lang w:val="fr-CH"/>
              </w:rPr>
              <w:t xml:space="preserve">60 </w:t>
            </w:r>
            <w:r>
              <w:sym w:font="Symbol" w:char="F0B4"/>
            </w:r>
            <w:r>
              <w:rPr>
                <w:lang w:val="fr-CH"/>
              </w:rPr>
              <w:t xml:space="preserve"> 51</w:t>
            </w:r>
          </w:p>
        </w:tc>
      </w:tr>
      <w:tr w:rsidR="002B489A">
        <w:tc>
          <w:tcPr>
            <w:tcW w:w="4675" w:type="dxa"/>
          </w:tcPr>
          <w:p w:rsidR="002B489A" w:rsidRDefault="004F19C4">
            <w:pPr>
              <w:pStyle w:val="Tabletext"/>
              <w:framePr w:hSpace="181" w:wrap="notBeside" w:vAnchor="text" w:hAnchor="text" w:xAlign="center" w:y="1"/>
              <w:spacing w:line="240" w:lineRule="exact"/>
              <w:rPr>
                <w:lang w:val="fr-CH"/>
              </w:rPr>
            </w:pPr>
            <w:r>
              <w:rPr>
                <w:lang w:val="fr-CH"/>
              </w:rPr>
              <w:t>Nombre de pixels/évènements contaminés</w:t>
            </w:r>
          </w:p>
        </w:tc>
        <w:tc>
          <w:tcPr>
            <w:tcW w:w="2460" w:type="dxa"/>
          </w:tcPr>
          <w:p w:rsidR="002B489A" w:rsidRDefault="004F19C4">
            <w:pPr>
              <w:pStyle w:val="Tabletext"/>
              <w:framePr w:hSpace="181" w:wrap="notBeside" w:vAnchor="text" w:hAnchor="text" w:xAlign="center" w:y="1"/>
              <w:spacing w:line="240" w:lineRule="exact"/>
              <w:jc w:val="center"/>
              <w:rPr>
                <w:lang w:val="fr-CH"/>
              </w:rPr>
            </w:pPr>
            <w:r>
              <w:rPr>
                <w:lang w:val="fr-CH"/>
              </w:rPr>
              <w:t>9 lignes de balayage</w:t>
            </w:r>
          </w:p>
        </w:tc>
        <w:tc>
          <w:tcPr>
            <w:tcW w:w="2504" w:type="dxa"/>
          </w:tcPr>
          <w:p w:rsidR="002B489A" w:rsidRDefault="004F19C4">
            <w:pPr>
              <w:pStyle w:val="Tabletext"/>
              <w:framePr w:hSpace="181" w:wrap="notBeside" w:vAnchor="text" w:hAnchor="text" w:xAlign="center" w:y="1"/>
              <w:spacing w:line="240" w:lineRule="exact"/>
              <w:jc w:val="center"/>
              <w:rPr>
                <w:lang w:val="fr-CH"/>
              </w:rPr>
            </w:pPr>
            <w:r>
              <w:rPr>
                <w:lang w:val="fr-CH"/>
              </w:rPr>
              <w:t>4 lignes de balayage</w:t>
            </w:r>
          </w:p>
        </w:tc>
      </w:tr>
      <w:tr w:rsidR="002B489A">
        <w:tc>
          <w:tcPr>
            <w:tcW w:w="4675" w:type="dxa"/>
          </w:tcPr>
          <w:p w:rsidR="002B489A" w:rsidRDefault="004F19C4">
            <w:pPr>
              <w:pStyle w:val="Tabletext"/>
              <w:framePr w:hSpace="181" w:wrap="notBeside" w:vAnchor="text" w:hAnchor="text" w:xAlign="center" w:y="1"/>
              <w:spacing w:line="240" w:lineRule="exact"/>
              <w:rPr>
                <w:lang w:val="fr-CH"/>
              </w:rPr>
            </w:pPr>
            <w:r>
              <w:rPr>
                <w:lang w:val="fr-CH"/>
              </w:rPr>
              <w:t>Durée d'un évènement (approximativement) (s)</w:t>
            </w:r>
          </w:p>
        </w:tc>
        <w:tc>
          <w:tcPr>
            <w:tcW w:w="2460" w:type="dxa"/>
          </w:tcPr>
          <w:p w:rsidR="002B489A" w:rsidRDefault="004F19C4">
            <w:pPr>
              <w:pStyle w:val="Tabletext"/>
              <w:framePr w:hSpace="181" w:wrap="notBeside" w:vAnchor="text" w:hAnchor="text" w:xAlign="center" w:y="1"/>
              <w:spacing w:line="240" w:lineRule="exact"/>
              <w:jc w:val="center"/>
              <w:rPr>
                <w:lang w:val="fr-CH"/>
              </w:rPr>
            </w:pPr>
            <w:r>
              <w:rPr>
                <w:lang w:val="fr-CH"/>
              </w:rPr>
              <w:t>21</w:t>
            </w:r>
          </w:p>
        </w:tc>
        <w:tc>
          <w:tcPr>
            <w:tcW w:w="2504" w:type="dxa"/>
          </w:tcPr>
          <w:p w:rsidR="002B489A" w:rsidRDefault="004F19C4">
            <w:pPr>
              <w:pStyle w:val="Tabletext"/>
              <w:framePr w:hSpace="181" w:wrap="notBeside" w:vAnchor="text" w:hAnchor="text" w:xAlign="center" w:y="1"/>
              <w:spacing w:line="240" w:lineRule="exact"/>
              <w:jc w:val="center"/>
              <w:rPr>
                <w:lang w:val="fr-CH"/>
              </w:rPr>
            </w:pPr>
            <w:r>
              <w:rPr>
                <w:lang w:val="fr-CH"/>
              </w:rPr>
              <w:t>8,3</w:t>
            </w:r>
          </w:p>
        </w:tc>
      </w:tr>
      <w:tr w:rsidR="002B489A">
        <w:tc>
          <w:tcPr>
            <w:tcW w:w="4675" w:type="dxa"/>
          </w:tcPr>
          <w:p w:rsidR="002B489A" w:rsidRDefault="004F19C4">
            <w:pPr>
              <w:pStyle w:val="Tablehead"/>
              <w:framePr w:hSpace="181" w:wrap="notBeside" w:vAnchor="text" w:hAnchor="text" w:xAlign="center" w:y="1"/>
              <w:spacing w:line="240" w:lineRule="exact"/>
              <w:rPr>
                <w:lang w:val="fr-CH"/>
              </w:rPr>
            </w:pPr>
            <w:r>
              <w:rPr>
                <w:lang w:val="fr-CH"/>
              </w:rPr>
              <w:t xml:space="preserve">Détecteur proche du zénith </w:t>
            </w:r>
            <w:r>
              <w:rPr>
                <w:lang w:val="fr-CH"/>
              </w:rPr>
              <w:br/>
              <w:t>de la station terrienne</w:t>
            </w:r>
          </w:p>
        </w:tc>
        <w:tc>
          <w:tcPr>
            <w:tcW w:w="2460" w:type="dxa"/>
            <w:vAlign w:val="center"/>
          </w:tcPr>
          <w:p w:rsidR="002B489A" w:rsidRDefault="004F19C4">
            <w:pPr>
              <w:pStyle w:val="Tablehead"/>
              <w:framePr w:hSpace="181" w:wrap="notBeside" w:vAnchor="text" w:hAnchor="text" w:xAlign="center" w:y="1"/>
              <w:spacing w:line="240" w:lineRule="exact"/>
              <w:rPr>
                <w:lang w:val="fr-CH"/>
              </w:rPr>
            </w:pPr>
            <w:r>
              <w:rPr>
                <w:lang w:val="fr-CH"/>
              </w:rPr>
              <w:t>Station terrienne du SFS</w:t>
            </w:r>
          </w:p>
        </w:tc>
        <w:tc>
          <w:tcPr>
            <w:tcW w:w="2504" w:type="dxa"/>
            <w:vAlign w:val="center"/>
          </w:tcPr>
          <w:p w:rsidR="002B489A" w:rsidRDefault="004F19C4">
            <w:pPr>
              <w:pStyle w:val="Tablehead"/>
              <w:framePr w:hSpace="181" w:wrap="notBeside" w:vAnchor="text" w:hAnchor="text" w:xAlign="center" w:y="1"/>
              <w:spacing w:line="240" w:lineRule="exact"/>
              <w:rPr>
                <w:lang w:val="fr-CH"/>
              </w:rPr>
            </w:pPr>
            <w:r>
              <w:rPr>
                <w:lang w:val="fr-CH"/>
              </w:rPr>
              <w:t>Station terrienne SMS</w:t>
            </w:r>
            <w:r>
              <w:rPr>
                <w:lang w:val="fr-CH"/>
              </w:rPr>
              <w:br/>
            </w:r>
          </w:p>
        </w:tc>
      </w:tr>
      <w:tr w:rsidR="002B489A">
        <w:tc>
          <w:tcPr>
            <w:tcW w:w="4675" w:type="dxa"/>
          </w:tcPr>
          <w:p w:rsidR="002B489A" w:rsidRDefault="004F19C4">
            <w:pPr>
              <w:pStyle w:val="Tabletext"/>
              <w:framePr w:hSpace="181" w:wrap="notBeside" w:vAnchor="text" w:hAnchor="text" w:xAlign="center" w:y="1"/>
              <w:spacing w:line="240" w:lineRule="exact"/>
              <w:rPr>
                <w:lang w:val="fr-CH"/>
              </w:rPr>
            </w:pPr>
            <w:r>
              <w:rPr>
                <w:lang w:val="fr-CH"/>
              </w:rPr>
              <w:t>Faisceau de nadir (dB)</w:t>
            </w:r>
          </w:p>
        </w:tc>
        <w:tc>
          <w:tcPr>
            <w:tcW w:w="2460" w:type="dxa"/>
          </w:tcPr>
          <w:p w:rsidR="002B489A" w:rsidRDefault="004F19C4">
            <w:pPr>
              <w:pStyle w:val="Tabletext"/>
              <w:framePr w:hSpace="181" w:wrap="notBeside" w:vAnchor="text" w:hAnchor="text" w:xAlign="center" w:y="1"/>
              <w:spacing w:line="240" w:lineRule="exact"/>
              <w:jc w:val="center"/>
              <w:rPr>
                <w:lang w:val="fr-CH"/>
              </w:rPr>
            </w:pPr>
            <w:r>
              <w:rPr>
                <w:lang w:val="fr-CH"/>
              </w:rPr>
              <w:t>29,5</w:t>
            </w:r>
          </w:p>
        </w:tc>
        <w:tc>
          <w:tcPr>
            <w:tcW w:w="2504" w:type="dxa"/>
          </w:tcPr>
          <w:p w:rsidR="002B489A" w:rsidRDefault="004F19C4">
            <w:pPr>
              <w:pStyle w:val="Tabletext"/>
              <w:framePr w:hSpace="181" w:wrap="notBeside" w:vAnchor="text" w:hAnchor="text" w:xAlign="center" w:y="1"/>
              <w:spacing w:line="240" w:lineRule="exact"/>
              <w:jc w:val="center"/>
              <w:rPr>
                <w:lang w:val="fr-CH"/>
              </w:rPr>
            </w:pPr>
            <w:r>
              <w:rPr>
                <w:lang w:val="fr-CH"/>
              </w:rPr>
              <w:t>20,3</w:t>
            </w:r>
          </w:p>
        </w:tc>
      </w:tr>
      <w:tr w:rsidR="002B489A">
        <w:tc>
          <w:tcPr>
            <w:tcW w:w="4675" w:type="dxa"/>
          </w:tcPr>
          <w:p w:rsidR="002B489A" w:rsidRDefault="004F19C4">
            <w:pPr>
              <w:pStyle w:val="Tabletext"/>
              <w:framePr w:hSpace="181" w:wrap="notBeside" w:vAnchor="text" w:hAnchor="text" w:xAlign="center" w:y="1"/>
              <w:spacing w:line="240" w:lineRule="exact"/>
              <w:rPr>
                <w:lang w:val="fr-CH"/>
              </w:rPr>
            </w:pPr>
            <w:r>
              <w:rPr>
                <w:lang w:val="fr-CH"/>
              </w:rPr>
              <w:t xml:space="preserve">Faisceaux hors nadir dans les </w:t>
            </w:r>
            <w:r>
              <w:rPr>
                <w:lang w:val="fr-CH"/>
              </w:rPr>
              <w:sym w:font="Symbol" w:char="F0B1"/>
            </w:r>
            <w:r>
              <w:rPr>
                <w:lang w:val="fr-CH"/>
              </w:rPr>
              <w:t xml:space="preserve"> 50° (dB)</w:t>
            </w:r>
          </w:p>
        </w:tc>
        <w:tc>
          <w:tcPr>
            <w:tcW w:w="2460" w:type="dxa"/>
          </w:tcPr>
          <w:p w:rsidR="002B489A" w:rsidRDefault="004F19C4">
            <w:pPr>
              <w:pStyle w:val="Tabletext"/>
              <w:framePr w:hSpace="181" w:wrap="notBeside" w:vAnchor="text" w:hAnchor="text" w:xAlign="center" w:y="1"/>
              <w:spacing w:line="240" w:lineRule="exact"/>
              <w:jc w:val="center"/>
              <w:rPr>
                <w:lang w:val="fr-CH"/>
              </w:rPr>
            </w:pPr>
            <w:r>
              <w:rPr>
                <w:lang w:val="fr-CH"/>
              </w:rPr>
              <w:t>23,3</w:t>
            </w:r>
          </w:p>
        </w:tc>
        <w:tc>
          <w:tcPr>
            <w:tcW w:w="2504" w:type="dxa"/>
          </w:tcPr>
          <w:p w:rsidR="002B489A" w:rsidRDefault="004F19C4">
            <w:pPr>
              <w:pStyle w:val="Tabletext"/>
              <w:framePr w:hSpace="181" w:wrap="notBeside" w:vAnchor="text" w:hAnchor="text" w:xAlign="center" w:y="1"/>
              <w:spacing w:line="240" w:lineRule="exact"/>
              <w:jc w:val="center"/>
              <w:rPr>
                <w:lang w:val="fr-CH"/>
              </w:rPr>
            </w:pPr>
            <w:r>
              <w:rPr>
                <w:lang w:val="fr-CH"/>
              </w:rPr>
              <w:t>14,2</w:t>
            </w:r>
          </w:p>
        </w:tc>
      </w:tr>
      <w:tr w:rsidR="002B489A">
        <w:tc>
          <w:tcPr>
            <w:tcW w:w="4675" w:type="dxa"/>
          </w:tcPr>
          <w:p w:rsidR="002B489A" w:rsidRDefault="004F19C4">
            <w:pPr>
              <w:pStyle w:val="Tabletext"/>
              <w:framePr w:hSpace="181" w:wrap="notBeside" w:vAnchor="text" w:hAnchor="text" w:xAlign="center" w:y="1"/>
              <w:spacing w:line="240" w:lineRule="exact"/>
              <w:jc w:val="left"/>
              <w:rPr>
                <w:lang w:val="fr-CH"/>
              </w:rPr>
            </w:pPr>
            <w:r>
              <w:rPr>
                <w:lang w:val="fr-CH"/>
              </w:rPr>
              <w:t>Zone autour de la station terrienne (approximativement) (km)</w:t>
            </w:r>
          </w:p>
        </w:tc>
        <w:tc>
          <w:tcPr>
            <w:tcW w:w="2460" w:type="dxa"/>
          </w:tcPr>
          <w:p w:rsidR="002B489A" w:rsidRDefault="004F19C4">
            <w:pPr>
              <w:pStyle w:val="Tabletext"/>
              <w:framePr w:hSpace="181" w:wrap="notBeside" w:vAnchor="text" w:hAnchor="text" w:xAlign="center" w:y="1"/>
              <w:spacing w:line="240" w:lineRule="exact"/>
              <w:jc w:val="center"/>
              <w:rPr>
                <w:lang w:val="fr-CH"/>
              </w:rPr>
            </w:pPr>
            <w:r>
              <w:rPr>
                <w:lang w:val="fr-CH"/>
              </w:rPr>
              <w:t>Diamètre 110</w:t>
            </w:r>
          </w:p>
        </w:tc>
        <w:tc>
          <w:tcPr>
            <w:tcW w:w="2504" w:type="dxa"/>
          </w:tcPr>
          <w:p w:rsidR="002B489A" w:rsidRDefault="004F19C4">
            <w:pPr>
              <w:pStyle w:val="Tabletext"/>
              <w:framePr w:hSpace="181" w:wrap="notBeside" w:vAnchor="text" w:hAnchor="text" w:xAlign="center" w:y="1"/>
              <w:spacing w:line="240" w:lineRule="exact"/>
              <w:jc w:val="center"/>
              <w:rPr>
                <w:lang w:val="fr-CH"/>
              </w:rPr>
            </w:pPr>
            <w:r>
              <w:rPr>
                <w:lang w:val="fr-CH"/>
              </w:rPr>
              <w:t>Diamètre 41</w:t>
            </w:r>
          </w:p>
        </w:tc>
      </w:tr>
      <w:tr w:rsidR="002B489A">
        <w:tc>
          <w:tcPr>
            <w:tcW w:w="4675" w:type="dxa"/>
          </w:tcPr>
          <w:p w:rsidR="002B489A" w:rsidRDefault="004F19C4">
            <w:pPr>
              <w:pStyle w:val="Tabletext"/>
              <w:framePr w:hSpace="181" w:wrap="notBeside" w:vAnchor="text" w:hAnchor="text" w:xAlign="center" w:y="1"/>
              <w:spacing w:line="240" w:lineRule="exact"/>
              <w:rPr>
                <w:lang w:val="fr-CH"/>
              </w:rPr>
            </w:pPr>
            <w:r>
              <w:rPr>
                <w:lang w:val="fr-CH"/>
              </w:rPr>
              <w:t>Nombre de pixels/évènements contaminés</w:t>
            </w:r>
          </w:p>
        </w:tc>
        <w:tc>
          <w:tcPr>
            <w:tcW w:w="2460" w:type="dxa"/>
          </w:tcPr>
          <w:p w:rsidR="002B489A" w:rsidRDefault="004F19C4">
            <w:pPr>
              <w:pStyle w:val="Tabletext"/>
              <w:framePr w:hSpace="181" w:wrap="notBeside" w:vAnchor="text" w:hAnchor="text" w:xAlign="center" w:y="1"/>
              <w:spacing w:line="240" w:lineRule="exact"/>
              <w:jc w:val="center"/>
              <w:rPr>
                <w:lang w:val="fr-CH"/>
              </w:rPr>
            </w:pPr>
            <w:r>
              <w:rPr>
                <w:lang w:val="fr-CH"/>
              </w:rPr>
              <w:t>47</w:t>
            </w:r>
          </w:p>
        </w:tc>
        <w:tc>
          <w:tcPr>
            <w:tcW w:w="2504" w:type="dxa"/>
          </w:tcPr>
          <w:p w:rsidR="002B489A" w:rsidRDefault="004F19C4">
            <w:pPr>
              <w:pStyle w:val="Tabletext"/>
              <w:framePr w:hSpace="181" w:wrap="notBeside" w:vAnchor="text" w:hAnchor="text" w:xAlign="center" w:y="1"/>
              <w:spacing w:line="240" w:lineRule="exact"/>
              <w:jc w:val="center"/>
              <w:rPr>
                <w:lang w:val="fr-CH"/>
              </w:rPr>
            </w:pPr>
            <w:r>
              <w:rPr>
                <w:lang w:val="fr-CH"/>
              </w:rPr>
              <w:t>7</w:t>
            </w:r>
          </w:p>
        </w:tc>
      </w:tr>
      <w:tr w:rsidR="002B489A">
        <w:tc>
          <w:tcPr>
            <w:tcW w:w="4675" w:type="dxa"/>
          </w:tcPr>
          <w:p w:rsidR="002B489A" w:rsidRDefault="004F19C4">
            <w:pPr>
              <w:pStyle w:val="Tabletext"/>
              <w:framePr w:hSpace="181" w:wrap="notBeside" w:vAnchor="text" w:hAnchor="text" w:xAlign="center" w:y="1"/>
              <w:spacing w:line="240" w:lineRule="exact"/>
              <w:rPr>
                <w:lang w:val="fr-CH"/>
              </w:rPr>
            </w:pPr>
            <w:r>
              <w:rPr>
                <w:lang w:val="fr-CH"/>
              </w:rPr>
              <w:t>Durée d'un évènement (approximativement) (s)</w:t>
            </w:r>
          </w:p>
        </w:tc>
        <w:tc>
          <w:tcPr>
            <w:tcW w:w="2460" w:type="dxa"/>
          </w:tcPr>
          <w:p w:rsidR="002B489A" w:rsidRDefault="004F19C4">
            <w:pPr>
              <w:pStyle w:val="Tabletext"/>
              <w:framePr w:hSpace="181" w:wrap="notBeside" w:vAnchor="text" w:hAnchor="text" w:xAlign="center" w:y="1"/>
              <w:spacing w:line="240" w:lineRule="exact"/>
              <w:jc w:val="center"/>
              <w:rPr>
                <w:lang w:val="fr-CH"/>
              </w:rPr>
            </w:pPr>
            <w:r>
              <w:rPr>
                <w:lang w:val="fr-CH"/>
              </w:rPr>
              <w:t>16</w:t>
            </w:r>
          </w:p>
        </w:tc>
        <w:tc>
          <w:tcPr>
            <w:tcW w:w="2504" w:type="dxa"/>
          </w:tcPr>
          <w:p w:rsidR="002B489A" w:rsidRDefault="004F19C4">
            <w:pPr>
              <w:pStyle w:val="Tabletext"/>
              <w:framePr w:hSpace="181" w:wrap="notBeside" w:vAnchor="text" w:hAnchor="text" w:xAlign="center" w:y="1"/>
              <w:spacing w:line="240" w:lineRule="exact"/>
              <w:jc w:val="center"/>
              <w:rPr>
                <w:lang w:val="fr-CH"/>
              </w:rPr>
            </w:pPr>
            <w:r>
              <w:rPr>
                <w:lang w:val="fr-CH"/>
              </w:rPr>
              <w:t>6</w:t>
            </w:r>
          </w:p>
        </w:tc>
      </w:tr>
    </w:tbl>
    <w:p w:rsidR="002B489A" w:rsidRDefault="002B489A">
      <w:pPr>
        <w:pStyle w:val="Tablefin"/>
        <w:spacing w:before="0"/>
      </w:pPr>
    </w:p>
    <w:p w:rsidR="002B489A" w:rsidRDefault="004F19C4">
      <w:pPr>
        <w:spacing w:before="240"/>
        <w:rPr>
          <w:lang w:val="fr-CH"/>
        </w:rPr>
      </w:pPr>
      <w:r>
        <w:rPr>
          <w:lang w:val="fr-CH"/>
        </w:rPr>
        <w:br w:type="page"/>
        <w:t>Noter que les configurations de lobe principal à lobe principal deviennent possibles pour les stations terriennes du SFS/SMS situées près de l'équateur. Dans ce cas, l'excédent de puissance indiqué dans la seconde partie du Tableau 117 est augmenté par la discrimination d'antenne de la station terrienne (jusqu'à 80 dB). La probabilité d'occurrence de telles configurations devra faire l'objet d'études complémentaires.</w:t>
      </w:r>
    </w:p>
    <w:p w:rsidR="002B489A" w:rsidRDefault="004F19C4">
      <w:pPr>
        <w:pStyle w:val="Heading2"/>
        <w:rPr>
          <w:lang w:val="fr-CH"/>
        </w:rPr>
      </w:pPr>
      <w:r>
        <w:rPr>
          <w:lang w:val="fr-CH"/>
        </w:rPr>
        <w:t>4.4</w:t>
      </w:r>
      <w:r>
        <w:rPr>
          <w:lang w:val="fr-CH"/>
        </w:rPr>
        <w:tab/>
        <w:t>Analyse de brouillage dynamique</w:t>
      </w:r>
    </w:p>
    <w:p w:rsidR="002B489A" w:rsidRDefault="004F19C4">
      <w:pPr>
        <w:rPr>
          <w:lang w:val="fr-CH"/>
        </w:rPr>
      </w:pPr>
      <w:r>
        <w:rPr>
          <w:lang w:val="fr-CH"/>
        </w:rPr>
        <w:t>En plus des cas statique et semi-statique ci-dessus, une analyse dynamique est nécessaire afin de prendre en compte le pourcentage du temps pendant lequel intervient le brouillage. Comme indiqué ci-dessus, le seuil de –166 dBW ne doit pas être dépassé pendant plus de 0,01% du temps dans une largeur de bande de 100 MHz.</w:t>
      </w:r>
    </w:p>
    <w:p w:rsidR="002B489A" w:rsidRDefault="004F19C4">
      <w:pPr>
        <w:rPr>
          <w:lang w:val="fr-CH"/>
        </w:rPr>
      </w:pPr>
      <w:r>
        <w:rPr>
          <w:lang w:val="fr-CH"/>
        </w:rPr>
        <w:t>Des simulations ont été effectuées pour déterminer la probabilité d'un brouillage en utilisant un incrément de temps (échantillon) de 5 s afin d'obtenir des résultats précis. Les simulations sont arrêtées lorsque la fonction de distribution cumulée devient stable. De plus, on a noté que toutes les simulations présentées ci-dessous ne traitent que du satellite sondeur de nadir «en peigne», parce que les cas statique et semi-statique ci-dessus ont montré que c'est le cas le plus défavorable.</w:t>
      </w:r>
    </w:p>
    <w:p w:rsidR="002B489A" w:rsidRDefault="004F19C4">
      <w:pPr>
        <w:pStyle w:val="Heading3"/>
        <w:rPr>
          <w:lang w:val="fr-CH"/>
        </w:rPr>
      </w:pPr>
      <w:r>
        <w:rPr>
          <w:lang w:val="fr-CH"/>
        </w:rPr>
        <w:t>4.4.1</w:t>
      </w:r>
      <w:r>
        <w:rPr>
          <w:lang w:val="fr-CH"/>
        </w:rPr>
        <w:tab/>
        <w:t>Modélisation de l'antenne en peigne</w:t>
      </w:r>
    </w:p>
    <w:p w:rsidR="002B489A" w:rsidRDefault="004F19C4">
      <w:pPr>
        <w:rPr>
          <w:lang w:val="fr-CH"/>
        </w:rPr>
      </w:pPr>
      <w:r>
        <w:rPr>
          <w:lang w:val="fr-CH"/>
        </w:rPr>
        <w:t xml:space="preserve">Comme expliqué ci-dessus, l'antenne en peigne est capable de voir une ligne complète de pixels située autour du nadir à </w:t>
      </w:r>
      <w:r>
        <w:rPr>
          <w:lang w:val="fr-CH"/>
        </w:rPr>
        <w:sym w:font="Symbol" w:char="F0B1"/>
      </w:r>
      <w:r>
        <w:rPr>
          <w:rFonts w:ascii="Tms Rmn" w:hAnsi="Tms Rmn"/>
          <w:sz w:val="8"/>
          <w:lang w:val="fr-CH"/>
        </w:rPr>
        <w:t> </w:t>
      </w:r>
      <w:r>
        <w:rPr>
          <w:lang w:val="fr-CH"/>
        </w:rPr>
        <w:t xml:space="preserve">50° pour l'azimut, et à </w:t>
      </w:r>
      <w:r>
        <w:rPr>
          <w:lang w:val="fr-CH"/>
        </w:rPr>
        <w:sym w:font="Symbol" w:char="F0B1"/>
      </w:r>
      <w:r>
        <w:rPr>
          <w:rFonts w:ascii="Tms Rmn" w:hAnsi="Tms Rmn"/>
          <w:sz w:val="8"/>
          <w:lang w:val="fr-CH"/>
        </w:rPr>
        <w:t> </w:t>
      </w:r>
      <w:r>
        <w:rPr>
          <w:lang w:val="fr-CH"/>
        </w:rPr>
        <w:t>0,55° pour l'élévation. Le gain d'antenne maximum est de 45 dBi, et comme il est habituel pour les antennes de radiomètre, il y a une forte décroissance au niveau du lobe latéral de –12 dBi. La Fig. 78 montre le diagramme d'antenne en fonction de l'angle hors axe d'azimut.</w:t>
      </w:r>
    </w:p>
    <w:p w:rsidR="002B489A" w:rsidRDefault="0006728D">
      <w:pPr>
        <w:pStyle w:val="FigureNo"/>
        <w:rPr>
          <w:lang w:val="fr-CH"/>
        </w:rPr>
      </w:pPr>
      <w:r>
        <w:rPr>
          <w:noProof/>
          <w:lang w:val="fr-CH" w:eastAsia="fr-CH"/>
        </w:rPr>
        <w:drawing>
          <wp:inline distT="0" distB="0" distL="0" distR="0">
            <wp:extent cx="3048000" cy="18288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048000" cy="1828800"/>
                    </a:xfrm>
                    <a:prstGeom prst="rect">
                      <a:avLst/>
                    </a:prstGeom>
                    <a:noFill/>
                    <a:ln>
                      <a:noFill/>
                    </a:ln>
                  </pic:spPr>
                </pic:pic>
              </a:graphicData>
            </a:graphic>
          </wp:inline>
        </w:drawing>
      </w:r>
    </w:p>
    <w:p w:rsidR="002B489A" w:rsidRDefault="004F19C4">
      <w:pPr>
        <w:pStyle w:val="Heading3"/>
        <w:rPr>
          <w:lang w:val="fr-CH"/>
        </w:rPr>
      </w:pPr>
      <w:r>
        <w:rPr>
          <w:lang w:val="fr-CH"/>
        </w:rPr>
        <w:t>4.4.2</w:t>
      </w:r>
      <w:r>
        <w:rPr>
          <w:lang w:val="fr-CH"/>
        </w:rPr>
        <w:tab/>
        <w:t>Calculs dynamiques avec les systèmes SFS OSG</w:t>
      </w:r>
    </w:p>
    <w:p w:rsidR="002B489A" w:rsidRDefault="004F19C4">
      <w:pPr>
        <w:pStyle w:val="TableNo"/>
        <w:rPr>
          <w:lang w:val="fr-CH"/>
        </w:rPr>
      </w:pPr>
      <w:r>
        <w:rPr>
          <w:lang w:val="fr-CH"/>
        </w:rPr>
        <w:t>TABLEAU  118</w:t>
      </w:r>
    </w:p>
    <w:p w:rsidR="002B489A" w:rsidRDefault="004F19C4">
      <w:pPr>
        <w:pStyle w:val="Tabletitle"/>
        <w:rPr>
          <w:lang w:val="fr-CH"/>
        </w:rPr>
      </w:pPr>
      <w:r>
        <w:rPr>
          <w:lang w:val="fr-CH"/>
        </w:rPr>
        <w:t xml:space="preserve">Analyse dynamique entre système SFS OSG et SETS </w:t>
      </w:r>
      <w:r>
        <w:rPr>
          <w:lang w:val="fr-CH"/>
        </w:rPr>
        <w:br/>
        <w:t>avec une seule station terrienne fonctionnant à N0, E0</w:t>
      </w:r>
    </w:p>
    <w:tbl>
      <w:tblPr>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215"/>
        <w:gridCol w:w="1084"/>
        <w:gridCol w:w="1085"/>
        <w:gridCol w:w="1085"/>
        <w:gridCol w:w="1085"/>
        <w:gridCol w:w="1085"/>
      </w:tblGrid>
      <w:tr w:rsidR="002B489A">
        <w:tc>
          <w:tcPr>
            <w:tcW w:w="3969" w:type="dxa"/>
            <w:vAlign w:val="center"/>
          </w:tcPr>
          <w:p w:rsidR="002B489A" w:rsidRDefault="004F19C4">
            <w:pPr>
              <w:pStyle w:val="Tabletext"/>
              <w:framePr w:hSpace="181" w:wrap="notBeside" w:vAnchor="text" w:hAnchor="text" w:xAlign="center" w:y="1"/>
              <w:rPr>
                <w:lang w:val="fr-CH"/>
              </w:rPr>
            </w:pPr>
            <w:r>
              <w:rPr>
                <w:lang w:val="fr-CH"/>
              </w:rPr>
              <w:t>Pourcentage de distribution cumulée</w:t>
            </w:r>
          </w:p>
        </w:tc>
        <w:tc>
          <w:tcPr>
            <w:tcW w:w="1021" w:type="dxa"/>
            <w:vAlign w:val="center"/>
          </w:tcPr>
          <w:p w:rsidR="002B489A" w:rsidRDefault="004F19C4">
            <w:pPr>
              <w:pStyle w:val="Tabletext"/>
              <w:framePr w:hSpace="181" w:wrap="notBeside" w:vAnchor="text" w:hAnchor="text" w:xAlign="center" w:y="1"/>
              <w:jc w:val="center"/>
              <w:rPr>
                <w:lang w:val="es-ES"/>
              </w:rPr>
            </w:pPr>
            <w:r>
              <w:rPr>
                <w:lang w:val="es-ES"/>
              </w:rPr>
              <w:t>4,1</w:t>
            </w:r>
          </w:p>
        </w:tc>
        <w:tc>
          <w:tcPr>
            <w:tcW w:w="1021" w:type="dxa"/>
            <w:vAlign w:val="center"/>
          </w:tcPr>
          <w:p w:rsidR="002B489A" w:rsidRDefault="004F19C4">
            <w:pPr>
              <w:pStyle w:val="Tabletext"/>
              <w:framePr w:hSpace="181" w:wrap="notBeside" w:vAnchor="text" w:hAnchor="text" w:xAlign="center" w:y="1"/>
              <w:jc w:val="center"/>
              <w:rPr>
                <w:lang w:val="es-ES"/>
              </w:rPr>
            </w:pPr>
            <w:r>
              <w:rPr>
                <w:lang w:val="es-ES"/>
              </w:rPr>
              <w:t>1</w:t>
            </w:r>
          </w:p>
        </w:tc>
        <w:tc>
          <w:tcPr>
            <w:tcW w:w="1021" w:type="dxa"/>
            <w:vAlign w:val="center"/>
          </w:tcPr>
          <w:p w:rsidR="002B489A" w:rsidRDefault="004F19C4">
            <w:pPr>
              <w:pStyle w:val="Tabletext"/>
              <w:framePr w:hSpace="181" w:wrap="notBeside" w:vAnchor="text" w:hAnchor="text" w:xAlign="center" w:y="1"/>
              <w:jc w:val="center"/>
              <w:rPr>
                <w:lang w:val="es-ES"/>
              </w:rPr>
            </w:pPr>
            <w:r>
              <w:rPr>
                <w:lang w:val="es-ES"/>
              </w:rPr>
              <w:t>0,07</w:t>
            </w:r>
          </w:p>
        </w:tc>
        <w:tc>
          <w:tcPr>
            <w:tcW w:w="1021" w:type="dxa"/>
            <w:vAlign w:val="center"/>
          </w:tcPr>
          <w:p w:rsidR="002B489A" w:rsidRDefault="004F19C4">
            <w:pPr>
              <w:pStyle w:val="Tabletext"/>
              <w:framePr w:hSpace="181" w:wrap="notBeside" w:vAnchor="text" w:hAnchor="text" w:xAlign="center" w:y="1"/>
              <w:jc w:val="center"/>
              <w:rPr>
                <w:lang w:val="es-ES"/>
              </w:rPr>
            </w:pPr>
            <w:r>
              <w:rPr>
                <w:lang w:val="es-ES"/>
              </w:rPr>
              <w:t>0,01</w:t>
            </w:r>
          </w:p>
        </w:tc>
        <w:tc>
          <w:tcPr>
            <w:tcW w:w="1021" w:type="dxa"/>
            <w:vAlign w:val="center"/>
          </w:tcPr>
          <w:p w:rsidR="002B489A" w:rsidRDefault="004F19C4">
            <w:pPr>
              <w:pStyle w:val="Tabletext"/>
              <w:framePr w:hSpace="181" w:wrap="notBeside" w:vAnchor="text" w:hAnchor="text" w:xAlign="center" w:y="1"/>
              <w:jc w:val="center"/>
              <w:rPr>
                <w:lang w:val="es-ES"/>
              </w:rPr>
            </w:pPr>
            <w:r>
              <w:rPr>
                <w:lang w:val="es-ES"/>
              </w:rPr>
              <w:t>0,002</w:t>
            </w:r>
          </w:p>
        </w:tc>
      </w:tr>
      <w:tr w:rsidR="002B489A">
        <w:tc>
          <w:tcPr>
            <w:tcW w:w="3969" w:type="dxa"/>
            <w:vAlign w:val="center"/>
          </w:tcPr>
          <w:p w:rsidR="002B489A" w:rsidRDefault="004F19C4">
            <w:pPr>
              <w:pStyle w:val="Tabletext"/>
              <w:framePr w:hSpace="181" w:wrap="notBeside" w:vAnchor="text" w:hAnchor="text" w:xAlign="center" w:y="1"/>
              <w:jc w:val="left"/>
              <w:rPr>
                <w:lang w:val="fr-CH"/>
              </w:rPr>
            </w:pPr>
            <w:r>
              <w:rPr>
                <w:lang w:val="fr-CH"/>
              </w:rPr>
              <w:t xml:space="preserve">Détecteur en peigne: puissance brouilleuse correspondante reçue par le SETS (dBW) </w:t>
            </w:r>
            <w:r>
              <w:rPr>
                <w:lang w:val="fr-CH"/>
              </w:rPr>
              <w:br/>
              <w:t>(largeur de bande de 125 MHz)</w:t>
            </w:r>
          </w:p>
        </w:tc>
        <w:tc>
          <w:tcPr>
            <w:tcW w:w="1021" w:type="dxa"/>
            <w:vAlign w:val="center"/>
          </w:tcPr>
          <w:p w:rsidR="002B489A" w:rsidRDefault="004F19C4">
            <w:pPr>
              <w:pStyle w:val="Tabletext"/>
              <w:framePr w:hSpace="181" w:wrap="notBeside" w:vAnchor="text" w:hAnchor="text" w:xAlign="center" w:y="1"/>
              <w:jc w:val="center"/>
              <w:rPr>
                <w:lang w:val="fr-CH"/>
              </w:rPr>
            </w:pPr>
            <w:r>
              <w:rPr>
                <w:lang w:val="fr-CH"/>
              </w:rPr>
              <w:t>–212</w:t>
            </w:r>
          </w:p>
        </w:tc>
        <w:tc>
          <w:tcPr>
            <w:tcW w:w="1021" w:type="dxa"/>
            <w:vAlign w:val="center"/>
          </w:tcPr>
          <w:p w:rsidR="002B489A" w:rsidRDefault="004F19C4">
            <w:pPr>
              <w:pStyle w:val="Tabletext"/>
              <w:framePr w:hSpace="181" w:wrap="notBeside" w:vAnchor="text" w:hAnchor="text" w:xAlign="center" w:y="1"/>
              <w:jc w:val="center"/>
              <w:rPr>
                <w:lang w:val="fr-CH"/>
              </w:rPr>
            </w:pPr>
            <w:r>
              <w:rPr>
                <w:lang w:val="fr-CH"/>
              </w:rPr>
              <w:t>–190</w:t>
            </w:r>
          </w:p>
        </w:tc>
        <w:tc>
          <w:tcPr>
            <w:tcW w:w="1021" w:type="dxa"/>
            <w:vAlign w:val="center"/>
          </w:tcPr>
          <w:p w:rsidR="002B489A" w:rsidRDefault="004F19C4">
            <w:pPr>
              <w:pStyle w:val="Tabletext"/>
              <w:framePr w:hSpace="181" w:wrap="notBeside" w:vAnchor="text" w:hAnchor="text" w:xAlign="center" w:y="1"/>
              <w:jc w:val="center"/>
              <w:rPr>
                <w:lang w:val="fr-CH"/>
              </w:rPr>
            </w:pPr>
            <w:r>
              <w:rPr>
                <w:lang w:val="fr-CH"/>
              </w:rPr>
              <w:t>–166</w:t>
            </w:r>
          </w:p>
        </w:tc>
        <w:tc>
          <w:tcPr>
            <w:tcW w:w="1021" w:type="dxa"/>
            <w:vAlign w:val="center"/>
          </w:tcPr>
          <w:p w:rsidR="002B489A" w:rsidRDefault="004F19C4">
            <w:pPr>
              <w:pStyle w:val="Tabletext"/>
              <w:framePr w:hSpace="181" w:wrap="notBeside" w:vAnchor="text" w:hAnchor="text" w:xAlign="center" w:y="1"/>
              <w:jc w:val="center"/>
              <w:rPr>
                <w:lang w:val="fr-CH"/>
              </w:rPr>
            </w:pPr>
            <w:r>
              <w:rPr>
                <w:lang w:val="fr-CH"/>
              </w:rPr>
              <w:t>–131</w:t>
            </w:r>
          </w:p>
        </w:tc>
        <w:tc>
          <w:tcPr>
            <w:tcW w:w="1021" w:type="dxa"/>
            <w:vAlign w:val="center"/>
          </w:tcPr>
          <w:p w:rsidR="002B489A" w:rsidRDefault="004F19C4">
            <w:pPr>
              <w:pStyle w:val="Tabletext"/>
              <w:framePr w:hSpace="181" w:wrap="notBeside" w:vAnchor="text" w:hAnchor="text" w:xAlign="center" w:y="1"/>
              <w:jc w:val="center"/>
              <w:rPr>
                <w:lang w:val="fr-CH"/>
              </w:rPr>
            </w:pPr>
            <w:r>
              <w:rPr>
                <w:lang w:val="fr-CH"/>
              </w:rPr>
              <w:t>–53</w:t>
            </w:r>
          </w:p>
        </w:tc>
      </w:tr>
    </w:tbl>
    <w:p w:rsidR="002B489A" w:rsidRDefault="002B489A">
      <w:pPr>
        <w:pStyle w:val="Tablefin"/>
        <w:rPr>
          <w:lang w:val="fr-CH"/>
        </w:rPr>
      </w:pPr>
    </w:p>
    <w:p w:rsidR="002B489A" w:rsidRDefault="004F19C4">
      <w:pPr>
        <w:rPr>
          <w:lang w:val="fr-CH"/>
        </w:rPr>
      </w:pPr>
      <w:r>
        <w:rPr>
          <w:lang w:val="fr-CH"/>
        </w:rPr>
        <w:br w:type="page"/>
        <w:t xml:space="preserve">Le Tableau 118 montre qu'il est possible de trouver une différence de 113 dB entre le seuil de </w:t>
      </w:r>
      <w:r>
        <w:rPr>
          <w:rFonts w:ascii="Symbol" w:hAnsi="Symbol"/>
          <w:lang w:val="fr-CH"/>
        </w:rPr>
        <w:noBreakHyphen/>
      </w:r>
      <w:r>
        <w:rPr>
          <w:lang w:val="fr-CH"/>
        </w:rPr>
        <w:t>166 dBW et la puissance maximum de –53 dBW reçue par le radiomètre. Un tel niveau risque de causer des dommages au détecteur.</w:t>
      </w:r>
    </w:p>
    <w:p w:rsidR="002B489A" w:rsidRDefault="004F19C4">
      <w:pPr>
        <w:pStyle w:val="TableNo"/>
        <w:rPr>
          <w:lang w:val="fr-CH"/>
        </w:rPr>
      </w:pPr>
      <w:r>
        <w:rPr>
          <w:lang w:val="fr-CH"/>
        </w:rPr>
        <w:t>TABLEAU  119</w:t>
      </w:r>
    </w:p>
    <w:p w:rsidR="002B489A" w:rsidRDefault="004F19C4">
      <w:pPr>
        <w:pStyle w:val="Tabletitle"/>
        <w:rPr>
          <w:lang w:val="fr-CH"/>
        </w:rPr>
      </w:pPr>
      <w:r>
        <w:rPr>
          <w:lang w:val="fr-CH"/>
        </w:rPr>
        <w:t xml:space="preserve">Analyse dynamique entre système SFS OSG et SETS </w:t>
      </w:r>
      <w:r>
        <w:rPr>
          <w:lang w:val="fr-CH"/>
        </w:rPr>
        <w:br/>
        <w:t>avec une seule station terrienne fonctionnant à N50, E0</w:t>
      </w:r>
    </w:p>
    <w:tbl>
      <w:tblPr>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215"/>
        <w:gridCol w:w="1084"/>
        <w:gridCol w:w="1085"/>
        <w:gridCol w:w="1085"/>
        <w:gridCol w:w="1085"/>
        <w:gridCol w:w="1085"/>
      </w:tblGrid>
      <w:tr w:rsidR="002B489A">
        <w:tc>
          <w:tcPr>
            <w:tcW w:w="3969" w:type="dxa"/>
            <w:vAlign w:val="center"/>
          </w:tcPr>
          <w:p w:rsidR="002B489A" w:rsidRDefault="004F19C4">
            <w:pPr>
              <w:pStyle w:val="Tabletext"/>
              <w:framePr w:hSpace="181" w:wrap="notBeside" w:vAnchor="text" w:hAnchor="text" w:xAlign="center" w:y="1"/>
              <w:rPr>
                <w:lang w:val="fr-CH"/>
              </w:rPr>
            </w:pPr>
            <w:r>
              <w:rPr>
                <w:lang w:val="fr-CH"/>
              </w:rPr>
              <w:t>Pourcentage de distribution cumulée</w:t>
            </w:r>
          </w:p>
        </w:tc>
        <w:tc>
          <w:tcPr>
            <w:tcW w:w="1021" w:type="dxa"/>
            <w:vAlign w:val="center"/>
          </w:tcPr>
          <w:p w:rsidR="002B489A" w:rsidRDefault="004F19C4">
            <w:pPr>
              <w:pStyle w:val="Tabletext"/>
              <w:framePr w:hSpace="181" w:wrap="notBeside" w:vAnchor="text" w:hAnchor="text" w:xAlign="center" w:y="1"/>
              <w:jc w:val="center"/>
              <w:rPr>
                <w:lang w:val="es-ES"/>
              </w:rPr>
            </w:pPr>
            <w:r>
              <w:rPr>
                <w:lang w:val="es-ES"/>
              </w:rPr>
              <w:t>7,2</w:t>
            </w:r>
          </w:p>
        </w:tc>
        <w:tc>
          <w:tcPr>
            <w:tcW w:w="1021" w:type="dxa"/>
            <w:vAlign w:val="center"/>
          </w:tcPr>
          <w:p w:rsidR="002B489A" w:rsidRDefault="004F19C4">
            <w:pPr>
              <w:pStyle w:val="Tabletext"/>
              <w:framePr w:hSpace="181" w:wrap="notBeside" w:vAnchor="text" w:hAnchor="text" w:xAlign="center" w:y="1"/>
              <w:jc w:val="center"/>
              <w:rPr>
                <w:lang w:val="es-ES"/>
              </w:rPr>
            </w:pPr>
            <w:r>
              <w:rPr>
                <w:lang w:val="es-ES"/>
              </w:rPr>
              <w:t>1</w:t>
            </w:r>
          </w:p>
        </w:tc>
        <w:tc>
          <w:tcPr>
            <w:tcW w:w="1021" w:type="dxa"/>
            <w:vAlign w:val="center"/>
          </w:tcPr>
          <w:p w:rsidR="002B489A" w:rsidRDefault="004F19C4">
            <w:pPr>
              <w:pStyle w:val="Tabletext"/>
              <w:framePr w:hSpace="181" w:wrap="notBeside" w:vAnchor="text" w:hAnchor="text" w:xAlign="center" w:y="1"/>
              <w:jc w:val="center"/>
              <w:rPr>
                <w:lang w:val="es-ES"/>
              </w:rPr>
            </w:pPr>
            <w:r>
              <w:rPr>
                <w:lang w:val="es-ES"/>
              </w:rPr>
              <w:t>0,15</w:t>
            </w:r>
          </w:p>
        </w:tc>
        <w:tc>
          <w:tcPr>
            <w:tcW w:w="1021" w:type="dxa"/>
            <w:vAlign w:val="center"/>
          </w:tcPr>
          <w:p w:rsidR="002B489A" w:rsidRDefault="004F19C4">
            <w:pPr>
              <w:pStyle w:val="Tabletext"/>
              <w:framePr w:hSpace="181" w:wrap="notBeside" w:vAnchor="text" w:hAnchor="text" w:xAlign="center" w:y="1"/>
              <w:jc w:val="center"/>
              <w:rPr>
                <w:lang w:val="es-ES"/>
              </w:rPr>
            </w:pPr>
            <w:r>
              <w:rPr>
                <w:lang w:val="es-ES"/>
              </w:rPr>
              <w:t>0,01</w:t>
            </w:r>
          </w:p>
        </w:tc>
        <w:tc>
          <w:tcPr>
            <w:tcW w:w="1021" w:type="dxa"/>
            <w:vAlign w:val="center"/>
          </w:tcPr>
          <w:p w:rsidR="002B489A" w:rsidRDefault="004F19C4">
            <w:pPr>
              <w:pStyle w:val="Tabletext"/>
              <w:framePr w:hSpace="181" w:wrap="notBeside" w:vAnchor="text" w:hAnchor="text" w:xAlign="center" w:y="1"/>
              <w:jc w:val="center"/>
              <w:rPr>
                <w:lang w:val="es-ES"/>
              </w:rPr>
            </w:pPr>
            <w:r>
              <w:rPr>
                <w:lang w:val="es-ES"/>
              </w:rPr>
              <w:t>0,004</w:t>
            </w:r>
          </w:p>
        </w:tc>
      </w:tr>
      <w:tr w:rsidR="002B489A">
        <w:tc>
          <w:tcPr>
            <w:tcW w:w="3969" w:type="dxa"/>
            <w:vAlign w:val="center"/>
          </w:tcPr>
          <w:p w:rsidR="002B489A" w:rsidRDefault="004F19C4">
            <w:pPr>
              <w:pStyle w:val="Tabletext"/>
              <w:framePr w:hSpace="181" w:wrap="notBeside" w:vAnchor="text" w:hAnchor="text" w:xAlign="center" w:y="1"/>
              <w:jc w:val="left"/>
              <w:rPr>
                <w:lang w:val="fr-CH"/>
              </w:rPr>
            </w:pPr>
            <w:r>
              <w:rPr>
                <w:lang w:val="fr-CH"/>
              </w:rPr>
              <w:t xml:space="preserve">Détecteur en peigne: puissance brouilleuse correspondante reçue par le SETS (dBW) </w:t>
            </w:r>
            <w:r>
              <w:rPr>
                <w:lang w:val="fr-CH"/>
              </w:rPr>
              <w:br/>
              <w:t>(largeur de bande de 125 MHz)</w:t>
            </w:r>
          </w:p>
        </w:tc>
        <w:tc>
          <w:tcPr>
            <w:tcW w:w="1021" w:type="dxa"/>
            <w:vAlign w:val="center"/>
          </w:tcPr>
          <w:p w:rsidR="002B489A" w:rsidRDefault="004F19C4">
            <w:pPr>
              <w:pStyle w:val="Tabletext"/>
              <w:framePr w:hSpace="181" w:wrap="notBeside" w:vAnchor="text" w:hAnchor="text" w:xAlign="center" w:y="1"/>
              <w:jc w:val="center"/>
              <w:rPr>
                <w:lang w:val="fr-CH"/>
              </w:rPr>
            </w:pPr>
            <w:r>
              <w:rPr>
                <w:lang w:val="fr-CH"/>
              </w:rPr>
              <w:t>–212</w:t>
            </w:r>
          </w:p>
        </w:tc>
        <w:tc>
          <w:tcPr>
            <w:tcW w:w="1021" w:type="dxa"/>
            <w:vAlign w:val="center"/>
          </w:tcPr>
          <w:p w:rsidR="002B489A" w:rsidRDefault="004F19C4">
            <w:pPr>
              <w:pStyle w:val="Tabletext"/>
              <w:framePr w:hSpace="181" w:wrap="notBeside" w:vAnchor="text" w:hAnchor="text" w:xAlign="center" w:y="1"/>
              <w:jc w:val="center"/>
              <w:rPr>
                <w:lang w:val="fr-CH"/>
              </w:rPr>
            </w:pPr>
            <w:r>
              <w:rPr>
                <w:lang w:val="fr-CH"/>
              </w:rPr>
              <w:t>–186</w:t>
            </w:r>
          </w:p>
        </w:tc>
        <w:tc>
          <w:tcPr>
            <w:tcW w:w="1021" w:type="dxa"/>
            <w:vAlign w:val="center"/>
          </w:tcPr>
          <w:p w:rsidR="002B489A" w:rsidRDefault="004F19C4">
            <w:pPr>
              <w:pStyle w:val="Tabletext"/>
              <w:framePr w:hSpace="181" w:wrap="notBeside" w:vAnchor="text" w:hAnchor="text" w:xAlign="center" w:y="1"/>
              <w:jc w:val="center"/>
              <w:rPr>
                <w:lang w:val="fr-CH"/>
              </w:rPr>
            </w:pPr>
            <w:r>
              <w:rPr>
                <w:lang w:val="fr-CH"/>
              </w:rPr>
              <w:t>–166</w:t>
            </w:r>
          </w:p>
        </w:tc>
        <w:tc>
          <w:tcPr>
            <w:tcW w:w="1021" w:type="dxa"/>
            <w:vAlign w:val="center"/>
          </w:tcPr>
          <w:p w:rsidR="002B489A" w:rsidRDefault="004F19C4">
            <w:pPr>
              <w:pStyle w:val="Tabletext"/>
              <w:framePr w:hSpace="181" w:wrap="notBeside" w:vAnchor="text" w:hAnchor="text" w:xAlign="center" w:y="1"/>
              <w:jc w:val="center"/>
              <w:rPr>
                <w:lang w:val="fr-CH"/>
              </w:rPr>
            </w:pPr>
            <w:r>
              <w:rPr>
                <w:lang w:val="fr-CH"/>
              </w:rPr>
              <w:t>–131</w:t>
            </w:r>
          </w:p>
        </w:tc>
        <w:tc>
          <w:tcPr>
            <w:tcW w:w="1021" w:type="dxa"/>
            <w:vAlign w:val="center"/>
          </w:tcPr>
          <w:p w:rsidR="002B489A" w:rsidRDefault="004F19C4">
            <w:pPr>
              <w:pStyle w:val="Tabletext"/>
              <w:framePr w:hSpace="181" w:wrap="notBeside" w:vAnchor="text" w:hAnchor="text" w:xAlign="center" w:y="1"/>
              <w:jc w:val="center"/>
              <w:rPr>
                <w:lang w:val="fr-CH"/>
              </w:rPr>
            </w:pPr>
            <w:r>
              <w:rPr>
                <w:lang w:val="fr-CH"/>
              </w:rPr>
              <w:t>–126</w:t>
            </w:r>
          </w:p>
        </w:tc>
      </w:tr>
    </w:tbl>
    <w:p w:rsidR="002B489A" w:rsidRDefault="002B489A">
      <w:pPr>
        <w:pStyle w:val="Tablefin"/>
        <w:rPr>
          <w:lang w:val="fr-CH"/>
        </w:rPr>
      </w:pPr>
    </w:p>
    <w:p w:rsidR="002B489A" w:rsidRDefault="004F19C4">
      <w:pPr>
        <w:spacing w:before="240"/>
        <w:rPr>
          <w:lang w:val="fr-CH"/>
        </w:rPr>
      </w:pPr>
      <w:r>
        <w:rPr>
          <w:lang w:val="fr-CH"/>
        </w:rPr>
        <w:t>Selon le Tableau 119, il y a un risque que le satellite SETS rencontre du brouillage lorsqu'une seule station terrienne est en fonctionnement (ou que le pourcentage de données brouillées est au</w:t>
      </w:r>
      <w:r>
        <w:rPr>
          <w:lang w:val="fr-CH"/>
        </w:rPr>
        <w:noBreakHyphen/>
        <w:t>dessus du seuil acceptable). En tenant compte de la largeur de bande relative, l'affaiblissement spectral requis est de 34 dB pour le SFS OSG. On s'attend à ce qu'un nombre significativement plus élevé de stations terriennes soient mises en fonction dans les systèmes à satellites pour lesquels les résultats des simulations dynamiques sont rapportés dans les Tableaux 118 et 119. L'accroissement du nombre de stations terriennes incluses dans les simulations dynamiques va vraisemblablement accroître le pourcentage de temps pendant lequel le critère SETS est dépassé. Dans ce cas, les conclusions tirées au § 4.5 par rapport à l'importance des bandes de garde requises devront être réévaluées.</w:t>
      </w:r>
    </w:p>
    <w:p w:rsidR="002B489A" w:rsidRDefault="004F19C4">
      <w:pPr>
        <w:pStyle w:val="Heading3"/>
        <w:rPr>
          <w:lang w:val="fr-CH"/>
        </w:rPr>
      </w:pPr>
      <w:r>
        <w:rPr>
          <w:lang w:val="fr-CH"/>
        </w:rPr>
        <w:t>4.4.3</w:t>
      </w:r>
      <w:r>
        <w:rPr>
          <w:lang w:val="fr-CH"/>
        </w:rPr>
        <w:tab/>
        <w:t>Calculs dynamiques avec les systèmes SMS OSG</w:t>
      </w:r>
    </w:p>
    <w:p w:rsidR="002B489A" w:rsidRDefault="004F19C4">
      <w:pPr>
        <w:pStyle w:val="TableNo"/>
        <w:rPr>
          <w:lang w:val="fr-CH"/>
        </w:rPr>
      </w:pPr>
      <w:r>
        <w:rPr>
          <w:lang w:val="fr-CH"/>
        </w:rPr>
        <w:t>TABLEAU  120</w:t>
      </w:r>
    </w:p>
    <w:p w:rsidR="002B489A" w:rsidRDefault="004F19C4">
      <w:pPr>
        <w:pStyle w:val="Tabletitle"/>
        <w:rPr>
          <w:lang w:val="fr-CH"/>
        </w:rPr>
      </w:pPr>
      <w:r>
        <w:rPr>
          <w:lang w:val="fr-CH"/>
        </w:rPr>
        <w:t xml:space="preserve">Analyse dynamique entre système SMS OSG et SETS </w:t>
      </w:r>
      <w:r>
        <w:rPr>
          <w:lang w:val="fr-CH"/>
        </w:rPr>
        <w:br/>
        <w:t>avec une seule station terrienne fonctionnant à N0, E0</w:t>
      </w:r>
    </w:p>
    <w:tbl>
      <w:tblPr>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915"/>
        <w:gridCol w:w="954"/>
        <w:gridCol w:w="954"/>
        <w:gridCol w:w="954"/>
        <w:gridCol w:w="954"/>
        <w:gridCol w:w="954"/>
        <w:gridCol w:w="954"/>
      </w:tblGrid>
      <w:tr w:rsidR="002B489A">
        <w:tc>
          <w:tcPr>
            <w:tcW w:w="3915" w:type="dxa"/>
            <w:vAlign w:val="center"/>
          </w:tcPr>
          <w:p w:rsidR="002B489A" w:rsidRDefault="004F19C4">
            <w:pPr>
              <w:pStyle w:val="Tabletext"/>
              <w:framePr w:hSpace="181" w:wrap="notBeside" w:vAnchor="text" w:hAnchor="text" w:xAlign="center" w:y="1"/>
              <w:rPr>
                <w:lang w:val="fr-CH"/>
              </w:rPr>
            </w:pPr>
            <w:r>
              <w:rPr>
                <w:lang w:val="fr-CH"/>
              </w:rPr>
              <w:t>Pourcentage de distribution cumulée</w:t>
            </w:r>
          </w:p>
        </w:tc>
        <w:tc>
          <w:tcPr>
            <w:tcW w:w="954" w:type="dxa"/>
            <w:vAlign w:val="center"/>
          </w:tcPr>
          <w:p w:rsidR="002B489A" w:rsidRDefault="004F19C4">
            <w:pPr>
              <w:pStyle w:val="Tabletext"/>
              <w:framePr w:hSpace="181" w:wrap="notBeside" w:vAnchor="text" w:hAnchor="text" w:xAlign="center" w:y="1"/>
              <w:jc w:val="center"/>
              <w:rPr>
                <w:lang w:val="es-ES"/>
              </w:rPr>
            </w:pPr>
            <w:r>
              <w:rPr>
                <w:lang w:val="es-ES"/>
              </w:rPr>
              <w:t>3,9</w:t>
            </w:r>
          </w:p>
        </w:tc>
        <w:tc>
          <w:tcPr>
            <w:tcW w:w="954" w:type="dxa"/>
            <w:vAlign w:val="center"/>
          </w:tcPr>
          <w:p w:rsidR="002B489A" w:rsidRDefault="004F19C4">
            <w:pPr>
              <w:pStyle w:val="Tabletext"/>
              <w:framePr w:hSpace="181" w:wrap="notBeside" w:vAnchor="text" w:hAnchor="text" w:xAlign="center" w:y="1"/>
              <w:jc w:val="center"/>
              <w:rPr>
                <w:lang w:val="es-ES"/>
              </w:rPr>
            </w:pPr>
            <w:r>
              <w:rPr>
                <w:lang w:val="es-ES"/>
              </w:rPr>
              <w:t>1</w:t>
            </w:r>
          </w:p>
        </w:tc>
        <w:tc>
          <w:tcPr>
            <w:tcW w:w="954" w:type="dxa"/>
            <w:vAlign w:val="center"/>
          </w:tcPr>
          <w:p w:rsidR="002B489A" w:rsidRDefault="004F19C4">
            <w:pPr>
              <w:pStyle w:val="Tabletext"/>
              <w:framePr w:hSpace="181" w:wrap="notBeside" w:vAnchor="text" w:hAnchor="text" w:xAlign="center" w:y="1"/>
              <w:jc w:val="center"/>
              <w:rPr>
                <w:lang w:val="es-ES"/>
              </w:rPr>
            </w:pPr>
            <w:r>
              <w:rPr>
                <w:lang w:val="es-ES"/>
              </w:rPr>
              <w:t>0,1</w:t>
            </w:r>
          </w:p>
        </w:tc>
        <w:tc>
          <w:tcPr>
            <w:tcW w:w="954" w:type="dxa"/>
            <w:vAlign w:val="center"/>
          </w:tcPr>
          <w:p w:rsidR="002B489A" w:rsidRDefault="004F19C4">
            <w:pPr>
              <w:pStyle w:val="Tabletext"/>
              <w:framePr w:hSpace="181" w:wrap="notBeside" w:vAnchor="text" w:hAnchor="text" w:xAlign="center" w:y="1"/>
              <w:jc w:val="center"/>
              <w:rPr>
                <w:lang w:val="es-ES"/>
              </w:rPr>
            </w:pPr>
            <w:r>
              <w:rPr>
                <w:lang w:val="es-ES"/>
              </w:rPr>
              <w:t>0,05</w:t>
            </w:r>
          </w:p>
        </w:tc>
        <w:tc>
          <w:tcPr>
            <w:tcW w:w="954" w:type="dxa"/>
            <w:vAlign w:val="center"/>
          </w:tcPr>
          <w:p w:rsidR="002B489A" w:rsidRDefault="004F19C4">
            <w:pPr>
              <w:pStyle w:val="Tabletext"/>
              <w:framePr w:hSpace="181" w:wrap="notBeside" w:vAnchor="text" w:hAnchor="text" w:xAlign="center" w:y="1"/>
              <w:jc w:val="center"/>
              <w:rPr>
                <w:lang w:val="es-ES"/>
              </w:rPr>
            </w:pPr>
            <w:r>
              <w:rPr>
                <w:lang w:val="es-ES"/>
              </w:rPr>
              <w:t>0,01</w:t>
            </w:r>
          </w:p>
        </w:tc>
        <w:tc>
          <w:tcPr>
            <w:tcW w:w="954" w:type="dxa"/>
            <w:vAlign w:val="center"/>
          </w:tcPr>
          <w:p w:rsidR="002B489A" w:rsidRDefault="004F19C4">
            <w:pPr>
              <w:pStyle w:val="Tabletext"/>
              <w:framePr w:hSpace="181" w:wrap="notBeside" w:vAnchor="text" w:hAnchor="text" w:xAlign="center" w:y="1"/>
              <w:jc w:val="center"/>
              <w:rPr>
                <w:lang w:val="es-ES"/>
              </w:rPr>
            </w:pPr>
            <w:r>
              <w:rPr>
                <w:lang w:val="es-ES"/>
              </w:rPr>
              <w:t>0,003</w:t>
            </w:r>
          </w:p>
        </w:tc>
      </w:tr>
      <w:tr w:rsidR="002B489A">
        <w:tc>
          <w:tcPr>
            <w:tcW w:w="3915" w:type="dxa"/>
            <w:vAlign w:val="center"/>
          </w:tcPr>
          <w:p w:rsidR="002B489A" w:rsidRDefault="004F19C4">
            <w:pPr>
              <w:pStyle w:val="Tabletext"/>
              <w:framePr w:hSpace="181" w:wrap="notBeside" w:vAnchor="text" w:hAnchor="text" w:xAlign="center" w:y="1"/>
              <w:jc w:val="left"/>
              <w:rPr>
                <w:lang w:val="fr-CH"/>
              </w:rPr>
            </w:pPr>
            <w:r>
              <w:rPr>
                <w:lang w:val="fr-CH"/>
              </w:rPr>
              <w:t xml:space="preserve">Détecteur en peigne: puissance brouilleuse correspondante reçue par le SETS (dBW) </w:t>
            </w:r>
            <w:r>
              <w:rPr>
                <w:lang w:val="fr-CH"/>
              </w:rPr>
              <w:br/>
              <w:t>(largeur de bande de 11 MHz)</w:t>
            </w:r>
          </w:p>
        </w:tc>
        <w:tc>
          <w:tcPr>
            <w:tcW w:w="954" w:type="dxa"/>
            <w:vAlign w:val="center"/>
          </w:tcPr>
          <w:p w:rsidR="002B489A" w:rsidRDefault="004F19C4">
            <w:pPr>
              <w:pStyle w:val="Tabletext"/>
              <w:framePr w:hSpace="181" w:wrap="notBeside" w:vAnchor="text" w:hAnchor="text" w:xAlign="center" w:y="1"/>
              <w:jc w:val="center"/>
              <w:rPr>
                <w:lang w:val="fr-CH"/>
              </w:rPr>
            </w:pPr>
            <w:r>
              <w:rPr>
                <w:lang w:val="fr-CH"/>
              </w:rPr>
              <w:t>–220</w:t>
            </w:r>
          </w:p>
        </w:tc>
        <w:tc>
          <w:tcPr>
            <w:tcW w:w="954" w:type="dxa"/>
            <w:vAlign w:val="center"/>
          </w:tcPr>
          <w:p w:rsidR="002B489A" w:rsidRDefault="004F19C4">
            <w:pPr>
              <w:pStyle w:val="Tabletext"/>
              <w:framePr w:hSpace="181" w:wrap="notBeside" w:vAnchor="text" w:hAnchor="text" w:xAlign="center" w:y="1"/>
              <w:jc w:val="center"/>
              <w:rPr>
                <w:lang w:val="fr-CH"/>
              </w:rPr>
            </w:pPr>
            <w:r>
              <w:rPr>
                <w:lang w:val="fr-CH"/>
              </w:rPr>
              <w:t>–200</w:t>
            </w:r>
          </w:p>
        </w:tc>
        <w:tc>
          <w:tcPr>
            <w:tcW w:w="954" w:type="dxa"/>
            <w:vAlign w:val="center"/>
          </w:tcPr>
          <w:p w:rsidR="002B489A" w:rsidRDefault="004F19C4">
            <w:pPr>
              <w:pStyle w:val="Tabletext"/>
              <w:framePr w:hSpace="181" w:wrap="notBeside" w:vAnchor="text" w:hAnchor="text" w:xAlign="center" w:y="1"/>
              <w:jc w:val="center"/>
              <w:rPr>
                <w:lang w:val="fr-CH"/>
              </w:rPr>
            </w:pPr>
            <w:r>
              <w:rPr>
                <w:lang w:val="fr-CH"/>
              </w:rPr>
              <w:t>–186</w:t>
            </w:r>
          </w:p>
        </w:tc>
        <w:tc>
          <w:tcPr>
            <w:tcW w:w="954" w:type="dxa"/>
            <w:vAlign w:val="center"/>
          </w:tcPr>
          <w:p w:rsidR="002B489A" w:rsidRDefault="004F19C4">
            <w:pPr>
              <w:pStyle w:val="Tabletext"/>
              <w:framePr w:hSpace="181" w:wrap="notBeside" w:vAnchor="text" w:hAnchor="text" w:xAlign="center" w:y="1"/>
              <w:jc w:val="center"/>
              <w:rPr>
                <w:lang w:val="fr-CH"/>
              </w:rPr>
            </w:pPr>
            <w:r>
              <w:rPr>
                <w:lang w:val="fr-CH"/>
              </w:rPr>
              <w:t>–166</w:t>
            </w:r>
          </w:p>
        </w:tc>
        <w:tc>
          <w:tcPr>
            <w:tcW w:w="954" w:type="dxa"/>
            <w:vAlign w:val="center"/>
          </w:tcPr>
          <w:p w:rsidR="002B489A" w:rsidRDefault="004F19C4">
            <w:pPr>
              <w:pStyle w:val="Tabletext"/>
              <w:framePr w:hSpace="181" w:wrap="notBeside" w:vAnchor="text" w:hAnchor="text" w:xAlign="center" w:y="1"/>
              <w:jc w:val="center"/>
              <w:rPr>
                <w:lang w:val="fr-CH"/>
              </w:rPr>
            </w:pPr>
            <w:r>
              <w:rPr>
                <w:lang w:val="fr-CH"/>
              </w:rPr>
              <w:t>–141</w:t>
            </w:r>
          </w:p>
        </w:tc>
        <w:tc>
          <w:tcPr>
            <w:tcW w:w="954" w:type="dxa"/>
            <w:vAlign w:val="center"/>
          </w:tcPr>
          <w:p w:rsidR="002B489A" w:rsidRDefault="004F19C4">
            <w:pPr>
              <w:pStyle w:val="Tabletext"/>
              <w:framePr w:hSpace="181" w:wrap="notBeside" w:vAnchor="text" w:hAnchor="text" w:xAlign="center" w:y="1"/>
              <w:jc w:val="center"/>
              <w:rPr>
                <w:lang w:val="fr-CH"/>
              </w:rPr>
            </w:pPr>
            <w:r>
              <w:rPr>
                <w:lang w:val="fr-CH"/>
              </w:rPr>
              <w:t>–67</w:t>
            </w:r>
          </w:p>
        </w:tc>
      </w:tr>
    </w:tbl>
    <w:p w:rsidR="002B489A" w:rsidRDefault="002B489A">
      <w:pPr>
        <w:pStyle w:val="Tablefin"/>
        <w:rPr>
          <w:lang w:val="fr-CH"/>
        </w:rPr>
      </w:pPr>
    </w:p>
    <w:p w:rsidR="002B489A" w:rsidRDefault="004F19C4">
      <w:pPr>
        <w:pStyle w:val="TableNo"/>
        <w:rPr>
          <w:lang w:val="fr-CH"/>
        </w:rPr>
      </w:pPr>
      <w:r>
        <w:rPr>
          <w:lang w:val="fr-CH"/>
        </w:rPr>
        <w:t>TABLEAU  121</w:t>
      </w:r>
    </w:p>
    <w:p w:rsidR="002B489A" w:rsidRDefault="004F19C4">
      <w:pPr>
        <w:pStyle w:val="Tabletitle"/>
        <w:rPr>
          <w:lang w:val="fr-CH"/>
        </w:rPr>
      </w:pPr>
      <w:r>
        <w:rPr>
          <w:lang w:val="fr-CH"/>
        </w:rPr>
        <w:t xml:space="preserve">Analyse dynamique entre système SMS OSG et SETS </w:t>
      </w:r>
      <w:r>
        <w:rPr>
          <w:lang w:val="fr-CH"/>
        </w:rPr>
        <w:br/>
        <w:t>avec une seule station terrienne fonctionnant à N50, E0</w:t>
      </w:r>
    </w:p>
    <w:tbl>
      <w:tblPr>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910"/>
        <w:gridCol w:w="954"/>
        <w:gridCol w:w="955"/>
        <w:gridCol w:w="955"/>
        <w:gridCol w:w="955"/>
        <w:gridCol w:w="955"/>
        <w:gridCol w:w="955"/>
      </w:tblGrid>
      <w:tr w:rsidR="002B489A">
        <w:tc>
          <w:tcPr>
            <w:tcW w:w="4008" w:type="dxa"/>
            <w:vAlign w:val="center"/>
          </w:tcPr>
          <w:p w:rsidR="002B489A" w:rsidRDefault="004F19C4">
            <w:pPr>
              <w:pStyle w:val="Tabletext"/>
              <w:framePr w:hSpace="181" w:wrap="notBeside" w:vAnchor="text" w:hAnchor="text" w:xAlign="center" w:y="1"/>
              <w:rPr>
                <w:lang w:val="fr-CH"/>
              </w:rPr>
            </w:pPr>
            <w:r>
              <w:rPr>
                <w:lang w:val="fr-CH"/>
              </w:rPr>
              <w:t>Pourcentage de distribution cumulée</w:t>
            </w:r>
          </w:p>
        </w:tc>
        <w:tc>
          <w:tcPr>
            <w:tcW w:w="973" w:type="dxa"/>
            <w:vAlign w:val="center"/>
          </w:tcPr>
          <w:p w:rsidR="002B489A" w:rsidRDefault="004F19C4">
            <w:pPr>
              <w:pStyle w:val="Tabletext"/>
              <w:framePr w:hSpace="181" w:wrap="notBeside" w:vAnchor="text" w:hAnchor="text" w:xAlign="center" w:y="1"/>
              <w:jc w:val="center"/>
              <w:rPr>
                <w:lang w:val="es-ES"/>
              </w:rPr>
            </w:pPr>
            <w:r>
              <w:rPr>
                <w:lang w:val="es-ES"/>
              </w:rPr>
              <w:t>7,2</w:t>
            </w:r>
          </w:p>
        </w:tc>
        <w:tc>
          <w:tcPr>
            <w:tcW w:w="974" w:type="dxa"/>
            <w:vAlign w:val="center"/>
          </w:tcPr>
          <w:p w:rsidR="002B489A" w:rsidRDefault="004F19C4">
            <w:pPr>
              <w:pStyle w:val="Tabletext"/>
              <w:framePr w:hSpace="181" w:wrap="notBeside" w:vAnchor="text" w:hAnchor="text" w:xAlign="center" w:y="1"/>
              <w:jc w:val="center"/>
              <w:rPr>
                <w:lang w:val="es-ES"/>
              </w:rPr>
            </w:pPr>
            <w:r>
              <w:rPr>
                <w:lang w:val="es-ES"/>
              </w:rPr>
              <w:t>1</w:t>
            </w:r>
          </w:p>
        </w:tc>
        <w:tc>
          <w:tcPr>
            <w:tcW w:w="974" w:type="dxa"/>
            <w:vAlign w:val="center"/>
          </w:tcPr>
          <w:p w:rsidR="002B489A" w:rsidRDefault="004F19C4">
            <w:pPr>
              <w:pStyle w:val="Tabletext"/>
              <w:framePr w:hSpace="181" w:wrap="notBeside" w:vAnchor="text" w:hAnchor="text" w:xAlign="center" w:y="1"/>
              <w:jc w:val="center"/>
              <w:rPr>
                <w:lang w:val="es-ES"/>
              </w:rPr>
            </w:pPr>
            <w:r>
              <w:rPr>
                <w:lang w:val="es-ES"/>
              </w:rPr>
              <w:t>0,1</w:t>
            </w:r>
          </w:p>
        </w:tc>
        <w:tc>
          <w:tcPr>
            <w:tcW w:w="974" w:type="dxa"/>
            <w:vAlign w:val="center"/>
          </w:tcPr>
          <w:p w:rsidR="002B489A" w:rsidRDefault="004F19C4">
            <w:pPr>
              <w:pStyle w:val="Tabletext"/>
              <w:framePr w:hSpace="181" w:wrap="notBeside" w:vAnchor="text" w:hAnchor="text" w:xAlign="center" w:y="1"/>
              <w:jc w:val="center"/>
              <w:rPr>
                <w:lang w:val="es-ES"/>
              </w:rPr>
            </w:pPr>
            <w:r>
              <w:rPr>
                <w:lang w:val="es-ES"/>
              </w:rPr>
              <w:t>0,06</w:t>
            </w:r>
          </w:p>
        </w:tc>
        <w:tc>
          <w:tcPr>
            <w:tcW w:w="974" w:type="dxa"/>
            <w:vAlign w:val="center"/>
          </w:tcPr>
          <w:p w:rsidR="002B489A" w:rsidRDefault="004F19C4">
            <w:pPr>
              <w:pStyle w:val="Tabletext"/>
              <w:framePr w:hSpace="181" w:wrap="notBeside" w:vAnchor="text" w:hAnchor="text" w:xAlign="center" w:y="1"/>
              <w:jc w:val="center"/>
              <w:rPr>
                <w:lang w:val="es-ES"/>
              </w:rPr>
            </w:pPr>
            <w:r>
              <w:rPr>
                <w:lang w:val="es-ES"/>
              </w:rPr>
              <w:t>0,01</w:t>
            </w:r>
          </w:p>
        </w:tc>
        <w:tc>
          <w:tcPr>
            <w:tcW w:w="974" w:type="dxa"/>
            <w:vAlign w:val="center"/>
          </w:tcPr>
          <w:p w:rsidR="002B489A" w:rsidRDefault="004F19C4">
            <w:pPr>
              <w:pStyle w:val="Tabletext"/>
              <w:framePr w:hSpace="181" w:wrap="notBeside" w:vAnchor="text" w:hAnchor="text" w:xAlign="center" w:y="1"/>
              <w:jc w:val="center"/>
              <w:rPr>
                <w:lang w:val="es-ES"/>
              </w:rPr>
            </w:pPr>
            <w:r>
              <w:rPr>
                <w:lang w:val="es-ES"/>
              </w:rPr>
              <w:t>0,003</w:t>
            </w:r>
          </w:p>
        </w:tc>
      </w:tr>
      <w:tr w:rsidR="002B489A">
        <w:trPr>
          <w:trHeight w:val="968"/>
        </w:trPr>
        <w:tc>
          <w:tcPr>
            <w:tcW w:w="4008" w:type="dxa"/>
            <w:vAlign w:val="center"/>
          </w:tcPr>
          <w:p w:rsidR="002B489A" w:rsidRDefault="004F19C4">
            <w:pPr>
              <w:pStyle w:val="Tabletext"/>
              <w:framePr w:hSpace="181" w:wrap="notBeside" w:vAnchor="text" w:hAnchor="text" w:xAlign="center" w:y="1"/>
              <w:jc w:val="left"/>
              <w:rPr>
                <w:lang w:val="fr-CH"/>
              </w:rPr>
            </w:pPr>
            <w:r>
              <w:rPr>
                <w:lang w:val="fr-CH"/>
              </w:rPr>
              <w:t xml:space="preserve">Détecteur en peigne: puissance brouilleuse correspondante reçue par le SETS (dBW) </w:t>
            </w:r>
            <w:r>
              <w:rPr>
                <w:lang w:val="fr-CH"/>
              </w:rPr>
              <w:br/>
              <w:t>(largeur de bande de 11 MHz)</w:t>
            </w:r>
          </w:p>
        </w:tc>
        <w:tc>
          <w:tcPr>
            <w:tcW w:w="973" w:type="dxa"/>
            <w:vAlign w:val="center"/>
          </w:tcPr>
          <w:p w:rsidR="002B489A" w:rsidRDefault="004F19C4">
            <w:pPr>
              <w:pStyle w:val="Tabletext"/>
              <w:framePr w:hSpace="181" w:wrap="notBeside" w:vAnchor="text" w:hAnchor="text" w:xAlign="center" w:y="1"/>
              <w:jc w:val="center"/>
              <w:rPr>
                <w:lang w:val="fr-CH"/>
              </w:rPr>
            </w:pPr>
            <w:r>
              <w:rPr>
                <w:lang w:val="fr-CH"/>
              </w:rPr>
              <w:t>–220</w:t>
            </w:r>
          </w:p>
        </w:tc>
        <w:tc>
          <w:tcPr>
            <w:tcW w:w="974" w:type="dxa"/>
            <w:vAlign w:val="center"/>
          </w:tcPr>
          <w:p w:rsidR="002B489A" w:rsidRDefault="004F19C4">
            <w:pPr>
              <w:pStyle w:val="Tabletext"/>
              <w:framePr w:hSpace="181" w:wrap="notBeside" w:vAnchor="text" w:hAnchor="text" w:xAlign="center" w:y="1"/>
              <w:jc w:val="center"/>
              <w:rPr>
                <w:lang w:val="fr-CH"/>
              </w:rPr>
            </w:pPr>
            <w:r>
              <w:rPr>
                <w:lang w:val="fr-CH"/>
              </w:rPr>
              <w:t>–194</w:t>
            </w:r>
          </w:p>
        </w:tc>
        <w:tc>
          <w:tcPr>
            <w:tcW w:w="974" w:type="dxa"/>
            <w:vAlign w:val="center"/>
          </w:tcPr>
          <w:p w:rsidR="002B489A" w:rsidRDefault="004F19C4">
            <w:pPr>
              <w:pStyle w:val="Tabletext"/>
              <w:framePr w:hSpace="181" w:wrap="notBeside" w:vAnchor="text" w:hAnchor="text" w:xAlign="center" w:y="1"/>
              <w:jc w:val="center"/>
              <w:rPr>
                <w:lang w:val="fr-CH"/>
              </w:rPr>
            </w:pPr>
            <w:r>
              <w:rPr>
                <w:lang w:val="fr-CH"/>
              </w:rPr>
              <w:t>–172</w:t>
            </w:r>
          </w:p>
        </w:tc>
        <w:tc>
          <w:tcPr>
            <w:tcW w:w="974" w:type="dxa"/>
            <w:vAlign w:val="center"/>
          </w:tcPr>
          <w:p w:rsidR="002B489A" w:rsidRDefault="004F19C4">
            <w:pPr>
              <w:pStyle w:val="Tabletext"/>
              <w:framePr w:hSpace="181" w:wrap="notBeside" w:vAnchor="text" w:hAnchor="text" w:xAlign="center" w:y="1"/>
              <w:jc w:val="center"/>
              <w:rPr>
                <w:lang w:val="fr-CH"/>
              </w:rPr>
            </w:pPr>
            <w:r>
              <w:rPr>
                <w:lang w:val="fr-CH"/>
              </w:rPr>
              <w:t>–166</w:t>
            </w:r>
          </w:p>
        </w:tc>
        <w:tc>
          <w:tcPr>
            <w:tcW w:w="974" w:type="dxa"/>
            <w:vAlign w:val="center"/>
          </w:tcPr>
          <w:p w:rsidR="002B489A" w:rsidRDefault="004F19C4">
            <w:pPr>
              <w:pStyle w:val="Tabletext"/>
              <w:framePr w:hSpace="181" w:wrap="notBeside" w:vAnchor="text" w:hAnchor="text" w:xAlign="center" w:y="1"/>
              <w:jc w:val="center"/>
              <w:rPr>
                <w:lang w:val="fr-CH"/>
              </w:rPr>
            </w:pPr>
            <w:r>
              <w:rPr>
                <w:lang w:val="fr-CH"/>
              </w:rPr>
              <w:t>–141</w:t>
            </w:r>
          </w:p>
        </w:tc>
        <w:tc>
          <w:tcPr>
            <w:tcW w:w="974" w:type="dxa"/>
            <w:vAlign w:val="center"/>
          </w:tcPr>
          <w:p w:rsidR="002B489A" w:rsidRDefault="004F19C4">
            <w:pPr>
              <w:pStyle w:val="Tabletext"/>
              <w:framePr w:hSpace="181" w:wrap="notBeside" w:vAnchor="text" w:hAnchor="text" w:xAlign="center" w:y="1"/>
              <w:jc w:val="center"/>
              <w:rPr>
                <w:lang w:val="fr-CH"/>
              </w:rPr>
            </w:pPr>
            <w:r>
              <w:rPr>
                <w:lang w:val="fr-CH"/>
              </w:rPr>
              <w:t>–136</w:t>
            </w:r>
          </w:p>
        </w:tc>
      </w:tr>
    </w:tbl>
    <w:p w:rsidR="002B489A" w:rsidRDefault="002B489A">
      <w:pPr>
        <w:pStyle w:val="Tablefin"/>
        <w:spacing w:before="0"/>
        <w:rPr>
          <w:lang w:val="fr-CH"/>
        </w:rPr>
      </w:pPr>
    </w:p>
    <w:p w:rsidR="002B489A" w:rsidRDefault="004F19C4">
      <w:pPr>
        <w:rPr>
          <w:lang w:val="fr-CH"/>
        </w:rPr>
      </w:pPr>
      <w:r>
        <w:rPr>
          <w:lang w:val="fr-CH"/>
        </w:rPr>
        <w:br w:type="page"/>
        <w:t>Selon le Tableau 121, il y a un risque que le satellite SETS rencontre du brouillage lorsqu'une seule station terrienne est en fonctionnement (ou que le pourcentage de données brouillées est au</w:t>
      </w:r>
      <w:r>
        <w:rPr>
          <w:lang w:val="fr-CH"/>
        </w:rPr>
        <w:noBreakHyphen/>
        <w:t>dessus du seuil acceptable). En tenant compte de la largeur de bande relative, l'affaiblissement spectral requis est de 25 dB pour le service SMS OSG. On s'attend à ce qu'un nombre significativement plus élevé de stations terriennes soient mises en fonction dans les systèmes à satellites pour lesquels les résultats des simulations dynamiques sont rapportés dans les Tableaux 120 et 121. L'accroissement du nombre de stations terriennes incluses dans les simulations dynamiques va vraisemblablement accroître le pourcentage de temps pendant lequel le critère SETS est dépassé. Dans ce cas, les conclusions tirées au § 4.5 par rapport à l'importance des bandes de garde requises devront être réévaluées.</w:t>
      </w:r>
    </w:p>
    <w:p w:rsidR="002B489A" w:rsidRDefault="004F19C4">
      <w:pPr>
        <w:pStyle w:val="Heading2"/>
        <w:rPr>
          <w:lang w:val="fr-CH"/>
        </w:rPr>
      </w:pPr>
      <w:r>
        <w:rPr>
          <w:lang w:val="fr-CH"/>
        </w:rPr>
        <w:t>4.5</w:t>
      </w:r>
      <w:r>
        <w:rPr>
          <w:lang w:val="fr-CH"/>
        </w:rPr>
        <w:tab/>
        <w:t>Application de gabarits hors bande aux émissions de station terrienne du SFS/SMS</w:t>
      </w:r>
    </w:p>
    <w:p w:rsidR="002B489A" w:rsidRDefault="004F19C4">
      <w:pPr>
        <w:rPr>
          <w:lang w:val="fr-CH"/>
        </w:rPr>
      </w:pPr>
      <w:r>
        <w:rPr>
          <w:lang w:val="fr-CH"/>
        </w:rPr>
        <w:t>En supposant maintenant que les stations terriennes du SFS/SMS émettent dans leur propre bande de fréquences, la suppression de cette puissance au sein de la bande SETS (passive) attribuée adjacente doit être:</w:t>
      </w:r>
    </w:p>
    <w:p w:rsidR="002B489A" w:rsidRDefault="004F19C4">
      <w:pPr>
        <w:pStyle w:val="enumlev1"/>
        <w:rPr>
          <w:lang w:val="fr-CH"/>
        </w:rPr>
      </w:pPr>
      <w:r>
        <w:rPr>
          <w:lang w:val="fr-CH"/>
        </w:rPr>
        <w:t>–</w:t>
      </w:r>
      <w:r>
        <w:rPr>
          <w:lang w:val="fr-CH"/>
        </w:rPr>
        <w:tab/>
        <w:t>jusqu'à 49 dB pour couvrir le cas où le détecteur passif croise le lobe principal de l'antenne de la station terrienne du SFS;</w:t>
      </w:r>
    </w:p>
    <w:p w:rsidR="002B489A" w:rsidRDefault="004F19C4">
      <w:pPr>
        <w:pStyle w:val="enumlev1"/>
        <w:rPr>
          <w:lang w:val="fr-CH"/>
        </w:rPr>
      </w:pPr>
      <w:r>
        <w:rPr>
          <w:lang w:val="fr-CH"/>
        </w:rPr>
        <w:t>–</w:t>
      </w:r>
      <w:r>
        <w:rPr>
          <w:lang w:val="fr-CH"/>
        </w:rPr>
        <w:tab/>
        <w:t>jusqu'à 29,5 dB pour couvrir le cas où le détecteur passif est proche du zénith de l'antenne de la station terrienne du SFS;</w:t>
      </w:r>
    </w:p>
    <w:p w:rsidR="002B489A" w:rsidRDefault="004F19C4">
      <w:pPr>
        <w:pStyle w:val="enumlev1"/>
        <w:rPr>
          <w:lang w:val="fr-CH"/>
        </w:rPr>
      </w:pPr>
      <w:r>
        <w:rPr>
          <w:lang w:val="fr-CH"/>
        </w:rPr>
        <w:t>–</w:t>
      </w:r>
      <w:r>
        <w:rPr>
          <w:lang w:val="fr-CH"/>
        </w:rPr>
        <w:tab/>
        <w:t>jusqu'à 34 dB selon l'analyse dynamique (voir Tableaux 119 et 120).</w:t>
      </w:r>
    </w:p>
    <w:p w:rsidR="002B489A" w:rsidRDefault="004F19C4">
      <w:pPr>
        <w:rPr>
          <w:lang w:val="fr-CH"/>
        </w:rPr>
      </w:pPr>
      <w:r>
        <w:rPr>
          <w:lang w:val="fr-CH"/>
        </w:rPr>
        <w:t>On voit clairement que le gabarit hors bande décrit dans la Recommandation UIT-R SM.1541 ne donne pas une protection appropriée. Le gabarit en cosinus surélevé proposé par le Groupe de travail 4A est beaucoup plus réaliste. La Fig. 79 représente la puissance tombant dans l'attribution du SETS, en fonction de la bande de garde. Pour couvrir les diverses caractéristiques des émissions SFS, l'intégration glissante est effectuée pour trois valeurs de la bande passive, exprimées en terme de pourcentage de la largeur de bande SFS nécessaire (1 000, 100 et 50%). Il y a seulement une différence mineure entre les trois courbes.</w:t>
      </w:r>
    </w:p>
    <w:p w:rsidR="002B489A" w:rsidRDefault="004F19C4">
      <w:pPr>
        <w:rPr>
          <w:lang w:val="fr-CH"/>
        </w:rPr>
      </w:pPr>
      <w:r>
        <w:rPr>
          <w:lang w:val="fr-CH"/>
        </w:rPr>
        <w:t>Il faut noter que sur la Fig. 79, le décalage de fréquence est pris à partir du centre de la largeur de bande nécessaire. Cela servira à déterminer la distance minimale entre le centre de la largeur de bande nécessaire et la limite supérieure de la bande attribuée aux services SFS/SMS, qui est nécessaire pour protéger la bande adjacente attribuée au SETS contre les rayonnements non désirés du SFS/SMS.</w:t>
      </w:r>
    </w:p>
    <w:p w:rsidR="002B489A" w:rsidRDefault="004F19C4">
      <w:pPr>
        <w:spacing w:before="240"/>
        <w:rPr>
          <w:lang w:val="fr-CH"/>
        </w:rPr>
      </w:pPr>
      <w:r>
        <w:rPr>
          <w:lang w:val="fr-CH"/>
        </w:rPr>
        <w:t>En supposant que ce gabarit soit adopté et qu'il représente de façon fidèle les caractéristiques spectrales réelles des émetteurs SFS, on peut en déduire les conditions suivantes, qui sont résumées dans le Tableau 122 pour les systèmes SFS OSG et SMS OSG. La dernière ligne de ces Tableaux indique la bande de garde supplémentaire au-dessus de la limite inférieure de la bande attribuée au SFS qu'il serait nécessaire d'appliquer pour protéger les détecteurs passifs contre les rayonnements non désirés dans la bande adjacente.</w:t>
      </w:r>
    </w:p>
    <w:p w:rsidR="002B489A" w:rsidRDefault="004F19C4">
      <w:pPr>
        <w:spacing w:before="240"/>
        <w:rPr>
          <w:lang w:val="fr-CH"/>
        </w:rPr>
      </w:pPr>
      <w:r>
        <w:rPr>
          <w:lang w:val="fr-CH"/>
        </w:rPr>
        <w:t>L'analyse dynamique donne une suppression de 34 dB pour le SFS, et une suppression de 25 dB pour le SMS. Donc, les bandes de garde supplémentaires correspondantes qui sont requises sont 50 MHz et 2,3 MHz.</w:t>
      </w:r>
    </w:p>
    <w:p w:rsidR="002B489A" w:rsidRDefault="004F19C4">
      <w:pPr>
        <w:pStyle w:val="FigureNo"/>
        <w:rPr>
          <w:lang w:val="fr-CH"/>
        </w:rPr>
      </w:pPr>
      <w:r>
        <w:br w:type="page"/>
      </w:r>
      <w:r>
        <w:object w:dxaOrig="8535" w:dyaOrig="7479">
          <v:shape id="_x0000_i1071" type="#_x0000_t75" style="width:427pt;height:374.5pt" o:ole="">
            <v:imagedata r:id="rId144" o:title=""/>
          </v:shape>
          <o:OLEObject Type="Embed" ProgID="Designer.Drawing.7" ShapeID="_x0000_i1071" DrawAspect="Content" ObjectID="_1649163317" r:id="rId145"/>
        </w:object>
      </w:r>
    </w:p>
    <w:p w:rsidR="002B489A" w:rsidRDefault="004F19C4">
      <w:pPr>
        <w:pStyle w:val="TableNo"/>
        <w:rPr>
          <w:lang w:val="fr-CH"/>
        </w:rPr>
      </w:pPr>
      <w:r>
        <w:rPr>
          <w:lang w:val="fr-CH"/>
        </w:rPr>
        <w:t>TABLEAU  122</w:t>
      </w:r>
    </w:p>
    <w:p w:rsidR="002B489A" w:rsidRDefault="004F19C4">
      <w:pPr>
        <w:pStyle w:val="Tabletitle"/>
        <w:rPr>
          <w:lang w:val="fr-CH"/>
        </w:rPr>
      </w:pPr>
      <w:r>
        <w:rPr>
          <w:lang w:val="fr-CH"/>
        </w:rPr>
        <w:t xml:space="preserve">Résumé des bandes de garde nécessaires pour protéger les détecteurs passifs </w:t>
      </w:r>
      <w:r>
        <w:rPr>
          <w:lang w:val="fr-CH"/>
        </w:rPr>
        <w:br/>
        <w:t>contre les stations terriennes du SFS/SMS OSG</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71"/>
        <w:gridCol w:w="1407"/>
        <w:gridCol w:w="1569"/>
        <w:gridCol w:w="1562"/>
        <w:gridCol w:w="1830"/>
      </w:tblGrid>
      <w:tr w:rsidR="002B489A">
        <w:tc>
          <w:tcPr>
            <w:tcW w:w="3271" w:type="dxa"/>
          </w:tcPr>
          <w:p w:rsidR="002B489A" w:rsidRDefault="002B489A">
            <w:pPr>
              <w:pStyle w:val="Tablehead"/>
              <w:framePr w:hSpace="181" w:wrap="notBeside" w:vAnchor="text" w:hAnchor="text" w:xAlign="center" w:y="1"/>
              <w:rPr>
                <w:lang w:val="fr-CH"/>
              </w:rPr>
            </w:pPr>
          </w:p>
        </w:tc>
        <w:tc>
          <w:tcPr>
            <w:tcW w:w="2976" w:type="dxa"/>
            <w:gridSpan w:val="2"/>
          </w:tcPr>
          <w:p w:rsidR="002B489A" w:rsidRDefault="004F19C4">
            <w:pPr>
              <w:pStyle w:val="Tablehead"/>
              <w:framePr w:hSpace="181" w:wrap="notBeside" w:vAnchor="text" w:hAnchor="text" w:xAlign="center" w:y="1"/>
              <w:rPr>
                <w:caps/>
                <w:lang w:val="en-US"/>
              </w:rPr>
            </w:pPr>
            <w:r>
              <w:rPr>
                <w:caps/>
                <w:lang w:val="en-US"/>
              </w:rPr>
              <w:t>SFS OSG</w:t>
            </w:r>
          </w:p>
        </w:tc>
        <w:tc>
          <w:tcPr>
            <w:tcW w:w="3392" w:type="dxa"/>
            <w:gridSpan w:val="2"/>
          </w:tcPr>
          <w:p w:rsidR="002B489A" w:rsidRDefault="004F19C4">
            <w:pPr>
              <w:pStyle w:val="Tablehead"/>
              <w:framePr w:hSpace="181" w:wrap="notBeside" w:vAnchor="text" w:hAnchor="text" w:xAlign="center" w:y="1"/>
              <w:rPr>
                <w:lang w:val="en-US"/>
              </w:rPr>
            </w:pPr>
            <w:r>
              <w:rPr>
                <w:caps/>
                <w:lang w:val="en-US"/>
              </w:rPr>
              <w:t>SMS OSG</w:t>
            </w:r>
          </w:p>
        </w:tc>
      </w:tr>
      <w:tr w:rsidR="002B489A">
        <w:tc>
          <w:tcPr>
            <w:tcW w:w="3271" w:type="dxa"/>
          </w:tcPr>
          <w:p w:rsidR="002B489A" w:rsidRDefault="002B489A">
            <w:pPr>
              <w:pStyle w:val="Tablehead"/>
              <w:framePr w:hSpace="181" w:wrap="notBeside" w:vAnchor="text" w:hAnchor="text" w:xAlign="center" w:y="1"/>
              <w:rPr>
                <w:lang w:val="en-US"/>
              </w:rPr>
            </w:pPr>
          </w:p>
        </w:tc>
        <w:tc>
          <w:tcPr>
            <w:tcW w:w="1407" w:type="dxa"/>
          </w:tcPr>
          <w:p w:rsidR="002B489A" w:rsidRDefault="004F19C4">
            <w:pPr>
              <w:pStyle w:val="Tablehead"/>
              <w:framePr w:hSpace="181" w:wrap="notBeside" w:vAnchor="text" w:hAnchor="text" w:xAlign="center" w:y="1"/>
              <w:rPr>
                <w:lang w:val="fr-CH"/>
              </w:rPr>
            </w:pPr>
            <w:r>
              <w:rPr>
                <w:lang w:val="fr-CH"/>
              </w:rPr>
              <w:t>Détecteur dans le lobe principal de la station</w:t>
            </w:r>
          </w:p>
        </w:tc>
        <w:tc>
          <w:tcPr>
            <w:tcW w:w="1569" w:type="dxa"/>
          </w:tcPr>
          <w:p w:rsidR="002B489A" w:rsidRDefault="004F19C4">
            <w:pPr>
              <w:pStyle w:val="Tablehead"/>
              <w:framePr w:hSpace="181" w:wrap="notBeside" w:vAnchor="text" w:hAnchor="text" w:xAlign="center" w:y="1"/>
              <w:rPr>
                <w:lang w:val="fr-CH"/>
              </w:rPr>
            </w:pPr>
            <w:r>
              <w:rPr>
                <w:lang w:val="fr-CH"/>
              </w:rPr>
              <w:t>Détecteur proche du zénith de la station</w:t>
            </w:r>
          </w:p>
        </w:tc>
        <w:tc>
          <w:tcPr>
            <w:tcW w:w="1562" w:type="dxa"/>
          </w:tcPr>
          <w:p w:rsidR="002B489A" w:rsidRDefault="004F19C4">
            <w:pPr>
              <w:pStyle w:val="Tablehead"/>
              <w:framePr w:hSpace="181" w:wrap="notBeside" w:vAnchor="text" w:hAnchor="text" w:xAlign="center" w:y="1"/>
              <w:rPr>
                <w:lang w:val="fr-CH"/>
              </w:rPr>
            </w:pPr>
            <w:r>
              <w:rPr>
                <w:lang w:val="fr-CH"/>
              </w:rPr>
              <w:t>Détecteur dans le lobe principal de la station</w:t>
            </w:r>
          </w:p>
        </w:tc>
        <w:tc>
          <w:tcPr>
            <w:tcW w:w="1830" w:type="dxa"/>
          </w:tcPr>
          <w:p w:rsidR="002B489A" w:rsidRDefault="004F19C4">
            <w:pPr>
              <w:pStyle w:val="Tablehead"/>
              <w:framePr w:hSpace="181" w:wrap="notBeside" w:vAnchor="text" w:hAnchor="text" w:xAlign="center" w:y="1"/>
              <w:rPr>
                <w:lang w:val="fr-CH"/>
              </w:rPr>
            </w:pPr>
            <w:r>
              <w:rPr>
                <w:lang w:val="fr-CH"/>
              </w:rPr>
              <w:t>Détecteur proche du zénith de la station</w:t>
            </w:r>
          </w:p>
        </w:tc>
      </w:tr>
      <w:tr w:rsidR="002B489A">
        <w:tc>
          <w:tcPr>
            <w:tcW w:w="3271" w:type="dxa"/>
          </w:tcPr>
          <w:p w:rsidR="002B489A" w:rsidRDefault="004F19C4">
            <w:pPr>
              <w:pStyle w:val="Tabletext"/>
              <w:framePr w:hSpace="181" w:wrap="notBeside" w:vAnchor="text" w:hAnchor="text" w:xAlign="center" w:y="1"/>
              <w:jc w:val="left"/>
              <w:rPr>
                <w:lang w:val="fr-CH"/>
              </w:rPr>
            </w:pPr>
            <w:r>
              <w:rPr>
                <w:lang w:val="fr-CH"/>
              </w:rPr>
              <w:t>Suppression de puissance (dB)</w:t>
            </w:r>
          </w:p>
        </w:tc>
        <w:tc>
          <w:tcPr>
            <w:tcW w:w="1407" w:type="dxa"/>
          </w:tcPr>
          <w:p w:rsidR="002B489A" w:rsidRDefault="004F19C4">
            <w:pPr>
              <w:pStyle w:val="Tabletext"/>
              <w:framePr w:hSpace="181" w:wrap="notBeside" w:vAnchor="text" w:hAnchor="text" w:xAlign="center" w:y="1"/>
              <w:jc w:val="center"/>
              <w:rPr>
                <w:lang w:val="es-ES"/>
              </w:rPr>
            </w:pPr>
            <w:r>
              <w:rPr>
                <w:lang w:val="es-ES"/>
              </w:rPr>
              <w:t>49</w:t>
            </w:r>
          </w:p>
        </w:tc>
        <w:tc>
          <w:tcPr>
            <w:tcW w:w="1569" w:type="dxa"/>
          </w:tcPr>
          <w:p w:rsidR="002B489A" w:rsidRDefault="004F19C4">
            <w:pPr>
              <w:pStyle w:val="Tabletext"/>
              <w:framePr w:hSpace="181" w:wrap="notBeside" w:vAnchor="text" w:hAnchor="text" w:xAlign="center" w:y="1"/>
              <w:jc w:val="center"/>
              <w:rPr>
                <w:lang w:val="es-ES"/>
              </w:rPr>
            </w:pPr>
            <w:r>
              <w:rPr>
                <w:lang w:val="es-ES"/>
              </w:rPr>
              <w:t>29,5</w:t>
            </w:r>
          </w:p>
        </w:tc>
        <w:tc>
          <w:tcPr>
            <w:tcW w:w="1562" w:type="dxa"/>
          </w:tcPr>
          <w:p w:rsidR="002B489A" w:rsidRDefault="004F19C4">
            <w:pPr>
              <w:pStyle w:val="Tabletext"/>
              <w:framePr w:hSpace="181" w:wrap="notBeside" w:vAnchor="text" w:hAnchor="text" w:xAlign="center" w:y="1"/>
              <w:jc w:val="center"/>
              <w:rPr>
                <w:lang w:val="es-ES"/>
              </w:rPr>
            </w:pPr>
            <w:r>
              <w:rPr>
                <w:lang w:val="es-ES"/>
              </w:rPr>
              <w:t>34,4</w:t>
            </w:r>
          </w:p>
        </w:tc>
        <w:tc>
          <w:tcPr>
            <w:tcW w:w="1830" w:type="dxa"/>
          </w:tcPr>
          <w:p w:rsidR="002B489A" w:rsidRDefault="004F19C4">
            <w:pPr>
              <w:pStyle w:val="Tabletext"/>
              <w:framePr w:hSpace="181" w:wrap="notBeside" w:vAnchor="text" w:hAnchor="text" w:xAlign="center" w:y="1"/>
              <w:jc w:val="center"/>
              <w:rPr>
                <w:lang w:val="es-ES"/>
              </w:rPr>
            </w:pPr>
            <w:r>
              <w:rPr>
                <w:lang w:val="es-ES"/>
              </w:rPr>
              <w:t>20,3</w:t>
            </w:r>
          </w:p>
        </w:tc>
      </w:tr>
      <w:tr w:rsidR="002B489A">
        <w:tc>
          <w:tcPr>
            <w:tcW w:w="3271" w:type="dxa"/>
          </w:tcPr>
          <w:p w:rsidR="002B489A" w:rsidRDefault="004F19C4">
            <w:pPr>
              <w:pStyle w:val="Tabletext"/>
              <w:framePr w:hSpace="181" w:wrap="notBeside" w:vAnchor="text" w:hAnchor="text" w:xAlign="center" w:y="1"/>
              <w:jc w:val="left"/>
              <w:rPr>
                <w:lang w:val="fr-CH"/>
              </w:rPr>
            </w:pPr>
            <w:r>
              <w:rPr>
                <w:lang w:val="fr-CH"/>
              </w:rPr>
              <w:t>Largeur de bande nécessaire (MHz)</w:t>
            </w:r>
          </w:p>
        </w:tc>
        <w:tc>
          <w:tcPr>
            <w:tcW w:w="2976" w:type="dxa"/>
            <w:gridSpan w:val="2"/>
            <w:vAlign w:val="center"/>
          </w:tcPr>
          <w:p w:rsidR="002B489A" w:rsidRDefault="004F19C4">
            <w:pPr>
              <w:pStyle w:val="Tabletext"/>
              <w:framePr w:hSpace="181" w:wrap="notBeside" w:vAnchor="text" w:hAnchor="text" w:xAlign="center" w:y="1"/>
              <w:jc w:val="center"/>
              <w:rPr>
                <w:lang w:val="es-ES"/>
              </w:rPr>
            </w:pPr>
            <w:r>
              <w:rPr>
                <w:lang w:val="es-ES"/>
              </w:rPr>
              <w:t>125</w:t>
            </w:r>
          </w:p>
        </w:tc>
        <w:tc>
          <w:tcPr>
            <w:tcW w:w="3392" w:type="dxa"/>
            <w:gridSpan w:val="2"/>
            <w:vAlign w:val="center"/>
          </w:tcPr>
          <w:p w:rsidR="002B489A" w:rsidRDefault="004F19C4">
            <w:pPr>
              <w:pStyle w:val="Tabletext"/>
              <w:framePr w:hSpace="181" w:wrap="notBeside" w:vAnchor="text" w:hAnchor="text" w:xAlign="center" w:y="1"/>
              <w:jc w:val="center"/>
              <w:rPr>
                <w:lang w:val="es-ES"/>
              </w:rPr>
            </w:pPr>
            <w:r>
              <w:rPr>
                <w:lang w:val="es-ES"/>
              </w:rPr>
              <w:t>11</w:t>
            </w:r>
          </w:p>
        </w:tc>
      </w:tr>
      <w:tr w:rsidR="002B489A">
        <w:tc>
          <w:tcPr>
            <w:tcW w:w="3271" w:type="dxa"/>
          </w:tcPr>
          <w:p w:rsidR="002B489A" w:rsidRDefault="004F19C4">
            <w:pPr>
              <w:pStyle w:val="Tabletext"/>
              <w:framePr w:hSpace="181" w:wrap="notBeside" w:vAnchor="text" w:hAnchor="text" w:xAlign="center" w:y="1"/>
              <w:jc w:val="left"/>
              <w:rPr>
                <w:lang w:val="fr-CH"/>
              </w:rPr>
            </w:pPr>
            <w:r>
              <w:rPr>
                <w:lang w:val="fr-CH"/>
              </w:rPr>
              <w:t xml:space="preserve">Bande passive (% </w:t>
            </w:r>
            <w:r>
              <w:rPr>
                <w:i/>
                <w:lang w:val="fr-CH"/>
              </w:rPr>
              <w:t>B</w:t>
            </w:r>
            <w:r>
              <w:rPr>
                <w:i/>
                <w:vertAlign w:val="subscript"/>
                <w:lang w:val="fr-CH"/>
              </w:rPr>
              <w:t>N</w:t>
            </w:r>
            <w:r>
              <w:rPr>
                <w:lang w:val="fr-CH"/>
              </w:rPr>
              <w:t>)</w:t>
            </w:r>
          </w:p>
        </w:tc>
        <w:tc>
          <w:tcPr>
            <w:tcW w:w="2976" w:type="dxa"/>
            <w:gridSpan w:val="2"/>
          </w:tcPr>
          <w:p w:rsidR="002B489A" w:rsidRDefault="004F19C4">
            <w:pPr>
              <w:pStyle w:val="Tabletext"/>
              <w:framePr w:hSpace="181" w:wrap="notBeside" w:vAnchor="text" w:hAnchor="text" w:xAlign="center" w:y="1"/>
              <w:jc w:val="center"/>
              <w:rPr>
                <w:lang w:val="es-ES"/>
              </w:rPr>
            </w:pPr>
            <w:r>
              <w:rPr>
                <w:lang w:val="es-ES"/>
              </w:rPr>
              <w:t>160</w:t>
            </w:r>
          </w:p>
        </w:tc>
        <w:tc>
          <w:tcPr>
            <w:tcW w:w="3392" w:type="dxa"/>
            <w:gridSpan w:val="2"/>
          </w:tcPr>
          <w:p w:rsidR="002B489A" w:rsidRDefault="004F19C4">
            <w:pPr>
              <w:pStyle w:val="Tabletext"/>
              <w:framePr w:hSpace="181" w:wrap="notBeside" w:vAnchor="text" w:hAnchor="text" w:xAlign="center" w:y="1"/>
              <w:jc w:val="center"/>
              <w:rPr>
                <w:lang w:val="es-ES"/>
              </w:rPr>
            </w:pPr>
            <w:r>
              <w:rPr>
                <w:lang w:val="es-ES"/>
              </w:rPr>
              <w:t>1</w:t>
            </w:r>
            <w:r>
              <w:rPr>
                <w:rFonts w:ascii="Tms Rmn" w:hAnsi="Tms Rmn"/>
                <w:sz w:val="12"/>
                <w:lang w:val="es-ES"/>
              </w:rPr>
              <w:t> </w:t>
            </w:r>
            <w:r>
              <w:rPr>
                <w:lang w:val="es-ES"/>
              </w:rPr>
              <w:t>818</w:t>
            </w:r>
          </w:p>
        </w:tc>
      </w:tr>
      <w:tr w:rsidR="002B489A">
        <w:tc>
          <w:tcPr>
            <w:tcW w:w="3271" w:type="dxa"/>
          </w:tcPr>
          <w:p w:rsidR="002B489A" w:rsidRDefault="004F19C4">
            <w:pPr>
              <w:pStyle w:val="Tabletext"/>
              <w:framePr w:hSpace="181" w:wrap="notBeside" w:vAnchor="text" w:hAnchor="text" w:xAlign="center" w:y="1"/>
              <w:jc w:val="left"/>
              <w:rPr>
                <w:lang w:val="es-ES"/>
              </w:rPr>
            </w:pPr>
            <w:r>
              <w:rPr>
                <w:lang w:val="fr-CH"/>
              </w:rPr>
              <w:t xml:space="preserve">Décalage (% </w:t>
            </w:r>
            <w:r>
              <w:rPr>
                <w:i/>
                <w:lang w:val="fr-CH"/>
              </w:rPr>
              <w:t>B</w:t>
            </w:r>
            <w:r>
              <w:rPr>
                <w:i/>
                <w:vertAlign w:val="subscript"/>
                <w:lang w:val="fr-CH"/>
              </w:rPr>
              <w:t>N</w:t>
            </w:r>
            <w:r>
              <w:rPr>
                <w:lang w:val="fr-CH"/>
              </w:rPr>
              <w:t>)</w:t>
            </w:r>
          </w:p>
        </w:tc>
        <w:tc>
          <w:tcPr>
            <w:tcW w:w="1407" w:type="dxa"/>
          </w:tcPr>
          <w:p w:rsidR="002B489A" w:rsidRDefault="004F19C4">
            <w:pPr>
              <w:pStyle w:val="Tabletext"/>
              <w:framePr w:hSpace="181" w:wrap="notBeside" w:vAnchor="text" w:hAnchor="text" w:xAlign="center" w:y="1"/>
              <w:jc w:val="center"/>
              <w:rPr>
                <w:lang w:val="es-ES"/>
              </w:rPr>
            </w:pPr>
            <w:r>
              <w:rPr>
                <w:lang w:val="es-ES"/>
              </w:rPr>
              <w:t>181</w:t>
            </w:r>
          </w:p>
        </w:tc>
        <w:tc>
          <w:tcPr>
            <w:tcW w:w="1569" w:type="dxa"/>
          </w:tcPr>
          <w:p w:rsidR="002B489A" w:rsidRDefault="004F19C4">
            <w:pPr>
              <w:pStyle w:val="Tabletext"/>
              <w:framePr w:hSpace="181" w:wrap="notBeside" w:vAnchor="text" w:hAnchor="text" w:xAlign="center" w:y="1"/>
              <w:jc w:val="center"/>
              <w:rPr>
                <w:lang w:val="es-ES"/>
              </w:rPr>
            </w:pPr>
            <w:r>
              <w:rPr>
                <w:lang w:val="es-ES"/>
              </w:rPr>
              <w:t>82</w:t>
            </w:r>
          </w:p>
        </w:tc>
        <w:tc>
          <w:tcPr>
            <w:tcW w:w="1562" w:type="dxa"/>
          </w:tcPr>
          <w:p w:rsidR="002B489A" w:rsidRDefault="004F19C4">
            <w:pPr>
              <w:pStyle w:val="Tabletext"/>
              <w:framePr w:hSpace="181" w:wrap="notBeside" w:vAnchor="text" w:hAnchor="text" w:xAlign="center" w:y="1"/>
              <w:jc w:val="center"/>
              <w:rPr>
                <w:lang w:val="es-ES"/>
              </w:rPr>
            </w:pPr>
            <w:r>
              <w:rPr>
                <w:lang w:val="es-ES"/>
              </w:rPr>
              <w:t>91</w:t>
            </w:r>
          </w:p>
        </w:tc>
        <w:tc>
          <w:tcPr>
            <w:tcW w:w="1830" w:type="dxa"/>
          </w:tcPr>
          <w:p w:rsidR="002B489A" w:rsidRDefault="004F19C4">
            <w:pPr>
              <w:pStyle w:val="Tabletext"/>
              <w:framePr w:hSpace="181" w:wrap="notBeside" w:vAnchor="text" w:hAnchor="text" w:xAlign="center" w:y="1"/>
              <w:jc w:val="center"/>
              <w:rPr>
                <w:lang w:val="es-ES"/>
              </w:rPr>
            </w:pPr>
            <w:r>
              <w:rPr>
                <w:lang w:val="es-ES"/>
              </w:rPr>
              <w:t>67</w:t>
            </w:r>
          </w:p>
        </w:tc>
      </w:tr>
      <w:tr w:rsidR="002B489A">
        <w:tc>
          <w:tcPr>
            <w:tcW w:w="3271" w:type="dxa"/>
          </w:tcPr>
          <w:p w:rsidR="002B489A" w:rsidRDefault="004F19C4">
            <w:pPr>
              <w:pStyle w:val="Tabletext"/>
              <w:framePr w:hSpace="181" w:wrap="notBeside" w:vAnchor="text" w:hAnchor="text" w:xAlign="center" w:y="1"/>
              <w:jc w:val="left"/>
              <w:rPr>
                <w:lang w:val="es-ES"/>
              </w:rPr>
            </w:pPr>
            <w:r>
              <w:rPr>
                <w:lang w:val="fr-CH"/>
              </w:rPr>
              <w:t>Décalage (MHz)</w:t>
            </w:r>
          </w:p>
        </w:tc>
        <w:tc>
          <w:tcPr>
            <w:tcW w:w="1407" w:type="dxa"/>
          </w:tcPr>
          <w:p w:rsidR="002B489A" w:rsidRDefault="004F19C4">
            <w:pPr>
              <w:pStyle w:val="Tabletext"/>
              <w:framePr w:hSpace="181" w:wrap="notBeside" w:vAnchor="text" w:hAnchor="text" w:xAlign="center" w:y="1"/>
              <w:jc w:val="center"/>
              <w:rPr>
                <w:lang w:val="es-ES"/>
              </w:rPr>
            </w:pPr>
            <w:r>
              <w:rPr>
                <w:lang w:val="es-ES"/>
              </w:rPr>
              <w:t>226</w:t>
            </w:r>
          </w:p>
        </w:tc>
        <w:tc>
          <w:tcPr>
            <w:tcW w:w="1569" w:type="dxa"/>
          </w:tcPr>
          <w:p w:rsidR="002B489A" w:rsidRDefault="004F19C4">
            <w:pPr>
              <w:pStyle w:val="Tabletext"/>
              <w:framePr w:hSpace="181" w:wrap="notBeside" w:vAnchor="text" w:hAnchor="text" w:xAlign="center" w:y="1"/>
              <w:jc w:val="center"/>
              <w:rPr>
                <w:lang w:val="es-ES"/>
              </w:rPr>
            </w:pPr>
            <w:r>
              <w:rPr>
                <w:lang w:val="es-ES"/>
              </w:rPr>
              <w:t>103</w:t>
            </w:r>
          </w:p>
        </w:tc>
        <w:tc>
          <w:tcPr>
            <w:tcW w:w="1562" w:type="dxa"/>
          </w:tcPr>
          <w:p w:rsidR="002B489A" w:rsidRDefault="004F19C4">
            <w:pPr>
              <w:pStyle w:val="Tabletext"/>
              <w:framePr w:hSpace="181" w:wrap="notBeside" w:vAnchor="text" w:hAnchor="text" w:xAlign="center" w:y="1"/>
              <w:jc w:val="center"/>
              <w:rPr>
                <w:lang w:val="es-ES"/>
              </w:rPr>
            </w:pPr>
            <w:r>
              <w:rPr>
                <w:lang w:val="es-ES"/>
              </w:rPr>
              <w:t>10</w:t>
            </w:r>
          </w:p>
        </w:tc>
        <w:tc>
          <w:tcPr>
            <w:tcW w:w="1830" w:type="dxa"/>
          </w:tcPr>
          <w:p w:rsidR="002B489A" w:rsidRDefault="004F19C4">
            <w:pPr>
              <w:pStyle w:val="Tabletext"/>
              <w:framePr w:hSpace="181" w:wrap="notBeside" w:vAnchor="text" w:hAnchor="text" w:xAlign="center" w:y="1"/>
              <w:jc w:val="center"/>
              <w:rPr>
                <w:lang w:val="es-ES"/>
              </w:rPr>
            </w:pPr>
            <w:r>
              <w:rPr>
                <w:lang w:val="es-ES"/>
              </w:rPr>
              <w:t>7,4</w:t>
            </w:r>
          </w:p>
        </w:tc>
      </w:tr>
      <w:tr w:rsidR="002B489A">
        <w:tc>
          <w:tcPr>
            <w:tcW w:w="3271" w:type="dxa"/>
          </w:tcPr>
          <w:p w:rsidR="002B489A" w:rsidRDefault="004F19C4">
            <w:pPr>
              <w:pStyle w:val="Tabletext"/>
              <w:framePr w:hSpace="181" w:wrap="notBeside" w:vAnchor="text" w:hAnchor="text" w:xAlign="center" w:y="1"/>
              <w:jc w:val="left"/>
              <w:rPr>
                <w:lang w:val="fr-CH"/>
              </w:rPr>
            </w:pPr>
            <w:r>
              <w:rPr>
                <w:lang w:val="fr-CH"/>
              </w:rPr>
              <w:t>Bande de garde supplémentaire requise (MHz)</w:t>
            </w:r>
          </w:p>
        </w:tc>
        <w:tc>
          <w:tcPr>
            <w:tcW w:w="1407" w:type="dxa"/>
          </w:tcPr>
          <w:p w:rsidR="002B489A" w:rsidRDefault="004F19C4">
            <w:pPr>
              <w:pStyle w:val="Tabletext"/>
              <w:framePr w:hSpace="181" w:wrap="notBeside" w:vAnchor="text" w:hAnchor="text" w:xAlign="center" w:y="1"/>
              <w:jc w:val="center"/>
              <w:rPr>
                <w:lang w:val="fr-CH"/>
              </w:rPr>
            </w:pPr>
            <w:r>
              <w:rPr>
                <w:lang w:val="fr-CH"/>
              </w:rPr>
              <w:t>164</w:t>
            </w:r>
          </w:p>
        </w:tc>
        <w:tc>
          <w:tcPr>
            <w:tcW w:w="1569" w:type="dxa"/>
          </w:tcPr>
          <w:p w:rsidR="002B489A" w:rsidRDefault="004F19C4">
            <w:pPr>
              <w:pStyle w:val="Tabletext"/>
              <w:framePr w:hSpace="181" w:wrap="notBeside" w:vAnchor="text" w:hAnchor="text" w:xAlign="center" w:y="1"/>
              <w:jc w:val="center"/>
              <w:rPr>
                <w:lang w:val="fr-CH"/>
              </w:rPr>
            </w:pPr>
            <w:r>
              <w:rPr>
                <w:lang w:val="fr-CH"/>
              </w:rPr>
              <w:t>41</w:t>
            </w:r>
          </w:p>
        </w:tc>
        <w:tc>
          <w:tcPr>
            <w:tcW w:w="1562" w:type="dxa"/>
          </w:tcPr>
          <w:p w:rsidR="002B489A" w:rsidRDefault="004F19C4">
            <w:pPr>
              <w:pStyle w:val="Tabletext"/>
              <w:framePr w:hSpace="181" w:wrap="notBeside" w:vAnchor="text" w:hAnchor="text" w:xAlign="center" w:y="1"/>
              <w:jc w:val="center"/>
              <w:rPr>
                <w:lang w:val="fr-CH"/>
              </w:rPr>
            </w:pPr>
            <w:r>
              <w:rPr>
                <w:lang w:val="fr-CH"/>
              </w:rPr>
              <w:t>4</w:t>
            </w:r>
          </w:p>
        </w:tc>
        <w:tc>
          <w:tcPr>
            <w:tcW w:w="1830" w:type="dxa"/>
          </w:tcPr>
          <w:p w:rsidR="002B489A" w:rsidRDefault="004F19C4">
            <w:pPr>
              <w:pStyle w:val="Tabletext"/>
              <w:framePr w:hSpace="181" w:wrap="notBeside" w:vAnchor="text" w:hAnchor="text" w:xAlign="center" w:y="1"/>
              <w:jc w:val="center"/>
              <w:rPr>
                <w:lang w:val="fr-CH"/>
              </w:rPr>
            </w:pPr>
            <w:r>
              <w:rPr>
                <w:lang w:val="fr-CH"/>
              </w:rPr>
              <w:t>1,4</w:t>
            </w:r>
          </w:p>
        </w:tc>
      </w:tr>
    </w:tbl>
    <w:p w:rsidR="002B489A" w:rsidRDefault="002B489A">
      <w:pPr>
        <w:pStyle w:val="Tablefin"/>
        <w:rPr>
          <w:lang w:val="fr-CH"/>
        </w:rPr>
      </w:pPr>
    </w:p>
    <w:p w:rsidR="002B489A" w:rsidRDefault="004F19C4">
      <w:pPr>
        <w:pStyle w:val="Heading1"/>
        <w:rPr>
          <w:lang w:val="fr-CH"/>
        </w:rPr>
      </w:pPr>
      <w:r>
        <w:rPr>
          <w:lang w:val="fr-CH"/>
        </w:rPr>
        <w:br w:type="page"/>
        <w:t>5</w:t>
      </w:r>
      <w:r>
        <w:rPr>
          <w:lang w:val="fr-CH"/>
        </w:rPr>
        <w:tab/>
        <w:t>Techniques de réduction des brouillages</w:t>
      </w:r>
    </w:p>
    <w:p w:rsidR="002B489A" w:rsidRDefault="004F19C4">
      <w:pPr>
        <w:pStyle w:val="Heading2"/>
        <w:rPr>
          <w:lang w:val="fr-CH"/>
        </w:rPr>
      </w:pPr>
      <w:r>
        <w:rPr>
          <w:lang w:val="fr-CH"/>
        </w:rPr>
        <w:t>5.1</w:t>
      </w:r>
      <w:r>
        <w:rPr>
          <w:lang w:val="fr-CH"/>
        </w:rPr>
        <w:tab/>
        <w:t>SETS (passive)</w:t>
      </w:r>
    </w:p>
    <w:p w:rsidR="002B489A" w:rsidRDefault="004F19C4">
      <w:pPr>
        <w:rPr>
          <w:lang w:val="fr-CH"/>
        </w:rPr>
      </w:pPr>
      <w:r>
        <w:rPr>
          <w:lang w:val="fr-CH"/>
        </w:rPr>
        <w:t>Ce sujet nécessite des travaux complémentaires.</w:t>
      </w:r>
    </w:p>
    <w:p w:rsidR="002B489A" w:rsidRDefault="004F19C4">
      <w:pPr>
        <w:pStyle w:val="Heading2"/>
        <w:rPr>
          <w:lang w:val="fr-CH"/>
        </w:rPr>
      </w:pPr>
      <w:r>
        <w:rPr>
          <w:lang w:val="fr-CH"/>
        </w:rPr>
        <w:t>5.2</w:t>
      </w:r>
      <w:r>
        <w:rPr>
          <w:lang w:val="fr-CH"/>
        </w:rPr>
        <w:tab/>
        <w:t>SFS et SMS</w:t>
      </w:r>
    </w:p>
    <w:p w:rsidR="002B489A" w:rsidRDefault="004F19C4">
      <w:pPr>
        <w:pStyle w:val="Heading3"/>
        <w:rPr>
          <w:lang w:val="fr-CH"/>
        </w:rPr>
      </w:pPr>
      <w:r>
        <w:rPr>
          <w:lang w:val="fr-CH"/>
        </w:rPr>
        <w:t>5.2.1</w:t>
      </w:r>
      <w:r>
        <w:rPr>
          <w:lang w:val="fr-CH"/>
        </w:rPr>
        <w:tab/>
        <w:t>Mise en oeuvre de bandes de garde</w:t>
      </w:r>
    </w:p>
    <w:p w:rsidR="002B489A" w:rsidRDefault="004F19C4">
      <w:pPr>
        <w:rPr>
          <w:lang w:val="fr-CH"/>
        </w:rPr>
      </w:pPr>
      <w:r>
        <w:rPr>
          <w:lang w:val="fr-CH"/>
        </w:rPr>
        <w:t>Les résultats de l'analyse (voir le Tableau 122) indiquent que ces bandes de garde seraient nécessaires pour protéger les détecteurs passifs contre les rayonnements non désirés. Les situations les plus critiques sont obtenues avec les émissions impliquant simultanément une p.i.r.e. élevée et une importante largeur de bande nécessaire. Comme la vraisemblance d'un alignement de lobe principal à lobe principal peut être forte dans le cas de stations terriennes du SFS/SMS OSG situées près de l'équateur, il ne semble pas qu'il y ait de taille de décalage de fréquence praticable qui soit possible avec de tels systèmes pour protéger l'attribution passive adjacente.</w:t>
      </w:r>
    </w:p>
    <w:p w:rsidR="002B489A" w:rsidRDefault="004F19C4">
      <w:pPr>
        <w:pStyle w:val="Heading3"/>
        <w:rPr>
          <w:lang w:val="fr-CH"/>
        </w:rPr>
      </w:pPr>
      <w:r>
        <w:rPr>
          <w:lang w:val="fr-CH"/>
        </w:rPr>
        <w:t>5.2.2</w:t>
      </w:r>
      <w:r>
        <w:rPr>
          <w:lang w:val="fr-CH"/>
        </w:rPr>
        <w:tab/>
        <w:t>Puissance et largeur de bande nécessaire</w:t>
      </w:r>
    </w:p>
    <w:p w:rsidR="002B489A" w:rsidRDefault="004F19C4">
      <w:pPr>
        <w:rPr>
          <w:lang w:val="fr-CH"/>
        </w:rPr>
      </w:pPr>
      <w:r>
        <w:rPr>
          <w:lang w:val="fr-CH"/>
        </w:rPr>
        <w:t>La réduction de la puissance et de la largeur de bande nécessaire pourrait réduire la taille du décalage de fréquence requis.</w:t>
      </w:r>
    </w:p>
    <w:p w:rsidR="002B489A" w:rsidRDefault="004F19C4">
      <w:pPr>
        <w:pStyle w:val="Heading3"/>
        <w:rPr>
          <w:lang w:val="fr-CH"/>
        </w:rPr>
      </w:pPr>
      <w:r>
        <w:rPr>
          <w:lang w:val="fr-CH"/>
        </w:rPr>
        <w:t>5.2.3</w:t>
      </w:r>
      <w:r>
        <w:rPr>
          <w:lang w:val="fr-CH"/>
        </w:rPr>
        <w:tab/>
        <w:t>Filtrage en bande de base</w:t>
      </w:r>
    </w:p>
    <w:p w:rsidR="002B489A" w:rsidRDefault="004F19C4">
      <w:pPr>
        <w:rPr>
          <w:lang w:val="fr-CH"/>
        </w:rPr>
      </w:pPr>
      <w:r>
        <w:rPr>
          <w:lang w:val="fr-CH"/>
        </w:rPr>
        <w:t>Le niveau des rayonnements non désirés provenant des systèmes du service actifs peut être réduit en utilisant des techniques de modulation et de filtrage efficaces.</w:t>
      </w:r>
    </w:p>
    <w:p w:rsidR="002B489A" w:rsidRDefault="004F19C4">
      <w:pPr>
        <w:pStyle w:val="Heading2"/>
        <w:rPr>
          <w:lang w:val="fr-CH"/>
        </w:rPr>
      </w:pPr>
      <w:r>
        <w:rPr>
          <w:lang w:val="fr-CH"/>
        </w:rPr>
        <w:t>5.3</w:t>
      </w:r>
      <w:r>
        <w:rPr>
          <w:lang w:val="fr-CH"/>
        </w:rPr>
        <w:tab/>
        <w:t>Impact potentiel</w:t>
      </w:r>
    </w:p>
    <w:p w:rsidR="002B489A" w:rsidRDefault="004F19C4">
      <w:pPr>
        <w:pStyle w:val="Heading3"/>
        <w:rPr>
          <w:lang w:val="fr-CH"/>
        </w:rPr>
      </w:pPr>
      <w:r>
        <w:rPr>
          <w:lang w:val="fr-CH"/>
        </w:rPr>
        <w:t>5.3.1</w:t>
      </w:r>
      <w:r>
        <w:rPr>
          <w:lang w:val="fr-CH"/>
        </w:rPr>
        <w:tab/>
        <w:t>SETS (passive)</w:t>
      </w:r>
    </w:p>
    <w:p w:rsidR="002B489A" w:rsidRDefault="004F19C4">
      <w:pPr>
        <w:rPr>
          <w:lang w:val="fr-CH"/>
        </w:rPr>
      </w:pPr>
      <w:r>
        <w:rPr>
          <w:lang w:val="fr-CH"/>
        </w:rPr>
        <w:t>L'impact potentiel sur le SETS (passive) ne peut pas être évalué avant que des techniques de réduction des brouillages (§ 5.1) ne soient finalisées.</w:t>
      </w:r>
    </w:p>
    <w:p w:rsidR="002B489A" w:rsidRDefault="004F19C4">
      <w:pPr>
        <w:pStyle w:val="Heading3"/>
        <w:rPr>
          <w:lang w:val="fr-CH"/>
        </w:rPr>
      </w:pPr>
      <w:r>
        <w:rPr>
          <w:lang w:val="fr-CH"/>
        </w:rPr>
        <w:t>5.3.2</w:t>
      </w:r>
      <w:r>
        <w:rPr>
          <w:lang w:val="fr-CH"/>
        </w:rPr>
        <w:tab/>
        <w:t>SFS et SMS</w:t>
      </w:r>
    </w:p>
    <w:p w:rsidR="002B489A" w:rsidRDefault="004F19C4">
      <w:pPr>
        <w:rPr>
          <w:lang w:val="fr-CH"/>
        </w:rPr>
      </w:pPr>
      <w:r>
        <w:rPr>
          <w:lang w:val="fr-CH"/>
        </w:rPr>
        <w:t>L'impact des techniques de réduction des brouillages sera évalué et révisé au sein de l'UIT-R.</w:t>
      </w:r>
    </w:p>
    <w:p w:rsidR="002B489A" w:rsidRDefault="004F19C4">
      <w:pPr>
        <w:pStyle w:val="Heading1"/>
        <w:rPr>
          <w:lang w:val="fr-CH"/>
        </w:rPr>
      </w:pPr>
      <w:r>
        <w:rPr>
          <w:lang w:val="fr-CH"/>
        </w:rPr>
        <w:t>6</w:t>
      </w:r>
      <w:r>
        <w:rPr>
          <w:lang w:val="fr-CH"/>
        </w:rPr>
        <w:tab/>
        <w:t>Résultats des études</w:t>
      </w:r>
    </w:p>
    <w:p w:rsidR="002B489A" w:rsidRDefault="004F19C4">
      <w:pPr>
        <w:rPr>
          <w:lang w:val="fr-CH"/>
        </w:rPr>
      </w:pPr>
      <w:r>
        <w:rPr>
          <w:lang w:val="fr-CH"/>
        </w:rPr>
        <w:t>La présente analyse montre que, en général, un détecteur en peigne va recevoir une puissance non désirée considérable, excédant le seuil de brouillage à la fois en magnitude et en durée, deux fois par orbite, à travers un de ses faisceaux d'antenne, lorsqu'il traverse la latitude de toute station terrienne.</w:t>
      </w:r>
    </w:p>
    <w:p w:rsidR="002B489A" w:rsidRDefault="004F19C4">
      <w:pPr>
        <w:rPr>
          <w:lang w:val="fr-CH"/>
        </w:rPr>
      </w:pPr>
      <w:r>
        <w:rPr>
          <w:lang w:val="fr-CH"/>
        </w:rPr>
        <w:t>Les configurations de cas le plus défavorable impliquant des voies de brouillage à travers le lobe principal de la station terrienne sont les plus préjudiciables parce qu'elles conduisent à la perte d'un certain nombre de lignes de balayage complètes successives du détecteur passif. De plus, la magnitude de l'excédent de puissance au-delà du seuil de brouillage, qui peut atteindre 113 dB, soulève des questions quant à la possibilité de dommages sur les récepteurs du détecteur passif.</w:t>
      </w:r>
    </w:p>
    <w:p w:rsidR="002B489A" w:rsidRDefault="004F19C4">
      <w:pPr>
        <w:pStyle w:val="AnnexNoTitle"/>
      </w:pPr>
      <w:r>
        <w:rPr>
          <w:lang w:val="fr-CH"/>
        </w:rPr>
        <w:br w:type="page"/>
        <w:t>Annexe 21</w:t>
      </w:r>
      <w:r>
        <w:rPr>
          <w:lang w:val="fr-CH"/>
        </w:rPr>
        <w:br/>
      </w:r>
      <w:r>
        <w:rPr>
          <w:lang w:val="fr-CH"/>
        </w:rPr>
        <w:br/>
        <w:t>Analyse de compatibilité entre les systèmes du SETS (passive) fonctionnant dans la bande 52,6-52,8 GHz et les systèmes du service fixe fonctionnant dans la bande 51,4-52,6 GHz</w:t>
      </w:r>
    </w:p>
    <w:p w:rsidR="002B489A" w:rsidRDefault="004F19C4">
      <w:pPr>
        <w:pStyle w:val="Heading1"/>
        <w:rPr>
          <w:lang w:val="fr-CH"/>
        </w:rPr>
      </w:pPr>
      <w:r>
        <w:rPr>
          <w:lang w:val="fr-CH"/>
        </w:rPr>
        <w:t>1</w:t>
      </w:r>
      <w:r>
        <w:rPr>
          <w:lang w:val="fr-CH"/>
        </w:rPr>
        <w:tab/>
        <w:t>SETS (passive)</w:t>
      </w:r>
    </w:p>
    <w:p w:rsidR="002B489A" w:rsidRDefault="004F19C4">
      <w:pPr>
        <w:pStyle w:val="Heading2"/>
        <w:rPr>
          <w:lang w:val="fr-CH"/>
        </w:rPr>
      </w:pPr>
      <w:r>
        <w:rPr>
          <w:lang w:val="fr-CH"/>
        </w:rPr>
        <w:t>1.1</w:t>
      </w:r>
      <w:r>
        <w:rPr>
          <w:lang w:val="fr-CH"/>
        </w:rPr>
        <w:tab/>
        <w:t>Bande attribuée</w:t>
      </w:r>
    </w:p>
    <w:p w:rsidR="002B489A" w:rsidRDefault="004F19C4">
      <w:pPr>
        <w:rPr>
          <w:lang w:val="fr-CH"/>
        </w:rPr>
      </w:pPr>
      <w:r>
        <w:rPr>
          <w:lang w:val="fr-CH"/>
        </w:rPr>
        <w:t>La bande 51,4</w:t>
      </w:r>
      <w:r>
        <w:rPr>
          <w:lang w:val="fr-CH"/>
        </w:rPr>
        <w:noBreakHyphen/>
        <w:t>52,6 GHz est attribuée au service fixe et cette bande est adjacente à la bande 52,6</w:t>
      </w:r>
      <w:r>
        <w:rPr>
          <w:lang w:val="fr-CH"/>
        </w:rPr>
        <w:noBreakHyphen/>
        <w:t>52,8 GHz attribuée au SETS. Il est donc nécessaire d'évaluer les effets des rayonnements non désirés provenant des systèmes du service fixe qui tombent dans la bande 52,6</w:t>
      </w:r>
      <w:r>
        <w:rPr>
          <w:lang w:val="fr-CH"/>
        </w:rPr>
        <w:noBreakHyphen/>
        <w:t>52,8 GHz du SETS. La présente Annexe donne le calcul des niveaux de rayonnements non désirés qui tombent dans la bande 51,4</w:t>
      </w:r>
      <w:r>
        <w:rPr>
          <w:lang w:val="fr-CH"/>
        </w:rPr>
        <w:noBreakHyphen/>
        <w:t>52,6 GHz pour les systèmes du service fixe fonctionnant au-dessus de 31,8 GHz.</w:t>
      </w:r>
    </w:p>
    <w:p w:rsidR="002B489A" w:rsidRDefault="004F19C4">
      <w:pPr>
        <w:rPr>
          <w:lang w:val="fr-CH"/>
        </w:rPr>
      </w:pPr>
      <w:r>
        <w:rPr>
          <w:lang w:val="fr-CH"/>
        </w:rPr>
        <w:t>Il faut noter que selon le numéro 5.340 du RR, toutes les émissions sont interdites dans la bande 52,6</w:t>
      </w:r>
      <w:r>
        <w:rPr>
          <w:lang w:val="fr-CH"/>
        </w:rPr>
        <w:noBreakHyphen/>
        <w:t>54,25 GHz.</w:t>
      </w:r>
    </w:p>
    <w:p w:rsidR="002B489A" w:rsidRDefault="004F19C4">
      <w:pPr>
        <w:rPr>
          <w:lang w:val="fr-CH"/>
        </w:rPr>
      </w:pPr>
      <w:r>
        <w:rPr>
          <w:lang w:val="fr-CH"/>
        </w:rPr>
        <w:t>Les attributions adjacentes aux bandes passives de 52,6</w:t>
      </w:r>
      <w:r>
        <w:rPr>
          <w:lang w:val="fr-CH"/>
        </w:rPr>
        <w:noBreakHyphen/>
        <w:t>52,8 GHz sont indiquées dans le Tableau 123.</w:t>
      </w:r>
    </w:p>
    <w:p w:rsidR="002B489A" w:rsidRDefault="004F19C4">
      <w:pPr>
        <w:pStyle w:val="TableNo"/>
        <w:spacing w:before="240"/>
        <w:rPr>
          <w:lang w:val="fr-CH"/>
        </w:rPr>
      </w:pPr>
      <w:r>
        <w:rPr>
          <w:lang w:val="fr-CH"/>
        </w:rPr>
        <w:t>TABLEAU  123</w:t>
      </w:r>
    </w:p>
    <w:p w:rsidR="002B489A" w:rsidRDefault="004F19C4">
      <w:pPr>
        <w:pStyle w:val="Tabletitle"/>
        <w:rPr>
          <w:lang w:val="fr-CH"/>
        </w:rPr>
      </w:pPr>
      <w:r>
        <w:rPr>
          <w:lang w:val="fr-CH"/>
        </w:rPr>
        <w:t>Attributions dans les bandes adjacentes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0"/>
        <w:gridCol w:w="2801"/>
        <w:gridCol w:w="4418"/>
      </w:tblGrid>
      <w:tr w:rsidR="002B489A">
        <w:tc>
          <w:tcPr>
            <w:tcW w:w="2420" w:type="dxa"/>
          </w:tcPr>
          <w:p w:rsidR="002B489A" w:rsidRDefault="004F19C4">
            <w:pPr>
              <w:pStyle w:val="Tablehead"/>
              <w:framePr w:hSpace="180" w:wrap="around" w:vAnchor="text" w:hAnchor="text" w:y="1"/>
              <w:rPr>
                <w:lang w:val="fr-CH"/>
              </w:rPr>
            </w:pPr>
            <w:r>
              <w:rPr>
                <w:lang w:val="fr-CH"/>
              </w:rPr>
              <w:t>Services dans la bande attribuée inférieure</w:t>
            </w:r>
          </w:p>
        </w:tc>
        <w:tc>
          <w:tcPr>
            <w:tcW w:w="2801" w:type="dxa"/>
            <w:vAlign w:val="center"/>
          </w:tcPr>
          <w:p w:rsidR="002B489A" w:rsidRDefault="004F19C4">
            <w:pPr>
              <w:pStyle w:val="Tablehead"/>
              <w:framePr w:hSpace="180" w:wrap="around" w:vAnchor="text" w:hAnchor="text" w:y="1"/>
              <w:rPr>
                <w:lang w:val="fr-CH"/>
              </w:rPr>
            </w:pPr>
            <w:r>
              <w:rPr>
                <w:lang w:val="fr-CH"/>
              </w:rPr>
              <w:t>Bande passive</w:t>
            </w:r>
          </w:p>
        </w:tc>
        <w:tc>
          <w:tcPr>
            <w:tcW w:w="4418" w:type="dxa"/>
          </w:tcPr>
          <w:p w:rsidR="002B489A" w:rsidRDefault="004F19C4">
            <w:pPr>
              <w:pStyle w:val="Tablehead"/>
              <w:framePr w:hSpace="180" w:wrap="around" w:vAnchor="text" w:hAnchor="text" w:y="1"/>
              <w:rPr>
                <w:lang w:val="fr-CH"/>
              </w:rPr>
            </w:pPr>
            <w:r>
              <w:rPr>
                <w:lang w:val="fr-CH"/>
              </w:rPr>
              <w:t>Services dans la bande attribuée supérieure</w:t>
            </w:r>
          </w:p>
        </w:tc>
      </w:tr>
      <w:tr w:rsidR="002B489A">
        <w:tc>
          <w:tcPr>
            <w:tcW w:w="2420" w:type="dxa"/>
          </w:tcPr>
          <w:p w:rsidR="002B489A" w:rsidRDefault="004F19C4">
            <w:pPr>
              <w:pStyle w:val="Tablehead"/>
              <w:framePr w:hSpace="180" w:wrap="around" w:vAnchor="text" w:hAnchor="text" w:y="1"/>
              <w:rPr>
                <w:lang w:val="de-DE"/>
              </w:rPr>
            </w:pPr>
            <w:r>
              <w:rPr>
                <w:lang w:val="de-DE"/>
              </w:rPr>
              <w:t>51,4-52,6 GHz</w:t>
            </w:r>
          </w:p>
        </w:tc>
        <w:tc>
          <w:tcPr>
            <w:tcW w:w="2801" w:type="dxa"/>
          </w:tcPr>
          <w:p w:rsidR="002B489A" w:rsidRDefault="004F19C4">
            <w:pPr>
              <w:pStyle w:val="Tablehead"/>
              <w:framePr w:hSpace="180" w:wrap="around" w:vAnchor="text" w:hAnchor="text" w:y="1"/>
              <w:rPr>
                <w:lang w:val="de-DE"/>
              </w:rPr>
            </w:pPr>
            <w:r>
              <w:rPr>
                <w:lang w:val="de-DE"/>
              </w:rPr>
              <w:t>52,6-54,25 GHz</w:t>
            </w:r>
          </w:p>
        </w:tc>
        <w:tc>
          <w:tcPr>
            <w:tcW w:w="4418" w:type="dxa"/>
          </w:tcPr>
          <w:p w:rsidR="002B489A" w:rsidRDefault="004F19C4">
            <w:pPr>
              <w:pStyle w:val="Tablehead"/>
              <w:framePr w:hSpace="180" w:wrap="around" w:vAnchor="text" w:hAnchor="text" w:y="1"/>
              <w:rPr>
                <w:lang w:val="de-DE"/>
              </w:rPr>
            </w:pPr>
            <w:r>
              <w:rPr>
                <w:lang w:val="de-DE"/>
              </w:rPr>
              <w:t>54,25</w:t>
            </w:r>
            <w:r>
              <w:rPr>
                <w:lang w:val="de-DE"/>
              </w:rPr>
              <w:noBreakHyphen/>
              <w:t>55,78 GHz</w:t>
            </w:r>
          </w:p>
        </w:tc>
      </w:tr>
      <w:tr w:rsidR="002B489A">
        <w:tc>
          <w:tcPr>
            <w:tcW w:w="2420" w:type="dxa"/>
          </w:tcPr>
          <w:p w:rsidR="002B489A" w:rsidRDefault="004F19C4">
            <w:pPr>
              <w:pStyle w:val="Tabletext"/>
              <w:framePr w:hSpace="180" w:wrap="around" w:vAnchor="text" w:hAnchor="text" w:y="1"/>
              <w:jc w:val="left"/>
              <w:rPr>
                <w:lang w:val="fr-CH"/>
              </w:rPr>
            </w:pPr>
            <w:r>
              <w:rPr>
                <w:lang w:val="fr-CH"/>
              </w:rPr>
              <w:t>FIXE</w:t>
            </w:r>
          </w:p>
          <w:p w:rsidR="002B489A" w:rsidRDefault="004F19C4">
            <w:pPr>
              <w:pStyle w:val="Tabletext"/>
              <w:framePr w:hSpace="180" w:wrap="around" w:vAnchor="text" w:hAnchor="text" w:y="1"/>
              <w:jc w:val="left"/>
              <w:rPr>
                <w:lang w:val="fr-CH"/>
              </w:rPr>
            </w:pPr>
            <w:r>
              <w:rPr>
                <w:lang w:val="fr-CH"/>
              </w:rPr>
              <w:t>MOBILE</w:t>
            </w:r>
          </w:p>
        </w:tc>
        <w:tc>
          <w:tcPr>
            <w:tcW w:w="2801" w:type="dxa"/>
          </w:tcPr>
          <w:p w:rsidR="002B489A" w:rsidRDefault="004F19C4">
            <w:pPr>
              <w:pStyle w:val="Tabletext"/>
              <w:framePr w:hSpace="180" w:wrap="around" w:vAnchor="text" w:hAnchor="text" w:y="1"/>
              <w:jc w:val="left"/>
              <w:rPr>
                <w:lang w:val="fr-CH"/>
              </w:rPr>
            </w:pPr>
            <w:r>
              <w:rPr>
                <w:lang w:val="fr-CH"/>
              </w:rPr>
              <w:t>EXPLORATION DE LA TERRE PAR SATELLITE (passive)</w:t>
            </w:r>
          </w:p>
          <w:p w:rsidR="002B489A" w:rsidRDefault="004F19C4">
            <w:pPr>
              <w:pStyle w:val="Tabletext"/>
              <w:framePr w:hSpace="180" w:wrap="around" w:vAnchor="text" w:hAnchor="text" w:y="1"/>
              <w:jc w:val="left"/>
              <w:rPr>
                <w:lang w:val="fr-CH"/>
              </w:rPr>
            </w:pPr>
            <w:r>
              <w:rPr>
                <w:lang w:val="fr-CH"/>
              </w:rPr>
              <w:t>RECHERCHE SPATIALE (passive)</w:t>
            </w:r>
          </w:p>
        </w:tc>
        <w:tc>
          <w:tcPr>
            <w:tcW w:w="4418" w:type="dxa"/>
          </w:tcPr>
          <w:p w:rsidR="002B489A" w:rsidRDefault="004F19C4">
            <w:pPr>
              <w:pStyle w:val="Tabletext"/>
              <w:framePr w:hSpace="180" w:wrap="around" w:vAnchor="text" w:hAnchor="text" w:y="1"/>
              <w:jc w:val="left"/>
              <w:rPr>
                <w:lang w:val="fr-CH"/>
              </w:rPr>
            </w:pPr>
            <w:r>
              <w:rPr>
                <w:lang w:val="fr-CH"/>
              </w:rPr>
              <w:t>EXPLORATION DE LA TERRE PAR SATELLITE</w:t>
            </w:r>
            <w:r>
              <w:rPr>
                <w:lang w:val="fr-CH"/>
              </w:rPr>
              <w:br/>
              <w:t>(passive)</w:t>
            </w:r>
          </w:p>
          <w:p w:rsidR="002B489A" w:rsidRDefault="004F19C4">
            <w:pPr>
              <w:pStyle w:val="Tabletext"/>
              <w:framePr w:hSpace="180" w:wrap="around" w:vAnchor="text" w:hAnchor="text" w:y="1"/>
              <w:jc w:val="left"/>
              <w:rPr>
                <w:lang w:val="fr-CH"/>
              </w:rPr>
            </w:pPr>
            <w:r>
              <w:rPr>
                <w:lang w:val="fr-CH"/>
              </w:rPr>
              <w:t>INTER-SATELLITES  5.556A OSG</w:t>
            </w:r>
            <w:r>
              <w:rPr>
                <w:lang w:val="fr-CH"/>
              </w:rPr>
              <w:br/>
              <w:t>seulement avec limite de puissance surfacique</w:t>
            </w:r>
          </w:p>
          <w:p w:rsidR="002B489A" w:rsidRDefault="004F19C4">
            <w:pPr>
              <w:pStyle w:val="Tabletext"/>
              <w:framePr w:hSpace="180" w:wrap="around" w:vAnchor="text" w:hAnchor="text" w:y="1"/>
              <w:jc w:val="left"/>
              <w:rPr>
                <w:lang w:val="fr-CH"/>
              </w:rPr>
            </w:pPr>
            <w:r>
              <w:rPr>
                <w:lang w:val="fr-CH"/>
              </w:rPr>
              <w:t>RECHERCHE SPATIALE (passive)</w:t>
            </w:r>
          </w:p>
        </w:tc>
      </w:tr>
    </w:tbl>
    <w:p w:rsidR="002B489A" w:rsidRDefault="002B489A">
      <w:pPr>
        <w:pStyle w:val="Tablefin"/>
        <w:rPr>
          <w:sz w:val="2"/>
          <w:lang w:val="fr-CH"/>
        </w:rPr>
      </w:pPr>
    </w:p>
    <w:p w:rsidR="002B489A" w:rsidRDefault="004F19C4">
      <w:pPr>
        <w:pStyle w:val="Heading2"/>
        <w:ind w:left="0" w:firstLine="0"/>
        <w:rPr>
          <w:lang w:val="fr-CH"/>
        </w:rPr>
      </w:pPr>
      <w:r>
        <w:rPr>
          <w:lang w:val="fr-CH"/>
        </w:rPr>
        <w:t>1.2</w:t>
      </w:r>
      <w:r>
        <w:rPr>
          <w:lang w:val="fr-CH"/>
        </w:rPr>
        <w:tab/>
        <w:t>Application</w:t>
      </w:r>
    </w:p>
    <w:p w:rsidR="002B489A" w:rsidRDefault="004F19C4">
      <w:pPr>
        <w:rPr>
          <w:lang w:val="fr-CH"/>
        </w:rPr>
      </w:pPr>
      <w:r>
        <w:rPr>
          <w:lang w:val="fr-CH"/>
        </w:rPr>
        <w:t>Cette bande est une de celles qui sont utilisées pour les sondages atmosphériques proches du nadir en conjonction avec les bandes à 23,8 GHz, 31,5 GHz, 50,3 GHz pour caractériser chaque couche de l'atmosphère.</w:t>
      </w:r>
    </w:p>
    <w:p w:rsidR="002B489A" w:rsidRDefault="004F19C4">
      <w:pPr>
        <w:pStyle w:val="Heading2"/>
        <w:rPr>
          <w:lang w:val="fr-CH"/>
        </w:rPr>
      </w:pPr>
      <w:r>
        <w:rPr>
          <w:lang w:val="fr-CH"/>
        </w:rPr>
        <w:t>1.3</w:t>
      </w:r>
      <w:r>
        <w:rPr>
          <w:lang w:val="fr-CH"/>
        </w:rPr>
        <w:tab/>
        <w:t>Critères de protection requis</w:t>
      </w:r>
    </w:p>
    <w:p w:rsidR="002B489A" w:rsidRDefault="004F19C4">
      <w:r>
        <w:t>Les</w:t>
      </w:r>
      <w:r>
        <w:rPr>
          <w:sz w:val="18"/>
        </w:rPr>
        <w:t xml:space="preserve"> </w:t>
      </w:r>
      <w:r>
        <w:t>trois</w:t>
      </w:r>
      <w:r>
        <w:rPr>
          <w:sz w:val="18"/>
        </w:rPr>
        <w:t xml:space="preserve"> </w:t>
      </w:r>
      <w:r>
        <w:t>Recommandations</w:t>
      </w:r>
      <w:r>
        <w:rPr>
          <w:sz w:val="18"/>
        </w:rPr>
        <w:t xml:space="preserve"> </w:t>
      </w:r>
      <w:r>
        <w:t>suivantes</w:t>
      </w:r>
      <w:r>
        <w:rPr>
          <w:sz w:val="18"/>
        </w:rPr>
        <w:t xml:space="preserve"> </w:t>
      </w:r>
      <w:r>
        <w:t>établissent</w:t>
      </w:r>
      <w:r>
        <w:rPr>
          <w:sz w:val="18"/>
        </w:rPr>
        <w:t xml:space="preserve"> </w:t>
      </w:r>
      <w:r>
        <w:t>les</w:t>
      </w:r>
      <w:r>
        <w:rPr>
          <w:sz w:val="18"/>
        </w:rPr>
        <w:t xml:space="preserve"> </w:t>
      </w:r>
      <w:r>
        <w:t>critères</w:t>
      </w:r>
      <w:r>
        <w:rPr>
          <w:sz w:val="18"/>
        </w:rPr>
        <w:t xml:space="preserve"> </w:t>
      </w:r>
      <w:r>
        <w:t>de</w:t>
      </w:r>
      <w:r>
        <w:rPr>
          <w:sz w:val="18"/>
        </w:rPr>
        <w:t xml:space="preserve"> </w:t>
      </w:r>
      <w:r>
        <w:t>brouillage</w:t>
      </w:r>
      <w:r>
        <w:rPr>
          <w:sz w:val="18"/>
        </w:rPr>
        <w:t xml:space="preserve"> </w:t>
      </w:r>
      <w:r>
        <w:t>pour</w:t>
      </w:r>
      <w:r>
        <w:rPr>
          <w:sz w:val="18"/>
        </w:rPr>
        <w:t xml:space="preserve"> </w:t>
      </w:r>
      <w:r>
        <w:t>les</w:t>
      </w:r>
      <w:r>
        <w:rPr>
          <w:sz w:val="18"/>
        </w:rPr>
        <w:t xml:space="preserve"> </w:t>
      </w:r>
      <w:r>
        <w:t>détecteurs</w:t>
      </w:r>
      <w:r>
        <w:rPr>
          <w:sz w:val="18"/>
        </w:rPr>
        <w:t xml:space="preserve"> </w:t>
      </w:r>
      <w:r>
        <w:t>passifs.</w:t>
      </w:r>
    </w:p>
    <w:p w:rsidR="002B489A" w:rsidRDefault="004F19C4">
      <w:pPr>
        <w:pStyle w:val="enumlev1"/>
        <w:tabs>
          <w:tab w:val="clear" w:pos="794"/>
          <w:tab w:val="clear" w:pos="1191"/>
          <w:tab w:val="clear" w:pos="1588"/>
          <w:tab w:val="clear" w:pos="1985"/>
          <w:tab w:val="left" w:pos="3515"/>
        </w:tabs>
        <w:ind w:left="3515" w:hanging="3515"/>
      </w:pPr>
      <w:r>
        <w:t>Recommandation UIT-R SA.515 –</w:t>
      </w:r>
      <w:r>
        <w:tab/>
        <w:t xml:space="preserve">Bandes de fréquences et largeurs de bande utilisées pour la télédétection passive par satellite. </w:t>
      </w:r>
    </w:p>
    <w:p w:rsidR="002B489A" w:rsidRDefault="004F19C4">
      <w:pPr>
        <w:pStyle w:val="enumlev1"/>
        <w:tabs>
          <w:tab w:val="clear" w:pos="794"/>
          <w:tab w:val="clear" w:pos="1191"/>
          <w:tab w:val="clear" w:pos="1588"/>
          <w:tab w:val="clear" w:pos="1985"/>
          <w:tab w:val="left" w:pos="3515"/>
        </w:tabs>
        <w:spacing w:before="60"/>
        <w:ind w:left="3515" w:hanging="3515"/>
      </w:pPr>
      <w:r>
        <w:t>Recommandation UIT-R SA.1028 –</w:t>
      </w:r>
      <w:r>
        <w:tab/>
        <w:t>Critères de qualité de fonctionnement pour la télédétection passive par satellite.</w:t>
      </w:r>
    </w:p>
    <w:p w:rsidR="002B489A" w:rsidRDefault="004F19C4">
      <w:pPr>
        <w:pStyle w:val="enumlev1"/>
        <w:tabs>
          <w:tab w:val="clear" w:pos="794"/>
          <w:tab w:val="clear" w:pos="1191"/>
          <w:tab w:val="clear" w:pos="1588"/>
          <w:tab w:val="clear" w:pos="1985"/>
          <w:tab w:val="left" w:pos="3515"/>
        </w:tabs>
        <w:spacing w:before="60"/>
        <w:ind w:left="3515" w:hanging="3515"/>
      </w:pPr>
      <w:r>
        <w:t>Recommandation UIT-R SA.1029 –</w:t>
      </w:r>
      <w:r>
        <w:tab/>
        <w:t>Critères de brouillage dans la télédétection passive par satellite.</w:t>
      </w:r>
    </w:p>
    <w:p w:rsidR="002B489A" w:rsidRDefault="004F19C4">
      <w:pPr>
        <w:pStyle w:val="Heading2"/>
        <w:rPr>
          <w:lang w:val="fr-CH"/>
        </w:rPr>
      </w:pPr>
      <w:r>
        <w:rPr>
          <w:lang w:val="fr-CH"/>
        </w:rPr>
        <w:br w:type="page"/>
        <w:t>1.4</w:t>
      </w:r>
      <w:r>
        <w:rPr>
          <w:lang w:val="fr-CH"/>
        </w:rPr>
        <w:tab/>
        <w:t>Caractéristiques de fonctionnement</w:t>
      </w:r>
    </w:p>
    <w:p w:rsidR="002B489A" w:rsidRDefault="004F19C4">
      <w:pPr>
        <w:spacing w:before="60"/>
        <w:rPr>
          <w:lang w:val="fr-CH"/>
        </w:rPr>
      </w:pPr>
      <w:r>
        <w:rPr>
          <w:lang w:val="fr-CH"/>
        </w:rPr>
        <w:t>Les caractéristiques de fonctionnement suivantes sont prises en compte pour le système SETS:</w:t>
      </w:r>
    </w:p>
    <w:p w:rsidR="002B489A" w:rsidRDefault="004F19C4">
      <w:pPr>
        <w:pStyle w:val="enumlev1"/>
        <w:rPr>
          <w:lang w:val="fr-CH"/>
        </w:rPr>
      </w:pPr>
      <w:r>
        <w:rPr>
          <w:lang w:val="fr-CH"/>
        </w:rPr>
        <w:t>–</w:t>
      </w:r>
      <w:r>
        <w:rPr>
          <w:lang w:val="fr-CH"/>
        </w:rPr>
        <w:tab/>
        <w:t>Le détecteur SETS est supposé avoir une antenne avec un gain de 45 dBi.</w:t>
      </w:r>
    </w:p>
    <w:p w:rsidR="002B489A" w:rsidRDefault="004F19C4">
      <w:pPr>
        <w:pStyle w:val="enumlev1"/>
        <w:rPr>
          <w:lang w:val="fr-CH"/>
        </w:rPr>
      </w:pPr>
      <w:r>
        <w:rPr>
          <w:lang w:val="fr-CH"/>
        </w:rPr>
        <w:t>–</w:t>
      </w:r>
      <w:r>
        <w:rPr>
          <w:lang w:val="fr-CH"/>
        </w:rPr>
        <w:tab/>
        <w:t>Le détecteur SETS est pointé dans la direction du nadir.</w:t>
      </w:r>
    </w:p>
    <w:p w:rsidR="002B489A" w:rsidRDefault="004F19C4">
      <w:pPr>
        <w:pStyle w:val="enumlev1"/>
        <w:rPr>
          <w:lang w:val="fr-CH"/>
        </w:rPr>
      </w:pPr>
      <w:r>
        <w:rPr>
          <w:lang w:val="fr-CH"/>
        </w:rPr>
        <w:t>–</w:t>
      </w:r>
      <w:r>
        <w:rPr>
          <w:lang w:val="fr-CH"/>
        </w:rPr>
        <w:tab/>
        <w:t>La taille de pixel pour un détecteur à une altitude de 850 km est de 201 km</w:t>
      </w:r>
      <w:r>
        <w:rPr>
          <w:vertAlign w:val="superscript"/>
          <w:lang w:val="fr-CH"/>
        </w:rPr>
        <w:t>2</w:t>
      </w:r>
      <w:r>
        <w:rPr>
          <w:lang w:val="fr-CH"/>
        </w:rPr>
        <w:t xml:space="preserve"> (16 km de diamètre).</w:t>
      </w:r>
    </w:p>
    <w:p w:rsidR="002B489A" w:rsidRDefault="004F19C4">
      <w:pPr>
        <w:pStyle w:val="Heading1"/>
        <w:rPr>
          <w:lang w:val="fr-CH"/>
        </w:rPr>
      </w:pPr>
      <w:r>
        <w:rPr>
          <w:lang w:val="fr-CH"/>
        </w:rPr>
        <w:t>2</w:t>
      </w:r>
      <w:r>
        <w:rPr>
          <w:lang w:val="fr-CH"/>
        </w:rPr>
        <w:tab/>
        <w:t>Service fixe</w:t>
      </w:r>
    </w:p>
    <w:p w:rsidR="002B489A" w:rsidRDefault="004F19C4">
      <w:pPr>
        <w:pStyle w:val="Heading2"/>
        <w:rPr>
          <w:lang w:val="fr-CH"/>
        </w:rPr>
      </w:pPr>
      <w:r>
        <w:rPr>
          <w:lang w:val="fr-CH"/>
        </w:rPr>
        <w:t>2.1</w:t>
      </w:r>
      <w:r>
        <w:rPr>
          <w:lang w:val="fr-CH"/>
        </w:rPr>
        <w:tab/>
        <w:t>Bande attribuée</w:t>
      </w:r>
    </w:p>
    <w:p w:rsidR="002B489A" w:rsidRDefault="004F19C4">
      <w:pPr>
        <w:spacing w:before="60"/>
        <w:rPr>
          <w:lang w:val="fr-CH"/>
        </w:rPr>
      </w:pPr>
      <w:r>
        <w:rPr>
          <w:lang w:val="fr-CH"/>
        </w:rPr>
        <w:t>Voir le Tableau 123.</w:t>
      </w:r>
    </w:p>
    <w:p w:rsidR="002B489A" w:rsidRDefault="004F19C4">
      <w:pPr>
        <w:pStyle w:val="Heading2"/>
        <w:rPr>
          <w:lang w:val="fr-CH"/>
        </w:rPr>
      </w:pPr>
      <w:r>
        <w:rPr>
          <w:lang w:val="fr-CH"/>
        </w:rPr>
        <w:t>2.2</w:t>
      </w:r>
      <w:r>
        <w:rPr>
          <w:lang w:val="fr-CH"/>
        </w:rPr>
        <w:tab/>
        <w:t>Application</w:t>
      </w:r>
    </w:p>
    <w:p w:rsidR="002B489A" w:rsidRDefault="004F19C4">
      <w:pPr>
        <w:spacing w:before="60"/>
        <w:rPr>
          <w:lang w:val="fr-CH"/>
        </w:rPr>
      </w:pPr>
      <w:r>
        <w:rPr>
          <w:lang w:val="fr-CH"/>
        </w:rPr>
        <w:t>Conformément au numéro 5.547 du RR, la bande 51,4</w:t>
      </w:r>
      <w:r>
        <w:rPr>
          <w:lang w:val="fr-CH"/>
        </w:rPr>
        <w:noBreakHyphen/>
        <w:t>52,6 GHz est disponible pour des applications à haut débit dans le service fixe.</w:t>
      </w:r>
    </w:p>
    <w:p w:rsidR="002B489A" w:rsidRDefault="004F19C4">
      <w:pPr>
        <w:spacing w:before="60"/>
        <w:rPr>
          <w:lang w:val="fr-CH"/>
        </w:rPr>
      </w:pPr>
      <w:r>
        <w:rPr>
          <w:lang w:val="fr-CH"/>
        </w:rPr>
        <w:t>Cette bande peut être utilisée à la fois pour des systèmes du service fixe point à point et des systèmes du service fixe P-MP.</w:t>
      </w:r>
    </w:p>
    <w:p w:rsidR="002B489A" w:rsidRDefault="004F19C4">
      <w:pPr>
        <w:pStyle w:val="Heading2"/>
        <w:rPr>
          <w:lang w:val="fr-CH"/>
        </w:rPr>
      </w:pPr>
      <w:r>
        <w:rPr>
          <w:lang w:val="fr-CH"/>
        </w:rPr>
        <w:t>2.3</w:t>
      </w:r>
      <w:r>
        <w:rPr>
          <w:lang w:val="fr-CH"/>
        </w:rPr>
        <w:tab/>
        <w:t>Niveaux fondés sur des documents existants de l'UIT</w:t>
      </w:r>
    </w:p>
    <w:p w:rsidR="002B489A" w:rsidRDefault="004F19C4">
      <w:pPr>
        <w:rPr>
          <w:lang w:val="fr-CH"/>
        </w:rPr>
      </w:pPr>
      <w:r>
        <w:rPr>
          <w:lang w:val="fr-CH"/>
        </w:rPr>
        <w:t>Les Recommandations suivantes de l'UIT-R donnent des informations sur les rayonnements non désirés des systèmes du service fixe:</w:t>
      </w:r>
    </w:p>
    <w:p w:rsidR="002B489A" w:rsidRDefault="004F19C4">
      <w:pPr>
        <w:pStyle w:val="enumlev1"/>
        <w:ind w:left="3600" w:hanging="3600"/>
        <w:rPr>
          <w:lang w:val="fr-CH"/>
        </w:rPr>
      </w:pPr>
      <w:r>
        <w:rPr>
          <w:lang w:val="fr-CH"/>
        </w:rPr>
        <w:t>Recommandation UIT-R F.1191 –</w:t>
      </w:r>
      <w:r>
        <w:rPr>
          <w:lang w:val="fr-CH"/>
        </w:rPr>
        <w:tab/>
        <w:t>Largeurs de bande et rayonnements non désirés des systèmes numériques du service fixe.</w:t>
      </w:r>
    </w:p>
    <w:p w:rsidR="002B489A" w:rsidRDefault="004F19C4">
      <w:pPr>
        <w:pStyle w:val="enumlev1"/>
        <w:ind w:left="3600" w:hanging="3600"/>
        <w:rPr>
          <w:lang w:val="fr-CH"/>
        </w:rPr>
      </w:pPr>
      <w:r>
        <w:rPr>
          <w:lang w:val="fr-CH"/>
        </w:rPr>
        <w:t>Recommandation UIT-R SM.329 –</w:t>
      </w:r>
      <w:r>
        <w:rPr>
          <w:lang w:val="fr-CH"/>
        </w:rPr>
        <w:tab/>
        <w:t>Rayonnements non désirés tombant dans le domaine des rayonnements non essentiels.</w:t>
      </w:r>
    </w:p>
    <w:p w:rsidR="002B489A" w:rsidRDefault="004F19C4">
      <w:pPr>
        <w:pStyle w:val="enumlev1"/>
        <w:ind w:left="3600" w:hanging="3600"/>
        <w:rPr>
          <w:lang w:val="fr-CH"/>
        </w:rPr>
      </w:pPr>
      <w:r>
        <w:rPr>
          <w:lang w:val="fr-CH"/>
        </w:rPr>
        <w:t>Recommandation UIT-R SM.1541 –</w:t>
      </w:r>
      <w:r>
        <w:rPr>
          <w:lang w:val="fr-CH"/>
        </w:rPr>
        <w:tab/>
        <w:t>Rayonnements non désirés dans le domaine des émissions hors bande.</w:t>
      </w:r>
    </w:p>
    <w:p w:rsidR="002B489A" w:rsidRDefault="004F19C4">
      <w:pPr>
        <w:pStyle w:val="Heading2"/>
        <w:rPr>
          <w:lang w:val="fr-CH"/>
        </w:rPr>
      </w:pPr>
      <w:r>
        <w:rPr>
          <w:lang w:val="fr-CH"/>
        </w:rPr>
        <w:t>2.4</w:t>
      </w:r>
      <w:r>
        <w:rPr>
          <w:lang w:val="fr-CH"/>
        </w:rPr>
        <w:tab/>
        <w:t>Caractéristiques de l'émetteur</w:t>
      </w:r>
    </w:p>
    <w:p w:rsidR="002B489A" w:rsidRDefault="004F19C4">
      <w:pPr>
        <w:rPr>
          <w:lang w:val="fr-CH"/>
        </w:rPr>
      </w:pPr>
      <w:r>
        <w:rPr>
          <w:lang w:val="fr-CH"/>
        </w:rPr>
        <w:t>On a utilisé les caractéristiques suivantes, qui sont contenues dans les Tableaux 124 et 125.</w:t>
      </w:r>
    </w:p>
    <w:p w:rsidR="002B489A" w:rsidRDefault="004F19C4">
      <w:pPr>
        <w:pStyle w:val="TableNo"/>
        <w:rPr>
          <w:lang w:val="fr-CH"/>
        </w:rPr>
      </w:pPr>
      <w:r>
        <w:rPr>
          <w:lang w:val="fr-CH"/>
        </w:rPr>
        <w:t>TABLEAU  124</w:t>
      </w:r>
    </w:p>
    <w:p w:rsidR="002B489A" w:rsidRDefault="004F19C4">
      <w:pPr>
        <w:pStyle w:val="Tabletitle"/>
        <w:rPr>
          <w:lang w:val="fr-CH"/>
        </w:rPr>
      </w:pPr>
      <w:r>
        <w:rPr>
          <w:lang w:val="fr-CH"/>
        </w:rPr>
        <w:t xml:space="preserve">Caractéristiques des systèmes point à point </w:t>
      </w:r>
      <w:r>
        <w:rPr>
          <w:lang w:val="fr-CH"/>
        </w:rPr>
        <w:br/>
        <w:t>(Recommandation UIT-R F.758)</w:t>
      </w:r>
    </w:p>
    <w:tbl>
      <w:tblPr>
        <w:tblW w:w="963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191"/>
        <w:gridCol w:w="2224"/>
        <w:gridCol w:w="2224"/>
      </w:tblGrid>
      <w:tr w:rsidR="002B489A">
        <w:trPr>
          <w:cantSplit/>
        </w:trPr>
        <w:tc>
          <w:tcPr>
            <w:tcW w:w="5191" w:type="dxa"/>
          </w:tcPr>
          <w:p w:rsidR="002B489A" w:rsidRDefault="004F19C4">
            <w:pPr>
              <w:pStyle w:val="Tabletext"/>
              <w:framePr w:hSpace="181" w:wrap="notBeside" w:vAnchor="text" w:hAnchor="text" w:xAlign="center" w:y="1"/>
              <w:jc w:val="left"/>
              <w:rPr>
                <w:lang w:val="fr-CH"/>
              </w:rPr>
            </w:pPr>
            <w:r>
              <w:rPr>
                <w:lang w:val="fr-CH"/>
              </w:rPr>
              <w:t>Espacement entre canaux (MHz)</w:t>
            </w:r>
          </w:p>
        </w:tc>
        <w:tc>
          <w:tcPr>
            <w:tcW w:w="2224" w:type="dxa"/>
          </w:tcPr>
          <w:p w:rsidR="002B489A" w:rsidRDefault="004F19C4">
            <w:pPr>
              <w:pStyle w:val="Tabletext"/>
              <w:framePr w:hSpace="181" w:wrap="notBeside" w:vAnchor="text" w:hAnchor="text" w:xAlign="center" w:y="1"/>
              <w:jc w:val="center"/>
              <w:rPr>
                <w:lang w:val="es-ES"/>
              </w:rPr>
            </w:pPr>
            <w:r>
              <w:rPr>
                <w:lang w:val="es-ES"/>
              </w:rPr>
              <w:t>56</w:t>
            </w:r>
          </w:p>
        </w:tc>
        <w:tc>
          <w:tcPr>
            <w:tcW w:w="2224" w:type="dxa"/>
          </w:tcPr>
          <w:p w:rsidR="002B489A" w:rsidRDefault="004F19C4">
            <w:pPr>
              <w:pStyle w:val="Tabletext"/>
              <w:framePr w:hSpace="181" w:wrap="notBeside" w:vAnchor="text" w:hAnchor="text" w:xAlign="center" w:y="1"/>
              <w:jc w:val="center"/>
              <w:rPr>
                <w:lang w:val="es-ES"/>
              </w:rPr>
            </w:pPr>
            <w:r>
              <w:rPr>
                <w:lang w:val="es-ES"/>
              </w:rPr>
              <w:t>3,5</w:t>
            </w:r>
          </w:p>
        </w:tc>
      </w:tr>
      <w:tr w:rsidR="002B489A">
        <w:trPr>
          <w:cantSplit/>
        </w:trPr>
        <w:tc>
          <w:tcPr>
            <w:tcW w:w="5191" w:type="dxa"/>
          </w:tcPr>
          <w:p w:rsidR="002B489A" w:rsidRDefault="004F19C4">
            <w:pPr>
              <w:pStyle w:val="Tabletext"/>
              <w:framePr w:hSpace="181" w:wrap="notBeside" w:vAnchor="text" w:hAnchor="text" w:xAlign="center" w:y="1"/>
              <w:jc w:val="left"/>
              <w:rPr>
                <w:lang w:val="fr-CH"/>
              </w:rPr>
            </w:pPr>
            <w:r>
              <w:rPr>
                <w:lang w:val="fr-CH"/>
              </w:rPr>
              <w:t>Gain d'antenne (maximum) (dBi)</w:t>
            </w:r>
          </w:p>
        </w:tc>
        <w:tc>
          <w:tcPr>
            <w:tcW w:w="2224" w:type="dxa"/>
          </w:tcPr>
          <w:p w:rsidR="002B489A" w:rsidRDefault="004F19C4">
            <w:pPr>
              <w:pStyle w:val="Tabletext"/>
              <w:framePr w:hSpace="181" w:wrap="notBeside" w:vAnchor="text" w:hAnchor="text" w:xAlign="center" w:y="1"/>
              <w:jc w:val="center"/>
              <w:rPr>
                <w:lang w:val="es-ES"/>
              </w:rPr>
            </w:pPr>
            <w:r>
              <w:rPr>
                <w:lang w:val="es-ES"/>
              </w:rPr>
              <w:t>50</w:t>
            </w:r>
          </w:p>
        </w:tc>
        <w:tc>
          <w:tcPr>
            <w:tcW w:w="2224" w:type="dxa"/>
          </w:tcPr>
          <w:p w:rsidR="002B489A" w:rsidRDefault="004F19C4">
            <w:pPr>
              <w:pStyle w:val="Tabletext"/>
              <w:framePr w:hSpace="181" w:wrap="notBeside" w:vAnchor="text" w:hAnchor="text" w:xAlign="center" w:y="1"/>
              <w:jc w:val="center"/>
              <w:rPr>
                <w:lang w:val="es-ES"/>
              </w:rPr>
            </w:pPr>
            <w:r>
              <w:rPr>
                <w:lang w:val="es-ES"/>
              </w:rPr>
              <w:t>50</w:t>
            </w:r>
          </w:p>
        </w:tc>
      </w:tr>
      <w:tr w:rsidR="002B489A">
        <w:trPr>
          <w:cantSplit/>
        </w:trPr>
        <w:tc>
          <w:tcPr>
            <w:tcW w:w="5191" w:type="dxa"/>
          </w:tcPr>
          <w:p w:rsidR="002B489A" w:rsidRDefault="004F19C4">
            <w:pPr>
              <w:pStyle w:val="Tabletext"/>
              <w:framePr w:hSpace="181" w:wrap="notBeside" w:vAnchor="text" w:hAnchor="text" w:xAlign="center" w:y="1"/>
              <w:jc w:val="left"/>
              <w:rPr>
                <w:lang w:val="fr-CH"/>
              </w:rPr>
            </w:pPr>
            <w:r>
              <w:rPr>
                <w:lang w:val="fr-CH"/>
              </w:rPr>
              <w:t>Affaiblissement alimentation/multiplexeur (minimum) (dB)</w:t>
            </w:r>
          </w:p>
        </w:tc>
        <w:tc>
          <w:tcPr>
            <w:tcW w:w="2224" w:type="dxa"/>
          </w:tcPr>
          <w:p w:rsidR="002B489A" w:rsidRDefault="004F19C4">
            <w:pPr>
              <w:pStyle w:val="Tabletext"/>
              <w:framePr w:hSpace="181" w:wrap="notBeside" w:vAnchor="text" w:hAnchor="text" w:xAlign="center" w:y="1"/>
              <w:jc w:val="center"/>
              <w:rPr>
                <w:lang w:val="es-ES"/>
              </w:rPr>
            </w:pPr>
            <w:r>
              <w:rPr>
                <w:lang w:val="es-ES"/>
              </w:rPr>
              <w:t>0</w:t>
            </w:r>
          </w:p>
        </w:tc>
        <w:tc>
          <w:tcPr>
            <w:tcW w:w="2224" w:type="dxa"/>
          </w:tcPr>
          <w:p w:rsidR="002B489A" w:rsidRDefault="004F19C4">
            <w:pPr>
              <w:pStyle w:val="Tabletext"/>
              <w:framePr w:hSpace="181" w:wrap="notBeside" w:vAnchor="text" w:hAnchor="text" w:xAlign="center" w:y="1"/>
              <w:jc w:val="center"/>
              <w:rPr>
                <w:lang w:val="es-ES"/>
              </w:rPr>
            </w:pPr>
            <w:r>
              <w:rPr>
                <w:lang w:val="es-ES"/>
              </w:rPr>
              <w:t>0</w:t>
            </w:r>
          </w:p>
        </w:tc>
      </w:tr>
      <w:tr w:rsidR="002B489A">
        <w:trPr>
          <w:cantSplit/>
        </w:trPr>
        <w:tc>
          <w:tcPr>
            <w:tcW w:w="5191" w:type="dxa"/>
          </w:tcPr>
          <w:p w:rsidR="002B489A" w:rsidRDefault="004F19C4">
            <w:pPr>
              <w:pStyle w:val="Tabletext"/>
              <w:framePr w:hSpace="181" w:wrap="notBeside" w:vAnchor="text" w:hAnchor="text" w:xAlign="center" w:y="1"/>
              <w:jc w:val="left"/>
              <w:rPr>
                <w:lang w:val="fr-CH"/>
              </w:rPr>
            </w:pPr>
            <w:r>
              <w:rPr>
                <w:lang w:val="fr-CH"/>
              </w:rPr>
              <w:t>Type d'antenne</w:t>
            </w:r>
          </w:p>
        </w:tc>
        <w:tc>
          <w:tcPr>
            <w:tcW w:w="2224" w:type="dxa"/>
          </w:tcPr>
          <w:p w:rsidR="002B489A" w:rsidRDefault="004F19C4">
            <w:pPr>
              <w:pStyle w:val="Tabletext"/>
              <w:framePr w:hSpace="181" w:wrap="notBeside" w:vAnchor="text" w:hAnchor="text" w:xAlign="center" w:y="1"/>
              <w:jc w:val="center"/>
              <w:rPr>
                <w:lang w:val="fr-CH"/>
              </w:rPr>
            </w:pPr>
            <w:r>
              <w:rPr>
                <w:lang w:val="fr-CH"/>
              </w:rPr>
              <w:t>Parabole/cornet</w:t>
            </w:r>
          </w:p>
        </w:tc>
        <w:tc>
          <w:tcPr>
            <w:tcW w:w="2224" w:type="dxa"/>
          </w:tcPr>
          <w:p w:rsidR="002B489A" w:rsidRDefault="004F19C4">
            <w:pPr>
              <w:pStyle w:val="Tabletext"/>
              <w:framePr w:hSpace="181" w:wrap="notBeside" w:vAnchor="text" w:hAnchor="text" w:xAlign="center" w:y="1"/>
              <w:jc w:val="center"/>
              <w:rPr>
                <w:lang w:val="es-ES"/>
              </w:rPr>
            </w:pPr>
            <w:r>
              <w:rPr>
                <w:lang w:val="fr-CH"/>
              </w:rPr>
              <w:t>Parabole/cornet</w:t>
            </w:r>
          </w:p>
        </w:tc>
      </w:tr>
      <w:tr w:rsidR="002B489A">
        <w:trPr>
          <w:cantSplit/>
        </w:trPr>
        <w:tc>
          <w:tcPr>
            <w:tcW w:w="5191" w:type="dxa"/>
          </w:tcPr>
          <w:p w:rsidR="002B489A" w:rsidRDefault="004F19C4">
            <w:pPr>
              <w:pStyle w:val="Tabletext"/>
              <w:framePr w:hSpace="181" w:wrap="notBeside" w:vAnchor="text" w:hAnchor="text" w:xAlign="center" w:y="1"/>
              <w:jc w:val="left"/>
              <w:rPr>
                <w:lang w:val="fr-CH"/>
              </w:rPr>
            </w:pPr>
            <w:r>
              <w:rPr>
                <w:lang w:val="fr-CH"/>
              </w:rPr>
              <w:t>Puissance maximum de sortie d'émetteur (dBW)</w:t>
            </w:r>
          </w:p>
        </w:tc>
        <w:tc>
          <w:tcPr>
            <w:tcW w:w="2224" w:type="dxa"/>
          </w:tcPr>
          <w:p w:rsidR="002B489A" w:rsidRDefault="004F19C4">
            <w:pPr>
              <w:pStyle w:val="Tabletext"/>
              <w:framePr w:hSpace="181" w:wrap="notBeside" w:vAnchor="text" w:hAnchor="text" w:xAlign="center" w:y="1"/>
              <w:jc w:val="center"/>
              <w:rPr>
                <w:lang w:val="es-ES"/>
              </w:rPr>
            </w:pPr>
            <w:r>
              <w:rPr>
                <w:lang w:val="es-ES"/>
              </w:rPr>
              <w:t>–20</w:t>
            </w:r>
          </w:p>
        </w:tc>
        <w:tc>
          <w:tcPr>
            <w:tcW w:w="2224" w:type="dxa"/>
          </w:tcPr>
          <w:p w:rsidR="002B489A" w:rsidRDefault="004F19C4">
            <w:pPr>
              <w:pStyle w:val="Tabletext"/>
              <w:framePr w:hSpace="181" w:wrap="notBeside" w:vAnchor="text" w:hAnchor="text" w:xAlign="center" w:y="1"/>
              <w:jc w:val="center"/>
              <w:rPr>
                <w:lang w:val="es-ES"/>
              </w:rPr>
            </w:pPr>
            <w:r>
              <w:rPr>
                <w:lang w:val="es-ES"/>
              </w:rPr>
              <w:t>–20</w:t>
            </w:r>
          </w:p>
        </w:tc>
      </w:tr>
      <w:tr w:rsidR="002B489A">
        <w:trPr>
          <w:cantSplit/>
        </w:trPr>
        <w:tc>
          <w:tcPr>
            <w:tcW w:w="5191" w:type="dxa"/>
          </w:tcPr>
          <w:p w:rsidR="002B489A" w:rsidRDefault="004F19C4">
            <w:pPr>
              <w:pStyle w:val="Tabletext"/>
              <w:framePr w:hSpace="181" w:wrap="notBeside" w:vAnchor="text" w:hAnchor="text" w:xAlign="center" w:y="1"/>
              <w:jc w:val="left"/>
              <w:rPr>
                <w:lang w:val="fr-CH"/>
              </w:rPr>
            </w:pPr>
            <w:r>
              <w:rPr>
                <w:lang w:val="fr-CH"/>
              </w:rPr>
              <w:t>p.i.r.e. (maximum) (dBW)</w:t>
            </w:r>
          </w:p>
        </w:tc>
        <w:tc>
          <w:tcPr>
            <w:tcW w:w="2224" w:type="dxa"/>
          </w:tcPr>
          <w:p w:rsidR="002B489A" w:rsidRDefault="004F19C4">
            <w:pPr>
              <w:pStyle w:val="Tabletext"/>
              <w:framePr w:hSpace="181" w:wrap="notBeside" w:vAnchor="text" w:hAnchor="text" w:xAlign="center" w:y="1"/>
              <w:jc w:val="center"/>
              <w:rPr>
                <w:lang w:val="fr-CH"/>
              </w:rPr>
            </w:pPr>
            <w:r>
              <w:rPr>
                <w:lang w:val="fr-CH"/>
              </w:rPr>
              <w:t>30</w:t>
            </w:r>
          </w:p>
        </w:tc>
        <w:tc>
          <w:tcPr>
            <w:tcW w:w="2224" w:type="dxa"/>
          </w:tcPr>
          <w:p w:rsidR="002B489A" w:rsidRDefault="004F19C4">
            <w:pPr>
              <w:pStyle w:val="Tabletext"/>
              <w:framePr w:hSpace="181" w:wrap="notBeside" w:vAnchor="text" w:hAnchor="text" w:xAlign="center" w:y="1"/>
              <w:jc w:val="center"/>
              <w:rPr>
                <w:lang w:val="fr-CH"/>
              </w:rPr>
            </w:pPr>
            <w:r>
              <w:rPr>
                <w:lang w:val="fr-CH"/>
              </w:rPr>
              <w:t>30</w:t>
            </w:r>
          </w:p>
        </w:tc>
      </w:tr>
    </w:tbl>
    <w:p w:rsidR="002B489A" w:rsidRDefault="002B489A">
      <w:pPr>
        <w:pStyle w:val="Tablefin"/>
        <w:spacing w:before="0"/>
        <w:rPr>
          <w:sz w:val="2"/>
          <w:lang w:val="fr-CH"/>
        </w:rPr>
      </w:pPr>
    </w:p>
    <w:p w:rsidR="002B489A" w:rsidRDefault="004F19C4">
      <w:pPr>
        <w:pStyle w:val="TableNo"/>
        <w:rPr>
          <w:lang w:val="fr-CH"/>
        </w:rPr>
      </w:pPr>
      <w:r>
        <w:rPr>
          <w:lang w:val="fr-CH"/>
        </w:rPr>
        <w:br w:type="page"/>
        <w:t>TABLEAU  125</w:t>
      </w:r>
    </w:p>
    <w:p w:rsidR="002B489A" w:rsidRDefault="004F19C4">
      <w:pPr>
        <w:pStyle w:val="Tabletitle"/>
        <w:rPr>
          <w:lang w:val="fr-CH"/>
        </w:rPr>
      </w:pPr>
      <w:r>
        <w:rPr>
          <w:lang w:val="fr-CH"/>
        </w:rPr>
        <w:t>Caractéristiques des systèmes P-MP</w:t>
      </w:r>
      <w:r>
        <w:rPr>
          <w:lang w:val="fr-CH"/>
        </w:rPr>
        <w:br/>
        <w:t>(Recommandation UIT-R F.758)</w:t>
      </w:r>
    </w:p>
    <w:tbl>
      <w:tblPr>
        <w:tblW w:w="963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171"/>
        <w:gridCol w:w="1734"/>
        <w:gridCol w:w="1734"/>
      </w:tblGrid>
      <w:tr w:rsidR="002B489A">
        <w:trPr>
          <w:cantSplit/>
        </w:trPr>
        <w:tc>
          <w:tcPr>
            <w:tcW w:w="6171" w:type="dxa"/>
          </w:tcPr>
          <w:p w:rsidR="002B489A" w:rsidRDefault="004F19C4">
            <w:pPr>
              <w:pStyle w:val="Tablehead"/>
              <w:framePr w:hSpace="181" w:wrap="notBeside" w:vAnchor="text" w:hAnchor="text" w:xAlign="center" w:y="1"/>
              <w:jc w:val="left"/>
              <w:rPr>
                <w:b w:val="0"/>
                <w:lang w:val="fr-CH"/>
              </w:rPr>
            </w:pPr>
            <w:r>
              <w:rPr>
                <w:lang w:val="fr-CH"/>
              </w:rPr>
              <w:t>Station type</w:t>
            </w:r>
          </w:p>
        </w:tc>
        <w:tc>
          <w:tcPr>
            <w:tcW w:w="1734" w:type="dxa"/>
          </w:tcPr>
          <w:p w:rsidR="002B489A" w:rsidRDefault="004F19C4">
            <w:pPr>
              <w:pStyle w:val="Tablehead"/>
              <w:framePr w:hSpace="181" w:wrap="notBeside" w:vAnchor="text" w:hAnchor="text" w:xAlign="center" w:y="1"/>
              <w:rPr>
                <w:b w:val="0"/>
                <w:lang w:val="fr-CH"/>
              </w:rPr>
            </w:pPr>
            <w:r>
              <w:rPr>
                <w:lang w:val="fr-CH"/>
              </w:rPr>
              <w:t>Centrale</w:t>
            </w:r>
          </w:p>
        </w:tc>
        <w:tc>
          <w:tcPr>
            <w:tcW w:w="1734" w:type="dxa"/>
          </w:tcPr>
          <w:p w:rsidR="002B489A" w:rsidRDefault="004F19C4">
            <w:pPr>
              <w:pStyle w:val="Tablehead"/>
              <w:framePr w:hSpace="181" w:wrap="notBeside" w:vAnchor="text" w:hAnchor="text" w:xAlign="center" w:y="1"/>
              <w:rPr>
                <w:b w:val="0"/>
                <w:lang w:val="fr-CH"/>
              </w:rPr>
            </w:pPr>
            <w:r>
              <w:rPr>
                <w:lang w:val="fr-CH"/>
              </w:rPr>
              <w:t>Terminale</w:t>
            </w:r>
          </w:p>
        </w:tc>
      </w:tr>
      <w:tr w:rsidR="002B489A">
        <w:trPr>
          <w:cantSplit/>
        </w:trPr>
        <w:tc>
          <w:tcPr>
            <w:tcW w:w="6171" w:type="dxa"/>
          </w:tcPr>
          <w:p w:rsidR="002B489A" w:rsidRDefault="004F19C4">
            <w:pPr>
              <w:pStyle w:val="Tabletext"/>
              <w:framePr w:hSpace="181" w:wrap="notBeside" w:vAnchor="text" w:hAnchor="text" w:xAlign="center" w:y="1"/>
              <w:spacing w:before="20" w:after="20"/>
              <w:jc w:val="left"/>
              <w:rPr>
                <w:lang w:val="fr-CH"/>
              </w:rPr>
            </w:pPr>
            <w:r>
              <w:rPr>
                <w:lang w:val="fr-CH"/>
              </w:rPr>
              <w:t>Espacement entre canaux (MHz)</w:t>
            </w:r>
          </w:p>
        </w:tc>
        <w:tc>
          <w:tcPr>
            <w:tcW w:w="1734" w:type="dxa"/>
          </w:tcPr>
          <w:p w:rsidR="002B489A" w:rsidRDefault="004F19C4">
            <w:pPr>
              <w:pStyle w:val="Tabletext"/>
              <w:framePr w:hSpace="181" w:wrap="notBeside" w:vAnchor="text" w:hAnchor="text" w:xAlign="center" w:y="1"/>
              <w:spacing w:before="20" w:after="20"/>
              <w:jc w:val="center"/>
              <w:rPr>
                <w:lang w:val="es-ES"/>
              </w:rPr>
            </w:pPr>
            <w:r>
              <w:rPr>
                <w:lang w:val="es-ES"/>
              </w:rPr>
              <w:t>28</w:t>
            </w:r>
          </w:p>
        </w:tc>
        <w:tc>
          <w:tcPr>
            <w:tcW w:w="1734" w:type="dxa"/>
          </w:tcPr>
          <w:p w:rsidR="002B489A" w:rsidRDefault="004F19C4">
            <w:pPr>
              <w:pStyle w:val="Tabletext"/>
              <w:framePr w:hSpace="181" w:wrap="notBeside" w:vAnchor="text" w:hAnchor="text" w:xAlign="center" w:y="1"/>
              <w:spacing w:before="20" w:after="20"/>
              <w:jc w:val="center"/>
              <w:rPr>
                <w:lang w:val="es-ES"/>
              </w:rPr>
            </w:pPr>
            <w:r>
              <w:rPr>
                <w:lang w:val="es-ES"/>
              </w:rPr>
              <w:t>28</w:t>
            </w:r>
          </w:p>
        </w:tc>
      </w:tr>
      <w:tr w:rsidR="002B489A">
        <w:trPr>
          <w:cantSplit/>
        </w:trPr>
        <w:tc>
          <w:tcPr>
            <w:tcW w:w="6171" w:type="dxa"/>
          </w:tcPr>
          <w:p w:rsidR="002B489A" w:rsidRDefault="004F19C4">
            <w:pPr>
              <w:pStyle w:val="Tabletext"/>
              <w:framePr w:hSpace="181" w:wrap="notBeside" w:vAnchor="text" w:hAnchor="text" w:xAlign="center" w:y="1"/>
              <w:spacing w:before="20" w:after="20"/>
              <w:jc w:val="left"/>
              <w:rPr>
                <w:lang w:val="fr-CH"/>
              </w:rPr>
            </w:pPr>
            <w:r>
              <w:rPr>
                <w:lang w:val="fr-CH"/>
              </w:rPr>
              <w:t>Gain d'antenne (maximum) (dBi)</w:t>
            </w:r>
          </w:p>
        </w:tc>
        <w:tc>
          <w:tcPr>
            <w:tcW w:w="1734" w:type="dxa"/>
          </w:tcPr>
          <w:p w:rsidR="002B489A" w:rsidRDefault="004F19C4">
            <w:pPr>
              <w:pStyle w:val="Tabletext"/>
              <w:framePr w:hSpace="181" w:wrap="notBeside" w:vAnchor="text" w:hAnchor="text" w:xAlign="center" w:y="1"/>
              <w:spacing w:before="20" w:after="20"/>
              <w:jc w:val="center"/>
              <w:rPr>
                <w:lang w:val="es-ES"/>
              </w:rPr>
            </w:pPr>
            <w:r>
              <w:rPr>
                <w:lang w:val="es-ES"/>
              </w:rPr>
              <w:t>14</w:t>
            </w:r>
          </w:p>
        </w:tc>
        <w:tc>
          <w:tcPr>
            <w:tcW w:w="1734" w:type="dxa"/>
          </w:tcPr>
          <w:p w:rsidR="002B489A" w:rsidRDefault="004F19C4">
            <w:pPr>
              <w:pStyle w:val="Tabletext"/>
              <w:framePr w:hSpace="181" w:wrap="notBeside" w:vAnchor="text" w:hAnchor="text" w:xAlign="center" w:y="1"/>
              <w:spacing w:before="20" w:after="20"/>
              <w:jc w:val="center"/>
              <w:rPr>
                <w:lang w:val="fr-CH"/>
              </w:rPr>
            </w:pPr>
            <w:r>
              <w:rPr>
                <w:lang w:val="fr-CH"/>
              </w:rPr>
              <w:t>Parabole 41 Planaire 28</w:t>
            </w:r>
          </w:p>
        </w:tc>
      </w:tr>
      <w:tr w:rsidR="002B489A">
        <w:trPr>
          <w:cantSplit/>
        </w:trPr>
        <w:tc>
          <w:tcPr>
            <w:tcW w:w="6171" w:type="dxa"/>
          </w:tcPr>
          <w:p w:rsidR="002B489A" w:rsidRDefault="004F19C4">
            <w:pPr>
              <w:pStyle w:val="Tabletext"/>
              <w:framePr w:hSpace="181" w:wrap="notBeside" w:vAnchor="text" w:hAnchor="text" w:xAlign="center" w:y="1"/>
              <w:spacing w:before="20" w:after="20"/>
              <w:jc w:val="left"/>
              <w:rPr>
                <w:lang w:val="fr-CH"/>
              </w:rPr>
            </w:pPr>
            <w:r>
              <w:rPr>
                <w:lang w:val="fr-CH"/>
              </w:rPr>
              <w:t>Affaiblissement alimentation/multiplexeur (minimum) (dB)</w:t>
            </w:r>
          </w:p>
        </w:tc>
        <w:tc>
          <w:tcPr>
            <w:tcW w:w="1734" w:type="dxa"/>
          </w:tcPr>
          <w:p w:rsidR="002B489A" w:rsidRDefault="004F19C4">
            <w:pPr>
              <w:pStyle w:val="Tabletext"/>
              <w:framePr w:hSpace="181" w:wrap="notBeside" w:vAnchor="text" w:hAnchor="text" w:xAlign="center" w:y="1"/>
              <w:spacing w:before="20" w:after="20"/>
              <w:jc w:val="center"/>
              <w:rPr>
                <w:lang w:val="es-ES"/>
              </w:rPr>
            </w:pPr>
            <w:r>
              <w:rPr>
                <w:lang w:val="es-ES"/>
              </w:rPr>
              <w:t>0</w:t>
            </w:r>
          </w:p>
        </w:tc>
        <w:tc>
          <w:tcPr>
            <w:tcW w:w="1734" w:type="dxa"/>
          </w:tcPr>
          <w:p w:rsidR="002B489A" w:rsidRDefault="004F19C4">
            <w:pPr>
              <w:pStyle w:val="Tabletext"/>
              <w:framePr w:hSpace="181" w:wrap="notBeside" w:vAnchor="text" w:hAnchor="text" w:xAlign="center" w:y="1"/>
              <w:spacing w:before="20" w:after="20"/>
              <w:jc w:val="center"/>
              <w:rPr>
                <w:lang w:val="es-ES"/>
              </w:rPr>
            </w:pPr>
            <w:r>
              <w:rPr>
                <w:lang w:val="es-ES"/>
              </w:rPr>
              <w:t>0</w:t>
            </w:r>
          </w:p>
        </w:tc>
      </w:tr>
      <w:tr w:rsidR="002B489A">
        <w:trPr>
          <w:cantSplit/>
        </w:trPr>
        <w:tc>
          <w:tcPr>
            <w:tcW w:w="6171" w:type="dxa"/>
          </w:tcPr>
          <w:p w:rsidR="002B489A" w:rsidRDefault="004F19C4">
            <w:pPr>
              <w:pStyle w:val="Tabletext"/>
              <w:framePr w:hSpace="181" w:wrap="notBeside" w:vAnchor="text" w:hAnchor="text" w:xAlign="center" w:y="1"/>
              <w:spacing w:before="20" w:after="20"/>
              <w:jc w:val="left"/>
              <w:rPr>
                <w:lang w:val="fr-CH"/>
              </w:rPr>
            </w:pPr>
            <w:r>
              <w:rPr>
                <w:lang w:val="fr-CH"/>
              </w:rPr>
              <w:t>Azimut/élévation de ouverture de faisceau d'antenne (3 dB) (degrés)</w:t>
            </w:r>
          </w:p>
        </w:tc>
        <w:tc>
          <w:tcPr>
            <w:tcW w:w="1734" w:type="dxa"/>
          </w:tcPr>
          <w:p w:rsidR="002B489A" w:rsidRDefault="004F19C4">
            <w:pPr>
              <w:pStyle w:val="Tabletext"/>
              <w:framePr w:hSpace="181" w:wrap="notBeside" w:vAnchor="text" w:hAnchor="text" w:xAlign="center" w:y="1"/>
              <w:spacing w:before="20" w:after="20"/>
              <w:jc w:val="center"/>
              <w:rPr>
                <w:lang w:val="es-ES"/>
              </w:rPr>
            </w:pPr>
            <w:r>
              <w:rPr>
                <w:rFonts w:ascii="Symbol" w:hAnsi="Symbol"/>
                <w:lang w:val="es-ES"/>
              </w:rPr>
              <w:t></w:t>
            </w:r>
            <w:r>
              <w:rPr>
                <w:lang w:val="es-ES"/>
              </w:rPr>
              <w:t>15</w:t>
            </w:r>
          </w:p>
        </w:tc>
        <w:tc>
          <w:tcPr>
            <w:tcW w:w="1734" w:type="dxa"/>
          </w:tcPr>
          <w:p w:rsidR="002B489A" w:rsidRDefault="004F19C4">
            <w:pPr>
              <w:pStyle w:val="Tabletext"/>
              <w:framePr w:hSpace="181" w:wrap="notBeside" w:vAnchor="text" w:hAnchor="text" w:xAlign="center" w:y="1"/>
              <w:spacing w:before="20" w:after="20"/>
              <w:jc w:val="center"/>
              <w:rPr>
                <w:lang w:val="es-ES"/>
              </w:rPr>
            </w:pPr>
            <w:r>
              <w:rPr>
                <w:lang w:val="es-ES"/>
              </w:rPr>
              <w:t xml:space="preserve">1,2 </w:t>
            </w:r>
            <w:r>
              <w:rPr>
                <w:rFonts w:ascii="Symbol" w:hAnsi="Symbol"/>
                <w:lang w:val="fr-CH"/>
              </w:rPr>
              <w:t></w:t>
            </w:r>
            <w:r>
              <w:rPr>
                <w:lang w:val="es-ES"/>
              </w:rPr>
              <w:t xml:space="preserve"> 1,2</w:t>
            </w:r>
          </w:p>
        </w:tc>
      </w:tr>
      <w:tr w:rsidR="002B489A">
        <w:trPr>
          <w:cantSplit/>
        </w:trPr>
        <w:tc>
          <w:tcPr>
            <w:tcW w:w="6171" w:type="dxa"/>
          </w:tcPr>
          <w:p w:rsidR="002B489A" w:rsidRDefault="004F19C4">
            <w:pPr>
              <w:pStyle w:val="Tabletext"/>
              <w:framePr w:hSpace="181" w:wrap="notBeside" w:vAnchor="text" w:hAnchor="text" w:xAlign="center" w:y="1"/>
              <w:spacing w:before="20" w:after="20"/>
              <w:jc w:val="left"/>
              <w:rPr>
                <w:lang w:val="fr-CH"/>
              </w:rPr>
            </w:pPr>
            <w:r>
              <w:rPr>
                <w:lang w:val="fr-CH"/>
              </w:rPr>
              <w:t>Puissance maximum de sortie d'émetteur (dBW)</w:t>
            </w:r>
          </w:p>
        </w:tc>
        <w:tc>
          <w:tcPr>
            <w:tcW w:w="1734" w:type="dxa"/>
          </w:tcPr>
          <w:p w:rsidR="002B489A" w:rsidRDefault="004F19C4">
            <w:pPr>
              <w:pStyle w:val="Tabletext"/>
              <w:framePr w:hSpace="181" w:wrap="notBeside" w:vAnchor="text" w:hAnchor="text" w:xAlign="center" w:y="1"/>
              <w:spacing w:before="20" w:after="20"/>
              <w:jc w:val="center"/>
              <w:rPr>
                <w:lang w:val="es-ES"/>
              </w:rPr>
            </w:pPr>
            <w:r>
              <w:rPr>
                <w:lang w:val="es-ES"/>
              </w:rPr>
              <w:t>–10</w:t>
            </w:r>
          </w:p>
        </w:tc>
        <w:tc>
          <w:tcPr>
            <w:tcW w:w="1734" w:type="dxa"/>
          </w:tcPr>
          <w:p w:rsidR="002B489A" w:rsidRDefault="004F19C4">
            <w:pPr>
              <w:pStyle w:val="Tabletext"/>
              <w:framePr w:hSpace="181" w:wrap="notBeside" w:vAnchor="text" w:hAnchor="text" w:xAlign="center" w:y="1"/>
              <w:spacing w:before="20" w:after="20"/>
              <w:jc w:val="center"/>
              <w:rPr>
                <w:lang w:val="es-ES"/>
              </w:rPr>
            </w:pPr>
            <w:r>
              <w:rPr>
                <w:lang w:val="es-ES"/>
              </w:rPr>
              <w:t>–15</w:t>
            </w:r>
          </w:p>
        </w:tc>
      </w:tr>
      <w:tr w:rsidR="002B489A">
        <w:trPr>
          <w:cantSplit/>
        </w:trPr>
        <w:tc>
          <w:tcPr>
            <w:tcW w:w="6171" w:type="dxa"/>
            <w:tcBorders>
              <w:bottom w:val="single" w:sz="4" w:space="0" w:color="auto"/>
            </w:tcBorders>
          </w:tcPr>
          <w:p w:rsidR="002B489A" w:rsidRDefault="004F19C4">
            <w:pPr>
              <w:pStyle w:val="Tabletext"/>
              <w:framePr w:hSpace="181" w:wrap="notBeside" w:vAnchor="text" w:hAnchor="text" w:xAlign="center" w:y="1"/>
              <w:spacing w:before="20" w:after="20"/>
              <w:jc w:val="left"/>
              <w:rPr>
                <w:lang w:val="es-ES"/>
              </w:rPr>
            </w:pPr>
            <w:r>
              <w:rPr>
                <w:lang w:val="fr-CH"/>
              </w:rPr>
              <w:t>p.i.r.e. (maximum) (dBW)</w:t>
            </w:r>
          </w:p>
        </w:tc>
        <w:tc>
          <w:tcPr>
            <w:tcW w:w="1734" w:type="dxa"/>
            <w:tcBorders>
              <w:bottom w:val="single" w:sz="4" w:space="0" w:color="auto"/>
            </w:tcBorders>
          </w:tcPr>
          <w:p w:rsidR="002B489A" w:rsidRDefault="004F19C4">
            <w:pPr>
              <w:pStyle w:val="Tabletext"/>
              <w:framePr w:hSpace="181" w:wrap="notBeside" w:vAnchor="text" w:hAnchor="text" w:xAlign="center" w:y="1"/>
              <w:spacing w:before="20" w:after="20"/>
              <w:jc w:val="center"/>
              <w:rPr>
                <w:lang w:val="fr-CH"/>
              </w:rPr>
            </w:pPr>
            <w:r>
              <w:rPr>
                <w:lang w:val="fr-CH"/>
              </w:rPr>
              <w:t>4</w:t>
            </w:r>
          </w:p>
        </w:tc>
        <w:tc>
          <w:tcPr>
            <w:tcW w:w="1734" w:type="dxa"/>
            <w:tcBorders>
              <w:bottom w:val="single" w:sz="4" w:space="0" w:color="auto"/>
            </w:tcBorders>
          </w:tcPr>
          <w:p w:rsidR="002B489A" w:rsidRDefault="004F19C4">
            <w:pPr>
              <w:pStyle w:val="Tabletext"/>
              <w:framePr w:hSpace="181" w:wrap="notBeside" w:vAnchor="text" w:hAnchor="text" w:xAlign="center" w:y="1"/>
              <w:spacing w:before="20" w:after="20"/>
              <w:jc w:val="center"/>
              <w:rPr>
                <w:lang w:val="fr-CH"/>
              </w:rPr>
            </w:pPr>
            <w:r>
              <w:rPr>
                <w:lang w:val="fr-CH"/>
              </w:rPr>
              <w:t>26/13</w:t>
            </w:r>
          </w:p>
        </w:tc>
      </w:tr>
    </w:tbl>
    <w:p w:rsidR="002B489A" w:rsidRDefault="002B489A">
      <w:pPr>
        <w:pStyle w:val="Tablefin"/>
        <w:spacing w:before="0"/>
        <w:rPr>
          <w:sz w:val="2"/>
          <w:lang w:val="fr-CH"/>
        </w:rPr>
      </w:pPr>
    </w:p>
    <w:p w:rsidR="002B489A" w:rsidRDefault="004F19C4">
      <w:pPr>
        <w:pStyle w:val="Heading2"/>
        <w:rPr>
          <w:lang w:val="fr-CH"/>
        </w:rPr>
      </w:pPr>
      <w:r>
        <w:rPr>
          <w:lang w:val="fr-CH"/>
        </w:rPr>
        <w:t>2.5</w:t>
      </w:r>
      <w:r>
        <w:rPr>
          <w:lang w:val="fr-CH"/>
        </w:rPr>
        <w:tab/>
        <w:t>Caractéristiques de fonctionnement</w:t>
      </w:r>
    </w:p>
    <w:p w:rsidR="002B489A" w:rsidRDefault="004F19C4">
      <w:pPr>
        <w:rPr>
          <w:lang w:val="fr-CH"/>
        </w:rPr>
      </w:pPr>
      <w:r>
        <w:rPr>
          <w:lang w:val="fr-CH"/>
        </w:rPr>
        <w:t>La Recommandation UIT-R F.1496 donne des dispositions de canaux pour les systèmes utilisant 3,5 MHz, 7 MHz, 14 MHz, 28 MHz et 56 MHz d'espacement entre canaux, à déployer dans cette bande.</w:t>
      </w:r>
    </w:p>
    <w:p w:rsidR="002B489A" w:rsidRDefault="004F19C4">
      <w:pPr>
        <w:pStyle w:val="Heading3"/>
        <w:rPr>
          <w:lang w:val="fr-CH"/>
        </w:rPr>
      </w:pPr>
      <w:r>
        <w:rPr>
          <w:lang w:val="fr-CH"/>
        </w:rPr>
        <w:t>2.5.1</w:t>
      </w:r>
      <w:r>
        <w:rPr>
          <w:lang w:val="fr-CH"/>
        </w:rPr>
        <w:tab/>
        <w:t>Caractéristiques de fonctionnement P-P</w:t>
      </w:r>
    </w:p>
    <w:p w:rsidR="002B489A" w:rsidRDefault="004F19C4">
      <w:pPr>
        <w:rPr>
          <w:lang w:val="fr-CH"/>
        </w:rPr>
      </w:pPr>
      <w:r>
        <w:rPr>
          <w:lang w:val="fr-CH"/>
        </w:rPr>
        <w:t>On se propose d'utiliser en première étape une densité de terminaux d'un par km</w:t>
      </w:r>
      <w:r>
        <w:rPr>
          <w:vertAlign w:val="superscript"/>
          <w:lang w:val="fr-CH"/>
        </w:rPr>
        <w:t>2</w:t>
      </w:r>
      <w:r>
        <w:rPr>
          <w:rStyle w:val="FootnoteReference"/>
          <w:position w:val="0"/>
          <w:sz w:val="24"/>
          <w:vertAlign w:val="superscript"/>
          <w:lang w:val="fr-CH"/>
        </w:rPr>
        <w:footnoteReference w:customMarkFollows="1" w:id="8"/>
        <w:t>*</w:t>
      </w:r>
      <w:r>
        <w:rPr>
          <w:lang w:val="fr-CH"/>
        </w:rPr>
        <w:t>.</w:t>
      </w:r>
    </w:p>
    <w:p w:rsidR="002B489A" w:rsidRDefault="004F19C4">
      <w:pPr>
        <w:pStyle w:val="Heading3"/>
        <w:rPr>
          <w:lang w:val="fr-CH"/>
        </w:rPr>
      </w:pPr>
      <w:r>
        <w:rPr>
          <w:lang w:val="fr-CH"/>
        </w:rPr>
        <w:t>2.5.2</w:t>
      </w:r>
      <w:r>
        <w:rPr>
          <w:lang w:val="fr-CH"/>
        </w:rPr>
        <w:tab/>
        <w:t>Caractéristiques de fonctionnement P-MP</w:t>
      </w:r>
    </w:p>
    <w:p w:rsidR="002B489A" w:rsidRDefault="004F19C4">
      <w:pPr>
        <w:rPr>
          <w:lang w:val="fr-CH"/>
        </w:rPr>
      </w:pPr>
      <w:r>
        <w:rPr>
          <w:lang w:val="fr-CH"/>
        </w:rPr>
        <w:t>On se propose d'utiliser en première étape une densité de terminaux de 0,3 par km</w:t>
      </w:r>
      <w:r>
        <w:rPr>
          <w:vertAlign w:val="superscript"/>
          <w:lang w:val="fr-CH"/>
        </w:rPr>
        <w:t>2</w:t>
      </w:r>
      <w:r>
        <w:rPr>
          <w:rStyle w:val="FootnoteReference"/>
          <w:position w:val="0"/>
          <w:sz w:val="24"/>
          <w:vertAlign w:val="superscript"/>
        </w:rPr>
        <w:t>*</w:t>
      </w:r>
      <w:r>
        <w:t>.</w:t>
      </w:r>
    </w:p>
    <w:p w:rsidR="002B489A" w:rsidRDefault="004F19C4">
      <w:pPr>
        <w:rPr>
          <w:lang w:val="fr-CH"/>
        </w:rPr>
      </w:pPr>
      <w:r>
        <w:rPr>
          <w:i/>
          <w:lang w:val="fr-CH"/>
        </w:rPr>
        <w:t>Réutilisation de fréquence</w:t>
      </w:r>
      <w:r>
        <w:rPr>
          <w:lang w:val="fr-CH"/>
        </w:rPr>
        <w:t>: Une réutilisation de fréquence de deux est habituelle et est considérée comme un scénario typique. Un facteur de réutilisation de fréquence d'un est à considérer comme une situation de cas le plus défavorable qui survient rarement.</w:t>
      </w:r>
    </w:p>
    <w:p w:rsidR="002B489A" w:rsidRDefault="004F19C4">
      <w:pPr>
        <w:rPr>
          <w:lang w:val="fr-CH"/>
        </w:rPr>
      </w:pPr>
      <w:r>
        <w:rPr>
          <w:i/>
          <w:lang w:val="fr-CH"/>
        </w:rPr>
        <w:t>Antenne sectorielle</w:t>
      </w:r>
      <w:r>
        <w:rPr>
          <w:lang w:val="fr-CH"/>
        </w:rPr>
        <w:t>: La largeur typique d'antenne sectorielle est de 90°. Dans certains cas, des antennes sectorielles de 45° sont prévues lorsque de fortes quantités de capacités de trafic doivent être transportées à partir du site d'une station.</w:t>
      </w:r>
    </w:p>
    <w:p w:rsidR="002B489A" w:rsidRDefault="004F19C4">
      <w:pPr>
        <w:rPr>
          <w:lang w:val="fr-CH"/>
        </w:rPr>
      </w:pPr>
      <w:r>
        <w:rPr>
          <w:lang w:val="fr-CH"/>
        </w:rPr>
        <w:t>Sur la base de ces considérations, un concentrateur d'une cellule P-MP peut typiquement servir deux abonnés sur la même fréquence au sein d'une cellule donnée.</w:t>
      </w:r>
    </w:p>
    <w:p w:rsidR="002B489A" w:rsidRDefault="004F19C4">
      <w:pPr>
        <w:pStyle w:val="Heading2"/>
        <w:ind w:left="0" w:firstLine="0"/>
        <w:rPr>
          <w:lang w:val="fr-CH"/>
        </w:rPr>
      </w:pPr>
      <w:r>
        <w:rPr>
          <w:lang w:val="fr-CH"/>
        </w:rPr>
        <w:t>2.6</w:t>
      </w:r>
      <w:r>
        <w:rPr>
          <w:lang w:val="fr-CH"/>
        </w:rPr>
        <w:tab/>
        <w:t>Puissance d'émission dans la bande</w:t>
      </w:r>
    </w:p>
    <w:p w:rsidR="002B489A" w:rsidRDefault="004F19C4">
      <w:pPr>
        <w:rPr>
          <w:lang w:val="fr-CH"/>
        </w:rPr>
      </w:pPr>
      <w:r>
        <w:rPr>
          <w:lang w:val="fr-CH"/>
        </w:rPr>
        <w:t>Voir le Tableau 124 et le Tableau 125.</w:t>
      </w:r>
    </w:p>
    <w:p w:rsidR="002B489A" w:rsidRDefault="004F19C4">
      <w:pPr>
        <w:pStyle w:val="Heading1"/>
        <w:rPr>
          <w:lang w:val="fr-CH"/>
        </w:rPr>
      </w:pPr>
      <w:r>
        <w:rPr>
          <w:lang w:val="fr-CH"/>
        </w:rPr>
        <w:t>3</w:t>
      </w:r>
      <w:r>
        <w:rPr>
          <w:lang w:val="fr-CH"/>
        </w:rPr>
        <w:tab/>
        <w:t>Seuil de compatibilité</w:t>
      </w:r>
    </w:p>
    <w:p w:rsidR="002B489A" w:rsidRDefault="004F19C4">
      <w:pPr>
        <w:rPr>
          <w:lang w:val="fr-CH"/>
        </w:rPr>
      </w:pPr>
      <w:r>
        <w:rPr>
          <w:lang w:val="fr-CH"/>
        </w:rPr>
        <w:t>Le critère de protection du détecteur passif est de –166 dBW dans une largeur de bande de 100 MHz (à ne pas dépasser pendant plus de 0,01% du temps comme stipulé dans la Recomman</w:t>
      </w:r>
      <w:r>
        <w:rPr>
          <w:lang w:val="fr-CH"/>
        </w:rPr>
        <w:softHyphen/>
        <w:t>dation UIT-R SA.1029). Le § 2.4 présente un ensemble de caractéristiques des systèmes du service fixe à déployer dans cette bande. Sur la base de ces informations, il est possible de calculer la puissance admise, de la part de chaque système du service fixe, à tomber dans la bande SETS.</w:t>
      </w:r>
    </w:p>
    <w:p w:rsidR="002B489A" w:rsidRDefault="002B489A">
      <w:pPr>
        <w:spacing w:before="0"/>
        <w:rPr>
          <w:lang w:val="fr-CH"/>
        </w:rPr>
      </w:pPr>
    </w:p>
    <w:p w:rsidR="002B489A" w:rsidRDefault="004F19C4">
      <w:pPr>
        <w:spacing w:before="60"/>
        <w:rPr>
          <w:lang w:val="fr-CH"/>
        </w:rPr>
      </w:pPr>
      <w:r>
        <w:rPr>
          <w:lang w:val="fr-CH"/>
        </w:rPr>
        <w:br w:type="page"/>
        <w:t>Le brouillage peut être reçu de plusieurs sources provenant simultanément de plusieurs services. La valeur qui figure dans la Recommandation UIT</w:t>
      </w:r>
      <w:r>
        <w:rPr>
          <w:lang w:val="fr-CH"/>
        </w:rPr>
        <w:noBreakHyphen/>
        <w:t>R SA.1029 (pour une bande spécifique) est le niveau maximum de brouillage admissible pour le détecteur passif.</w:t>
      </w:r>
    </w:p>
    <w:p w:rsidR="002B489A" w:rsidRDefault="004F19C4">
      <w:pPr>
        <w:spacing w:before="60"/>
        <w:rPr>
          <w:lang w:val="fr-CH"/>
        </w:rPr>
      </w:pPr>
      <w:r>
        <w:rPr>
          <w:lang w:val="fr-CH"/>
        </w:rPr>
        <w:t>La présente Annexe fait l'analyse du brouillage généré par un seul service actif.</w:t>
      </w:r>
    </w:p>
    <w:p w:rsidR="002B489A" w:rsidRDefault="004F19C4">
      <w:pPr>
        <w:spacing w:before="60"/>
        <w:rPr>
          <w:lang w:val="fr-CH"/>
        </w:rPr>
      </w:pPr>
      <w:r>
        <w:rPr>
          <w:lang w:val="fr-CH"/>
        </w:rPr>
        <w:t>Des travaux complémentaires sont nécessaires pour traiter de l'impact de ces services actifs multiples qui fonctionnent au-dessus et au-dessous de la bande passive.</w:t>
      </w:r>
    </w:p>
    <w:p w:rsidR="002B489A" w:rsidRDefault="004F19C4">
      <w:pPr>
        <w:pStyle w:val="Heading1"/>
        <w:spacing w:before="460"/>
        <w:rPr>
          <w:lang w:val="fr-CH"/>
        </w:rPr>
      </w:pPr>
      <w:r>
        <w:rPr>
          <w:lang w:val="fr-CH"/>
        </w:rPr>
        <w:t>4</w:t>
      </w:r>
      <w:r>
        <w:rPr>
          <w:lang w:val="fr-CH"/>
        </w:rPr>
        <w:tab/>
        <w:t>Evaluation du brouillage</w:t>
      </w:r>
    </w:p>
    <w:p w:rsidR="002B489A" w:rsidRDefault="004F19C4">
      <w:pPr>
        <w:pStyle w:val="Heading2"/>
        <w:spacing w:before="340"/>
        <w:rPr>
          <w:lang w:val="fr-CH"/>
        </w:rPr>
      </w:pPr>
      <w:r>
        <w:rPr>
          <w:lang w:val="fr-CH"/>
        </w:rPr>
        <w:t>4.1</w:t>
      </w:r>
      <w:r>
        <w:rPr>
          <w:lang w:val="fr-CH"/>
        </w:rPr>
        <w:tab/>
        <w:t>Méthode d'évaluation du niveau de brouillage</w:t>
      </w:r>
    </w:p>
    <w:p w:rsidR="002B489A" w:rsidRDefault="004F19C4">
      <w:pPr>
        <w:spacing w:before="60"/>
        <w:rPr>
          <w:lang w:val="fr-CH"/>
        </w:rPr>
      </w:pPr>
      <w:r>
        <w:rPr>
          <w:lang w:val="fr-CH"/>
        </w:rPr>
        <w:t>La première étape de cette approche est de calculer la puissance «acceptable» résultant d'un déploiement de systèmes du service fixe, qui peut tomber dans un pixel SETS.</w:t>
      </w:r>
    </w:p>
    <w:p w:rsidR="002B489A" w:rsidRDefault="004F19C4">
      <w:pPr>
        <w:spacing w:before="60"/>
        <w:jc w:val="center"/>
        <w:rPr>
          <w:lang w:val="fr-CH"/>
        </w:rPr>
      </w:pPr>
      <w:r>
        <w:rPr>
          <w:lang w:val="fr-CH"/>
        </w:rPr>
        <w:t xml:space="preserve">Puissance agrégée à la Terre dans 100 MHz </w:t>
      </w:r>
      <w:r>
        <w:rPr>
          <w:rFonts w:ascii="Symbol" w:hAnsi="Symbol"/>
          <w:lang w:val="fr-CH"/>
        </w:rPr>
        <w:t></w:t>
      </w:r>
      <w:r>
        <w:rPr>
          <w:lang w:val="fr-CH"/>
        </w:rPr>
        <w:t xml:space="preserve"> critères de protection SETS (dB(W/100 MHz)) </w:t>
      </w:r>
      <w:r>
        <w:rPr>
          <w:lang w:val="fr-CH"/>
        </w:rPr>
        <w:br/>
        <w:t xml:space="preserve">– gain SETS </w:t>
      </w:r>
      <w:r>
        <w:rPr>
          <w:rFonts w:ascii="Symbol" w:hAnsi="Symbol"/>
          <w:lang w:val="fr-CH"/>
        </w:rPr>
        <w:t></w:t>
      </w:r>
      <w:r>
        <w:rPr>
          <w:lang w:val="fr-CH"/>
        </w:rPr>
        <w:t xml:space="preserve"> affaiblissement en espace libre.</w:t>
      </w:r>
    </w:p>
    <w:p w:rsidR="002B489A" w:rsidRDefault="004F19C4">
      <w:pPr>
        <w:spacing w:before="60"/>
        <w:rPr>
          <w:lang w:val="fr-CH"/>
        </w:rPr>
      </w:pPr>
      <w:r>
        <w:rPr>
          <w:lang w:val="fr-CH"/>
        </w:rPr>
        <w:t>Il est alors possible de calculer le niveau de rayonnements non désirés par système du service fixe tombant dans la largeur de bande de référence SETS de 100 MHz:</w:t>
      </w:r>
    </w:p>
    <w:p w:rsidR="002B489A" w:rsidRDefault="004F19C4">
      <w:pPr>
        <w:spacing w:before="60"/>
        <w:jc w:val="center"/>
        <w:rPr>
          <w:lang w:val="fr-CH"/>
        </w:rPr>
      </w:pPr>
      <w:r>
        <w:rPr>
          <w:lang w:val="fr-CH"/>
        </w:rPr>
        <w:t>Puissance par émetteur (dB(W/100 MHz))</w:t>
      </w:r>
      <w:r>
        <w:rPr>
          <w:bCs/>
          <w:lang w:val="fr-CH"/>
        </w:rPr>
        <w:t xml:space="preserve"> </w:t>
      </w:r>
      <w:r>
        <w:rPr>
          <w:rFonts w:ascii="Symbol" w:hAnsi="Symbol"/>
          <w:bCs/>
          <w:lang w:val="fr-CH"/>
        </w:rPr>
        <w:t></w:t>
      </w:r>
      <w:r>
        <w:rPr>
          <w:lang w:val="fr-CH"/>
        </w:rPr>
        <w:t xml:space="preserve"> puissance agrégée à la Terre en 100 MHz – Nombre d'émetteurs (dans un pixel SETS) – gain du service fixe dans la direction du SETS</w:t>
      </w:r>
    </w:p>
    <w:p w:rsidR="002B489A" w:rsidRDefault="004F19C4">
      <w:pPr>
        <w:pStyle w:val="Heading2"/>
        <w:spacing w:before="340"/>
        <w:rPr>
          <w:lang w:val="fr-CH"/>
        </w:rPr>
      </w:pPr>
      <w:r>
        <w:rPr>
          <w:lang w:val="fr-CH"/>
        </w:rPr>
        <w:t>4.2</w:t>
      </w:r>
      <w:r>
        <w:rPr>
          <w:lang w:val="fr-CH"/>
        </w:rPr>
        <w:tab/>
        <w:t>Calcul</w:t>
      </w:r>
    </w:p>
    <w:p w:rsidR="002B489A" w:rsidRDefault="004F19C4">
      <w:pPr>
        <w:spacing w:before="60"/>
        <w:rPr>
          <w:lang w:val="fr-CH"/>
        </w:rPr>
      </w:pPr>
      <w:r>
        <w:rPr>
          <w:lang w:val="fr-CH"/>
        </w:rPr>
        <w:t>Pour les systèmes point à point (voir le Tableau 126), on a utilisé la Recommandation UIT</w:t>
      </w:r>
      <w:r>
        <w:rPr>
          <w:lang w:val="fr-CH"/>
        </w:rPr>
        <w:noBreakHyphen/>
        <w:t>R F.1245 pour calculer le gain d'antenne dans la direction du zénith. La densité de terminaux fonctionnant à la même fréquence est supposée être un terminal par km</w:t>
      </w:r>
      <w:r>
        <w:rPr>
          <w:vertAlign w:val="superscript"/>
          <w:lang w:val="fr-CH"/>
        </w:rPr>
        <w:t>2</w:t>
      </w:r>
      <w:r>
        <w:rPr>
          <w:lang w:val="fr-CH"/>
        </w:rPr>
        <w:t>.</w:t>
      </w:r>
    </w:p>
    <w:p w:rsidR="002B489A" w:rsidRDefault="004F19C4">
      <w:pPr>
        <w:pStyle w:val="TableNo"/>
        <w:spacing w:before="200"/>
        <w:rPr>
          <w:lang w:val="fr-CH"/>
        </w:rPr>
      </w:pPr>
      <w:r>
        <w:rPr>
          <w:lang w:val="fr-CH"/>
        </w:rPr>
        <w:t>TABLEAU  126</w:t>
      </w:r>
    </w:p>
    <w:p w:rsidR="002B489A" w:rsidRDefault="004F19C4">
      <w:pPr>
        <w:pStyle w:val="Tabletitle"/>
        <w:spacing w:after="100"/>
        <w:rPr>
          <w:lang w:val="fr-CH"/>
        </w:rPr>
      </w:pPr>
      <w:r>
        <w:rPr>
          <w:lang w:val="fr-CH"/>
        </w:rPr>
        <w:t xml:space="preserve">Niveau acceptable de rayonnements non désirés d'un système </w:t>
      </w:r>
      <w:r>
        <w:rPr>
          <w:lang w:val="fr-CH"/>
        </w:rPr>
        <w:br/>
        <w:t>du service fixe point à point tombant dans la bande SETS</w:t>
      </w:r>
    </w:p>
    <w:tbl>
      <w:tblPr>
        <w:tblW w:w="685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356"/>
        <w:gridCol w:w="1248"/>
        <w:gridCol w:w="1248"/>
      </w:tblGrid>
      <w:tr w:rsidR="002B489A">
        <w:tc>
          <w:tcPr>
            <w:tcW w:w="4356" w:type="dxa"/>
            <w:vAlign w:val="bottom"/>
          </w:tcPr>
          <w:p w:rsidR="002B489A" w:rsidRDefault="004F19C4">
            <w:pPr>
              <w:pStyle w:val="Tabletext"/>
              <w:framePr w:hSpace="181" w:wrap="notBeside" w:vAnchor="text" w:hAnchor="text" w:xAlign="center" w:y="1"/>
              <w:spacing w:before="20" w:after="20" w:line="240" w:lineRule="exact"/>
              <w:jc w:val="left"/>
              <w:rPr>
                <w:rFonts w:eastAsia="Arial Unicode MS"/>
                <w:lang w:val="es-ES"/>
              </w:rPr>
            </w:pPr>
            <w:r>
              <w:rPr>
                <w:lang w:val="fr-CH"/>
              </w:rPr>
              <w:t>Fréquence (GHz)</w:t>
            </w:r>
          </w:p>
        </w:tc>
        <w:tc>
          <w:tcPr>
            <w:tcW w:w="2496" w:type="dxa"/>
            <w:gridSpan w:val="2"/>
            <w:vAlign w:val="bottom"/>
          </w:tcPr>
          <w:p w:rsidR="002B489A" w:rsidRDefault="004F19C4">
            <w:pPr>
              <w:pStyle w:val="Tabletext"/>
              <w:framePr w:hSpace="181" w:wrap="notBeside" w:vAnchor="text" w:hAnchor="text" w:xAlign="center" w:y="1"/>
              <w:spacing w:before="20" w:after="20" w:line="240" w:lineRule="exact"/>
              <w:jc w:val="center"/>
              <w:rPr>
                <w:rFonts w:eastAsia="Arial Unicode MS"/>
                <w:lang w:val="es-ES"/>
              </w:rPr>
            </w:pPr>
            <w:r>
              <w:rPr>
                <w:lang w:val="es-ES"/>
              </w:rPr>
              <w:t>52,6</w:t>
            </w:r>
          </w:p>
        </w:tc>
      </w:tr>
      <w:tr w:rsidR="002B489A">
        <w:tc>
          <w:tcPr>
            <w:tcW w:w="4356" w:type="dxa"/>
            <w:vAlign w:val="bottom"/>
          </w:tcPr>
          <w:p w:rsidR="002B489A" w:rsidRDefault="004F19C4">
            <w:pPr>
              <w:pStyle w:val="Tabletext"/>
              <w:framePr w:hSpace="181" w:wrap="notBeside" w:vAnchor="text" w:hAnchor="text" w:xAlign="center" w:y="1"/>
              <w:spacing w:before="20" w:after="20" w:line="240" w:lineRule="exact"/>
              <w:jc w:val="left"/>
              <w:rPr>
                <w:rFonts w:eastAsia="Arial Unicode MS"/>
                <w:lang w:val="fr-CH"/>
              </w:rPr>
            </w:pPr>
            <w:r>
              <w:rPr>
                <w:lang w:val="fr-CH"/>
              </w:rPr>
              <w:t>Critères de brouillage (dB(W/100 MHz))</w:t>
            </w:r>
          </w:p>
        </w:tc>
        <w:tc>
          <w:tcPr>
            <w:tcW w:w="2496" w:type="dxa"/>
            <w:gridSpan w:val="2"/>
            <w:vAlign w:val="bottom"/>
          </w:tcPr>
          <w:p w:rsidR="002B489A" w:rsidRDefault="004F19C4">
            <w:pPr>
              <w:pStyle w:val="Tabletext"/>
              <w:framePr w:hSpace="181" w:wrap="notBeside" w:vAnchor="text" w:hAnchor="text" w:xAlign="center" w:y="1"/>
              <w:spacing w:before="20" w:after="20" w:line="240" w:lineRule="exact"/>
              <w:jc w:val="center"/>
              <w:rPr>
                <w:rFonts w:eastAsia="Arial Unicode MS"/>
                <w:lang w:val="es-ES"/>
              </w:rPr>
            </w:pPr>
            <w:r>
              <w:rPr>
                <w:lang w:val="es-ES"/>
              </w:rPr>
              <w:t>–166</w:t>
            </w:r>
          </w:p>
        </w:tc>
      </w:tr>
      <w:tr w:rsidR="002B489A">
        <w:tc>
          <w:tcPr>
            <w:tcW w:w="4356" w:type="dxa"/>
            <w:vAlign w:val="bottom"/>
          </w:tcPr>
          <w:p w:rsidR="002B489A" w:rsidRDefault="004F19C4">
            <w:pPr>
              <w:pStyle w:val="Tabletext"/>
              <w:framePr w:hSpace="181" w:wrap="notBeside" w:vAnchor="text" w:hAnchor="text" w:xAlign="center" w:y="1"/>
              <w:spacing w:before="20" w:after="20" w:line="240" w:lineRule="exact"/>
              <w:jc w:val="left"/>
              <w:rPr>
                <w:rFonts w:eastAsia="Arial Unicode MS"/>
                <w:lang w:val="es-ES"/>
              </w:rPr>
            </w:pPr>
            <w:r>
              <w:rPr>
                <w:lang w:val="fr-CH"/>
              </w:rPr>
              <w:t>Altitude (km)</w:t>
            </w:r>
          </w:p>
        </w:tc>
        <w:tc>
          <w:tcPr>
            <w:tcW w:w="2496" w:type="dxa"/>
            <w:gridSpan w:val="2"/>
            <w:vAlign w:val="bottom"/>
          </w:tcPr>
          <w:p w:rsidR="002B489A" w:rsidRDefault="004F19C4">
            <w:pPr>
              <w:pStyle w:val="Tabletext"/>
              <w:framePr w:hSpace="181" w:wrap="notBeside" w:vAnchor="text" w:hAnchor="text" w:xAlign="center" w:y="1"/>
              <w:spacing w:before="20" w:after="20" w:line="240" w:lineRule="exact"/>
              <w:jc w:val="center"/>
              <w:rPr>
                <w:rFonts w:eastAsia="Arial Unicode MS"/>
                <w:lang w:val="es-ES"/>
              </w:rPr>
            </w:pPr>
            <w:r>
              <w:rPr>
                <w:lang w:val="es-ES"/>
              </w:rPr>
              <w:t>850</w:t>
            </w:r>
          </w:p>
        </w:tc>
      </w:tr>
      <w:tr w:rsidR="002B489A">
        <w:tc>
          <w:tcPr>
            <w:tcW w:w="4356" w:type="dxa"/>
            <w:vAlign w:val="bottom"/>
          </w:tcPr>
          <w:p w:rsidR="002B489A" w:rsidRDefault="004F19C4">
            <w:pPr>
              <w:pStyle w:val="Tabletext"/>
              <w:framePr w:hSpace="181" w:wrap="notBeside" w:vAnchor="text" w:hAnchor="text" w:xAlign="center" w:y="1"/>
              <w:spacing w:before="20" w:after="20" w:line="240" w:lineRule="exact"/>
              <w:jc w:val="left"/>
              <w:rPr>
                <w:rFonts w:eastAsia="Arial Unicode MS"/>
                <w:lang w:val="fr-CH"/>
              </w:rPr>
            </w:pPr>
            <w:r>
              <w:rPr>
                <w:lang w:val="fr-CH"/>
              </w:rPr>
              <w:t>Largeur de bande de référence (MHz)</w:t>
            </w:r>
          </w:p>
        </w:tc>
        <w:tc>
          <w:tcPr>
            <w:tcW w:w="2496" w:type="dxa"/>
            <w:gridSpan w:val="2"/>
            <w:vAlign w:val="bottom"/>
          </w:tcPr>
          <w:p w:rsidR="002B489A" w:rsidRDefault="004F19C4">
            <w:pPr>
              <w:pStyle w:val="Tabletext"/>
              <w:framePr w:hSpace="181" w:wrap="notBeside" w:vAnchor="text" w:hAnchor="text" w:xAlign="center" w:y="1"/>
              <w:spacing w:before="20" w:after="20" w:line="240" w:lineRule="exact"/>
              <w:jc w:val="center"/>
              <w:rPr>
                <w:rFonts w:eastAsia="Arial Unicode MS"/>
                <w:lang w:val="es-ES"/>
              </w:rPr>
            </w:pPr>
            <w:r>
              <w:rPr>
                <w:lang w:val="es-ES"/>
              </w:rPr>
              <w:t>100</w:t>
            </w:r>
          </w:p>
        </w:tc>
      </w:tr>
      <w:tr w:rsidR="002B489A">
        <w:tc>
          <w:tcPr>
            <w:tcW w:w="4356" w:type="dxa"/>
            <w:vAlign w:val="bottom"/>
          </w:tcPr>
          <w:p w:rsidR="002B489A" w:rsidRDefault="004F19C4">
            <w:pPr>
              <w:pStyle w:val="Tabletext"/>
              <w:framePr w:hSpace="181" w:wrap="notBeside" w:vAnchor="text" w:hAnchor="text" w:xAlign="center" w:y="1"/>
              <w:spacing w:before="20" w:after="20" w:line="240" w:lineRule="exact"/>
              <w:jc w:val="left"/>
              <w:rPr>
                <w:rFonts w:eastAsia="Arial Unicode MS"/>
                <w:lang w:val="es-ES"/>
              </w:rPr>
            </w:pPr>
            <w:r>
              <w:rPr>
                <w:lang w:val="fr-CH"/>
              </w:rPr>
              <w:t>Gain SETS</w:t>
            </w:r>
          </w:p>
        </w:tc>
        <w:tc>
          <w:tcPr>
            <w:tcW w:w="2496" w:type="dxa"/>
            <w:gridSpan w:val="2"/>
            <w:vAlign w:val="bottom"/>
          </w:tcPr>
          <w:p w:rsidR="002B489A" w:rsidRDefault="004F19C4">
            <w:pPr>
              <w:pStyle w:val="Tabletext"/>
              <w:framePr w:hSpace="181" w:wrap="notBeside" w:vAnchor="text" w:hAnchor="text" w:xAlign="center" w:y="1"/>
              <w:spacing w:before="20" w:after="20" w:line="240" w:lineRule="exact"/>
              <w:jc w:val="center"/>
              <w:rPr>
                <w:rFonts w:eastAsia="Arial Unicode MS"/>
                <w:lang w:val="es-ES"/>
              </w:rPr>
            </w:pPr>
            <w:r>
              <w:rPr>
                <w:lang w:val="es-ES"/>
              </w:rPr>
              <w:t>45</w:t>
            </w:r>
          </w:p>
        </w:tc>
      </w:tr>
      <w:tr w:rsidR="002B489A">
        <w:tc>
          <w:tcPr>
            <w:tcW w:w="4356" w:type="dxa"/>
            <w:vAlign w:val="bottom"/>
          </w:tcPr>
          <w:p w:rsidR="002B489A" w:rsidRDefault="004F19C4">
            <w:pPr>
              <w:pStyle w:val="Tabletext"/>
              <w:framePr w:hSpace="181" w:wrap="notBeside" w:vAnchor="text" w:hAnchor="text" w:xAlign="center" w:y="1"/>
              <w:spacing w:before="20" w:after="20" w:line="240" w:lineRule="exact"/>
              <w:jc w:val="left"/>
              <w:rPr>
                <w:rFonts w:eastAsia="Arial Unicode MS"/>
                <w:lang w:val="fr-CH"/>
              </w:rPr>
            </w:pPr>
            <w:r>
              <w:rPr>
                <w:lang w:val="fr-CH"/>
              </w:rPr>
              <w:t>Affaiblissement en espace libre</w:t>
            </w:r>
          </w:p>
        </w:tc>
        <w:tc>
          <w:tcPr>
            <w:tcW w:w="2496" w:type="dxa"/>
            <w:gridSpan w:val="2"/>
            <w:vAlign w:val="bottom"/>
          </w:tcPr>
          <w:p w:rsidR="002B489A" w:rsidRDefault="004F19C4">
            <w:pPr>
              <w:pStyle w:val="Tabletext"/>
              <w:framePr w:hSpace="181" w:wrap="notBeside" w:vAnchor="text" w:hAnchor="text" w:xAlign="center" w:y="1"/>
              <w:spacing w:before="20" w:after="20" w:line="240" w:lineRule="exact"/>
              <w:jc w:val="center"/>
              <w:rPr>
                <w:rFonts w:eastAsia="Arial Unicode MS"/>
                <w:lang w:val="es-ES"/>
              </w:rPr>
            </w:pPr>
            <w:r>
              <w:rPr>
                <w:lang w:val="es-ES"/>
              </w:rPr>
              <w:t>185,5</w:t>
            </w:r>
          </w:p>
        </w:tc>
      </w:tr>
      <w:tr w:rsidR="002B489A">
        <w:tc>
          <w:tcPr>
            <w:tcW w:w="4356" w:type="dxa"/>
            <w:vAlign w:val="bottom"/>
          </w:tcPr>
          <w:p w:rsidR="002B489A" w:rsidRDefault="004F19C4">
            <w:pPr>
              <w:pStyle w:val="Tabletext"/>
              <w:framePr w:hSpace="181" w:wrap="notBeside" w:vAnchor="text" w:hAnchor="text" w:xAlign="center" w:y="1"/>
              <w:spacing w:before="20" w:after="20" w:line="240" w:lineRule="exact"/>
              <w:jc w:val="left"/>
              <w:rPr>
                <w:rFonts w:eastAsia="Arial Unicode MS"/>
                <w:lang w:val="fr-CH"/>
              </w:rPr>
            </w:pPr>
            <w:r>
              <w:rPr>
                <w:lang w:val="fr-CH"/>
              </w:rPr>
              <w:t>Absorption gazeuse (dB)</w:t>
            </w:r>
          </w:p>
        </w:tc>
        <w:tc>
          <w:tcPr>
            <w:tcW w:w="2496" w:type="dxa"/>
            <w:gridSpan w:val="2"/>
            <w:vAlign w:val="bottom"/>
          </w:tcPr>
          <w:p w:rsidR="002B489A" w:rsidRDefault="004F19C4">
            <w:pPr>
              <w:pStyle w:val="Tabletext"/>
              <w:framePr w:hSpace="181" w:wrap="notBeside" w:vAnchor="text" w:hAnchor="text" w:xAlign="center" w:y="1"/>
              <w:spacing w:before="20" w:after="20" w:line="240" w:lineRule="exact"/>
              <w:jc w:val="center"/>
              <w:rPr>
                <w:lang w:val="fr-CH"/>
              </w:rPr>
            </w:pPr>
            <w:r>
              <w:rPr>
                <w:lang w:val="fr-CH"/>
              </w:rPr>
              <w:t>3</w:t>
            </w:r>
          </w:p>
        </w:tc>
      </w:tr>
      <w:tr w:rsidR="002B489A">
        <w:tc>
          <w:tcPr>
            <w:tcW w:w="4356" w:type="dxa"/>
            <w:vAlign w:val="bottom"/>
          </w:tcPr>
          <w:p w:rsidR="002B489A" w:rsidRDefault="004F19C4">
            <w:pPr>
              <w:pStyle w:val="Tabletext"/>
              <w:framePr w:hSpace="181" w:wrap="notBeside" w:vAnchor="text" w:hAnchor="text" w:xAlign="center" w:y="1"/>
              <w:spacing w:before="20" w:after="20" w:line="240" w:lineRule="exact"/>
              <w:jc w:val="left"/>
              <w:rPr>
                <w:rFonts w:eastAsia="Arial Unicode MS"/>
                <w:lang w:val="fr-CH"/>
              </w:rPr>
            </w:pPr>
            <w:r>
              <w:rPr>
                <w:lang w:val="fr-CH"/>
              </w:rPr>
              <w:t>Agrégé à la Terre (dB(W/100 MHz))</w:t>
            </w:r>
          </w:p>
        </w:tc>
        <w:tc>
          <w:tcPr>
            <w:tcW w:w="2496" w:type="dxa"/>
            <w:gridSpan w:val="2"/>
            <w:vAlign w:val="bottom"/>
          </w:tcPr>
          <w:p w:rsidR="002B489A" w:rsidRDefault="004F19C4">
            <w:pPr>
              <w:pStyle w:val="Tabletext"/>
              <w:framePr w:hSpace="181" w:wrap="notBeside" w:vAnchor="text" w:hAnchor="text" w:xAlign="center" w:y="1"/>
              <w:spacing w:before="20" w:after="20" w:line="240" w:lineRule="exact"/>
              <w:jc w:val="center"/>
              <w:rPr>
                <w:rFonts w:eastAsia="Arial Unicode MS"/>
                <w:b/>
                <w:lang w:val="es-ES"/>
              </w:rPr>
            </w:pPr>
            <w:r>
              <w:rPr>
                <w:lang w:val="es-ES"/>
              </w:rPr>
              <w:t>–</w:t>
            </w:r>
            <w:r>
              <w:rPr>
                <w:b/>
                <w:lang w:val="es-ES"/>
              </w:rPr>
              <w:t>22,5</w:t>
            </w:r>
          </w:p>
        </w:tc>
      </w:tr>
      <w:tr w:rsidR="002B489A">
        <w:tc>
          <w:tcPr>
            <w:tcW w:w="4356" w:type="dxa"/>
            <w:vAlign w:val="bottom"/>
          </w:tcPr>
          <w:p w:rsidR="002B489A" w:rsidRDefault="004F19C4">
            <w:pPr>
              <w:pStyle w:val="Tabletext"/>
              <w:framePr w:hSpace="181" w:wrap="notBeside" w:vAnchor="text" w:hAnchor="text" w:xAlign="center" w:y="1"/>
              <w:spacing w:before="20" w:after="20" w:line="240" w:lineRule="exact"/>
              <w:jc w:val="left"/>
              <w:rPr>
                <w:rFonts w:eastAsia="Arial Unicode MS"/>
                <w:lang w:val="fr-CH"/>
              </w:rPr>
            </w:pPr>
            <w:r>
              <w:rPr>
                <w:lang w:val="fr-CH"/>
              </w:rPr>
              <w:t>Agrégé à la Terre (dB(W/MHz))</w:t>
            </w:r>
          </w:p>
        </w:tc>
        <w:tc>
          <w:tcPr>
            <w:tcW w:w="2496" w:type="dxa"/>
            <w:gridSpan w:val="2"/>
            <w:vAlign w:val="bottom"/>
          </w:tcPr>
          <w:p w:rsidR="002B489A" w:rsidRDefault="004F19C4">
            <w:pPr>
              <w:pStyle w:val="Tabletext"/>
              <w:framePr w:hSpace="181" w:wrap="notBeside" w:vAnchor="text" w:hAnchor="text" w:xAlign="center" w:y="1"/>
              <w:spacing w:before="20" w:after="20" w:line="240" w:lineRule="exact"/>
              <w:jc w:val="center"/>
              <w:rPr>
                <w:rFonts w:eastAsia="Arial Unicode MS"/>
                <w:lang w:val="fr-CH"/>
              </w:rPr>
            </w:pPr>
            <w:r>
              <w:rPr>
                <w:lang w:val="fr-CH"/>
              </w:rPr>
              <w:t>–42,5</w:t>
            </w:r>
          </w:p>
        </w:tc>
      </w:tr>
      <w:tr w:rsidR="002B489A">
        <w:tc>
          <w:tcPr>
            <w:tcW w:w="4356" w:type="dxa"/>
            <w:vAlign w:val="bottom"/>
          </w:tcPr>
          <w:p w:rsidR="002B489A" w:rsidRDefault="004F19C4">
            <w:pPr>
              <w:pStyle w:val="Tabletext"/>
              <w:framePr w:hSpace="181" w:wrap="notBeside" w:vAnchor="text" w:hAnchor="text" w:xAlign="center" w:y="1"/>
              <w:spacing w:before="20" w:after="20" w:line="240" w:lineRule="exact"/>
              <w:jc w:val="left"/>
              <w:rPr>
                <w:rFonts w:eastAsia="Arial Unicode MS"/>
                <w:i/>
                <w:iCs/>
                <w:lang w:val="fr-CH"/>
              </w:rPr>
            </w:pPr>
            <w:r>
              <w:rPr>
                <w:rFonts w:eastAsia="Arial Unicode MS"/>
                <w:i/>
                <w:iCs/>
                <w:lang w:val="fr-CH"/>
              </w:rPr>
              <w:t>Type de station</w:t>
            </w:r>
          </w:p>
        </w:tc>
        <w:tc>
          <w:tcPr>
            <w:tcW w:w="1248" w:type="dxa"/>
            <w:vAlign w:val="bottom"/>
          </w:tcPr>
          <w:p w:rsidR="002B489A" w:rsidRDefault="004F19C4">
            <w:pPr>
              <w:pStyle w:val="Tabletext"/>
              <w:framePr w:hSpace="181" w:wrap="notBeside" w:vAnchor="text" w:hAnchor="text" w:xAlign="center" w:y="1"/>
              <w:spacing w:before="20" w:after="20" w:line="240" w:lineRule="exact"/>
              <w:jc w:val="center"/>
              <w:rPr>
                <w:rFonts w:eastAsia="Arial Unicode MS"/>
                <w:bCs/>
                <w:lang w:val="fr-CH"/>
              </w:rPr>
            </w:pPr>
            <w:r>
              <w:rPr>
                <w:rFonts w:eastAsia="Arial Unicode MS"/>
                <w:bCs/>
                <w:lang w:val="fr-CH"/>
              </w:rPr>
              <w:t>Centrale</w:t>
            </w:r>
          </w:p>
        </w:tc>
        <w:tc>
          <w:tcPr>
            <w:tcW w:w="1248" w:type="dxa"/>
            <w:vAlign w:val="bottom"/>
          </w:tcPr>
          <w:p w:rsidR="002B489A" w:rsidRDefault="004F19C4">
            <w:pPr>
              <w:pStyle w:val="Tabletext"/>
              <w:framePr w:hSpace="181" w:wrap="notBeside" w:vAnchor="text" w:hAnchor="text" w:xAlign="center" w:y="1"/>
              <w:spacing w:before="20" w:after="20" w:line="240" w:lineRule="exact"/>
              <w:jc w:val="center"/>
              <w:rPr>
                <w:rFonts w:eastAsia="Arial Unicode MS"/>
                <w:bCs/>
                <w:lang w:val="fr-CH"/>
              </w:rPr>
            </w:pPr>
            <w:r>
              <w:rPr>
                <w:rFonts w:eastAsia="Arial Unicode MS"/>
                <w:bCs/>
                <w:lang w:val="fr-CH"/>
              </w:rPr>
              <w:t>Terminale</w:t>
            </w:r>
          </w:p>
        </w:tc>
      </w:tr>
      <w:tr w:rsidR="002B489A">
        <w:tc>
          <w:tcPr>
            <w:tcW w:w="4356" w:type="dxa"/>
            <w:vAlign w:val="bottom"/>
          </w:tcPr>
          <w:p w:rsidR="002B489A" w:rsidRDefault="004F19C4">
            <w:pPr>
              <w:pStyle w:val="Tabletext"/>
              <w:framePr w:hSpace="181" w:wrap="notBeside" w:vAnchor="text" w:hAnchor="text" w:xAlign="center" w:y="1"/>
              <w:spacing w:before="20" w:after="20" w:line="240" w:lineRule="exact"/>
              <w:ind w:left="284" w:right="284"/>
              <w:jc w:val="left"/>
              <w:rPr>
                <w:rFonts w:eastAsia="Arial Unicode MS"/>
                <w:lang w:val="fr-CH"/>
              </w:rPr>
            </w:pPr>
            <w:r>
              <w:rPr>
                <w:lang w:val="fr-CH"/>
              </w:rPr>
              <w:t>Espacement entre canaux (MHz)</w:t>
            </w:r>
          </w:p>
        </w:tc>
        <w:tc>
          <w:tcPr>
            <w:tcW w:w="1248" w:type="dxa"/>
            <w:vAlign w:val="bottom"/>
          </w:tcPr>
          <w:p w:rsidR="002B489A" w:rsidRDefault="004F19C4">
            <w:pPr>
              <w:pStyle w:val="Tabletext"/>
              <w:framePr w:hSpace="181" w:wrap="notBeside" w:vAnchor="text" w:hAnchor="text" w:xAlign="center" w:y="1"/>
              <w:spacing w:before="20" w:after="20" w:line="240" w:lineRule="exact"/>
              <w:jc w:val="center"/>
              <w:rPr>
                <w:rFonts w:eastAsia="Arial Unicode MS"/>
                <w:b/>
                <w:lang w:val="es-ES"/>
              </w:rPr>
            </w:pPr>
            <w:r>
              <w:rPr>
                <w:b/>
                <w:lang w:val="es-ES"/>
              </w:rPr>
              <w:t>56</w:t>
            </w:r>
          </w:p>
        </w:tc>
        <w:tc>
          <w:tcPr>
            <w:tcW w:w="1248" w:type="dxa"/>
            <w:vAlign w:val="bottom"/>
          </w:tcPr>
          <w:p w:rsidR="002B489A" w:rsidRDefault="004F19C4">
            <w:pPr>
              <w:pStyle w:val="Tabletext"/>
              <w:framePr w:hSpace="181" w:wrap="notBeside" w:vAnchor="text" w:hAnchor="text" w:xAlign="center" w:y="1"/>
              <w:spacing w:before="20" w:after="20" w:line="240" w:lineRule="exact"/>
              <w:jc w:val="center"/>
              <w:rPr>
                <w:rFonts w:eastAsia="Arial Unicode MS"/>
                <w:b/>
                <w:lang w:val="es-ES"/>
              </w:rPr>
            </w:pPr>
            <w:r>
              <w:rPr>
                <w:b/>
                <w:lang w:val="es-ES"/>
              </w:rPr>
              <w:t>3,5</w:t>
            </w:r>
          </w:p>
        </w:tc>
      </w:tr>
      <w:tr w:rsidR="002B489A">
        <w:tc>
          <w:tcPr>
            <w:tcW w:w="4356" w:type="dxa"/>
            <w:vAlign w:val="bottom"/>
          </w:tcPr>
          <w:p w:rsidR="002B489A" w:rsidRDefault="004F19C4">
            <w:pPr>
              <w:pStyle w:val="Tabletext"/>
              <w:framePr w:hSpace="181" w:wrap="notBeside" w:vAnchor="text" w:hAnchor="text" w:xAlign="center" w:y="1"/>
              <w:spacing w:before="20" w:after="20" w:line="240" w:lineRule="exact"/>
              <w:ind w:left="284" w:right="284"/>
              <w:jc w:val="left"/>
              <w:rPr>
                <w:rFonts w:eastAsia="Arial Unicode MS"/>
                <w:lang w:val="fr-CH"/>
              </w:rPr>
            </w:pPr>
            <w:r>
              <w:rPr>
                <w:lang w:val="fr-CH"/>
              </w:rPr>
              <w:t>Gain d'antenne du service fixe</w:t>
            </w:r>
          </w:p>
        </w:tc>
        <w:tc>
          <w:tcPr>
            <w:tcW w:w="1248" w:type="dxa"/>
            <w:vAlign w:val="bottom"/>
          </w:tcPr>
          <w:p w:rsidR="002B489A" w:rsidRDefault="004F19C4">
            <w:pPr>
              <w:pStyle w:val="Tabletext"/>
              <w:framePr w:hSpace="181" w:wrap="notBeside" w:vAnchor="text" w:hAnchor="text" w:xAlign="center" w:y="1"/>
              <w:spacing w:before="20" w:after="20" w:line="240" w:lineRule="exact"/>
              <w:jc w:val="center"/>
              <w:rPr>
                <w:rFonts w:eastAsia="Arial Unicode MS"/>
                <w:lang w:val="es-ES"/>
              </w:rPr>
            </w:pPr>
            <w:r>
              <w:rPr>
                <w:lang w:val="es-ES"/>
              </w:rPr>
              <w:t>50</w:t>
            </w:r>
          </w:p>
        </w:tc>
        <w:tc>
          <w:tcPr>
            <w:tcW w:w="1248" w:type="dxa"/>
            <w:vAlign w:val="bottom"/>
          </w:tcPr>
          <w:p w:rsidR="002B489A" w:rsidRDefault="004F19C4">
            <w:pPr>
              <w:pStyle w:val="Tabletext"/>
              <w:framePr w:hSpace="181" w:wrap="notBeside" w:vAnchor="text" w:hAnchor="text" w:xAlign="center" w:y="1"/>
              <w:spacing w:before="20" w:after="20" w:line="240" w:lineRule="exact"/>
              <w:jc w:val="center"/>
              <w:rPr>
                <w:rFonts w:eastAsia="Arial Unicode MS"/>
                <w:lang w:val="es-ES"/>
              </w:rPr>
            </w:pPr>
            <w:r>
              <w:rPr>
                <w:lang w:val="es-ES"/>
              </w:rPr>
              <w:t>50</w:t>
            </w:r>
          </w:p>
        </w:tc>
      </w:tr>
      <w:tr w:rsidR="002B489A">
        <w:tc>
          <w:tcPr>
            <w:tcW w:w="4356" w:type="dxa"/>
            <w:vAlign w:val="bottom"/>
          </w:tcPr>
          <w:p w:rsidR="002B489A" w:rsidRDefault="004F19C4">
            <w:pPr>
              <w:pStyle w:val="Tabletext"/>
              <w:framePr w:hSpace="181" w:wrap="notBeside" w:vAnchor="text" w:hAnchor="text" w:xAlign="center" w:y="1"/>
              <w:spacing w:before="20" w:after="20" w:line="240" w:lineRule="exact"/>
              <w:ind w:left="284" w:right="284"/>
              <w:jc w:val="left"/>
              <w:rPr>
                <w:rFonts w:eastAsia="Arial Unicode MS"/>
                <w:lang w:val="fr-CH"/>
              </w:rPr>
            </w:pPr>
            <w:r>
              <w:rPr>
                <w:lang w:val="fr-CH"/>
              </w:rPr>
              <w:t>Gain du service fixe dans la direction SETS</w:t>
            </w:r>
          </w:p>
        </w:tc>
        <w:tc>
          <w:tcPr>
            <w:tcW w:w="1248" w:type="dxa"/>
          </w:tcPr>
          <w:p w:rsidR="002B489A" w:rsidRDefault="004F19C4">
            <w:pPr>
              <w:pStyle w:val="Tabletext"/>
              <w:framePr w:hSpace="181" w:wrap="notBeside" w:vAnchor="text" w:hAnchor="text" w:xAlign="center" w:y="1"/>
              <w:spacing w:before="20" w:after="20" w:line="240" w:lineRule="exact"/>
              <w:jc w:val="center"/>
              <w:rPr>
                <w:rFonts w:eastAsia="Arial Unicode MS"/>
                <w:lang w:val="es-ES"/>
              </w:rPr>
            </w:pPr>
            <w:r>
              <w:rPr>
                <w:lang w:val="es-ES"/>
              </w:rPr>
              <w:t>–13</w:t>
            </w:r>
          </w:p>
        </w:tc>
        <w:tc>
          <w:tcPr>
            <w:tcW w:w="1248" w:type="dxa"/>
          </w:tcPr>
          <w:p w:rsidR="002B489A" w:rsidRDefault="004F19C4">
            <w:pPr>
              <w:pStyle w:val="Tabletext"/>
              <w:framePr w:hSpace="181" w:wrap="notBeside" w:vAnchor="text" w:hAnchor="text" w:xAlign="center" w:y="1"/>
              <w:spacing w:before="20" w:after="20" w:line="240" w:lineRule="exact"/>
              <w:jc w:val="center"/>
              <w:rPr>
                <w:rFonts w:eastAsia="Arial Unicode MS"/>
                <w:lang w:val="es-ES"/>
              </w:rPr>
            </w:pPr>
            <w:r>
              <w:rPr>
                <w:lang w:val="es-ES"/>
              </w:rPr>
              <w:t>–13</w:t>
            </w:r>
          </w:p>
        </w:tc>
      </w:tr>
      <w:tr w:rsidR="002B489A">
        <w:tc>
          <w:tcPr>
            <w:tcW w:w="4356" w:type="dxa"/>
            <w:vAlign w:val="bottom"/>
          </w:tcPr>
          <w:p w:rsidR="002B489A" w:rsidRDefault="004F19C4">
            <w:pPr>
              <w:pStyle w:val="Tabletext"/>
              <w:framePr w:hSpace="181" w:wrap="notBeside" w:vAnchor="text" w:hAnchor="text" w:xAlign="center" w:y="1"/>
              <w:spacing w:before="20" w:after="20" w:line="240" w:lineRule="exact"/>
              <w:ind w:left="284" w:right="284"/>
              <w:jc w:val="left"/>
              <w:rPr>
                <w:rFonts w:eastAsia="Arial Unicode MS"/>
                <w:lang w:val="fr-CH"/>
              </w:rPr>
            </w:pPr>
            <w:r>
              <w:rPr>
                <w:lang w:val="fr-CH"/>
              </w:rPr>
              <w:t>Puissance cumulée (dB(W/MHz))</w:t>
            </w:r>
          </w:p>
        </w:tc>
        <w:tc>
          <w:tcPr>
            <w:tcW w:w="1248" w:type="dxa"/>
            <w:vAlign w:val="bottom"/>
          </w:tcPr>
          <w:p w:rsidR="002B489A" w:rsidRDefault="004F19C4">
            <w:pPr>
              <w:pStyle w:val="Tabletext"/>
              <w:framePr w:hSpace="181" w:wrap="notBeside" w:vAnchor="text" w:hAnchor="text" w:xAlign="center" w:y="1"/>
              <w:spacing w:before="20" w:after="20" w:line="240" w:lineRule="exact"/>
              <w:jc w:val="center"/>
              <w:rPr>
                <w:rFonts w:eastAsia="Arial Unicode MS"/>
                <w:lang w:val="es-ES"/>
              </w:rPr>
            </w:pPr>
            <w:r>
              <w:rPr>
                <w:lang w:val="es-ES"/>
              </w:rPr>
              <w:t>–29,5</w:t>
            </w:r>
          </w:p>
        </w:tc>
        <w:tc>
          <w:tcPr>
            <w:tcW w:w="1248" w:type="dxa"/>
            <w:vAlign w:val="bottom"/>
          </w:tcPr>
          <w:p w:rsidR="002B489A" w:rsidRDefault="004F19C4">
            <w:pPr>
              <w:pStyle w:val="Tabletext"/>
              <w:framePr w:hSpace="181" w:wrap="notBeside" w:vAnchor="text" w:hAnchor="text" w:xAlign="center" w:y="1"/>
              <w:spacing w:before="20" w:after="20" w:line="240" w:lineRule="exact"/>
              <w:jc w:val="center"/>
              <w:rPr>
                <w:rFonts w:eastAsia="Arial Unicode MS"/>
                <w:lang w:val="es-ES"/>
              </w:rPr>
            </w:pPr>
            <w:r>
              <w:rPr>
                <w:lang w:val="es-ES"/>
              </w:rPr>
              <w:t>–29,5</w:t>
            </w:r>
          </w:p>
        </w:tc>
      </w:tr>
      <w:tr w:rsidR="002B489A">
        <w:tc>
          <w:tcPr>
            <w:tcW w:w="4356" w:type="dxa"/>
            <w:vAlign w:val="bottom"/>
          </w:tcPr>
          <w:p w:rsidR="002B489A" w:rsidRDefault="004F19C4">
            <w:pPr>
              <w:pStyle w:val="Tabletext"/>
              <w:framePr w:hSpace="181" w:wrap="notBeside" w:vAnchor="text" w:hAnchor="text" w:xAlign="center" w:y="1"/>
              <w:spacing w:before="20" w:after="20" w:line="240" w:lineRule="exact"/>
              <w:ind w:left="284" w:right="284"/>
              <w:jc w:val="left"/>
              <w:rPr>
                <w:rFonts w:eastAsia="Arial Unicode MS"/>
                <w:lang w:val="fr-CH"/>
              </w:rPr>
            </w:pPr>
            <w:r>
              <w:rPr>
                <w:lang w:val="fr-CH"/>
              </w:rPr>
              <w:t>Densité de systèmes par km</w:t>
            </w:r>
            <w:r>
              <w:rPr>
                <w:vertAlign w:val="superscript"/>
                <w:lang w:val="fr-CH"/>
              </w:rPr>
              <w:t>2</w:t>
            </w:r>
          </w:p>
        </w:tc>
        <w:tc>
          <w:tcPr>
            <w:tcW w:w="1248" w:type="dxa"/>
            <w:vAlign w:val="bottom"/>
          </w:tcPr>
          <w:p w:rsidR="002B489A" w:rsidRDefault="004F19C4">
            <w:pPr>
              <w:pStyle w:val="Tabletext"/>
              <w:framePr w:hSpace="181" w:wrap="notBeside" w:vAnchor="text" w:hAnchor="text" w:xAlign="center" w:y="1"/>
              <w:spacing w:before="20" w:after="20" w:line="240" w:lineRule="exact"/>
              <w:jc w:val="center"/>
              <w:rPr>
                <w:rFonts w:eastAsia="Arial Unicode MS"/>
                <w:lang w:val="de-DE"/>
              </w:rPr>
            </w:pPr>
            <w:r>
              <w:rPr>
                <w:lang w:val="de-DE"/>
              </w:rPr>
              <w:t>1</w:t>
            </w:r>
          </w:p>
        </w:tc>
        <w:tc>
          <w:tcPr>
            <w:tcW w:w="1248" w:type="dxa"/>
            <w:vAlign w:val="bottom"/>
          </w:tcPr>
          <w:p w:rsidR="002B489A" w:rsidRDefault="004F19C4">
            <w:pPr>
              <w:pStyle w:val="Tabletext"/>
              <w:framePr w:hSpace="181" w:wrap="notBeside" w:vAnchor="text" w:hAnchor="text" w:xAlign="center" w:y="1"/>
              <w:spacing w:before="20" w:after="20" w:line="240" w:lineRule="exact"/>
              <w:jc w:val="center"/>
              <w:rPr>
                <w:rFonts w:eastAsia="Arial Unicode MS"/>
                <w:lang w:val="de-DE"/>
              </w:rPr>
            </w:pPr>
            <w:r>
              <w:rPr>
                <w:lang w:val="de-DE"/>
              </w:rPr>
              <w:t>1</w:t>
            </w:r>
          </w:p>
        </w:tc>
      </w:tr>
      <w:tr w:rsidR="002B489A">
        <w:tc>
          <w:tcPr>
            <w:tcW w:w="4356" w:type="dxa"/>
            <w:vAlign w:val="bottom"/>
          </w:tcPr>
          <w:p w:rsidR="002B489A" w:rsidRDefault="004F19C4">
            <w:pPr>
              <w:pStyle w:val="Tabletext"/>
              <w:framePr w:hSpace="181" w:wrap="notBeside" w:vAnchor="text" w:hAnchor="text" w:xAlign="center" w:y="1"/>
              <w:spacing w:before="20" w:after="20" w:line="240" w:lineRule="exact"/>
              <w:ind w:left="284" w:right="284"/>
              <w:jc w:val="left"/>
              <w:rPr>
                <w:rFonts w:eastAsia="Arial Unicode MS"/>
                <w:lang w:val="fr-CH"/>
              </w:rPr>
            </w:pPr>
            <w:r>
              <w:rPr>
                <w:lang w:val="fr-CH"/>
              </w:rPr>
              <w:t>Taille de pixel par km</w:t>
            </w:r>
            <w:r>
              <w:rPr>
                <w:vertAlign w:val="superscript"/>
                <w:lang w:val="fr-CH"/>
              </w:rPr>
              <w:t>2</w:t>
            </w:r>
          </w:p>
        </w:tc>
        <w:tc>
          <w:tcPr>
            <w:tcW w:w="1248" w:type="dxa"/>
            <w:vAlign w:val="bottom"/>
          </w:tcPr>
          <w:p w:rsidR="002B489A" w:rsidRDefault="004F19C4">
            <w:pPr>
              <w:pStyle w:val="Tabletext"/>
              <w:framePr w:hSpace="181" w:wrap="notBeside" w:vAnchor="text" w:hAnchor="text" w:xAlign="center" w:y="1"/>
              <w:spacing w:before="20" w:after="20" w:line="240" w:lineRule="exact"/>
              <w:jc w:val="center"/>
              <w:rPr>
                <w:rFonts w:eastAsia="Arial Unicode MS"/>
                <w:lang w:val="es-ES"/>
              </w:rPr>
            </w:pPr>
            <w:r>
              <w:rPr>
                <w:lang w:val="es-ES"/>
              </w:rPr>
              <w:t>201</w:t>
            </w:r>
          </w:p>
        </w:tc>
        <w:tc>
          <w:tcPr>
            <w:tcW w:w="1248" w:type="dxa"/>
            <w:vAlign w:val="bottom"/>
          </w:tcPr>
          <w:p w:rsidR="002B489A" w:rsidRDefault="004F19C4">
            <w:pPr>
              <w:pStyle w:val="Tabletext"/>
              <w:framePr w:hSpace="181" w:wrap="notBeside" w:vAnchor="text" w:hAnchor="text" w:xAlign="center" w:y="1"/>
              <w:spacing w:before="20" w:after="20" w:line="240" w:lineRule="exact"/>
              <w:jc w:val="center"/>
              <w:rPr>
                <w:rFonts w:eastAsia="Arial Unicode MS"/>
                <w:lang w:val="es-ES"/>
              </w:rPr>
            </w:pPr>
            <w:r>
              <w:rPr>
                <w:lang w:val="es-ES"/>
              </w:rPr>
              <w:t>201</w:t>
            </w:r>
          </w:p>
        </w:tc>
      </w:tr>
      <w:tr w:rsidR="002B489A">
        <w:tc>
          <w:tcPr>
            <w:tcW w:w="4356" w:type="dxa"/>
            <w:vAlign w:val="bottom"/>
          </w:tcPr>
          <w:p w:rsidR="002B489A" w:rsidRDefault="004F19C4">
            <w:pPr>
              <w:pStyle w:val="Tabletext"/>
              <w:framePr w:hSpace="181" w:wrap="notBeside" w:vAnchor="text" w:hAnchor="text" w:xAlign="center" w:y="1"/>
              <w:spacing w:before="20" w:after="20" w:line="240" w:lineRule="exact"/>
              <w:ind w:left="284" w:right="284"/>
              <w:jc w:val="left"/>
              <w:rPr>
                <w:rFonts w:eastAsia="Arial Unicode MS"/>
                <w:lang w:val="es-ES"/>
              </w:rPr>
            </w:pPr>
            <w:r>
              <w:rPr>
                <w:lang w:val="fr-CH"/>
              </w:rPr>
              <w:t>Nombre d'émetteurs</w:t>
            </w:r>
          </w:p>
        </w:tc>
        <w:tc>
          <w:tcPr>
            <w:tcW w:w="1248" w:type="dxa"/>
            <w:vAlign w:val="bottom"/>
          </w:tcPr>
          <w:p w:rsidR="002B489A" w:rsidRDefault="004F19C4">
            <w:pPr>
              <w:pStyle w:val="Tabletext"/>
              <w:framePr w:hSpace="181" w:wrap="notBeside" w:vAnchor="text" w:hAnchor="text" w:xAlign="center" w:y="1"/>
              <w:spacing w:before="20" w:after="20" w:line="240" w:lineRule="exact"/>
              <w:jc w:val="center"/>
              <w:rPr>
                <w:rFonts w:eastAsia="Arial Unicode MS"/>
                <w:lang w:val="es-ES"/>
              </w:rPr>
            </w:pPr>
            <w:r>
              <w:rPr>
                <w:lang w:val="es-ES"/>
              </w:rPr>
              <w:t>201</w:t>
            </w:r>
          </w:p>
        </w:tc>
        <w:tc>
          <w:tcPr>
            <w:tcW w:w="1248" w:type="dxa"/>
            <w:vAlign w:val="bottom"/>
          </w:tcPr>
          <w:p w:rsidR="002B489A" w:rsidRDefault="004F19C4">
            <w:pPr>
              <w:pStyle w:val="Tabletext"/>
              <w:framePr w:hSpace="181" w:wrap="notBeside" w:vAnchor="text" w:hAnchor="text" w:xAlign="center" w:y="1"/>
              <w:spacing w:before="20" w:after="20" w:line="240" w:lineRule="exact"/>
              <w:jc w:val="center"/>
              <w:rPr>
                <w:rFonts w:eastAsia="Arial Unicode MS"/>
                <w:lang w:val="es-ES"/>
              </w:rPr>
            </w:pPr>
            <w:r>
              <w:rPr>
                <w:lang w:val="es-ES"/>
              </w:rPr>
              <w:t>201</w:t>
            </w:r>
          </w:p>
        </w:tc>
      </w:tr>
      <w:tr w:rsidR="002B489A">
        <w:tc>
          <w:tcPr>
            <w:tcW w:w="4356" w:type="dxa"/>
            <w:vAlign w:val="bottom"/>
          </w:tcPr>
          <w:p w:rsidR="002B489A" w:rsidRDefault="004F19C4">
            <w:pPr>
              <w:pStyle w:val="Tabletext"/>
              <w:framePr w:hSpace="181" w:wrap="notBeside" w:vAnchor="text" w:hAnchor="text" w:xAlign="center" w:y="1"/>
              <w:spacing w:before="20" w:after="20" w:line="240" w:lineRule="exact"/>
              <w:ind w:left="284" w:right="284"/>
              <w:jc w:val="left"/>
              <w:rPr>
                <w:rFonts w:eastAsia="Arial Unicode MS"/>
                <w:lang w:val="fr-CH"/>
              </w:rPr>
            </w:pPr>
            <w:r>
              <w:rPr>
                <w:lang w:val="fr-CH"/>
              </w:rPr>
              <w:t>Puissance par émetteur (dB(W/MHz))</w:t>
            </w:r>
          </w:p>
        </w:tc>
        <w:tc>
          <w:tcPr>
            <w:tcW w:w="1248" w:type="dxa"/>
            <w:vAlign w:val="bottom"/>
          </w:tcPr>
          <w:p w:rsidR="002B489A" w:rsidRDefault="004F19C4">
            <w:pPr>
              <w:pStyle w:val="Tabletext"/>
              <w:framePr w:hSpace="181" w:wrap="notBeside" w:vAnchor="text" w:hAnchor="text" w:xAlign="center" w:y="1"/>
              <w:spacing w:before="20" w:after="20" w:line="240" w:lineRule="exact"/>
              <w:jc w:val="center"/>
              <w:rPr>
                <w:rFonts w:eastAsia="Arial Unicode MS"/>
                <w:lang w:val="fr-CH"/>
              </w:rPr>
            </w:pPr>
            <w:r>
              <w:t>–</w:t>
            </w:r>
            <w:r>
              <w:rPr>
                <w:lang w:val="fr-CH"/>
              </w:rPr>
              <w:t>52,5</w:t>
            </w:r>
          </w:p>
        </w:tc>
        <w:tc>
          <w:tcPr>
            <w:tcW w:w="1248" w:type="dxa"/>
            <w:vAlign w:val="bottom"/>
          </w:tcPr>
          <w:p w:rsidR="002B489A" w:rsidRDefault="004F19C4">
            <w:pPr>
              <w:pStyle w:val="Tabletext"/>
              <w:framePr w:hSpace="181" w:wrap="notBeside" w:vAnchor="text" w:hAnchor="text" w:xAlign="center" w:y="1"/>
              <w:spacing w:before="20" w:after="20" w:line="240" w:lineRule="exact"/>
              <w:jc w:val="center"/>
              <w:rPr>
                <w:rFonts w:eastAsia="Arial Unicode MS"/>
                <w:lang w:val="fr-CH"/>
              </w:rPr>
            </w:pPr>
            <w:r>
              <w:rPr>
                <w:lang w:val="fr-CH"/>
              </w:rPr>
              <w:t>–52,5</w:t>
            </w:r>
          </w:p>
        </w:tc>
      </w:tr>
      <w:tr w:rsidR="002B489A">
        <w:tc>
          <w:tcPr>
            <w:tcW w:w="4356" w:type="dxa"/>
          </w:tcPr>
          <w:p w:rsidR="002B489A" w:rsidRDefault="004F19C4">
            <w:pPr>
              <w:pStyle w:val="Tabletext"/>
              <w:framePr w:hSpace="181" w:wrap="notBeside" w:vAnchor="text" w:hAnchor="text" w:xAlign="center" w:y="1"/>
              <w:spacing w:before="20" w:after="20" w:line="240" w:lineRule="exact"/>
              <w:ind w:left="284" w:right="284"/>
              <w:jc w:val="left"/>
              <w:rPr>
                <w:rFonts w:eastAsia="Arial Unicode MS"/>
                <w:spacing w:val="-6"/>
                <w:lang w:val="fr-CH"/>
              </w:rPr>
            </w:pPr>
            <w:r>
              <w:rPr>
                <w:spacing w:val="-6"/>
                <w:lang w:val="fr-CH"/>
              </w:rPr>
              <w:t>Puissance par émetteur (dB(W/100 MHz))</w:t>
            </w:r>
          </w:p>
        </w:tc>
        <w:tc>
          <w:tcPr>
            <w:tcW w:w="1248" w:type="dxa"/>
            <w:vAlign w:val="bottom"/>
          </w:tcPr>
          <w:p w:rsidR="002B489A" w:rsidRDefault="004F19C4">
            <w:pPr>
              <w:pStyle w:val="Tabletext"/>
              <w:framePr w:hSpace="181" w:wrap="notBeside" w:vAnchor="text" w:hAnchor="text" w:xAlign="center" w:y="1"/>
              <w:spacing w:before="20" w:after="20" w:line="240" w:lineRule="exact"/>
              <w:jc w:val="center"/>
              <w:rPr>
                <w:rFonts w:eastAsia="Arial Unicode MS"/>
                <w:b/>
                <w:lang w:val="fr-CH"/>
              </w:rPr>
            </w:pPr>
            <w:r>
              <w:rPr>
                <w:lang w:val="fr-CH"/>
              </w:rPr>
              <w:t>–</w:t>
            </w:r>
            <w:r>
              <w:rPr>
                <w:b/>
                <w:lang w:val="fr-CH"/>
              </w:rPr>
              <w:t>32,5</w:t>
            </w:r>
          </w:p>
        </w:tc>
        <w:tc>
          <w:tcPr>
            <w:tcW w:w="1248" w:type="dxa"/>
            <w:vAlign w:val="bottom"/>
          </w:tcPr>
          <w:p w:rsidR="002B489A" w:rsidRDefault="004F19C4">
            <w:pPr>
              <w:pStyle w:val="Tabletext"/>
              <w:framePr w:hSpace="181" w:wrap="notBeside" w:vAnchor="text" w:hAnchor="text" w:xAlign="center" w:y="1"/>
              <w:spacing w:before="20" w:after="20" w:line="240" w:lineRule="exact"/>
              <w:jc w:val="center"/>
              <w:rPr>
                <w:rFonts w:eastAsia="Arial Unicode MS"/>
                <w:b/>
                <w:lang w:val="fr-CH"/>
              </w:rPr>
            </w:pPr>
            <w:r>
              <w:rPr>
                <w:lang w:val="fr-CH"/>
              </w:rPr>
              <w:t>–</w:t>
            </w:r>
            <w:r>
              <w:rPr>
                <w:b/>
                <w:lang w:val="fr-CH"/>
              </w:rPr>
              <w:t>32,5</w:t>
            </w:r>
          </w:p>
        </w:tc>
      </w:tr>
    </w:tbl>
    <w:p w:rsidR="002B489A" w:rsidRDefault="002B489A">
      <w:pPr>
        <w:pStyle w:val="Tablefin"/>
        <w:spacing w:before="0"/>
        <w:rPr>
          <w:sz w:val="2"/>
          <w:lang w:val="fr-CH"/>
        </w:rPr>
      </w:pPr>
    </w:p>
    <w:p w:rsidR="002B489A" w:rsidRDefault="004F19C4">
      <w:pPr>
        <w:spacing w:before="240"/>
        <w:rPr>
          <w:lang w:val="fr-CH"/>
        </w:rPr>
      </w:pPr>
      <w:r>
        <w:rPr>
          <w:lang w:val="fr-CH"/>
        </w:rPr>
        <w:br w:type="page"/>
        <w:t>Pour les stations terminales point-multipoint (voir le Tableau 127), on a utilisé la Recommandation UIT-R F.1245 pour calculer le gain d'antenne dans la direction du zénith. Pour les stations centrales P-MP, on a utilisé la Recommandation UIT-R </w:t>
      </w:r>
      <w:r>
        <w:rPr>
          <w:bCs/>
          <w:lang w:val="fr-CH"/>
        </w:rPr>
        <w:t xml:space="preserve">F.1336 </w:t>
      </w:r>
      <w:r>
        <w:rPr>
          <w:lang w:val="fr-CH"/>
        </w:rPr>
        <w:t>pour calculer le gain d'antenne dans la direction du zénith. La densité de sites de station centrale fonctionnant à la même fréquence est supposée être 0,3 terminal par km</w:t>
      </w:r>
      <w:r>
        <w:rPr>
          <w:vertAlign w:val="superscript"/>
          <w:lang w:val="fr-CH"/>
        </w:rPr>
        <w:t>2</w:t>
      </w:r>
      <w:r>
        <w:rPr>
          <w:lang w:val="fr-CH"/>
        </w:rPr>
        <w:t>. Sur le même site, deux stations centrales peuvent utiliser la même fréquence en supposant une antenne sectorielle à 90°. Dans la même cellule, deux stations terminales peuvent donc utiliser la même fréquence.</w:t>
      </w:r>
    </w:p>
    <w:p w:rsidR="002B489A" w:rsidRDefault="004F19C4">
      <w:pPr>
        <w:pStyle w:val="TableNo"/>
        <w:rPr>
          <w:lang w:val="fr-CH"/>
        </w:rPr>
      </w:pPr>
      <w:r>
        <w:rPr>
          <w:lang w:val="fr-CH"/>
        </w:rPr>
        <w:t>TABLEAU  127</w:t>
      </w:r>
    </w:p>
    <w:p w:rsidR="002B489A" w:rsidRDefault="004F19C4">
      <w:pPr>
        <w:pStyle w:val="Tabletitle"/>
        <w:rPr>
          <w:lang w:val="fr-CH"/>
        </w:rPr>
      </w:pPr>
      <w:r>
        <w:rPr>
          <w:lang w:val="fr-CH"/>
        </w:rPr>
        <w:t xml:space="preserve">Niveau acceptable de rayonnements non désirés d'un système </w:t>
      </w:r>
      <w:r>
        <w:rPr>
          <w:lang w:val="fr-CH"/>
        </w:rPr>
        <w:br/>
        <w:t>du service fixe P-MP tombant dans la bande SETS</w:t>
      </w:r>
    </w:p>
    <w:tbl>
      <w:tblPr>
        <w:tblW w:w="689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470"/>
        <w:gridCol w:w="1212"/>
        <w:gridCol w:w="1212"/>
      </w:tblGrid>
      <w:tr w:rsidR="002B489A">
        <w:tc>
          <w:tcPr>
            <w:tcW w:w="4470" w:type="dxa"/>
            <w:vAlign w:val="bottom"/>
          </w:tcPr>
          <w:p w:rsidR="002B489A" w:rsidRDefault="004F19C4">
            <w:pPr>
              <w:pStyle w:val="Tabletext"/>
              <w:framePr w:hSpace="181" w:wrap="notBeside" w:vAnchor="text" w:hAnchor="text" w:xAlign="center" w:y="1"/>
              <w:jc w:val="left"/>
              <w:rPr>
                <w:rFonts w:eastAsia="Arial Unicode MS"/>
                <w:lang w:val="es-ES"/>
              </w:rPr>
            </w:pPr>
            <w:r>
              <w:rPr>
                <w:lang w:val="fr-CH"/>
              </w:rPr>
              <w:t>Fréquence (GHz)</w:t>
            </w:r>
          </w:p>
        </w:tc>
        <w:tc>
          <w:tcPr>
            <w:tcW w:w="2424" w:type="dxa"/>
            <w:gridSpan w:val="2"/>
            <w:vAlign w:val="bottom"/>
          </w:tcPr>
          <w:p w:rsidR="002B489A" w:rsidRDefault="004F19C4">
            <w:pPr>
              <w:pStyle w:val="Tabletext"/>
              <w:framePr w:hSpace="181" w:wrap="notBeside" w:vAnchor="text" w:hAnchor="text" w:xAlign="center" w:y="1"/>
              <w:jc w:val="center"/>
              <w:rPr>
                <w:rFonts w:eastAsia="Arial Unicode MS"/>
                <w:lang w:val="es-ES"/>
              </w:rPr>
            </w:pPr>
            <w:r>
              <w:rPr>
                <w:lang w:val="es-ES"/>
              </w:rPr>
              <w:t>52,6</w:t>
            </w:r>
          </w:p>
        </w:tc>
      </w:tr>
      <w:tr w:rsidR="002B489A">
        <w:tc>
          <w:tcPr>
            <w:tcW w:w="4470" w:type="dxa"/>
            <w:vAlign w:val="bottom"/>
          </w:tcPr>
          <w:p w:rsidR="002B489A" w:rsidRDefault="004F19C4">
            <w:pPr>
              <w:pStyle w:val="Tabletext"/>
              <w:framePr w:hSpace="181" w:wrap="notBeside" w:vAnchor="text" w:hAnchor="text" w:xAlign="center" w:y="1"/>
              <w:jc w:val="left"/>
              <w:rPr>
                <w:rFonts w:eastAsia="Arial Unicode MS"/>
                <w:lang w:val="fr-CH"/>
              </w:rPr>
            </w:pPr>
            <w:r>
              <w:rPr>
                <w:lang w:val="fr-CH"/>
              </w:rPr>
              <w:t>Critères de brouillage (dB(W/100 MHz))</w:t>
            </w:r>
          </w:p>
        </w:tc>
        <w:tc>
          <w:tcPr>
            <w:tcW w:w="2424" w:type="dxa"/>
            <w:gridSpan w:val="2"/>
            <w:vAlign w:val="bottom"/>
          </w:tcPr>
          <w:p w:rsidR="002B489A" w:rsidRDefault="004F19C4">
            <w:pPr>
              <w:pStyle w:val="Tabletext"/>
              <w:framePr w:hSpace="181" w:wrap="notBeside" w:vAnchor="text" w:hAnchor="text" w:xAlign="center" w:y="1"/>
              <w:jc w:val="center"/>
              <w:rPr>
                <w:rFonts w:eastAsia="Arial Unicode MS"/>
                <w:lang w:val="es-ES"/>
              </w:rPr>
            </w:pPr>
            <w:r>
              <w:rPr>
                <w:lang w:val="es-ES"/>
              </w:rPr>
              <w:t>–166</w:t>
            </w:r>
          </w:p>
        </w:tc>
      </w:tr>
      <w:tr w:rsidR="002B489A">
        <w:tc>
          <w:tcPr>
            <w:tcW w:w="4470" w:type="dxa"/>
            <w:vAlign w:val="bottom"/>
          </w:tcPr>
          <w:p w:rsidR="002B489A" w:rsidRDefault="004F19C4">
            <w:pPr>
              <w:pStyle w:val="Tabletext"/>
              <w:framePr w:hSpace="181" w:wrap="notBeside" w:vAnchor="text" w:hAnchor="text" w:xAlign="center" w:y="1"/>
              <w:jc w:val="left"/>
              <w:rPr>
                <w:rFonts w:eastAsia="Arial Unicode MS"/>
                <w:lang w:val="es-ES"/>
              </w:rPr>
            </w:pPr>
            <w:r>
              <w:rPr>
                <w:lang w:val="fr-CH"/>
              </w:rPr>
              <w:t>Altitude (km)</w:t>
            </w:r>
          </w:p>
        </w:tc>
        <w:tc>
          <w:tcPr>
            <w:tcW w:w="2424" w:type="dxa"/>
            <w:gridSpan w:val="2"/>
            <w:vAlign w:val="bottom"/>
          </w:tcPr>
          <w:p w:rsidR="002B489A" w:rsidRDefault="004F19C4">
            <w:pPr>
              <w:pStyle w:val="Tabletext"/>
              <w:framePr w:hSpace="181" w:wrap="notBeside" w:vAnchor="text" w:hAnchor="text" w:xAlign="center" w:y="1"/>
              <w:jc w:val="center"/>
              <w:rPr>
                <w:rFonts w:eastAsia="Arial Unicode MS"/>
                <w:lang w:val="es-ES"/>
              </w:rPr>
            </w:pPr>
            <w:r>
              <w:rPr>
                <w:lang w:val="es-ES"/>
              </w:rPr>
              <w:t>850</w:t>
            </w:r>
          </w:p>
        </w:tc>
      </w:tr>
      <w:tr w:rsidR="002B489A">
        <w:tc>
          <w:tcPr>
            <w:tcW w:w="4470" w:type="dxa"/>
            <w:vAlign w:val="bottom"/>
          </w:tcPr>
          <w:p w:rsidR="002B489A" w:rsidRDefault="004F19C4">
            <w:pPr>
              <w:pStyle w:val="Tabletext"/>
              <w:framePr w:hSpace="181" w:wrap="notBeside" w:vAnchor="text" w:hAnchor="text" w:xAlign="center" w:y="1"/>
              <w:jc w:val="left"/>
              <w:rPr>
                <w:rFonts w:eastAsia="Arial Unicode MS"/>
                <w:lang w:val="fr-CH"/>
              </w:rPr>
            </w:pPr>
            <w:r>
              <w:rPr>
                <w:lang w:val="fr-CH"/>
              </w:rPr>
              <w:t>Largeur de bande de référence (MHz)</w:t>
            </w:r>
          </w:p>
        </w:tc>
        <w:tc>
          <w:tcPr>
            <w:tcW w:w="2424" w:type="dxa"/>
            <w:gridSpan w:val="2"/>
            <w:vAlign w:val="bottom"/>
          </w:tcPr>
          <w:p w:rsidR="002B489A" w:rsidRDefault="004F19C4">
            <w:pPr>
              <w:pStyle w:val="Tabletext"/>
              <w:framePr w:hSpace="181" w:wrap="notBeside" w:vAnchor="text" w:hAnchor="text" w:xAlign="center" w:y="1"/>
              <w:jc w:val="center"/>
              <w:rPr>
                <w:rFonts w:eastAsia="Arial Unicode MS"/>
                <w:lang w:val="es-ES"/>
              </w:rPr>
            </w:pPr>
            <w:r>
              <w:rPr>
                <w:lang w:val="es-ES"/>
              </w:rPr>
              <w:t>100</w:t>
            </w:r>
          </w:p>
        </w:tc>
      </w:tr>
      <w:tr w:rsidR="002B489A">
        <w:tc>
          <w:tcPr>
            <w:tcW w:w="4470" w:type="dxa"/>
            <w:vAlign w:val="bottom"/>
          </w:tcPr>
          <w:p w:rsidR="002B489A" w:rsidRDefault="004F19C4">
            <w:pPr>
              <w:pStyle w:val="Tabletext"/>
              <w:framePr w:hSpace="181" w:wrap="notBeside" w:vAnchor="text" w:hAnchor="text" w:xAlign="center" w:y="1"/>
              <w:jc w:val="left"/>
              <w:rPr>
                <w:rFonts w:eastAsia="Arial Unicode MS"/>
                <w:lang w:val="es-ES"/>
              </w:rPr>
            </w:pPr>
            <w:r>
              <w:rPr>
                <w:lang w:val="fr-CH"/>
              </w:rPr>
              <w:t>Gain SETS</w:t>
            </w:r>
          </w:p>
        </w:tc>
        <w:tc>
          <w:tcPr>
            <w:tcW w:w="2424" w:type="dxa"/>
            <w:gridSpan w:val="2"/>
            <w:vAlign w:val="bottom"/>
          </w:tcPr>
          <w:p w:rsidR="002B489A" w:rsidRDefault="004F19C4">
            <w:pPr>
              <w:pStyle w:val="Tabletext"/>
              <w:framePr w:hSpace="181" w:wrap="notBeside" w:vAnchor="text" w:hAnchor="text" w:xAlign="center" w:y="1"/>
              <w:jc w:val="center"/>
              <w:rPr>
                <w:rFonts w:eastAsia="Arial Unicode MS"/>
                <w:lang w:val="es-ES"/>
              </w:rPr>
            </w:pPr>
            <w:r>
              <w:rPr>
                <w:lang w:val="es-ES"/>
              </w:rPr>
              <w:t>45</w:t>
            </w:r>
          </w:p>
        </w:tc>
      </w:tr>
      <w:tr w:rsidR="002B489A">
        <w:tc>
          <w:tcPr>
            <w:tcW w:w="4470" w:type="dxa"/>
            <w:vAlign w:val="bottom"/>
          </w:tcPr>
          <w:p w:rsidR="002B489A" w:rsidRDefault="004F19C4">
            <w:pPr>
              <w:pStyle w:val="Tabletext"/>
              <w:framePr w:hSpace="181" w:wrap="notBeside" w:vAnchor="text" w:hAnchor="text" w:xAlign="center" w:y="1"/>
              <w:jc w:val="left"/>
              <w:rPr>
                <w:rFonts w:eastAsia="Arial Unicode MS"/>
                <w:lang w:val="fr-CH"/>
              </w:rPr>
            </w:pPr>
            <w:r>
              <w:rPr>
                <w:lang w:val="fr-CH"/>
              </w:rPr>
              <w:t>Affaiblissement en espace libre</w:t>
            </w:r>
          </w:p>
        </w:tc>
        <w:tc>
          <w:tcPr>
            <w:tcW w:w="2424" w:type="dxa"/>
            <w:gridSpan w:val="2"/>
            <w:vAlign w:val="bottom"/>
          </w:tcPr>
          <w:p w:rsidR="002B489A" w:rsidRDefault="004F19C4">
            <w:pPr>
              <w:pStyle w:val="Tabletext"/>
              <w:framePr w:hSpace="181" w:wrap="notBeside" w:vAnchor="text" w:hAnchor="text" w:xAlign="center" w:y="1"/>
              <w:jc w:val="center"/>
              <w:rPr>
                <w:rFonts w:eastAsia="Arial Unicode MS"/>
                <w:lang w:val="es-ES"/>
              </w:rPr>
            </w:pPr>
            <w:r>
              <w:rPr>
                <w:lang w:val="es-ES"/>
              </w:rPr>
              <w:t>185,5</w:t>
            </w:r>
          </w:p>
        </w:tc>
      </w:tr>
      <w:tr w:rsidR="002B489A">
        <w:tc>
          <w:tcPr>
            <w:tcW w:w="4470" w:type="dxa"/>
            <w:vAlign w:val="bottom"/>
          </w:tcPr>
          <w:p w:rsidR="002B489A" w:rsidRDefault="004F19C4">
            <w:pPr>
              <w:pStyle w:val="Tabletext"/>
              <w:framePr w:hSpace="181" w:wrap="notBeside" w:vAnchor="text" w:hAnchor="text" w:xAlign="center" w:y="1"/>
              <w:jc w:val="left"/>
              <w:rPr>
                <w:rFonts w:eastAsia="Arial Unicode MS"/>
                <w:lang w:val="fr-CH"/>
              </w:rPr>
            </w:pPr>
            <w:r>
              <w:rPr>
                <w:lang w:val="fr-CH"/>
              </w:rPr>
              <w:t>Absorption gazeuse</w:t>
            </w:r>
          </w:p>
        </w:tc>
        <w:tc>
          <w:tcPr>
            <w:tcW w:w="2424" w:type="dxa"/>
            <w:gridSpan w:val="2"/>
            <w:vAlign w:val="bottom"/>
          </w:tcPr>
          <w:p w:rsidR="002B489A" w:rsidRDefault="004F19C4">
            <w:pPr>
              <w:pStyle w:val="Tabletext"/>
              <w:framePr w:hSpace="181" w:wrap="notBeside" w:vAnchor="text" w:hAnchor="text" w:xAlign="center" w:y="1"/>
              <w:jc w:val="center"/>
              <w:rPr>
                <w:lang w:val="fr-CH"/>
              </w:rPr>
            </w:pPr>
            <w:r>
              <w:rPr>
                <w:lang w:val="fr-CH"/>
              </w:rPr>
              <w:t>3</w:t>
            </w:r>
          </w:p>
        </w:tc>
      </w:tr>
      <w:tr w:rsidR="002B489A">
        <w:tc>
          <w:tcPr>
            <w:tcW w:w="4470" w:type="dxa"/>
            <w:vAlign w:val="bottom"/>
          </w:tcPr>
          <w:p w:rsidR="002B489A" w:rsidRDefault="004F19C4">
            <w:pPr>
              <w:pStyle w:val="Tabletext"/>
              <w:framePr w:hSpace="181" w:wrap="notBeside" w:vAnchor="text" w:hAnchor="text" w:xAlign="center" w:y="1"/>
              <w:jc w:val="left"/>
              <w:rPr>
                <w:rFonts w:eastAsia="Arial Unicode MS"/>
                <w:lang w:val="fr-CH"/>
              </w:rPr>
            </w:pPr>
            <w:r>
              <w:rPr>
                <w:lang w:val="fr-CH"/>
              </w:rPr>
              <w:t>Agrégé à la Terre (dB(W/100 MHz))</w:t>
            </w:r>
          </w:p>
        </w:tc>
        <w:tc>
          <w:tcPr>
            <w:tcW w:w="2424" w:type="dxa"/>
            <w:gridSpan w:val="2"/>
            <w:vAlign w:val="bottom"/>
          </w:tcPr>
          <w:p w:rsidR="002B489A" w:rsidRDefault="004F19C4">
            <w:pPr>
              <w:pStyle w:val="Tabletext"/>
              <w:framePr w:hSpace="181" w:wrap="notBeside" w:vAnchor="text" w:hAnchor="text" w:xAlign="center" w:y="1"/>
              <w:jc w:val="center"/>
              <w:rPr>
                <w:rFonts w:eastAsia="Arial Unicode MS"/>
                <w:lang w:val="es-ES"/>
              </w:rPr>
            </w:pPr>
            <w:r>
              <w:rPr>
                <w:lang w:val="es-ES"/>
              </w:rPr>
              <w:t>–22,5</w:t>
            </w:r>
          </w:p>
        </w:tc>
      </w:tr>
      <w:tr w:rsidR="002B489A">
        <w:tc>
          <w:tcPr>
            <w:tcW w:w="4470" w:type="dxa"/>
            <w:vAlign w:val="bottom"/>
          </w:tcPr>
          <w:p w:rsidR="002B489A" w:rsidRDefault="004F19C4">
            <w:pPr>
              <w:pStyle w:val="Tabletext"/>
              <w:framePr w:hSpace="181" w:wrap="notBeside" w:vAnchor="text" w:hAnchor="text" w:xAlign="center" w:y="1"/>
              <w:jc w:val="left"/>
              <w:rPr>
                <w:rFonts w:eastAsia="Arial Unicode MS"/>
                <w:lang w:val="fr-CH"/>
              </w:rPr>
            </w:pPr>
            <w:r>
              <w:rPr>
                <w:lang w:val="fr-CH"/>
              </w:rPr>
              <w:t>Agrégé à la Terre (dB(W/MHz))</w:t>
            </w:r>
          </w:p>
        </w:tc>
        <w:tc>
          <w:tcPr>
            <w:tcW w:w="2424" w:type="dxa"/>
            <w:gridSpan w:val="2"/>
            <w:vAlign w:val="bottom"/>
          </w:tcPr>
          <w:p w:rsidR="002B489A" w:rsidRDefault="004F19C4">
            <w:pPr>
              <w:pStyle w:val="Tabletext"/>
              <w:framePr w:hSpace="181" w:wrap="notBeside" w:vAnchor="text" w:hAnchor="text" w:xAlign="center" w:y="1"/>
              <w:jc w:val="center"/>
              <w:rPr>
                <w:rFonts w:eastAsia="Arial Unicode MS"/>
                <w:lang w:val="es-ES"/>
              </w:rPr>
            </w:pPr>
            <w:r>
              <w:rPr>
                <w:lang w:val="es-ES"/>
              </w:rPr>
              <w:t>–42,5</w:t>
            </w:r>
          </w:p>
        </w:tc>
      </w:tr>
      <w:tr w:rsidR="002B489A">
        <w:tc>
          <w:tcPr>
            <w:tcW w:w="4470" w:type="dxa"/>
            <w:vAlign w:val="bottom"/>
          </w:tcPr>
          <w:p w:rsidR="002B489A" w:rsidRDefault="004F19C4">
            <w:pPr>
              <w:pStyle w:val="Tabletext"/>
              <w:framePr w:hSpace="181" w:wrap="notBeside" w:vAnchor="text" w:hAnchor="text" w:xAlign="center" w:y="1"/>
              <w:jc w:val="left"/>
              <w:rPr>
                <w:rFonts w:eastAsia="Arial Unicode MS"/>
                <w:i/>
                <w:iCs/>
                <w:lang w:val="fr-CH"/>
              </w:rPr>
            </w:pPr>
            <w:r>
              <w:rPr>
                <w:i/>
                <w:iCs/>
                <w:lang w:val="fr-CH"/>
              </w:rPr>
              <w:t>Type de station</w:t>
            </w:r>
          </w:p>
        </w:tc>
        <w:tc>
          <w:tcPr>
            <w:tcW w:w="1212" w:type="dxa"/>
            <w:vAlign w:val="bottom"/>
          </w:tcPr>
          <w:p w:rsidR="002B489A" w:rsidRDefault="004F19C4">
            <w:pPr>
              <w:pStyle w:val="Tabletext"/>
              <w:framePr w:hSpace="181" w:wrap="notBeside" w:vAnchor="text" w:hAnchor="text" w:xAlign="center" w:y="1"/>
              <w:jc w:val="center"/>
              <w:rPr>
                <w:lang w:val="es-ES"/>
              </w:rPr>
            </w:pPr>
            <w:r>
              <w:rPr>
                <w:lang w:val="fr-CH"/>
              </w:rPr>
              <w:t>Centrale</w:t>
            </w:r>
          </w:p>
        </w:tc>
        <w:tc>
          <w:tcPr>
            <w:tcW w:w="1212" w:type="dxa"/>
            <w:vAlign w:val="bottom"/>
          </w:tcPr>
          <w:p w:rsidR="002B489A" w:rsidRDefault="004F19C4">
            <w:pPr>
              <w:pStyle w:val="Tabletext"/>
              <w:framePr w:hSpace="181" w:wrap="notBeside" w:vAnchor="text" w:hAnchor="text" w:xAlign="center" w:y="1"/>
              <w:jc w:val="center"/>
              <w:rPr>
                <w:lang w:val="es-ES"/>
              </w:rPr>
            </w:pPr>
            <w:r>
              <w:rPr>
                <w:lang w:val="fr-CH"/>
              </w:rPr>
              <w:t>Terminale</w:t>
            </w:r>
          </w:p>
        </w:tc>
      </w:tr>
      <w:tr w:rsidR="002B489A">
        <w:tc>
          <w:tcPr>
            <w:tcW w:w="4470" w:type="dxa"/>
            <w:vAlign w:val="bottom"/>
          </w:tcPr>
          <w:p w:rsidR="002B489A" w:rsidRDefault="004F19C4">
            <w:pPr>
              <w:pStyle w:val="Tabletext"/>
              <w:framePr w:hSpace="181" w:wrap="notBeside" w:vAnchor="text" w:hAnchor="text" w:xAlign="center" w:y="1"/>
              <w:ind w:left="284" w:right="284"/>
              <w:jc w:val="left"/>
              <w:rPr>
                <w:rFonts w:eastAsia="Arial Unicode MS"/>
                <w:lang w:val="fr-CH"/>
              </w:rPr>
            </w:pPr>
            <w:r>
              <w:rPr>
                <w:lang w:val="fr-CH"/>
              </w:rPr>
              <w:t>Espacement entre canaux (MHz)</w:t>
            </w:r>
          </w:p>
        </w:tc>
        <w:tc>
          <w:tcPr>
            <w:tcW w:w="1212" w:type="dxa"/>
            <w:vAlign w:val="bottom"/>
          </w:tcPr>
          <w:p w:rsidR="002B489A" w:rsidRDefault="004F19C4">
            <w:pPr>
              <w:pStyle w:val="Tabletext"/>
              <w:framePr w:hSpace="181" w:wrap="notBeside" w:vAnchor="text" w:hAnchor="text" w:xAlign="center" w:y="1"/>
              <w:jc w:val="center"/>
              <w:rPr>
                <w:rFonts w:eastAsia="Arial Unicode MS"/>
                <w:lang w:val="es-ES"/>
              </w:rPr>
            </w:pPr>
            <w:r>
              <w:rPr>
                <w:lang w:val="es-ES"/>
              </w:rPr>
              <w:t>28</w:t>
            </w:r>
          </w:p>
        </w:tc>
        <w:tc>
          <w:tcPr>
            <w:tcW w:w="1212" w:type="dxa"/>
            <w:vAlign w:val="bottom"/>
          </w:tcPr>
          <w:p w:rsidR="002B489A" w:rsidRDefault="004F19C4">
            <w:pPr>
              <w:pStyle w:val="Tabletext"/>
              <w:framePr w:hSpace="181" w:wrap="notBeside" w:vAnchor="text" w:hAnchor="text" w:xAlign="center" w:y="1"/>
              <w:jc w:val="center"/>
              <w:rPr>
                <w:rFonts w:eastAsia="Arial Unicode MS"/>
                <w:lang w:val="es-ES"/>
              </w:rPr>
            </w:pPr>
            <w:r>
              <w:rPr>
                <w:lang w:val="es-ES"/>
              </w:rPr>
              <w:t>28</w:t>
            </w:r>
          </w:p>
        </w:tc>
      </w:tr>
      <w:tr w:rsidR="002B489A">
        <w:tc>
          <w:tcPr>
            <w:tcW w:w="4470" w:type="dxa"/>
            <w:vAlign w:val="bottom"/>
          </w:tcPr>
          <w:p w:rsidR="002B489A" w:rsidRDefault="004F19C4">
            <w:pPr>
              <w:pStyle w:val="Tabletext"/>
              <w:framePr w:hSpace="181" w:wrap="notBeside" w:vAnchor="text" w:hAnchor="text" w:xAlign="center" w:y="1"/>
              <w:ind w:left="284" w:right="284"/>
              <w:jc w:val="left"/>
              <w:rPr>
                <w:rFonts w:eastAsia="Arial Unicode MS"/>
                <w:lang w:val="fr-CH"/>
              </w:rPr>
            </w:pPr>
            <w:r>
              <w:rPr>
                <w:lang w:val="fr-CH"/>
              </w:rPr>
              <w:t>Gain d'antenne du service fixe</w:t>
            </w:r>
          </w:p>
        </w:tc>
        <w:tc>
          <w:tcPr>
            <w:tcW w:w="1212" w:type="dxa"/>
            <w:vAlign w:val="bottom"/>
          </w:tcPr>
          <w:p w:rsidR="002B489A" w:rsidRDefault="004F19C4">
            <w:pPr>
              <w:pStyle w:val="Tabletext"/>
              <w:framePr w:hSpace="181" w:wrap="notBeside" w:vAnchor="text" w:hAnchor="text" w:xAlign="center" w:y="1"/>
              <w:jc w:val="center"/>
              <w:rPr>
                <w:rFonts w:eastAsia="Arial Unicode MS"/>
                <w:lang w:val="es-ES"/>
              </w:rPr>
            </w:pPr>
            <w:r>
              <w:rPr>
                <w:lang w:val="es-ES"/>
              </w:rPr>
              <w:t>14</w:t>
            </w:r>
          </w:p>
        </w:tc>
        <w:tc>
          <w:tcPr>
            <w:tcW w:w="1212" w:type="dxa"/>
            <w:vAlign w:val="bottom"/>
          </w:tcPr>
          <w:p w:rsidR="002B489A" w:rsidRDefault="004F19C4">
            <w:pPr>
              <w:pStyle w:val="Tabletext"/>
              <w:framePr w:hSpace="181" w:wrap="notBeside" w:vAnchor="text" w:hAnchor="text" w:xAlign="center" w:y="1"/>
              <w:jc w:val="center"/>
              <w:rPr>
                <w:rFonts w:eastAsia="Arial Unicode MS"/>
                <w:lang w:val="es-ES"/>
              </w:rPr>
            </w:pPr>
            <w:r>
              <w:rPr>
                <w:lang w:val="es-ES"/>
              </w:rPr>
              <w:t>41</w:t>
            </w:r>
          </w:p>
        </w:tc>
      </w:tr>
      <w:tr w:rsidR="002B489A">
        <w:tc>
          <w:tcPr>
            <w:tcW w:w="4470" w:type="dxa"/>
            <w:vAlign w:val="bottom"/>
          </w:tcPr>
          <w:p w:rsidR="002B489A" w:rsidRDefault="004F19C4">
            <w:pPr>
              <w:pStyle w:val="Tabletext"/>
              <w:framePr w:hSpace="181" w:wrap="notBeside" w:vAnchor="text" w:hAnchor="text" w:xAlign="center" w:y="1"/>
              <w:ind w:left="284" w:right="284"/>
              <w:jc w:val="left"/>
              <w:rPr>
                <w:rFonts w:eastAsia="Arial Unicode MS"/>
                <w:lang w:val="fr-CH"/>
              </w:rPr>
            </w:pPr>
            <w:r>
              <w:rPr>
                <w:lang w:val="fr-CH"/>
              </w:rPr>
              <w:t>Gain du service fixe dans la direction du SETS</w:t>
            </w:r>
          </w:p>
        </w:tc>
        <w:tc>
          <w:tcPr>
            <w:tcW w:w="1212" w:type="dxa"/>
          </w:tcPr>
          <w:p w:rsidR="002B489A" w:rsidRDefault="004F19C4">
            <w:pPr>
              <w:pStyle w:val="Tabletext"/>
              <w:framePr w:hSpace="181" w:wrap="notBeside" w:vAnchor="text" w:hAnchor="text" w:xAlign="center" w:y="1"/>
              <w:jc w:val="center"/>
              <w:rPr>
                <w:rFonts w:eastAsia="Arial Unicode MS"/>
                <w:lang w:val="es-ES"/>
              </w:rPr>
            </w:pPr>
            <w:r>
              <w:rPr>
                <w:lang w:val="es-ES"/>
              </w:rPr>
              <w:t>–10,3</w:t>
            </w:r>
          </w:p>
        </w:tc>
        <w:tc>
          <w:tcPr>
            <w:tcW w:w="1212" w:type="dxa"/>
          </w:tcPr>
          <w:p w:rsidR="002B489A" w:rsidRDefault="004F19C4">
            <w:pPr>
              <w:pStyle w:val="Tabletext"/>
              <w:framePr w:hSpace="181" w:wrap="notBeside" w:vAnchor="text" w:hAnchor="text" w:xAlign="center" w:y="1"/>
              <w:jc w:val="center"/>
              <w:rPr>
                <w:rFonts w:eastAsia="Arial Unicode MS"/>
                <w:lang w:val="es-ES"/>
              </w:rPr>
            </w:pPr>
            <w:r>
              <w:rPr>
                <w:lang w:val="es-ES"/>
              </w:rPr>
              <w:t>–11,3</w:t>
            </w:r>
          </w:p>
        </w:tc>
      </w:tr>
      <w:tr w:rsidR="002B489A">
        <w:tc>
          <w:tcPr>
            <w:tcW w:w="4470" w:type="dxa"/>
            <w:vAlign w:val="bottom"/>
          </w:tcPr>
          <w:p w:rsidR="002B489A" w:rsidRDefault="004F19C4">
            <w:pPr>
              <w:pStyle w:val="Tabletext"/>
              <w:framePr w:hSpace="181" w:wrap="notBeside" w:vAnchor="text" w:hAnchor="text" w:xAlign="center" w:y="1"/>
              <w:ind w:left="284" w:right="284"/>
              <w:jc w:val="left"/>
              <w:rPr>
                <w:rFonts w:eastAsia="Arial Unicode MS"/>
                <w:lang w:val="fr-CH"/>
              </w:rPr>
            </w:pPr>
            <w:r>
              <w:rPr>
                <w:lang w:val="fr-CH"/>
              </w:rPr>
              <w:t>Puissance cumulée (dB(W/MHz))</w:t>
            </w:r>
          </w:p>
        </w:tc>
        <w:tc>
          <w:tcPr>
            <w:tcW w:w="1212" w:type="dxa"/>
            <w:vAlign w:val="bottom"/>
          </w:tcPr>
          <w:p w:rsidR="002B489A" w:rsidRDefault="004F19C4">
            <w:pPr>
              <w:pStyle w:val="Tabletext"/>
              <w:framePr w:hSpace="181" w:wrap="notBeside" w:vAnchor="text" w:hAnchor="text" w:xAlign="center" w:y="1"/>
              <w:jc w:val="center"/>
              <w:rPr>
                <w:rFonts w:eastAsia="Arial Unicode MS"/>
                <w:lang w:val="es-ES"/>
              </w:rPr>
            </w:pPr>
            <w:r>
              <w:rPr>
                <w:lang w:val="es-ES"/>
              </w:rPr>
              <w:t>–32,2</w:t>
            </w:r>
          </w:p>
        </w:tc>
        <w:tc>
          <w:tcPr>
            <w:tcW w:w="1212" w:type="dxa"/>
            <w:vAlign w:val="bottom"/>
          </w:tcPr>
          <w:p w:rsidR="002B489A" w:rsidRDefault="004F19C4">
            <w:pPr>
              <w:pStyle w:val="Tabletext"/>
              <w:framePr w:hSpace="181" w:wrap="notBeside" w:vAnchor="text" w:hAnchor="text" w:xAlign="center" w:y="1"/>
              <w:jc w:val="center"/>
              <w:rPr>
                <w:rFonts w:eastAsia="Arial Unicode MS"/>
                <w:lang w:val="es-ES"/>
              </w:rPr>
            </w:pPr>
            <w:r>
              <w:t>–</w:t>
            </w:r>
            <w:r>
              <w:rPr>
                <w:lang w:val="es-ES"/>
              </w:rPr>
              <w:t>31,2</w:t>
            </w:r>
          </w:p>
        </w:tc>
      </w:tr>
      <w:tr w:rsidR="002B489A">
        <w:tc>
          <w:tcPr>
            <w:tcW w:w="4470" w:type="dxa"/>
            <w:vAlign w:val="bottom"/>
          </w:tcPr>
          <w:p w:rsidR="002B489A" w:rsidRDefault="004F19C4">
            <w:pPr>
              <w:pStyle w:val="Tabletext"/>
              <w:framePr w:hSpace="181" w:wrap="notBeside" w:vAnchor="text" w:hAnchor="text" w:xAlign="center" w:y="1"/>
              <w:ind w:left="284" w:right="284"/>
              <w:jc w:val="left"/>
              <w:rPr>
                <w:rFonts w:eastAsia="Arial Unicode MS"/>
                <w:lang w:val="fr-CH"/>
              </w:rPr>
            </w:pPr>
            <w:r>
              <w:rPr>
                <w:lang w:val="fr-CH"/>
              </w:rPr>
              <w:t>Densité de systèmes par km</w:t>
            </w:r>
            <w:r>
              <w:rPr>
                <w:vertAlign w:val="superscript"/>
                <w:lang w:val="fr-CH"/>
              </w:rPr>
              <w:t>2</w:t>
            </w:r>
          </w:p>
        </w:tc>
        <w:tc>
          <w:tcPr>
            <w:tcW w:w="1212" w:type="dxa"/>
            <w:vAlign w:val="bottom"/>
          </w:tcPr>
          <w:p w:rsidR="002B489A" w:rsidRDefault="004F19C4">
            <w:pPr>
              <w:pStyle w:val="Tabletext"/>
              <w:framePr w:hSpace="181" w:wrap="notBeside" w:vAnchor="text" w:hAnchor="text" w:xAlign="center" w:y="1"/>
              <w:jc w:val="center"/>
              <w:rPr>
                <w:rFonts w:eastAsia="Arial Unicode MS"/>
                <w:lang w:val="de-DE"/>
              </w:rPr>
            </w:pPr>
            <w:r>
              <w:rPr>
                <w:lang w:val="de-DE"/>
              </w:rPr>
              <w:t>0,6</w:t>
            </w:r>
          </w:p>
        </w:tc>
        <w:tc>
          <w:tcPr>
            <w:tcW w:w="1212" w:type="dxa"/>
            <w:vAlign w:val="bottom"/>
          </w:tcPr>
          <w:p w:rsidR="002B489A" w:rsidRDefault="004F19C4">
            <w:pPr>
              <w:pStyle w:val="Tabletext"/>
              <w:framePr w:hSpace="181" w:wrap="notBeside" w:vAnchor="text" w:hAnchor="text" w:xAlign="center" w:y="1"/>
              <w:jc w:val="center"/>
              <w:rPr>
                <w:rFonts w:eastAsia="Arial Unicode MS"/>
                <w:lang w:val="de-DE"/>
              </w:rPr>
            </w:pPr>
            <w:r>
              <w:rPr>
                <w:lang w:val="de-DE"/>
              </w:rPr>
              <w:t>0,6</w:t>
            </w:r>
          </w:p>
        </w:tc>
      </w:tr>
      <w:tr w:rsidR="002B489A">
        <w:tc>
          <w:tcPr>
            <w:tcW w:w="4470" w:type="dxa"/>
            <w:vAlign w:val="bottom"/>
          </w:tcPr>
          <w:p w:rsidR="002B489A" w:rsidRDefault="004F19C4">
            <w:pPr>
              <w:pStyle w:val="Tabletext"/>
              <w:framePr w:hSpace="181" w:wrap="notBeside" w:vAnchor="text" w:hAnchor="text" w:xAlign="center" w:y="1"/>
              <w:ind w:left="284" w:right="284"/>
              <w:jc w:val="left"/>
              <w:rPr>
                <w:rFonts w:eastAsia="Arial Unicode MS"/>
                <w:lang w:val="fr-CH"/>
              </w:rPr>
            </w:pPr>
            <w:r>
              <w:rPr>
                <w:lang w:val="fr-CH"/>
              </w:rPr>
              <w:t>Taille de pixel par km</w:t>
            </w:r>
            <w:r>
              <w:rPr>
                <w:vertAlign w:val="superscript"/>
                <w:lang w:val="fr-CH"/>
              </w:rPr>
              <w:t>2</w:t>
            </w:r>
          </w:p>
        </w:tc>
        <w:tc>
          <w:tcPr>
            <w:tcW w:w="1212" w:type="dxa"/>
            <w:vAlign w:val="bottom"/>
          </w:tcPr>
          <w:p w:rsidR="002B489A" w:rsidRDefault="004F19C4">
            <w:pPr>
              <w:pStyle w:val="Tabletext"/>
              <w:framePr w:hSpace="181" w:wrap="notBeside" w:vAnchor="text" w:hAnchor="text" w:xAlign="center" w:y="1"/>
              <w:jc w:val="center"/>
              <w:rPr>
                <w:rFonts w:eastAsia="Arial Unicode MS"/>
                <w:lang w:val="es-ES"/>
              </w:rPr>
            </w:pPr>
            <w:r>
              <w:rPr>
                <w:lang w:val="es-ES"/>
              </w:rPr>
              <w:t>201</w:t>
            </w:r>
          </w:p>
        </w:tc>
        <w:tc>
          <w:tcPr>
            <w:tcW w:w="1212" w:type="dxa"/>
            <w:vAlign w:val="bottom"/>
          </w:tcPr>
          <w:p w:rsidR="002B489A" w:rsidRDefault="004F19C4">
            <w:pPr>
              <w:pStyle w:val="Tabletext"/>
              <w:framePr w:hSpace="181" w:wrap="notBeside" w:vAnchor="text" w:hAnchor="text" w:xAlign="center" w:y="1"/>
              <w:jc w:val="center"/>
              <w:rPr>
                <w:rFonts w:eastAsia="Arial Unicode MS"/>
                <w:lang w:val="es-ES"/>
              </w:rPr>
            </w:pPr>
            <w:r>
              <w:rPr>
                <w:lang w:val="es-ES"/>
              </w:rPr>
              <w:t>201</w:t>
            </w:r>
          </w:p>
        </w:tc>
      </w:tr>
      <w:tr w:rsidR="002B489A">
        <w:tc>
          <w:tcPr>
            <w:tcW w:w="4470" w:type="dxa"/>
            <w:vAlign w:val="bottom"/>
          </w:tcPr>
          <w:p w:rsidR="002B489A" w:rsidRDefault="004F19C4">
            <w:pPr>
              <w:pStyle w:val="Tabletext"/>
              <w:framePr w:hSpace="181" w:wrap="notBeside" w:vAnchor="text" w:hAnchor="text" w:xAlign="center" w:y="1"/>
              <w:ind w:left="284" w:right="284"/>
              <w:jc w:val="left"/>
              <w:rPr>
                <w:rFonts w:eastAsia="Arial Unicode MS"/>
                <w:lang w:val="es-ES"/>
              </w:rPr>
            </w:pPr>
            <w:r>
              <w:rPr>
                <w:lang w:val="fr-CH"/>
              </w:rPr>
              <w:t>Nombre d'émetteurs</w:t>
            </w:r>
          </w:p>
        </w:tc>
        <w:tc>
          <w:tcPr>
            <w:tcW w:w="1212" w:type="dxa"/>
            <w:vAlign w:val="bottom"/>
          </w:tcPr>
          <w:p w:rsidR="002B489A" w:rsidRDefault="004F19C4">
            <w:pPr>
              <w:pStyle w:val="Tabletext"/>
              <w:framePr w:hSpace="181" w:wrap="notBeside" w:vAnchor="text" w:hAnchor="text" w:xAlign="center" w:y="1"/>
              <w:jc w:val="center"/>
              <w:rPr>
                <w:rFonts w:eastAsia="Arial Unicode MS"/>
                <w:lang w:val="es-ES"/>
              </w:rPr>
            </w:pPr>
            <w:r>
              <w:rPr>
                <w:lang w:val="es-ES"/>
              </w:rPr>
              <w:t>121</w:t>
            </w:r>
          </w:p>
        </w:tc>
        <w:tc>
          <w:tcPr>
            <w:tcW w:w="1212" w:type="dxa"/>
            <w:vAlign w:val="bottom"/>
          </w:tcPr>
          <w:p w:rsidR="002B489A" w:rsidRDefault="004F19C4">
            <w:pPr>
              <w:pStyle w:val="Tabletext"/>
              <w:framePr w:hSpace="181" w:wrap="notBeside" w:vAnchor="text" w:hAnchor="text" w:xAlign="center" w:y="1"/>
              <w:jc w:val="center"/>
              <w:rPr>
                <w:rFonts w:eastAsia="Arial Unicode MS"/>
                <w:lang w:val="es-ES"/>
              </w:rPr>
            </w:pPr>
            <w:r>
              <w:rPr>
                <w:lang w:val="es-ES"/>
              </w:rPr>
              <w:t>121</w:t>
            </w:r>
          </w:p>
        </w:tc>
      </w:tr>
      <w:tr w:rsidR="002B489A">
        <w:tc>
          <w:tcPr>
            <w:tcW w:w="4470" w:type="dxa"/>
          </w:tcPr>
          <w:p w:rsidR="002B489A" w:rsidRDefault="004F19C4">
            <w:pPr>
              <w:pStyle w:val="Tabletext"/>
              <w:framePr w:hSpace="181" w:wrap="notBeside" w:vAnchor="text" w:hAnchor="text" w:xAlign="center" w:y="1"/>
              <w:ind w:left="284" w:right="284"/>
              <w:jc w:val="left"/>
              <w:rPr>
                <w:rFonts w:eastAsia="Arial Unicode MS"/>
                <w:lang w:val="fr-CH"/>
              </w:rPr>
            </w:pPr>
            <w:r>
              <w:rPr>
                <w:lang w:val="fr-CH"/>
              </w:rPr>
              <w:t>Puissance par émetteur (dB(W/MHz))</w:t>
            </w:r>
          </w:p>
        </w:tc>
        <w:tc>
          <w:tcPr>
            <w:tcW w:w="1212" w:type="dxa"/>
            <w:vAlign w:val="bottom"/>
          </w:tcPr>
          <w:p w:rsidR="002B489A" w:rsidRDefault="004F19C4">
            <w:pPr>
              <w:pStyle w:val="Tabletext"/>
              <w:framePr w:hSpace="181" w:wrap="notBeside" w:vAnchor="text" w:hAnchor="text" w:xAlign="center" w:y="1"/>
              <w:jc w:val="center"/>
              <w:rPr>
                <w:rFonts w:eastAsia="Arial Unicode MS"/>
                <w:lang w:val="es-ES"/>
              </w:rPr>
            </w:pPr>
            <w:r>
              <w:t>–</w:t>
            </w:r>
            <w:r>
              <w:rPr>
                <w:lang w:val="es-ES"/>
              </w:rPr>
              <w:t>53</w:t>
            </w:r>
          </w:p>
        </w:tc>
        <w:tc>
          <w:tcPr>
            <w:tcW w:w="1212" w:type="dxa"/>
            <w:vAlign w:val="bottom"/>
          </w:tcPr>
          <w:p w:rsidR="002B489A" w:rsidRDefault="004F19C4">
            <w:pPr>
              <w:pStyle w:val="Tabletext"/>
              <w:framePr w:hSpace="181" w:wrap="notBeside" w:vAnchor="text" w:hAnchor="text" w:xAlign="center" w:y="1"/>
              <w:jc w:val="center"/>
              <w:rPr>
                <w:rFonts w:eastAsia="Arial Unicode MS"/>
                <w:lang w:val="es-ES"/>
              </w:rPr>
            </w:pPr>
            <w:r>
              <w:t>–</w:t>
            </w:r>
            <w:r>
              <w:rPr>
                <w:lang w:val="es-ES"/>
              </w:rPr>
              <w:t>52</w:t>
            </w:r>
          </w:p>
        </w:tc>
      </w:tr>
      <w:tr w:rsidR="002B489A">
        <w:tc>
          <w:tcPr>
            <w:tcW w:w="4470" w:type="dxa"/>
          </w:tcPr>
          <w:p w:rsidR="002B489A" w:rsidRDefault="004F19C4">
            <w:pPr>
              <w:pStyle w:val="Tabletext"/>
              <w:framePr w:hSpace="181" w:wrap="notBeside" w:vAnchor="text" w:hAnchor="text" w:xAlign="center" w:y="1"/>
              <w:ind w:left="284" w:right="284"/>
              <w:jc w:val="left"/>
              <w:rPr>
                <w:rFonts w:eastAsia="Arial Unicode MS"/>
                <w:spacing w:val="-2"/>
                <w:lang w:val="fr-CH"/>
              </w:rPr>
            </w:pPr>
            <w:r>
              <w:rPr>
                <w:spacing w:val="-2"/>
                <w:lang w:val="fr-CH"/>
              </w:rPr>
              <w:t>Puissance par émetteur (dB(W/100 MHz))</w:t>
            </w:r>
          </w:p>
        </w:tc>
        <w:tc>
          <w:tcPr>
            <w:tcW w:w="1212" w:type="dxa"/>
            <w:vAlign w:val="bottom"/>
          </w:tcPr>
          <w:p w:rsidR="002B489A" w:rsidRDefault="004F19C4">
            <w:pPr>
              <w:pStyle w:val="Tabletext"/>
              <w:framePr w:hSpace="181" w:wrap="notBeside" w:vAnchor="text" w:hAnchor="text" w:xAlign="center" w:y="1"/>
              <w:jc w:val="center"/>
              <w:rPr>
                <w:rFonts w:eastAsia="Arial Unicode MS"/>
                <w:lang w:val="fr-CH"/>
              </w:rPr>
            </w:pPr>
            <w:r>
              <w:t>–</w:t>
            </w:r>
            <w:r>
              <w:rPr>
                <w:lang w:val="fr-CH"/>
              </w:rPr>
              <w:t>33</w:t>
            </w:r>
          </w:p>
        </w:tc>
        <w:tc>
          <w:tcPr>
            <w:tcW w:w="1212" w:type="dxa"/>
            <w:vAlign w:val="bottom"/>
          </w:tcPr>
          <w:p w:rsidR="002B489A" w:rsidRDefault="004F19C4">
            <w:pPr>
              <w:pStyle w:val="Tabletext"/>
              <w:framePr w:hSpace="181" w:wrap="notBeside" w:vAnchor="text" w:hAnchor="text" w:xAlign="center" w:y="1"/>
              <w:jc w:val="center"/>
              <w:rPr>
                <w:rFonts w:eastAsia="Arial Unicode MS"/>
                <w:lang w:val="fr-CH"/>
              </w:rPr>
            </w:pPr>
            <w:r>
              <w:t>–</w:t>
            </w:r>
            <w:r>
              <w:rPr>
                <w:lang w:val="fr-CH"/>
              </w:rPr>
              <w:t>32</w:t>
            </w:r>
          </w:p>
        </w:tc>
      </w:tr>
    </w:tbl>
    <w:p w:rsidR="002B489A" w:rsidRDefault="002B489A">
      <w:pPr>
        <w:pStyle w:val="Tablefin"/>
        <w:rPr>
          <w:lang w:val="fr-CH"/>
        </w:rPr>
      </w:pPr>
    </w:p>
    <w:p w:rsidR="002B489A" w:rsidRDefault="004F19C4">
      <w:pPr>
        <w:pStyle w:val="Heading2"/>
        <w:rPr>
          <w:lang w:val="fr-CH"/>
        </w:rPr>
      </w:pPr>
      <w:r>
        <w:rPr>
          <w:lang w:val="fr-CH"/>
        </w:rPr>
        <w:t>4.3</w:t>
      </w:r>
      <w:r>
        <w:rPr>
          <w:lang w:val="fr-CH"/>
        </w:rPr>
        <w:tab/>
        <w:t>Valeur obtenue</w:t>
      </w:r>
    </w:p>
    <w:p w:rsidR="002B489A" w:rsidRDefault="004F19C4">
      <w:pPr>
        <w:pStyle w:val="Heading3"/>
        <w:rPr>
          <w:lang w:val="fr-CH"/>
        </w:rPr>
      </w:pPr>
      <w:r>
        <w:rPr>
          <w:lang w:val="fr-CH"/>
        </w:rPr>
        <w:t>4.3.1</w:t>
      </w:r>
      <w:r>
        <w:rPr>
          <w:lang w:val="fr-CH"/>
        </w:rPr>
        <w:tab/>
        <w:t>Niveau de rayonnements non désirés fondé sur les Recommandations UIT-R</w:t>
      </w:r>
    </w:p>
    <w:p w:rsidR="002B489A" w:rsidRDefault="004F19C4">
      <w:pPr>
        <w:spacing w:line="270" w:lineRule="exact"/>
        <w:rPr>
          <w:spacing w:val="-2"/>
          <w:lang w:val="fr-CH"/>
        </w:rPr>
      </w:pPr>
      <w:r>
        <w:rPr>
          <w:spacing w:val="-2"/>
          <w:lang w:val="fr-CH"/>
        </w:rPr>
        <w:t xml:space="preserve">En première approche, on ne prend en compte que les rayonnements non désirés tombant dans les rayonnements non essentiels (si la bande de garde est plus large que le domaine des émissions hors bande). On utilise alors les niveaux d'affaiblissement fournis dans l'Appendice 3 du RR et dans la Recommandation UIT-R SM.329 pour calculer les niveaux de rayonnements non désirés provenant du service fixe et qui tombent dans le domaine des rayonnements non essentiels (décalage supérieur à 250% de la largeur de bande nécessaire ou de la séparation de canal par rapport à la fréquence centrale du signal du service fixe). Dans le cas des systèmes du service fixe, l'affaiblissement spécifié dans l'Appendice 3 du RR devrait être, en dBc, le minimum de 70 dBc ou de (43 </w:t>
      </w:r>
      <w:r>
        <w:rPr>
          <w:rFonts w:ascii="Symbol" w:hAnsi="Symbol"/>
          <w:spacing w:val="-2"/>
          <w:lang w:val="fr-CH"/>
        </w:rPr>
        <w:t></w:t>
      </w:r>
      <w:r>
        <w:rPr>
          <w:spacing w:val="-2"/>
          <w:lang w:val="fr-CH"/>
        </w:rPr>
        <w:t xml:space="preserve"> 10 log (</w:t>
      </w:r>
      <w:r>
        <w:rPr>
          <w:i/>
          <w:iCs/>
          <w:spacing w:val="-2"/>
          <w:lang w:val="fr-CH"/>
        </w:rPr>
        <w:t>P</w:t>
      </w:r>
      <w:r>
        <w:rPr>
          <w:spacing w:val="-2"/>
          <w:lang w:val="fr-CH"/>
        </w:rPr>
        <w:t>)).</w:t>
      </w:r>
    </w:p>
    <w:p w:rsidR="002B489A" w:rsidRDefault="004F19C4">
      <w:pPr>
        <w:tabs>
          <w:tab w:val="clear" w:pos="1985"/>
          <w:tab w:val="left" w:pos="2127"/>
        </w:tabs>
        <w:spacing w:line="270" w:lineRule="exact"/>
        <w:rPr>
          <w:lang w:val="fr-CH"/>
        </w:rPr>
      </w:pPr>
      <w:r>
        <w:rPr>
          <w:lang w:val="fr-CH"/>
        </w:rPr>
        <w:br w:type="page"/>
        <w:t>Sur la base de cette première approche, pour un système fonctionnant avec une puissance de sortie de –6 dBW et un espacement entre canaux de 56 MHz (voir le Tableau 124), les limites de rayonnements non essentiels pour ce système sont: </w:t>
      </w:r>
    </w:p>
    <w:p w:rsidR="002B489A" w:rsidRDefault="004F19C4">
      <w:pPr>
        <w:pStyle w:val="Equation"/>
        <w:tabs>
          <w:tab w:val="clear" w:pos="4820"/>
          <w:tab w:val="left" w:pos="4680"/>
        </w:tabs>
        <w:rPr>
          <w:lang w:val="fr-CH"/>
        </w:rPr>
      </w:pPr>
      <w:r>
        <w:rPr>
          <w:i/>
          <w:lang w:val="fr-CH"/>
        </w:rPr>
        <w:tab/>
        <w:t>P</w:t>
      </w:r>
      <w:r>
        <w:rPr>
          <w:lang w:val="fr-CH"/>
        </w:rPr>
        <w:t xml:space="preserve"> (dBW) – (43 </w:t>
      </w:r>
      <w:r>
        <w:rPr>
          <w:rFonts w:ascii="Symbol" w:hAnsi="Symbol"/>
          <w:lang w:val="fr-CH"/>
        </w:rPr>
        <w:t></w:t>
      </w:r>
      <w:r>
        <w:rPr>
          <w:lang w:val="fr-CH"/>
        </w:rPr>
        <w:t xml:space="preserve"> </w:t>
      </w:r>
      <w:r>
        <w:rPr>
          <w:i/>
          <w:iCs/>
          <w:lang w:val="fr-CH"/>
        </w:rPr>
        <w:t>P</w:t>
      </w:r>
      <w:r>
        <w:rPr>
          <w:lang w:val="fr-CH"/>
        </w:rPr>
        <w:t>)                dB dans une largeur de bande de référence de 1 MHz</w:t>
      </w:r>
    </w:p>
    <w:p w:rsidR="002B489A" w:rsidRDefault="004F19C4">
      <w:pPr>
        <w:spacing w:before="240"/>
        <w:rPr>
          <w:lang w:val="fr-CH"/>
        </w:rPr>
      </w:pPr>
      <w:r>
        <w:rPr>
          <w:lang w:val="fr-CH"/>
        </w:rPr>
        <w:t>Le Tableau 128 donne le niveau de rayonnements non désirés qui peuvent tomber dans une largeur de bande de référence de 100 MHz.</w:t>
      </w:r>
    </w:p>
    <w:p w:rsidR="002B489A" w:rsidRDefault="004F19C4">
      <w:pPr>
        <w:pStyle w:val="TableNo"/>
        <w:rPr>
          <w:lang w:val="fr-CH"/>
        </w:rPr>
      </w:pPr>
      <w:r>
        <w:rPr>
          <w:lang w:val="fr-CH"/>
        </w:rPr>
        <w:t>TABLEAU  128</w:t>
      </w:r>
    </w:p>
    <w:p w:rsidR="002B489A" w:rsidRDefault="004F19C4">
      <w:pPr>
        <w:pStyle w:val="Headingb"/>
        <w:spacing w:before="120" w:after="120"/>
        <w:jc w:val="center"/>
        <w:rPr>
          <w:lang w:val="fr-CH" w:eastAsia="fr-FR"/>
        </w:rPr>
      </w:pPr>
      <w:r>
        <w:rPr>
          <w:lang w:val="fr-CH" w:eastAsia="fr-FR"/>
        </w:rPr>
        <w:t xml:space="preserve">Calcul du niveau de rayonnements non désirés </w:t>
      </w:r>
      <w:r>
        <w:rPr>
          <w:lang w:val="fr-CH" w:eastAsia="fr-FR"/>
        </w:rPr>
        <w:br/>
        <w:t>qui peut tomber dans une largeur de bande de 100 MHz</w:t>
      </w:r>
    </w:p>
    <w:tbl>
      <w:tblPr>
        <w:tblW w:w="963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145"/>
        <w:gridCol w:w="3004"/>
        <w:gridCol w:w="3490"/>
      </w:tblGrid>
      <w:tr w:rsidR="002B489A">
        <w:tc>
          <w:tcPr>
            <w:tcW w:w="3119" w:type="dxa"/>
            <w:vAlign w:val="center"/>
          </w:tcPr>
          <w:p w:rsidR="002B489A" w:rsidRDefault="004F19C4">
            <w:pPr>
              <w:pStyle w:val="Tablehead"/>
              <w:framePr w:hSpace="181" w:wrap="notBeside" w:vAnchor="text" w:hAnchor="text" w:xAlign="center" w:y="1"/>
              <w:rPr>
                <w:lang w:val="fr-CH"/>
              </w:rPr>
            </w:pPr>
            <w:r>
              <w:rPr>
                <w:lang w:val="fr-CH"/>
              </w:rPr>
              <w:t>Système du service fixe</w:t>
            </w:r>
          </w:p>
        </w:tc>
        <w:tc>
          <w:tcPr>
            <w:tcW w:w="2980" w:type="dxa"/>
          </w:tcPr>
          <w:p w:rsidR="002B489A" w:rsidRDefault="004F19C4">
            <w:pPr>
              <w:pStyle w:val="Tablehead"/>
              <w:framePr w:hSpace="181" w:wrap="notBeside" w:vAnchor="text" w:hAnchor="text" w:xAlign="center" w:y="1"/>
              <w:rPr>
                <w:b w:val="0"/>
                <w:bCs/>
                <w:lang w:val="fr-CH"/>
              </w:rPr>
            </w:pPr>
            <w:r>
              <w:rPr>
                <w:lang w:val="fr-CH"/>
              </w:rPr>
              <w:t>Niveau de rayonnements non essentiels par MHz</w:t>
            </w:r>
          </w:p>
        </w:tc>
        <w:tc>
          <w:tcPr>
            <w:tcW w:w="3462" w:type="dxa"/>
          </w:tcPr>
          <w:p w:rsidR="002B489A" w:rsidRDefault="004F19C4">
            <w:pPr>
              <w:pStyle w:val="Tablehead"/>
              <w:framePr w:hSpace="181" w:wrap="notBeside" w:vAnchor="text" w:hAnchor="text" w:xAlign="center" w:y="1"/>
              <w:rPr>
                <w:lang w:val="fr-CH"/>
              </w:rPr>
            </w:pPr>
            <w:r>
              <w:rPr>
                <w:lang w:val="fr-CH"/>
              </w:rPr>
              <w:t>Niveau de rayonnements non essentiels par 100 MHz</w:t>
            </w:r>
          </w:p>
        </w:tc>
      </w:tr>
      <w:tr w:rsidR="002B489A">
        <w:tc>
          <w:tcPr>
            <w:tcW w:w="3119" w:type="dxa"/>
          </w:tcPr>
          <w:p w:rsidR="002B489A" w:rsidRDefault="004F19C4">
            <w:pPr>
              <w:pStyle w:val="Tabletext"/>
              <w:framePr w:hSpace="181" w:wrap="notBeside" w:vAnchor="text" w:hAnchor="text" w:xAlign="center" w:y="1"/>
              <w:jc w:val="left"/>
              <w:rPr>
                <w:lang w:val="fr-CH"/>
              </w:rPr>
            </w:pPr>
            <w:r>
              <w:rPr>
                <w:lang w:val="fr-CH"/>
              </w:rPr>
              <w:t>Point à point 56 MHz (Tableau 124)</w:t>
            </w:r>
          </w:p>
        </w:tc>
        <w:tc>
          <w:tcPr>
            <w:tcW w:w="2980" w:type="dxa"/>
          </w:tcPr>
          <w:p w:rsidR="002B489A" w:rsidRDefault="004F19C4">
            <w:pPr>
              <w:pStyle w:val="Tabletext"/>
              <w:framePr w:hSpace="181" w:wrap="notBeside" w:vAnchor="text" w:hAnchor="text" w:xAlign="center" w:y="1"/>
              <w:jc w:val="center"/>
              <w:rPr>
                <w:lang w:val="es-ES"/>
              </w:rPr>
            </w:pPr>
            <w:r>
              <w:rPr>
                <w:lang w:val="es-ES"/>
              </w:rPr>
              <w:t>–43 dBW</w:t>
            </w:r>
          </w:p>
        </w:tc>
        <w:tc>
          <w:tcPr>
            <w:tcW w:w="3462" w:type="dxa"/>
          </w:tcPr>
          <w:p w:rsidR="002B489A" w:rsidRDefault="004F19C4">
            <w:pPr>
              <w:pStyle w:val="Tabletext"/>
              <w:framePr w:hSpace="181" w:wrap="notBeside" w:vAnchor="text" w:hAnchor="text" w:xAlign="center" w:y="1"/>
              <w:jc w:val="center"/>
              <w:rPr>
                <w:lang w:val="es-ES"/>
              </w:rPr>
            </w:pPr>
            <w:r>
              <w:rPr>
                <w:lang w:val="es-ES"/>
              </w:rPr>
              <w:t>–23 dBW</w:t>
            </w:r>
          </w:p>
        </w:tc>
      </w:tr>
      <w:tr w:rsidR="002B489A">
        <w:tc>
          <w:tcPr>
            <w:tcW w:w="3119" w:type="dxa"/>
          </w:tcPr>
          <w:p w:rsidR="002B489A" w:rsidRDefault="004F19C4">
            <w:pPr>
              <w:pStyle w:val="Tabletext"/>
              <w:framePr w:hSpace="181" w:wrap="notBeside" w:vAnchor="text" w:hAnchor="text" w:xAlign="center" w:y="1"/>
              <w:jc w:val="left"/>
              <w:rPr>
                <w:lang w:val="fr-CH"/>
              </w:rPr>
            </w:pPr>
            <w:r>
              <w:rPr>
                <w:lang w:val="fr-CH"/>
              </w:rPr>
              <w:t>Point à point 3,5 MHz (Tableau 124)</w:t>
            </w:r>
          </w:p>
        </w:tc>
        <w:tc>
          <w:tcPr>
            <w:tcW w:w="2980" w:type="dxa"/>
          </w:tcPr>
          <w:p w:rsidR="002B489A" w:rsidRDefault="004F19C4">
            <w:pPr>
              <w:pStyle w:val="Tabletext"/>
              <w:framePr w:hSpace="181" w:wrap="notBeside" w:vAnchor="text" w:hAnchor="text" w:xAlign="center" w:y="1"/>
              <w:jc w:val="center"/>
              <w:rPr>
                <w:lang w:val="fr-CH"/>
              </w:rPr>
            </w:pPr>
            <w:r>
              <w:rPr>
                <w:lang w:val="fr-CH"/>
              </w:rPr>
              <w:t>–43 dBW</w:t>
            </w:r>
          </w:p>
        </w:tc>
        <w:tc>
          <w:tcPr>
            <w:tcW w:w="3462" w:type="dxa"/>
          </w:tcPr>
          <w:p w:rsidR="002B489A" w:rsidRDefault="004F19C4">
            <w:pPr>
              <w:pStyle w:val="Tabletext"/>
              <w:framePr w:hSpace="181" w:wrap="notBeside" w:vAnchor="text" w:hAnchor="text" w:xAlign="center" w:y="1"/>
              <w:jc w:val="center"/>
              <w:rPr>
                <w:lang w:val="es-ES"/>
              </w:rPr>
            </w:pPr>
            <w:r>
              <w:rPr>
                <w:lang w:val="es-ES"/>
              </w:rPr>
              <w:t>–23 dBW</w:t>
            </w:r>
          </w:p>
        </w:tc>
      </w:tr>
      <w:tr w:rsidR="002B489A">
        <w:tc>
          <w:tcPr>
            <w:tcW w:w="3119" w:type="dxa"/>
          </w:tcPr>
          <w:p w:rsidR="002B489A" w:rsidRDefault="004F19C4">
            <w:pPr>
              <w:pStyle w:val="Tabletext"/>
              <w:framePr w:hSpace="181" w:wrap="notBeside" w:vAnchor="text" w:hAnchor="text" w:xAlign="center" w:y="1"/>
              <w:rPr>
                <w:lang w:val="fr-CH"/>
              </w:rPr>
            </w:pPr>
            <w:r>
              <w:rPr>
                <w:lang w:val="fr-CH"/>
              </w:rPr>
              <w:t>P-MP 50 MHz (Tableau 125)</w:t>
            </w:r>
          </w:p>
        </w:tc>
        <w:tc>
          <w:tcPr>
            <w:tcW w:w="2980" w:type="dxa"/>
          </w:tcPr>
          <w:p w:rsidR="002B489A" w:rsidRDefault="004F19C4">
            <w:pPr>
              <w:pStyle w:val="Tabletext"/>
              <w:framePr w:hSpace="181" w:wrap="notBeside" w:vAnchor="text" w:hAnchor="text" w:xAlign="center" w:y="1"/>
              <w:jc w:val="center"/>
              <w:rPr>
                <w:lang w:val="es-ES"/>
              </w:rPr>
            </w:pPr>
            <w:r>
              <w:rPr>
                <w:lang w:val="es-ES"/>
              </w:rPr>
              <w:t>–43 dBW</w:t>
            </w:r>
          </w:p>
        </w:tc>
        <w:tc>
          <w:tcPr>
            <w:tcW w:w="3462" w:type="dxa"/>
          </w:tcPr>
          <w:p w:rsidR="002B489A" w:rsidRDefault="004F19C4">
            <w:pPr>
              <w:pStyle w:val="Tabletext"/>
              <w:framePr w:hSpace="181" w:wrap="notBeside" w:vAnchor="text" w:hAnchor="text" w:xAlign="center" w:y="1"/>
              <w:jc w:val="center"/>
              <w:rPr>
                <w:lang w:val="es-ES"/>
              </w:rPr>
            </w:pPr>
            <w:r>
              <w:rPr>
                <w:lang w:val="es-ES"/>
              </w:rPr>
              <w:t>–23 dBW</w:t>
            </w:r>
          </w:p>
        </w:tc>
      </w:tr>
      <w:tr w:rsidR="002B489A">
        <w:tc>
          <w:tcPr>
            <w:tcW w:w="3119" w:type="dxa"/>
          </w:tcPr>
          <w:p w:rsidR="002B489A" w:rsidRDefault="004F19C4">
            <w:pPr>
              <w:pStyle w:val="Tabletext"/>
              <w:framePr w:hSpace="181" w:wrap="notBeside" w:vAnchor="text" w:hAnchor="text" w:xAlign="center" w:y="1"/>
              <w:rPr>
                <w:lang w:val="fr-CH"/>
              </w:rPr>
            </w:pPr>
            <w:r>
              <w:rPr>
                <w:lang w:val="fr-CH"/>
              </w:rPr>
              <w:t>P-MP 2,5 MHz (Tableau 125)</w:t>
            </w:r>
          </w:p>
        </w:tc>
        <w:tc>
          <w:tcPr>
            <w:tcW w:w="2980" w:type="dxa"/>
          </w:tcPr>
          <w:p w:rsidR="002B489A" w:rsidRDefault="004F19C4">
            <w:pPr>
              <w:pStyle w:val="Tabletext"/>
              <w:framePr w:hSpace="181" w:wrap="notBeside" w:vAnchor="text" w:hAnchor="text" w:xAlign="center" w:y="1"/>
              <w:jc w:val="center"/>
              <w:rPr>
                <w:lang w:val="fr-CH"/>
              </w:rPr>
            </w:pPr>
            <w:r>
              <w:rPr>
                <w:lang w:val="fr-CH"/>
              </w:rPr>
              <w:t>–43 dBW</w:t>
            </w:r>
          </w:p>
        </w:tc>
        <w:tc>
          <w:tcPr>
            <w:tcW w:w="3462" w:type="dxa"/>
          </w:tcPr>
          <w:p w:rsidR="002B489A" w:rsidRDefault="004F19C4">
            <w:pPr>
              <w:pStyle w:val="Tabletext"/>
              <w:framePr w:hSpace="181" w:wrap="notBeside" w:vAnchor="text" w:hAnchor="text" w:xAlign="center" w:y="1"/>
              <w:jc w:val="center"/>
              <w:rPr>
                <w:lang w:val="fr-CH"/>
              </w:rPr>
            </w:pPr>
            <w:r>
              <w:rPr>
                <w:lang w:val="fr-CH"/>
              </w:rPr>
              <w:t>–23 dBW</w:t>
            </w:r>
          </w:p>
        </w:tc>
      </w:tr>
    </w:tbl>
    <w:p w:rsidR="002B489A" w:rsidRDefault="002B489A">
      <w:pPr>
        <w:pStyle w:val="Tablefin"/>
        <w:spacing w:before="0"/>
        <w:rPr>
          <w:lang w:val="fr-CH"/>
        </w:rPr>
      </w:pPr>
    </w:p>
    <w:p w:rsidR="002B489A" w:rsidRDefault="004F19C4">
      <w:pPr>
        <w:rPr>
          <w:lang w:val="fr-CH"/>
        </w:rPr>
      </w:pPr>
      <w:r>
        <w:rPr>
          <w:lang w:val="fr-CH"/>
        </w:rPr>
        <w:t>Cette première approche conduit à la conclusion que même si on ne prend en considération que les seuls rayonnements non désirés tombant dans le domaine des rayonnements non essentiels, les critères de protection du SETS ne sont pas satisfaits.</w:t>
      </w:r>
    </w:p>
    <w:p w:rsidR="002B489A" w:rsidRDefault="004F19C4">
      <w:pPr>
        <w:pStyle w:val="Heading3"/>
        <w:spacing w:before="120" w:after="120"/>
        <w:ind w:left="0" w:firstLine="0"/>
        <w:rPr>
          <w:lang w:val="fr-CH"/>
        </w:rPr>
      </w:pPr>
      <w:r>
        <w:rPr>
          <w:lang w:val="fr-CH"/>
        </w:rPr>
        <w:t>4.3.2</w:t>
      </w:r>
      <w:r>
        <w:rPr>
          <w:lang w:val="fr-CH"/>
        </w:rPr>
        <w:tab/>
        <w:t>Affinage des calculs</w:t>
      </w:r>
    </w:p>
    <w:p w:rsidR="002B489A" w:rsidRDefault="004F19C4">
      <w:pPr>
        <w:pStyle w:val="Heading4"/>
        <w:rPr>
          <w:lang w:val="fr-CH"/>
        </w:rPr>
      </w:pPr>
      <w:bookmarkStart w:id="5" w:name="OLE_LINK1"/>
      <w:r>
        <w:rPr>
          <w:lang w:val="fr-CH"/>
        </w:rPr>
        <w:t>4.3.2.1</w:t>
      </w:r>
      <w:r>
        <w:rPr>
          <w:lang w:val="fr-CH"/>
        </w:rPr>
        <w:tab/>
        <w:t>Affinage des calculs par la méthode décrite dans l'Appendice 1 à l'Annexe 1</w:t>
      </w:r>
      <w:bookmarkEnd w:id="5"/>
    </w:p>
    <w:p w:rsidR="002B489A" w:rsidRDefault="004F19C4">
      <w:pPr>
        <w:rPr>
          <w:lang w:val="fr-CH"/>
        </w:rPr>
      </w:pPr>
      <w:r>
        <w:rPr>
          <w:lang w:val="fr-CH"/>
        </w:rPr>
        <w:t>La Recommandation UIT-R SM.1541 donne un gabarit des émissions hors bande dans le cas des systèmes du service fixe. On peut calculer la puissance intégrée au sein de la bande SETS en supposant (voir l'Appendice 1 à l'Annexe 1) que le niveau de rayonnement non essentiel ne dépasse pas la limite à la bordure du domaine des émissions hors bande.</w:t>
      </w:r>
    </w:p>
    <w:p w:rsidR="002B489A" w:rsidRDefault="004F19C4">
      <w:pPr>
        <w:pStyle w:val="Heading5"/>
        <w:rPr>
          <w:lang w:val="fr-CH"/>
        </w:rPr>
      </w:pPr>
      <w:r>
        <w:rPr>
          <w:lang w:val="fr-CH"/>
        </w:rPr>
        <w:t>4.3.2.1.1</w:t>
      </w:r>
      <w:r>
        <w:rPr>
          <w:lang w:val="fr-CH"/>
        </w:rPr>
        <w:tab/>
        <w:t>Cas d'un espacement entre canaux de 3,5, 7 et 14 MHz</w:t>
      </w:r>
    </w:p>
    <w:p w:rsidR="002B489A" w:rsidRDefault="004F19C4">
      <w:pPr>
        <w:rPr>
          <w:lang w:val="fr-CH"/>
        </w:rPr>
      </w:pPr>
      <w:r>
        <w:rPr>
          <w:lang w:val="fr-CH"/>
        </w:rPr>
        <w:t>Il faut noter que la Recommandation UIT-R F.1496 donne des dispositions de canaux pour les systèmes utilisant un espacement entre canaux de 3,5 MHz, 7 MHz, 14 MHz, 28 MHz et 56 MHz, qui doivent être déployés dans cette bande. Ces dispositions de canaux incluent une bande de garde de 40 MHz dans la partie inférieure de la bande du service fixe.</w:t>
      </w:r>
    </w:p>
    <w:p w:rsidR="002B489A" w:rsidRDefault="004F19C4">
      <w:pPr>
        <w:rPr>
          <w:lang w:val="fr-CH"/>
        </w:rPr>
      </w:pPr>
      <w:r>
        <w:rPr>
          <w:lang w:val="fr-CH"/>
        </w:rPr>
        <w:t>Cela signifie que pour un espacement entre canaux de 3,5, 7 et 14 MHz, le domaine des émissions hors bande (qui s'étend de 50% de l'espacement entre canaux jusqu'à 250% de l'espacement entre canaux par rapport à la fréquence centrale du signal du service fixe) sera inclus dans la bande de garde. Alors, pour les systèmes utilisant un espacement entre canaux de 3,5, 7 et 14 MHz, seuls les rayonnements non désirés tombant dans le domaine des rayonnements non essentiels doivent être pris en compte.</w:t>
      </w:r>
    </w:p>
    <w:p w:rsidR="002B489A" w:rsidRDefault="004F19C4">
      <w:pPr>
        <w:tabs>
          <w:tab w:val="clear" w:pos="794"/>
        </w:tabs>
        <w:rPr>
          <w:lang w:val="fr-CH"/>
        </w:rPr>
      </w:pPr>
      <w:r>
        <w:rPr>
          <w:lang w:val="fr-CH"/>
        </w:rPr>
        <w:br w:type="page"/>
        <w:t>La Recommandation UIT-R SM.1541 donne un gabarit d'émission hors bande dans le cas des sys</w:t>
      </w:r>
      <w:r>
        <w:rPr>
          <w:lang w:val="fr-CH"/>
        </w:rPr>
        <w:softHyphen/>
        <w:t>tèmes du service fixe. A la bordure du domaine des émissions hors bande, l'affaiblissement est égal à 40 dBsd. Si on suppose que le niveau de rayonnement non essentiel ne dépasse pas la limite à la bordure du domaine des émissions hors bande, la puissance intégrée au sein de la bande SETS sera:</w:t>
      </w:r>
    </w:p>
    <w:p w:rsidR="002B489A" w:rsidRDefault="004F19C4">
      <w:pPr>
        <w:jc w:val="left"/>
        <w:rPr>
          <w:lang w:val="fr-CH"/>
        </w:rPr>
      </w:pPr>
      <w:r>
        <w:rPr>
          <w:lang w:val="fr-CH"/>
        </w:rPr>
        <w:t>Pour un espacement entre canaux de 3,5 MHz:</w:t>
      </w:r>
    </w:p>
    <w:p w:rsidR="002B489A" w:rsidRDefault="004F19C4">
      <w:pPr>
        <w:rPr>
          <w:lang w:val="fr-CH"/>
        </w:rPr>
      </w:pPr>
      <w:r>
        <w:rPr>
          <w:lang w:val="fr-CH"/>
        </w:rPr>
        <w:t xml:space="preserve">–10 dBW –10 log (3,5) –40 </w:t>
      </w:r>
      <w:r>
        <w:rPr>
          <w:rFonts w:ascii="Symbol" w:hAnsi="Symbol"/>
          <w:lang w:val="fr-CH"/>
        </w:rPr>
        <w:t></w:t>
      </w:r>
      <w:r>
        <w:rPr>
          <w:lang w:val="fr-CH"/>
        </w:rPr>
        <w:t xml:space="preserve"> 10 log (100) </w:t>
      </w:r>
      <w:r>
        <w:rPr>
          <w:rFonts w:ascii="Symbol" w:hAnsi="Symbol"/>
          <w:lang w:val="fr-CH"/>
        </w:rPr>
        <w:t></w:t>
      </w:r>
      <w:r>
        <w:rPr>
          <w:lang w:val="fr-CH"/>
        </w:rPr>
        <w:t xml:space="preserve"> –35 dB(W/100 MHz)</w:t>
      </w:r>
    </w:p>
    <w:p w:rsidR="002B489A" w:rsidRDefault="004F19C4">
      <w:pPr>
        <w:jc w:val="left"/>
        <w:rPr>
          <w:lang w:val="fr-CH"/>
        </w:rPr>
      </w:pPr>
      <w:r>
        <w:rPr>
          <w:lang w:val="fr-CH"/>
        </w:rPr>
        <w:t>Pour un espacement entre canaux de 7 MHz:</w:t>
      </w:r>
    </w:p>
    <w:p w:rsidR="002B489A" w:rsidRDefault="004F19C4">
      <w:pPr>
        <w:rPr>
          <w:lang w:val="fr-CH"/>
        </w:rPr>
      </w:pPr>
      <w:r>
        <w:rPr>
          <w:lang w:val="fr-CH"/>
        </w:rPr>
        <w:t xml:space="preserve">–10 dBW –10 log (7) –40 </w:t>
      </w:r>
      <w:r>
        <w:rPr>
          <w:rFonts w:ascii="Symbol" w:hAnsi="Symbol"/>
          <w:lang w:val="fr-CH"/>
        </w:rPr>
        <w:t></w:t>
      </w:r>
      <w:r>
        <w:rPr>
          <w:lang w:val="fr-CH"/>
        </w:rPr>
        <w:t xml:space="preserve"> 10 log (100) </w:t>
      </w:r>
      <w:r>
        <w:rPr>
          <w:rFonts w:ascii="Symbol" w:hAnsi="Symbol"/>
          <w:lang w:val="fr-CH"/>
        </w:rPr>
        <w:t></w:t>
      </w:r>
      <w:r>
        <w:rPr>
          <w:lang w:val="fr-CH"/>
        </w:rPr>
        <w:t xml:space="preserve"> –38 dB(W/100 MHz)</w:t>
      </w:r>
    </w:p>
    <w:p w:rsidR="002B489A" w:rsidRDefault="004F19C4">
      <w:pPr>
        <w:jc w:val="left"/>
        <w:rPr>
          <w:lang w:val="fr-CH"/>
        </w:rPr>
      </w:pPr>
      <w:r>
        <w:rPr>
          <w:lang w:val="fr-CH"/>
        </w:rPr>
        <w:t>Pour un espacement entre canaux de 14 MHz:</w:t>
      </w:r>
    </w:p>
    <w:p w:rsidR="002B489A" w:rsidRDefault="004F19C4">
      <w:pPr>
        <w:pStyle w:val="Equation"/>
        <w:rPr>
          <w:lang w:val="fr-CH"/>
        </w:rPr>
      </w:pPr>
      <w:r>
        <w:rPr>
          <w:lang w:val="fr-CH"/>
        </w:rPr>
        <w:t xml:space="preserve">–10 dBW –10 log (14) –40 </w:t>
      </w:r>
      <w:r>
        <w:rPr>
          <w:rFonts w:ascii="Symbol" w:hAnsi="Symbol"/>
          <w:lang w:val="fr-CH"/>
        </w:rPr>
        <w:t></w:t>
      </w:r>
      <w:r>
        <w:rPr>
          <w:lang w:val="fr-CH"/>
        </w:rPr>
        <w:t xml:space="preserve"> 10 log (100) </w:t>
      </w:r>
      <w:r>
        <w:rPr>
          <w:rFonts w:ascii="Symbol" w:hAnsi="Symbol"/>
          <w:lang w:val="fr-CH"/>
        </w:rPr>
        <w:t></w:t>
      </w:r>
      <w:r>
        <w:rPr>
          <w:lang w:val="fr-CH"/>
        </w:rPr>
        <w:t xml:space="preserve"> –41 dB(W/100 MHz)</w:t>
      </w:r>
    </w:p>
    <w:p w:rsidR="002B489A" w:rsidRDefault="004F19C4">
      <w:pPr>
        <w:rPr>
          <w:lang w:val="fr-CH"/>
        </w:rPr>
      </w:pPr>
      <w:r>
        <w:rPr>
          <w:lang w:val="fr-CH"/>
        </w:rPr>
        <w:t>Le critère de protection du SETS sera satisfait dans tous ces cas.</w:t>
      </w:r>
    </w:p>
    <w:p w:rsidR="002B489A" w:rsidRDefault="004F19C4">
      <w:pPr>
        <w:pStyle w:val="Heading5"/>
        <w:rPr>
          <w:lang w:val="fr-CH"/>
        </w:rPr>
      </w:pPr>
      <w:r>
        <w:rPr>
          <w:lang w:val="fr-CH"/>
        </w:rPr>
        <w:t>4.3.2.1.2</w:t>
      </w:r>
      <w:r>
        <w:rPr>
          <w:lang w:val="fr-CH"/>
        </w:rPr>
        <w:tab/>
        <w:t>Cas de l'espacement entre canaux de 28 et 56 MHz</w:t>
      </w:r>
    </w:p>
    <w:p w:rsidR="002B489A" w:rsidRDefault="004F19C4">
      <w:pPr>
        <w:rPr>
          <w:lang w:val="fr-CH"/>
        </w:rPr>
      </w:pPr>
      <w:r>
        <w:rPr>
          <w:lang w:val="fr-CH"/>
        </w:rPr>
        <w:t>Pour les rayonnements non désirés tombant dans le domaine des émissions hors bande, on prend en compte les gabarits hors bande donnés dans la Recommandation UIT-R SM.1541.</w:t>
      </w:r>
    </w:p>
    <w:p w:rsidR="002B489A" w:rsidRDefault="004F19C4">
      <w:pPr>
        <w:pStyle w:val="FigureNo"/>
        <w:rPr>
          <w:lang w:val="fr-CH"/>
        </w:rPr>
      </w:pPr>
      <w:r>
        <w:object w:dxaOrig="6731" w:dyaOrig="8439">
          <v:shape id="_x0000_i1072" type="#_x0000_t75" style="width:337pt;height:422.5pt" o:ole="">
            <v:imagedata r:id="rId146" o:title=""/>
          </v:shape>
          <o:OLEObject Type="Embed" ProgID="Designer.Drawing.7" ShapeID="_x0000_i1072" DrawAspect="Content" ObjectID="_1649163318" r:id="rId147"/>
        </w:object>
      </w:r>
    </w:p>
    <w:p w:rsidR="002B489A" w:rsidRDefault="004F19C4">
      <w:pPr>
        <w:pStyle w:val="TableNo"/>
        <w:rPr>
          <w:lang w:val="fr-CH"/>
        </w:rPr>
      </w:pPr>
      <w:r>
        <w:rPr>
          <w:lang w:val="fr-CH"/>
        </w:rPr>
        <w:br w:type="page"/>
        <w:t>TABLEAU  129</w:t>
      </w:r>
    </w:p>
    <w:p w:rsidR="002B489A" w:rsidRDefault="004F19C4">
      <w:pPr>
        <w:pStyle w:val="Tabletitle"/>
        <w:rPr>
          <w:lang w:val="fr-CH"/>
        </w:rPr>
      </w:pPr>
      <w:r>
        <w:rPr>
          <w:lang w:val="fr-CH"/>
        </w:rPr>
        <w:t>Service fixe numérique fonctionnant au-dessus de 30 MHz</w:t>
      </w:r>
      <w:r>
        <w:rPr>
          <w:sz w:val="22"/>
          <w:lang w:val="fr-CH"/>
        </w:rPr>
        <w:br/>
      </w:r>
      <w:r>
        <w:rPr>
          <w:lang w:val="fr-CH"/>
        </w:rPr>
        <w:t>(en référence à la Fig. 81)</w:t>
      </w:r>
    </w:p>
    <w:tbl>
      <w:tblPr>
        <w:tblW w:w="963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221"/>
        <w:gridCol w:w="1610"/>
        <w:gridCol w:w="3075"/>
        <w:gridCol w:w="1733"/>
      </w:tblGrid>
      <w:tr w:rsidR="002B489A">
        <w:trPr>
          <w:cantSplit/>
        </w:trPr>
        <w:tc>
          <w:tcPr>
            <w:tcW w:w="4831" w:type="dxa"/>
            <w:gridSpan w:val="2"/>
          </w:tcPr>
          <w:p w:rsidR="002B489A" w:rsidRDefault="004F19C4">
            <w:pPr>
              <w:pStyle w:val="Tablehead"/>
              <w:framePr w:hSpace="181" w:wrap="notBeside" w:vAnchor="text" w:hAnchor="text" w:xAlign="center" w:y="1"/>
              <w:rPr>
                <w:lang w:val="fr-CH"/>
              </w:rPr>
            </w:pPr>
            <w:r>
              <w:rPr>
                <w:lang w:val="fr-CH"/>
              </w:rPr>
              <w:t>Tout système</w:t>
            </w:r>
            <w:r>
              <w:rPr>
                <w:lang w:val="fr-CH"/>
              </w:rPr>
              <w:br/>
              <w:t>(AMRF exclu)</w:t>
            </w:r>
          </w:p>
        </w:tc>
        <w:tc>
          <w:tcPr>
            <w:tcW w:w="4808" w:type="dxa"/>
            <w:gridSpan w:val="2"/>
            <w:vAlign w:val="center"/>
          </w:tcPr>
          <w:p w:rsidR="002B489A" w:rsidRDefault="004F19C4">
            <w:pPr>
              <w:pStyle w:val="Tablehead"/>
              <w:framePr w:hSpace="181" w:wrap="notBeside" w:vAnchor="text" w:hAnchor="text" w:xAlign="center" w:y="1"/>
              <w:rPr>
                <w:lang w:val="fr-CH"/>
              </w:rPr>
            </w:pPr>
            <w:r>
              <w:rPr>
                <w:lang w:val="fr-CH"/>
              </w:rPr>
              <w:t>Systèmes AMRF uniquement</w:t>
            </w:r>
          </w:p>
        </w:tc>
      </w:tr>
      <w:tr w:rsidR="002B489A">
        <w:trPr>
          <w:cantSplit/>
        </w:trPr>
        <w:tc>
          <w:tcPr>
            <w:tcW w:w="3221" w:type="dxa"/>
          </w:tcPr>
          <w:p w:rsidR="002B489A" w:rsidRDefault="004F19C4">
            <w:pPr>
              <w:pStyle w:val="Tablehead"/>
              <w:framePr w:hSpace="181" w:wrap="notBeside" w:vAnchor="text" w:hAnchor="text" w:xAlign="center" w:y="1"/>
              <w:rPr>
                <w:lang w:val="fr-CH"/>
              </w:rPr>
            </w:pPr>
            <w:r>
              <w:rPr>
                <w:lang w:val="fr-CH"/>
              </w:rPr>
              <w:t>Décalage de fréquence</w:t>
            </w:r>
            <w:r>
              <w:rPr>
                <w:lang w:val="fr-CH"/>
              </w:rPr>
              <w:br/>
              <w:t>(% d'espacement entre canaux)</w:t>
            </w:r>
          </w:p>
        </w:tc>
        <w:tc>
          <w:tcPr>
            <w:tcW w:w="1610" w:type="dxa"/>
          </w:tcPr>
          <w:p w:rsidR="002B489A" w:rsidRDefault="004F19C4">
            <w:pPr>
              <w:pStyle w:val="Tablehead"/>
              <w:framePr w:hSpace="181" w:wrap="notBeside" w:vAnchor="text" w:hAnchor="text" w:xAlign="center" w:y="1"/>
              <w:ind w:left="-85" w:right="-85"/>
              <w:rPr>
                <w:lang w:val="fr-CH"/>
              </w:rPr>
            </w:pPr>
            <w:r>
              <w:rPr>
                <w:lang w:val="fr-CH"/>
              </w:rPr>
              <w:t>Affaiblissement (dBsd)</w:t>
            </w:r>
          </w:p>
        </w:tc>
        <w:tc>
          <w:tcPr>
            <w:tcW w:w="3075" w:type="dxa"/>
          </w:tcPr>
          <w:p w:rsidR="002B489A" w:rsidRDefault="004F19C4">
            <w:pPr>
              <w:pStyle w:val="Tablehead"/>
              <w:framePr w:hSpace="181" w:wrap="notBeside" w:vAnchor="text" w:hAnchor="text" w:xAlign="center" w:y="1"/>
              <w:rPr>
                <w:lang w:val="fr-CH"/>
              </w:rPr>
            </w:pPr>
            <w:r>
              <w:rPr>
                <w:lang w:val="fr-CH"/>
              </w:rPr>
              <w:t>Décalage de fréquence</w:t>
            </w:r>
            <w:r>
              <w:rPr>
                <w:lang w:val="fr-CH"/>
              </w:rPr>
              <w:br/>
              <w:t>(% d'espacement entre canaux)</w:t>
            </w:r>
          </w:p>
        </w:tc>
        <w:tc>
          <w:tcPr>
            <w:tcW w:w="1733" w:type="dxa"/>
          </w:tcPr>
          <w:p w:rsidR="002B489A" w:rsidRDefault="004F19C4">
            <w:pPr>
              <w:pStyle w:val="Tablehead"/>
              <w:framePr w:hSpace="181" w:wrap="notBeside" w:vAnchor="text" w:hAnchor="text" w:xAlign="center" w:y="1"/>
              <w:rPr>
                <w:lang w:val="fr-CH"/>
              </w:rPr>
            </w:pPr>
            <w:r>
              <w:rPr>
                <w:lang w:val="fr-CH"/>
              </w:rPr>
              <w:t>Affaiblissement (dBsd)</w:t>
            </w:r>
          </w:p>
        </w:tc>
      </w:tr>
      <w:tr w:rsidR="002B489A">
        <w:trPr>
          <w:cantSplit/>
        </w:trPr>
        <w:tc>
          <w:tcPr>
            <w:tcW w:w="3221" w:type="dxa"/>
          </w:tcPr>
          <w:p w:rsidR="002B489A" w:rsidRDefault="004F19C4">
            <w:pPr>
              <w:pStyle w:val="Tabletext"/>
              <w:framePr w:hSpace="181" w:wrap="notBeside" w:vAnchor="text" w:hAnchor="text" w:xAlign="center" w:y="1"/>
              <w:jc w:val="center"/>
              <w:rPr>
                <w:lang w:val="fr-CH"/>
              </w:rPr>
            </w:pPr>
            <w:r>
              <w:rPr>
                <w:lang w:val="fr-CH"/>
              </w:rPr>
              <w:t>0</w:t>
            </w:r>
          </w:p>
        </w:tc>
        <w:tc>
          <w:tcPr>
            <w:tcW w:w="1610" w:type="dxa"/>
          </w:tcPr>
          <w:p w:rsidR="002B489A" w:rsidRDefault="004F19C4">
            <w:pPr>
              <w:pStyle w:val="Tabletext"/>
              <w:framePr w:hSpace="181" w:wrap="notBeside" w:vAnchor="text" w:hAnchor="text" w:xAlign="center" w:y="1"/>
              <w:jc w:val="center"/>
              <w:rPr>
                <w:lang w:val="fr-CH"/>
              </w:rPr>
            </w:pPr>
            <w:r>
              <w:rPr>
                <w:lang w:val="fr-CH"/>
              </w:rPr>
              <w:t>0</w:t>
            </w:r>
          </w:p>
        </w:tc>
        <w:tc>
          <w:tcPr>
            <w:tcW w:w="3075" w:type="dxa"/>
          </w:tcPr>
          <w:p w:rsidR="002B489A" w:rsidRDefault="004F19C4">
            <w:pPr>
              <w:pStyle w:val="Tabletext"/>
              <w:framePr w:hSpace="181" w:wrap="notBeside" w:vAnchor="text" w:hAnchor="text" w:xAlign="center" w:y="1"/>
              <w:jc w:val="center"/>
              <w:rPr>
                <w:lang w:val="fr-CH"/>
              </w:rPr>
            </w:pPr>
            <w:r>
              <w:rPr>
                <w:lang w:val="fr-CH"/>
              </w:rPr>
              <w:t>0</w:t>
            </w:r>
          </w:p>
        </w:tc>
        <w:tc>
          <w:tcPr>
            <w:tcW w:w="1733" w:type="dxa"/>
          </w:tcPr>
          <w:p w:rsidR="002B489A" w:rsidRDefault="004F19C4">
            <w:pPr>
              <w:pStyle w:val="Tabletext"/>
              <w:framePr w:hSpace="181" w:wrap="notBeside" w:vAnchor="text" w:hAnchor="text" w:xAlign="center" w:y="1"/>
              <w:jc w:val="center"/>
              <w:rPr>
                <w:lang w:val="fr-CH"/>
              </w:rPr>
            </w:pPr>
            <w:r>
              <w:rPr>
                <w:lang w:val="fr-CH"/>
              </w:rPr>
              <w:t>0</w:t>
            </w:r>
          </w:p>
        </w:tc>
      </w:tr>
      <w:tr w:rsidR="002B489A">
        <w:trPr>
          <w:cantSplit/>
        </w:trPr>
        <w:tc>
          <w:tcPr>
            <w:tcW w:w="3221" w:type="dxa"/>
          </w:tcPr>
          <w:p w:rsidR="002B489A" w:rsidRDefault="004F19C4">
            <w:pPr>
              <w:pStyle w:val="Tabletext"/>
              <w:framePr w:hSpace="181" w:wrap="notBeside" w:vAnchor="text" w:hAnchor="text" w:xAlign="center" w:y="1"/>
              <w:jc w:val="center"/>
              <w:rPr>
                <w:lang w:val="fr-CH"/>
              </w:rPr>
            </w:pPr>
            <w:r>
              <w:rPr>
                <w:lang w:val="fr-CH"/>
              </w:rPr>
              <w:t>55</w:t>
            </w:r>
          </w:p>
        </w:tc>
        <w:tc>
          <w:tcPr>
            <w:tcW w:w="1610" w:type="dxa"/>
          </w:tcPr>
          <w:p w:rsidR="002B489A" w:rsidRDefault="004F19C4">
            <w:pPr>
              <w:pStyle w:val="Tabletext"/>
              <w:framePr w:hSpace="181" w:wrap="notBeside" w:vAnchor="text" w:hAnchor="text" w:xAlign="center" w:y="1"/>
              <w:jc w:val="center"/>
              <w:rPr>
                <w:lang w:val="fr-CH"/>
              </w:rPr>
            </w:pPr>
            <w:r>
              <w:rPr>
                <w:lang w:val="fr-CH"/>
              </w:rPr>
              <w:t>0</w:t>
            </w:r>
          </w:p>
        </w:tc>
        <w:tc>
          <w:tcPr>
            <w:tcW w:w="3075" w:type="dxa"/>
          </w:tcPr>
          <w:p w:rsidR="002B489A" w:rsidRDefault="004F19C4">
            <w:pPr>
              <w:pStyle w:val="Tabletext"/>
              <w:framePr w:hSpace="181" w:wrap="notBeside" w:vAnchor="text" w:hAnchor="text" w:xAlign="center" w:y="1"/>
              <w:jc w:val="center"/>
              <w:rPr>
                <w:lang w:val="fr-CH"/>
              </w:rPr>
            </w:pPr>
            <w:r>
              <w:rPr>
                <w:lang w:val="fr-CH"/>
              </w:rPr>
              <w:t>50</w:t>
            </w:r>
          </w:p>
        </w:tc>
        <w:tc>
          <w:tcPr>
            <w:tcW w:w="1733" w:type="dxa"/>
          </w:tcPr>
          <w:p w:rsidR="002B489A" w:rsidRDefault="004F19C4">
            <w:pPr>
              <w:pStyle w:val="Tabletext"/>
              <w:framePr w:hSpace="181" w:wrap="notBeside" w:vAnchor="text" w:hAnchor="text" w:xAlign="center" w:y="1"/>
              <w:jc w:val="center"/>
              <w:rPr>
                <w:lang w:val="fr-CH"/>
              </w:rPr>
            </w:pPr>
            <w:r>
              <w:rPr>
                <w:lang w:val="fr-CH"/>
              </w:rPr>
              <w:t>0</w:t>
            </w:r>
          </w:p>
        </w:tc>
      </w:tr>
      <w:tr w:rsidR="002B489A">
        <w:trPr>
          <w:cantSplit/>
        </w:trPr>
        <w:tc>
          <w:tcPr>
            <w:tcW w:w="3221" w:type="dxa"/>
          </w:tcPr>
          <w:p w:rsidR="002B489A" w:rsidRDefault="004F19C4">
            <w:pPr>
              <w:pStyle w:val="Tabletext"/>
              <w:framePr w:hSpace="181" w:wrap="notBeside" w:vAnchor="text" w:hAnchor="text" w:xAlign="center" w:y="1"/>
              <w:jc w:val="center"/>
              <w:rPr>
                <w:lang w:val="fr-CH"/>
              </w:rPr>
            </w:pPr>
            <w:r>
              <w:rPr>
                <w:lang w:val="fr-CH"/>
              </w:rPr>
              <w:t>120</w:t>
            </w:r>
          </w:p>
        </w:tc>
        <w:tc>
          <w:tcPr>
            <w:tcW w:w="1610" w:type="dxa"/>
          </w:tcPr>
          <w:p w:rsidR="002B489A" w:rsidRDefault="004F19C4">
            <w:pPr>
              <w:pStyle w:val="Tabletext"/>
              <w:framePr w:hSpace="181" w:wrap="notBeside" w:vAnchor="text" w:hAnchor="text" w:xAlign="center" w:y="1"/>
              <w:jc w:val="center"/>
              <w:rPr>
                <w:lang w:val="fr-CH"/>
              </w:rPr>
            </w:pPr>
            <w:r>
              <w:rPr>
                <w:lang w:val="fr-CH"/>
              </w:rPr>
              <w:t>25</w:t>
            </w:r>
          </w:p>
        </w:tc>
        <w:tc>
          <w:tcPr>
            <w:tcW w:w="3075" w:type="dxa"/>
          </w:tcPr>
          <w:p w:rsidR="002B489A" w:rsidRDefault="004F19C4">
            <w:pPr>
              <w:pStyle w:val="Tabletext"/>
              <w:framePr w:hSpace="181" w:wrap="notBeside" w:vAnchor="text" w:hAnchor="text" w:xAlign="center" w:y="1"/>
              <w:jc w:val="center"/>
              <w:rPr>
                <w:lang w:val="fr-CH"/>
              </w:rPr>
            </w:pPr>
            <w:r>
              <w:rPr>
                <w:lang w:val="fr-CH"/>
              </w:rPr>
              <w:t>65</w:t>
            </w:r>
          </w:p>
        </w:tc>
        <w:tc>
          <w:tcPr>
            <w:tcW w:w="1733" w:type="dxa"/>
          </w:tcPr>
          <w:p w:rsidR="002B489A" w:rsidRDefault="004F19C4">
            <w:pPr>
              <w:pStyle w:val="Tabletext"/>
              <w:framePr w:hSpace="181" w:wrap="notBeside" w:vAnchor="text" w:hAnchor="text" w:xAlign="center" w:y="1"/>
              <w:jc w:val="center"/>
              <w:rPr>
                <w:lang w:val="fr-CH"/>
              </w:rPr>
            </w:pPr>
            <w:r>
              <w:rPr>
                <w:lang w:val="fr-CH"/>
              </w:rPr>
              <w:t>25</w:t>
            </w:r>
          </w:p>
        </w:tc>
      </w:tr>
      <w:tr w:rsidR="002B489A">
        <w:trPr>
          <w:cantSplit/>
        </w:trPr>
        <w:tc>
          <w:tcPr>
            <w:tcW w:w="3221" w:type="dxa"/>
          </w:tcPr>
          <w:p w:rsidR="002B489A" w:rsidRDefault="004F19C4">
            <w:pPr>
              <w:pStyle w:val="Tabletext"/>
              <w:framePr w:hSpace="181" w:wrap="notBeside" w:vAnchor="text" w:hAnchor="text" w:xAlign="center" w:y="1"/>
              <w:jc w:val="center"/>
              <w:rPr>
                <w:lang w:val="fr-CH"/>
              </w:rPr>
            </w:pPr>
            <w:r>
              <w:rPr>
                <w:lang w:val="fr-CH"/>
              </w:rPr>
              <w:t>180</w:t>
            </w:r>
          </w:p>
        </w:tc>
        <w:tc>
          <w:tcPr>
            <w:tcW w:w="1610" w:type="dxa"/>
          </w:tcPr>
          <w:p w:rsidR="002B489A" w:rsidRDefault="004F19C4">
            <w:pPr>
              <w:pStyle w:val="Tabletext"/>
              <w:framePr w:hSpace="181" w:wrap="notBeside" w:vAnchor="text" w:hAnchor="text" w:xAlign="center" w:y="1"/>
              <w:jc w:val="center"/>
              <w:rPr>
                <w:lang w:val="fr-CH"/>
              </w:rPr>
            </w:pPr>
            <w:r>
              <w:rPr>
                <w:lang w:val="fr-CH"/>
              </w:rPr>
              <w:t>40</w:t>
            </w:r>
          </w:p>
        </w:tc>
        <w:tc>
          <w:tcPr>
            <w:tcW w:w="3075" w:type="dxa"/>
          </w:tcPr>
          <w:p w:rsidR="002B489A" w:rsidRDefault="004F19C4">
            <w:pPr>
              <w:pStyle w:val="Tabletext"/>
              <w:framePr w:hSpace="181" w:wrap="notBeside" w:vAnchor="text" w:hAnchor="text" w:xAlign="center" w:y="1"/>
              <w:jc w:val="center"/>
              <w:rPr>
                <w:lang w:val="fr-CH"/>
              </w:rPr>
            </w:pPr>
            <w:r>
              <w:rPr>
                <w:lang w:val="fr-CH"/>
              </w:rPr>
              <w:t>150</w:t>
            </w:r>
          </w:p>
        </w:tc>
        <w:tc>
          <w:tcPr>
            <w:tcW w:w="1733" w:type="dxa"/>
          </w:tcPr>
          <w:p w:rsidR="002B489A" w:rsidRDefault="004F19C4">
            <w:pPr>
              <w:pStyle w:val="Tabletext"/>
              <w:framePr w:hSpace="181" w:wrap="notBeside" w:vAnchor="text" w:hAnchor="text" w:xAlign="center" w:y="1"/>
              <w:jc w:val="center"/>
              <w:rPr>
                <w:lang w:val="fr-CH"/>
              </w:rPr>
            </w:pPr>
            <w:r>
              <w:rPr>
                <w:lang w:val="fr-CH"/>
              </w:rPr>
              <w:t>25</w:t>
            </w:r>
          </w:p>
        </w:tc>
      </w:tr>
      <w:tr w:rsidR="002B489A">
        <w:trPr>
          <w:cantSplit/>
        </w:trPr>
        <w:tc>
          <w:tcPr>
            <w:tcW w:w="3221" w:type="dxa"/>
          </w:tcPr>
          <w:p w:rsidR="002B489A" w:rsidRDefault="004F19C4">
            <w:pPr>
              <w:pStyle w:val="Tabletext"/>
              <w:framePr w:hSpace="181" w:wrap="notBeside" w:vAnchor="text" w:hAnchor="text" w:xAlign="center" w:y="1"/>
              <w:jc w:val="center"/>
              <w:rPr>
                <w:lang w:val="fr-CH"/>
              </w:rPr>
            </w:pPr>
            <w:r>
              <w:rPr>
                <w:lang w:val="fr-CH"/>
              </w:rPr>
              <w:t>250</w:t>
            </w:r>
          </w:p>
        </w:tc>
        <w:tc>
          <w:tcPr>
            <w:tcW w:w="1610" w:type="dxa"/>
          </w:tcPr>
          <w:p w:rsidR="002B489A" w:rsidRDefault="004F19C4">
            <w:pPr>
              <w:pStyle w:val="Tabletext"/>
              <w:framePr w:hSpace="181" w:wrap="notBeside" w:vAnchor="text" w:hAnchor="text" w:xAlign="center" w:y="1"/>
              <w:jc w:val="center"/>
              <w:rPr>
                <w:lang w:val="fr-CH"/>
              </w:rPr>
            </w:pPr>
            <w:r>
              <w:rPr>
                <w:lang w:val="fr-CH"/>
              </w:rPr>
              <w:t>40</w:t>
            </w:r>
          </w:p>
        </w:tc>
        <w:tc>
          <w:tcPr>
            <w:tcW w:w="3075" w:type="dxa"/>
          </w:tcPr>
          <w:p w:rsidR="002B489A" w:rsidRDefault="004F19C4">
            <w:pPr>
              <w:pStyle w:val="Tabletext"/>
              <w:framePr w:hSpace="181" w:wrap="notBeside" w:vAnchor="text" w:hAnchor="text" w:xAlign="center" w:y="1"/>
              <w:jc w:val="center"/>
              <w:rPr>
                <w:lang w:val="fr-CH"/>
              </w:rPr>
            </w:pPr>
            <w:r>
              <w:rPr>
                <w:lang w:val="fr-CH"/>
              </w:rPr>
              <w:t>150</w:t>
            </w:r>
          </w:p>
        </w:tc>
        <w:tc>
          <w:tcPr>
            <w:tcW w:w="1733" w:type="dxa"/>
          </w:tcPr>
          <w:p w:rsidR="002B489A" w:rsidRDefault="004F19C4">
            <w:pPr>
              <w:pStyle w:val="Tabletext"/>
              <w:framePr w:hSpace="181" w:wrap="notBeside" w:vAnchor="text" w:hAnchor="text" w:xAlign="center" w:y="1"/>
              <w:jc w:val="center"/>
              <w:rPr>
                <w:lang w:val="fr-CH"/>
              </w:rPr>
            </w:pPr>
            <w:r>
              <w:rPr>
                <w:lang w:val="fr-CH"/>
              </w:rPr>
              <w:t>40</w:t>
            </w:r>
          </w:p>
        </w:tc>
      </w:tr>
      <w:tr w:rsidR="002B489A">
        <w:trPr>
          <w:cantSplit/>
        </w:trPr>
        <w:tc>
          <w:tcPr>
            <w:tcW w:w="3221" w:type="dxa"/>
          </w:tcPr>
          <w:p w:rsidR="002B489A" w:rsidRDefault="002B489A">
            <w:pPr>
              <w:pStyle w:val="Tabletext"/>
              <w:framePr w:hSpace="181" w:wrap="notBeside" w:vAnchor="text" w:hAnchor="text" w:xAlign="center" w:y="1"/>
              <w:jc w:val="center"/>
              <w:rPr>
                <w:lang w:val="fr-CH"/>
              </w:rPr>
            </w:pPr>
          </w:p>
        </w:tc>
        <w:tc>
          <w:tcPr>
            <w:tcW w:w="1610" w:type="dxa"/>
          </w:tcPr>
          <w:p w:rsidR="002B489A" w:rsidRDefault="002B489A">
            <w:pPr>
              <w:pStyle w:val="Tabletext"/>
              <w:framePr w:hSpace="181" w:wrap="notBeside" w:vAnchor="text" w:hAnchor="text" w:xAlign="center" w:y="1"/>
              <w:jc w:val="center"/>
              <w:rPr>
                <w:lang w:val="fr-CH"/>
              </w:rPr>
            </w:pPr>
          </w:p>
        </w:tc>
        <w:tc>
          <w:tcPr>
            <w:tcW w:w="3075" w:type="dxa"/>
          </w:tcPr>
          <w:p w:rsidR="002B489A" w:rsidRDefault="004F19C4">
            <w:pPr>
              <w:pStyle w:val="Tabletext"/>
              <w:framePr w:hSpace="181" w:wrap="notBeside" w:vAnchor="text" w:hAnchor="text" w:xAlign="center" w:y="1"/>
              <w:jc w:val="center"/>
              <w:rPr>
                <w:lang w:val="fr-CH"/>
              </w:rPr>
            </w:pPr>
            <w:r>
              <w:rPr>
                <w:lang w:val="fr-CH"/>
              </w:rPr>
              <w:t>250</w:t>
            </w:r>
          </w:p>
        </w:tc>
        <w:tc>
          <w:tcPr>
            <w:tcW w:w="1733" w:type="dxa"/>
          </w:tcPr>
          <w:p w:rsidR="002B489A" w:rsidRDefault="004F19C4">
            <w:pPr>
              <w:pStyle w:val="Tabletext"/>
              <w:framePr w:hSpace="181" w:wrap="notBeside" w:vAnchor="text" w:hAnchor="text" w:xAlign="center" w:y="1"/>
              <w:jc w:val="center"/>
              <w:rPr>
                <w:lang w:val="fr-CH"/>
              </w:rPr>
            </w:pPr>
            <w:r>
              <w:rPr>
                <w:lang w:val="fr-CH"/>
              </w:rPr>
              <w:t>40</w:t>
            </w:r>
          </w:p>
        </w:tc>
      </w:tr>
    </w:tbl>
    <w:p w:rsidR="002B489A" w:rsidRDefault="002B489A">
      <w:pPr>
        <w:pStyle w:val="Tablefin"/>
        <w:rPr>
          <w:lang w:val="fr-CH"/>
        </w:rPr>
      </w:pPr>
    </w:p>
    <w:p w:rsidR="002B489A" w:rsidRDefault="004F19C4">
      <w:pPr>
        <w:rPr>
          <w:lang w:val="fr-CH"/>
        </w:rPr>
      </w:pPr>
      <w:r>
        <w:rPr>
          <w:lang w:val="fr-CH"/>
        </w:rPr>
        <w:t>Les gabarits d'émissions hors bande correspondants sont donnés à la Fig. 81.</w:t>
      </w:r>
    </w:p>
    <w:p w:rsidR="002B489A" w:rsidRDefault="004F19C4">
      <w:pPr>
        <w:pStyle w:val="FigureNo"/>
        <w:rPr>
          <w:lang w:val="fr-CH"/>
        </w:rPr>
      </w:pPr>
      <w:r>
        <w:rPr>
          <w:lang w:val="fr-CH"/>
        </w:rPr>
        <w:object w:dxaOrig="6869" w:dyaOrig="7815">
          <v:shape id="_x0000_i1073" type="#_x0000_t75" style="width:343.5pt;height:391pt" o:ole="">
            <v:imagedata r:id="rId148" o:title=""/>
          </v:shape>
          <o:OLEObject Type="Embed" ProgID="Designer.Drawing.7" ShapeID="_x0000_i1073" DrawAspect="Content" ObjectID="_1649163319" r:id="rId149"/>
        </w:object>
      </w:r>
    </w:p>
    <w:p w:rsidR="002B489A" w:rsidRDefault="004F19C4">
      <w:pPr>
        <w:rPr>
          <w:lang w:val="fr-CH"/>
        </w:rPr>
      </w:pPr>
      <w:r>
        <w:rPr>
          <w:lang w:val="fr-CH"/>
        </w:rPr>
        <w:br w:type="page"/>
        <w:t>Dans l'analyse qui suit, nous considérons l'enveloppe des deux gabarits (hypothèse de cas le plus défavorable).</w:t>
      </w:r>
    </w:p>
    <w:p w:rsidR="002B489A" w:rsidRDefault="004F19C4">
      <w:pPr>
        <w:rPr>
          <w:lang w:val="fr-CH"/>
        </w:rPr>
      </w:pPr>
      <w:r>
        <w:rPr>
          <w:lang w:val="fr-CH"/>
        </w:rPr>
        <w:t>A nouveau, on peut calculer la puissance tombant dans la bande SETS en supposant que le niveau de rayonnement non essentiel ne dépasse pas la limite à la bordure du domaine des émissions hors bande. Cela donne:</w:t>
      </w:r>
    </w:p>
    <w:p w:rsidR="002B489A" w:rsidRDefault="004F19C4">
      <w:pPr>
        <w:pStyle w:val="enumlev1"/>
        <w:tabs>
          <w:tab w:val="clear" w:pos="794"/>
          <w:tab w:val="clear" w:pos="1191"/>
          <w:tab w:val="clear" w:pos="1588"/>
          <w:tab w:val="clear" w:pos="1985"/>
          <w:tab w:val="left" w:pos="4678"/>
        </w:tabs>
        <w:rPr>
          <w:lang w:val="fr-CH"/>
        </w:rPr>
      </w:pPr>
      <w:r>
        <w:rPr>
          <w:lang w:val="fr-CH"/>
        </w:rPr>
        <w:t>Pour un espacement entre canaux de 28 MHz:</w:t>
      </w:r>
      <w:r>
        <w:rPr>
          <w:lang w:val="fr-CH"/>
        </w:rPr>
        <w:tab/>
        <w:t>–44,5 dB(W/100 MHz).</w:t>
      </w:r>
    </w:p>
    <w:p w:rsidR="002B489A" w:rsidRDefault="004F19C4">
      <w:pPr>
        <w:pStyle w:val="enumlev1"/>
        <w:tabs>
          <w:tab w:val="clear" w:pos="794"/>
          <w:tab w:val="clear" w:pos="1191"/>
          <w:tab w:val="clear" w:pos="1588"/>
          <w:tab w:val="clear" w:pos="1985"/>
          <w:tab w:val="left" w:pos="4678"/>
        </w:tabs>
        <w:rPr>
          <w:lang w:val="fr-CH"/>
        </w:rPr>
      </w:pPr>
      <w:r>
        <w:rPr>
          <w:lang w:val="fr-CH"/>
        </w:rPr>
        <w:t>Pour un espacement entre canaux de 56 MHz:</w:t>
      </w:r>
      <w:r>
        <w:rPr>
          <w:lang w:val="fr-CH"/>
        </w:rPr>
        <w:tab/>
        <w:t>–39,5 dB(W/100 MHz).</w:t>
      </w:r>
    </w:p>
    <w:p w:rsidR="002B489A" w:rsidRDefault="004F19C4">
      <w:pPr>
        <w:rPr>
          <w:lang w:val="fr-CH"/>
        </w:rPr>
      </w:pPr>
      <w:r>
        <w:rPr>
          <w:lang w:val="fr-CH"/>
        </w:rPr>
        <w:t>Le critère de protection du SETS est satisfait dans tous ces cas.</w:t>
      </w:r>
    </w:p>
    <w:p w:rsidR="002B489A" w:rsidRDefault="004F19C4">
      <w:pPr>
        <w:pStyle w:val="Heading4"/>
        <w:rPr>
          <w:lang w:val="fr-CH"/>
        </w:rPr>
      </w:pPr>
      <w:r>
        <w:rPr>
          <w:lang w:val="fr-CH"/>
        </w:rPr>
        <w:t>4.3.2.2</w:t>
      </w:r>
      <w:r>
        <w:rPr>
          <w:lang w:val="fr-CH"/>
        </w:rPr>
        <w:tab/>
        <w:t>Affinage du calcul avec les limites de la Recommandation UIT-R SM.1541 et de la Catégorie B (voir la Recommandation UIT-R SM.329)</w:t>
      </w:r>
    </w:p>
    <w:p w:rsidR="002B489A" w:rsidRDefault="004F19C4">
      <w:pPr>
        <w:pStyle w:val="Heading5"/>
        <w:rPr>
          <w:lang w:val="fr-CH"/>
        </w:rPr>
      </w:pPr>
      <w:r>
        <w:rPr>
          <w:lang w:val="fr-CH"/>
        </w:rPr>
        <w:t>4.3.2.2.1</w:t>
      </w:r>
      <w:r>
        <w:rPr>
          <w:lang w:val="fr-CH"/>
        </w:rPr>
        <w:tab/>
        <w:t>Cas de l'espacement entre canaux de 3,5 et 7 MHz</w:t>
      </w:r>
    </w:p>
    <w:p w:rsidR="002B489A" w:rsidRDefault="004F19C4">
      <w:pPr>
        <w:rPr>
          <w:lang w:val="fr-CH"/>
        </w:rPr>
      </w:pPr>
      <w:r>
        <w:rPr>
          <w:lang w:val="fr-CH"/>
        </w:rPr>
        <w:t>Il faut noter que la Recommandation UIT-R F.1496 donne des dispositions de canaux pour les systèmes utilisant un espacement entre canaux de 3,5 MHz, 7 MHz, 14 MHz, 28 MHz et 56 MHz qui doivent être déployés dans cette bande. Ces dispositions de canaux incluent une bande de garde de 40 MHz au sein de la bande du service fixe.</w:t>
      </w:r>
    </w:p>
    <w:p w:rsidR="002B489A" w:rsidRDefault="004F19C4">
      <w:pPr>
        <w:rPr>
          <w:lang w:val="fr-CH"/>
        </w:rPr>
      </w:pPr>
      <w:r>
        <w:rPr>
          <w:lang w:val="fr-CH"/>
        </w:rPr>
        <w:t>Cela signifie que pour un espacement entre canaux de 3,5 et 7 MHz, le domaine des émissions hors bande (qui s'étend de 50% de l'espacement entre canaux jusqu'à 250% de l'espacement entre canaux par rapport à la fréquence centrale du signal du service fixe) sera inclus dans la bande de garde. Donc, pour les systèmes qui utilisent un espacement entre canaux de 3,5 et 7 MHz, il n'est nécessaire de prendre en compte que les seuls rayonnements non désirés qui tombent dans le domaine des rayonnements non essentiels.</w:t>
      </w:r>
    </w:p>
    <w:p w:rsidR="002B489A" w:rsidRDefault="004F19C4">
      <w:pPr>
        <w:rPr>
          <w:lang w:val="fr-CH"/>
        </w:rPr>
      </w:pPr>
      <w:r>
        <w:rPr>
          <w:lang w:val="fr-CH"/>
        </w:rPr>
        <w:t>La Recommandation UIT-R SM.329 donne des informations sur les niveaux de rayonnements non désirés qui tombent dans le domaine des rayonnements non essentiels, en particulier, la présente analyse tient compte des niveaux adoptés en Europe et utilisés par quelques autres pays (niveaux de Catégorie B).</w:t>
      </w:r>
    </w:p>
    <w:p w:rsidR="002B489A" w:rsidRDefault="004F19C4">
      <w:pPr>
        <w:rPr>
          <w:lang w:val="fr-CH"/>
        </w:rPr>
      </w:pPr>
      <w:r>
        <w:rPr>
          <w:lang w:val="fr-CH"/>
        </w:rPr>
        <w:t>Dans le cas de systèmes du service fixe fonctionnant avec un espacement entre canaux inférieur à 10 MHz, il y a une étape à franchir avant d'atteindre cette valeur de –60 dB(W/MHz). A partir d'un décalage de 2,5 fois l'espacement entre canaux par rapport à la fréquence centrale d'un décalage de 70 MHz, la limite est égale à –50 dB(W/MHz) (ou –60 dBW dans une largeur de bande de référence de 100 kHz).</w:t>
      </w:r>
    </w:p>
    <w:p w:rsidR="002B489A" w:rsidRDefault="004F19C4">
      <w:pPr>
        <w:tabs>
          <w:tab w:val="clear" w:pos="794"/>
        </w:tabs>
        <w:rPr>
          <w:lang w:val="fr-CH"/>
        </w:rPr>
      </w:pPr>
      <w:r>
        <w:rPr>
          <w:lang w:val="fr-CH"/>
        </w:rPr>
        <w:t xml:space="preserve">Dans le cas de systèmes du service fixe fonctionnant avec un espacement entre canaux inférieur à 10 MHz, pour obtenir des résultats plus réalistes, on fait l'hypothèse qu'il y a une décroissance linéaire entre le point à –50 dB(W/MHz) sur le gabarit et le point correspondant au niveau de </w:t>
      </w:r>
      <w:r>
        <w:rPr>
          <w:rFonts w:ascii="Symbol" w:hAnsi="Symbol"/>
          <w:lang w:val="fr-CH"/>
        </w:rPr>
        <w:noBreakHyphen/>
      </w:r>
      <w:r>
        <w:rPr>
          <w:lang w:val="fr-CH"/>
        </w:rPr>
        <w:t>60 dB(W/MHz).</w:t>
      </w:r>
    </w:p>
    <w:p w:rsidR="002B489A" w:rsidRDefault="004F19C4">
      <w:pPr>
        <w:tabs>
          <w:tab w:val="clear" w:pos="794"/>
        </w:tabs>
        <w:rPr>
          <w:lang w:val="fr-CH"/>
        </w:rPr>
      </w:pPr>
      <w:r>
        <w:rPr>
          <w:lang w:val="fr-CH"/>
        </w:rPr>
        <w:t>La Fig. 82 donne un exemple de gabarit de rayonnements non désirés pour un système utilisant un espacement entre canaux de 3,5 MHz.</w:t>
      </w:r>
    </w:p>
    <w:p w:rsidR="002B489A" w:rsidRDefault="004F19C4">
      <w:pPr>
        <w:rPr>
          <w:lang w:val="fr-CH" w:eastAsia="fr-FR"/>
        </w:rPr>
      </w:pPr>
      <w:r>
        <w:rPr>
          <w:lang w:val="fr-CH" w:eastAsia="fr-FR"/>
        </w:rPr>
        <w:t>On calcule alors la puissance à la bordure de la bande du SETS (52,6 GHz). Cela donne:</w:t>
      </w:r>
    </w:p>
    <w:p w:rsidR="002B489A" w:rsidRDefault="004F19C4">
      <w:pPr>
        <w:pStyle w:val="enumlev1"/>
        <w:tabs>
          <w:tab w:val="clear" w:pos="794"/>
          <w:tab w:val="clear" w:pos="1191"/>
          <w:tab w:val="clear" w:pos="1588"/>
          <w:tab w:val="clear" w:pos="1985"/>
          <w:tab w:val="left" w:pos="4536"/>
        </w:tabs>
        <w:rPr>
          <w:lang w:val="fr-CH" w:eastAsia="fr-FR"/>
        </w:rPr>
      </w:pPr>
      <w:r>
        <w:rPr>
          <w:lang w:val="fr-CH" w:eastAsia="fr-FR"/>
        </w:rPr>
        <w:t>Pour un espacement entre canaux de 3,5 MHz:</w:t>
      </w:r>
      <w:r>
        <w:rPr>
          <w:lang w:val="fr-CH" w:eastAsia="fr-FR"/>
        </w:rPr>
        <w:tab/>
      </w:r>
      <w:r>
        <w:rPr>
          <w:lang w:val="fr-CH"/>
        </w:rPr>
        <w:t>–</w:t>
      </w:r>
      <w:r>
        <w:rPr>
          <w:lang w:val="fr-CH" w:eastAsia="fr-FR"/>
        </w:rPr>
        <w:t>55,5 dB(W/MHz).</w:t>
      </w:r>
    </w:p>
    <w:p w:rsidR="002B489A" w:rsidRDefault="004F19C4">
      <w:pPr>
        <w:pStyle w:val="enumlev1"/>
        <w:tabs>
          <w:tab w:val="clear" w:pos="794"/>
          <w:tab w:val="clear" w:pos="1191"/>
          <w:tab w:val="clear" w:pos="1588"/>
          <w:tab w:val="clear" w:pos="1985"/>
          <w:tab w:val="left" w:pos="4536"/>
        </w:tabs>
        <w:rPr>
          <w:lang w:val="fr-CH" w:eastAsia="fr-FR"/>
        </w:rPr>
      </w:pPr>
      <w:r>
        <w:rPr>
          <w:lang w:val="fr-CH" w:eastAsia="fr-FR"/>
        </w:rPr>
        <w:t>Pour un espacement entre canaux de 7 MHz:</w:t>
      </w:r>
      <w:r>
        <w:rPr>
          <w:lang w:val="fr-CH" w:eastAsia="fr-FR"/>
        </w:rPr>
        <w:tab/>
      </w:r>
      <w:r>
        <w:rPr>
          <w:lang w:val="fr-CH"/>
        </w:rPr>
        <w:t>–</w:t>
      </w:r>
      <w:r>
        <w:rPr>
          <w:lang w:val="fr-CH" w:eastAsia="fr-FR"/>
        </w:rPr>
        <w:t>54,5 dB(W/MHz).</w:t>
      </w:r>
    </w:p>
    <w:p w:rsidR="002B489A" w:rsidRDefault="004F19C4">
      <w:pPr>
        <w:rPr>
          <w:lang w:val="fr-CH" w:eastAsia="fr-FR"/>
        </w:rPr>
      </w:pPr>
      <w:r>
        <w:rPr>
          <w:lang w:val="fr-CH" w:eastAsia="fr-FR"/>
        </w:rPr>
        <w:t>Ces valeurs sont au-dessous du niveau minimum (</w:t>
      </w:r>
      <w:r>
        <w:rPr>
          <w:lang w:val="fr-CH"/>
        </w:rPr>
        <w:t>–</w:t>
      </w:r>
      <w:r>
        <w:rPr>
          <w:lang w:val="fr-CH" w:eastAsia="fr-FR"/>
        </w:rPr>
        <w:t>53 dB(W/MHz)) donné aux Tableaux 126 et 127, ce qui signifie que les critères de brouillage du SETS seront satisfaits. Bien sûr, dans la mesure où la puissance brouilleuse devrait être intégrée sur une largeur de bande de référence de 100 MHz, la marge est beaucoup plus large.</w:t>
      </w:r>
    </w:p>
    <w:p w:rsidR="002B489A" w:rsidRDefault="004F19C4">
      <w:pPr>
        <w:pStyle w:val="FigureNo"/>
        <w:rPr>
          <w:lang w:val="fr-CH"/>
        </w:rPr>
      </w:pPr>
      <w:r>
        <w:br w:type="page"/>
      </w:r>
      <w:r>
        <w:object w:dxaOrig="6447" w:dyaOrig="7758">
          <v:shape id="_x0000_i1074" type="#_x0000_t75" style="width:322.5pt;height:388pt" o:ole="">
            <v:imagedata r:id="rId150" o:title=""/>
          </v:shape>
          <o:OLEObject Type="Embed" ProgID="Designer.Drawing.7" ShapeID="_x0000_i1074" DrawAspect="Content" ObjectID="_1649163320" r:id="rId151"/>
        </w:object>
      </w:r>
    </w:p>
    <w:p w:rsidR="002B489A" w:rsidRDefault="002B489A">
      <w:pPr>
        <w:rPr>
          <w:lang w:val="fr-CH"/>
        </w:rPr>
      </w:pPr>
    </w:p>
    <w:p w:rsidR="002B489A" w:rsidRDefault="004F19C4">
      <w:pPr>
        <w:pStyle w:val="Heading5"/>
        <w:rPr>
          <w:lang w:val="fr-CH"/>
        </w:rPr>
      </w:pPr>
      <w:r>
        <w:rPr>
          <w:lang w:val="fr-CH"/>
        </w:rPr>
        <w:t>4.3.2.2.2</w:t>
      </w:r>
      <w:r>
        <w:rPr>
          <w:lang w:val="fr-CH"/>
        </w:rPr>
        <w:tab/>
        <w:t>Cas d'un espacement entre canaux de 14 MHz</w:t>
      </w:r>
    </w:p>
    <w:p w:rsidR="002B489A" w:rsidRDefault="004F19C4">
      <w:pPr>
        <w:rPr>
          <w:lang w:val="fr-CH"/>
        </w:rPr>
      </w:pPr>
      <w:r>
        <w:rPr>
          <w:lang w:val="fr-CH"/>
        </w:rPr>
        <w:t>Il faut noter que la Recommandation UIT-R F.1496 donne des dispositions de canaux pour les systèmes utilisant un espacement entre canaux de 3,5 MHz, 7 MHz, 14 MHz, 28 MHz et 56 MHz et qui doivent être déployés dans cette bande. Ces dispositions de canaux incluent une bande de garde de 40 MHz au sein de la bande du service fixe.</w:t>
      </w:r>
    </w:p>
    <w:p w:rsidR="002B489A" w:rsidRDefault="004F19C4">
      <w:pPr>
        <w:rPr>
          <w:lang w:val="fr-CH"/>
        </w:rPr>
      </w:pPr>
      <w:r>
        <w:rPr>
          <w:lang w:val="fr-CH"/>
        </w:rPr>
        <w:t>Cela signifie que pour un espacement entre canaux de 14 MHz, le domaine des émissions hors bande (qui s'étend de 50% de l'espacement entre canaux jusqu'à 250% de l'espacement entre canaux par rapport à la fréquence centrale du signal du service fixe) sera inclus dans la bande de garde. Donc, pour les systèmes qui utilisent un espacement entre canaux de 3,5 et 7 MHz, il n'est nécessaire de prendre en compte que les seuls rayonnements non désirés qui tombent dans le domaine des rayonnements non essentiels.</w:t>
      </w:r>
    </w:p>
    <w:p w:rsidR="002B489A" w:rsidRDefault="004F19C4">
      <w:pPr>
        <w:rPr>
          <w:lang w:val="fr-CH"/>
        </w:rPr>
      </w:pPr>
      <w:r>
        <w:rPr>
          <w:lang w:val="fr-CH"/>
        </w:rPr>
        <w:t>La Recommandation UIT-R SM.329 donne des informations sur les niveaux de rayonnements non désirés qui tombent dans le domaine des rayonnements non essentiels, en particulier, la présente analyse tient compte des niveaux adoptés en Europe et utilisés par quelques autres pays (niveaux de Catégorie B).</w:t>
      </w:r>
    </w:p>
    <w:p w:rsidR="002B489A" w:rsidRDefault="004F19C4">
      <w:pPr>
        <w:rPr>
          <w:lang w:val="fr-CH"/>
        </w:rPr>
      </w:pPr>
      <w:r>
        <w:rPr>
          <w:lang w:val="fr-CH"/>
        </w:rPr>
        <w:t>Pour les systèmes fonctionnant avec un espacement entre canaux supérieur à 10 MHz, la limite des rayonnements non essentiels est de –60 dB(W/MHz).</w:t>
      </w:r>
    </w:p>
    <w:p w:rsidR="002B489A" w:rsidRDefault="004F19C4">
      <w:pPr>
        <w:rPr>
          <w:lang w:val="fr-CH"/>
        </w:rPr>
      </w:pPr>
      <w:r>
        <w:rPr>
          <w:lang w:val="fr-CH"/>
        </w:rPr>
        <w:br w:type="page"/>
        <w:t>Le niveau des rayonnements non désirés tombant dans une largeur de bande de référence de 100 MHz peut être calculé directement:</w:t>
      </w:r>
    </w:p>
    <w:p w:rsidR="002B489A" w:rsidRDefault="004F19C4">
      <w:pPr>
        <w:pStyle w:val="Equation"/>
        <w:rPr>
          <w:lang w:val="fr-CH"/>
        </w:rPr>
      </w:pPr>
      <w:r>
        <w:rPr>
          <w:i/>
          <w:iCs/>
          <w:lang w:val="fr-CH"/>
        </w:rPr>
        <w:tab/>
      </w:r>
      <w:r>
        <w:rPr>
          <w:i/>
          <w:iCs/>
          <w:lang w:val="fr-CH"/>
        </w:rPr>
        <w:tab/>
        <w:t>P</w:t>
      </w:r>
      <w:r>
        <w:rPr>
          <w:lang w:val="fr-CH"/>
        </w:rPr>
        <w:t xml:space="preserve"> </w:t>
      </w:r>
      <w:r>
        <w:rPr>
          <w:rFonts w:ascii="Symbol" w:hAnsi="Symbol"/>
          <w:lang w:val="fr-CH"/>
        </w:rPr>
        <w:t></w:t>
      </w:r>
      <w:r>
        <w:rPr>
          <w:lang w:val="fr-CH"/>
        </w:rPr>
        <w:t xml:space="preserve"> –60 dB(W/MHz) </w:t>
      </w:r>
      <w:r>
        <w:rPr>
          <w:rFonts w:ascii="Symbol" w:hAnsi="Symbol"/>
          <w:lang w:val="fr-CH"/>
        </w:rPr>
        <w:t></w:t>
      </w:r>
      <w:r>
        <w:rPr>
          <w:lang w:val="fr-CH"/>
        </w:rPr>
        <w:t xml:space="preserve"> 10 </w:t>
      </w:r>
      <w:r>
        <w:rPr>
          <w:rFonts w:ascii="Symbol" w:hAnsi="Symbol"/>
          <w:lang w:val="fr-CH"/>
        </w:rPr>
        <w:t></w:t>
      </w:r>
      <w:r>
        <w:rPr>
          <w:lang w:val="fr-CH"/>
        </w:rPr>
        <w:t xml:space="preserve"> log (100 MHz)</w:t>
      </w:r>
    </w:p>
    <w:p w:rsidR="002B489A" w:rsidRDefault="004F19C4">
      <w:pPr>
        <w:pStyle w:val="Equation"/>
      </w:pPr>
      <w:r>
        <w:rPr>
          <w:i/>
          <w:iCs/>
        </w:rPr>
        <w:tab/>
      </w:r>
      <w:r>
        <w:rPr>
          <w:i/>
          <w:iCs/>
        </w:rPr>
        <w:tab/>
        <w:t>P</w:t>
      </w:r>
      <w:r>
        <w:t xml:space="preserve"> </w:t>
      </w:r>
      <w:r>
        <w:rPr>
          <w:rFonts w:ascii="Symbol" w:hAnsi="Symbol"/>
        </w:rPr>
        <w:t></w:t>
      </w:r>
      <w:r>
        <w:t xml:space="preserve"> –40 dB(W/100 MHz)</w:t>
      </w:r>
    </w:p>
    <w:p w:rsidR="002B489A" w:rsidRDefault="004F19C4">
      <w:pPr>
        <w:rPr>
          <w:lang w:val="fr-CH"/>
        </w:rPr>
      </w:pPr>
      <w:r>
        <w:rPr>
          <w:lang w:val="fr-CH"/>
        </w:rPr>
        <w:t>Les critères de brouillage du SETS sont de nouveau satisfaits (–33 dB(W/100 MHz)).</w:t>
      </w:r>
    </w:p>
    <w:p w:rsidR="002B489A" w:rsidRDefault="004F19C4">
      <w:pPr>
        <w:pStyle w:val="Heading5"/>
        <w:rPr>
          <w:lang w:val="fr-CH"/>
        </w:rPr>
      </w:pPr>
      <w:r>
        <w:rPr>
          <w:lang w:val="fr-CH"/>
        </w:rPr>
        <w:t>4.3.2.2.3</w:t>
      </w:r>
      <w:r>
        <w:rPr>
          <w:lang w:val="fr-CH"/>
        </w:rPr>
        <w:tab/>
        <w:t>Cas de l'espacement entre canaux de 28 MHz</w:t>
      </w:r>
    </w:p>
    <w:p w:rsidR="002B489A" w:rsidRDefault="004F19C4">
      <w:pPr>
        <w:rPr>
          <w:lang w:val="fr-CH"/>
        </w:rPr>
      </w:pPr>
      <w:r>
        <w:rPr>
          <w:lang w:val="fr-CH"/>
        </w:rPr>
        <w:t>Pour les rayonnements non désirés tombant dans le domaine des émissions hors bande, on a pris en considération les gabarits donnés dans la Recommandation UIT-R SM.1541 (voir la Fig. 80). Les gabarits des émissions hors bande tirés de la Recommandation UIT-R SM.1541 sont fournis à la Fig. 83.</w:t>
      </w:r>
    </w:p>
    <w:p w:rsidR="002B489A" w:rsidRDefault="004F19C4">
      <w:pPr>
        <w:pStyle w:val="FigureNo"/>
        <w:rPr>
          <w:lang w:val="fr-CH"/>
        </w:rPr>
      </w:pPr>
      <w:r>
        <w:object w:dxaOrig="6908" w:dyaOrig="7782">
          <v:shape id="_x0000_i1075" type="#_x0000_t75" style="width:345.5pt;height:389pt" o:ole="">
            <v:imagedata r:id="rId152" o:title=""/>
          </v:shape>
          <o:OLEObject Type="Embed" ProgID="Designer.Drawing.7" ShapeID="_x0000_i1075" DrawAspect="Content" ObjectID="_1649163321" r:id="rId153"/>
        </w:object>
      </w:r>
    </w:p>
    <w:p w:rsidR="002B489A" w:rsidRDefault="002B489A">
      <w:pPr>
        <w:rPr>
          <w:lang w:val="fr-CH"/>
        </w:rPr>
      </w:pPr>
    </w:p>
    <w:p w:rsidR="002B489A" w:rsidRDefault="004F19C4">
      <w:pPr>
        <w:rPr>
          <w:lang w:val="fr-CH"/>
        </w:rPr>
      </w:pPr>
      <w:r>
        <w:rPr>
          <w:lang w:val="fr-CH"/>
        </w:rPr>
        <w:t>Dans l'analyse qui suit, on considère l'enveloppe des deux gabarits (hypothèse la plus défavorable).</w:t>
      </w:r>
    </w:p>
    <w:p w:rsidR="002B489A" w:rsidRDefault="004F19C4">
      <w:pPr>
        <w:rPr>
          <w:lang w:val="fr-CH"/>
        </w:rPr>
      </w:pPr>
      <w:r>
        <w:rPr>
          <w:lang w:val="fr-CH"/>
        </w:rPr>
        <w:t>La Recommandation UIT-R SM.329 donne des informations sur les niveaux de rayonnements non essentiels, en particulier, la présente analyse considère les niveaux de Catégorie B. Pour les systèmes fonctionnant avec un espacement entre canaux supérieur à 10 MHz, la limite des rayonnements non essentiels est de –60 dB(W/MHz).</w:t>
      </w:r>
    </w:p>
    <w:p w:rsidR="002B489A" w:rsidRDefault="004F19C4">
      <w:pPr>
        <w:rPr>
          <w:lang w:val="fr-CH"/>
        </w:rPr>
      </w:pPr>
      <w:r>
        <w:rPr>
          <w:lang w:val="fr-CH"/>
        </w:rPr>
        <w:br w:type="page"/>
        <w:t>En utilisant le gabarit hors bande et le niveau des rayonnements non essentiels donné dans la Catégorie B de la Recommandation UIT-R SM.329, il est possible de calculer le niveau des rayonnements non désirés qui peuvent tomber dans la bande 52,6</w:t>
      </w:r>
      <w:r>
        <w:rPr>
          <w:lang w:val="fr-CH"/>
        </w:rPr>
        <w:noBreakHyphen/>
        <w:t>52,7 GHz. Cela donne, pour un espacement entre canaux de 28 MHz fonctionnant à –10 dBW (valeur maximale donnée par la Recommandation UIT-R F.758) –40,5 dBW dans une largeur de bande de référence de 100 MHz. La protection du SETS est assurée.</w:t>
      </w:r>
    </w:p>
    <w:p w:rsidR="002B489A" w:rsidRDefault="004F19C4">
      <w:pPr>
        <w:pStyle w:val="Heading5"/>
        <w:rPr>
          <w:lang w:val="fr-CH"/>
        </w:rPr>
      </w:pPr>
      <w:r>
        <w:rPr>
          <w:lang w:val="fr-CH"/>
        </w:rPr>
        <w:t>4.3.2.2.4</w:t>
      </w:r>
      <w:r>
        <w:rPr>
          <w:lang w:val="fr-CH"/>
        </w:rPr>
        <w:tab/>
        <w:t>Cas de l'espacement entre canaux de 56 MHz</w:t>
      </w:r>
    </w:p>
    <w:p w:rsidR="002B489A" w:rsidRDefault="004F19C4">
      <w:pPr>
        <w:rPr>
          <w:lang w:val="fr-CH"/>
        </w:rPr>
      </w:pPr>
      <w:r>
        <w:rPr>
          <w:lang w:val="fr-CH"/>
        </w:rPr>
        <w:t>On utilise la même approche que pour le cas précédent. Cela donne pour un espacement entre canaux de 56 MHz fonctionnant à –10 dBW, –38,7 dBW dans une largeur de bande de référence de 100 MHz. La protection du SETS est satisfaite.</w:t>
      </w:r>
    </w:p>
    <w:p w:rsidR="002B489A" w:rsidRDefault="004F19C4">
      <w:pPr>
        <w:pStyle w:val="Heading1"/>
        <w:rPr>
          <w:lang w:val="fr-CH"/>
        </w:rPr>
      </w:pPr>
      <w:r>
        <w:rPr>
          <w:lang w:val="fr-CH"/>
        </w:rPr>
        <w:t>5</w:t>
      </w:r>
      <w:r>
        <w:rPr>
          <w:lang w:val="fr-CH"/>
        </w:rPr>
        <w:tab/>
        <w:t>Techniques de réduction des brouillages</w:t>
      </w:r>
    </w:p>
    <w:p w:rsidR="002B489A" w:rsidRDefault="004F19C4">
      <w:pPr>
        <w:pStyle w:val="Heading2"/>
        <w:rPr>
          <w:lang w:val="fr-CH"/>
        </w:rPr>
      </w:pPr>
      <w:r>
        <w:rPr>
          <w:lang w:val="fr-CH"/>
        </w:rPr>
        <w:t>5.1</w:t>
      </w:r>
      <w:r>
        <w:rPr>
          <w:lang w:val="fr-CH"/>
        </w:rPr>
        <w:tab/>
        <w:t>SETS (passive)</w:t>
      </w:r>
    </w:p>
    <w:p w:rsidR="002B489A" w:rsidRDefault="004F19C4">
      <w:pPr>
        <w:rPr>
          <w:lang w:val="fr-CH"/>
        </w:rPr>
      </w:pPr>
      <w:r>
        <w:rPr>
          <w:lang w:val="fr-CH"/>
        </w:rPr>
        <w:t>Aucune technique de réduction des brouillages n'est nécessaire.</w:t>
      </w:r>
    </w:p>
    <w:p w:rsidR="002B489A" w:rsidRDefault="004F19C4">
      <w:pPr>
        <w:pStyle w:val="Heading2"/>
        <w:rPr>
          <w:lang w:val="fr-CH"/>
        </w:rPr>
      </w:pPr>
      <w:r>
        <w:rPr>
          <w:lang w:val="fr-CH"/>
        </w:rPr>
        <w:t>5.2</w:t>
      </w:r>
      <w:r>
        <w:rPr>
          <w:lang w:val="fr-CH"/>
        </w:rPr>
        <w:tab/>
        <w:t>Service fixe</w:t>
      </w:r>
    </w:p>
    <w:p w:rsidR="002B489A" w:rsidRDefault="004F19C4">
      <w:pPr>
        <w:spacing w:after="120"/>
        <w:rPr>
          <w:lang w:val="fr-CH"/>
        </w:rPr>
      </w:pPr>
      <w:r>
        <w:rPr>
          <w:lang w:val="fr-CH"/>
        </w:rPr>
        <w:t>Il n'est nécessaire de prendre en compte aucune technique de réduction des brouillages supplémentaire dans la conception des systèmes du service fixe.</w:t>
      </w:r>
    </w:p>
    <w:p w:rsidR="002B489A" w:rsidRDefault="004F19C4">
      <w:pPr>
        <w:pStyle w:val="Heading2"/>
        <w:rPr>
          <w:lang w:val="fr-CH"/>
        </w:rPr>
      </w:pPr>
      <w:r>
        <w:rPr>
          <w:lang w:val="fr-CH"/>
        </w:rPr>
        <w:t>5.3</w:t>
      </w:r>
      <w:r>
        <w:rPr>
          <w:lang w:val="fr-CH"/>
        </w:rPr>
        <w:tab/>
        <w:t>Impact potentiel</w:t>
      </w:r>
    </w:p>
    <w:p w:rsidR="002B489A" w:rsidRDefault="004F19C4">
      <w:pPr>
        <w:pStyle w:val="Heading3"/>
        <w:rPr>
          <w:lang w:val="fr-CH"/>
        </w:rPr>
      </w:pPr>
      <w:r>
        <w:rPr>
          <w:lang w:val="fr-CH"/>
        </w:rPr>
        <w:t>5.3.1</w:t>
      </w:r>
      <w:r>
        <w:rPr>
          <w:lang w:val="fr-CH"/>
        </w:rPr>
        <w:tab/>
        <w:t>SETS</w:t>
      </w:r>
    </w:p>
    <w:p w:rsidR="002B489A" w:rsidRDefault="004F19C4">
      <w:pPr>
        <w:rPr>
          <w:lang w:val="fr-CH"/>
        </w:rPr>
      </w:pPr>
      <w:r>
        <w:rPr>
          <w:lang w:val="fr-CH"/>
        </w:rPr>
        <w:t>Pas d'impact.</w:t>
      </w:r>
    </w:p>
    <w:p w:rsidR="002B489A" w:rsidRDefault="004F19C4">
      <w:pPr>
        <w:pStyle w:val="Heading3"/>
        <w:rPr>
          <w:lang w:val="fr-CH"/>
        </w:rPr>
      </w:pPr>
      <w:r>
        <w:rPr>
          <w:lang w:val="fr-CH"/>
        </w:rPr>
        <w:t>5.3.2</w:t>
      </w:r>
      <w:r>
        <w:rPr>
          <w:lang w:val="fr-CH"/>
        </w:rPr>
        <w:tab/>
        <w:t>SFS</w:t>
      </w:r>
    </w:p>
    <w:p w:rsidR="002B489A" w:rsidRDefault="004F19C4">
      <w:pPr>
        <w:rPr>
          <w:lang w:val="fr-CH"/>
        </w:rPr>
      </w:pPr>
      <w:r>
        <w:rPr>
          <w:lang w:val="fr-CH"/>
        </w:rPr>
        <w:t>Pas d'impact.</w:t>
      </w:r>
    </w:p>
    <w:p w:rsidR="002B489A" w:rsidRDefault="004F19C4">
      <w:pPr>
        <w:pStyle w:val="Heading1"/>
        <w:rPr>
          <w:lang w:val="fr-CH"/>
        </w:rPr>
      </w:pPr>
      <w:r>
        <w:rPr>
          <w:lang w:val="fr-CH"/>
        </w:rPr>
        <w:t>6</w:t>
      </w:r>
      <w:r>
        <w:rPr>
          <w:lang w:val="fr-CH"/>
        </w:rPr>
        <w:tab/>
        <w:t>Résultats des études</w:t>
      </w:r>
    </w:p>
    <w:p w:rsidR="002B489A" w:rsidRDefault="004F19C4">
      <w:pPr>
        <w:pStyle w:val="Heading2"/>
        <w:rPr>
          <w:lang w:val="fr-CH"/>
        </w:rPr>
      </w:pPr>
      <w:r>
        <w:rPr>
          <w:lang w:val="fr-CH"/>
        </w:rPr>
        <w:t>6.1</w:t>
      </w:r>
      <w:r>
        <w:rPr>
          <w:lang w:val="fr-CH"/>
        </w:rPr>
        <w:tab/>
        <w:t>Résumé</w:t>
      </w:r>
    </w:p>
    <w:p w:rsidR="002B489A" w:rsidRDefault="004F19C4">
      <w:pPr>
        <w:rPr>
          <w:lang w:val="fr-CH"/>
        </w:rPr>
      </w:pPr>
      <w:r>
        <w:rPr>
          <w:lang w:val="fr-CH"/>
        </w:rPr>
        <w:t>Dans la présente Annexe, on a montré que le niveau des rayonnements non désirés des systèmes du service fixe fonctionnant dans la bande 51,4</w:t>
      </w:r>
      <w:r>
        <w:rPr>
          <w:lang w:val="fr-CH"/>
        </w:rPr>
        <w:noBreakHyphen/>
        <w:t>52,6 GHz satisfera aux critères de protection du SETS.</w:t>
      </w:r>
    </w:p>
    <w:p w:rsidR="002B489A" w:rsidRDefault="004F19C4">
      <w:pPr>
        <w:pStyle w:val="Heading2"/>
        <w:rPr>
          <w:lang w:val="fr-CH"/>
        </w:rPr>
      </w:pPr>
      <w:r>
        <w:rPr>
          <w:lang w:val="fr-CH"/>
        </w:rPr>
        <w:t>6.2</w:t>
      </w:r>
      <w:r>
        <w:rPr>
          <w:lang w:val="fr-CH"/>
        </w:rPr>
        <w:tab/>
        <w:t>Conclusion</w:t>
      </w:r>
    </w:p>
    <w:p w:rsidR="002B489A" w:rsidRDefault="004F19C4">
      <w:pPr>
        <w:rPr>
          <w:lang w:val="fr-CH"/>
        </w:rPr>
      </w:pPr>
      <w:r>
        <w:rPr>
          <w:lang w:val="fr-CH"/>
        </w:rPr>
        <w:t>Le niveau de rayonnements non désirés des systèmes du service fixe dans la bande 51,4</w:t>
      </w:r>
      <w:r>
        <w:rPr>
          <w:lang w:val="fr-CH"/>
        </w:rPr>
        <w:noBreakHyphen/>
        <w:t>52,6 GHz peut satisfaire le critère de –33 dB(W/100 MHz), ce qui assure la compatibilité entre les systèmes SETS et les systèmes du service fixe à 52,6 GHz.</w:t>
      </w:r>
    </w:p>
    <w:p w:rsidR="002B489A" w:rsidRDefault="002B489A">
      <w:pPr>
        <w:rPr>
          <w:lang w:val="fr-CH"/>
        </w:rPr>
      </w:pPr>
    </w:p>
    <w:p w:rsidR="002B489A" w:rsidRDefault="002B489A">
      <w:pPr>
        <w:pStyle w:val="Line"/>
      </w:pPr>
    </w:p>
    <w:p w:rsidR="002B489A" w:rsidRDefault="002B489A">
      <w:pPr>
        <w:rPr>
          <w:lang w:val="en-GB"/>
        </w:rPr>
      </w:pPr>
    </w:p>
    <w:p w:rsidR="002B489A" w:rsidRDefault="002B489A">
      <w:pPr>
        <w:rPr>
          <w:lang w:val="en-GB"/>
        </w:rPr>
      </w:pPr>
    </w:p>
    <w:p w:rsidR="002B489A" w:rsidRDefault="002B489A">
      <w:pPr>
        <w:sectPr w:rsidR="002B489A" w:rsidSect="00551F81">
          <w:headerReference w:type="even" r:id="rId154"/>
          <w:headerReference w:type="default" r:id="rId155"/>
          <w:footnotePr>
            <w:pos w:val="beneathText"/>
          </w:footnotePr>
          <w:pgSz w:w="11907" w:h="16834" w:code="9"/>
          <w:pgMar w:top="1418" w:right="1134" w:bottom="1134" w:left="1134" w:header="720" w:footer="482" w:gutter="0"/>
          <w:paperSrc w:first="7" w:other="7"/>
          <w:cols w:space="720"/>
        </w:sectPr>
      </w:pPr>
    </w:p>
    <w:p w:rsidR="002B489A" w:rsidRDefault="002B489A"/>
    <w:sectPr w:rsidR="002B489A">
      <w:headerReference w:type="even" r:id="rId156"/>
      <w:headerReference w:type="default" r:id="rId157"/>
      <w:footnotePr>
        <w:pos w:val="beneathText"/>
      </w:footnotePr>
      <w:pgSz w:w="11907" w:h="16834" w:code="9"/>
      <w:pgMar w:top="1418" w:right="1134" w:bottom="1134" w:left="1134" w:header="720" w:footer="482" w:gutter="0"/>
      <w:paperSrc w:first="15" w:other="15"/>
      <w:cols w:space="720"/>
      <w:vAlign w:val="both"/>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489A" w:rsidRDefault="004F19C4">
      <w:pPr>
        <w:spacing w:before="0"/>
      </w:pPr>
      <w:r>
        <w:separator/>
      </w:r>
    </w:p>
  </w:endnote>
  <w:endnote w:type="continuationSeparator" w:id="0">
    <w:p w:rsidR="002B489A" w:rsidRDefault="004F19C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MSY10">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½Å¸íÁ¶">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489A" w:rsidRDefault="004F19C4">
      <w:pPr>
        <w:pStyle w:val="Tabletext"/>
      </w:pPr>
      <w:r>
        <w:separator/>
      </w:r>
    </w:p>
  </w:footnote>
  <w:footnote w:type="continuationSeparator" w:id="0">
    <w:p w:rsidR="002B489A" w:rsidRDefault="004F19C4">
      <w:pPr>
        <w:spacing w:before="0"/>
      </w:pPr>
      <w:r>
        <w:continuationSeparator/>
      </w:r>
    </w:p>
  </w:footnote>
  <w:footnote w:id="1">
    <w:p w:rsidR="00551F81" w:rsidRPr="00551F81" w:rsidRDefault="00551F81">
      <w:pPr>
        <w:pStyle w:val="FootnoteText"/>
      </w:pPr>
      <w:r>
        <w:rPr>
          <w:rStyle w:val="FootnoteReference"/>
        </w:rPr>
        <w:t>*</w:t>
      </w:r>
      <w:r>
        <w:t xml:space="preserve"> </w:t>
      </w:r>
      <w:r w:rsidRPr="00551F81">
        <w:rPr>
          <w:lang w:val="fr-CH"/>
        </w:rPr>
        <w:t>La Commission d'études 1 des radiocommunications a apporté des modifications rédactionnelles à la présente Recommandation en 2018 et en 2019, conformément aux dispositions de la Résolution UIT</w:t>
      </w:r>
      <w:r w:rsidRPr="00551F81">
        <w:rPr>
          <w:lang w:val="fr-CH"/>
        </w:rPr>
        <w:noBreakHyphen/>
      </w:r>
      <w:r w:rsidR="00AD11A4">
        <w:rPr>
          <w:lang w:val="fr-CH"/>
        </w:rPr>
        <w:t>R 1.</w:t>
      </w:r>
      <w:bookmarkStart w:id="0" w:name="_GoBack"/>
      <w:bookmarkEnd w:id="0"/>
    </w:p>
  </w:footnote>
  <w:footnote w:id="2">
    <w:p w:rsidR="002B489A" w:rsidRDefault="004F19C4">
      <w:pPr>
        <w:pStyle w:val="FootnoteText"/>
      </w:pPr>
      <w:r>
        <w:rPr>
          <w:rStyle w:val="FootnoteReference"/>
          <w:sz w:val="20"/>
        </w:rPr>
        <w:footnoteRef/>
      </w:r>
      <w:r>
        <w:t xml:space="preserve"> </w:t>
      </w:r>
      <w:r>
        <w:tab/>
        <w:t>La Recommandation UIT-R S.1328-3 consiste en une base de données des caractéristiques du SFS et des renseignements sur les bilans de liaison à utiliser pour les études de partage. Cette Recommandation a été remplacée par la Recommandation UIT-R S.1328-4, qui, avec une base de données électronique, contient des tableaux pro forma pour la soumission électronique de bilans de liaison et un outil de validation pour s'assurer de la cohérence interne des liaisons. Actuellement, seul un petit nombre de bilans de liaison validés est disponible dans la base de données de la Recommandation UIT-R S.1328</w:t>
      </w:r>
      <w:r>
        <w:noBreakHyphen/>
        <w:t>4, et aucun d'entre eux n'est applicable à la bande en question. Par conséquent, les études de partage ont été faites avec les informations disponibles sur les liaisons dans la version précédente de cette Recommandation.</w:t>
      </w:r>
    </w:p>
  </w:footnote>
  <w:footnote w:id="3">
    <w:p w:rsidR="002B489A" w:rsidRDefault="004F19C4">
      <w:pPr>
        <w:pStyle w:val="FootnoteText"/>
      </w:pPr>
      <w:r>
        <w:rPr>
          <w:rStyle w:val="FootnoteReference"/>
          <w:sz w:val="20"/>
        </w:rPr>
        <w:footnoteRef/>
      </w:r>
      <w:r>
        <w:t xml:space="preserve"> </w:t>
      </w:r>
      <w:r>
        <w:tab/>
        <w:t>Le système GSO-VX, tel que décrit dans la Recommandation UIT-R S.1328-3, ne fournit aucune information sur la zone de service de chaque station spatiale. Il n'y a pas de fichier d'enregistrement au </w:t>
      </w:r>
      <w:r>
        <w:rPr>
          <w:lang w:val="fr-CH"/>
        </w:rPr>
        <w:t xml:space="preserve">BR </w:t>
      </w:r>
      <w:r>
        <w:t>qui soit en cohérence avec GSO-VX et qui puisse fournir des détails complémentaires au sujet de ce système. Bien que la puissance surfacique produite par les satellites de ce système soit significativement inférieure à celle typiquement produite par les satellites conformes au Plan de l'Appendice 30B du RR, le BR n'est parvenu à aucune conclusion sur ce système et on ne sait pas bien s'il pourrait être notifié avec succès comme il est décrit.</w:t>
      </w:r>
    </w:p>
  </w:footnote>
  <w:footnote w:id="4">
    <w:p w:rsidR="002B489A" w:rsidRDefault="004F19C4">
      <w:pPr>
        <w:pStyle w:val="FootnoteText"/>
      </w:pPr>
      <w:r>
        <w:rPr>
          <w:rStyle w:val="FootnoteReference"/>
          <w:sz w:val="20"/>
        </w:rPr>
        <w:footnoteRef/>
      </w:r>
      <w:r>
        <w:t xml:space="preserve"> </w:t>
      </w:r>
      <w:r>
        <w:tab/>
        <w:t xml:space="preserve">La densité de p.i.r.e. nécessaire pour atteindre les limites de puissance surfacique du Tableau 21-4 du RR est de 7 à 19 dB supérieure à celle des entrées d'allotissement du Plan de l'Appendice 30B du RR. Tout système de ce type avec une zone de service suffisante pour fournir un service commercial viable va vraisemblablement dépasser le critère total </w:t>
      </w:r>
      <w:r>
        <w:rPr>
          <w:i/>
        </w:rPr>
        <w:t>C</w:t>
      </w:r>
      <w:r>
        <w:t>/</w:t>
      </w:r>
      <w:r>
        <w:rPr>
          <w:i/>
        </w:rPr>
        <w:t xml:space="preserve">I </w:t>
      </w:r>
      <w:r>
        <w:t>de 26 dB sur de nombreux allotissements du Plan de l'Appendice 30B du RR, et il n'est pas certain qu'un tel système recevrait l'approbation de toutes les administrations touchées, qui est nécessaire pour notifier le système proposé. Cependant, ce cas le plus défavorable de brouillage a été présenté afin d'être cohérent avec la méthode utilisée dans la présente Recommandation.</w:t>
      </w:r>
    </w:p>
  </w:footnote>
  <w:footnote w:id="5">
    <w:p w:rsidR="002B489A" w:rsidRDefault="004F19C4">
      <w:pPr>
        <w:pStyle w:val="FootnoteText"/>
      </w:pPr>
      <w:r>
        <w:rPr>
          <w:rStyle w:val="FootnoteReference"/>
        </w:rPr>
        <w:t>*</w:t>
      </w:r>
      <w:r>
        <w:tab/>
        <w:t>Il faut noter que ces chiffres représentent une approche de cas le plus défavorable et seront affinés pour obtenir un nombre réaliste de systèmes de service fixe dans chacune des bandes considérées.</w:t>
      </w:r>
    </w:p>
  </w:footnote>
  <w:footnote w:id="6">
    <w:p w:rsidR="002B489A" w:rsidRDefault="004F19C4">
      <w:pPr>
        <w:pStyle w:val="FootnoteText"/>
        <w:spacing w:before="0"/>
      </w:pPr>
      <w:r>
        <w:rPr>
          <w:rStyle w:val="FootnoteReference"/>
        </w:rPr>
        <w:t>*</w:t>
      </w:r>
      <w:r>
        <w:t xml:space="preserve"> </w:t>
      </w:r>
      <w:r>
        <w:tab/>
        <w:t>Il faut noter que ces chiffres représentent une approche de cas le plus défavorable et seront affinés pour obtenir un nombre réaliste de systèmes du service fixe dans chacune des bandes considérées.</w:t>
      </w:r>
    </w:p>
  </w:footnote>
  <w:footnote w:id="7">
    <w:p w:rsidR="002B489A" w:rsidRDefault="004F19C4">
      <w:pPr>
        <w:pStyle w:val="FootnoteText"/>
        <w:ind w:left="0" w:firstLine="0"/>
      </w:pPr>
      <w:r>
        <w:rPr>
          <w:rStyle w:val="FootnoteReference"/>
        </w:rPr>
        <w:t>4</w:t>
      </w:r>
      <w:r>
        <w:t xml:space="preserve"> </w:t>
      </w:r>
      <w:r>
        <w:tab/>
        <w:t>Voir la Recommandation UIT-R P.676. La valeur variera de 1 à 2 dB au niveau de la mer.</w:t>
      </w:r>
    </w:p>
  </w:footnote>
  <w:footnote w:id="8">
    <w:p w:rsidR="002B489A" w:rsidRDefault="004F19C4">
      <w:pPr>
        <w:pStyle w:val="FootnoteText"/>
      </w:pPr>
      <w:r>
        <w:rPr>
          <w:rStyle w:val="FootnoteReference"/>
        </w:rPr>
        <w:t>*</w:t>
      </w:r>
      <w:r>
        <w:tab/>
        <w:t>Il faut noter que ces chiffres représentent une approche de cas le plus défavorable et seront affinés pour obtenir un nombre réaliste de systèmes du service fixe dans chacune des bandes considérées.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489A" w:rsidRDefault="004F19C4">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54</w:t>
    </w:r>
    <w:r>
      <w:rPr>
        <w:rStyle w:val="PageNumber"/>
        <w:b/>
        <w:bCs/>
      </w:rPr>
      <w:fldChar w:fldCharType="end"/>
    </w: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D11A4">
      <w:rPr>
        <w:b/>
        <w:bCs/>
        <w:noProof/>
      </w:rPr>
      <w:t>UIT-R  SM.1633-0</w:t>
    </w:r>
    <w:r>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489A" w:rsidRDefault="004F19C4">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D11A4">
      <w:rPr>
        <w:b/>
        <w:bCs/>
        <w:noProof/>
      </w:rPr>
      <w:t>UIT-R  SM.1633-0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53</w:t>
    </w:r>
    <w:r>
      <w:rPr>
        <w:rStyle w:val="PageNumbe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489A" w:rsidRDefault="002B489A">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489A" w:rsidRDefault="002B48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B3B34"/>
    <w:multiLevelType w:val="singleLevel"/>
    <w:tmpl w:val="185E37C6"/>
    <w:lvl w:ilvl="0">
      <w:start w:val="10"/>
      <w:numFmt w:val="lowerLetter"/>
      <w:lvlText w:val="%1)"/>
      <w:lvlJc w:val="left"/>
      <w:pPr>
        <w:tabs>
          <w:tab w:val="num" w:pos="792"/>
        </w:tabs>
        <w:ind w:left="792" w:hanging="792"/>
      </w:pPr>
      <w:rPr>
        <w:rFonts w:hint="default"/>
      </w:rPr>
    </w:lvl>
  </w:abstractNum>
  <w:abstractNum w:abstractNumId="1" w15:restartNumberingAfterBreak="0">
    <w:nsid w:val="11010D5B"/>
    <w:multiLevelType w:val="multilevel"/>
    <w:tmpl w:val="2D2A2DD2"/>
    <w:lvl w:ilvl="0">
      <w:start w:val="4"/>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mirrorMargins/>
  <w:hideSpellingErrors/>
  <w:hideGrammaticalErrors/>
  <w:activeWritingStyle w:appName="MSWord" w:lang="en-US" w:vendorID="64" w:dllVersion="5" w:nlCheck="1" w:checkStyle="0"/>
  <w:activeWritingStyle w:appName="MSWord" w:lang="fr-FR" w:vendorID="64" w:dllVersion="6" w:nlCheck="1" w:checkStyle="0"/>
  <w:activeWritingStyle w:appName="MSWord" w:lang="en-US"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ttachedTemplate r:id="rId1"/>
  <w:defaultTabStop w:val="720"/>
  <w:evenAndOddHeaders/>
  <w:noPunctuationKerning/>
  <w:characterSpacingControl w:val="doNotCompres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28D"/>
    <w:rsid w:val="0006728D"/>
    <w:rsid w:val="002B489A"/>
    <w:rsid w:val="004F19C4"/>
    <w:rsid w:val="00551F81"/>
    <w:rsid w:val="00AA3209"/>
    <w:rsid w:val="00AD11A4"/>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7"/>
    <o:shapelayout v:ext="edit">
      <o:idmap v:ext="edit" data="1"/>
    </o:shapelayout>
  </w:shapeDefaults>
  <w:decimalSymbol w:val="."/>
  <w:listSeparator w:val=","/>
  <w14:docId w14:val="6B97E182"/>
  <w15:chartTrackingRefBased/>
  <w15:docId w15:val="{79CDC8B1-C8C9-4CDA-B14B-58EEC5A84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CH" w:eastAsia="fr-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semiHidden/>
    <w:pPr>
      <w:tabs>
        <w:tab w:val="clear" w:pos="794"/>
        <w:tab w:val="clear" w:pos="1191"/>
        <w:tab w:val="clear" w:pos="1588"/>
        <w:tab w:val="clear" w:pos="1985"/>
      </w:tabs>
      <w:spacing w:before="0"/>
    </w:pPr>
    <w:rPr>
      <w:noProof/>
      <w:sz w:val="18"/>
    </w:rPr>
  </w:style>
  <w:style w:type="character" w:styleId="PageNumber">
    <w:name w:val="page number"/>
    <w:basedOn w:val="DefaultParagraphFont"/>
    <w:semiHidden/>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284"/>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semiHidden/>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Normal"/>
    <w:pPr>
      <w:keepLines/>
      <w:spacing w:before="480" w:after="240"/>
      <w:jc w:val="center"/>
    </w:pPr>
    <w:rPr>
      <w:cap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Normal"/>
  </w:style>
  <w:style w:type="paragraph" w:customStyle="1" w:styleId="Repref">
    <w:name w:val="Rep_ref"/>
    <w:basedOn w:val="Recref"/>
    <w:next w:val="Repdate"/>
  </w:style>
  <w:style w:type="paragraph" w:customStyle="1" w:styleId="Reptitle">
    <w:name w:val="Rep_title"/>
    <w:basedOn w:val="Normal"/>
    <w:next w:val="Repref"/>
  </w:style>
  <w:style w:type="paragraph" w:customStyle="1" w:styleId="Resdate">
    <w:name w:val="Res_date"/>
    <w:basedOn w:val="Recdate"/>
    <w:next w:val="Normalaftertitle"/>
  </w:style>
  <w:style w:type="paragraph" w:customStyle="1" w:styleId="ResNo">
    <w:name w:val="Res_No"/>
    <w:basedOn w:val="RecNo"/>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Normal"/>
    <w:pPr>
      <w:keepNext/>
      <w:spacing w:before="0" w:after="480"/>
      <w:jc w:val="center"/>
    </w:pPr>
    <w:rPr>
      <w:b/>
    </w:rPr>
  </w:style>
  <w:style w:type="paragraph" w:customStyle="1" w:styleId="Tabletitle">
    <w:name w:val="Table_title"/>
    <w:basedOn w:val="Normal"/>
    <w:next w:val="Tablehead"/>
    <w:pPr>
      <w:keepNext/>
      <w:spacing w:before="0" w:after="120"/>
      <w:jc w:val="center"/>
    </w:pPr>
    <w:rPr>
      <w:b/>
    </w:rPr>
  </w:style>
  <w:style w:type="character" w:customStyle="1" w:styleId="Appdef">
    <w:name w:val="App_def"/>
    <w:basedOn w:val="DefaultParagraphFont"/>
    <w:rPr>
      <w:rFonts w:ascii="Times New Roman" w:hAnsi="Times New Roman"/>
      <w:b/>
    </w:rPr>
  </w:style>
  <w:style w:type="character" w:customStyle="1" w:styleId="Artdef">
    <w:name w:val="Art_def"/>
    <w:basedOn w:val="DefaultParagraphFont"/>
    <w:rPr>
      <w:rFonts w:ascii="Times New Roman" w:hAnsi="Times New Roman"/>
      <w:b/>
    </w:rPr>
  </w:style>
  <w:style w:type="character" w:customStyle="1" w:styleId="Artref">
    <w:name w:val="Art_ref"/>
    <w:basedOn w:val="DefaultParagraphFont"/>
  </w:style>
  <w:style w:type="character" w:customStyle="1" w:styleId="Appref">
    <w:name w:val="App#_ref"/>
    <w:basedOn w:val="DefaultParagraphFont"/>
  </w:style>
  <w:style w:type="paragraph" w:customStyle="1" w:styleId="TableHead0">
    <w:name w:val="Table_Head"/>
    <w:basedOn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80" w:after="80"/>
      <w:jc w:val="center"/>
      <w:textAlignment w:val="auto"/>
    </w:pPr>
    <w:rPr>
      <w:b/>
      <w:sz w:val="22"/>
      <w:lang w:val="en-GB" w:eastAsia="fr-FR"/>
    </w:rPr>
  </w:style>
  <w:style w:type="paragraph" w:styleId="BodyTextIndent">
    <w:name w:val="Body Text Indent"/>
    <w:basedOn w:val="Normal"/>
    <w:semiHidden/>
    <w:pPr>
      <w:tabs>
        <w:tab w:val="clear" w:pos="794"/>
        <w:tab w:val="clear" w:pos="1191"/>
        <w:tab w:val="clear" w:pos="1588"/>
        <w:tab w:val="clear" w:pos="1985"/>
      </w:tabs>
      <w:overflowPunct/>
      <w:autoSpaceDE/>
      <w:autoSpaceDN/>
      <w:adjustRightInd/>
      <w:spacing w:before="60" w:after="120"/>
      <w:ind w:left="283"/>
      <w:jc w:val="left"/>
      <w:textAlignment w:val="auto"/>
    </w:pPr>
    <w:rPr>
      <w:rFonts w:ascii="CMSY10" w:hAnsi="CMSY10"/>
      <w:snapToGrid w:val="0"/>
      <w:color w:val="000000"/>
      <w:lang w:eastAsia="fr-FR"/>
    </w:r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image" Target="media/image71.wmf"/><Relationship Id="rId21" Type="http://schemas.openxmlformats.org/officeDocument/2006/relationships/image" Target="media/image8.wmf"/><Relationship Id="rId42" Type="http://schemas.openxmlformats.org/officeDocument/2006/relationships/image" Target="media/image22.wmf"/><Relationship Id="rId47" Type="http://schemas.openxmlformats.org/officeDocument/2006/relationships/image" Target="media/image26.wmf"/><Relationship Id="rId63" Type="http://schemas.openxmlformats.org/officeDocument/2006/relationships/oleObject" Target="embeddings/oleObject19.bin"/><Relationship Id="rId68" Type="http://schemas.openxmlformats.org/officeDocument/2006/relationships/image" Target="media/image41.wmf"/><Relationship Id="rId84" Type="http://schemas.openxmlformats.org/officeDocument/2006/relationships/oleObject" Target="embeddings/oleObject26.bin"/><Relationship Id="rId89" Type="http://schemas.openxmlformats.org/officeDocument/2006/relationships/oleObject" Target="embeddings/oleObject28.bin"/><Relationship Id="rId112" Type="http://schemas.openxmlformats.org/officeDocument/2006/relationships/image" Target="media/image68.wmf"/><Relationship Id="rId133" Type="http://schemas.openxmlformats.org/officeDocument/2006/relationships/oleObject" Target="embeddings/oleObject45.bin"/><Relationship Id="rId138" Type="http://schemas.openxmlformats.org/officeDocument/2006/relationships/oleObject" Target="embeddings/oleObject46.bin"/><Relationship Id="rId154" Type="http://schemas.openxmlformats.org/officeDocument/2006/relationships/header" Target="header1.xml"/><Relationship Id="rId159" Type="http://schemas.openxmlformats.org/officeDocument/2006/relationships/theme" Target="theme/theme1.xml"/><Relationship Id="rId16" Type="http://schemas.openxmlformats.org/officeDocument/2006/relationships/oleObject" Target="embeddings/oleObject4.bin"/><Relationship Id="rId107" Type="http://schemas.openxmlformats.org/officeDocument/2006/relationships/oleObject" Target="embeddings/oleObject35.bin"/><Relationship Id="rId11" Type="http://schemas.openxmlformats.org/officeDocument/2006/relationships/image" Target="media/image3.wmf"/><Relationship Id="rId32" Type="http://schemas.openxmlformats.org/officeDocument/2006/relationships/image" Target="media/image14.wmf"/><Relationship Id="rId37" Type="http://schemas.openxmlformats.org/officeDocument/2006/relationships/image" Target="media/image18.wmf"/><Relationship Id="rId53" Type="http://schemas.openxmlformats.org/officeDocument/2006/relationships/image" Target="media/image32.wmf"/><Relationship Id="rId58" Type="http://schemas.openxmlformats.org/officeDocument/2006/relationships/image" Target="media/image35.wmf"/><Relationship Id="rId74" Type="http://schemas.openxmlformats.org/officeDocument/2006/relationships/image" Target="media/image45.wmf"/><Relationship Id="rId79" Type="http://schemas.openxmlformats.org/officeDocument/2006/relationships/image" Target="media/image49.wmf"/><Relationship Id="rId102" Type="http://schemas.openxmlformats.org/officeDocument/2006/relationships/image" Target="media/image63.wmf"/><Relationship Id="rId123" Type="http://schemas.openxmlformats.org/officeDocument/2006/relationships/image" Target="media/image75.wmf"/><Relationship Id="rId128" Type="http://schemas.openxmlformats.org/officeDocument/2006/relationships/image" Target="media/image78.wmf"/><Relationship Id="rId144" Type="http://schemas.openxmlformats.org/officeDocument/2006/relationships/image" Target="media/image91.wmf"/><Relationship Id="rId149" Type="http://schemas.openxmlformats.org/officeDocument/2006/relationships/oleObject" Target="embeddings/oleObject49.bin"/><Relationship Id="rId5" Type="http://schemas.openxmlformats.org/officeDocument/2006/relationships/webSettings" Target="webSettings.xml"/><Relationship Id="rId90" Type="http://schemas.openxmlformats.org/officeDocument/2006/relationships/image" Target="media/image55.wmf"/><Relationship Id="rId95" Type="http://schemas.openxmlformats.org/officeDocument/2006/relationships/oleObject" Target="embeddings/oleObject29.bin"/><Relationship Id="rId22" Type="http://schemas.openxmlformats.org/officeDocument/2006/relationships/oleObject" Target="embeddings/oleObject7.bin"/><Relationship Id="rId27" Type="http://schemas.openxmlformats.org/officeDocument/2006/relationships/oleObject" Target="embeddings/oleObject9.bin"/><Relationship Id="rId43" Type="http://schemas.openxmlformats.org/officeDocument/2006/relationships/image" Target="media/image23.wmf"/><Relationship Id="rId48" Type="http://schemas.openxmlformats.org/officeDocument/2006/relationships/image" Target="media/image27.wmf"/><Relationship Id="rId64" Type="http://schemas.openxmlformats.org/officeDocument/2006/relationships/image" Target="media/image38.wmf"/><Relationship Id="rId69" Type="http://schemas.openxmlformats.org/officeDocument/2006/relationships/image" Target="media/image42.wmf"/><Relationship Id="rId113" Type="http://schemas.openxmlformats.org/officeDocument/2006/relationships/image" Target="media/image69.wmf"/><Relationship Id="rId118" Type="http://schemas.openxmlformats.org/officeDocument/2006/relationships/oleObject" Target="embeddings/oleObject40.bin"/><Relationship Id="rId134" Type="http://schemas.openxmlformats.org/officeDocument/2006/relationships/image" Target="media/image82.wmf"/><Relationship Id="rId139" Type="http://schemas.openxmlformats.org/officeDocument/2006/relationships/image" Target="media/image86.wmf"/><Relationship Id="rId80" Type="http://schemas.openxmlformats.org/officeDocument/2006/relationships/oleObject" Target="embeddings/oleObject24.bin"/><Relationship Id="rId85" Type="http://schemas.openxmlformats.org/officeDocument/2006/relationships/image" Target="media/image52.wmf"/><Relationship Id="rId150" Type="http://schemas.openxmlformats.org/officeDocument/2006/relationships/image" Target="media/image94.wmf"/><Relationship Id="rId155" Type="http://schemas.openxmlformats.org/officeDocument/2006/relationships/header" Target="header2.xml"/><Relationship Id="rId12" Type="http://schemas.openxmlformats.org/officeDocument/2006/relationships/oleObject" Target="embeddings/oleObject2.bin"/><Relationship Id="rId17" Type="http://schemas.openxmlformats.org/officeDocument/2006/relationships/image" Target="media/image6.wmf"/><Relationship Id="rId33" Type="http://schemas.openxmlformats.org/officeDocument/2006/relationships/image" Target="media/image15.wmf"/><Relationship Id="rId38" Type="http://schemas.openxmlformats.org/officeDocument/2006/relationships/image" Target="media/image19.wmf"/><Relationship Id="rId59" Type="http://schemas.openxmlformats.org/officeDocument/2006/relationships/oleObject" Target="embeddings/oleObject17.bin"/><Relationship Id="rId103" Type="http://schemas.openxmlformats.org/officeDocument/2006/relationships/oleObject" Target="embeddings/oleObject33.bin"/><Relationship Id="rId108" Type="http://schemas.openxmlformats.org/officeDocument/2006/relationships/image" Target="media/image66.wmf"/><Relationship Id="rId124" Type="http://schemas.openxmlformats.org/officeDocument/2006/relationships/oleObject" Target="embeddings/oleObject42.bin"/><Relationship Id="rId129" Type="http://schemas.openxmlformats.org/officeDocument/2006/relationships/image" Target="media/image79.wmf"/><Relationship Id="rId20" Type="http://schemas.openxmlformats.org/officeDocument/2006/relationships/oleObject" Target="embeddings/oleObject6.bin"/><Relationship Id="rId41" Type="http://schemas.openxmlformats.org/officeDocument/2006/relationships/image" Target="media/image21.wmf"/><Relationship Id="rId54" Type="http://schemas.openxmlformats.org/officeDocument/2006/relationships/oleObject" Target="embeddings/oleObject15.bin"/><Relationship Id="rId62" Type="http://schemas.openxmlformats.org/officeDocument/2006/relationships/image" Target="media/image37.wmf"/><Relationship Id="rId70" Type="http://schemas.openxmlformats.org/officeDocument/2006/relationships/oleObject" Target="embeddings/oleObject21.bin"/><Relationship Id="rId75" Type="http://schemas.openxmlformats.org/officeDocument/2006/relationships/oleObject" Target="embeddings/oleObject23.bin"/><Relationship Id="rId83" Type="http://schemas.openxmlformats.org/officeDocument/2006/relationships/image" Target="media/image51.wmf"/><Relationship Id="rId88" Type="http://schemas.openxmlformats.org/officeDocument/2006/relationships/image" Target="media/image54.wmf"/><Relationship Id="rId91" Type="http://schemas.openxmlformats.org/officeDocument/2006/relationships/image" Target="media/image56.wmf"/><Relationship Id="rId96" Type="http://schemas.openxmlformats.org/officeDocument/2006/relationships/image" Target="media/image60.wmf"/><Relationship Id="rId111" Type="http://schemas.openxmlformats.org/officeDocument/2006/relationships/oleObject" Target="embeddings/oleObject37.bin"/><Relationship Id="rId132" Type="http://schemas.openxmlformats.org/officeDocument/2006/relationships/image" Target="media/image81.wmf"/><Relationship Id="rId140" Type="http://schemas.openxmlformats.org/officeDocument/2006/relationships/image" Target="media/image87.wmf"/><Relationship Id="rId145" Type="http://schemas.openxmlformats.org/officeDocument/2006/relationships/oleObject" Target="embeddings/oleObject47.bin"/><Relationship Id="rId153" Type="http://schemas.openxmlformats.org/officeDocument/2006/relationships/oleObject" Target="embeddings/oleObject51.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2.wmf"/><Relationship Id="rId36" Type="http://schemas.openxmlformats.org/officeDocument/2006/relationships/image" Target="media/image17.wmf"/><Relationship Id="rId49" Type="http://schemas.openxmlformats.org/officeDocument/2006/relationships/image" Target="media/image28.wmf"/><Relationship Id="rId57" Type="http://schemas.openxmlformats.org/officeDocument/2006/relationships/oleObject" Target="embeddings/oleObject16.bin"/><Relationship Id="rId106" Type="http://schemas.openxmlformats.org/officeDocument/2006/relationships/image" Target="media/image65.wmf"/><Relationship Id="rId114" Type="http://schemas.openxmlformats.org/officeDocument/2006/relationships/oleObject" Target="embeddings/oleObject38.bin"/><Relationship Id="rId119" Type="http://schemas.openxmlformats.org/officeDocument/2006/relationships/image" Target="media/image72.wmf"/><Relationship Id="rId127" Type="http://schemas.openxmlformats.org/officeDocument/2006/relationships/image" Target="media/image77.wmf"/><Relationship Id="rId10" Type="http://schemas.openxmlformats.org/officeDocument/2006/relationships/oleObject" Target="embeddings/oleObject1.bin"/><Relationship Id="rId31" Type="http://schemas.openxmlformats.org/officeDocument/2006/relationships/oleObject" Target="embeddings/oleObject11.bin"/><Relationship Id="rId44" Type="http://schemas.openxmlformats.org/officeDocument/2006/relationships/image" Target="media/image24.wmf"/><Relationship Id="rId52" Type="http://schemas.openxmlformats.org/officeDocument/2006/relationships/image" Target="media/image31.wmf"/><Relationship Id="rId60" Type="http://schemas.openxmlformats.org/officeDocument/2006/relationships/image" Target="media/image36.wmf"/><Relationship Id="rId65" Type="http://schemas.openxmlformats.org/officeDocument/2006/relationships/oleObject" Target="embeddings/oleObject20.bin"/><Relationship Id="rId73" Type="http://schemas.openxmlformats.org/officeDocument/2006/relationships/image" Target="media/image44.wmf"/><Relationship Id="rId78" Type="http://schemas.openxmlformats.org/officeDocument/2006/relationships/image" Target="media/image48.wmf"/><Relationship Id="rId81" Type="http://schemas.openxmlformats.org/officeDocument/2006/relationships/image" Target="media/image50.wmf"/><Relationship Id="rId86" Type="http://schemas.openxmlformats.org/officeDocument/2006/relationships/oleObject" Target="embeddings/oleObject27.bin"/><Relationship Id="rId94" Type="http://schemas.openxmlformats.org/officeDocument/2006/relationships/image" Target="media/image59.wmf"/><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1.bin"/><Relationship Id="rId130" Type="http://schemas.openxmlformats.org/officeDocument/2006/relationships/image" Target="media/image80.wmf"/><Relationship Id="rId135" Type="http://schemas.openxmlformats.org/officeDocument/2006/relationships/image" Target="media/image83.wmf"/><Relationship Id="rId143" Type="http://schemas.openxmlformats.org/officeDocument/2006/relationships/image" Target="media/image90.wmf"/><Relationship Id="rId148" Type="http://schemas.openxmlformats.org/officeDocument/2006/relationships/image" Target="media/image93.wmf"/><Relationship Id="rId151" Type="http://schemas.openxmlformats.org/officeDocument/2006/relationships/oleObject" Target="embeddings/oleObject50.bin"/><Relationship Id="rId156"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20.wmf"/><Relationship Id="rId109" Type="http://schemas.openxmlformats.org/officeDocument/2006/relationships/oleObject" Target="embeddings/oleObject36.bin"/><Relationship Id="rId34" Type="http://schemas.openxmlformats.org/officeDocument/2006/relationships/image" Target="media/image16.wmf"/><Relationship Id="rId50" Type="http://schemas.openxmlformats.org/officeDocument/2006/relationships/image" Target="media/image29.wmf"/><Relationship Id="rId55" Type="http://schemas.openxmlformats.org/officeDocument/2006/relationships/image" Target="media/image33.wmf"/><Relationship Id="rId76" Type="http://schemas.openxmlformats.org/officeDocument/2006/relationships/image" Target="media/image46.wmf"/><Relationship Id="rId97" Type="http://schemas.openxmlformats.org/officeDocument/2006/relationships/oleObject" Target="embeddings/oleObject30.bin"/><Relationship Id="rId104" Type="http://schemas.openxmlformats.org/officeDocument/2006/relationships/image" Target="media/image64.wmf"/><Relationship Id="rId120" Type="http://schemas.openxmlformats.org/officeDocument/2006/relationships/image" Target="media/image73.wmf"/><Relationship Id="rId125" Type="http://schemas.openxmlformats.org/officeDocument/2006/relationships/image" Target="media/image76.wmf"/><Relationship Id="rId141" Type="http://schemas.openxmlformats.org/officeDocument/2006/relationships/image" Target="media/image88.wmf"/><Relationship Id="rId146" Type="http://schemas.openxmlformats.org/officeDocument/2006/relationships/image" Target="media/image92.wmf"/><Relationship Id="rId7" Type="http://schemas.openxmlformats.org/officeDocument/2006/relationships/endnotes" Target="endnotes.xml"/><Relationship Id="rId71" Type="http://schemas.openxmlformats.org/officeDocument/2006/relationships/image" Target="media/image43.wmf"/><Relationship Id="rId92" Type="http://schemas.openxmlformats.org/officeDocument/2006/relationships/image" Target="media/image57.wmf"/><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oleObject" Target="embeddings/oleObject8.bin"/><Relationship Id="rId40" Type="http://schemas.openxmlformats.org/officeDocument/2006/relationships/oleObject" Target="embeddings/oleObject13.bin"/><Relationship Id="rId45" Type="http://schemas.openxmlformats.org/officeDocument/2006/relationships/image" Target="media/image25.wmf"/><Relationship Id="rId66" Type="http://schemas.openxmlformats.org/officeDocument/2006/relationships/image" Target="media/image39.wmf"/><Relationship Id="rId87" Type="http://schemas.openxmlformats.org/officeDocument/2006/relationships/image" Target="media/image53.wmf"/><Relationship Id="rId110" Type="http://schemas.openxmlformats.org/officeDocument/2006/relationships/image" Target="media/image67.wmf"/><Relationship Id="rId115" Type="http://schemas.openxmlformats.org/officeDocument/2006/relationships/image" Target="media/image70.wmf"/><Relationship Id="rId131" Type="http://schemas.openxmlformats.org/officeDocument/2006/relationships/oleObject" Target="embeddings/oleObject44.bin"/><Relationship Id="rId136" Type="http://schemas.openxmlformats.org/officeDocument/2006/relationships/image" Target="media/image84.wmf"/><Relationship Id="rId157" Type="http://schemas.openxmlformats.org/officeDocument/2006/relationships/header" Target="header4.xml"/><Relationship Id="rId61" Type="http://schemas.openxmlformats.org/officeDocument/2006/relationships/oleObject" Target="embeddings/oleObject18.bin"/><Relationship Id="rId82" Type="http://schemas.openxmlformats.org/officeDocument/2006/relationships/oleObject" Target="embeddings/oleObject25.bin"/><Relationship Id="rId152" Type="http://schemas.openxmlformats.org/officeDocument/2006/relationships/image" Target="media/image95.wmf"/><Relationship Id="rId19" Type="http://schemas.openxmlformats.org/officeDocument/2006/relationships/image" Target="media/image7.wmf"/><Relationship Id="rId14" Type="http://schemas.openxmlformats.org/officeDocument/2006/relationships/oleObject" Target="embeddings/oleObject3.bin"/><Relationship Id="rId30" Type="http://schemas.openxmlformats.org/officeDocument/2006/relationships/image" Target="media/image13.wmf"/><Relationship Id="rId35" Type="http://schemas.openxmlformats.org/officeDocument/2006/relationships/oleObject" Target="embeddings/oleObject12.bin"/><Relationship Id="rId56" Type="http://schemas.openxmlformats.org/officeDocument/2006/relationships/image" Target="media/image34.wmf"/><Relationship Id="rId77" Type="http://schemas.openxmlformats.org/officeDocument/2006/relationships/image" Target="media/image47.wmf"/><Relationship Id="rId100" Type="http://schemas.openxmlformats.org/officeDocument/2006/relationships/image" Target="media/image62.wmf"/><Relationship Id="rId105" Type="http://schemas.openxmlformats.org/officeDocument/2006/relationships/oleObject" Target="embeddings/oleObject34.bin"/><Relationship Id="rId126" Type="http://schemas.openxmlformats.org/officeDocument/2006/relationships/oleObject" Target="embeddings/oleObject43.bin"/><Relationship Id="rId147" Type="http://schemas.openxmlformats.org/officeDocument/2006/relationships/oleObject" Target="embeddings/oleObject48.bin"/><Relationship Id="rId8" Type="http://schemas.openxmlformats.org/officeDocument/2006/relationships/image" Target="media/image1.wmf"/><Relationship Id="rId51" Type="http://schemas.openxmlformats.org/officeDocument/2006/relationships/image" Target="media/image30.wmf"/><Relationship Id="rId72" Type="http://schemas.openxmlformats.org/officeDocument/2006/relationships/oleObject" Target="embeddings/oleObject22.bin"/><Relationship Id="rId93" Type="http://schemas.openxmlformats.org/officeDocument/2006/relationships/image" Target="media/image58.wmf"/><Relationship Id="rId98" Type="http://schemas.openxmlformats.org/officeDocument/2006/relationships/image" Target="media/image61.wmf"/><Relationship Id="rId121" Type="http://schemas.openxmlformats.org/officeDocument/2006/relationships/image" Target="media/image74.wmf"/><Relationship Id="rId142" Type="http://schemas.openxmlformats.org/officeDocument/2006/relationships/image" Target="media/image89.wmf"/><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oleObject" Target="embeddings/oleObject14.bin"/><Relationship Id="rId67" Type="http://schemas.openxmlformats.org/officeDocument/2006/relationships/image" Target="media/image40.wmf"/><Relationship Id="rId116" Type="http://schemas.openxmlformats.org/officeDocument/2006/relationships/oleObject" Target="embeddings/oleObject39.bin"/><Relationship Id="rId137" Type="http://schemas.openxmlformats.org/officeDocument/2006/relationships/image" Target="media/image85.wmf"/><Relationship Id="rId15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BR_Rec_20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60491A-0018-484C-84C1-E0F9B2581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BR_Rec_2002.dot</Template>
  <TotalTime>9</TotalTime>
  <Pages>4</Pages>
  <Words>91525</Words>
  <Characters>469526</Characters>
  <Application>Microsoft Office Word</Application>
  <DocSecurity>0</DocSecurity>
  <Lines>11738</Lines>
  <Paragraphs>6523</Paragraphs>
  <ScaleCrop>false</ScaleCrop>
  <HeadingPairs>
    <vt:vector size="2" baseType="variant">
      <vt:variant>
        <vt:lpstr>Title</vt:lpstr>
      </vt:variant>
      <vt:variant>
        <vt:i4>1</vt:i4>
      </vt:variant>
    </vt:vector>
  </HeadingPairs>
  <TitlesOfParts>
    <vt:vector size="1" baseType="lpstr">
      <vt:lpstr>RECOMMANDATION  UIT-R  SM.1633 - Analyse de compatibilité entre un service passif et un service actif ayant  des attributions dans des bandes adjacentes et voisines</vt:lpstr>
    </vt:vector>
  </TitlesOfParts>
  <Manager>Folios: 1 - 252</Manager>
  <Company>ITU</Company>
  <LinksUpToDate>false</LinksUpToDate>
  <CharactersWithSpaces>554528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SM.1633 - Analyse de compatibilité entre un service passif et un service actif ayant  des attributions dans des bandes adjacentes et voisines</dc:title>
  <dc:subject>Série SM = Gestion du spectre</dc:subject>
  <dc:creator>Bureau des radiocommunications de l'UIT (BR)</dc:creator>
  <cp:keywords>SM,1633</cp:keywords>
  <dc:description>Recup + saisie: 05.09.2003/1-245/MP_x000d_
Recup. + saisie: 12.09.2003/146-256/NM_x000d_
MEP.: 13.09.2003/NM_x000d_
Corr. MEP:  16.09.03/DD_x000d_
BAT: 28.10.03/FN_x000d_
originaux: 14.11.03/fn_x000d_
PDF: 18.11.03/fn</dc:description>
  <cp:lastModifiedBy>Gachet, Christelle</cp:lastModifiedBy>
  <cp:revision>6</cp:revision>
  <cp:lastPrinted>2020-04-23T13:09:00Z</cp:lastPrinted>
  <dcterms:created xsi:type="dcterms:W3CDTF">2020-04-23T13:03:00Z</dcterms:created>
  <dcterms:modified xsi:type="dcterms:W3CDTF">2020-04-23T13:30:00Z</dcterms:modified>
  <cp:category>Template:  BR_Rec_2002.dot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ies>
</file>