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B02A74">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w:t>
            </w:r>
            <w:r w:rsidR="000664CC">
              <w:rPr>
                <w:rFonts w:ascii="Tahoma" w:hAnsi="Tahoma" w:cs="Tahoma"/>
                <w:b/>
                <w:bCs/>
                <w:iCs/>
                <w:color w:val="243285"/>
                <w:sz w:val="36"/>
                <w:szCs w:val="36"/>
                <w:lang w:val="en-US"/>
              </w:rPr>
              <w:t>en</w:t>
            </w:r>
            <w:r w:rsidRPr="001511A6">
              <w:rPr>
                <w:rFonts w:ascii="Tahoma" w:hAnsi="Tahoma" w:cs="Tahoma"/>
                <w:b/>
                <w:bCs/>
                <w:iCs/>
                <w:color w:val="243285"/>
                <w:sz w:val="36"/>
                <w:szCs w:val="36"/>
                <w:lang w:val="en-US"/>
              </w:rPr>
              <w:t xml:space="preserve">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3577F6">
              <w:rPr>
                <w:rFonts w:ascii="Tahoma" w:hAnsi="Tahoma" w:cs="Tahoma"/>
                <w:b/>
                <w:bCs/>
                <w:iCs/>
                <w:color w:val="243285"/>
                <w:sz w:val="36"/>
                <w:szCs w:val="36"/>
                <w:lang w:val="en-US"/>
              </w:rPr>
              <w:t>1708-1</w:t>
            </w:r>
          </w:p>
          <w:p w:rsidR="00FE79FE" w:rsidRPr="001511A6" w:rsidRDefault="00FE79FE" w:rsidP="003577F6">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3577F6">
              <w:rPr>
                <w:rFonts w:ascii="Tahoma" w:hAnsi="Tahoma" w:cs="Tahoma"/>
                <w:b/>
                <w:bCs/>
                <w:iCs/>
                <w:color w:val="243285"/>
                <w:szCs w:val="24"/>
                <w:lang w:val="en-US"/>
              </w:rPr>
              <w:t>09</w:t>
            </w:r>
            <w:r w:rsidRPr="001511A6">
              <w:rPr>
                <w:rFonts w:ascii="Tahoma" w:hAnsi="Tahoma" w:cs="Tahoma"/>
                <w:b/>
                <w:bCs/>
                <w:iCs/>
                <w:color w:val="243285"/>
                <w:szCs w:val="24"/>
                <w:lang w:val="en-US"/>
              </w:rPr>
              <w:t>/</w:t>
            </w:r>
            <w:r w:rsidR="003577F6">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CC7627">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577F6"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Field-strength measurements along a route with geographical coordinate registrations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3577F6" w:rsidRDefault="009E3058" w:rsidP="009E3058">
            <w:pPr>
              <w:spacing w:before="80" w:line="280" w:lineRule="exact"/>
              <w:ind w:right="640"/>
              <w:rPr>
                <w:rFonts w:ascii="Tahoma" w:hAnsi="Tahoma" w:cs="Tahoma"/>
                <w:b/>
                <w:bCs/>
                <w:iCs/>
                <w:color w:val="243285"/>
                <w:sz w:val="32"/>
                <w:szCs w:val="32"/>
                <w:lang w:val="en-US"/>
              </w:rPr>
            </w:pPr>
          </w:p>
          <w:p w:rsidR="009E3058" w:rsidRPr="003577F6" w:rsidRDefault="009E3058" w:rsidP="009E3058">
            <w:pPr>
              <w:spacing w:before="80" w:line="280" w:lineRule="exact"/>
              <w:ind w:right="640"/>
              <w:rPr>
                <w:rFonts w:ascii="Tahoma" w:hAnsi="Tahoma" w:cs="Tahoma"/>
                <w:b/>
                <w:bCs/>
                <w:iCs/>
                <w:color w:val="243285"/>
                <w:sz w:val="32"/>
                <w:szCs w:val="32"/>
                <w:lang w:val="en-US"/>
              </w:rPr>
            </w:pPr>
          </w:p>
          <w:p w:rsidR="009E3058" w:rsidRPr="003577F6"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CC762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C762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C762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C762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C762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3577F6" w:rsidP="003577F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1708-1</w:t>
      </w:r>
      <w:r w:rsidR="008622C0">
        <w:rPr>
          <w:rStyle w:val="FootnoteReference"/>
          <w:lang w:val="en-US"/>
        </w:rPr>
        <w:footnoteReference w:customMarkFollows="1" w:id="1"/>
        <w:t>*</w:t>
      </w:r>
    </w:p>
    <w:p w:rsidR="003577F6" w:rsidRDefault="003577F6" w:rsidP="003577F6">
      <w:pPr>
        <w:pStyle w:val="Rectitle"/>
        <w:rPr>
          <w:lang w:val="en-US"/>
        </w:rPr>
      </w:pPr>
      <w:r>
        <w:rPr>
          <w:lang w:val="en-US"/>
        </w:rPr>
        <w:t>Field-strength measurements along a route with geographical</w:t>
      </w:r>
      <w:r>
        <w:rPr>
          <w:lang w:val="en-US"/>
        </w:rPr>
        <w:br/>
        <w:t>coordinate registrations</w:t>
      </w:r>
    </w:p>
    <w:p w:rsidR="003577F6" w:rsidRDefault="003577F6" w:rsidP="003577F6">
      <w:pPr>
        <w:pStyle w:val="Recdate"/>
        <w:rPr>
          <w:lang w:val="en-US"/>
        </w:rPr>
      </w:pPr>
      <w:r>
        <w:rPr>
          <w:lang w:val="en-US"/>
        </w:rPr>
        <w:t>(2005</w:t>
      </w:r>
      <w:r w:rsidR="007B3C84">
        <w:rPr>
          <w:lang w:val="en-US"/>
        </w:rPr>
        <w:t>-2011</w:t>
      </w:r>
      <w:r>
        <w:rPr>
          <w:lang w:val="en-US"/>
        </w:rPr>
        <w:t>)</w:t>
      </w:r>
    </w:p>
    <w:p w:rsidR="00CC7627" w:rsidRPr="00DA7A15" w:rsidRDefault="00CC7627" w:rsidP="00CC7627">
      <w:pPr>
        <w:pStyle w:val="HeadingSum"/>
        <w:rPr>
          <w:szCs w:val="16"/>
          <w:lang w:val="en-GB"/>
        </w:rPr>
      </w:pPr>
      <w:r w:rsidRPr="00DA7A15">
        <w:rPr>
          <w:szCs w:val="16"/>
          <w:lang w:val="en-GB"/>
        </w:rPr>
        <w:t>Scope</w:t>
      </w:r>
    </w:p>
    <w:p w:rsidR="00CC7627" w:rsidRPr="00DA7A15" w:rsidRDefault="00CC7627" w:rsidP="00CC7627">
      <w:pPr>
        <w:pStyle w:val="Summary"/>
        <w:rPr>
          <w:szCs w:val="16"/>
        </w:rPr>
      </w:pPr>
      <w:r w:rsidRPr="00DA7A15">
        <w:rPr>
          <w:szCs w:val="16"/>
        </w:rPr>
        <w:t>Due to the number of mobile networks using different modulation types and accesses techniques is increasing field-strength measurements along a route with geographical coordinate registrations become important to ensure efficient use of spectrum.</w:t>
      </w:r>
    </w:p>
    <w:p w:rsidR="00CC7627" w:rsidRDefault="00CC7627" w:rsidP="00CC7627">
      <w:pPr>
        <w:pStyle w:val="Headingb"/>
        <w:rPr>
          <w:lang w:val="en-US"/>
        </w:rPr>
      </w:pPr>
      <w:r>
        <w:rPr>
          <w:lang w:val="en-US"/>
        </w:rPr>
        <w:t>Keywords</w:t>
      </w:r>
    </w:p>
    <w:p w:rsidR="00572316" w:rsidRPr="00CC7627" w:rsidRDefault="00CC7627" w:rsidP="00CC7627">
      <w:pPr>
        <w:rPr>
          <w:lang w:val="en-GB"/>
        </w:rPr>
      </w:pPr>
      <w:r w:rsidRPr="00CC7627">
        <w:rPr>
          <w:lang w:val="en-GB"/>
        </w:rPr>
        <w:t>Digital broadcast, measurement method, spectrum monitoring</w:t>
      </w:r>
    </w:p>
    <w:p w:rsidR="003577F6" w:rsidRDefault="003577F6" w:rsidP="003577F6">
      <w:pPr>
        <w:pStyle w:val="Normalaftertitle"/>
        <w:rPr>
          <w:lang w:val="en-US"/>
        </w:rPr>
      </w:pPr>
      <w:r>
        <w:rPr>
          <w:lang w:val="en-US"/>
        </w:rPr>
        <w:t>The ITU Radiocommunication Assembly,</w:t>
      </w:r>
    </w:p>
    <w:p w:rsidR="003577F6" w:rsidRDefault="003577F6" w:rsidP="003577F6">
      <w:pPr>
        <w:pStyle w:val="Call"/>
        <w:rPr>
          <w:lang w:val="en-US"/>
        </w:rPr>
      </w:pPr>
      <w:r>
        <w:rPr>
          <w:lang w:val="en-US"/>
        </w:rPr>
        <w:t>considering</w:t>
      </w:r>
    </w:p>
    <w:p w:rsidR="003577F6" w:rsidRDefault="003577F6" w:rsidP="003577F6">
      <w:pPr>
        <w:rPr>
          <w:lang w:val="en-US"/>
        </w:rPr>
      </w:pPr>
      <w:r>
        <w:rPr>
          <w:lang w:val="en-US"/>
        </w:rPr>
        <w:t>a)</w:t>
      </w:r>
      <w:r>
        <w:rPr>
          <w:lang w:val="en-US"/>
        </w:rPr>
        <w:tab/>
        <w:t>that the number of mobile networks using different modulation types and accesses techniques is increasing;</w:t>
      </w:r>
    </w:p>
    <w:p w:rsidR="003577F6" w:rsidRDefault="003577F6" w:rsidP="003577F6">
      <w:pPr>
        <w:rPr>
          <w:lang w:val="en-US"/>
        </w:rPr>
      </w:pPr>
      <w:r>
        <w:rPr>
          <w:iCs/>
          <w:lang w:val="en-US"/>
        </w:rPr>
        <w:t>b)</w:t>
      </w:r>
      <w:r>
        <w:rPr>
          <w:lang w:val="en-US"/>
        </w:rPr>
        <w:tab/>
        <w:t>that in order to ensure efficient use of the spectrum administrations have a need to know the radio coverage of networks;</w:t>
      </w:r>
    </w:p>
    <w:p w:rsidR="003577F6" w:rsidRDefault="003577F6" w:rsidP="003577F6">
      <w:pPr>
        <w:rPr>
          <w:lang w:val="en-US"/>
        </w:rPr>
      </w:pPr>
      <w:r>
        <w:rPr>
          <w:lang w:val="en-US"/>
        </w:rPr>
        <w:t>c)</w:t>
      </w:r>
      <w:r>
        <w:rPr>
          <w:lang w:val="en-US"/>
        </w:rPr>
        <w:tab/>
        <w:t>that field-strength prediction needs support by practical measurements performed by monitoring;</w:t>
      </w:r>
    </w:p>
    <w:p w:rsidR="003577F6" w:rsidRDefault="003577F6" w:rsidP="003577F6">
      <w:pPr>
        <w:rPr>
          <w:lang w:val="en-US"/>
        </w:rPr>
      </w:pPr>
      <w:r>
        <w:rPr>
          <w:lang w:val="en-US"/>
        </w:rPr>
        <w:t>d)</w:t>
      </w:r>
      <w:r>
        <w:rPr>
          <w:lang w:val="en-US"/>
        </w:rPr>
        <w:tab/>
        <w:t>that mobile field-strength measurements are sometimes the only solution for determining the radio coverage of a large area;</w:t>
      </w:r>
    </w:p>
    <w:p w:rsidR="003577F6" w:rsidRDefault="003577F6" w:rsidP="003577F6">
      <w:pPr>
        <w:rPr>
          <w:lang w:val="en-US"/>
        </w:rPr>
      </w:pPr>
      <w:r>
        <w:rPr>
          <w:lang w:val="en-US"/>
        </w:rPr>
        <w:t>e)</w:t>
      </w:r>
      <w:r>
        <w:rPr>
          <w:lang w:val="en-US"/>
        </w:rPr>
        <w:tab/>
        <w:t>that regulators may need to check the coverage deployment of a network according to licence;</w:t>
      </w:r>
    </w:p>
    <w:p w:rsidR="003577F6" w:rsidRDefault="003577F6" w:rsidP="003577F6">
      <w:pPr>
        <w:rPr>
          <w:lang w:val="en-US"/>
        </w:rPr>
      </w:pPr>
      <w:r>
        <w:rPr>
          <w:lang w:val="en-US"/>
        </w:rPr>
        <w:t>f)</w:t>
      </w:r>
      <w:r>
        <w:rPr>
          <w:lang w:val="en-US"/>
        </w:rPr>
        <w:tab/>
        <w:t>different methods of mobile field-strength measurement are used by administrations,</w:t>
      </w:r>
    </w:p>
    <w:p w:rsidR="003577F6" w:rsidRDefault="003577F6" w:rsidP="003577F6">
      <w:pPr>
        <w:pStyle w:val="Call"/>
        <w:rPr>
          <w:lang w:val="en-US"/>
        </w:rPr>
      </w:pPr>
      <w:r>
        <w:rPr>
          <w:lang w:val="en-US"/>
        </w:rPr>
        <w:t>recognizing</w:t>
      </w:r>
    </w:p>
    <w:p w:rsidR="003577F6" w:rsidRDefault="003577F6" w:rsidP="003577F6">
      <w:pPr>
        <w:rPr>
          <w:lang w:val="en-US"/>
        </w:rPr>
      </w:pPr>
      <w:r>
        <w:rPr>
          <w:lang w:val="en-US"/>
        </w:rPr>
        <w:t>a)</w:t>
      </w:r>
      <w:r>
        <w:rPr>
          <w:lang w:val="en-US"/>
        </w:rPr>
        <w:tab/>
        <w:t>that common measurement procedures are necessary in order to achieve mutual acceptance of measurement results by the parties concerned,</w:t>
      </w:r>
    </w:p>
    <w:p w:rsidR="003577F6" w:rsidRDefault="003577F6" w:rsidP="003577F6">
      <w:pPr>
        <w:pStyle w:val="Call"/>
        <w:rPr>
          <w:lang w:val="en-US"/>
        </w:rPr>
      </w:pPr>
      <w:r>
        <w:rPr>
          <w:lang w:val="en-US"/>
        </w:rPr>
        <w:t>recommends</w:t>
      </w:r>
    </w:p>
    <w:p w:rsidR="003577F6" w:rsidRDefault="003577F6" w:rsidP="003577F6">
      <w:pPr>
        <w:rPr>
          <w:lang w:val="en-US"/>
        </w:rPr>
      </w:pPr>
      <w:r>
        <w:rPr>
          <w:b/>
          <w:bCs/>
          <w:lang w:val="en-US"/>
        </w:rPr>
        <w:t>1</w:t>
      </w:r>
      <w:r>
        <w:rPr>
          <w:lang w:val="en-US"/>
        </w:rPr>
        <w:tab/>
        <w:t>that the method described in Annex 1 should be used for field-strength measurements of vertically polarized signals along a route.</w:t>
      </w:r>
    </w:p>
    <w:p w:rsidR="003577F6" w:rsidRDefault="003577F6" w:rsidP="003577F6">
      <w:pPr>
        <w:rPr>
          <w:lang w:val="en-US"/>
        </w:rPr>
      </w:pPr>
      <w:bookmarkStart w:id="4" w:name="_Toc107036340"/>
    </w:p>
    <w:p w:rsidR="003577F6" w:rsidRDefault="003577F6" w:rsidP="003577F6">
      <w:pPr>
        <w:rPr>
          <w:lang w:val="en-US"/>
        </w:rPr>
      </w:pPr>
    </w:p>
    <w:p w:rsidR="003577F6" w:rsidRDefault="003577F6" w:rsidP="003577F6">
      <w:pPr>
        <w:pStyle w:val="AnnexNoTitle"/>
        <w:rPr>
          <w:lang w:val="en-US"/>
        </w:rPr>
      </w:pPr>
      <w:r>
        <w:rPr>
          <w:lang w:val="en-US"/>
        </w:rPr>
        <w:t>Annex 1</w:t>
      </w:r>
      <w:bookmarkEnd w:id="4"/>
    </w:p>
    <w:p w:rsidR="003577F6" w:rsidRDefault="003577F6" w:rsidP="003577F6">
      <w:pPr>
        <w:pStyle w:val="Heading1"/>
        <w:rPr>
          <w:lang w:val="en-US"/>
        </w:rPr>
      </w:pPr>
      <w:bookmarkStart w:id="5" w:name="_Toc107036341"/>
      <w:r>
        <w:rPr>
          <w:lang w:val="en-US"/>
        </w:rPr>
        <w:t>1</w:t>
      </w:r>
      <w:r>
        <w:rPr>
          <w:lang w:val="en-US"/>
        </w:rPr>
        <w:tab/>
        <w:t>General</w:t>
      </w:r>
      <w:bookmarkEnd w:id="5"/>
    </w:p>
    <w:p w:rsidR="003577F6" w:rsidRDefault="003577F6" w:rsidP="003577F6">
      <w:pPr>
        <w:rPr>
          <w:lang w:val="en-US"/>
        </w:rPr>
      </w:pPr>
      <w:r>
        <w:rPr>
          <w:lang w:val="en-US"/>
        </w:rPr>
        <w:t>Influenced by the local receiving conditions, the real values of the field strength can significantly differ from their predicted values, therefore they must be checked by measurements for establishing the radio field-strength coverage of a large area.</w:t>
      </w:r>
    </w:p>
    <w:p w:rsidR="003577F6" w:rsidRDefault="003577F6" w:rsidP="003577F6">
      <w:pPr>
        <w:rPr>
          <w:lang w:val="en-US"/>
        </w:rPr>
      </w:pPr>
      <w:r>
        <w:rPr>
          <w:lang w:val="en-US"/>
        </w:rPr>
        <w:t xml:space="preserve">Registration of test results must be recorded along with their geographical coordinate data for locating the scenes of measurements and for mapping the results were gathered on the most accessible roads of the area in question. </w:t>
      </w:r>
    </w:p>
    <w:p w:rsidR="003577F6" w:rsidRDefault="003577F6" w:rsidP="003577F6">
      <w:pPr>
        <w:rPr>
          <w:lang w:val="en-US"/>
        </w:rPr>
      </w:pPr>
      <w:r>
        <w:rPr>
          <w:lang w:val="en-US"/>
        </w:rPr>
        <w:t>Instead of measuring the actual field strength, there is sometimes the necessity for measuring the output voltage of a user antenna (the typical antenna for the service under investigation) for radio coverage evaluation.</w:t>
      </w:r>
    </w:p>
    <w:p w:rsidR="003577F6" w:rsidRDefault="003577F6" w:rsidP="003577F6">
      <w:pPr>
        <w:rPr>
          <w:lang w:val="en-US"/>
        </w:rPr>
      </w:pPr>
      <w:r>
        <w:rPr>
          <w:lang w:val="en-US"/>
        </w:rPr>
        <w:t>Digital network systems (such as GSM, DCS1800, and UMTS or DAB, DVB-T) are sensitive to the effects of reflected reception. In this case, besides measuring the signal level, the reception quality measurement, made by the measurement of the bit-error ratio (BER) or channel impulse response measurement, is also necessary to determine the system performance evaluation. Using automatically made calls, these measurements can be made on operational digital networks without any adverse effect.</w:t>
      </w:r>
    </w:p>
    <w:p w:rsidR="003577F6" w:rsidRDefault="003577F6" w:rsidP="003577F6">
      <w:pPr>
        <w:rPr>
          <w:lang w:val="en-US"/>
        </w:rPr>
      </w:pPr>
      <w:r>
        <w:rPr>
          <w:lang w:val="en-US"/>
        </w:rPr>
        <w:t>For measurement purposes along a route a continuous transmission is necessary.</w:t>
      </w:r>
    </w:p>
    <w:p w:rsidR="003577F6" w:rsidRDefault="003577F6" w:rsidP="003577F6">
      <w:pPr>
        <w:pStyle w:val="Heading1"/>
        <w:rPr>
          <w:lang w:val="en-US"/>
        </w:rPr>
      </w:pPr>
      <w:bookmarkStart w:id="6" w:name="_Toc107036342"/>
      <w:r>
        <w:rPr>
          <w:lang w:val="en-US"/>
        </w:rPr>
        <w:t>2</w:t>
      </w:r>
      <w:r>
        <w:rPr>
          <w:lang w:val="en-US"/>
        </w:rPr>
        <w:tab/>
        <w:t>The results of mobile field-strength measurement</w:t>
      </w:r>
      <w:bookmarkEnd w:id="6"/>
    </w:p>
    <w:p w:rsidR="003577F6" w:rsidRDefault="003577F6" w:rsidP="003577F6">
      <w:pPr>
        <w:rPr>
          <w:lang w:val="en-US"/>
        </w:rPr>
      </w:pPr>
      <w:r>
        <w:rPr>
          <w:lang w:val="en-US"/>
        </w:rPr>
        <w:t>Due to the effect of reflected signals, the field strength along a route shows severe fluctuation. The result of a single measurement can coincide with the minimum or maximum value of reflection and is also influenced by the chosen height of the receiver antenna, the season, the weather, the vegetation and the wetness of surroundings, making that false.</w:t>
      </w:r>
    </w:p>
    <w:p w:rsidR="003577F6" w:rsidRDefault="003577F6" w:rsidP="003577F6">
      <w:pPr>
        <w:rPr>
          <w:lang w:val="en-US"/>
        </w:rPr>
      </w:pPr>
      <w:r>
        <w:rPr>
          <w:lang w:val="en-US"/>
        </w:rPr>
        <w:t>Considering the factors mentioned above, reproducible field-strength test results can be calculated from a large number of raw data readings, by means of statistical processing of them.</w:t>
      </w:r>
    </w:p>
    <w:p w:rsidR="003577F6" w:rsidRDefault="003577F6" w:rsidP="003577F6">
      <w:pPr>
        <w:pStyle w:val="Heading1"/>
        <w:rPr>
          <w:lang w:val="en-US"/>
        </w:rPr>
      </w:pPr>
      <w:bookmarkStart w:id="7" w:name="_Toc107036343"/>
      <w:r>
        <w:rPr>
          <w:lang w:val="en-US"/>
        </w:rPr>
        <w:t>3</w:t>
      </w:r>
      <w:r>
        <w:rPr>
          <w:lang w:val="en-US"/>
        </w:rPr>
        <w:tab/>
        <w:t>Calculation of field strength</w:t>
      </w:r>
      <w:bookmarkEnd w:id="7"/>
    </w:p>
    <w:p w:rsidR="003577F6" w:rsidRDefault="003577F6" w:rsidP="003577F6">
      <w:pPr>
        <w:rPr>
          <w:lang w:val="en-US"/>
        </w:rPr>
      </w:pPr>
      <w:r>
        <w:rPr>
          <w:lang w:val="en-US"/>
        </w:rPr>
        <w:t>With knowledge of the output voltage of the antenna (usually measured in dB(</w:t>
      </w:r>
      <w:r>
        <w:rPr>
          <w:szCs w:val="24"/>
        </w:rPr>
        <w:sym w:font="Symbol" w:char="F06D"/>
      </w:r>
      <w:r>
        <w:rPr>
          <w:lang w:val="en-US"/>
        </w:rPr>
        <w:t>V)), the antenna factor and the attenuation of antenna signal path, the field-strength value can be calculated by the following equation:</w:t>
      </w:r>
    </w:p>
    <w:p w:rsidR="003577F6" w:rsidRPr="00A94BF7" w:rsidRDefault="003577F6" w:rsidP="003577F6">
      <w:pPr>
        <w:pStyle w:val="Equation"/>
        <w:rPr>
          <w:lang w:val="en-US"/>
        </w:rPr>
      </w:pPr>
      <w:r>
        <w:rPr>
          <w:lang w:val="en-US"/>
        </w:rPr>
        <w:tab/>
      </w:r>
      <w:r>
        <w:rPr>
          <w:lang w:val="en-US"/>
        </w:rPr>
        <w:tab/>
      </w:r>
      <w:r w:rsidRPr="00A94BF7">
        <w:rPr>
          <w:i/>
          <w:iCs/>
          <w:lang w:val="en-US"/>
        </w:rPr>
        <w:t>e</w:t>
      </w:r>
      <w:r w:rsidRPr="00A94BF7">
        <w:rPr>
          <w:lang w:val="en-US"/>
        </w:rPr>
        <w:t xml:space="preserve"> = </w:t>
      </w:r>
      <w:r w:rsidRPr="00A94BF7">
        <w:rPr>
          <w:i/>
          <w:iCs/>
          <w:lang w:val="en-US"/>
        </w:rPr>
        <w:t>v</w:t>
      </w:r>
      <w:r w:rsidRPr="00A94BF7">
        <w:rPr>
          <w:i/>
          <w:iCs/>
          <w:vertAlign w:val="subscript"/>
          <w:lang w:val="en-US"/>
        </w:rPr>
        <w:t>o</w:t>
      </w:r>
      <w:r w:rsidRPr="00A94BF7">
        <w:rPr>
          <w:lang w:val="en-US"/>
        </w:rPr>
        <w:t xml:space="preserve"> + </w:t>
      </w:r>
      <w:r w:rsidRPr="00A94BF7">
        <w:rPr>
          <w:i/>
          <w:iCs/>
          <w:lang w:val="en-US"/>
        </w:rPr>
        <w:t>k</w:t>
      </w:r>
      <w:r w:rsidRPr="00A94BF7">
        <w:rPr>
          <w:lang w:val="en-US"/>
        </w:rPr>
        <w:t xml:space="preserve"> + </w:t>
      </w:r>
      <w:r w:rsidRPr="00A94BF7">
        <w:rPr>
          <w:i/>
          <w:iCs/>
          <w:lang w:val="en-US"/>
        </w:rPr>
        <w:t>a</w:t>
      </w:r>
      <w:r w:rsidRPr="00A94BF7">
        <w:rPr>
          <w:i/>
          <w:iCs/>
          <w:vertAlign w:val="subscript"/>
          <w:lang w:val="en-US"/>
        </w:rPr>
        <w:t>c</w:t>
      </w:r>
    </w:p>
    <w:p w:rsidR="003577F6" w:rsidRDefault="003577F6" w:rsidP="003577F6">
      <w:pPr>
        <w:rPr>
          <w:lang w:val="en-US"/>
        </w:rPr>
      </w:pPr>
      <w:r>
        <w:rPr>
          <w:lang w:val="en-US"/>
        </w:rPr>
        <w:t>where:</w:t>
      </w:r>
    </w:p>
    <w:p w:rsidR="003577F6" w:rsidRDefault="003577F6" w:rsidP="003577F6">
      <w:pPr>
        <w:pStyle w:val="Equationlegend"/>
        <w:rPr>
          <w:iCs/>
        </w:rPr>
      </w:pPr>
      <w:r>
        <w:rPr>
          <w:b/>
        </w:rPr>
        <w:tab/>
      </w:r>
      <w:r>
        <w:rPr>
          <w:bCs/>
          <w:i/>
          <w:iCs/>
        </w:rPr>
        <w:t>e</w:t>
      </w:r>
      <w:r>
        <w:rPr>
          <w:bCs/>
        </w:rPr>
        <w:t>:</w:t>
      </w:r>
      <w:r>
        <w:tab/>
        <w:t>electric field-strength component (</w:t>
      </w:r>
      <w:r>
        <w:rPr>
          <w:iCs/>
        </w:rPr>
        <w:t>dB(</w:t>
      </w:r>
      <w:r>
        <w:rPr>
          <w:iCs/>
          <w:szCs w:val="24"/>
        </w:rPr>
        <w:sym w:font="Symbol" w:char="F06D"/>
      </w:r>
      <w:r>
        <w:rPr>
          <w:iCs/>
        </w:rPr>
        <w:t>V/m))</w:t>
      </w:r>
    </w:p>
    <w:p w:rsidR="003577F6" w:rsidRDefault="003577F6" w:rsidP="003577F6">
      <w:pPr>
        <w:pStyle w:val="Equationlegend"/>
      </w:pPr>
      <w:r>
        <w:rPr>
          <w:b/>
        </w:rPr>
        <w:tab/>
      </w:r>
      <w:r>
        <w:rPr>
          <w:bCs/>
          <w:i/>
          <w:iCs/>
        </w:rPr>
        <w:t>v</w:t>
      </w:r>
      <w:r>
        <w:rPr>
          <w:bCs/>
          <w:i/>
          <w:iCs/>
          <w:vertAlign w:val="subscript"/>
        </w:rPr>
        <w:t>o</w:t>
      </w:r>
      <w:r>
        <w:rPr>
          <w:bCs/>
          <w:vertAlign w:val="subscript"/>
        </w:rPr>
        <w:t>:</w:t>
      </w:r>
      <w:r>
        <w:t xml:space="preserve"> </w:t>
      </w:r>
      <w:r>
        <w:tab/>
        <w:t>output voltage of the antenna (</w:t>
      </w:r>
      <w:r>
        <w:rPr>
          <w:iCs/>
        </w:rPr>
        <w:t>dB(</w:t>
      </w:r>
      <w:r>
        <w:rPr>
          <w:iCs/>
          <w:szCs w:val="24"/>
        </w:rPr>
        <w:sym w:font="Symbol" w:char="F06D"/>
      </w:r>
      <w:r>
        <w:rPr>
          <w:iCs/>
        </w:rPr>
        <w:t>V))</w:t>
      </w:r>
    </w:p>
    <w:p w:rsidR="003577F6" w:rsidRDefault="003577F6" w:rsidP="003577F6">
      <w:pPr>
        <w:pStyle w:val="Equationlegend"/>
        <w:rPr>
          <w:iCs/>
        </w:rPr>
      </w:pPr>
      <w:r>
        <w:rPr>
          <w:b/>
        </w:rPr>
        <w:tab/>
      </w:r>
      <w:r>
        <w:rPr>
          <w:bCs/>
          <w:i/>
          <w:iCs/>
        </w:rPr>
        <w:t>k</w:t>
      </w:r>
      <w:r>
        <w:rPr>
          <w:bCs/>
        </w:rPr>
        <w:t>:</w:t>
      </w:r>
      <w:r>
        <w:tab/>
        <w:t>antenna factor (</w:t>
      </w:r>
      <w:r>
        <w:rPr>
          <w:iCs/>
        </w:rPr>
        <w:t>dB(m</w:t>
      </w:r>
      <w:r>
        <w:rPr>
          <w:iCs/>
          <w:vertAlign w:val="superscript"/>
        </w:rPr>
        <w:t>–1</w:t>
      </w:r>
      <w:r>
        <w:rPr>
          <w:iCs/>
        </w:rPr>
        <w:t>))</w:t>
      </w:r>
    </w:p>
    <w:p w:rsidR="003577F6" w:rsidRDefault="003577F6" w:rsidP="003577F6">
      <w:pPr>
        <w:pStyle w:val="Equationlegend"/>
        <w:rPr>
          <w:iCs/>
        </w:rPr>
      </w:pPr>
      <w:r>
        <w:rPr>
          <w:b/>
        </w:rPr>
        <w:tab/>
      </w:r>
      <w:r>
        <w:rPr>
          <w:bCs/>
          <w:i/>
          <w:iCs/>
        </w:rPr>
        <w:t>a</w:t>
      </w:r>
      <w:r>
        <w:rPr>
          <w:bCs/>
          <w:i/>
          <w:iCs/>
          <w:vertAlign w:val="subscript"/>
        </w:rPr>
        <w:t>c</w:t>
      </w:r>
      <w:r>
        <w:rPr>
          <w:bCs/>
        </w:rPr>
        <w:t>:</w:t>
      </w:r>
      <w:r>
        <w:tab/>
        <w:t>attenuation of antenna signal path (</w:t>
      </w:r>
      <w:r>
        <w:rPr>
          <w:iCs/>
        </w:rPr>
        <w:t>dB).</w:t>
      </w:r>
    </w:p>
    <w:p w:rsidR="003577F6" w:rsidRDefault="003577F6" w:rsidP="003577F6">
      <w:pPr>
        <w:rPr>
          <w:lang w:val="en-US"/>
        </w:rPr>
      </w:pPr>
      <w:r>
        <w:rPr>
          <w:lang w:val="en-US"/>
        </w:rPr>
        <w:t>Using certain test receivers it is possible to read the field-strength result directly in dB(</w:t>
      </w:r>
      <w:r>
        <w:rPr>
          <w:szCs w:val="24"/>
        </w:rPr>
        <w:sym w:font="Symbol" w:char="F06D"/>
      </w:r>
      <w:r>
        <w:rPr>
          <w:lang w:val="en-US"/>
        </w:rPr>
        <w:t>V/m), by previously writing the summarized antenna factor and signal path attenuation into the memory of the receiver.</w:t>
      </w:r>
    </w:p>
    <w:p w:rsidR="003577F6" w:rsidRDefault="003577F6" w:rsidP="003577F6">
      <w:pPr>
        <w:pStyle w:val="Heading1"/>
        <w:rPr>
          <w:lang w:val="en-US"/>
        </w:rPr>
      </w:pPr>
      <w:bookmarkStart w:id="8" w:name="_Toc107036344"/>
      <w:r>
        <w:rPr>
          <w:lang w:val="en-US"/>
        </w:rPr>
        <w:t>4</w:t>
      </w:r>
      <w:r>
        <w:rPr>
          <w:lang w:val="en-US"/>
        </w:rPr>
        <w:tab/>
        <w:t>Measuring antennas</w:t>
      </w:r>
      <w:bookmarkEnd w:id="8"/>
    </w:p>
    <w:p w:rsidR="003577F6" w:rsidRDefault="003577F6" w:rsidP="003577F6">
      <w:pPr>
        <w:rPr>
          <w:lang w:val="en-US"/>
        </w:rPr>
      </w:pPr>
      <w:r>
        <w:rPr>
          <w:lang w:val="en-US"/>
        </w:rPr>
        <w:t>During the measurement the chosen height of the test antenna is 1.5 ... 3 m. The result will be considered as being carried out at a height of 3 m.</w:t>
      </w:r>
    </w:p>
    <w:p w:rsidR="003577F6" w:rsidRDefault="003577F6" w:rsidP="003577F6">
      <w:pPr>
        <w:pStyle w:val="Heading1"/>
        <w:rPr>
          <w:lang w:val="en-US"/>
        </w:rPr>
      </w:pPr>
      <w:bookmarkStart w:id="9" w:name="_Toc107036345"/>
      <w:r>
        <w:rPr>
          <w:lang w:val="en-US"/>
        </w:rPr>
        <w:t>5</w:t>
      </w:r>
      <w:r>
        <w:rPr>
          <w:lang w:val="en-US"/>
        </w:rPr>
        <w:tab/>
        <w:t>Test receiver settings</w:t>
      </w:r>
      <w:bookmarkEnd w:id="9"/>
    </w:p>
    <w:p w:rsidR="003577F6" w:rsidRDefault="003577F6" w:rsidP="003577F6">
      <w:pPr>
        <w:pStyle w:val="Heading2"/>
        <w:rPr>
          <w:lang w:val="en-US"/>
        </w:rPr>
      </w:pPr>
      <w:bookmarkStart w:id="10" w:name="_Toc107036346"/>
      <w:r>
        <w:rPr>
          <w:lang w:val="en-US"/>
        </w:rPr>
        <w:t>5.1</w:t>
      </w:r>
      <w:r>
        <w:rPr>
          <w:lang w:val="en-US"/>
        </w:rPr>
        <w:tab/>
        <w:t>Dynamic range</w:t>
      </w:r>
      <w:bookmarkEnd w:id="10"/>
    </w:p>
    <w:p w:rsidR="003577F6" w:rsidRDefault="003577F6" w:rsidP="003577F6">
      <w:pPr>
        <w:rPr>
          <w:lang w:val="en-US"/>
        </w:rPr>
      </w:pPr>
      <w:r>
        <w:rPr>
          <w:lang w:val="en-US"/>
        </w:rPr>
        <w:t xml:space="preserve">The operating dynamic range of the measuring receiver should be </w:t>
      </w:r>
      <w:r>
        <w:rPr>
          <w:szCs w:val="24"/>
        </w:rPr>
        <w:sym w:font="Symbol" w:char="F0B3"/>
      </w:r>
      <w:r>
        <w:rPr>
          <w:lang w:val="en-US"/>
        </w:rPr>
        <w:t xml:space="preserve">60 dB. </w:t>
      </w:r>
    </w:p>
    <w:p w:rsidR="003577F6" w:rsidRDefault="003577F6" w:rsidP="003577F6">
      <w:pPr>
        <w:pStyle w:val="Heading2"/>
        <w:rPr>
          <w:lang w:val="en-US"/>
        </w:rPr>
      </w:pPr>
      <w:bookmarkStart w:id="11" w:name="_Toc107036347"/>
      <w:r>
        <w:rPr>
          <w:lang w:val="en-US"/>
        </w:rPr>
        <w:t>5.2</w:t>
      </w:r>
      <w:r>
        <w:rPr>
          <w:lang w:val="en-US"/>
        </w:rPr>
        <w:tab/>
        <w:t>Detector functions and bandwidths for the respective types of signal</w:t>
      </w:r>
      <w:bookmarkEnd w:id="11"/>
    </w:p>
    <w:p w:rsidR="003577F6" w:rsidRDefault="003577F6" w:rsidP="003577F6">
      <w:pPr>
        <w:rPr>
          <w:lang w:val="en-US"/>
        </w:rPr>
      </w:pPr>
      <w:r>
        <w:rPr>
          <w:lang w:val="en-US"/>
        </w:rPr>
        <w:t xml:space="preserve">The receiver bandwidth should be wide enough to receive the signal including the essential parts of the modulation spectrum. The detector type should be set depending on the characteristics and modulation mode of the tested signal. </w:t>
      </w:r>
    </w:p>
    <w:p w:rsidR="003577F6" w:rsidRDefault="003577F6" w:rsidP="0057231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8"/>
        <w:gridCol w:w="3240"/>
        <w:gridCol w:w="2891"/>
      </w:tblGrid>
      <w:tr w:rsidR="003577F6" w:rsidTr="007B3C84">
        <w:trPr>
          <w:jc w:val="center"/>
        </w:trPr>
        <w:tc>
          <w:tcPr>
            <w:tcW w:w="3508" w:type="dxa"/>
          </w:tcPr>
          <w:p w:rsidR="003577F6" w:rsidRDefault="003577F6" w:rsidP="00095D1C">
            <w:pPr>
              <w:pStyle w:val="Tablehead"/>
              <w:rPr>
                <w:lang w:val="en-US"/>
              </w:rPr>
            </w:pPr>
            <w:r>
              <w:rPr>
                <w:lang w:val="en-US"/>
              </w:rPr>
              <w:t>Example of signal types</w:t>
            </w:r>
          </w:p>
        </w:tc>
        <w:tc>
          <w:tcPr>
            <w:tcW w:w="3240" w:type="dxa"/>
          </w:tcPr>
          <w:p w:rsidR="003577F6" w:rsidRDefault="003577F6" w:rsidP="00095D1C">
            <w:pPr>
              <w:pStyle w:val="Tablehead"/>
              <w:rPr>
                <w:lang w:val="en-US"/>
              </w:rPr>
            </w:pPr>
            <w:r>
              <w:rPr>
                <w:lang w:val="en-US"/>
              </w:rPr>
              <w:t>Minimum bandwidth</w:t>
            </w:r>
            <w:r>
              <w:rPr>
                <w:lang w:val="en-US"/>
              </w:rPr>
              <w:br/>
              <w:t>(kHz)</w:t>
            </w:r>
          </w:p>
        </w:tc>
        <w:tc>
          <w:tcPr>
            <w:tcW w:w="2891" w:type="dxa"/>
          </w:tcPr>
          <w:p w:rsidR="003577F6" w:rsidRDefault="003577F6" w:rsidP="00095D1C">
            <w:pPr>
              <w:pStyle w:val="Tablehead"/>
              <w:rPr>
                <w:lang w:val="en-US"/>
              </w:rPr>
            </w:pPr>
            <w:r>
              <w:rPr>
                <w:lang w:val="en-US"/>
              </w:rPr>
              <w:t>Detector function</w:t>
            </w:r>
          </w:p>
        </w:tc>
      </w:tr>
      <w:tr w:rsidR="003577F6" w:rsidTr="007B3C84">
        <w:trPr>
          <w:jc w:val="center"/>
        </w:trPr>
        <w:tc>
          <w:tcPr>
            <w:tcW w:w="3508" w:type="dxa"/>
          </w:tcPr>
          <w:p w:rsidR="003577F6" w:rsidRDefault="003577F6" w:rsidP="00095D1C">
            <w:pPr>
              <w:pStyle w:val="Tabletext"/>
              <w:rPr>
                <w:lang w:val="en-US"/>
              </w:rPr>
            </w:pPr>
            <w:r>
              <w:rPr>
                <w:lang w:val="en-US"/>
              </w:rPr>
              <w:t>AM double sideband</w:t>
            </w:r>
          </w:p>
        </w:tc>
        <w:tc>
          <w:tcPr>
            <w:tcW w:w="3240" w:type="dxa"/>
          </w:tcPr>
          <w:p w:rsidR="003577F6" w:rsidRDefault="003577F6" w:rsidP="00095D1C">
            <w:pPr>
              <w:pStyle w:val="Tabletext"/>
              <w:jc w:val="center"/>
              <w:rPr>
                <w:lang w:val="en-US"/>
              </w:rPr>
            </w:pPr>
            <w:r>
              <w:rPr>
                <w:lang w:val="en-US"/>
              </w:rPr>
              <w:t>9 or 10</w:t>
            </w:r>
          </w:p>
        </w:tc>
        <w:tc>
          <w:tcPr>
            <w:tcW w:w="2891" w:type="dxa"/>
          </w:tcPr>
          <w:p w:rsidR="003577F6" w:rsidRDefault="003577F6" w:rsidP="00095D1C">
            <w:pPr>
              <w:pStyle w:val="Tabletext"/>
              <w:jc w:val="center"/>
              <w:rPr>
                <w:lang w:val="en-US"/>
              </w:rPr>
            </w:pPr>
            <w:r>
              <w:rPr>
                <w:lang w:val="en-US"/>
              </w:rPr>
              <w:t>Linear average</w:t>
            </w:r>
          </w:p>
        </w:tc>
      </w:tr>
      <w:tr w:rsidR="003577F6" w:rsidTr="007B3C84">
        <w:trPr>
          <w:jc w:val="center"/>
        </w:trPr>
        <w:tc>
          <w:tcPr>
            <w:tcW w:w="3508" w:type="dxa"/>
          </w:tcPr>
          <w:p w:rsidR="003577F6" w:rsidRDefault="003577F6" w:rsidP="00095D1C">
            <w:pPr>
              <w:pStyle w:val="Tabletext"/>
              <w:rPr>
                <w:lang w:val="en-US"/>
              </w:rPr>
            </w:pPr>
            <w:r>
              <w:rPr>
                <w:lang w:val="en-US"/>
              </w:rPr>
              <w:t>AM single sideband</w:t>
            </w:r>
          </w:p>
        </w:tc>
        <w:tc>
          <w:tcPr>
            <w:tcW w:w="3240" w:type="dxa"/>
          </w:tcPr>
          <w:p w:rsidR="003577F6" w:rsidRDefault="003577F6" w:rsidP="00095D1C">
            <w:pPr>
              <w:pStyle w:val="Tabletext"/>
              <w:jc w:val="center"/>
              <w:rPr>
                <w:lang w:val="en-US"/>
              </w:rPr>
            </w:pPr>
            <w:r>
              <w:rPr>
                <w:lang w:val="en-US"/>
              </w:rPr>
              <w:t>2.4</w:t>
            </w:r>
          </w:p>
        </w:tc>
        <w:tc>
          <w:tcPr>
            <w:tcW w:w="2891" w:type="dxa"/>
          </w:tcPr>
          <w:p w:rsidR="003577F6" w:rsidRDefault="003577F6" w:rsidP="00095D1C">
            <w:pPr>
              <w:pStyle w:val="Tabletext"/>
              <w:jc w:val="center"/>
              <w:rPr>
                <w:lang w:val="en-US"/>
              </w:rPr>
            </w:pPr>
            <w:r>
              <w:rPr>
                <w:lang w:val="en-US"/>
              </w:rPr>
              <w:t>Peak</w:t>
            </w:r>
          </w:p>
        </w:tc>
      </w:tr>
      <w:tr w:rsidR="003577F6" w:rsidTr="007B3C84">
        <w:trPr>
          <w:jc w:val="center"/>
        </w:trPr>
        <w:tc>
          <w:tcPr>
            <w:tcW w:w="3508" w:type="dxa"/>
          </w:tcPr>
          <w:p w:rsidR="003577F6" w:rsidRDefault="003577F6" w:rsidP="00095D1C">
            <w:pPr>
              <w:pStyle w:val="Tabletext"/>
              <w:rPr>
                <w:lang w:val="en-US"/>
              </w:rPr>
            </w:pPr>
            <w:r>
              <w:rPr>
                <w:lang w:val="en-US"/>
              </w:rPr>
              <w:t>FM broadcast signal</w:t>
            </w:r>
          </w:p>
        </w:tc>
        <w:tc>
          <w:tcPr>
            <w:tcW w:w="3240" w:type="dxa"/>
          </w:tcPr>
          <w:p w:rsidR="003577F6" w:rsidRDefault="003577F6" w:rsidP="00095D1C">
            <w:pPr>
              <w:pStyle w:val="Tabletext"/>
              <w:jc w:val="center"/>
              <w:rPr>
                <w:lang w:val="en-US"/>
              </w:rPr>
            </w:pPr>
            <w:r>
              <w:rPr>
                <w:lang w:val="en-US"/>
              </w:rPr>
              <w:t>120</w:t>
            </w:r>
          </w:p>
        </w:tc>
        <w:tc>
          <w:tcPr>
            <w:tcW w:w="2891" w:type="dxa"/>
          </w:tcPr>
          <w:p w:rsidR="003577F6" w:rsidRDefault="003577F6" w:rsidP="00095D1C">
            <w:pPr>
              <w:pStyle w:val="Tabletext"/>
              <w:jc w:val="center"/>
              <w:rPr>
                <w:lang w:val="en-US"/>
              </w:rPr>
            </w:pPr>
            <w:r>
              <w:rPr>
                <w:lang w:val="en-US"/>
              </w:rPr>
              <w:t>Linear (or log) average</w:t>
            </w:r>
          </w:p>
        </w:tc>
      </w:tr>
      <w:tr w:rsidR="003577F6" w:rsidTr="007B3C84">
        <w:trPr>
          <w:jc w:val="center"/>
        </w:trPr>
        <w:tc>
          <w:tcPr>
            <w:tcW w:w="3508" w:type="dxa"/>
          </w:tcPr>
          <w:p w:rsidR="003577F6" w:rsidRDefault="003577F6" w:rsidP="00095D1C">
            <w:pPr>
              <w:pStyle w:val="Tabletext"/>
              <w:rPr>
                <w:lang w:val="en-US"/>
              </w:rPr>
            </w:pPr>
            <w:r>
              <w:rPr>
                <w:lang w:val="en-US"/>
              </w:rPr>
              <w:t>TV carrier</w:t>
            </w:r>
          </w:p>
        </w:tc>
        <w:tc>
          <w:tcPr>
            <w:tcW w:w="3240" w:type="dxa"/>
          </w:tcPr>
          <w:p w:rsidR="003577F6" w:rsidRDefault="003577F6" w:rsidP="00095D1C">
            <w:pPr>
              <w:pStyle w:val="Tabletext"/>
              <w:jc w:val="center"/>
              <w:rPr>
                <w:lang w:val="en-US"/>
              </w:rPr>
            </w:pPr>
            <w:r>
              <w:rPr>
                <w:lang w:val="en-US"/>
              </w:rPr>
              <w:t>120</w:t>
            </w:r>
          </w:p>
        </w:tc>
        <w:tc>
          <w:tcPr>
            <w:tcW w:w="2891" w:type="dxa"/>
          </w:tcPr>
          <w:p w:rsidR="003577F6" w:rsidRDefault="003577F6" w:rsidP="00095D1C">
            <w:pPr>
              <w:pStyle w:val="Tabletext"/>
              <w:jc w:val="center"/>
              <w:rPr>
                <w:lang w:val="en-US"/>
              </w:rPr>
            </w:pPr>
            <w:r>
              <w:rPr>
                <w:lang w:val="en-US"/>
              </w:rPr>
              <w:t>Peak</w:t>
            </w:r>
          </w:p>
        </w:tc>
      </w:tr>
      <w:tr w:rsidR="003577F6" w:rsidTr="007B3C84">
        <w:trPr>
          <w:jc w:val="center"/>
        </w:trPr>
        <w:tc>
          <w:tcPr>
            <w:tcW w:w="3508" w:type="dxa"/>
          </w:tcPr>
          <w:p w:rsidR="003577F6" w:rsidRDefault="003577F6" w:rsidP="00095D1C">
            <w:pPr>
              <w:pStyle w:val="Tabletext"/>
              <w:rPr>
                <w:lang w:val="en-US"/>
              </w:rPr>
            </w:pPr>
            <w:r>
              <w:rPr>
                <w:lang w:val="en-US"/>
              </w:rPr>
              <w:t>GSM signal</w:t>
            </w:r>
          </w:p>
        </w:tc>
        <w:tc>
          <w:tcPr>
            <w:tcW w:w="3240" w:type="dxa"/>
          </w:tcPr>
          <w:p w:rsidR="003577F6" w:rsidRDefault="003577F6" w:rsidP="00095D1C">
            <w:pPr>
              <w:pStyle w:val="Tabletext"/>
              <w:jc w:val="center"/>
            </w:pPr>
            <w:r>
              <w:t>300</w:t>
            </w:r>
          </w:p>
        </w:tc>
        <w:tc>
          <w:tcPr>
            <w:tcW w:w="2891" w:type="dxa"/>
            <w:vMerge w:val="restart"/>
          </w:tcPr>
          <w:p w:rsidR="003577F6" w:rsidRDefault="003577F6" w:rsidP="00095D1C">
            <w:pPr>
              <w:pStyle w:val="Tabletext"/>
              <w:jc w:val="center"/>
            </w:pPr>
            <w:r>
              <w:t>r.m.s.</w:t>
            </w:r>
          </w:p>
        </w:tc>
      </w:tr>
      <w:tr w:rsidR="003577F6" w:rsidTr="007B3C84">
        <w:trPr>
          <w:jc w:val="center"/>
        </w:trPr>
        <w:tc>
          <w:tcPr>
            <w:tcW w:w="3508" w:type="dxa"/>
          </w:tcPr>
          <w:p w:rsidR="003577F6" w:rsidRDefault="003577F6" w:rsidP="00095D1C">
            <w:pPr>
              <w:pStyle w:val="Tabletext"/>
            </w:pPr>
            <w:r>
              <w:t>DAB signal</w:t>
            </w:r>
          </w:p>
        </w:tc>
        <w:tc>
          <w:tcPr>
            <w:tcW w:w="3240" w:type="dxa"/>
          </w:tcPr>
          <w:p w:rsidR="003577F6" w:rsidRDefault="003577F6" w:rsidP="00095D1C">
            <w:pPr>
              <w:pStyle w:val="Tabletext"/>
              <w:jc w:val="center"/>
            </w:pPr>
            <w:r>
              <w:t>1 500</w:t>
            </w:r>
          </w:p>
        </w:tc>
        <w:tc>
          <w:tcPr>
            <w:tcW w:w="2891" w:type="dxa"/>
            <w:vMerge/>
          </w:tcPr>
          <w:p w:rsidR="003577F6" w:rsidRDefault="003577F6" w:rsidP="00095D1C">
            <w:pPr>
              <w:pStyle w:val="Tabletext"/>
              <w:jc w:val="center"/>
            </w:pPr>
          </w:p>
        </w:tc>
      </w:tr>
      <w:tr w:rsidR="003577F6" w:rsidTr="007B3C84">
        <w:trPr>
          <w:jc w:val="center"/>
        </w:trPr>
        <w:tc>
          <w:tcPr>
            <w:tcW w:w="3508" w:type="dxa"/>
          </w:tcPr>
          <w:p w:rsidR="003577F6" w:rsidRPr="000538BE" w:rsidRDefault="003577F6" w:rsidP="007B3C84">
            <w:pPr>
              <w:pStyle w:val="Tabletext"/>
              <w:jc w:val="left"/>
              <w:rPr>
                <w:lang w:val="de-DE"/>
              </w:rPr>
            </w:pPr>
            <w:r w:rsidRPr="000538BE">
              <w:rPr>
                <w:lang w:val="de-DE"/>
              </w:rPr>
              <w:t>DVB-T signal</w:t>
            </w:r>
            <w:r w:rsidRPr="000538BE">
              <w:rPr>
                <w:lang w:val="de-DE"/>
              </w:rPr>
              <w:br/>
              <w:t>Systems:</w:t>
            </w:r>
            <w:r w:rsidRPr="000538BE">
              <w:rPr>
                <w:lang w:val="de-DE"/>
              </w:rPr>
              <w:tab/>
            </w:r>
            <w:r w:rsidRPr="000538BE">
              <w:rPr>
                <w:lang w:val="de-DE"/>
              </w:rPr>
              <w:tab/>
              <w:t>6 MHz</w:t>
            </w:r>
            <w:r w:rsidRPr="000538BE">
              <w:rPr>
                <w:lang w:val="de-DE"/>
              </w:rPr>
              <w:br/>
            </w:r>
            <w:r w:rsidRPr="000538BE">
              <w:rPr>
                <w:lang w:val="de-DE"/>
              </w:rPr>
              <w:tab/>
            </w:r>
            <w:r w:rsidRPr="000538BE">
              <w:rPr>
                <w:lang w:val="de-DE"/>
              </w:rPr>
              <w:tab/>
            </w:r>
            <w:r w:rsidRPr="000538BE">
              <w:rPr>
                <w:lang w:val="de-DE"/>
              </w:rPr>
              <w:tab/>
            </w:r>
            <w:r w:rsidRPr="000538BE">
              <w:rPr>
                <w:lang w:val="de-DE"/>
              </w:rPr>
              <w:tab/>
              <w:t>7 MHz</w:t>
            </w:r>
            <w:r w:rsidRPr="000538BE">
              <w:rPr>
                <w:lang w:val="de-DE"/>
              </w:rPr>
              <w:br/>
            </w:r>
            <w:r w:rsidRPr="000538BE">
              <w:rPr>
                <w:lang w:val="de-DE"/>
              </w:rPr>
              <w:tab/>
            </w:r>
            <w:r w:rsidRPr="000538BE">
              <w:rPr>
                <w:lang w:val="de-DE"/>
              </w:rPr>
              <w:tab/>
            </w:r>
            <w:r w:rsidRPr="000538BE">
              <w:rPr>
                <w:lang w:val="de-DE"/>
              </w:rPr>
              <w:tab/>
            </w:r>
            <w:r w:rsidRPr="000538BE">
              <w:rPr>
                <w:lang w:val="de-DE"/>
              </w:rPr>
              <w:tab/>
              <w:t>8 MHz</w:t>
            </w:r>
          </w:p>
        </w:tc>
        <w:tc>
          <w:tcPr>
            <w:tcW w:w="3240" w:type="dxa"/>
          </w:tcPr>
          <w:p w:rsidR="003577F6" w:rsidRDefault="003577F6" w:rsidP="00095D1C">
            <w:pPr>
              <w:pStyle w:val="Tabletext"/>
              <w:jc w:val="center"/>
              <w:rPr>
                <w:lang w:val="en-US"/>
              </w:rPr>
            </w:pPr>
            <w:r w:rsidRPr="000538BE">
              <w:rPr>
                <w:lang w:val="de-DE"/>
              </w:rPr>
              <w:br/>
            </w:r>
            <w:r>
              <w:rPr>
                <w:lang w:val="en-US"/>
              </w:rPr>
              <w:t>6 000</w:t>
            </w:r>
            <w:r>
              <w:rPr>
                <w:lang w:val="en-US"/>
              </w:rPr>
              <w:br/>
              <w:t>7 000</w:t>
            </w:r>
            <w:r>
              <w:rPr>
                <w:lang w:val="en-US"/>
              </w:rPr>
              <w:br/>
              <w:t>8 000</w:t>
            </w:r>
          </w:p>
        </w:tc>
        <w:tc>
          <w:tcPr>
            <w:tcW w:w="2891" w:type="dxa"/>
            <w:vMerge/>
          </w:tcPr>
          <w:p w:rsidR="003577F6" w:rsidRDefault="003577F6" w:rsidP="00095D1C">
            <w:pPr>
              <w:pStyle w:val="Tabletext"/>
              <w:jc w:val="center"/>
              <w:rPr>
                <w:lang w:val="en-US"/>
              </w:rPr>
            </w:pPr>
          </w:p>
        </w:tc>
      </w:tr>
      <w:tr w:rsidR="003577F6" w:rsidTr="007B3C84">
        <w:trPr>
          <w:jc w:val="center"/>
        </w:trPr>
        <w:tc>
          <w:tcPr>
            <w:tcW w:w="3508" w:type="dxa"/>
          </w:tcPr>
          <w:p w:rsidR="003577F6" w:rsidRDefault="003577F6" w:rsidP="00095D1C">
            <w:pPr>
              <w:pStyle w:val="Tabletext"/>
              <w:rPr>
                <w:lang w:val="en-US"/>
              </w:rPr>
            </w:pPr>
            <w:r>
              <w:rPr>
                <w:lang w:val="en-US"/>
              </w:rPr>
              <w:t>TETRA signal</w:t>
            </w:r>
          </w:p>
        </w:tc>
        <w:tc>
          <w:tcPr>
            <w:tcW w:w="3240" w:type="dxa"/>
          </w:tcPr>
          <w:p w:rsidR="003577F6" w:rsidRDefault="003577F6" w:rsidP="00095D1C">
            <w:pPr>
              <w:pStyle w:val="Tabletext"/>
              <w:jc w:val="center"/>
              <w:rPr>
                <w:lang w:val="en-US"/>
              </w:rPr>
            </w:pPr>
            <w:r>
              <w:rPr>
                <w:lang w:val="en-US"/>
              </w:rPr>
              <w:t>30</w:t>
            </w:r>
          </w:p>
        </w:tc>
        <w:tc>
          <w:tcPr>
            <w:tcW w:w="2891" w:type="dxa"/>
            <w:vMerge/>
          </w:tcPr>
          <w:p w:rsidR="003577F6" w:rsidRDefault="003577F6" w:rsidP="00095D1C">
            <w:pPr>
              <w:pStyle w:val="Tabletext"/>
              <w:jc w:val="center"/>
              <w:rPr>
                <w:lang w:val="en-US"/>
              </w:rPr>
            </w:pPr>
          </w:p>
        </w:tc>
      </w:tr>
      <w:tr w:rsidR="003577F6" w:rsidTr="007B3C84">
        <w:trPr>
          <w:jc w:val="center"/>
        </w:trPr>
        <w:tc>
          <w:tcPr>
            <w:tcW w:w="3508" w:type="dxa"/>
          </w:tcPr>
          <w:p w:rsidR="003577F6" w:rsidRDefault="003577F6" w:rsidP="00095D1C">
            <w:pPr>
              <w:pStyle w:val="Tabletext"/>
              <w:rPr>
                <w:lang w:val="en-US"/>
              </w:rPr>
            </w:pPr>
            <w:r>
              <w:rPr>
                <w:lang w:val="en-US"/>
              </w:rPr>
              <w:t>UMTS signal</w:t>
            </w:r>
          </w:p>
        </w:tc>
        <w:tc>
          <w:tcPr>
            <w:tcW w:w="3240" w:type="dxa"/>
          </w:tcPr>
          <w:p w:rsidR="003577F6" w:rsidRDefault="003577F6" w:rsidP="00095D1C">
            <w:pPr>
              <w:pStyle w:val="Tabletext"/>
              <w:jc w:val="center"/>
              <w:rPr>
                <w:lang w:val="en-US"/>
              </w:rPr>
            </w:pPr>
            <w:r>
              <w:rPr>
                <w:lang w:val="en-US"/>
              </w:rPr>
              <w:t>4 000</w:t>
            </w:r>
          </w:p>
        </w:tc>
        <w:tc>
          <w:tcPr>
            <w:tcW w:w="2891" w:type="dxa"/>
            <w:vMerge/>
          </w:tcPr>
          <w:p w:rsidR="003577F6" w:rsidRDefault="003577F6" w:rsidP="00095D1C">
            <w:pPr>
              <w:pStyle w:val="Tabletext"/>
              <w:jc w:val="center"/>
              <w:rPr>
                <w:lang w:val="en-US"/>
              </w:rPr>
            </w:pPr>
          </w:p>
        </w:tc>
      </w:tr>
      <w:tr w:rsidR="003577F6" w:rsidRPr="00CC7627" w:rsidTr="007B3C84">
        <w:trPr>
          <w:jc w:val="center"/>
        </w:trPr>
        <w:tc>
          <w:tcPr>
            <w:tcW w:w="3508" w:type="dxa"/>
          </w:tcPr>
          <w:p w:rsidR="003577F6" w:rsidRDefault="003577F6" w:rsidP="00572316">
            <w:pPr>
              <w:pStyle w:val="Tabletext"/>
              <w:jc w:val="left"/>
              <w:rPr>
                <w:lang w:val="en-US"/>
              </w:rPr>
            </w:pPr>
            <w:r>
              <w:rPr>
                <w:lang w:val="en-US"/>
              </w:rPr>
              <w:t>Narrow-band FM radio</w:t>
            </w:r>
            <w:r>
              <w:rPr>
                <w:lang w:val="en-US"/>
              </w:rPr>
              <w:br/>
              <w:t xml:space="preserve">Channel spacing: </w:t>
            </w:r>
            <w:r>
              <w:rPr>
                <w:lang w:val="en-US"/>
              </w:rPr>
              <w:tab/>
              <w:t>12.5 kHz</w:t>
            </w:r>
            <w:r>
              <w:rPr>
                <w:lang w:val="en-US"/>
              </w:rPr>
              <w:br/>
            </w:r>
            <w:r>
              <w:rPr>
                <w:lang w:val="en-US"/>
              </w:rPr>
              <w:tab/>
            </w:r>
            <w:r>
              <w:rPr>
                <w:lang w:val="en-US"/>
              </w:rPr>
              <w:tab/>
            </w:r>
            <w:r>
              <w:rPr>
                <w:lang w:val="en-US"/>
              </w:rPr>
              <w:tab/>
            </w:r>
            <w:r>
              <w:rPr>
                <w:lang w:val="en-US"/>
              </w:rPr>
              <w:tab/>
            </w:r>
            <w:r>
              <w:rPr>
                <w:lang w:val="en-US"/>
              </w:rPr>
              <w:tab/>
            </w:r>
            <w:r>
              <w:rPr>
                <w:lang w:val="en-US"/>
              </w:rPr>
              <w:tab/>
              <w:t>20 kHz</w:t>
            </w:r>
            <w:r>
              <w:rPr>
                <w:lang w:val="en-US"/>
              </w:rPr>
              <w:br/>
            </w:r>
            <w:r>
              <w:rPr>
                <w:lang w:val="en-US"/>
              </w:rPr>
              <w:tab/>
            </w:r>
            <w:r>
              <w:rPr>
                <w:lang w:val="en-US"/>
              </w:rPr>
              <w:tab/>
            </w:r>
            <w:r>
              <w:rPr>
                <w:lang w:val="en-US"/>
              </w:rPr>
              <w:tab/>
            </w:r>
            <w:r>
              <w:rPr>
                <w:lang w:val="en-US"/>
              </w:rPr>
              <w:tab/>
            </w:r>
            <w:r>
              <w:rPr>
                <w:lang w:val="en-US"/>
              </w:rPr>
              <w:tab/>
            </w:r>
            <w:r>
              <w:rPr>
                <w:lang w:val="en-US"/>
              </w:rPr>
              <w:tab/>
              <w:t xml:space="preserve">25 kHz </w:t>
            </w:r>
          </w:p>
        </w:tc>
        <w:tc>
          <w:tcPr>
            <w:tcW w:w="3240" w:type="dxa"/>
          </w:tcPr>
          <w:p w:rsidR="003577F6" w:rsidRDefault="003577F6" w:rsidP="00095D1C">
            <w:pPr>
              <w:pStyle w:val="Tabletext"/>
              <w:jc w:val="center"/>
              <w:rPr>
                <w:lang w:val="en-US"/>
              </w:rPr>
            </w:pPr>
            <w:r>
              <w:rPr>
                <w:lang w:val="en-US"/>
              </w:rPr>
              <w:br/>
              <w:t>7.5</w:t>
            </w:r>
            <w:r>
              <w:rPr>
                <w:lang w:val="en-US"/>
              </w:rPr>
              <w:br/>
              <w:t>12</w:t>
            </w:r>
            <w:r>
              <w:rPr>
                <w:lang w:val="en-US"/>
              </w:rPr>
              <w:br/>
              <w:t>12</w:t>
            </w:r>
          </w:p>
        </w:tc>
        <w:tc>
          <w:tcPr>
            <w:tcW w:w="2891" w:type="dxa"/>
          </w:tcPr>
          <w:p w:rsidR="003577F6" w:rsidRDefault="003577F6" w:rsidP="00095D1C">
            <w:pPr>
              <w:pStyle w:val="Tabletext"/>
              <w:jc w:val="center"/>
              <w:rPr>
                <w:lang w:val="en-US"/>
              </w:rPr>
            </w:pPr>
            <w:r>
              <w:rPr>
                <w:lang w:val="en-US"/>
              </w:rPr>
              <w:br/>
              <w:t>Linear (or log) average</w:t>
            </w:r>
            <w:r>
              <w:rPr>
                <w:lang w:val="en-US"/>
              </w:rPr>
              <w:br/>
              <w:t>Linear (or log) average</w:t>
            </w:r>
            <w:r>
              <w:rPr>
                <w:lang w:val="en-US"/>
              </w:rPr>
              <w:br/>
              <w:t>Linear (or log) average</w:t>
            </w:r>
          </w:p>
        </w:tc>
      </w:tr>
      <w:tr w:rsidR="003577F6" w:rsidRPr="00CC7627" w:rsidTr="007B3C84">
        <w:trPr>
          <w:jc w:val="center"/>
        </w:trPr>
        <w:tc>
          <w:tcPr>
            <w:tcW w:w="9639" w:type="dxa"/>
            <w:gridSpan w:val="3"/>
            <w:tcBorders>
              <w:left w:val="nil"/>
              <w:bottom w:val="nil"/>
              <w:right w:val="nil"/>
            </w:tcBorders>
          </w:tcPr>
          <w:p w:rsidR="003577F6" w:rsidRDefault="003577F6" w:rsidP="00095D1C">
            <w:pPr>
              <w:pStyle w:val="Tablelegend"/>
              <w:rPr>
                <w:lang w:val="en-US"/>
              </w:rPr>
            </w:pPr>
            <w:r>
              <w:rPr>
                <w:lang w:val="en-US"/>
              </w:rPr>
              <w:t>GSM:</w:t>
            </w:r>
            <w:r>
              <w:rPr>
                <w:lang w:val="en-US"/>
              </w:rPr>
              <w:tab/>
            </w:r>
            <w:r>
              <w:rPr>
                <w:lang w:val="en-US"/>
              </w:rPr>
              <w:tab/>
              <w:t xml:space="preserve">Global System for </w:t>
            </w:r>
            <w:smartTag w:uri="urn:schemas-microsoft-com:office:smarttags" w:element="place">
              <w:r>
                <w:rPr>
                  <w:lang w:val="en-US"/>
                </w:rPr>
                <w:t>Mobile</w:t>
              </w:r>
            </w:smartTag>
            <w:r>
              <w:rPr>
                <w:lang w:val="en-US"/>
              </w:rPr>
              <w:t xml:space="preserve"> Communications</w:t>
            </w:r>
          </w:p>
          <w:p w:rsidR="003577F6" w:rsidRDefault="003577F6" w:rsidP="00095D1C">
            <w:pPr>
              <w:pStyle w:val="Tablelegend"/>
              <w:rPr>
                <w:lang w:val="en-US"/>
              </w:rPr>
            </w:pPr>
            <w:r>
              <w:rPr>
                <w:lang w:val="en-US"/>
              </w:rPr>
              <w:t>DAB:</w:t>
            </w:r>
            <w:r>
              <w:rPr>
                <w:lang w:val="en-US"/>
              </w:rPr>
              <w:tab/>
            </w:r>
            <w:r>
              <w:rPr>
                <w:lang w:val="en-US"/>
              </w:rPr>
              <w:tab/>
              <w:t>digital audio broadcasting</w:t>
            </w:r>
          </w:p>
          <w:p w:rsidR="003577F6" w:rsidRDefault="003577F6" w:rsidP="00095D1C">
            <w:pPr>
              <w:pStyle w:val="Tablelegend"/>
              <w:rPr>
                <w:lang w:val="en-US"/>
              </w:rPr>
            </w:pPr>
            <w:r>
              <w:rPr>
                <w:lang w:val="en-US"/>
              </w:rPr>
              <w:t>DVB-T:</w:t>
            </w:r>
            <w:r>
              <w:rPr>
                <w:lang w:val="en-US"/>
              </w:rPr>
              <w:tab/>
              <w:t>digital video broadcasting terrestrial</w:t>
            </w:r>
          </w:p>
          <w:p w:rsidR="003577F6" w:rsidRDefault="003577F6" w:rsidP="00095D1C">
            <w:pPr>
              <w:pStyle w:val="Tablelegend"/>
              <w:rPr>
                <w:lang w:val="en-US"/>
              </w:rPr>
            </w:pPr>
            <w:r>
              <w:rPr>
                <w:lang w:val="en-US"/>
              </w:rPr>
              <w:t>TETRA:</w:t>
            </w:r>
            <w:r>
              <w:rPr>
                <w:lang w:val="en-US"/>
              </w:rPr>
              <w:tab/>
              <w:t>terrestrial trunked radio</w:t>
            </w:r>
          </w:p>
          <w:p w:rsidR="003577F6" w:rsidRDefault="003577F6" w:rsidP="00095D1C">
            <w:pPr>
              <w:pStyle w:val="Tablelegend"/>
              <w:rPr>
                <w:lang w:val="en-US"/>
              </w:rPr>
            </w:pPr>
            <w:r>
              <w:rPr>
                <w:lang w:val="en-US"/>
              </w:rPr>
              <w:t>UMTS:</w:t>
            </w:r>
            <w:r>
              <w:rPr>
                <w:lang w:val="en-US"/>
              </w:rPr>
              <w:tab/>
              <w:t>Universal Mobile Telecommunication System, a specific technology within the IMT-2000 family</w:t>
            </w:r>
          </w:p>
        </w:tc>
      </w:tr>
    </w:tbl>
    <w:p w:rsidR="003577F6" w:rsidRDefault="003577F6" w:rsidP="003577F6">
      <w:pPr>
        <w:pStyle w:val="Tablefin"/>
      </w:pPr>
    </w:p>
    <w:p w:rsidR="003577F6" w:rsidRDefault="003577F6" w:rsidP="003577F6">
      <w:pPr>
        <w:pStyle w:val="Heading1"/>
        <w:rPr>
          <w:lang w:val="en-US"/>
        </w:rPr>
      </w:pPr>
      <w:bookmarkStart w:id="12" w:name="_Toc107036348"/>
      <w:r>
        <w:rPr>
          <w:lang w:val="en-US"/>
        </w:rPr>
        <w:t>6</w:t>
      </w:r>
      <w:r>
        <w:rPr>
          <w:lang w:val="en-US"/>
        </w:rPr>
        <w:tab/>
        <w:t>The vehicle speed</w:t>
      </w:r>
      <w:bookmarkEnd w:id="12"/>
    </w:p>
    <w:p w:rsidR="003577F6" w:rsidRDefault="003577F6" w:rsidP="003577F6">
      <w:pPr>
        <w:rPr>
          <w:lang w:val="en-US"/>
        </w:rPr>
      </w:pPr>
      <w:r>
        <w:rPr>
          <w:lang w:val="en-US"/>
        </w:rPr>
        <w:t>The vehicle speed (</w:t>
      </w:r>
      <w:r w:rsidRPr="0021080A">
        <w:rPr>
          <w:i/>
          <w:lang w:val="en-US"/>
        </w:rPr>
        <w:t>V</w:t>
      </w:r>
      <w:r>
        <w:rPr>
          <w:lang w:val="en-US"/>
        </w:rPr>
        <w:t>) must be appropriate for the wavelength the simultaneously measured number of the tested signals with different frequencies and the applicable shortest measuring time of the test receiver:</w:t>
      </w:r>
    </w:p>
    <w:p w:rsidR="00572316" w:rsidRDefault="00572316" w:rsidP="00572316">
      <w:pPr>
        <w:pStyle w:val="Blanc"/>
      </w:pPr>
    </w:p>
    <w:p w:rsidR="003577F6" w:rsidRDefault="003577F6" w:rsidP="003577F6">
      <w:pPr>
        <w:pStyle w:val="Equation"/>
      </w:pPr>
      <w:r>
        <w:rPr>
          <w:lang w:val="en-US"/>
        </w:rPr>
        <w:tab/>
      </w:r>
      <w:r>
        <w:rPr>
          <w:lang w:val="en-US"/>
        </w:rPr>
        <w:tab/>
      </w:r>
      <w:r w:rsidR="007B3C84" w:rsidRPr="0089641C">
        <w:rPr>
          <w:position w:val="-30"/>
        </w:rPr>
        <w:object w:dxaOrig="3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85pt;height:32.85pt" o:ole="">
            <v:imagedata r:id="rId13" o:title=""/>
          </v:shape>
          <o:OLEObject Type="Embed" ProgID="Equation.3" ShapeID="_x0000_i1025" DrawAspect="Content" ObjectID="_1629870075" r:id="rId14"/>
        </w:object>
      </w:r>
    </w:p>
    <w:p w:rsidR="00572316" w:rsidRDefault="00572316" w:rsidP="00572316">
      <w:pPr>
        <w:pStyle w:val="Blanc"/>
      </w:pPr>
    </w:p>
    <w:p w:rsidR="003577F6" w:rsidRDefault="003577F6" w:rsidP="003577F6">
      <w:pPr>
        <w:rPr>
          <w:lang w:val="en-US"/>
        </w:rPr>
      </w:pPr>
      <w:r>
        <w:rPr>
          <w:lang w:val="en-US"/>
        </w:rPr>
        <w:t xml:space="preserve">Where </w:t>
      </w:r>
      <w:r>
        <w:rPr>
          <w:i/>
          <w:iCs/>
          <w:lang w:val="en-US"/>
        </w:rPr>
        <w:t>t</w:t>
      </w:r>
      <w:r>
        <w:rPr>
          <w:i/>
          <w:iCs/>
          <w:vertAlign w:val="subscript"/>
          <w:lang w:val="en-US"/>
        </w:rPr>
        <w:t>r</w:t>
      </w:r>
      <w:r>
        <w:rPr>
          <w:lang w:val="en-US"/>
        </w:rPr>
        <w:t xml:space="preserve"> is the minimum time given by the receiver specifications to revisit a single frequency.</w:t>
      </w:r>
    </w:p>
    <w:p w:rsidR="003577F6" w:rsidRDefault="003577F6" w:rsidP="003577F6">
      <w:pPr>
        <w:pStyle w:val="Heading1"/>
        <w:rPr>
          <w:lang w:val="en-US"/>
        </w:rPr>
      </w:pPr>
      <w:bookmarkStart w:id="13" w:name="_Toc107036349"/>
      <w:r>
        <w:rPr>
          <w:lang w:val="en-US"/>
        </w:rPr>
        <w:t>7</w:t>
      </w:r>
      <w:r>
        <w:rPr>
          <w:lang w:val="en-US"/>
        </w:rPr>
        <w:tab/>
        <w:t>The necessary number of measuring points and the averaging interval</w:t>
      </w:r>
      <w:bookmarkEnd w:id="13"/>
    </w:p>
    <w:p w:rsidR="003577F6" w:rsidRDefault="003577F6" w:rsidP="003577F6">
      <w:pPr>
        <w:rPr>
          <w:lang w:val="en-US"/>
        </w:rPr>
      </w:pPr>
      <w:r>
        <w:rPr>
          <w:lang w:val="en-US"/>
        </w:rPr>
        <w:t>For statistical evaluation (Lee method)</w:t>
      </w:r>
      <w:r>
        <w:rPr>
          <w:rStyle w:val="FootnoteReference"/>
          <w:lang w:val="en-US"/>
        </w:rPr>
        <w:footnoteReference w:customMarkFollows="1" w:id="2"/>
        <w:t>*</w:t>
      </w:r>
      <w:r>
        <w:rPr>
          <w:lang w:val="en-US"/>
        </w:rPr>
        <w:t xml:space="preserve"> the number of sample points should be chosen in such a way that the results should display the process of slow changing in the field strength (effect of long</w:t>
      </w:r>
      <w:r>
        <w:rPr>
          <w:lang w:val="en-US"/>
        </w:rPr>
        <w:noBreakHyphen/>
        <w:t xml:space="preserve">term fading), and more or less, they should also reflect the local (instantaneous) individuality (effect of short-term fading) of the field-strength distribution. </w:t>
      </w:r>
    </w:p>
    <w:p w:rsidR="003577F6" w:rsidRDefault="003577F6" w:rsidP="003577F6">
      <w:pPr>
        <w:rPr>
          <w:lang w:val="en-US"/>
        </w:rPr>
      </w:pPr>
      <w:r>
        <w:rPr>
          <w:lang w:val="en-US"/>
        </w:rPr>
        <w:t>For obtaining 1 dB confidence interval around the real mean value, the samples of test points should be chosen at each 0.8 </w:t>
      </w:r>
      <w:r>
        <w:rPr>
          <w:szCs w:val="24"/>
        </w:rPr>
        <w:sym w:font="Symbol" w:char="F06C"/>
      </w:r>
      <w:r>
        <w:rPr>
          <w:lang w:val="en-US"/>
        </w:rPr>
        <w:t xml:space="preserve"> (wavelength), over 40 </w:t>
      </w:r>
      <w:r>
        <w:rPr>
          <w:szCs w:val="24"/>
        </w:rPr>
        <w:sym w:font="Symbol" w:char="F06C"/>
      </w:r>
      <w:r>
        <w:rPr>
          <w:lang w:val="en-US"/>
        </w:rPr>
        <w:t xml:space="preserve"> averaging interval (50 measured values within 40 wavelength).</w:t>
      </w:r>
    </w:p>
    <w:p w:rsidR="003577F6" w:rsidRDefault="003577F6" w:rsidP="003577F6">
      <w:pPr>
        <w:pStyle w:val="Heading1"/>
        <w:rPr>
          <w:lang w:val="en-US"/>
        </w:rPr>
      </w:pPr>
      <w:bookmarkStart w:id="14" w:name="_Toc107036350"/>
      <w:r>
        <w:rPr>
          <w:lang w:val="en-US"/>
        </w:rPr>
        <w:t>8</w:t>
      </w:r>
      <w:r>
        <w:rPr>
          <w:lang w:val="en-US"/>
        </w:rPr>
        <w:tab/>
        <w:t>Navigation and positioning systems</w:t>
      </w:r>
      <w:bookmarkEnd w:id="14"/>
    </w:p>
    <w:p w:rsidR="003577F6" w:rsidRDefault="003577F6" w:rsidP="003577F6">
      <w:pPr>
        <w:pStyle w:val="Heading2"/>
        <w:rPr>
          <w:lang w:val="en-US"/>
        </w:rPr>
      </w:pPr>
      <w:bookmarkStart w:id="15" w:name="_Toc107036351"/>
      <w:r>
        <w:rPr>
          <w:lang w:val="en-US"/>
        </w:rPr>
        <w:t>8.1</w:t>
      </w:r>
      <w:r>
        <w:rPr>
          <w:lang w:val="en-US"/>
        </w:rPr>
        <w:tab/>
        <w:t>Dead reckoning system</w:t>
      </w:r>
      <w:bookmarkEnd w:id="15"/>
    </w:p>
    <w:p w:rsidR="003577F6" w:rsidRDefault="003577F6" w:rsidP="003577F6">
      <w:pPr>
        <w:rPr>
          <w:lang w:val="en-US"/>
        </w:rPr>
      </w:pPr>
      <w:r>
        <w:rPr>
          <w:lang w:val="en-US"/>
        </w:rPr>
        <w:t>The distance from the starting point is reckoned with the help of a distance-to-pulse transducer attached to a non-motor driven wheel of the test vehicle, while the mechanical gyroscope provides the heading information. The location accuracy depends on the accuracy of the starting point registration and the distance covered by the test vehicle.</w:t>
      </w:r>
    </w:p>
    <w:p w:rsidR="003577F6" w:rsidRDefault="003577F6" w:rsidP="007B3C84">
      <w:pPr>
        <w:pStyle w:val="Heading2"/>
        <w:rPr>
          <w:lang w:val="en-US"/>
        </w:rPr>
      </w:pPr>
      <w:bookmarkStart w:id="16" w:name="_Toc107036352"/>
      <w:r>
        <w:rPr>
          <w:lang w:val="en-US"/>
        </w:rPr>
        <w:t>8.2</w:t>
      </w:r>
      <w:r>
        <w:rPr>
          <w:lang w:val="en-US"/>
        </w:rPr>
        <w:tab/>
        <w:t>Global positioning systems</w:t>
      </w:r>
      <w:bookmarkEnd w:id="16"/>
    </w:p>
    <w:p w:rsidR="003577F6" w:rsidRDefault="003577F6" w:rsidP="003577F6">
      <w:pPr>
        <w:rPr>
          <w:lang w:val="en-US"/>
        </w:rPr>
      </w:pPr>
      <w:r>
        <w:rPr>
          <w:lang w:val="en-US"/>
        </w:rPr>
        <w:t xml:space="preserve">Commercialized </w:t>
      </w:r>
      <w:r w:rsidR="007B3C84">
        <w:rPr>
          <w:lang w:val="en-US"/>
        </w:rPr>
        <w:t>Global positioning systems (</w:t>
      </w:r>
      <w:r>
        <w:rPr>
          <w:lang w:val="en-US"/>
        </w:rPr>
        <w:t>GPS</w:t>
      </w:r>
      <w:r w:rsidR="007B3C84">
        <w:rPr>
          <w:lang w:val="en-US"/>
        </w:rPr>
        <w:t>)</w:t>
      </w:r>
      <w:r>
        <w:rPr>
          <w:lang w:val="en-US"/>
        </w:rPr>
        <w:t xml:space="preserve"> in themselves can only give accurate position data from a few metres but do not operate accurately in tunnels, narrow streets or valleys. Nevertheless GPSs are the preferred method for positioning for field-strength measurements.</w:t>
      </w:r>
    </w:p>
    <w:p w:rsidR="003577F6" w:rsidRDefault="003577F6" w:rsidP="003577F6">
      <w:pPr>
        <w:rPr>
          <w:lang w:val="en-US"/>
        </w:rPr>
      </w:pPr>
      <w:r>
        <w:rPr>
          <w:lang w:val="en-US"/>
        </w:rPr>
        <w:t>The accuracy of standard GPS are quite sufficient when testing broadcasting coverage of a TV or radio station.</w:t>
      </w:r>
    </w:p>
    <w:p w:rsidR="003577F6" w:rsidRDefault="003577F6" w:rsidP="003577F6">
      <w:pPr>
        <w:rPr>
          <w:lang w:val="en-US"/>
        </w:rPr>
      </w:pPr>
      <w:r>
        <w:rPr>
          <w:lang w:val="en-US"/>
        </w:rPr>
        <w:t>Testing a digital micro-cell system in an urban area requires an accuracy of positioning information within several metres.</w:t>
      </w:r>
    </w:p>
    <w:p w:rsidR="003577F6" w:rsidRDefault="003577F6" w:rsidP="003577F6">
      <w:pPr>
        <w:pStyle w:val="Heading2"/>
        <w:rPr>
          <w:lang w:val="en-US"/>
        </w:rPr>
      </w:pPr>
      <w:bookmarkStart w:id="17" w:name="_Toc107036353"/>
      <w:r>
        <w:rPr>
          <w:lang w:val="en-US"/>
        </w:rPr>
        <w:t xml:space="preserve">8.3 </w:t>
      </w:r>
      <w:r>
        <w:rPr>
          <w:lang w:val="en-US"/>
        </w:rPr>
        <w:tab/>
        <w:t>Complex navigation system</w:t>
      </w:r>
      <w:bookmarkEnd w:id="17"/>
    </w:p>
    <w:p w:rsidR="003577F6" w:rsidRDefault="003577F6" w:rsidP="003577F6">
      <w:pPr>
        <w:rPr>
          <w:lang w:val="en-US"/>
        </w:rPr>
      </w:pPr>
      <w:r>
        <w:rPr>
          <w:lang w:val="en-US"/>
        </w:rPr>
        <w:t>This system is the combination of the above-mentioned systems. Without the need for manual operator intervention, these navigation systems continuously provide; position and time data, heading and waypoint information.</w:t>
      </w:r>
    </w:p>
    <w:p w:rsidR="003577F6" w:rsidRDefault="003577F6" w:rsidP="003577F6">
      <w:pPr>
        <w:pStyle w:val="Heading1"/>
        <w:rPr>
          <w:lang w:val="en-US"/>
        </w:rPr>
      </w:pPr>
      <w:bookmarkStart w:id="18" w:name="_Toc107036354"/>
      <w:r>
        <w:rPr>
          <w:lang w:val="en-US"/>
        </w:rPr>
        <w:t>9</w:t>
      </w:r>
      <w:r>
        <w:rPr>
          <w:lang w:val="en-US"/>
        </w:rPr>
        <w:tab/>
        <w:t>Data collection and processing</w:t>
      </w:r>
      <w:bookmarkEnd w:id="18"/>
    </w:p>
    <w:p w:rsidR="003577F6" w:rsidRDefault="003577F6" w:rsidP="003577F6">
      <w:pPr>
        <w:rPr>
          <w:lang w:val="en-US"/>
        </w:rPr>
      </w:pPr>
      <w:r>
        <w:rPr>
          <w:lang w:val="en-US"/>
        </w:rPr>
        <w:t>Either the average, maximum/minimum peak values, statistical evaluation or level exceeding probability of the results can be obtained by the following measuring and evaluation methods.</w:t>
      </w:r>
    </w:p>
    <w:p w:rsidR="003577F6" w:rsidRDefault="003577F6" w:rsidP="003577F6">
      <w:pPr>
        <w:pStyle w:val="Heading2"/>
        <w:rPr>
          <w:lang w:val="en-US"/>
        </w:rPr>
      </w:pPr>
      <w:bookmarkStart w:id="19" w:name="_Toc107036355"/>
      <w:r>
        <w:rPr>
          <w:lang w:val="en-US"/>
        </w:rPr>
        <w:t>9.1</w:t>
      </w:r>
      <w:r>
        <w:rPr>
          <w:lang w:val="en-US"/>
        </w:rPr>
        <w:tab/>
        <w:t>Measurement result collecting without data reduction (raw field-strength data)</w:t>
      </w:r>
      <w:bookmarkEnd w:id="19"/>
    </w:p>
    <w:p w:rsidR="003577F6" w:rsidRDefault="003577F6" w:rsidP="007B3C84">
      <w:pPr>
        <w:rPr>
          <w:lang w:val="en-US"/>
        </w:rPr>
      </w:pPr>
      <w:r>
        <w:rPr>
          <w:lang w:val="en-US"/>
        </w:rPr>
        <w:t xml:space="preserve">Due to the varying fading and reflection effects, a single test result is not reproducible, therefore cannot represent directly the field-strength value of a test point. The raw data can be further processed as desired (see </w:t>
      </w:r>
      <w:r w:rsidR="007B3C84">
        <w:rPr>
          <w:lang w:val="en-US"/>
        </w:rPr>
        <w:t>§</w:t>
      </w:r>
      <w:r>
        <w:rPr>
          <w:lang w:val="en-US"/>
        </w:rPr>
        <w:t>§ 9.2.1 and 9.2.2).</w:t>
      </w:r>
    </w:p>
    <w:p w:rsidR="003577F6" w:rsidRDefault="003577F6" w:rsidP="003577F6">
      <w:pPr>
        <w:pStyle w:val="Heading2"/>
        <w:rPr>
          <w:lang w:val="en-US"/>
        </w:rPr>
      </w:pPr>
      <w:bookmarkStart w:id="20" w:name="_Toc107036356"/>
      <w:r>
        <w:rPr>
          <w:lang w:val="en-US"/>
        </w:rPr>
        <w:t>9.2</w:t>
      </w:r>
      <w:r>
        <w:rPr>
          <w:lang w:val="en-US"/>
        </w:rPr>
        <w:tab/>
        <w:t>Measurement result collecting with data reduction</w:t>
      </w:r>
      <w:bookmarkEnd w:id="20"/>
    </w:p>
    <w:p w:rsidR="003577F6" w:rsidRDefault="003577F6" w:rsidP="003577F6">
      <w:pPr>
        <w:rPr>
          <w:lang w:val="en-US"/>
        </w:rPr>
      </w:pPr>
      <w:r>
        <w:rPr>
          <w:lang w:val="en-US"/>
        </w:rPr>
        <w:t>By means of statistical processing, this method allows the amount of registered raw data to be reduced considerably.</w:t>
      </w:r>
    </w:p>
    <w:p w:rsidR="003577F6" w:rsidRDefault="003577F6" w:rsidP="003577F6">
      <w:pPr>
        <w:pStyle w:val="Heading3"/>
        <w:rPr>
          <w:lang w:val="en-US"/>
        </w:rPr>
      </w:pPr>
      <w:r>
        <w:rPr>
          <w:lang w:val="en-US"/>
        </w:rPr>
        <w:t>9.2.1</w:t>
      </w:r>
      <w:r>
        <w:rPr>
          <w:lang w:val="en-US"/>
        </w:rPr>
        <w:tab/>
        <w:t>Averaged values</w:t>
      </w:r>
    </w:p>
    <w:p w:rsidR="003577F6" w:rsidRDefault="003577F6" w:rsidP="003577F6">
      <w:pPr>
        <w:rPr>
          <w:lang w:val="en-US"/>
        </w:rPr>
      </w:pPr>
      <w:r>
        <w:rPr>
          <w:lang w:val="en-US"/>
        </w:rPr>
        <w:t>Some of the test receivers are able to perform internal classification of test results over predefined user intervals. The user can select the evaluation intervals of up to some 10 000 measured samples, but each interval must contain at least 100 values.</w:t>
      </w:r>
    </w:p>
    <w:p w:rsidR="003577F6" w:rsidRDefault="003577F6" w:rsidP="003577F6">
      <w:pPr>
        <w:rPr>
          <w:lang w:val="en-US"/>
        </w:rPr>
      </w:pPr>
      <w:r>
        <w:rPr>
          <w:lang w:val="en-US"/>
        </w:rPr>
        <w:t>Only the arithmetic averaged values of the predefined number of test results are stored onto the hard disk and are indicated on the final map of radio coverage.</w:t>
      </w:r>
    </w:p>
    <w:p w:rsidR="003577F6" w:rsidRDefault="003577F6" w:rsidP="003577F6">
      <w:pPr>
        <w:pStyle w:val="Heading3"/>
        <w:rPr>
          <w:lang w:val="en-US"/>
        </w:rPr>
      </w:pPr>
      <w:r>
        <w:rPr>
          <w:lang w:val="en-US"/>
        </w:rPr>
        <w:t>9.2.2</w:t>
      </w:r>
      <w:r>
        <w:rPr>
          <w:lang w:val="en-US"/>
        </w:rPr>
        <w:tab/>
        <w:t>Classification of results according to level exceeding probability</w:t>
      </w:r>
    </w:p>
    <w:p w:rsidR="003577F6" w:rsidRDefault="003577F6" w:rsidP="003577F6">
      <w:pPr>
        <w:rPr>
          <w:lang w:val="en-US"/>
        </w:rPr>
      </w:pPr>
      <w:r>
        <w:rPr>
          <w:lang w:val="en-US"/>
        </w:rPr>
        <w:t>During measurements the results are classified according to exceeding probability, between 1</w:t>
      </w:r>
      <w:r>
        <w:rPr>
          <w:lang w:val="en-US"/>
        </w:rPr>
        <w:noBreakHyphen/>
        <w:t>99%. These percentage values represent the probability of overstepping for the applicable field-strength level. Their typical values are 1, 10, 50, 90 and 99%. The median value, 50% is preferred for propagation studies.</w:t>
      </w:r>
    </w:p>
    <w:p w:rsidR="003577F6" w:rsidRDefault="003577F6" w:rsidP="003577F6">
      <w:pPr>
        <w:rPr>
          <w:lang w:val="en-US"/>
        </w:rPr>
      </w:pPr>
      <w:r>
        <w:rPr>
          <w:lang w:val="en-US"/>
        </w:rPr>
        <w:t>It deserves attention that receivers require some milliseconds for the evaluation of the classification, so during this time the trigger pulses are ignored, therefore no new measurements are obtained.</w:t>
      </w:r>
    </w:p>
    <w:p w:rsidR="003577F6" w:rsidRDefault="003577F6" w:rsidP="003577F6">
      <w:pPr>
        <w:pStyle w:val="Heading1"/>
        <w:rPr>
          <w:lang w:val="en-US"/>
        </w:rPr>
      </w:pPr>
      <w:bookmarkStart w:id="21" w:name="_Toc107036357"/>
      <w:r>
        <w:rPr>
          <w:lang w:val="en-US"/>
        </w:rPr>
        <w:t>10</w:t>
      </w:r>
      <w:r>
        <w:rPr>
          <w:lang w:val="en-US"/>
        </w:rPr>
        <w:tab/>
        <w:t>Data presentation</w:t>
      </w:r>
      <w:bookmarkEnd w:id="21"/>
    </w:p>
    <w:p w:rsidR="003577F6" w:rsidRDefault="003577F6" w:rsidP="003577F6">
      <w:pPr>
        <w:rPr>
          <w:lang w:val="en-US"/>
        </w:rPr>
      </w:pPr>
      <w:r>
        <w:rPr>
          <w:lang w:val="en-US"/>
        </w:rPr>
        <w:t>Using the process controller’s built-in monitor, colour monitor of an external PC, printer or plotter the following representations should be possible:</w:t>
      </w:r>
    </w:p>
    <w:p w:rsidR="003577F6" w:rsidRDefault="003577F6" w:rsidP="003577F6">
      <w:pPr>
        <w:pStyle w:val="Heading2"/>
        <w:rPr>
          <w:lang w:val="en-US"/>
        </w:rPr>
      </w:pPr>
      <w:bookmarkStart w:id="22" w:name="_Toc107036358"/>
      <w:r>
        <w:rPr>
          <w:lang w:val="en-US"/>
        </w:rPr>
        <w:t>10.1</w:t>
      </w:r>
      <w:r>
        <w:rPr>
          <w:lang w:val="en-US"/>
        </w:rPr>
        <w:tab/>
        <w:t>Representation of raw data in tabular form</w:t>
      </w:r>
      <w:bookmarkEnd w:id="22"/>
    </w:p>
    <w:p w:rsidR="003577F6" w:rsidRDefault="003577F6" w:rsidP="007B3C84">
      <w:pPr>
        <w:tabs>
          <w:tab w:val="clear" w:pos="794"/>
          <w:tab w:val="clear" w:pos="1191"/>
          <w:tab w:val="clear" w:pos="1985"/>
        </w:tabs>
        <w:ind w:left="1588" w:hanging="1588"/>
        <w:rPr>
          <w:lang w:val="en-US"/>
        </w:rPr>
      </w:pPr>
      <w:r>
        <w:rPr>
          <w:lang w:val="en-US"/>
        </w:rPr>
        <w:t xml:space="preserve">Advantage: </w:t>
      </w:r>
      <w:r>
        <w:rPr>
          <w:lang w:val="en-US"/>
        </w:rPr>
        <w:tab/>
        <w:t>Gives detailed information about local fading effects. The results can be converted into any kind of easy to view results by mathematical or statistical process.</w:t>
      </w:r>
    </w:p>
    <w:p w:rsidR="003577F6" w:rsidRDefault="003577F6" w:rsidP="007B3C84">
      <w:pPr>
        <w:tabs>
          <w:tab w:val="clear" w:pos="794"/>
          <w:tab w:val="clear" w:pos="1191"/>
          <w:tab w:val="clear" w:pos="1985"/>
        </w:tabs>
        <w:ind w:left="1588" w:hanging="1588"/>
        <w:rPr>
          <w:lang w:val="en-US"/>
        </w:rPr>
      </w:pPr>
      <w:r>
        <w:rPr>
          <w:lang w:val="en-US"/>
        </w:rPr>
        <w:t xml:space="preserve">Disadvantage: </w:t>
      </w:r>
      <w:r>
        <w:rPr>
          <w:lang w:val="en-US"/>
        </w:rPr>
        <w:tab/>
        <w:t>Too much volume of data. The individual results are unrepeatable.</w:t>
      </w:r>
    </w:p>
    <w:p w:rsidR="003577F6" w:rsidRDefault="003577F6" w:rsidP="003577F6">
      <w:pPr>
        <w:pStyle w:val="Heading2"/>
        <w:rPr>
          <w:lang w:val="en-US"/>
        </w:rPr>
      </w:pPr>
      <w:bookmarkStart w:id="23" w:name="_Toc107036359"/>
      <w:r>
        <w:rPr>
          <w:lang w:val="en-US"/>
        </w:rPr>
        <w:t>10.2</w:t>
      </w:r>
      <w:r>
        <w:rPr>
          <w:lang w:val="en-US"/>
        </w:rPr>
        <w:tab/>
        <w:t>Plotting in Cartesian coordinates</w:t>
      </w:r>
      <w:bookmarkEnd w:id="23"/>
    </w:p>
    <w:p w:rsidR="003577F6" w:rsidRDefault="003577F6" w:rsidP="003577F6">
      <w:pPr>
        <w:rPr>
          <w:lang w:val="en-US"/>
        </w:rPr>
      </w:pPr>
      <w:r>
        <w:rPr>
          <w:lang w:val="en-US"/>
        </w:rPr>
        <w:t>Graphical representation of processed field-strength data is plotted in Cartesian coordinates versus distance with indications of these calculated median values.</w:t>
      </w:r>
      <w:r>
        <w:rPr>
          <w:lang w:val="en-US"/>
        </w:rPr>
        <w:tab/>
      </w:r>
    </w:p>
    <w:p w:rsidR="003577F6" w:rsidRDefault="003577F6" w:rsidP="007B3C84">
      <w:pPr>
        <w:tabs>
          <w:tab w:val="clear" w:pos="794"/>
          <w:tab w:val="clear" w:pos="1191"/>
          <w:tab w:val="clear" w:pos="1985"/>
        </w:tabs>
        <w:ind w:left="1588" w:hanging="1588"/>
        <w:rPr>
          <w:lang w:val="en-US"/>
        </w:rPr>
      </w:pPr>
      <w:r>
        <w:rPr>
          <w:lang w:val="en-US"/>
        </w:rPr>
        <w:t xml:space="preserve">Advantage: </w:t>
      </w:r>
      <w:r>
        <w:rPr>
          <w:lang w:val="en-US"/>
        </w:rPr>
        <w:tab/>
        <w:t>It gives a fast, easy to view result about distribution and locations below a given threshold level of the field strength.</w:t>
      </w:r>
    </w:p>
    <w:p w:rsidR="003577F6" w:rsidRDefault="003577F6" w:rsidP="007B3C84">
      <w:pPr>
        <w:tabs>
          <w:tab w:val="clear" w:pos="794"/>
          <w:tab w:val="clear" w:pos="1191"/>
          <w:tab w:val="clear" w:pos="1985"/>
        </w:tabs>
        <w:ind w:left="1588" w:hanging="1588"/>
        <w:rPr>
          <w:lang w:val="en-US"/>
        </w:rPr>
      </w:pPr>
      <w:r>
        <w:rPr>
          <w:lang w:val="en-US"/>
        </w:rPr>
        <w:t xml:space="preserve">Disadvantage: </w:t>
      </w:r>
      <w:r>
        <w:rPr>
          <w:lang w:val="en-US"/>
        </w:rPr>
        <w:tab/>
        <w:t>It is difficult to relate the results to the exact places of the measurements.</w:t>
      </w:r>
    </w:p>
    <w:p w:rsidR="003577F6" w:rsidRDefault="003577F6" w:rsidP="003577F6">
      <w:pPr>
        <w:pStyle w:val="Heading2"/>
        <w:rPr>
          <w:lang w:val="en-US"/>
        </w:rPr>
      </w:pPr>
      <w:bookmarkStart w:id="24" w:name="_Toc107036360"/>
      <w:r>
        <w:rPr>
          <w:lang w:val="en-US"/>
        </w:rPr>
        <w:t>10.3</w:t>
      </w:r>
      <w:r>
        <w:rPr>
          <w:lang w:val="en-US"/>
        </w:rPr>
        <w:tab/>
        <w:t>Mapping</w:t>
      </w:r>
      <w:bookmarkEnd w:id="24"/>
    </w:p>
    <w:p w:rsidR="003577F6" w:rsidRDefault="003577F6" w:rsidP="003577F6">
      <w:pPr>
        <w:rPr>
          <w:lang w:val="en-US"/>
        </w:rPr>
      </w:pPr>
      <w:r>
        <w:rPr>
          <w:lang w:val="en-US"/>
        </w:rPr>
        <w:t>A multicoloured line is displayed to represent the processed field-strength levels (e.g. with 10 dB(</w:t>
      </w:r>
      <w:r>
        <w:rPr>
          <w:szCs w:val="24"/>
        </w:rPr>
        <w:sym w:font="Symbol" w:char="F06D"/>
      </w:r>
      <w:r>
        <w:rPr>
          <w:lang w:val="en-US"/>
        </w:rPr>
        <w:t>V/m) scale) or the level exceeding probabilities (between 1 and 99%) on the road map.</w:t>
      </w:r>
    </w:p>
    <w:p w:rsidR="003577F6" w:rsidRDefault="003577F6" w:rsidP="003577F6">
      <w:pPr>
        <w:rPr>
          <w:lang w:val="en-US"/>
        </w:rPr>
      </w:pPr>
      <w:r>
        <w:rPr>
          <w:lang w:val="en-US"/>
        </w:rPr>
        <w:t>The scale of the selected map should correspond to the size of the area covered by the radio signal under investigation and the required resolution of processed field-strength results. Due to the scale of the map, the represented intervals can include the multiples of the averaged intervals. The resolution of the presented result should be chosen in such a way that it can plot local peculiarities without the coloured line being too colourful.</w:t>
      </w:r>
    </w:p>
    <w:p w:rsidR="003577F6" w:rsidRDefault="003577F6" w:rsidP="003577F6">
      <w:pPr>
        <w:rPr>
          <w:lang w:val="en-US"/>
        </w:rPr>
      </w:pPr>
      <w:r>
        <w:rPr>
          <w:lang w:val="en-US"/>
        </w:rPr>
        <w:t>If there is a need to represent the averaged intervals with higher resolution (e.g. when representing results in microcells), the system should be able to zoom the map at disposal.</w:t>
      </w:r>
    </w:p>
    <w:p w:rsidR="003577F6" w:rsidRDefault="003577F6" w:rsidP="003577F6">
      <w:pPr>
        <w:rPr>
          <w:lang w:val="en-US"/>
        </w:rPr>
      </w:pPr>
      <w:r>
        <w:rPr>
          <w:lang w:val="en-US"/>
        </w:rPr>
        <w:t>If during the measurements two data series are registered simultaneously (e.g. field strength and BER) it is expedient to represent them together, by two parallel coloured lines along the plotted roads of the map.</w:t>
      </w:r>
    </w:p>
    <w:p w:rsidR="003577F6" w:rsidRDefault="003577F6" w:rsidP="007B3C84">
      <w:pPr>
        <w:tabs>
          <w:tab w:val="clear" w:pos="794"/>
          <w:tab w:val="clear" w:pos="1191"/>
          <w:tab w:val="clear" w:pos="1985"/>
        </w:tabs>
        <w:ind w:left="1588" w:hanging="1588"/>
        <w:rPr>
          <w:lang w:val="en-US"/>
        </w:rPr>
      </w:pPr>
      <w:r>
        <w:rPr>
          <w:lang w:val="en-US"/>
        </w:rPr>
        <w:t xml:space="preserve">Advantage: </w:t>
      </w:r>
      <w:r>
        <w:rPr>
          <w:lang w:val="en-US"/>
        </w:rPr>
        <w:tab/>
        <w:t>The test results can be joined to exact spot of measurements. It gives fast, easy to view results about distribution and getting to below a given threshold level of the field strength.</w:t>
      </w:r>
    </w:p>
    <w:p w:rsidR="003577F6" w:rsidRDefault="003577F6" w:rsidP="007B3C84">
      <w:pPr>
        <w:tabs>
          <w:tab w:val="clear" w:pos="794"/>
          <w:tab w:val="clear" w:pos="1191"/>
          <w:tab w:val="clear" w:pos="1985"/>
        </w:tabs>
        <w:ind w:left="1588" w:hanging="1588"/>
        <w:rPr>
          <w:lang w:val="en-US"/>
        </w:rPr>
      </w:pPr>
      <w:r>
        <w:rPr>
          <w:lang w:val="en-US"/>
        </w:rPr>
        <w:t xml:space="preserve">Disadvantage: </w:t>
      </w:r>
      <w:r>
        <w:rPr>
          <w:lang w:val="en-US"/>
        </w:rPr>
        <w:tab/>
        <w:t>The resolution of the plotted interval can be greater than the processed interval. Therefore it can gloss over the local characteristics of field strength.</w:t>
      </w:r>
    </w:p>
    <w:p w:rsidR="003577F6" w:rsidRDefault="003577F6" w:rsidP="003577F6">
      <w:pPr>
        <w:rPr>
          <w:lang w:val="en-US"/>
        </w:rPr>
      </w:pPr>
    </w:p>
    <w:p w:rsidR="003577F6" w:rsidRDefault="003577F6" w:rsidP="003577F6">
      <w:pPr>
        <w:rPr>
          <w:lang w:val="en-US"/>
        </w:rPr>
      </w:pPr>
    </w:p>
    <w:p w:rsidR="003577F6" w:rsidRPr="003577F6" w:rsidRDefault="003577F6" w:rsidP="003577F6">
      <w:pPr>
        <w:pStyle w:val="Line"/>
      </w:pPr>
    </w:p>
    <w:sectPr w:rsidR="003577F6" w:rsidRPr="003577F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848" w:rsidRDefault="00870848">
      <w:r>
        <w:separator/>
      </w:r>
    </w:p>
  </w:footnote>
  <w:footnote w:type="continuationSeparator" w:id="0">
    <w:p w:rsidR="00870848" w:rsidRDefault="00870848">
      <w:r>
        <w:continuationSeparator/>
      </w:r>
    </w:p>
  </w:footnote>
  <w:footnote w:id="1">
    <w:p w:rsidR="008622C0" w:rsidRPr="00CC7627" w:rsidRDefault="008622C0" w:rsidP="008622C0">
      <w:pPr>
        <w:pStyle w:val="FootnoteText"/>
        <w:rPr>
          <w:lang w:val="en-GB"/>
        </w:rPr>
      </w:pPr>
      <w:r w:rsidRPr="00CC7627">
        <w:rPr>
          <w:rStyle w:val="FootnoteReference"/>
          <w:lang w:val="en-GB"/>
        </w:rPr>
        <w:t>*</w:t>
      </w:r>
      <w:r w:rsidRPr="00CC7627">
        <w:rPr>
          <w:lang w:val="en-GB"/>
        </w:rPr>
        <w:t xml:space="preserve"> </w:t>
      </w:r>
      <w:r w:rsidRPr="00CC7627">
        <w:rPr>
          <w:lang w:val="en-GB"/>
        </w:rPr>
        <w:tab/>
      </w:r>
      <w:r w:rsidRPr="008622C0">
        <w:rPr>
          <w:lang w:val="en-US"/>
        </w:rPr>
        <w:t>Radiocommunication Study Group 1 made editorial amendments to this Recommendation in the year</w:t>
      </w:r>
      <w:r w:rsidR="00CC7627">
        <w:rPr>
          <w:lang w:val="en-US"/>
        </w:rPr>
        <w:t>s</w:t>
      </w:r>
      <w:r w:rsidRPr="008622C0">
        <w:rPr>
          <w:lang w:val="en-US"/>
        </w:rPr>
        <w:t xml:space="preserve"> 2018 </w:t>
      </w:r>
      <w:r w:rsidR="00CC7627">
        <w:rPr>
          <w:lang w:val="en-US"/>
        </w:rPr>
        <w:t xml:space="preserve">and 2019 </w:t>
      </w:r>
      <w:bookmarkStart w:id="3" w:name="_GoBack"/>
      <w:bookmarkEnd w:id="3"/>
      <w:r w:rsidRPr="008622C0">
        <w:rPr>
          <w:lang w:val="en-US"/>
        </w:rPr>
        <w:t>in accordance with Resolution ITU</w:t>
      </w:r>
      <w:r w:rsidRPr="008622C0">
        <w:rPr>
          <w:lang w:val="en-US"/>
        </w:rPr>
        <w:noBreakHyphen/>
        <w:t>R 1.</w:t>
      </w:r>
    </w:p>
  </w:footnote>
  <w:footnote w:id="2">
    <w:p w:rsidR="003577F6" w:rsidRPr="003577F6" w:rsidRDefault="003577F6" w:rsidP="007B3C84">
      <w:pPr>
        <w:pStyle w:val="FootnoteText"/>
        <w:rPr>
          <w:lang w:val="en-US"/>
        </w:rPr>
      </w:pPr>
      <w:r>
        <w:rPr>
          <w:rStyle w:val="FootnoteReference"/>
          <w:lang w:val="en-US"/>
        </w:rPr>
        <w:t>*</w:t>
      </w:r>
      <w:r>
        <w:rPr>
          <w:lang w:val="en-US"/>
        </w:rPr>
        <w:t xml:space="preserve"> </w:t>
      </w:r>
      <w:r>
        <w:rPr>
          <w:lang w:val="en-US"/>
        </w:rPr>
        <w:tab/>
      </w:r>
      <w:r w:rsidRPr="009222AA">
        <w:rPr>
          <w:lang w:val="en-US"/>
        </w:rPr>
        <w:t xml:space="preserve">Mr William C.Y. Lee, </w:t>
      </w:r>
      <w:smartTag w:uri="urn:schemas-microsoft-com:office:smarttags" w:element="place">
        <w:r w:rsidRPr="009222AA">
          <w:rPr>
            <w:i/>
            <w:lang w:val="en-US"/>
          </w:rPr>
          <w:t>Mobile</w:t>
        </w:r>
      </w:smartTag>
      <w:r w:rsidRPr="009222AA">
        <w:rPr>
          <w:i/>
          <w:lang w:val="en-US"/>
        </w:rPr>
        <w:t xml:space="preserve"> communications design fundamentals</w:t>
      </w:r>
      <w:r w:rsidRPr="009222AA">
        <w:rPr>
          <w:lang w:val="en-US"/>
        </w:rPr>
        <w:t>, ISBN number: 0-471-57446-5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BA4F93"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245E3A">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53589F">
      <w:rPr>
        <w:rStyle w:val="PageNumber"/>
        <w:b/>
        <w:bCs/>
        <w:noProof/>
        <w:lang w:val="en-US"/>
      </w:rPr>
      <w:t>2</w:t>
    </w:r>
    <w:r>
      <w:rPr>
        <w:rStyle w:val="PageNumber"/>
        <w:b/>
        <w:bCs/>
      </w:rPr>
      <w:fldChar w:fldCharType="end"/>
    </w:r>
    <w:r w:rsidR="00601882">
      <w:rPr>
        <w:lang w:val="en-US"/>
      </w:rPr>
      <w:tab/>
    </w:r>
    <w:r w:rsidR="008622C0">
      <w:rPr>
        <w:b/>
        <w:bCs/>
        <w:lang w:val="en-US"/>
      </w:rPr>
      <w:fldChar w:fldCharType="begin"/>
    </w:r>
    <w:r w:rsidR="008622C0">
      <w:rPr>
        <w:b/>
        <w:bCs/>
        <w:lang w:val="en-US"/>
      </w:rPr>
      <w:instrText xml:space="preserve"> DOCPROPERTY "Header" \* MERGEFORMAT </w:instrText>
    </w:r>
    <w:r w:rsidR="008622C0">
      <w:rPr>
        <w:b/>
        <w:bCs/>
        <w:lang w:val="en-US"/>
      </w:rPr>
      <w:fldChar w:fldCharType="separate"/>
    </w:r>
    <w:r w:rsidR="0053589F">
      <w:rPr>
        <w:b/>
        <w:bCs/>
        <w:lang w:val="en-US"/>
      </w:rPr>
      <w:t xml:space="preserve">Rec. </w:t>
    </w:r>
    <w:r w:rsidR="008622C0">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53589F">
      <w:rPr>
        <w:b/>
        <w:bCs/>
        <w:noProof/>
        <w:lang w:val="en-US"/>
      </w:rPr>
      <w:t>ITU-R  SM.1708-1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pPr>
    <w:r>
      <w:tab/>
    </w:r>
    <w:r w:rsidR="008622C0">
      <w:rPr>
        <w:b/>
        <w:bCs/>
      </w:rPr>
      <w:fldChar w:fldCharType="begin"/>
    </w:r>
    <w:r w:rsidR="008622C0">
      <w:rPr>
        <w:b/>
        <w:bCs/>
      </w:rPr>
      <w:instrText xml:space="preserve"> DOCPROPERTY "Header" \* MERGEFORMAT </w:instrText>
    </w:r>
    <w:r w:rsidR="008622C0">
      <w:rPr>
        <w:b/>
        <w:bCs/>
      </w:rPr>
      <w:fldChar w:fldCharType="separate"/>
    </w:r>
    <w:r w:rsidR="0053589F">
      <w:rPr>
        <w:b/>
        <w:bCs/>
      </w:rPr>
      <w:t xml:space="preserve">Rec. </w:t>
    </w:r>
    <w:r w:rsidR="008622C0">
      <w:rPr>
        <w:b/>
        <w:bCs/>
      </w:rPr>
      <w:fldChar w:fldCharType="end"/>
    </w:r>
    <w:r>
      <w:rPr>
        <w:b/>
        <w:bCs/>
      </w:rPr>
      <w:t xml:space="preserve"> </w:t>
    </w:r>
    <w:r w:rsidR="00245E3A">
      <w:rPr>
        <w:b/>
        <w:bCs/>
      </w:rPr>
      <w:fldChar w:fldCharType="begin"/>
    </w:r>
    <w:r>
      <w:rPr>
        <w:b/>
        <w:bCs/>
      </w:rPr>
      <w:instrText>styleref href</w:instrText>
    </w:r>
    <w:r w:rsidR="00245E3A">
      <w:rPr>
        <w:b/>
        <w:bCs/>
      </w:rPr>
      <w:fldChar w:fldCharType="separate"/>
    </w:r>
    <w:r w:rsidR="0053589F">
      <w:rPr>
        <w:b/>
        <w:bCs/>
        <w:noProof/>
      </w:rPr>
      <w:t>ITU-R  SM.1708-1</w:t>
    </w:r>
    <w:r w:rsidR="00245E3A">
      <w:rPr>
        <w:b/>
        <w:bCs/>
      </w:rPr>
      <w:fldChar w:fldCharType="end"/>
    </w:r>
    <w:r>
      <w:tab/>
    </w:r>
    <w:r w:rsidR="00245E3A">
      <w:rPr>
        <w:rStyle w:val="PageNumber"/>
        <w:b/>
        <w:bCs/>
      </w:rPr>
      <w:fldChar w:fldCharType="begin"/>
    </w:r>
    <w:r>
      <w:rPr>
        <w:rStyle w:val="PageNumber"/>
        <w:b/>
        <w:bCs/>
      </w:rPr>
      <w:instrText xml:space="preserve"> PAGE </w:instrText>
    </w:r>
    <w:r w:rsidR="00245E3A">
      <w:rPr>
        <w:rStyle w:val="PageNumber"/>
        <w:b/>
        <w:bCs/>
      </w:rPr>
      <w:fldChar w:fldCharType="separate"/>
    </w:r>
    <w:r w:rsidR="0053589F">
      <w:rPr>
        <w:rStyle w:val="PageNumber"/>
        <w:b/>
        <w:bCs/>
        <w:noProof/>
      </w:rPr>
      <w:t>1</w:t>
    </w:r>
    <w:r w:rsidR="00245E3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664CC"/>
    <w:rsid w:val="00072484"/>
    <w:rsid w:val="00096612"/>
    <w:rsid w:val="000B7683"/>
    <w:rsid w:val="000D0677"/>
    <w:rsid w:val="000E6A6E"/>
    <w:rsid w:val="00102934"/>
    <w:rsid w:val="00147110"/>
    <w:rsid w:val="001511A6"/>
    <w:rsid w:val="002058CE"/>
    <w:rsid w:val="002165F1"/>
    <w:rsid w:val="00245E3A"/>
    <w:rsid w:val="00276D21"/>
    <w:rsid w:val="00296D7F"/>
    <w:rsid w:val="002B3CF6"/>
    <w:rsid w:val="002C768A"/>
    <w:rsid w:val="002D76C4"/>
    <w:rsid w:val="002F5199"/>
    <w:rsid w:val="00305A41"/>
    <w:rsid w:val="00356B5D"/>
    <w:rsid w:val="003577F6"/>
    <w:rsid w:val="00420DFD"/>
    <w:rsid w:val="00437A76"/>
    <w:rsid w:val="00470E28"/>
    <w:rsid w:val="004934C5"/>
    <w:rsid w:val="0053589F"/>
    <w:rsid w:val="00556548"/>
    <w:rsid w:val="00572316"/>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53CF4"/>
    <w:rsid w:val="007562DE"/>
    <w:rsid w:val="007565CC"/>
    <w:rsid w:val="00763B9A"/>
    <w:rsid w:val="007A6AA8"/>
    <w:rsid w:val="007B3C84"/>
    <w:rsid w:val="007D2B0E"/>
    <w:rsid w:val="008310C9"/>
    <w:rsid w:val="00853CC5"/>
    <w:rsid w:val="008622C0"/>
    <w:rsid w:val="00870848"/>
    <w:rsid w:val="008C7848"/>
    <w:rsid w:val="00906589"/>
    <w:rsid w:val="00906AD6"/>
    <w:rsid w:val="00910167"/>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B02A74"/>
    <w:rsid w:val="00B033C8"/>
    <w:rsid w:val="00B33425"/>
    <w:rsid w:val="00B44E24"/>
    <w:rsid w:val="00B54ECC"/>
    <w:rsid w:val="00B714F3"/>
    <w:rsid w:val="00B871C5"/>
    <w:rsid w:val="00B87B6B"/>
    <w:rsid w:val="00BA4F93"/>
    <w:rsid w:val="00BC5D77"/>
    <w:rsid w:val="00BF487A"/>
    <w:rsid w:val="00C46BD9"/>
    <w:rsid w:val="00C51744"/>
    <w:rsid w:val="00C55258"/>
    <w:rsid w:val="00C73560"/>
    <w:rsid w:val="00CB0F14"/>
    <w:rsid w:val="00CC7627"/>
    <w:rsid w:val="00CD659B"/>
    <w:rsid w:val="00CE0A43"/>
    <w:rsid w:val="00D83556"/>
    <w:rsid w:val="00DF4176"/>
    <w:rsid w:val="00E17240"/>
    <w:rsid w:val="00E74595"/>
    <w:rsid w:val="00EB7C57"/>
    <w:rsid w:val="00ED2695"/>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5361">
      <o:colormru v:ext="edit" colors="#d62a47"/>
      <o:colormenu v:ext="edit" strokecolor="#d62a47"/>
    </o:shapedefaults>
    <o:shapelayout v:ext="edit">
      <o:idmap v:ext="edit" data="1"/>
    </o:shapelayout>
  </w:shapeDefaults>
  <w:decimalSymbol w:val="."/>
  <w:listSeparator w:val=","/>
  <w14:docId w14:val="227B70E1"/>
  <w15:docId w15:val="{7FFC89C6-4FC8-4D89-A547-9D261210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2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3C84"/>
    <w:pPr>
      <w:keepNext/>
      <w:keepLines/>
      <w:spacing w:before="480"/>
      <w:ind w:left="794" w:hanging="794"/>
      <w:outlineLvl w:val="0"/>
    </w:pPr>
    <w:rPr>
      <w:b/>
    </w:rPr>
  </w:style>
  <w:style w:type="paragraph" w:styleId="Heading2">
    <w:name w:val="heading 2"/>
    <w:basedOn w:val="Heading1"/>
    <w:next w:val="Normal"/>
    <w:qFormat/>
    <w:rsid w:val="007B3C84"/>
    <w:pPr>
      <w:spacing w:before="320"/>
      <w:outlineLvl w:val="1"/>
    </w:pPr>
  </w:style>
  <w:style w:type="paragraph" w:styleId="Heading3">
    <w:name w:val="heading 3"/>
    <w:basedOn w:val="Heading1"/>
    <w:next w:val="Normal"/>
    <w:qFormat/>
    <w:rsid w:val="007B3C84"/>
    <w:pPr>
      <w:spacing w:before="200"/>
      <w:outlineLvl w:val="2"/>
    </w:pPr>
  </w:style>
  <w:style w:type="paragraph" w:styleId="Heading4">
    <w:name w:val="heading 4"/>
    <w:basedOn w:val="Heading3"/>
    <w:next w:val="Normal"/>
    <w:qFormat/>
    <w:rsid w:val="007B3C84"/>
    <w:pPr>
      <w:tabs>
        <w:tab w:val="clear" w:pos="794"/>
        <w:tab w:val="left" w:pos="992"/>
      </w:tabs>
      <w:ind w:left="992" w:hanging="992"/>
      <w:outlineLvl w:val="3"/>
    </w:pPr>
  </w:style>
  <w:style w:type="paragraph" w:styleId="Heading5">
    <w:name w:val="heading 5"/>
    <w:basedOn w:val="Heading4"/>
    <w:next w:val="Normal"/>
    <w:qFormat/>
    <w:rsid w:val="007B3C84"/>
    <w:pPr>
      <w:outlineLvl w:val="4"/>
    </w:pPr>
  </w:style>
  <w:style w:type="paragraph" w:styleId="Heading6">
    <w:name w:val="heading 6"/>
    <w:basedOn w:val="Heading4"/>
    <w:next w:val="Normal"/>
    <w:qFormat/>
    <w:rsid w:val="007B3C84"/>
    <w:pPr>
      <w:tabs>
        <w:tab w:val="clear" w:pos="992"/>
        <w:tab w:val="clear" w:pos="1191"/>
      </w:tabs>
      <w:ind w:left="1588" w:hanging="1588"/>
      <w:outlineLvl w:val="5"/>
    </w:pPr>
  </w:style>
  <w:style w:type="paragraph" w:styleId="Heading7">
    <w:name w:val="heading 7"/>
    <w:basedOn w:val="Heading6"/>
    <w:next w:val="Normal"/>
    <w:qFormat/>
    <w:rsid w:val="007B3C84"/>
    <w:pPr>
      <w:outlineLvl w:val="6"/>
    </w:pPr>
  </w:style>
  <w:style w:type="paragraph" w:styleId="Heading8">
    <w:name w:val="heading 8"/>
    <w:basedOn w:val="Heading6"/>
    <w:next w:val="Normal"/>
    <w:qFormat/>
    <w:rsid w:val="007B3C84"/>
    <w:pPr>
      <w:outlineLvl w:val="7"/>
    </w:pPr>
  </w:style>
  <w:style w:type="paragraph" w:styleId="Heading9">
    <w:name w:val="heading 9"/>
    <w:basedOn w:val="Heading6"/>
    <w:next w:val="Normal"/>
    <w:qFormat/>
    <w:rsid w:val="007B3C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3C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3C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3C84"/>
  </w:style>
  <w:style w:type="paragraph" w:customStyle="1" w:styleId="Headingb">
    <w:name w:val="Heading_b"/>
    <w:basedOn w:val="Heading3"/>
    <w:next w:val="Normal"/>
    <w:link w:val="HeadingbChar"/>
    <w:qFormat/>
    <w:rsid w:val="007B3C84"/>
    <w:pPr>
      <w:spacing w:before="160"/>
      <w:ind w:left="0" w:firstLine="0"/>
      <w:outlineLvl w:val="9"/>
    </w:pPr>
  </w:style>
  <w:style w:type="paragraph" w:customStyle="1" w:styleId="Headingi">
    <w:name w:val="Heading_i"/>
    <w:basedOn w:val="Heading3"/>
    <w:next w:val="Normal"/>
    <w:rsid w:val="007B3C84"/>
    <w:pPr>
      <w:spacing w:before="160"/>
      <w:ind w:left="0" w:firstLine="0"/>
    </w:pPr>
    <w:rPr>
      <w:b w:val="0"/>
      <w:i/>
    </w:rPr>
  </w:style>
  <w:style w:type="character" w:customStyle="1" w:styleId="href">
    <w:name w:val="href"/>
    <w:basedOn w:val="DefaultParagraphFont"/>
    <w:rsid w:val="007B3C84"/>
  </w:style>
  <w:style w:type="paragraph" w:customStyle="1" w:styleId="AnnexNoTitle">
    <w:name w:val="Annex_NoTitle"/>
    <w:basedOn w:val="Normal"/>
    <w:next w:val="Normalaftertitle"/>
    <w:rsid w:val="008622C0"/>
    <w:pPr>
      <w:keepNext/>
      <w:keepLines/>
      <w:spacing w:before="480" w:after="80"/>
      <w:jc w:val="center"/>
      <w:outlineLvl w:val="0"/>
    </w:pPr>
    <w:rPr>
      <w:b/>
      <w:sz w:val="28"/>
    </w:rPr>
  </w:style>
  <w:style w:type="paragraph" w:customStyle="1" w:styleId="Normalaftertitle">
    <w:name w:val="Normal_after_title"/>
    <w:basedOn w:val="Normal"/>
    <w:next w:val="Normal"/>
    <w:rsid w:val="007B3C84"/>
    <w:pPr>
      <w:spacing w:before="320"/>
    </w:pPr>
  </w:style>
  <w:style w:type="paragraph" w:customStyle="1" w:styleId="enumlev2">
    <w:name w:val="enumlev2"/>
    <w:basedOn w:val="enumlev1"/>
    <w:rsid w:val="007B3C84"/>
    <w:pPr>
      <w:ind w:left="1191" w:hanging="397"/>
    </w:pPr>
  </w:style>
  <w:style w:type="paragraph" w:customStyle="1" w:styleId="enumlev1">
    <w:name w:val="enumlev1"/>
    <w:basedOn w:val="Normal"/>
    <w:rsid w:val="007B3C84"/>
    <w:pPr>
      <w:spacing w:before="80"/>
      <w:ind w:left="794" w:hanging="794"/>
    </w:pPr>
  </w:style>
  <w:style w:type="paragraph" w:customStyle="1" w:styleId="enumlev3">
    <w:name w:val="enumlev3"/>
    <w:basedOn w:val="enumlev2"/>
    <w:rsid w:val="007B3C84"/>
    <w:pPr>
      <w:ind w:left="1588"/>
    </w:pPr>
  </w:style>
  <w:style w:type="paragraph" w:customStyle="1" w:styleId="Note">
    <w:name w:val="Note"/>
    <w:basedOn w:val="Normal"/>
    <w:rsid w:val="007B3C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3C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3C84"/>
    <w:pPr>
      <w:keepNext/>
      <w:keepLines/>
      <w:spacing w:before="240"/>
      <w:jc w:val="center"/>
    </w:pPr>
    <w:rPr>
      <w:b/>
      <w:sz w:val="28"/>
    </w:rPr>
  </w:style>
  <w:style w:type="paragraph" w:customStyle="1" w:styleId="Recref">
    <w:name w:val="Rec_ref"/>
    <w:basedOn w:val="Normal"/>
    <w:next w:val="Recdate"/>
    <w:rsid w:val="007B3C84"/>
    <w:pPr>
      <w:jc w:val="center"/>
    </w:pPr>
  </w:style>
  <w:style w:type="paragraph" w:customStyle="1" w:styleId="Recdate">
    <w:name w:val="Rec_date"/>
    <w:basedOn w:val="Recref"/>
    <w:next w:val="Normalaftertitle"/>
    <w:rsid w:val="007B3C84"/>
    <w:pPr>
      <w:jc w:val="right"/>
    </w:pPr>
  </w:style>
  <w:style w:type="paragraph" w:customStyle="1" w:styleId="HeadingSum">
    <w:name w:val="Heading_Sum"/>
    <w:basedOn w:val="Headingb"/>
    <w:next w:val="Normal"/>
    <w:rsid w:val="007B3C84"/>
    <w:pPr>
      <w:spacing w:before="240"/>
    </w:pPr>
    <w:rPr>
      <w:sz w:val="22"/>
      <w:lang w:val="es-ES_tradnl"/>
    </w:rPr>
  </w:style>
  <w:style w:type="paragraph" w:customStyle="1" w:styleId="AppendixNoTitle">
    <w:name w:val="Appendix_NoTitle"/>
    <w:basedOn w:val="AnnexNoTitle"/>
    <w:next w:val="Normal"/>
    <w:rsid w:val="007B3C84"/>
  </w:style>
  <w:style w:type="paragraph" w:customStyle="1" w:styleId="Tablefin">
    <w:name w:val="Table_fin"/>
    <w:basedOn w:val="Normal"/>
    <w:next w:val="Normal"/>
    <w:rsid w:val="007B3C84"/>
    <w:pPr>
      <w:spacing w:before="0"/>
    </w:pPr>
    <w:rPr>
      <w:sz w:val="20"/>
      <w:lang w:val="en-GB"/>
    </w:rPr>
  </w:style>
  <w:style w:type="paragraph" w:customStyle="1" w:styleId="Tablehead">
    <w:name w:val="Table_head"/>
    <w:basedOn w:val="Normal"/>
    <w:next w:val="Normal"/>
    <w:rsid w:val="007B3C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3C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3C84"/>
    <w:pPr>
      <w:keepNext/>
      <w:spacing w:before="360" w:after="120"/>
      <w:jc w:val="center"/>
    </w:pPr>
  </w:style>
  <w:style w:type="paragraph" w:customStyle="1" w:styleId="Tabletext">
    <w:name w:val="Table_text"/>
    <w:basedOn w:val="Normal"/>
    <w:rsid w:val="007B3C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3C84"/>
    <w:pPr>
      <w:tabs>
        <w:tab w:val="clear" w:pos="1191"/>
        <w:tab w:val="clear" w:pos="1588"/>
        <w:tab w:val="clear" w:pos="1985"/>
        <w:tab w:val="center" w:pos="4820"/>
        <w:tab w:val="right" w:pos="9639"/>
      </w:tabs>
    </w:pPr>
  </w:style>
  <w:style w:type="paragraph" w:customStyle="1" w:styleId="Equationlegend">
    <w:name w:val="Equation_legend"/>
    <w:basedOn w:val="NormalIndent"/>
    <w:rsid w:val="007B3C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3C84"/>
    <w:pPr>
      <w:ind w:left="794"/>
    </w:pPr>
  </w:style>
  <w:style w:type="paragraph" w:customStyle="1" w:styleId="Figurelegend">
    <w:name w:val="Figure_legend"/>
    <w:basedOn w:val="Normal"/>
    <w:rsid w:val="007B3C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3C84"/>
    <w:pPr>
      <w:keepNext/>
      <w:keepLines/>
      <w:spacing w:before="480" w:after="80"/>
      <w:jc w:val="center"/>
    </w:pPr>
    <w:rPr>
      <w:caps/>
      <w:sz w:val="18"/>
    </w:rPr>
  </w:style>
  <w:style w:type="paragraph" w:customStyle="1" w:styleId="Figuretitle">
    <w:name w:val="Figure_title"/>
    <w:basedOn w:val="Normal"/>
    <w:next w:val="Figure"/>
    <w:rsid w:val="007B3C84"/>
    <w:pPr>
      <w:keepNext/>
      <w:spacing w:before="0" w:after="120"/>
      <w:jc w:val="center"/>
    </w:pPr>
    <w:rPr>
      <w:rFonts w:ascii="Times New Roman Bold" w:hAnsi="Times New Roman Bold"/>
      <w:b/>
      <w:sz w:val="18"/>
    </w:rPr>
  </w:style>
  <w:style w:type="paragraph" w:customStyle="1" w:styleId="Figure">
    <w:name w:val="Figure"/>
    <w:basedOn w:val="FigureNo"/>
    <w:next w:val="Normal"/>
    <w:rsid w:val="007B3C84"/>
    <w:pPr>
      <w:keepNext w:val="0"/>
      <w:spacing w:before="0" w:after="240"/>
    </w:pPr>
  </w:style>
  <w:style w:type="paragraph" w:customStyle="1" w:styleId="tocpart">
    <w:name w:val="tocpart"/>
    <w:basedOn w:val="Normal"/>
    <w:rsid w:val="007B3C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3C84"/>
    <w:pPr>
      <w:keepNext/>
      <w:keepLines/>
      <w:spacing w:before="480"/>
      <w:jc w:val="center"/>
    </w:pPr>
    <w:rPr>
      <w:sz w:val="28"/>
    </w:rPr>
  </w:style>
  <w:style w:type="paragraph" w:customStyle="1" w:styleId="Arttitle">
    <w:name w:val="Art_title"/>
    <w:basedOn w:val="Normal"/>
    <w:next w:val="Normalaftertitle"/>
    <w:rsid w:val="007B3C84"/>
    <w:pPr>
      <w:keepNext/>
      <w:keepLines/>
      <w:spacing w:before="240"/>
      <w:jc w:val="center"/>
    </w:pPr>
    <w:rPr>
      <w:b/>
      <w:sz w:val="28"/>
    </w:rPr>
  </w:style>
  <w:style w:type="paragraph" w:customStyle="1" w:styleId="Blanc">
    <w:name w:val="Blanc"/>
    <w:basedOn w:val="Normal"/>
    <w:next w:val="Tabletext"/>
    <w:rsid w:val="007B3C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3C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3C84"/>
    <w:pPr>
      <w:keepNext/>
      <w:keepLines/>
      <w:spacing w:before="160"/>
      <w:ind w:left="794"/>
    </w:pPr>
    <w:rPr>
      <w:i/>
    </w:rPr>
  </w:style>
  <w:style w:type="paragraph" w:customStyle="1" w:styleId="ChapNo">
    <w:name w:val="Chap_No"/>
    <w:basedOn w:val="ArtNo"/>
    <w:next w:val="Chaptitle"/>
    <w:rsid w:val="007B3C84"/>
    <w:rPr>
      <w:b/>
    </w:rPr>
  </w:style>
  <w:style w:type="paragraph" w:customStyle="1" w:styleId="Chaptitle">
    <w:name w:val="Chap_title"/>
    <w:basedOn w:val="Arttitle"/>
    <w:next w:val="Normalaftertitle"/>
    <w:rsid w:val="007B3C84"/>
  </w:style>
  <w:style w:type="character" w:styleId="FootnoteReference">
    <w:name w:val="footnote reference"/>
    <w:basedOn w:val="DefaultParagraphFont"/>
    <w:rsid w:val="007B3C84"/>
    <w:rPr>
      <w:position w:val="6"/>
      <w:sz w:val="18"/>
    </w:rPr>
  </w:style>
  <w:style w:type="paragraph" w:styleId="FootnoteText">
    <w:name w:val="footnote text"/>
    <w:basedOn w:val="Normal"/>
    <w:link w:val="FootnoteTextChar"/>
    <w:rsid w:val="007B3C84"/>
    <w:pPr>
      <w:keepLines/>
      <w:tabs>
        <w:tab w:val="left" w:pos="255"/>
      </w:tabs>
      <w:ind w:left="255" w:hanging="255"/>
    </w:pPr>
    <w:rPr>
      <w:sz w:val="22"/>
    </w:rPr>
  </w:style>
  <w:style w:type="paragraph" w:styleId="Index1">
    <w:name w:val="index 1"/>
    <w:basedOn w:val="Normal"/>
    <w:next w:val="Normal"/>
    <w:semiHidden/>
    <w:rsid w:val="007B3C84"/>
  </w:style>
  <w:style w:type="paragraph" w:styleId="Index2">
    <w:name w:val="index 2"/>
    <w:basedOn w:val="Normal"/>
    <w:next w:val="Normal"/>
    <w:semiHidden/>
    <w:rsid w:val="007B3C84"/>
    <w:pPr>
      <w:ind w:left="283"/>
    </w:pPr>
  </w:style>
  <w:style w:type="paragraph" w:styleId="Index3">
    <w:name w:val="index 3"/>
    <w:basedOn w:val="Normal"/>
    <w:next w:val="Normal"/>
    <w:semiHidden/>
    <w:rsid w:val="007B3C84"/>
    <w:pPr>
      <w:ind w:left="566"/>
    </w:pPr>
  </w:style>
  <w:style w:type="paragraph" w:styleId="IndexHeading">
    <w:name w:val="index heading"/>
    <w:basedOn w:val="Normal"/>
    <w:next w:val="Index1"/>
    <w:semiHidden/>
    <w:rsid w:val="007B3C84"/>
  </w:style>
  <w:style w:type="paragraph" w:customStyle="1" w:styleId="Line">
    <w:name w:val="Line"/>
    <w:basedOn w:val="Normal"/>
    <w:next w:val="Normal"/>
    <w:rsid w:val="007B3C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3C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3C84"/>
  </w:style>
  <w:style w:type="paragraph" w:customStyle="1" w:styleId="Partref">
    <w:name w:val="Part_ref"/>
    <w:basedOn w:val="Normal"/>
    <w:next w:val="Normal"/>
    <w:rsid w:val="007B3C84"/>
    <w:pPr>
      <w:keepNext/>
      <w:keepLines/>
      <w:spacing w:after="280"/>
      <w:jc w:val="center"/>
    </w:pPr>
  </w:style>
  <w:style w:type="paragraph" w:customStyle="1" w:styleId="Parttitle">
    <w:name w:val="Part_title"/>
    <w:basedOn w:val="Normal"/>
    <w:next w:val="Normalaftertitle"/>
    <w:rsid w:val="007B3C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3C84"/>
  </w:style>
  <w:style w:type="paragraph" w:customStyle="1" w:styleId="QuestionNo">
    <w:name w:val="Question_No"/>
    <w:basedOn w:val="RecNo"/>
    <w:next w:val="Normal"/>
    <w:rsid w:val="007B3C84"/>
  </w:style>
  <w:style w:type="paragraph" w:customStyle="1" w:styleId="Questionref">
    <w:name w:val="Question_ref"/>
    <w:basedOn w:val="Recref"/>
    <w:next w:val="Questiondate"/>
    <w:rsid w:val="007B3C84"/>
  </w:style>
  <w:style w:type="paragraph" w:customStyle="1" w:styleId="Questiontitle">
    <w:name w:val="Question_title"/>
    <w:basedOn w:val="Normal"/>
    <w:next w:val="Questionref"/>
    <w:rsid w:val="007B3C84"/>
  </w:style>
  <w:style w:type="paragraph" w:customStyle="1" w:styleId="Reftext">
    <w:name w:val="Ref_text"/>
    <w:basedOn w:val="Normal"/>
    <w:rsid w:val="007B3C84"/>
    <w:pPr>
      <w:ind w:left="794" w:hanging="794"/>
    </w:pPr>
    <w:rPr>
      <w:sz w:val="22"/>
    </w:rPr>
  </w:style>
  <w:style w:type="paragraph" w:customStyle="1" w:styleId="Reftitle">
    <w:name w:val="Ref_title"/>
    <w:basedOn w:val="Normal"/>
    <w:next w:val="Reftext"/>
    <w:rsid w:val="007B3C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3C84"/>
  </w:style>
  <w:style w:type="paragraph" w:customStyle="1" w:styleId="RepNo">
    <w:name w:val="Rep_No"/>
    <w:basedOn w:val="RecNo"/>
    <w:next w:val="Reptitle"/>
    <w:rsid w:val="007B3C84"/>
  </w:style>
  <w:style w:type="paragraph" w:customStyle="1" w:styleId="Reptitle">
    <w:name w:val="Rep_title"/>
    <w:basedOn w:val="Rectitle"/>
    <w:next w:val="Repref"/>
    <w:rsid w:val="007B3C84"/>
  </w:style>
  <w:style w:type="paragraph" w:customStyle="1" w:styleId="Repref">
    <w:name w:val="Rep_ref"/>
    <w:basedOn w:val="Recref"/>
    <w:next w:val="Repdate"/>
    <w:rsid w:val="007B3C84"/>
  </w:style>
  <w:style w:type="paragraph" w:customStyle="1" w:styleId="Resdate">
    <w:name w:val="Res_date"/>
    <w:basedOn w:val="Recdate"/>
    <w:next w:val="Normalaftertitle"/>
    <w:rsid w:val="007B3C84"/>
  </w:style>
  <w:style w:type="paragraph" w:customStyle="1" w:styleId="ResNo">
    <w:name w:val="Res_No"/>
    <w:basedOn w:val="RecNo"/>
    <w:next w:val="Restitle"/>
    <w:rsid w:val="007B3C84"/>
  </w:style>
  <w:style w:type="paragraph" w:customStyle="1" w:styleId="Restitle">
    <w:name w:val="Res_title"/>
    <w:basedOn w:val="Normal"/>
    <w:next w:val="Resref"/>
    <w:rsid w:val="007B3C84"/>
    <w:pPr>
      <w:spacing w:before="240"/>
      <w:jc w:val="center"/>
    </w:pPr>
    <w:rPr>
      <w:b/>
      <w:sz w:val="28"/>
    </w:rPr>
  </w:style>
  <w:style w:type="paragraph" w:customStyle="1" w:styleId="Resref">
    <w:name w:val="Res_ref"/>
    <w:basedOn w:val="Recref"/>
    <w:next w:val="Resdate"/>
    <w:rsid w:val="007B3C84"/>
  </w:style>
  <w:style w:type="paragraph" w:customStyle="1" w:styleId="SectionNo">
    <w:name w:val="Section_No"/>
    <w:basedOn w:val="Normal"/>
    <w:next w:val="Normal"/>
    <w:rsid w:val="007B3C84"/>
  </w:style>
  <w:style w:type="paragraph" w:customStyle="1" w:styleId="Sectiontitle">
    <w:name w:val="Section_title"/>
    <w:basedOn w:val="Normal"/>
    <w:next w:val="Normalaftertitle"/>
    <w:rsid w:val="007B3C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3C84"/>
    <w:pPr>
      <w:tabs>
        <w:tab w:val="clear" w:pos="794"/>
        <w:tab w:val="clear" w:pos="1191"/>
        <w:tab w:val="clear" w:pos="1588"/>
        <w:tab w:val="clear" w:pos="1985"/>
        <w:tab w:val="right" w:pos="9611"/>
      </w:tabs>
    </w:pPr>
    <w:rPr>
      <w:i/>
    </w:rPr>
  </w:style>
  <w:style w:type="paragraph" w:styleId="TOC1">
    <w:name w:val="toc 1"/>
    <w:basedOn w:val="Normal"/>
    <w:semiHidden/>
    <w:rsid w:val="007B3C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3C84"/>
    <w:pPr>
      <w:tabs>
        <w:tab w:val="clear" w:pos="567"/>
        <w:tab w:val="left" w:pos="1276"/>
      </w:tabs>
      <w:spacing w:before="160"/>
      <w:ind w:left="1276" w:hanging="709"/>
    </w:pPr>
  </w:style>
  <w:style w:type="paragraph" w:styleId="TOC3">
    <w:name w:val="toc 3"/>
    <w:basedOn w:val="TOC2"/>
    <w:semiHidden/>
    <w:rsid w:val="007B3C84"/>
    <w:pPr>
      <w:tabs>
        <w:tab w:val="clear" w:pos="1276"/>
        <w:tab w:val="left" w:pos="2155"/>
      </w:tabs>
      <w:ind w:left="2155" w:hanging="879"/>
    </w:pPr>
  </w:style>
  <w:style w:type="paragraph" w:styleId="TOC4">
    <w:name w:val="toc 4"/>
    <w:basedOn w:val="TOC3"/>
    <w:semiHidden/>
    <w:rsid w:val="007B3C84"/>
    <w:pPr>
      <w:tabs>
        <w:tab w:val="left" w:pos="3261"/>
      </w:tabs>
      <w:spacing w:before="80"/>
      <w:ind w:left="3261" w:hanging="993"/>
    </w:pPr>
  </w:style>
  <w:style w:type="paragraph" w:styleId="TOC5">
    <w:name w:val="toc 5"/>
    <w:basedOn w:val="TOC4"/>
    <w:semiHidden/>
    <w:rsid w:val="007B3C84"/>
  </w:style>
  <w:style w:type="paragraph" w:styleId="TOC6">
    <w:name w:val="toc 6"/>
    <w:basedOn w:val="TOC4"/>
    <w:semiHidden/>
    <w:rsid w:val="007B3C84"/>
  </w:style>
  <w:style w:type="paragraph" w:styleId="TOC7">
    <w:name w:val="toc 7"/>
    <w:basedOn w:val="TOC4"/>
    <w:semiHidden/>
    <w:rsid w:val="007B3C84"/>
  </w:style>
  <w:style w:type="paragraph" w:styleId="TOC8">
    <w:name w:val="toc 8"/>
    <w:basedOn w:val="TOC4"/>
    <w:semiHidden/>
    <w:rsid w:val="007B3C84"/>
  </w:style>
  <w:style w:type="paragraph" w:customStyle="1" w:styleId="Annexref">
    <w:name w:val="Annex_ref"/>
    <w:basedOn w:val="Normal"/>
    <w:next w:val="Normalaftertitle"/>
    <w:rsid w:val="007B3C84"/>
    <w:pPr>
      <w:keepNext/>
      <w:keepLines/>
      <w:spacing w:after="280"/>
      <w:jc w:val="center"/>
    </w:pPr>
  </w:style>
  <w:style w:type="paragraph" w:customStyle="1" w:styleId="Appendixref">
    <w:name w:val="Appendix_ref"/>
    <w:basedOn w:val="Annexref"/>
    <w:next w:val="Normalaftertitle"/>
    <w:rsid w:val="007B3C84"/>
  </w:style>
  <w:style w:type="paragraph" w:customStyle="1" w:styleId="Tabletitle">
    <w:name w:val="Table_title"/>
    <w:basedOn w:val="Normal"/>
    <w:next w:val="Tablehead"/>
    <w:rsid w:val="007B3C84"/>
    <w:pPr>
      <w:keepNext/>
      <w:spacing w:before="0" w:after="120"/>
      <w:jc w:val="center"/>
    </w:pPr>
    <w:rPr>
      <w:b/>
    </w:rPr>
  </w:style>
  <w:style w:type="paragraph" w:customStyle="1" w:styleId="Summary">
    <w:name w:val="Summary"/>
    <w:basedOn w:val="Normal"/>
    <w:next w:val="Normalaftertitle"/>
    <w:rsid w:val="007B3C8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B3C84"/>
    <w:pPr>
      <w:ind w:left="-85" w:firstLine="0"/>
    </w:pPr>
    <w:rPr>
      <w:lang w:val="en-US"/>
    </w:rPr>
  </w:style>
  <w:style w:type="character" w:customStyle="1" w:styleId="FootnoteTextChar">
    <w:name w:val="Footnote Text Char"/>
    <w:basedOn w:val="DefaultParagraphFont"/>
    <w:link w:val="FootnoteText"/>
    <w:rsid w:val="007B3C84"/>
    <w:rPr>
      <w:sz w:val="22"/>
      <w:lang w:val="fr-FR" w:eastAsia="en-US"/>
    </w:rPr>
  </w:style>
  <w:style w:type="character" w:customStyle="1" w:styleId="HeadingbChar">
    <w:name w:val="Heading_b Char"/>
    <w:link w:val="Headingb"/>
    <w:locked/>
    <w:rsid w:val="00CC762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8</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RECOMMENDATION  ITU-R  SM.1708-1 - Field-strength measurements along a route with geographical coordinate registrations</vt:lpstr>
    </vt:vector>
  </TitlesOfParts>
  <Manager/>
  <Company>ITU</Company>
  <LinksUpToDate>false</LinksUpToDate>
  <CharactersWithSpaces>13898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SM.1708-1 - Field-strength measurements along a route with geographical coordinate registrations</dc:title>
  <dc:subject>SM Series = Spectrum management</dc:subject>
  <dc:creator>ITU Radiocommunication Bureau (BR)</dc:creator>
  <cp:keywords>SM,1708-1</cp:keywords>
  <dc:description>Santosbo, 28.06.2011, MSB106309</dc:description>
  <cp:lastModifiedBy>Gachet, Christelle</cp:lastModifiedBy>
  <cp:revision>13</cp:revision>
  <cp:lastPrinted>2019-09-13T06:50:00Z</cp:lastPrinted>
  <dcterms:created xsi:type="dcterms:W3CDTF">2011-06-28T12:43:00Z</dcterms:created>
  <dcterms:modified xsi:type="dcterms:W3CDTF">2019-09-13T06:51:00Z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