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327" w:rsidRPr="00575CB8" w:rsidRDefault="002B3327" w:rsidP="005D140F">
      <w:pPr>
        <w:rPr>
          <w:lang w:val="en-US"/>
        </w:rPr>
      </w:pPr>
      <w:bookmarkStart w:id="0" w:name="dbreak"/>
      <w:bookmarkEnd w:id="0"/>
    </w:p>
    <w:p w:rsidR="002B3327" w:rsidRDefault="002B3327" w:rsidP="005D140F"/>
    <w:p w:rsidR="002B3327" w:rsidRDefault="002B3327" w:rsidP="005D140F"/>
    <w:p w:rsidR="002B3327" w:rsidRDefault="002B3327" w:rsidP="005D140F"/>
    <w:p w:rsidR="002B3327" w:rsidRDefault="002B3327" w:rsidP="005D140F"/>
    <w:p w:rsidR="002B3327" w:rsidRDefault="002B3327" w:rsidP="005D140F"/>
    <w:p w:rsidR="002B3327" w:rsidRDefault="002B3327" w:rsidP="005D140F"/>
    <w:p w:rsidR="002B3327" w:rsidRDefault="002B3327" w:rsidP="005D140F"/>
    <w:p w:rsidR="002B3327" w:rsidRDefault="002B3327" w:rsidP="005D140F"/>
    <w:p w:rsidR="002B3327" w:rsidRDefault="002B3327" w:rsidP="005D140F"/>
    <w:p w:rsidR="002B3327" w:rsidRDefault="002B3327" w:rsidP="005D140F"/>
    <w:p w:rsidR="002B3327" w:rsidRDefault="002B3327" w:rsidP="005D140F"/>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2B3327" w:rsidRPr="002B3327" w:rsidTr="005D140F">
        <w:tc>
          <w:tcPr>
            <w:tcW w:w="10089" w:type="dxa"/>
          </w:tcPr>
          <w:p w:rsidR="002B3327" w:rsidRPr="0010336F" w:rsidRDefault="002B3327" w:rsidP="005D140F">
            <w:pPr>
              <w:spacing w:before="380" w:line="280" w:lineRule="exact"/>
              <w:jc w:val="right"/>
              <w:rPr>
                <w:rFonts w:ascii="Tahoma" w:hAnsi="Tahoma" w:cs="Tahoma"/>
                <w:b/>
                <w:bCs/>
                <w:iCs/>
                <w:color w:val="243285"/>
                <w:sz w:val="32"/>
                <w:szCs w:val="32"/>
                <w:lang w:val="en-US"/>
              </w:rPr>
            </w:pPr>
          </w:p>
          <w:p w:rsidR="002B3327" w:rsidRPr="0010336F" w:rsidRDefault="002B3327" w:rsidP="001311D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sidR="001311DD">
              <w:rPr>
                <w:rFonts w:ascii="Tahoma" w:hAnsi="Tahoma" w:cs="Tahoma"/>
                <w:b/>
                <w:bCs/>
                <w:iCs/>
                <w:color w:val="243285"/>
                <w:sz w:val="36"/>
                <w:szCs w:val="36"/>
                <w:lang w:val="es-ES_tradnl"/>
              </w:rPr>
              <w:t>1753-1</w:t>
            </w:r>
          </w:p>
          <w:p w:rsidR="002B3327" w:rsidRPr="0010336F" w:rsidRDefault="002B3327" w:rsidP="001311D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1311DD">
              <w:rPr>
                <w:rFonts w:ascii="Tahoma" w:hAnsi="Tahoma" w:cs="Tahoma"/>
                <w:b/>
                <w:bCs/>
                <w:iCs/>
                <w:color w:val="243285"/>
                <w:szCs w:val="24"/>
                <w:lang w:val="es-ES_tradnl"/>
              </w:rPr>
              <w:t>04</w:t>
            </w:r>
            <w:r w:rsidRPr="0010336F">
              <w:rPr>
                <w:rFonts w:ascii="Tahoma" w:hAnsi="Tahoma" w:cs="Tahoma"/>
                <w:b/>
                <w:bCs/>
                <w:iCs/>
                <w:color w:val="243285"/>
                <w:szCs w:val="24"/>
                <w:lang w:val="es-ES_tradnl"/>
              </w:rPr>
              <w:t>/</w:t>
            </w:r>
            <w:r w:rsidR="001311DD">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2B3327" w:rsidRPr="00151803" w:rsidTr="005D140F">
        <w:tc>
          <w:tcPr>
            <w:tcW w:w="10089" w:type="dxa"/>
          </w:tcPr>
          <w:p w:rsidR="002B3327" w:rsidRPr="0010336F" w:rsidRDefault="002B3327" w:rsidP="005D140F">
            <w:pPr>
              <w:spacing w:before="80" w:line="500" w:lineRule="exact"/>
              <w:jc w:val="right"/>
              <w:rPr>
                <w:rFonts w:ascii="Tahoma" w:hAnsi="Tahoma" w:cs="Tahoma"/>
                <w:b/>
                <w:bCs/>
                <w:iCs/>
                <w:color w:val="243285"/>
                <w:sz w:val="44"/>
                <w:szCs w:val="44"/>
                <w:lang w:val="es-ES_tradnl"/>
              </w:rPr>
            </w:pPr>
          </w:p>
          <w:p w:rsidR="002B3327" w:rsidRDefault="001311DD" w:rsidP="001311DD">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 xml:space="preserve">Métodos para medir el </w:t>
            </w:r>
            <w:r>
              <w:rPr>
                <w:rFonts w:ascii="Tahoma" w:hAnsi="Tahoma" w:cs="Tahoma"/>
                <w:b/>
                <w:bCs/>
                <w:color w:val="243285"/>
                <w:sz w:val="44"/>
                <w:szCs w:val="44"/>
                <w:lang w:val="es-ES_tradnl"/>
              </w:rPr>
              <w:br/>
              <w:t>ruido radioeléctrico</w:t>
            </w:r>
          </w:p>
          <w:p w:rsidR="002B3327" w:rsidRPr="0010336F" w:rsidRDefault="002B3327" w:rsidP="005D140F">
            <w:pPr>
              <w:spacing w:before="80" w:line="500" w:lineRule="exact"/>
              <w:jc w:val="right"/>
              <w:rPr>
                <w:rFonts w:ascii="Tahoma" w:hAnsi="Tahoma" w:cs="Tahoma"/>
                <w:b/>
                <w:bCs/>
                <w:iCs/>
                <w:color w:val="243285"/>
                <w:sz w:val="44"/>
                <w:szCs w:val="44"/>
                <w:lang w:val="es-ES_tradnl"/>
              </w:rPr>
            </w:pPr>
          </w:p>
        </w:tc>
      </w:tr>
      <w:tr w:rsidR="002B3327" w:rsidRPr="00151803" w:rsidTr="005D140F">
        <w:tc>
          <w:tcPr>
            <w:tcW w:w="10089" w:type="dxa"/>
          </w:tcPr>
          <w:p w:rsidR="002B3327" w:rsidRPr="0010336F" w:rsidRDefault="002B3327" w:rsidP="005D140F">
            <w:pPr>
              <w:spacing w:before="80" w:line="280" w:lineRule="exact"/>
              <w:ind w:right="640"/>
              <w:rPr>
                <w:rFonts w:ascii="Tahoma" w:hAnsi="Tahoma" w:cs="Tahoma"/>
                <w:b/>
                <w:bCs/>
                <w:iCs/>
                <w:color w:val="243285"/>
                <w:sz w:val="32"/>
                <w:szCs w:val="32"/>
                <w:lang w:val="es-ES_tradnl"/>
              </w:rPr>
            </w:pPr>
          </w:p>
          <w:p w:rsidR="002B3327" w:rsidRPr="0010336F" w:rsidRDefault="002B3327" w:rsidP="005D140F">
            <w:pPr>
              <w:spacing w:before="80" w:line="280" w:lineRule="exact"/>
              <w:ind w:right="640"/>
              <w:rPr>
                <w:rFonts w:ascii="Tahoma" w:hAnsi="Tahoma" w:cs="Tahoma"/>
                <w:b/>
                <w:bCs/>
                <w:iCs/>
                <w:color w:val="243285"/>
                <w:sz w:val="32"/>
                <w:szCs w:val="32"/>
                <w:lang w:val="es-ES_tradnl"/>
              </w:rPr>
            </w:pPr>
          </w:p>
          <w:p w:rsidR="002B3327" w:rsidRPr="0010336F" w:rsidRDefault="002B3327" w:rsidP="005D140F">
            <w:pPr>
              <w:spacing w:before="80" w:after="180" w:line="360" w:lineRule="exact"/>
              <w:ind w:right="720"/>
              <w:rPr>
                <w:rFonts w:ascii="Tahoma" w:hAnsi="Tahoma" w:cs="Tahoma"/>
                <w:b/>
                <w:bCs/>
                <w:iCs/>
                <w:color w:val="243285"/>
                <w:sz w:val="36"/>
                <w:szCs w:val="36"/>
                <w:lang w:val="es-ES_tradnl"/>
              </w:rPr>
            </w:pPr>
          </w:p>
          <w:p w:rsidR="002B3327" w:rsidRPr="0010336F" w:rsidRDefault="002B3327" w:rsidP="005D140F">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rsidR="002B3327" w:rsidRPr="0010336F" w:rsidRDefault="002B3327" w:rsidP="005D140F">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2B3327" w:rsidRPr="0026666F" w:rsidRDefault="002B3327" w:rsidP="005D140F">
      <w:pPr>
        <w:spacing w:before="80"/>
        <w:rPr>
          <w:i/>
          <w:sz w:val="22"/>
          <w:lang w:val="es-ES_tradnl"/>
        </w:rPr>
      </w:pPr>
    </w:p>
    <w:p w:rsidR="002B3327" w:rsidRPr="0026666F" w:rsidRDefault="002B3327" w:rsidP="005D140F">
      <w:pPr>
        <w:spacing w:before="80"/>
        <w:rPr>
          <w:i/>
          <w:sz w:val="22"/>
          <w:lang w:val="es-ES_tradnl"/>
        </w:rPr>
      </w:pPr>
    </w:p>
    <w:p w:rsidR="002B3327" w:rsidRPr="0026666F" w:rsidRDefault="002B3327" w:rsidP="005D140F">
      <w:pPr>
        <w:spacing w:before="80"/>
        <w:rPr>
          <w:i/>
          <w:sz w:val="22"/>
          <w:lang w:val="es-ES_tradnl"/>
        </w:rPr>
      </w:pPr>
    </w:p>
    <w:p w:rsidR="002B3327" w:rsidRPr="0026666F" w:rsidRDefault="002B3327" w:rsidP="005D140F">
      <w:pPr>
        <w:spacing w:before="80"/>
        <w:rPr>
          <w:i/>
          <w:sz w:val="22"/>
          <w:lang w:val="es-ES_tradnl"/>
        </w:rPr>
      </w:pPr>
    </w:p>
    <w:p w:rsidR="002B3327" w:rsidRPr="0026666F" w:rsidRDefault="002B3327" w:rsidP="005D140F">
      <w:pPr>
        <w:spacing w:before="80"/>
        <w:rPr>
          <w:i/>
          <w:sz w:val="22"/>
          <w:lang w:val="es-ES_tradnl"/>
        </w:rPr>
      </w:pPr>
    </w:p>
    <w:p w:rsidR="002B3327" w:rsidRPr="0026666F" w:rsidRDefault="002B3327" w:rsidP="005D140F">
      <w:pPr>
        <w:spacing w:before="80"/>
        <w:rPr>
          <w:i/>
          <w:sz w:val="22"/>
          <w:lang w:val="es-ES_tradnl"/>
        </w:rPr>
      </w:pPr>
    </w:p>
    <w:p w:rsidR="002B3327" w:rsidRPr="0026666F" w:rsidRDefault="002B3327" w:rsidP="005D140F">
      <w:pPr>
        <w:pStyle w:val="Equation"/>
        <w:tabs>
          <w:tab w:val="clear" w:pos="4820"/>
          <w:tab w:val="clear" w:pos="9639"/>
          <w:tab w:val="left" w:pos="1191"/>
          <w:tab w:val="left" w:pos="1588"/>
          <w:tab w:val="left" w:pos="1985"/>
        </w:tabs>
        <w:rPr>
          <w:rFonts w:ascii="Palatino Linotype" w:hAnsi="Palatino Linotype"/>
          <w:lang w:val="es-ES_tradnl"/>
        </w:rPr>
        <w:sectPr w:rsidR="002B3327" w:rsidRPr="0026666F" w:rsidSect="005D140F">
          <w:headerReference w:type="even" r:id="rId7"/>
          <w:headerReference w:type="default" r:id="rId8"/>
          <w:pgSz w:w="11907" w:h="16834" w:code="9"/>
          <w:pgMar w:top="1418" w:right="1134" w:bottom="1134" w:left="1134" w:header="720" w:footer="482" w:gutter="0"/>
          <w:paperSrc w:first="15" w:other="15"/>
          <w:cols w:space="720"/>
        </w:sectPr>
      </w:pPr>
    </w:p>
    <w:p w:rsidR="002B3327" w:rsidRPr="006C718C" w:rsidRDefault="002B3327" w:rsidP="005D14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B3327" w:rsidRPr="006C718C" w:rsidRDefault="002B3327" w:rsidP="005D140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B3327" w:rsidRPr="006C718C" w:rsidRDefault="002B3327" w:rsidP="005D140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B3327" w:rsidRPr="00021E8A" w:rsidRDefault="002B3327" w:rsidP="005D140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B3327" w:rsidRPr="00021E8A" w:rsidRDefault="002B3327" w:rsidP="005D140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B3327" w:rsidRPr="007C36CA" w:rsidRDefault="002B3327" w:rsidP="005D140F">
      <w:pPr>
        <w:spacing w:before="0"/>
        <w:jc w:val="center"/>
        <w:rPr>
          <w:sz w:val="22"/>
          <w:lang w:val="es-ES_tradnl"/>
        </w:rPr>
      </w:pPr>
    </w:p>
    <w:p w:rsidR="002B3327" w:rsidRPr="007C36CA" w:rsidRDefault="002B3327" w:rsidP="005D140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2B3327" w:rsidRPr="00151803" w:rsidTr="005D140F">
        <w:tc>
          <w:tcPr>
            <w:tcW w:w="9360" w:type="dxa"/>
            <w:gridSpan w:val="2"/>
          </w:tcPr>
          <w:p w:rsidR="002B3327" w:rsidRPr="00021E8A" w:rsidRDefault="002B3327" w:rsidP="005D140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B3327" w:rsidRPr="00763D08" w:rsidRDefault="002B3327" w:rsidP="005D14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2B3327" w:rsidRPr="00036EE3" w:rsidTr="005D140F">
        <w:tc>
          <w:tcPr>
            <w:tcW w:w="1140" w:type="dxa"/>
            <w:tcBorders>
              <w:bottom w:val="nil"/>
            </w:tcBorders>
          </w:tcPr>
          <w:p w:rsidR="002B3327" w:rsidRPr="00036EE3" w:rsidRDefault="002B3327" w:rsidP="005D140F">
            <w:pPr>
              <w:spacing w:before="180" w:after="100"/>
              <w:ind w:left="57"/>
              <w:rPr>
                <w:b/>
                <w:bCs/>
                <w:sz w:val="20"/>
                <w:lang w:val="en-US"/>
              </w:rPr>
            </w:pPr>
            <w:r w:rsidRPr="00036EE3">
              <w:rPr>
                <w:b/>
                <w:bCs/>
                <w:sz w:val="20"/>
                <w:lang w:val="en-US"/>
              </w:rPr>
              <w:t>Series</w:t>
            </w:r>
          </w:p>
        </w:tc>
        <w:tc>
          <w:tcPr>
            <w:tcW w:w="8220" w:type="dxa"/>
            <w:tcBorders>
              <w:bottom w:val="nil"/>
            </w:tcBorders>
          </w:tcPr>
          <w:p w:rsidR="002B3327" w:rsidRPr="00036EE3" w:rsidRDefault="002B3327" w:rsidP="005D14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B3327" w:rsidRPr="004532F7" w:rsidTr="005D140F">
        <w:tc>
          <w:tcPr>
            <w:tcW w:w="1140" w:type="dxa"/>
            <w:tcBorders>
              <w:top w:val="nil"/>
              <w:bottom w:val="nil"/>
            </w:tcBorders>
            <w:shd w:val="clear" w:color="auto" w:fill="auto"/>
          </w:tcPr>
          <w:p w:rsidR="002B3327" w:rsidRPr="004532F7" w:rsidRDefault="002B3327" w:rsidP="005D140F">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2B3327" w:rsidRPr="004532F7" w:rsidRDefault="002B3327" w:rsidP="005D14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2B3327" w:rsidRPr="00151803" w:rsidTr="005D140F">
        <w:tc>
          <w:tcPr>
            <w:tcW w:w="1140" w:type="dxa"/>
            <w:tcBorders>
              <w:top w:val="nil"/>
              <w:bottom w:val="nil"/>
            </w:tcBorders>
            <w:shd w:val="clear" w:color="auto" w:fill="auto"/>
          </w:tcPr>
          <w:p w:rsidR="002B3327" w:rsidRPr="006B22C3" w:rsidRDefault="002B3327" w:rsidP="005D140F">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2B3327" w:rsidRPr="006B22C3" w:rsidRDefault="002B3327" w:rsidP="005D14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2B3327" w:rsidRPr="00847DD5" w:rsidTr="005D140F">
        <w:tc>
          <w:tcPr>
            <w:tcW w:w="1140" w:type="dxa"/>
            <w:tcBorders>
              <w:top w:val="nil"/>
              <w:bottom w:val="nil"/>
            </w:tcBorders>
            <w:shd w:val="clear" w:color="auto" w:fill="auto"/>
          </w:tcPr>
          <w:p w:rsidR="002B3327" w:rsidRPr="00847DD5" w:rsidRDefault="002B3327" w:rsidP="005D140F">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2B3327" w:rsidRPr="00847DD5" w:rsidRDefault="002B3327" w:rsidP="005D14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2B3327" w:rsidRPr="00ED2695" w:rsidTr="005D140F">
        <w:tc>
          <w:tcPr>
            <w:tcW w:w="1140" w:type="dxa"/>
            <w:tcBorders>
              <w:top w:val="nil"/>
              <w:bottom w:val="nil"/>
            </w:tcBorders>
            <w:shd w:val="clear" w:color="auto" w:fill="auto"/>
          </w:tcPr>
          <w:p w:rsidR="002B3327" w:rsidRPr="00ED2695" w:rsidRDefault="002B3327" w:rsidP="005D140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B3327" w:rsidRPr="00021E8A" w:rsidRDefault="002B3327" w:rsidP="005D14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2B3327" w:rsidRPr="00366CEE" w:rsidTr="005D140F">
        <w:tc>
          <w:tcPr>
            <w:tcW w:w="1140" w:type="dxa"/>
            <w:tcBorders>
              <w:top w:val="nil"/>
              <w:bottom w:val="nil"/>
            </w:tcBorders>
            <w:shd w:val="clear" w:color="auto" w:fill="auto"/>
          </w:tcPr>
          <w:p w:rsidR="002B3327" w:rsidRPr="00366CEE" w:rsidRDefault="002B3327" w:rsidP="005D140F">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2B3327" w:rsidRPr="00366CEE" w:rsidRDefault="002B3327" w:rsidP="005D14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2B3327" w:rsidRPr="00151803" w:rsidTr="005D140F">
        <w:tc>
          <w:tcPr>
            <w:tcW w:w="1140" w:type="dxa"/>
            <w:tcBorders>
              <w:top w:val="nil"/>
              <w:bottom w:val="nil"/>
            </w:tcBorders>
            <w:shd w:val="clear" w:color="auto" w:fill="auto"/>
          </w:tcPr>
          <w:p w:rsidR="002B3327" w:rsidRPr="0010336F" w:rsidRDefault="002B3327" w:rsidP="005D140F">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B3327" w:rsidRPr="00E16436" w:rsidRDefault="002B3327" w:rsidP="00E16436">
            <w:pPr>
              <w:pStyle w:val="Tabletext"/>
              <w:spacing w:before="30" w:after="30"/>
              <w:rPr>
                <w:sz w:val="20"/>
                <w:lang w:val="es-ES_tradnl"/>
              </w:rPr>
            </w:pPr>
            <w:r w:rsidRPr="00E16436">
              <w:rPr>
                <w:sz w:val="20"/>
                <w:lang w:val="es-ES_tradnl"/>
              </w:rPr>
              <w:t>Servicios m</w:t>
            </w:r>
            <w:r w:rsidR="00E16436">
              <w:rPr>
                <w:sz w:val="20"/>
                <w:lang w:val="es-ES_tradnl"/>
              </w:rPr>
              <w:t>ó</w:t>
            </w:r>
            <w:r w:rsidRPr="00E16436">
              <w:rPr>
                <w:sz w:val="20"/>
                <w:lang w:val="es-ES_tradnl"/>
              </w:rPr>
              <w:t>viles, de radiodeterminación, de aficionados y otros servicios por satélite conexos</w:t>
            </w:r>
          </w:p>
        </w:tc>
      </w:tr>
      <w:tr w:rsidR="002B3327" w:rsidRPr="00151803" w:rsidTr="005D140F">
        <w:tc>
          <w:tcPr>
            <w:tcW w:w="1140" w:type="dxa"/>
            <w:tcBorders>
              <w:top w:val="nil"/>
              <w:bottom w:val="nil"/>
            </w:tcBorders>
            <w:shd w:val="clear" w:color="auto" w:fill="auto"/>
          </w:tcPr>
          <w:p w:rsidR="002B3327" w:rsidRPr="00F95576" w:rsidRDefault="002B3327" w:rsidP="005D140F">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2B3327" w:rsidRPr="00F95576" w:rsidRDefault="002B3327" w:rsidP="005D140F">
            <w:pPr>
              <w:spacing w:before="30" w:after="30"/>
              <w:jc w:val="left"/>
              <w:rPr>
                <w:sz w:val="20"/>
                <w:lang w:val="es-ES_tradnl"/>
              </w:rPr>
            </w:pPr>
            <w:r w:rsidRPr="00F95576">
              <w:rPr>
                <w:sz w:val="20"/>
                <w:lang w:val="es-ES_tradnl"/>
              </w:rPr>
              <w:t>Propagación de las ondas radioeléctricas</w:t>
            </w:r>
          </w:p>
        </w:tc>
      </w:tr>
      <w:tr w:rsidR="002B3327" w:rsidRPr="00DE71F7" w:rsidTr="005D140F">
        <w:tc>
          <w:tcPr>
            <w:tcW w:w="1140" w:type="dxa"/>
            <w:tcBorders>
              <w:top w:val="nil"/>
              <w:bottom w:val="nil"/>
            </w:tcBorders>
            <w:shd w:val="clear" w:color="auto" w:fill="auto"/>
          </w:tcPr>
          <w:p w:rsidR="002B3327" w:rsidRPr="00DE71F7" w:rsidRDefault="002B3327" w:rsidP="005D140F">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2B3327" w:rsidRPr="00DE71F7" w:rsidRDefault="002B3327" w:rsidP="005D14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2B3327" w:rsidRPr="00151803" w:rsidTr="005D140F">
        <w:tc>
          <w:tcPr>
            <w:tcW w:w="1140" w:type="dxa"/>
            <w:tcBorders>
              <w:top w:val="nil"/>
              <w:bottom w:val="nil"/>
            </w:tcBorders>
            <w:shd w:val="clear" w:color="auto" w:fill="auto"/>
          </w:tcPr>
          <w:p w:rsidR="002B3327" w:rsidRPr="00D12388" w:rsidRDefault="002B3327" w:rsidP="005D140F">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2B3327" w:rsidRPr="00D12388" w:rsidRDefault="002B3327" w:rsidP="005D14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2B3327" w:rsidRPr="00025336" w:rsidTr="005D140F">
        <w:tc>
          <w:tcPr>
            <w:tcW w:w="1140" w:type="dxa"/>
            <w:tcBorders>
              <w:top w:val="nil"/>
              <w:bottom w:val="nil"/>
            </w:tcBorders>
            <w:shd w:val="clear" w:color="auto" w:fill="auto"/>
          </w:tcPr>
          <w:p w:rsidR="002B3327" w:rsidRPr="00025336" w:rsidRDefault="002B3327" w:rsidP="005D140F">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2B3327" w:rsidRPr="00025336" w:rsidRDefault="002B3327" w:rsidP="005D140F">
            <w:pPr>
              <w:spacing w:before="30" w:after="30"/>
              <w:jc w:val="left"/>
              <w:rPr>
                <w:sz w:val="20"/>
                <w:lang w:val="en-US"/>
              </w:rPr>
            </w:pPr>
            <w:r w:rsidRPr="00025336">
              <w:rPr>
                <w:sz w:val="20"/>
              </w:rPr>
              <w:t>Servicio fijo por satélite</w:t>
            </w:r>
          </w:p>
        </w:tc>
      </w:tr>
      <w:tr w:rsidR="002B3327" w:rsidRPr="00975AEB" w:rsidTr="005D140F">
        <w:tc>
          <w:tcPr>
            <w:tcW w:w="1140" w:type="dxa"/>
            <w:tcBorders>
              <w:top w:val="nil"/>
              <w:bottom w:val="nil"/>
            </w:tcBorders>
            <w:shd w:val="clear" w:color="auto" w:fill="auto"/>
          </w:tcPr>
          <w:p w:rsidR="002B3327" w:rsidRPr="00975AEB" w:rsidRDefault="002B3327" w:rsidP="005D140F">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2B3327" w:rsidRPr="00975AEB" w:rsidRDefault="002B3327" w:rsidP="005D140F">
            <w:pPr>
              <w:spacing w:before="30" w:after="30"/>
              <w:jc w:val="left"/>
              <w:rPr>
                <w:sz w:val="20"/>
                <w:lang w:val="en-US"/>
              </w:rPr>
            </w:pPr>
            <w:r w:rsidRPr="00975AEB">
              <w:rPr>
                <w:sz w:val="20"/>
              </w:rPr>
              <w:t>Aplicaciones espaciales y meteorología</w:t>
            </w:r>
          </w:p>
        </w:tc>
      </w:tr>
      <w:tr w:rsidR="002B3327" w:rsidRPr="00151803" w:rsidTr="005D140F">
        <w:tc>
          <w:tcPr>
            <w:tcW w:w="1140" w:type="dxa"/>
            <w:tcBorders>
              <w:top w:val="nil"/>
              <w:bottom w:val="nil"/>
            </w:tcBorders>
            <w:shd w:val="clear" w:color="auto" w:fill="auto"/>
          </w:tcPr>
          <w:p w:rsidR="002B3327" w:rsidRPr="00746AC6" w:rsidRDefault="002B3327" w:rsidP="005D140F">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2B3327" w:rsidRPr="00746AC6" w:rsidRDefault="002B3327" w:rsidP="005D140F">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2B3327" w:rsidRPr="00746AC6" w:rsidTr="005D140F">
        <w:tc>
          <w:tcPr>
            <w:tcW w:w="1140" w:type="dxa"/>
            <w:tcBorders>
              <w:top w:val="nil"/>
              <w:bottom w:val="nil"/>
            </w:tcBorders>
            <w:shd w:val="clear" w:color="auto" w:fill="F3F3F3"/>
          </w:tcPr>
          <w:p w:rsidR="002B3327" w:rsidRPr="00746AC6" w:rsidRDefault="002B3327" w:rsidP="005D140F">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2B3327" w:rsidRPr="00746AC6" w:rsidRDefault="002B3327" w:rsidP="005D140F">
            <w:pPr>
              <w:spacing w:before="30" w:after="30"/>
              <w:jc w:val="left"/>
              <w:rPr>
                <w:b/>
                <w:bCs/>
                <w:color w:val="000080"/>
                <w:sz w:val="20"/>
                <w:lang w:val="en-US"/>
              </w:rPr>
            </w:pPr>
            <w:r w:rsidRPr="00746AC6">
              <w:rPr>
                <w:b/>
                <w:bCs/>
                <w:color w:val="000080"/>
                <w:sz w:val="20"/>
              </w:rPr>
              <w:t>Gestión del espectro</w:t>
            </w:r>
          </w:p>
        </w:tc>
      </w:tr>
      <w:tr w:rsidR="002B3327" w:rsidRPr="00036EE3" w:rsidTr="005D140F">
        <w:tc>
          <w:tcPr>
            <w:tcW w:w="1140" w:type="dxa"/>
            <w:tcBorders>
              <w:top w:val="nil"/>
            </w:tcBorders>
          </w:tcPr>
          <w:p w:rsidR="002B3327" w:rsidRPr="00036EE3" w:rsidRDefault="002B3327" w:rsidP="005D140F">
            <w:pPr>
              <w:spacing w:before="30" w:after="30"/>
              <w:ind w:left="57"/>
              <w:jc w:val="left"/>
              <w:rPr>
                <w:b/>
                <w:bCs/>
                <w:sz w:val="20"/>
                <w:lang w:val="en-US"/>
              </w:rPr>
            </w:pPr>
            <w:r w:rsidRPr="00036EE3">
              <w:rPr>
                <w:b/>
                <w:bCs/>
                <w:sz w:val="20"/>
                <w:lang w:val="en-US"/>
              </w:rPr>
              <w:t>SNG</w:t>
            </w:r>
          </w:p>
        </w:tc>
        <w:tc>
          <w:tcPr>
            <w:tcW w:w="8220" w:type="dxa"/>
            <w:tcBorders>
              <w:top w:val="nil"/>
            </w:tcBorders>
          </w:tcPr>
          <w:p w:rsidR="002B3327" w:rsidRPr="00021E8A" w:rsidRDefault="002B3327" w:rsidP="005D140F">
            <w:pPr>
              <w:spacing w:before="30" w:after="30"/>
              <w:jc w:val="left"/>
              <w:rPr>
                <w:bCs/>
                <w:sz w:val="20"/>
                <w:lang w:val="en-US"/>
              </w:rPr>
            </w:pPr>
            <w:r w:rsidRPr="00021E8A">
              <w:rPr>
                <w:bCs/>
                <w:sz w:val="20"/>
              </w:rPr>
              <w:t>Periodismo electrónico por satélite</w:t>
            </w:r>
          </w:p>
        </w:tc>
      </w:tr>
      <w:tr w:rsidR="002B3327" w:rsidRPr="00151803" w:rsidTr="005D140F">
        <w:tc>
          <w:tcPr>
            <w:tcW w:w="1140" w:type="dxa"/>
          </w:tcPr>
          <w:p w:rsidR="002B3327" w:rsidRPr="00036EE3" w:rsidRDefault="002B3327" w:rsidP="005D140F">
            <w:pPr>
              <w:spacing w:before="30" w:after="30"/>
              <w:ind w:left="57"/>
              <w:jc w:val="left"/>
              <w:rPr>
                <w:b/>
                <w:bCs/>
                <w:sz w:val="20"/>
                <w:lang w:val="en-US"/>
              </w:rPr>
            </w:pPr>
            <w:r w:rsidRPr="00036EE3">
              <w:rPr>
                <w:b/>
                <w:bCs/>
                <w:sz w:val="20"/>
                <w:lang w:val="en-US"/>
              </w:rPr>
              <w:t>TF</w:t>
            </w:r>
          </w:p>
        </w:tc>
        <w:tc>
          <w:tcPr>
            <w:tcW w:w="8220" w:type="dxa"/>
          </w:tcPr>
          <w:p w:rsidR="002B3327" w:rsidRPr="00021E8A" w:rsidRDefault="002B3327" w:rsidP="005D140F">
            <w:pPr>
              <w:spacing w:before="30" w:after="30"/>
              <w:jc w:val="left"/>
              <w:rPr>
                <w:bCs/>
                <w:sz w:val="20"/>
                <w:lang w:val="es-ES_tradnl"/>
              </w:rPr>
            </w:pPr>
            <w:r w:rsidRPr="00021E8A">
              <w:rPr>
                <w:bCs/>
                <w:sz w:val="20"/>
                <w:lang w:val="es-ES_tradnl"/>
              </w:rPr>
              <w:t>Emisiones de frecuencias patrón y señales horarias</w:t>
            </w:r>
          </w:p>
        </w:tc>
      </w:tr>
      <w:tr w:rsidR="002B3327" w:rsidRPr="00036EE3" w:rsidTr="005D140F">
        <w:tc>
          <w:tcPr>
            <w:tcW w:w="1140" w:type="dxa"/>
          </w:tcPr>
          <w:p w:rsidR="002B3327" w:rsidRPr="00036EE3" w:rsidRDefault="002B3327" w:rsidP="005D140F">
            <w:pPr>
              <w:spacing w:before="30" w:after="30"/>
              <w:ind w:left="57"/>
              <w:jc w:val="left"/>
              <w:rPr>
                <w:b/>
                <w:bCs/>
                <w:sz w:val="20"/>
                <w:lang w:val="en-US"/>
              </w:rPr>
            </w:pPr>
            <w:r w:rsidRPr="00036EE3">
              <w:rPr>
                <w:b/>
                <w:bCs/>
                <w:sz w:val="20"/>
                <w:lang w:val="en-US"/>
              </w:rPr>
              <w:t>V</w:t>
            </w:r>
          </w:p>
        </w:tc>
        <w:tc>
          <w:tcPr>
            <w:tcW w:w="8220" w:type="dxa"/>
          </w:tcPr>
          <w:p w:rsidR="002B3327" w:rsidRPr="00021E8A" w:rsidRDefault="002B3327" w:rsidP="005D140F">
            <w:pPr>
              <w:spacing w:before="30" w:after="140"/>
              <w:jc w:val="left"/>
              <w:rPr>
                <w:bCs/>
                <w:sz w:val="20"/>
                <w:lang w:val="en-US"/>
              </w:rPr>
            </w:pPr>
            <w:r w:rsidRPr="00021E8A">
              <w:rPr>
                <w:bCs/>
                <w:sz w:val="20"/>
              </w:rPr>
              <w:t>Vocabulario y cuestiones afines</w:t>
            </w:r>
          </w:p>
        </w:tc>
      </w:tr>
    </w:tbl>
    <w:p w:rsidR="002B3327" w:rsidRPr="00036EE3" w:rsidRDefault="002B3327" w:rsidP="005D140F">
      <w:pPr>
        <w:spacing w:before="0" w:after="140"/>
        <w:jc w:val="center"/>
        <w:rPr>
          <w:sz w:val="20"/>
          <w:lang w:val="en-US"/>
        </w:rPr>
      </w:pPr>
    </w:p>
    <w:tbl>
      <w:tblPr>
        <w:tblpPr w:leftFromText="180" w:rightFromText="180" w:vertAnchor="text" w:tblpX="-5771" w:tblpY="-4031"/>
        <w:tblW w:w="0" w:type="auto"/>
        <w:tblLook w:val="0000"/>
      </w:tblPr>
      <w:tblGrid>
        <w:gridCol w:w="720"/>
      </w:tblGrid>
      <w:tr w:rsidR="002B3327" w:rsidTr="005D140F">
        <w:tc>
          <w:tcPr>
            <w:tcW w:w="720" w:type="dxa"/>
          </w:tcPr>
          <w:p w:rsidR="002B3327" w:rsidRDefault="002B3327" w:rsidP="005D140F">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2B3327" w:rsidRPr="00151803" w:rsidTr="005D140F">
        <w:tc>
          <w:tcPr>
            <w:tcW w:w="9360" w:type="dxa"/>
          </w:tcPr>
          <w:p w:rsidR="002B3327" w:rsidRPr="00763D08" w:rsidRDefault="002B3327" w:rsidP="005D140F">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B3327" w:rsidRPr="00763D08" w:rsidRDefault="002B3327" w:rsidP="005D140F">
      <w:pPr>
        <w:spacing w:before="0"/>
        <w:jc w:val="center"/>
        <w:rPr>
          <w:sz w:val="22"/>
          <w:lang w:val="es-ES_tradnl"/>
        </w:rPr>
      </w:pPr>
    </w:p>
    <w:p w:rsidR="002B3327" w:rsidRPr="00763D08" w:rsidRDefault="002B3327" w:rsidP="005D140F">
      <w:pPr>
        <w:spacing w:before="60"/>
        <w:jc w:val="right"/>
        <w:rPr>
          <w:i/>
          <w:iCs/>
          <w:sz w:val="20"/>
          <w:lang w:val="es-ES_tradnl"/>
        </w:rPr>
      </w:pPr>
      <w:r w:rsidRPr="00763D08">
        <w:rPr>
          <w:i/>
          <w:iCs/>
          <w:sz w:val="20"/>
          <w:lang w:val="es-ES_tradnl"/>
        </w:rPr>
        <w:t>Publicación electrónica</w:t>
      </w:r>
    </w:p>
    <w:p w:rsidR="002B3327" w:rsidRPr="00763D08" w:rsidRDefault="002B3327" w:rsidP="005D140F">
      <w:pPr>
        <w:spacing w:before="0" w:after="40"/>
        <w:jc w:val="right"/>
        <w:rPr>
          <w:sz w:val="20"/>
          <w:lang w:val="es-ES_tradnl"/>
        </w:rPr>
      </w:pPr>
      <w:r w:rsidRPr="00763D08">
        <w:rPr>
          <w:sz w:val="20"/>
          <w:lang w:val="es-ES_tradnl"/>
        </w:rPr>
        <w:t>Ginebra, 20</w:t>
      </w:r>
      <w:r>
        <w:rPr>
          <w:sz w:val="20"/>
          <w:lang w:val="es-ES_tradnl"/>
        </w:rPr>
        <w:t>11</w:t>
      </w:r>
    </w:p>
    <w:p w:rsidR="002B3327" w:rsidRPr="00763D08" w:rsidRDefault="002B3327" w:rsidP="005D140F">
      <w:pPr>
        <w:spacing w:before="0"/>
        <w:jc w:val="center"/>
        <w:rPr>
          <w:sz w:val="22"/>
          <w:lang w:val="es-ES_tradnl"/>
        </w:rPr>
      </w:pPr>
    </w:p>
    <w:p w:rsidR="002B3327" w:rsidRPr="00763D08" w:rsidRDefault="002B3327" w:rsidP="005D140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2B3327" w:rsidRPr="006C718C" w:rsidRDefault="002B3327" w:rsidP="005D140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B3327" w:rsidRPr="006C718C" w:rsidRDefault="002B3327" w:rsidP="005D140F">
      <w:pPr>
        <w:spacing w:before="160"/>
        <w:rPr>
          <w:i/>
          <w:sz w:val="20"/>
          <w:highlight w:val="yellow"/>
          <w:lang w:val="es-ES_tradnl"/>
        </w:rPr>
        <w:sectPr w:rsidR="002B3327" w:rsidRPr="006C718C" w:rsidSect="005D140F">
          <w:headerReference w:type="even" r:id="rId11"/>
          <w:headerReference w:type="default" r:id="rId12"/>
          <w:pgSz w:w="11907" w:h="16834" w:code="9"/>
          <w:pgMar w:top="1418" w:right="1134" w:bottom="1134" w:left="1134" w:header="720" w:footer="482" w:gutter="0"/>
          <w:pgNumType w:fmt="lowerRoman" w:start="2"/>
          <w:cols w:space="720"/>
        </w:sectPr>
      </w:pPr>
    </w:p>
    <w:p w:rsidR="002B3327" w:rsidRPr="00591584" w:rsidRDefault="002B3327" w:rsidP="00E16436">
      <w:pPr>
        <w:pStyle w:val="RecNo"/>
        <w:spacing w:before="0"/>
        <w:rPr>
          <w:lang w:val="es-ES"/>
        </w:rPr>
      </w:pPr>
      <w:bookmarkStart w:id="3" w:name="irecnoe"/>
      <w:bookmarkEnd w:id="3"/>
      <w:r w:rsidRPr="00591584">
        <w:rPr>
          <w:lang w:val="es-ES"/>
        </w:rPr>
        <w:lastRenderedPageBreak/>
        <w:t xml:space="preserve">RECOMENDACIÓN  </w:t>
      </w:r>
      <w:r w:rsidRPr="00591584">
        <w:rPr>
          <w:rStyle w:val="href"/>
          <w:lang w:val="es-ES"/>
        </w:rPr>
        <w:t>UIT-R  SM.1753-1</w:t>
      </w:r>
    </w:p>
    <w:p w:rsidR="002B3327" w:rsidRDefault="002B3327" w:rsidP="002B3327">
      <w:pPr>
        <w:pStyle w:val="Rectitle"/>
        <w:rPr>
          <w:lang w:val="es-ES"/>
        </w:rPr>
      </w:pPr>
      <w:bookmarkStart w:id="4" w:name="Pre_title"/>
      <w:r w:rsidRPr="00591584">
        <w:rPr>
          <w:lang w:val="es-ES"/>
        </w:rPr>
        <w:t>Métodos para medir el ruido radioeléctrico</w:t>
      </w:r>
      <w:bookmarkStart w:id="5" w:name="Revision_history"/>
      <w:bookmarkEnd w:id="4"/>
    </w:p>
    <w:p w:rsidR="002B3327" w:rsidRPr="00591584" w:rsidRDefault="002B3327" w:rsidP="002B3327">
      <w:pPr>
        <w:pStyle w:val="Recdate"/>
        <w:rPr>
          <w:lang w:val="es-ES"/>
        </w:rPr>
      </w:pPr>
      <w:r w:rsidRPr="00591584">
        <w:rPr>
          <w:lang w:val="es-ES"/>
        </w:rPr>
        <w:t>(2006-2010)</w:t>
      </w:r>
      <w:bookmarkEnd w:id="5"/>
    </w:p>
    <w:p w:rsidR="002B3327" w:rsidRPr="00591584" w:rsidRDefault="002B3327" w:rsidP="002A55BE">
      <w:pPr>
        <w:pStyle w:val="HeadingSum"/>
        <w:rPr>
          <w:lang w:val="es-ES"/>
        </w:rPr>
      </w:pPr>
      <w:r w:rsidRPr="00591584">
        <w:rPr>
          <w:lang w:val="es-ES"/>
        </w:rPr>
        <w:t>Cometido</w:t>
      </w:r>
    </w:p>
    <w:p w:rsidR="002B3327" w:rsidRPr="00591584" w:rsidRDefault="002B3327" w:rsidP="002A55BE">
      <w:pPr>
        <w:pStyle w:val="Summary"/>
        <w:rPr>
          <w:lang w:val="es-ES"/>
        </w:rPr>
      </w:pPr>
      <w:r w:rsidRPr="00591584">
        <w:rPr>
          <w:lang w:val="es-ES"/>
        </w:rPr>
        <w:t>Para efectuar mediciones del ruido radioeléctrico y obtener resultados de los diferentes sistemas de medición que sean exactos, reproducibles y comparables, es necesario contar con un método de medida uniforme e independiente de las frecuencias. En la presente Recomendación se señala un conjunto de procesos o pasos que habrá que integrar en un procedimiento de medición para obtener resultados comparables.</w:t>
      </w:r>
    </w:p>
    <w:p w:rsidR="002B3327" w:rsidRPr="00591584" w:rsidRDefault="002B3327" w:rsidP="002A55BE">
      <w:pPr>
        <w:pStyle w:val="Normalaftertitle"/>
        <w:rPr>
          <w:lang w:val="es-ES"/>
        </w:rPr>
      </w:pPr>
      <w:r w:rsidRPr="00591584">
        <w:rPr>
          <w:lang w:val="es-ES"/>
        </w:rPr>
        <w:t>La Asamblea de Radiocomunicaciones de la UIT,</w:t>
      </w:r>
    </w:p>
    <w:p w:rsidR="002B3327" w:rsidRPr="00591584" w:rsidRDefault="002B3327" w:rsidP="002A55BE">
      <w:pPr>
        <w:pStyle w:val="Call"/>
        <w:rPr>
          <w:lang w:val="es-ES"/>
        </w:rPr>
      </w:pPr>
      <w:r w:rsidRPr="00591584">
        <w:rPr>
          <w:lang w:val="es-ES"/>
        </w:rPr>
        <w:t>considerando</w:t>
      </w:r>
    </w:p>
    <w:p w:rsidR="002B3327" w:rsidRPr="00591584" w:rsidRDefault="002B3327" w:rsidP="002A55BE">
      <w:pPr>
        <w:rPr>
          <w:lang w:val="es-ES"/>
        </w:rPr>
      </w:pPr>
      <w:r w:rsidRPr="00591584">
        <w:rPr>
          <w:lang w:val="es-ES"/>
        </w:rPr>
        <w:t>a)</w:t>
      </w:r>
      <w:r w:rsidRPr="00591584">
        <w:rPr>
          <w:lang w:val="es-ES"/>
        </w:rPr>
        <w:tab/>
        <w:t>que debido a la introducción de muchos tipos de equipos eléctricos y electrónicos (que producen ruido radioeléctrico) y de redes de telecomunicaciones</w:t>
      </w:r>
      <w:r>
        <w:rPr>
          <w:lang w:val="es-ES"/>
        </w:rPr>
        <w:t xml:space="preserve"> (por ejemplo, redes de banda u</w:t>
      </w:r>
      <w:r w:rsidRPr="00591584">
        <w:rPr>
          <w:lang w:val="es-ES"/>
        </w:rPr>
        <w:t>ltraamplia (UWB), sistemas de telecomunicaciones por líneas de transporte y distribución de energía eléctrica (PLT) y ordenadores),</w:t>
      </w:r>
      <w:r>
        <w:rPr>
          <w:lang w:val="es-ES"/>
        </w:rPr>
        <w:t xml:space="preserve"> </w:t>
      </w:r>
      <w:r w:rsidRPr="00591584">
        <w:rPr>
          <w:lang w:val="es-ES"/>
        </w:rPr>
        <w:t>podrían aumentar los niveles de ruido radioeléctrico especificados en la Recomendación UIT-R</w:t>
      </w:r>
      <w:r>
        <w:rPr>
          <w:lang w:val="es-ES"/>
        </w:rPr>
        <w:t xml:space="preserve"> </w:t>
      </w:r>
      <w:r w:rsidRPr="00591584">
        <w:rPr>
          <w:lang w:val="es-ES"/>
        </w:rPr>
        <w:t>P.372;</w:t>
      </w:r>
    </w:p>
    <w:p w:rsidR="002B3327" w:rsidRPr="00591584" w:rsidRDefault="002B3327" w:rsidP="002A55BE">
      <w:pPr>
        <w:rPr>
          <w:lang w:val="es-ES"/>
        </w:rPr>
      </w:pPr>
      <w:r w:rsidRPr="00591584">
        <w:rPr>
          <w:lang w:val="es-ES"/>
        </w:rPr>
        <w:t>b)</w:t>
      </w:r>
      <w:r w:rsidRPr="00591584">
        <w:rPr>
          <w:lang w:val="es-ES"/>
        </w:rPr>
        <w:tab/>
        <w:t>que, para realizar una gestión eficaz del espectro, las administraciones deben conocer exactamente los niveles de ruido;</w:t>
      </w:r>
    </w:p>
    <w:p w:rsidR="002B3327" w:rsidRPr="00591584" w:rsidRDefault="002B3327" w:rsidP="002A55BE">
      <w:pPr>
        <w:rPr>
          <w:lang w:val="es-ES"/>
        </w:rPr>
      </w:pPr>
      <w:r w:rsidRPr="00591584">
        <w:rPr>
          <w:lang w:val="es-ES"/>
        </w:rPr>
        <w:t>c)</w:t>
      </w:r>
      <w:r w:rsidRPr="00591584">
        <w:rPr>
          <w:lang w:val="es-ES"/>
        </w:rPr>
        <w:tab/>
        <w:t>que es preciso armonizar los métodos de medición del ruido a fin de obtener resultados reproducibles que puedan compararse;</w:t>
      </w:r>
    </w:p>
    <w:p w:rsidR="002B3327" w:rsidRPr="00591584" w:rsidRDefault="002B3327" w:rsidP="002A55BE">
      <w:pPr>
        <w:rPr>
          <w:lang w:val="es-ES"/>
        </w:rPr>
      </w:pPr>
      <w:r w:rsidRPr="00591584">
        <w:rPr>
          <w:lang w:val="es-ES"/>
        </w:rPr>
        <w:t>d)</w:t>
      </w:r>
      <w:r w:rsidRPr="00591584">
        <w:rPr>
          <w:lang w:val="es-ES"/>
        </w:rPr>
        <w:tab/>
        <w:t>que, para las mediciones del ruido, se necesitan una especificaciones mínimas de los equipos,</w:t>
      </w:r>
    </w:p>
    <w:p w:rsidR="002B3327" w:rsidRPr="00591584" w:rsidRDefault="002B3327" w:rsidP="002A55BE">
      <w:pPr>
        <w:pStyle w:val="Call"/>
        <w:rPr>
          <w:lang w:val="es-ES"/>
        </w:rPr>
      </w:pPr>
      <w:r w:rsidRPr="00591584">
        <w:rPr>
          <w:lang w:val="es-ES"/>
        </w:rPr>
        <w:t>recomienda</w:t>
      </w:r>
    </w:p>
    <w:p w:rsidR="002B3327" w:rsidRPr="00591584" w:rsidRDefault="002B3327" w:rsidP="002B3327">
      <w:pPr>
        <w:rPr>
          <w:lang w:val="es-ES"/>
        </w:rPr>
      </w:pPr>
      <w:r w:rsidRPr="00591584">
        <w:rPr>
          <w:b/>
          <w:bCs/>
          <w:lang w:val="es-ES"/>
        </w:rPr>
        <w:t>1</w:t>
      </w:r>
      <w:r w:rsidRPr="00591584">
        <w:rPr>
          <w:b/>
          <w:bCs/>
          <w:lang w:val="es-ES"/>
        </w:rPr>
        <w:tab/>
      </w:r>
      <w:r w:rsidRPr="00591584">
        <w:rPr>
          <w:lang w:val="es-ES"/>
        </w:rPr>
        <w:t>que las mediciones del ruido radioeléctrico se efectúen como describe el Anexo 1.</w:t>
      </w:r>
    </w:p>
    <w:p w:rsidR="002B3327" w:rsidRDefault="002B3327" w:rsidP="005D140F">
      <w:pPr>
        <w:rPr>
          <w:lang w:val="es-ES"/>
        </w:rPr>
      </w:pPr>
    </w:p>
    <w:p w:rsidR="002B3327" w:rsidRPr="00591584" w:rsidRDefault="002B3327" w:rsidP="002A55BE">
      <w:pPr>
        <w:pStyle w:val="AnnexNoTitle"/>
        <w:rPr>
          <w:u w:color="000000"/>
          <w:lang w:val="es-ES"/>
        </w:rPr>
      </w:pPr>
      <w:r w:rsidRPr="00591584">
        <w:rPr>
          <w:lang w:val="es-ES"/>
        </w:rPr>
        <w:t>Anexo 1</w:t>
      </w:r>
      <w:r w:rsidRPr="00591584">
        <w:rPr>
          <w:u w:color="000000"/>
          <w:lang w:val="es-ES"/>
        </w:rPr>
        <w:br/>
      </w:r>
      <w:r w:rsidRPr="00591584">
        <w:rPr>
          <w:u w:color="000000"/>
          <w:lang w:val="es-ES"/>
        </w:rPr>
        <w:br/>
      </w:r>
      <w:r w:rsidRPr="00591584">
        <w:rPr>
          <w:lang w:val="es-ES"/>
        </w:rPr>
        <w:t>Métodos para medir el ruido radioeléctrico</w:t>
      </w:r>
    </w:p>
    <w:p w:rsidR="002B3327" w:rsidRPr="00591584" w:rsidRDefault="002B3327" w:rsidP="002A55BE">
      <w:pPr>
        <w:pStyle w:val="Heading1"/>
        <w:rPr>
          <w:lang w:val="es-ES"/>
        </w:rPr>
      </w:pPr>
      <w:r w:rsidRPr="00591584">
        <w:rPr>
          <w:lang w:val="es-ES"/>
        </w:rPr>
        <w:t>1</w:t>
      </w:r>
      <w:r w:rsidRPr="00591584">
        <w:rPr>
          <w:lang w:val="es-ES"/>
        </w:rPr>
        <w:tab/>
        <w:t>Introducción</w:t>
      </w:r>
    </w:p>
    <w:p w:rsidR="002B3327" w:rsidRPr="00591584" w:rsidRDefault="002B3327" w:rsidP="002A55BE">
      <w:pPr>
        <w:keepNext/>
        <w:keepLines/>
        <w:rPr>
          <w:lang w:val="es-ES"/>
        </w:rPr>
      </w:pPr>
      <w:r w:rsidRPr="00591584">
        <w:rPr>
          <w:lang w:val="es-ES"/>
        </w:rPr>
        <w:t xml:space="preserve">Este </w:t>
      </w:r>
      <w:r w:rsidR="00546709">
        <w:rPr>
          <w:lang w:val="es-ES"/>
        </w:rPr>
        <w:t>A</w:t>
      </w:r>
      <w:r w:rsidR="00546709" w:rsidRPr="00591584">
        <w:rPr>
          <w:lang w:val="es-ES"/>
        </w:rPr>
        <w:t xml:space="preserve">nexo </w:t>
      </w:r>
      <w:r w:rsidRPr="00591584">
        <w:rPr>
          <w:lang w:val="es-ES"/>
        </w:rPr>
        <w:t>describe los métodos para medir y evaluar el ruido radioeléctrico en el marco de aplicaciones prácticas de radiocomunicaciones.</w:t>
      </w:r>
    </w:p>
    <w:p w:rsidR="002B3327" w:rsidRPr="00591584" w:rsidRDefault="002B3327" w:rsidP="002A55BE">
      <w:pPr>
        <w:pStyle w:val="Heading1"/>
        <w:rPr>
          <w:lang w:val="es-ES"/>
        </w:rPr>
      </w:pPr>
      <w:r w:rsidRPr="00591584">
        <w:rPr>
          <w:lang w:val="es-ES"/>
        </w:rPr>
        <w:t>2</w:t>
      </w:r>
      <w:r w:rsidRPr="00591584">
        <w:rPr>
          <w:lang w:val="es-ES"/>
        </w:rPr>
        <w:tab/>
        <w:t>Fuentes de ruido radioeléctrico</w:t>
      </w:r>
    </w:p>
    <w:p w:rsidR="002B3327" w:rsidRPr="00591584" w:rsidRDefault="002B3327" w:rsidP="002A55BE">
      <w:pPr>
        <w:pStyle w:val="enumlev1"/>
        <w:keepNext/>
        <w:keepLines/>
        <w:rPr>
          <w:lang w:val="es-ES"/>
        </w:rPr>
      </w:pPr>
      <w:r w:rsidRPr="00591584">
        <w:rPr>
          <w:lang w:val="es-ES"/>
        </w:rPr>
        <w:t>–</w:t>
      </w:r>
      <w:r w:rsidRPr="00591584">
        <w:rPr>
          <w:lang w:val="es-ES"/>
        </w:rPr>
        <w:tab/>
        <w:t>radiación procedente de descargas del rayo (ruido atmosférico debido al rayo);</w:t>
      </w:r>
    </w:p>
    <w:p w:rsidR="002B3327" w:rsidRPr="00591584" w:rsidRDefault="002B3327" w:rsidP="002A55BE">
      <w:pPr>
        <w:pStyle w:val="enumlev1"/>
        <w:rPr>
          <w:lang w:val="es-ES"/>
        </w:rPr>
      </w:pPr>
      <w:r w:rsidRPr="00591584">
        <w:rPr>
          <w:lang w:val="es-ES"/>
        </w:rPr>
        <w:t>–</w:t>
      </w:r>
      <w:r w:rsidRPr="00591584">
        <w:rPr>
          <w:lang w:val="es-ES"/>
        </w:rPr>
        <w:tab/>
        <w:t>la suma de radiación no intencionada procedente de maquinaria eléctrica, equipos eléctricos y electrónicos, líneas de transmisión de energía o sistemas de encendido de motores de combustión interna (ruido artificial);</w:t>
      </w:r>
    </w:p>
    <w:p w:rsidR="002B3327" w:rsidRPr="00591584" w:rsidRDefault="002B3327" w:rsidP="002A55BE">
      <w:pPr>
        <w:pStyle w:val="enumlev1"/>
        <w:rPr>
          <w:lang w:val="es-ES"/>
        </w:rPr>
      </w:pPr>
      <w:r w:rsidRPr="00591584">
        <w:rPr>
          <w:lang w:val="es-ES"/>
        </w:rPr>
        <w:t>–</w:t>
      </w:r>
      <w:r w:rsidRPr="00591584">
        <w:rPr>
          <w:lang w:val="es-ES"/>
        </w:rPr>
        <w:tab/>
        <w:t>emisiones procedentes de hidrometeoros y de gases atmosféricos;</w:t>
      </w:r>
    </w:p>
    <w:p w:rsidR="002B3327" w:rsidRPr="00591584" w:rsidRDefault="002B3327" w:rsidP="002A55BE">
      <w:pPr>
        <w:pStyle w:val="enumlev1"/>
        <w:rPr>
          <w:lang w:val="es-ES"/>
        </w:rPr>
      </w:pPr>
      <w:r w:rsidRPr="00591584">
        <w:rPr>
          <w:lang w:val="es-ES"/>
        </w:rPr>
        <w:lastRenderedPageBreak/>
        <w:t>–</w:t>
      </w:r>
      <w:r w:rsidRPr="00591584">
        <w:rPr>
          <w:lang w:val="es-ES"/>
        </w:rPr>
        <w:tab/>
        <w:t>la superficie u otros obstáculos situados dentro del haz de antena;</w:t>
      </w:r>
    </w:p>
    <w:p w:rsidR="002B3327" w:rsidRPr="00591584" w:rsidRDefault="002B3327" w:rsidP="002A55BE">
      <w:pPr>
        <w:pStyle w:val="enumlev1"/>
        <w:rPr>
          <w:lang w:val="es-ES"/>
        </w:rPr>
      </w:pPr>
      <w:r w:rsidRPr="00591584">
        <w:rPr>
          <w:lang w:val="es-ES"/>
        </w:rPr>
        <w:t>–</w:t>
      </w:r>
      <w:r w:rsidRPr="00591584">
        <w:rPr>
          <w:lang w:val="es-ES"/>
        </w:rPr>
        <w:tab/>
        <w:t>la radiación procedente de fuentes radioeléctricas cósmicas.</w:t>
      </w:r>
    </w:p>
    <w:p w:rsidR="002B3327" w:rsidRPr="00591584" w:rsidRDefault="002B3327" w:rsidP="00546709">
      <w:pPr>
        <w:rPr>
          <w:lang w:val="es-ES"/>
        </w:rPr>
      </w:pPr>
      <w:r w:rsidRPr="00591584">
        <w:rPr>
          <w:lang w:val="es-ES"/>
        </w:rPr>
        <w:t xml:space="preserve">Si bien no es probable que el ruido debido a causa naturales varíe significativamente a lo largo de amplios periodos de tiempo, el ruido artificial </w:t>
      </w:r>
      <w:r>
        <w:rPr>
          <w:lang w:val="es-ES"/>
        </w:rPr>
        <w:t>(</w:t>
      </w:r>
      <w:r w:rsidRPr="00591584">
        <w:rPr>
          <w:lang w:val="es-ES"/>
        </w:rPr>
        <w:t>MMN</w:t>
      </w:r>
      <w:r>
        <w:rPr>
          <w:lang w:val="es-ES"/>
        </w:rPr>
        <w:t>,</w:t>
      </w:r>
      <w:r w:rsidRPr="00591584">
        <w:rPr>
          <w:lang w:val="es-ES"/>
        </w:rPr>
        <w:t xml:space="preserve"> </w:t>
      </w:r>
      <w:r w:rsidRPr="009C6609">
        <w:rPr>
          <w:i/>
          <w:iCs/>
          <w:lang w:val="es-ES"/>
        </w:rPr>
        <w:t>man</w:t>
      </w:r>
      <w:r w:rsidR="00546709">
        <w:rPr>
          <w:i/>
          <w:iCs/>
          <w:lang w:val="es-ES"/>
        </w:rPr>
        <w:t>-</w:t>
      </w:r>
      <w:r w:rsidRPr="009C6609">
        <w:rPr>
          <w:i/>
          <w:iCs/>
          <w:lang w:val="es-ES"/>
        </w:rPr>
        <w:t>made noise</w:t>
      </w:r>
      <w:r w:rsidRPr="00591584">
        <w:rPr>
          <w:lang w:val="es-ES"/>
        </w:rPr>
        <w:t>) a menudo es el que predomina en algunas partes del espectro radioeléctrico y su intensidad puede cambiar al aumentar la densidad de utilización de dispositivos eléctricos y electrónicos, con la introducción de nuevos tipos de dispositivos y con las modificaciones introducidas en las medidas destinadas a mejorar la compatibilidad electromagnética. Por consiguiente, el ruido artificial es el tipo de ruido que interesa fundamentalmente cuando se llevan a cabo mediciones de ruido radioeléctrico.</w:t>
      </w:r>
    </w:p>
    <w:p w:rsidR="002B3327" w:rsidRPr="00591584" w:rsidRDefault="002B3327" w:rsidP="002B3327">
      <w:pPr>
        <w:pStyle w:val="TableNo"/>
        <w:rPr>
          <w:lang w:val="es-ES"/>
        </w:rPr>
      </w:pPr>
      <w:r w:rsidRPr="00591584">
        <w:rPr>
          <w:lang w:val="es-ES"/>
        </w:rPr>
        <w:t>CUADRO 1</w:t>
      </w:r>
    </w:p>
    <w:p w:rsidR="002B3327" w:rsidRPr="00591584" w:rsidRDefault="002B3327" w:rsidP="002B3327">
      <w:pPr>
        <w:pStyle w:val="Tabletitle"/>
        <w:rPr>
          <w:lang w:val="es-ES"/>
        </w:rPr>
      </w:pPr>
      <w:r w:rsidRPr="00591584">
        <w:rPr>
          <w:lang w:val="es-ES"/>
        </w:rPr>
        <w:t>Predominio de las fuentes de ruido radioeléctrico</w:t>
      </w:r>
      <w:r>
        <w:rPr>
          <w:lang w:val="es-ES"/>
        </w:rPr>
        <w:br/>
      </w:r>
      <w:r w:rsidRPr="00591584">
        <w:rPr>
          <w:lang w:val="es-ES"/>
        </w:rPr>
        <w:t>según la gama de frecuencias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678"/>
        <w:gridCol w:w="2693"/>
      </w:tblGrid>
      <w:tr w:rsidR="002B3327" w:rsidRPr="00591584" w:rsidTr="005D140F">
        <w:trPr>
          <w:jc w:val="center"/>
        </w:trPr>
        <w:tc>
          <w:tcPr>
            <w:tcW w:w="4678" w:type="dxa"/>
          </w:tcPr>
          <w:p w:rsidR="002B3327" w:rsidRPr="00591584" w:rsidRDefault="002B3327" w:rsidP="005D140F">
            <w:pPr>
              <w:pStyle w:val="Tablehead"/>
              <w:rPr>
                <w:lang w:val="es-ES"/>
              </w:rPr>
            </w:pPr>
            <w:r w:rsidRPr="00591584">
              <w:rPr>
                <w:lang w:val="es-ES"/>
              </w:rPr>
              <w:t>Fuente de ruido</w:t>
            </w:r>
          </w:p>
        </w:tc>
        <w:tc>
          <w:tcPr>
            <w:tcW w:w="2693" w:type="dxa"/>
          </w:tcPr>
          <w:p w:rsidR="002B3327" w:rsidRPr="00591584" w:rsidRDefault="002B3327" w:rsidP="005D140F">
            <w:pPr>
              <w:pStyle w:val="Tablehead"/>
              <w:rPr>
                <w:lang w:val="es-ES"/>
              </w:rPr>
            </w:pPr>
            <w:r w:rsidRPr="00591584">
              <w:rPr>
                <w:lang w:val="es-ES"/>
              </w:rPr>
              <w:t>Gama de frecuencias</w:t>
            </w:r>
          </w:p>
        </w:tc>
      </w:tr>
      <w:tr w:rsidR="002B3327" w:rsidRPr="00591584" w:rsidTr="005D140F">
        <w:trPr>
          <w:jc w:val="center"/>
        </w:trPr>
        <w:tc>
          <w:tcPr>
            <w:tcW w:w="4678" w:type="dxa"/>
          </w:tcPr>
          <w:p w:rsidR="002B3327" w:rsidRPr="00591584" w:rsidRDefault="002B3327" w:rsidP="002A55BE">
            <w:pPr>
              <w:pStyle w:val="Tabletext"/>
              <w:jc w:val="left"/>
              <w:rPr>
                <w:u w:color="000000"/>
                <w:lang w:val="es-ES"/>
              </w:rPr>
            </w:pPr>
            <w:r w:rsidRPr="00591584">
              <w:rPr>
                <w:u w:color="000000"/>
                <w:lang w:val="es-ES"/>
              </w:rPr>
              <w:t>Ruido atmosférico debido al rayo</w:t>
            </w:r>
          </w:p>
        </w:tc>
        <w:tc>
          <w:tcPr>
            <w:tcW w:w="2693" w:type="dxa"/>
          </w:tcPr>
          <w:p w:rsidR="002B3327" w:rsidRPr="00591584" w:rsidRDefault="002B3327" w:rsidP="002A55BE">
            <w:pPr>
              <w:pStyle w:val="Tabletext"/>
              <w:jc w:val="center"/>
              <w:rPr>
                <w:u w:color="000000"/>
                <w:lang w:val="es-ES"/>
              </w:rPr>
            </w:pPr>
            <w:r w:rsidRPr="00591584">
              <w:rPr>
                <w:u w:color="000000"/>
                <w:lang w:val="es-ES"/>
              </w:rPr>
              <w:t>9 kHz a 30 MHz</w:t>
            </w:r>
          </w:p>
        </w:tc>
      </w:tr>
      <w:tr w:rsidR="002B3327" w:rsidRPr="00591584" w:rsidTr="005D140F">
        <w:trPr>
          <w:jc w:val="center"/>
        </w:trPr>
        <w:tc>
          <w:tcPr>
            <w:tcW w:w="4678" w:type="dxa"/>
          </w:tcPr>
          <w:p w:rsidR="002B3327" w:rsidRPr="00591584" w:rsidRDefault="002B3327" w:rsidP="002A55BE">
            <w:pPr>
              <w:pStyle w:val="Tabletext"/>
              <w:jc w:val="left"/>
              <w:rPr>
                <w:u w:color="000000"/>
                <w:lang w:val="es-ES"/>
              </w:rPr>
            </w:pPr>
            <w:r w:rsidRPr="00591584">
              <w:rPr>
                <w:u w:color="000000"/>
                <w:lang w:val="es-ES"/>
              </w:rPr>
              <w:t>Ruido cósmico</w:t>
            </w:r>
          </w:p>
        </w:tc>
        <w:tc>
          <w:tcPr>
            <w:tcW w:w="2693" w:type="dxa"/>
          </w:tcPr>
          <w:p w:rsidR="002B3327" w:rsidRPr="00591584" w:rsidRDefault="002B3327" w:rsidP="002A55BE">
            <w:pPr>
              <w:pStyle w:val="Tabletext"/>
              <w:jc w:val="center"/>
              <w:rPr>
                <w:u w:color="000000"/>
                <w:lang w:val="es-ES"/>
              </w:rPr>
            </w:pPr>
            <w:r w:rsidRPr="00591584">
              <w:rPr>
                <w:u w:color="000000"/>
                <w:lang w:val="es-ES"/>
              </w:rPr>
              <w:t>4 MHz a 100 MHz</w:t>
            </w:r>
          </w:p>
        </w:tc>
      </w:tr>
      <w:tr w:rsidR="002B3327" w:rsidRPr="00591584" w:rsidTr="005D140F">
        <w:trPr>
          <w:jc w:val="center"/>
        </w:trPr>
        <w:tc>
          <w:tcPr>
            <w:tcW w:w="4678" w:type="dxa"/>
          </w:tcPr>
          <w:p w:rsidR="002B3327" w:rsidRPr="00591584" w:rsidRDefault="002B3327" w:rsidP="002A55BE">
            <w:pPr>
              <w:pStyle w:val="Tabletext"/>
              <w:jc w:val="left"/>
              <w:rPr>
                <w:u w:color="000000"/>
                <w:lang w:val="es-ES"/>
              </w:rPr>
            </w:pPr>
            <w:r w:rsidRPr="00591584">
              <w:rPr>
                <w:u w:color="000000"/>
                <w:lang w:val="es-ES"/>
              </w:rPr>
              <w:t>Ruido artificial</w:t>
            </w:r>
          </w:p>
        </w:tc>
        <w:tc>
          <w:tcPr>
            <w:tcW w:w="2693" w:type="dxa"/>
          </w:tcPr>
          <w:p w:rsidR="002B3327" w:rsidRPr="00591584" w:rsidRDefault="002B3327" w:rsidP="002A55BE">
            <w:pPr>
              <w:pStyle w:val="Tabletext"/>
              <w:jc w:val="center"/>
              <w:rPr>
                <w:u w:color="000000"/>
                <w:lang w:val="es-ES"/>
              </w:rPr>
            </w:pPr>
            <w:r w:rsidRPr="00591584">
              <w:rPr>
                <w:u w:color="000000"/>
                <w:lang w:val="es-ES"/>
              </w:rPr>
              <w:t>9 kHz a 1 GHz</w:t>
            </w:r>
          </w:p>
        </w:tc>
      </w:tr>
      <w:tr w:rsidR="002B3327" w:rsidRPr="00591584" w:rsidTr="005D140F">
        <w:trPr>
          <w:jc w:val="center"/>
        </w:trPr>
        <w:tc>
          <w:tcPr>
            <w:tcW w:w="4678" w:type="dxa"/>
          </w:tcPr>
          <w:p w:rsidR="002B3327" w:rsidRPr="00591584" w:rsidRDefault="002B3327" w:rsidP="002A55BE">
            <w:pPr>
              <w:pStyle w:val="Tabletext"/>
              <w:jc w:val="left"/>
              <w:rPr>
                <w:u w:color="000000"/>
                <w:lang w:val="es-ES"/>
              </w:rPr>
            </w:pPr>
            <w:r w:rsidRPr="00591584">
              <w:rPr>
                <w:u w:color="000000"/>
                <w:lang w:val="es-ES"/>
              </w:rPr>
              <w:t>Emisiones procedentes de gases atmosféricos, etc.</w:t>
            </w:r>
          </w:p>
        </w:tc>
        <w:tc>
          <w:tcPr>
            <w:tcW w:w="2693" w:type="dxa"/>
          </w:tcPr>
          <w:p w:rsidR="002B3327" w:rsidRPr="00591584" w:rsidRDefault="002B3327" w:rsidP="002A55BE">
            <w:pPr>
              <w:pStyle w:val="Tabletext"/>
              <w:jc w:val="center"/>
              <w:rPr>
                <w:u w:color="000000"/>
                <w:lang w:val="es-ES"/>
              </w:rPr>
            </w:pPr>
            <w:r w:rsidRPr="00591584">
              <w:rPr>
                <w:u w:color="000000"/>
                <w:lang w:val="es-ES"/>
              </w:rPr>
              <w:t>Por encima de 10 GHz</w:t>
            </w:r>
          </w:p>
        </w:tc>
      </w:tr>
    </w:tbl>
    <w:p w:rsidR="002B3327" w:rsidRPr="00591584" w:rsidRDefault="002B3327" w:rsidP="002A55BE">
      <w:pPr>
        <w:pStyle w:val="Tablefin"/>
        <w:jc w:val="left"/>
        <w:rPr>
          <w:lang w:val="es-ES"/>
        </w:rPr>
      </w:pPr>
    </w:p>
    <w:p w:rsidR="002B3327" w:rsidRPr="00591584" w:rsidRDefault="002B3327" w:rsidP="002A55BE">
      <w:pPr>
        <w:pStyle w:val="Heading1"/>
        <w:rPr>
          <w:lang w:val="es-ES"/>
        </w:rPr>
      </w:pPr>
      <w:r w:rsidRPr="00591584">
        <w:rPr>
          <w:lang w:val="es-ES"/>
        </w:rPr>
        <w:t>3</w:t>
      </w:r>
      <w:r w:rsidRPr="00591584">
        <w:rPr>
          <w:lang w:val="es-ES"/>
        </w:rPr>
        <w:tab/>
        <w:t>Componentes del ruido radioeléctrico</w:t>
      </w:r>
    </w:p>
    <w:p w:rsidR="002B3327" w:rsidRPr="00591584" w:rsidRDefault="002B3327" w:rsidP="002A55BE">
      <w:pPr>
        <w:rPr>
          <w:lang w:val="es-ES"/>
        </w:rPr>
      </w:pPr>
      <w:r w:rsidRPr="00591584">
        <w:rPr>
          <w:lang w:val="es-ES"/>
        </w:rPr>
        <w:t>Utilizando la definición que aparece en la Recomendación UIT</w:t>
      </w:r>
      <w:r w:rsidRPr="00591584">
        <w:rPr>
          <w:lang w:val="es-ES"/>
        </w:rPr>
        <w:noBreakHyphen/>
        <w:t xml:space="preserve">R P.372, el ruido radioeléctrico es la combinación de emisiones procedentes de múltiples fuentes cuyo origen no son los transmisores de radiocomunicaciones. Si en un emplazamiento de medición determinado no predomina una fuente de ruido única, la característica del ruido radioeléctrico normalmente presenta una distribución de amplitud normal y puede considerarse un ruido blanco gaussiano. </w:t>
      </w:r>
    </w:p>
    <w:p w:rsidR="002B3327" w:rsidRPr="00591584" w:rsidRDefault="002B3327" w:rsidP="002A55BE">
      <w:pPr>
        <w:rPr>
          <w:lang w:val="es-ES"/>
        </w:rPr>
      </w:pPr>
      <w:r w:rsidRPr="00591584">
        <w:rPr>
          <w:lang w:val="es-ES"/>
        </w:rPr>
        <w:t>Sin embargo, teniendo en cu</w:t>
      </w:r>
      <w:r>
        <w:rPr>
          <w:lang w:val="es-ES"/>
        </w:rPr>
        <w:t>e</w:t>
      </w:r>
      <w:r w:rsidRPr="00591584">
        <w:rPr>
          <w:lang w:val="es-ES"/>
        </w:rPr>
        <w:t xml:space="preserve">nta la elevada densidad de dispositivos emisores de ruido, especialmente en las ciudades y en las zonas residenciales, es virtualmente imposible encontrar un emplazamiento que no esté, al menos temporalmente, dominado por el ruido o las emisiones procedentes de una sola fuente. Estas fuentes a menudo emiten impulsos o portadoras únicas. Como los equipos de radiocomunicaciones tienen que funcionar en dichos entornos, no es realista excluir estas componentes de las mediciones del ruido radioeléctrico. </w:t>
      </w:r>
    </w:p>
    <w:p w:rsidR="002B3327" w:rsidRPr="00591584" w:rsidRDefault="002B3327" w:rsidP="002B3327">
      <w:pPr>
        <w:pStyle w:val="TableNo"/>
        <w:rPr>
          <w:lang w:val="es-ES"/>
        </w:rPr>
      </w:pPr>
      <w:r w:rsidRPr="00591584">
        <w:rPr>
          <w:lang w:val="es-ES"/>
        </w:rPr>
        <w:t>CUADRO 2</w:t>
      </w:r>
    </w:p>
    <w:p w:rsidR="002B3327" w:rsidRPr="00591584" w:rsidRDefault="002B3327" w:rsidP="002B3327">
      <w:pPr>
        <w:pStyle w:val="Tabletitle"/>
        <w:rPr>
          <w:lang w:val="es-ES"/>
        </w:rPr>
      </w:pPr>
      <w:r w:rsidRPr="00591584">
        <w:rPr>
          <w:lang w:val="es-ES"/>
        </w:rPr>
        <w:t>Componentes del ruido radioeléctrico</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3175"/>
        <w:gridCol w:w="3232"/>
        <w:gridCol w:w="3232"/>
      </w:tblGrid>
      <w:tr w:rsidR="002B3327" w:rsidRPr="00591584" w:rsidTr="002A55BE">
        <w:trPr>
          <w:jc w:val="center"/>
        </w:trPr>
        <w:tc>
          <w:tcPr>
            <w:tcW w:w="3175" w:type="dxa"/>
            <w:tcBorders>
              <w:top w:val="single" w:sz="2" w:space="0" w:color="auto"/>
              <w:left w:val="single" w:sz="2" w:space="0" w:color="auto"/>
              <w:bottom w:val="single" w:sz="2" w:space="0" w:color="auto"/>
              <w:right w:val="single" w:sz="2" w:space="0" w:color="auto"/>
            </w:tcBorders>
          </w:tcPr>
          <w:p w:rsidR="002B3327" w:rsidRPr="00591584" w:rsidRDefault="002B3327" w:rsidP="005D140F">
            <w:pPr>
              <w:pStyle w:val="Tablehead"/>
              <w:rPr>
                <w:lang w:val="es-ES"/>
              </w:rPr>
            </w:pPr>
            <w:r w:rsidRPr="00591584">
              <w:rPr>
                <w:lang w:val="es-ES"/>
              </w:rPr>
              <w:t>Componente del ruido</w:t>
            </w:r>
          </w:p>
        </w:tc>
        <w:tc>
          <w:tcPr>
            <w:tcW w:w="3232" w:type="dxa"/>
            <w:tcBorders>
              <w:top w:val="single" w:sz="2" w:space="0" w:color="auto"/>
              <w:left w:val="single" w:sz="2" w:space="0" w:color="auto"/>
              <w:bottom w:val="single" w:sz="2" w:space="0" w:color="auto"/>
              <w:right w:val="single" w:sz="2" w:space="0" w:color="auto"/>
            </w:tcBorders>
          </w:tcPr>
          <w:p w:rsidR="002B3327" w:rsidRPr="00591584" w:rsidRDefault="002B3327" w:rsidP="005D140F">
            <w:pPr>
              <w:pStyle w:val="Tablehead"/>
              <w:rPr>
                <w:lang w:val="es-ES"/>
              </w:rPr>
            </w:pPr>
            <w:r w:rsidRPr="00591584">
              <w:rPr>
                <w:lang w:val="es-ES"/>
              </w:rPr>
              <w:t>Propiedades</w:t>
            </w:r>
          </w:p>
        </w:tc>
        <w:tc>
          <w:tcPr>
            <w:tcW w:w="3232" w:type="dxa"/>
            <w:tcBorders>
              <w:top w:val="single" w:sz="2" w:space="0" w:color="auto"/>
              <w:left w:val="single" w:sz="2" w:space="0" w:color="auto"/>
              <w:bottom w:val="single" w:sz="2" w:space="0" w:color="auto"/>
              <w:right w:val="single" w:sz="2" w:space="0" w:color="auto"/>
            </w:tcBorders>
          </w:tcPr>
          <w:p w:rsidR="002B3327" w:rsidRPr="00591584" w:rsidRDefault="002B3327" w:rsidP="005D140F">
            <w:pPr>
              <w:pStyle w:val="Tablehead"/>
              <w:rPr>
                <w:lang w:val="es-ES"/>
              </w:rPr>
            </w:pPr>
            <w:r w:rsidRPr="00591584">
              <w:rPr>
                <w:lang w:val="es-ES"/>
              </w:rPr>
              <w:t>Fuentes (ejemplos)</w:t>
            </w:r>
          </w:p>
        </w:tc>
      </w:tr>
      <w:tr w:rsidR="002B3327" w:rsidRPr="00151803" w:rsidTr="002A55BE">
        <w:trPr>
          <w:jc w:val="center"/>
        </w:trPr>
        <w:tc>
          <w:tcPr>
            <w:tcW w:w="3175" w:type="dxa"/>
            <w:tcBorders>
              <w:top w:val="single" w:sz="2" w:space="0" w:color="auto"/>
              <w:left w:val="single" w:sz="2" w:space="0" w:color="auto"/>
              <w:bottom w:val="single" w:sz="2" w:space="0" w:color="auto"/>
              <w:right w:val="single" w:sz="2" w:space="0" w:color="auto"/>
            </w:tcBorders>
          </w:tcPr>
          <w:p w:rsidR="002B3327" w:rsidRPr="00591584" w:rsidRDefault="002B3327" w:rsidP="002A55BE">
            <w:pPr>
              <w:pStyle w:val="Tabletext"/>
              <w:jc w:val="left"/>
              <w:rPr>
                <w:lang w:val="es-ES"/>
              </w:rPr>
            </w:pPr>
            <w:r w:rsidRPr="00591584">
              <w:rPr>
                <w:lang w:val="es-ES"/>
              </w:rPr>
              <w:t>Ruido blanco gaussiano</w:t>
            </w:r>
            <w:r w:rsidRPr="00591584">
              <w:rPr>
                <w:vertAlign w:val="superscript"/>
                <w:lang w:val="es-ES"/>
              </w:rPr>
              <w:t>(1)</w:t>
            </w:r>
            <w:r w:rsidRPr="00591584">
              <w:rPr>
                <w:lang w:val="es-ES"/>
              </w:rPr>
              <w:t xml:space="preserve"> (WGN)</w:t>
            </w:r>
          </w:p>
        </w:tc>
        <w:tc>
          <w:tcPr>
            <w:tcW w:w="3232" w:type="dxa"/>
            <w:tcBorders>
              <w:top w:val="single" w:sz="2" w:space="0" w:color="auto"/>
              <w:left w:val="single" w:sz="2" w:space="0" w:color="auto"/>
              <w:bottom w:val="single" w:sz="2" w:space="0" w:color="auto"/>
              <w:right w:val="single" w:sz="2" w:space="0" w:color="auto"/>
            </w:tcBorders>
          </w:tcPr>
          <w:p w:rsidR="002B3327" w:rsidRPr="00591584" w:rsidRDefault="002B3327" w:rsidP="002A55BE">
            <w:pPr>
              <w:pStyle w:val="Tabletext"/>
              <w:jc w:val="left"/>
              <w:rPr>
                <w:lang w:val="es-ES"/>
              </w:rPr>
            </w:pPr>
            <w:r w:rsidRPr="00591584">
              <w:rPr>
                <w:lang w:val="es-ES"/>
              </w:rPr>
              <w:t>Vectores electromagnéticos no correlados</w:t>
            </w:r>
            <w:r w:rsidR="00546709">
              <w:rPr>
                <w:lang w:val="es-ES"/>
              </w:rPr>
              <w:t>.</w:t>
            </w:r>
          </w:p>
          <w:p w:rsidR="002B3327" w:rsidRPr="00591584" w:rsidRDefault="002B3327" w:rsidP="002A55BE">
            <w:pPr>
              <w:pStyle w:val="Tabletext"/>
              <w:jc w:val="left"/>
              <w:rPr>
                <w:lang w:val="es-ES"/>
              </w:rPr>
            </w:pPr>
            <w:r w:rsidRPr="00591584">
              <w:rPr>
                <w:lang w:val="es-ES"/>
              </w:rPr>
              <w:t>Anchura de banda igual o mayor que la anchura de banda del receptor</w:t>
            </w:r>
            <w:r w:rsidR="00546709">
              <w:rPr>
                <w:lang w:val="es-ES"/>
              </w:rPr>
              <w:t>.</w:t>
            </w:r>
          </w:p>
          <w:p w:rsidR="002B3327" w:rsidRPr="00591584" w:rsidRDefault="002B3327" w:rsidP="00546709">
            <w:pPr>
              <w:pStyle w:val="Tabletext"/>
              <w:jc w:val="left"/>
              <w:rPr>
                <w:u w:color="000000"/>
                <w:lang w:val="es-ES"/>
              </w:rPr>
            </w:pPr>
            <w:r w:rsidRPr="00591584">
              <w:rPr>
                <w:lang w:val="es-ES"/>
              </w:rPr>
              <w:t>El nivel espectral de potencia aumenta de forma lineal con la anchura de banda</w:t>
            </w:r>
          </w:p>
        </w:tc>
        <w:tc>
          <w:tcPr>
            <w:tcW w:w="3232" w:type="dxa"/>
            <w:tcBorders>
              <w:top w:val="single" w:sz="2" w:space="0" w:color="auto"/>
              <w:left w:val="single" w:sz="2" w:space="0" w:color="auto"/>
              <w:bottom w:val="single" w:sz="2" w:space="0" w:color="auto"/>
              <w:right w:val="single" w:sz="2" w:space="0" w:color="auto"/>
            </w:tcBorders>
          </w:tcPr>
          <w:p w:rsidR="002B3327" w:rsidRPr="00591584" w:rsidRDefault="002B3327" w:rsidP="002A55BE">
            <w:pPr>
              <w:pStyle w:val="Tabletext"/>
              <w:jc w:val="left"/>
              <w:rPr>
                <w:u w:color="000000"/>
                <w:lang w:val="es-ES"/>
              </w:rPr>
            </w:pPr>
            <w:r w:rsidRPr="00591584">
              <w:rPr>
                <w:lang w:val="es-ES"/>
              </w:rPr>
              <w:t>Ordenadores, redes de comunicaciones por líneas de transporte y distribución de energía eléctrica, redes informáticas cableadas, ruido cósmico</w:t>
            </w:r>
          </w:p>
        </w:tc>
      </w:tr>
    </w:tbl>
    <w:p w:rsidR="00B86A13" w:rsidRPr="00591584" w:rsidRDefault="00B86A13" w:rsidP="00B86A13">
      <w:pPr>
        <w:pStyle w:val="Tablefin"/>
        <w:rPr>
          <w:u w:color="000000"/>
          <w:lang w:val="es-ES"/>
        </w:rPr>
      </w:pPr>
    </w:p>
    <w:p w:rsidR="00B86A13" w:rsidRPr="00591584" w:rsidRDefault="00B86A13" w:rsidP="00B86A13">
      <w:pPr>
        <w:pStyle w:val="TableNo"/>
        <w:rPr>
          <w:lang w:val="es-ES"/>
        </w:rPr>
      </w:pPr>
      <w:r w:rsidRPr="00591584">
        <w:rPr>
          <w:lang w:val="es-ES"/>
        </w:rPr>
        <w:lastRenderedPageBreak/>
        <w:t>CUADRO 2</w:t>
      </w:r>
      <w:r>
        <w:rPr>
          <w:lang w:val="es-ES"/>
        </w:rPr>
        <w:t xml:space="preserve"> (</w:t>
      </w:r>
      <w:r w:rsidRPr="00B86A13">
        <w:rPr>
          <w:i/>
          <w:iCs/>
          <w:lang w:val="es-ES"/>
        </w:rPr>
        <w:t>Fin</w:t>
      </w:r>
      <w:r>
        <w:rPr>
          <w:lang w:val="es-ES"/>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3175"/>
        <w:gridCol w:w="3232"/>
        <w:gridCol w:w="3232"/>
      </w:tblGrid>
      <w:tr w:rsidR="00B86A13" w:rsidRPr="00591584" w:rsidTr="006A041D">
        <w:trPr>
          <w:jc w:val="center"/>
        </w:trPr>
        <w:tc>
          <w:tcPr>
            <w:tcW w:w="3175" w:type="dxa"/>
            <w:tcBorders>
              <w:top w:val="single" w:sz="2" w:space="0" w:color="auto"/>
              <w:left w:val="single" w:sz="2" w:space="0" w:color="auto"/>
              <w:bottom w:val="single" w:sz="2" w:space="0" w:color="auto"/>
              <w:right w:val="single" w:sz="2" w:space="0" w:color="auto"/>
            </w:tcBorders>
          </w:tcPr>
          <w:p w:rsidR="00B86A13" w:rsidRPr="00591584" w:rsidRDefault="00B86A13" w:rsidP="006A041D">
            <w:pPr>
              <w:pStyle w:val="Tablehead"/>
              <w:rPr>
                <w:lang w:val="es-ES"/>
              </w:rPr>
            </w:pPr>
            <w:r w:rsidRPr="00591584">
              <w:rPr>
                <w:lang w:val="es-ES"/>
              </w:rPr>
              <w:t>Componente del ruido</w:t>
            </w:r>
          </w:p>
        </w:tc>
        <w:tc>
          <w:tcPr>
            <w:tcW w:w="3232" w:type="dxa"/>
            <w:tcBorders>
              <w:top w:val="single" w:sz="2" w:space="0" w:color="auto"/>
              <w:left w:val="single" w:sz="2" w:space="0" w:color="auto"/>
              <w:bottom w:val="single" w:sz="2" w:space="0" w:color="auto"/>
              <w:right w:val="single" w:sz="2" w:space="0" w:color="auto"/>
            </w:tcBorders>
          </w:tcPr>
          <w:p w:rsidR="00B86A13" w:rsidRPr="00591584" w:rsidRDefault="00B86A13" w:rsidP="006A041D">
            <w:pPr>
              <w:pStyle w:val="Tablehead"/>
              <w:rPr>
                <w:lang w:val="es-ES"/>
              </w:rPr>
            </w:pPr>
            <w:r w:rsidRPr="00591584">
              <w:rPr>
                <w:lang w:val="es-ES"/>
              </w:rPr>
              <w:t>Propiedades</w:t>
            </w:r>
          </w:p>
        </w:tc>
        <w:tc>
          <w:tcPr>
            <w:tcW w:w="3232" w:type="dxa"/>
            <w:tcBorders>
              <w:top w:val="single" w:sz="2" w:space="0" w:color="auto"/>
              <w:left w:val="single" w:sz="2" w:space="0" w:color="auto"/>
              <w:bottom w:val="single" w:sz="2" w:space="0" w:color="auto"/>
              <w:right w:val="single" w:sz="2" w:space="0" w:color="auto"/>
            </w:tcBorders>
          </w:tcPr>
          <w:p w:rsidR="00B86A13" w:rsidRPr="00591584" w:rsidRDefault="00B86A13" w:rsidP="006A041D">
            <w:pPr>
              <w:pStyle w:val="Tablehead"/>
              <w:rPr>
                <w:lang w:val="es-ES"/>
              </w:rPr>
            </w:pPr>
            <w:r w:rsidRPr="00591584">
              <w:rPr>
                <w:lang w:val="es-ES"/>
              </w:rPr>
              <w:t>Fuentes (ejemplos)</w:t>
            </w:r>
          </w:p>
        </w:tc>
      </w:tr>
      <w:tr w:rsidR="002B3327" w:rsidRPr="00151803" w:rsidTr="002A55BE">
        <w:trPr>
          <w:jc w:val="center"/>
        </w:trPr>
        <w:tc>
          <w:tcPr>
            <w:tcW w:w="3175" w:type="dxa"/>
            <w:tcBorders>
              <w:top w:val="single" w:sz="2" w:space="0" w:color="auto"/>
              <w:left w:val="single" w:sz="2" w:space="0" w:color="auto"/>
              <w:bottom w:val="single" w:sz="2" w:space="0" w:color="auto"/>
              <w:right w:val="single" w:sz="2" w:space="0" w:color="auto"/>
            </w:tcBorders>
          </w:tcPr>
          <w:p w:rsidR="002B3327" w:rsidRPr="00591584" w:rsidRDefault="002B3327" w:rsidP="002A55BE">
            <w:pPr>
              <w:pStyle w:val="Tabletext"/>
              <w:jc w:val="left"/>
              <w:rPr>
                <w:lang w:val="es-ES"/>
              </w:rPr>
            </w:pPr>
            <w:r w:rsidRPr="00591584">
              <w:rPr>
                <w:lang w:val="es-ES"/>
              </w:rPr>
              <w:t>Ruido impulsivo (IN)</w:t>
            </w:r>
          </w:p>
        </w:tc>
        <w:tc>
          <w:tcPr>
            <w:tcW w:w="3232" w:type="dxa"/>
            <w:tcBorders>
              <w:top w:val="single" w:sz="2" w:space="0" w:color="auto"/>
              <w:left w:val="single" w:sz="2" w:space="0" w:color="auto"/>
              <w:bottom w:val="single" w:sz="2" w:space="0" w:color="auto"/>
              <w:right w:val="single" w:sz="2" w:space="0" w:color="auto"/>
            </w:tcBorders>
          </w:tcPr>
          <w:p w:rsidR="002B3327" w:rsidRPr="00591584" w:rsidRDefault="002B3327" w:rsidP="002A55BE">
            <w:pPr>
              <w:pStyle w:val="Tabletext"/>
              <w:jc w:val="left"/>
              <w:rPr>
                <w:lang w:val="es-ES"/>
              </w:rPr>
            </w:pPr>
            <w:r w:rsidRPr="00591584">
              <w:rPr>
                <w:lang w:val="es-ES"/>
              </w:rPr>
              <w:t>Vectores electromagnéticos correlados</w:t>
            </w:r>
            <w:r w:rsidR="00546709">
              <w:rPr>
                <w:lang w:val="es-ES"/>
              </w:rPr>
              <w:t>.</w:t>
            </w:r>
          </w:p>
          <w:p w:rsidR="002B3327" w:rsidRPr="00591584" w:rsidRDefault="002B3327" w:rsidP="002A55BE">
            <w:pPr>
              <w:pStyle w:val="Tabletext"/>
              <w:jc w:val="left"/>
              <w:rPr>
                <w:lang w:val="es-ES"/>
              </w:rPr>
            </w:pPr>
            <w:r w:rsidRPr="00591584">
              <w:rPr>
                <w:lang w:val="es-ES"/>
              </w:rPr>
              <w:t>Anchura de banda mayor que la anchura de banda del receptor</w:t>
            </w:r>
            <w:r w:rsidR="00546709">
              <w:rPr>
                <w:lang w:val="es-ES"/>
              </w:rPr>
              <w:t>.</w:t>
            </w:r>
          </w:p>
          <w:p w:rsidR="002B3327" w:rsidRPr="00591584" w:rsidRDefault="002B3327" w:rsidP="002A55BE">
            <w:pPr>
              <w:pStyle w:val="Tabletext"/>
              <w:jc w:val="left"/>
              <w:rPr>
                <w:u w:color="000000"/>
                <w:lang w:val="es-ES"/>
              </w:rPr>
            </w:pPr>
            <w:r w:rsidRPr="00591584">
              <w:rPr>
                <w:lang w:val="es-ES"/>
              </w:rPr>
              <w:t>El nivel espectral de potencia crece como el cuadrado de la anchura de banda</w:t>
            </w:r>
          </w:p>
        </w:tc>
        <w:tc>
          <w:tcPr>
            <w:tcW w:w="3232" w:type="dxa"/>
            <w:tcBorders>
              <w:top w:val="single" w:sz="2" w:space="0" w:color="auto"/>
              <w:left w:val="single" w:sz="2" w:space="0" w:color="auto"/>
              <w:bottom w:val="single" w:sz="2" w:space="0" w:color="auto"/>
              <w:right w:val="single" w:sz="2" w:space="0" w:color="auto"/>
            </w:tcBorders>
          </w:tcPr>
          <w:p w:rsidR="002B3327" w:rsidRPr="00591584" w:rsidRDefault="002B3327" w:rsidP="002A55BE">
            <w:pPr>
              <w:pStyle w:val="Tabletext"/>
              <w:jc w:val="left"/>
              <w:rPr>
                <w:lang w:val="es-ES"/>
              </w:rPr>
            </w:pPr>
            <w:r w:rsidRPr="00591584">
              <w:rPr>
                <w:lang w:val="es-ES"/>
              </w:rPr>
              <w:t>Chispas de encendido, rayos, cebadores de lámparas de gas, ordenadores, dispositivos de banda ultraamplia</w:t>
            </w:r>
          </w:p>
        </w:tc>
      </w:tr>
      <w:tr w:rsidR="002B3327" w:rsidRPr="00151803" w:rsidTr="002A55BE">
        <w:trPr>
          <w:jc w:val="center"/>
        </w:trPr>
        <w:tc>
          <w:tcPr>
            <w:tcW w:w="3175" w:type="dxa"/>
            <w:tcBorders>
              <w:top w:val="single" w:sz="2" w:space="0" w:color="auto"/>
              <w:bottom w:val="single" w:sz="4" w:space="0" w:color="auto"/>
            </w:tcBorders>
          </w:tcPr>
          <w:p w:rsidR="002B3327" w:rsidRPr="00591584" w:rsidRDefault="002B3327" w:rsidP="002A55BE">
            <w:pPr>
              <w:pStyle w:val="Tabletext"/>
              <w:jc w:val="left"/>
              <w:rPr>
                <w:lang w:val="es-ES"/>
              </w:rPr>
            </w:pPr>
            <w:r w:rsidRPr="00591584">
              <w:rPr>
                <w:lang w:val="es-ES"/>
              </w:rPr>
              <w:t>Ruido de portadora única (SCN)</w:t>
            </w:r>
          </w:p>
        </w:tc>
        <w:tc>
          <w:tcPr>
            <w:tcW w:w="3232" w:type="dxa"/>
            <w:tcBorders>
              <w:top w:val="single" w:sz="2" w:space="0" w:color="auto"/>
              <w:bottom w:val="single" w:sz="4" w:space="0" w:color="auto"/>
            </w:tcBorders>
          </w:tcPr>
          <w:p w:rsidR="002B3327" w:rsidRPr="00591584" w:rsidRDefault="002B3327" w:rsidP="002A55BE">
            <w:pPr>
              <w:pStyle w:val="Tabletext"/>
              <w:jc w:val="left"/>
              <w:rPr>
                <w:lang w:val="es-ES"/>
              </w:rPr>
            </w:pPr>
            <w:r w:rsidRPr="00591584">
              <w:rPr>
                <w:lang w:val="es-ES"/>
              </w:rPr>
              <w:t>Una o más rayas espectrales distintas</w:t>
            </w:r>
            <w:r w:rsidR="00546709">
              <w:rPr>
                <w:lang w:val="es-ES"/>
              </w:rPr>
              <w:t>.</w:t>
            </w:r>
          </w:p>
          <w:p w:rsidR="002B3327" w:rsidRPr="00591584" w:rsidRDefault="002B3327" w:rsidP="002A55BE">
            <w:pPr>
              <w:pStyle w:val="Tabletext"/>
              <w:jc w:val="left"/>
              <w:rPr>
                <w:lang w:val="es-ES"/>
              </w:rPr>
            </w:pPr>
            <w:r w:rsidRPr="00591584">
              <w:rPr>
                <w:lang w:val="es-ES"/>
              </w:rPr>
              <w:t>Anchura de banda más reducida que la anchura de banda del receptor</w:t>
            </w:r>
            <w:r w:rsidR="00546709">
              <w:rPr>
                <w:lang w:val="es-ES"/>
              </w:rPr>
              <w:t>.</w:t>
            </w:r>
          </w:p>
          <w:p w:rsidR="002B3327" w:rsidRPr="00591584" w:rsidRDefault="002B3327" w:rsidP="002A55BE">
            <w:pPr>
              <w:pStyle w:val="Tabletext"/>
              <w:jc w:val="left"/>
              <w:rPr>
                <w:u w:color="000000"/>
                <w:lang w:val="es-ES"/>
              </w:rPr>
            </w:pPr>
            <w:r w:rsidRPr="00591584">
              <w:rPr>
                <w:lang w:val="es-ES"/>
              </w:rPr>
              <w:t>Nivel espectral de potencia independiente de la anchura de banda</w:t>
            </w:r>
          </w:p>
        </w:tc>
        <w:tc>
          <w:tcPr>
            <w:tcW w:w="3232" w:type="dxa"/>
            <w:tcBorders>
              <w:top w:val="single" w:sz="2" w:space="0" w:color="auto"/>
              <w:bottom w:val="single" w:sz="4" w:space="0" w:color="auto"/>
            </w:tcBorders>
          </w:tcPr>
          <w:p w:rsidR="002B3327" w:rsidRPr="00591584" w:rsidRDefault="002B3327" w:rsidP="002A55BE">
            <w:pPr>
              <w:pStyle w:val="Tabletext"/>
              <w:jc w:val="left"/>
              <w:rPr>
                <w:lang w:val="es-ES"/>
              </w:rPr>
            </w:pPr>
            <w:r w:rsidRPr="00591584">
              <w:rPr>
                <w:lang w:val="es-ES"/>
              </w:rPr>
              <w:t>Redes informáticas cableadas, ordenadores, fuentes de alimentación en modo conmutado</w:t>
            </w:r>
          </w:p>
        </w:tc>
      </w:tr>
      <w:tr w:rsidR="002B3327" w:rsidRPr="00151803" w:rsidTr="00B86A13">
        <w:trPr>
          <w:jc w:val="center"/>
        </w:trPr>
        <w:tc>
          <w:tcPr>
            <w:tcW w:w="9639" w:type="dxa"/>
            <w:gridSpan w:val="3"/>
            <w:tcBorders>
              <w:top w:val="single" w:sz="4" w:space="0" w:color="auto"/>
              <w:left w:val="nil"/>
              <w:bottom w:val="nil"/>
              <w:right w:val="nil"/>
            </w:tcBorders>
          </w:tcPr>
          <w:p w:rsidR="002B3327" w:rsidRPr="00591584" w:rsidRDefault="002B3327" w:rsidP="002A55BE">
            <w:pPr>
              <w:pStyle w:val="Tablelegend"/>
              <w:rPr>
                <w:u w:color="000000"/>
                <w:lang w:val="es-ES"/>
              </w:rPr>
            </w:pPr>
            <w:r w:rsidRPr="00591584">
              <w:rPr>
                <w:u w:color="000000"/>
                <w:vertAlign w:val="superscript"/>
                <w:lang w:val="es-ES"/>
              </w:rPr>
              <w:t>(1)</w:t>
            </w:r>
            <w:r w:rsidRPr="00591584">
              <w:rPr>
                <w:u w:color="000000"/>
                <w:lang w:val="es-ES"/>
              </w:rPr>
              <w:tab/>
            </w:r>
            <w:r w:rsidRPr="00591584">
              <w:rPr>
                <w:lang w:val="es-ES"/>
              </w:rPr>
              <w:t xml:space="preserve">En este </w:t>
            </w:r>
            <w:r w:rsidR="00546709">
              <w:rPr>
                <w:lang w:val="es-ES"/>
              </w:rPr>
              <w:t>A</w:t>
            </w:r>
            <w:r w:rsidR="00546709" w:rsidRPr="00591584">
              <w:rPr>
                <w:lang w:val="es-ES"/>
              </w:rPr>
              <w:t xml:space="preserve">nexo </w:t>
            </w:r>
            <w:r w:rsidRPr="00591584">
              <w:rPr>
                <w:lang w:val="es-ES"/>
              </w:rPr>
              <w:t xml:space="preserve">a la </w:t>
            </w:r>
            <w:r w:rsidRPr="00EE15CA">
              <w:rPr>
                <w:lang w:val="es-ES_tradnl"/>
              </w:rPr>
              <w:t>Recomendación</w:t>
            </w:r>
            <w:r w:rsidRPr="00591584">
              <w:rPr>
                <w:u w:color="000000"/>
                <w:lang w:val="es-ES"/>
              </w:rPr>
              <w:t xml:space="preserve"> UIT</w:t>
            </w:r>
            <w:r w:rsidRPr="00591584">
              <w:rPr>
                <w:u w:color="000000"/>
                <w:lang w:val="es-ES"/>
              </w:rPr>
              <w:noBreakHyphen/>
              <w:t xml:space="preserve">R SM.1753, </w:t>
            </w:r>
            <w:r w:rsidRPr="00591584">
              <w:rPr>
                <w:lang w:val="es-ES"/>
              </w:rPr>
              <w:t>se considera que el WGN representa una señal de ruido continuo con una densidad espectral de potencia casi plana en las gamas de frecuencias en torno a la anchura de banda de medición</w:t>
            </w:r>
            <w:r w:rsidRPr="00591584">
              <w:rPr>
                <w:u w:color="000000"/>
                <w:lang w:val="es-ES"/>
              </w:rPr>
              <w:t>.</w:t>
            </w:r>
          </w:p>
        </w:tc>
      </w:tr>
    </w:tbl>
    <w:p w:rsidR="002B3327" w:rsidRPr="00591584" w:rsidRDefault="002B3327" w:rsidP="002A55BE">
      <w:pPr>
        <w:pStyle w:val="Tablefin"/>
        <w:rPr>
          <w:u w:color="000000"/>
          <w:lang w:val="es-ES"/>
        </w:rPr>
      </w:pPr>
    </w:p>
    <w:p w:rsidR="002B3327" w:rsidRPr="00591584" w:rsidRDefault="002B3327" w:rsidP="002A55BE">
      <w:pPr>
        <w:rPr>
          <w:u w:color="000000"/>
          <w:lang w:val="es-ES"/>
        </w:rPr>
      </w:pPr>
      <w:r w:rsidRPr="00591584">
        <w:rPr>
          <w:lang w:val="es-ES"/>
        </w:rPr>
        <w:t xml:space="preserve">Si bien la componente de WGN queda suficientemente caracterizada por el valor eficaz, esto es mucho más difícil para el IN. Los modernos servicios de comunicaciones digitales casi siempre aplican un sistema de corrección de errores, lo que los hace más inmunes especialmente contra el ruido impulsivo. No obstante, cuando se alcanzan ciertos valores de duración del impulso y de tasa de repetición de impulsos, el IN puede interferir de forma significativa en el funcionamiento de dichos servicios. </w:t>
      </w:r>
    </w:p>
    <w:p w:rsidR="002B3327" w:rsidRPr="00591584" w:rsidRDefault="002B3327" w:rsidP="002A55BE">
      <w:pPr>
        <w:rPr>
          <w:lang w:val="es-ES"/>
        </w:rPr>
      </w:pPr>
      <w:r w:rsidRPr="00591584">
        <w:rPr>
          <w:lang w:val="es-ES"/>
        </w:rPr>
        <w:t>Por tanto, conviene medir el ruido radioeléctrico de forma que no sólo se determine el nivel de IN sino también se proporcione cierta información sobre la distribución estadística de los parámetros del impulso.</w:t>
      </w:r>
    </w:p>
    <w:p w:rsidR="002B3327" w:rsidRPr="00591584" w:rsidRDefault="002B3327" w:rsidP="002A55BE">
      <w:pPr>
        <w:rPr>
          <w:lang w:val="es-ES"/>
        </w:rPr>
      </w:pPr>
      <w:r w:rsidRPr="00591584">
        <w:rPr>
          <w:lang w:val="es-ES"/>
        </w:rPr>
        <w:t>El ruido de portadora única (SCN) sólo se detecta como tal cuando procede de una sola fuente situada en las proximidades del emplazamiento de medición. Múltiples fuentes que emiten portadoras única</w:t>
      </w:r>
      <w:r>
        <w:rPr>
          <w:lang w:val="es-ES"/>
        </w:rPr>
        <w:t>s</w:t>
      </w:r>
      <w:r w:rsidRPr="00591584">
        <w:rPr>
          <w:lang w:val="es-ES"/>
        </w:rPr>
        <w:t xml:space="preserve"> se combinan rápidamente para constituir un espectro similar al del ruido a medida que aumenta su número. La Recomendación UIT-R</w:t>
      </w:r>
      <w:r>
        <w:rPr>
          <w:lang w:val="es-ES"/>
        </w:rPr>
        <w:t xml:space="preserve"> </w:t>
      </w:r>
      <w:r w:rsidRPr="00591584">
        <w:rPr>
          <w:lang w:val="es-ES"/>
        </w:rPr>
        <w:t>P.372 define el ruido radioeléctrico como la combinación de radiación no intencionada procedente de varias fuentes y excluye específicamente las emisiones procedentes de fuentes únicas identificables. Por consiguiente, es necesario seleccionar los emplazamientos de medición y/o las frecuencias no dominadas por las emisiones procedentes de estas fuentes únicas</w:t>
      </w:r>
      <w:r>
        <w:rPr>
          <w:lang w:val="es-ES"/>
        </w:rPr>
        <w:t>,</w:t>
      </w:r>
      <w:r w:rsidRPr="00591584">
        <w:rPr>
          <w:lang w:val="es-ES"/>
        </w:rPr>
        <w:t xml:space="preserve"> lo que hace innecesario seguir considerando el SCN en el contexto de las mediciones del ruido artificial (MMN).</w:t>
      </w:r>
    </w:p>
    <w:p w:rsidR="002B3327" w:rsidRPr="00591584" w:rsidRDefault="002B3327" w:rsidP="002A55BE">
      <w:pPr>
        <w:pStyle w:val="Heading1"/>
        <w:rPr>
          <w:lang w:val="es-ES"/>
        </w:rPr>
      </w:pPr>
      <w:r w:rsidRPr="00591584">
        <w:rPr>
          <w:lang w:val="es-ES"/>
        </w:rPr>
        <w:t>4</w:t>
      </w:r>
      <w:r w:rsidRPr="00591584">
        <w:rPr>
          <w:lang w:val="es-ES"/>
        </w:rPr>
        <w:tab/>
        <w:t>Parámetros fundamentales</w:t>
      </w:r>
    </w:p>
    <w:p w:rsidR="002B3327" w:rsidRPr="00591584" w:rsidRDefault="002B3327" w:rsidP="002A55BE">
      <w:pPr>
        <w:rPr>
          <w:lang w:val="es-ES"/>
        </w:rPr>
      </w:pPr>
      <w:r w:rsidRPr="00591584">
        <w:rPr>
          <w:lang w:val="es-ES"/>
        </w:rPr>
        <w:t>Los procedimientos de medición aquí descritos producirán resultados para los siguientes parámetros del ruido radioeléctrico:</w:t>
      </w:r>
    </w:p>
    <w:p w:rsidR="002B3327" w:rsidRPr="00591584" w:rsidRDefault="002B3327" w:rsidP="002A55BE">
      <w:pPr>
        <w:pStyle w:val="Headingb"/>
        <w:rPr>
          <w:u w:color="000000"/>
          <w:lang w:val="es-ES"/>
        </w:rPr>
      </w:pPr>
      <w:r w:rsidRPr="00591584">
        <w:rPr>
          <w:u w:color="000000"/>
          <w:lang w:val="es-ES"/>
        </w:rPr>
        <w:t>WGN</w:t>
      </w:r>
      <w:r w:rsidRPr="002A55BE">
        <w:rPr>
          <w:b w:val="0"/>
          <w:bCs/>
          <w:u w:color="000000"/>
          <w:lang w:val="es-ES"/>
        </w:rPr>
        <w:t>:</w:t>
      </w:r>
    </w:p>
    <w:p w:rsidR="002B3327" w:rsidRPr="00591584" w:rsidRDefault="002B3327" w:rsidP="002A55BE">
      <w:pPr>
        <w:pStyle w:val="enumlev1"/>
        <w:rPr>
          <w:lang w:val="es-ES"/>
        </w:rPr>
      </w:pPr>
      <w:r w:rsidRPr="00591584">
        <w:rPr>
          <w:lang w:val="es-ES"/>
        </w:rPr>
        <w:t>–</w:t>
      </w:r>
      <w:r w:rsidRPr="00591584">
        <w:rPr>
          <w:lang w:val="es-ES"/>
        </w:rPr>
        <w:tab/>
      </w:r>
      <w:r>
        <w:rPr>
          <w:lang w:val="es-ES"/>
        </w:rPr>
        <w:t>N</w:t>
      </w:r>
      <w:r w:rsidRPr="00591584">
        <w:rPr>
          <w:lang w:val="es-ES"/>
        </w:rPr>
        <w:t xml:space="preserve">ivel eficaz, presentado </w:t>
      </w:r>
      <w:r>
        <w:rPr>
          <w:lang w:val="es-ES"/>
        </w:rPr>
        <w:t xml:space="preserve">como </w:t>
      </w:r>
      <w:r w:rsidRPr="00591584">
        <w:rPr>
          <w:lang w:val="es-ES"/>
        </w:rPr>
        <w:t>un solo valor o como medianas horarias a lo largo del día</w:t>
      </w:r>
      <w:r>
        <w:rPr>
          <w:lang w:val="es-ES"/>
        </w:rPr>
        <w:t>.</w:t>
      </w:r>
    </w:p>
    <w:p w:rsidR="002B3327" w:rsidRPr="00591584" w:rsidRDefault="002B3327" w:rsidP="002A55BE">
      <w:pPr>
        <w:pStyle w:val="Headingb"/>
        <w:rPr>
          <w:u w:color="000000"/>
          <w:lang w:val="es-ES"/>
        </w:rPr>
      </w:pPr>
      <w:r w:rsidRPr="00591584">
        <w:rPr>
          <w:u w:color="000000"/>
          <w:lang w:val="es-ES"/>
        </w:rPr>
        <w:lastRenderedPageBreak/>
        <w:t>IN</w:t>
      </w:r>
      <w:r w:rsidRPr="002A55BE">
        <w:rPr>
          <w:b w:val="0"/>
          <w:bCs/>
          <w:u w:color="000000"/>
          <w:lang w:val="es-ES"/>
        </w:rPr>
        <w:t>:</w:t>
      </w:r>
    </w:p>
    <w:p w:rsidR="002B3327" w:rsidRPr="00591584" w:rsidRDefault="002B3327" w:rsidP="002A55BE">
      <w:pPr>
        <w:pStyle w:val="enumlev1"/>
        <w:rPr>
          <w:lang w:val="es-ES"/>
        </w:rPr>
      </w:pPr>
      <w:r w:rsidRPr="00591584">
        <w:rPr>
          <w:lang w:val="es-ES"/>
        </w:rPr>
        <w:t>–</w:t>
      </w:r>
      <w:r w:rsidRPr="00591584">
        <w:rPr>
          <w:lang w:val="es-ES"/>
        </w:rPr>
        <w:tab/>
        <w:t>Nivel de cresta, presentado como una distribución</w:t>
      </w:r>
      <w:r>
        <w:rPr>
          <w:lang w:val="es-ES"/>
        </w:rPr>
        <w:t>.</w:t>
      </w:r>
    </w:p>
    <w:p w:rsidR="002B3327" w:rsidRPr="00591584" w:rsidRDefault="002B3327" w:rsidP="002A55BE">
      <w:pPr>
        <w:pStyle w:val="enumlev1"/>
        <w:rPr>
          <w:lang w:val="es-ES"/>
        </w:rPr>
      </w:pPr>
      <w:r w:rsidRPr="00591584">
        <w:rPr>
          <w:lang w:val="es-ES"/>
        </w:rPr>
        <w:t>–</w:t>
      </w:r>
      <w:r w:rsidRPr="00591584">
        <w:rPr>
          <w:lang w:val="es-ES"/>
        </w:rPr>
        <w:tab/>
        <w:t>Duraciones del impulso/ráfaga, presentadas como una distribución</w:t>
      </w:r>
      <w:r>
        <w:rPr>
          <w:lang w:val="es-ES"/>
        </w:rPr>
        <w:t>.</w:t>
      </w:r>
    </w:p>
    <w:p w:rsidR="002B3327" w:rsidRPr="00591584" w:rsidRDefault="002B3327" w:rsidP="002A55BE">
      <w:pPr>
        <w:pStyle w:val="enumlev1"/>
        <w:rPr>
          <w:lang w:val="es-ES"/>
        </w:rPr>
      </w:pPr>
      <w:r w:rsidRPr="00591584">
        <w:rPr>
          <w:lang w:val="es-ES"/>
        </w:rPr>
        <w:t>–</w:t>
      </w:r>
      <w:r w:rsidRPr="00591584">
        <w:rPr>
          <w:lang w:val="es-ES"/>
        </w:rPr>
        <w:tab/>
        <w:t>Periodo del impulso/ráfaga, presentado como una distribución.</w:t>
      </w:r>
    </w:p>
    <w:p w:rsidR="002B3327" w:rsidRPr="00591584" w:rsidRDefault="002B3327" w:rsidP="002A55BE">
      <w:pPr>
        <w:pStyle w:val="Heading1"/>
        <w:rPr>
          <w:lang w:val="es-ES"/>
        </w:rPr>
      </w:pPr>
      <w:r w:rsidRPr="00591584">
        <w:rPr>
          <w:lang w:val="es-ES"/>
        </w:rPr>
        <w:t>5</w:t>
      </w:r>
      <w:r w:rsidRPr="00591584">
        <w:rPr>
          <w:lang w:val="es-ES"/>
        </w:rPr>
        <w:tab/>
        <w:t>Principios de medición</w:t>
      </w:r>
    </w:p>
    <w:p w:rsidR="002B3327" w:rsidRPr="00591584" w:rsidRDefault="002B3327" w:rsidP="00EB2551">
      <w:pPr>
        <w:rPr>
          <w:lang w:val="es-ES"/>
        </w:rPr>
      </w:pPr>
      <w:r w:rsidRPr="00591584">
        <w:rPr>
          <w:lang w:val="es-ES"/>
        </w:rPr>
        <w:t xml:space="preserve">La componente de ruido blanco gaussiano (WGN) puede medirse utilizando un detector de valor eficaz. Este método de medición se conoce como «método del valor eficaz». Utilizando la reducción del 20% descrita en el </w:t>
      </w:r>
      <w:r w:rsidR="00EB2551">
        <w:rPr>
          <w:lang w:val="es-ES"/>
        </w:rPr>
        <w:t>§</w:t>
      </w:r>
      <w:r w:rsidRPr="00591584">
        <w:rPr>
          <w:lang w:val="es-ES"/>
        </w:rPr>
        <w:t xml:space="preserve"> 10.3, es posible obtener el valor eficaz del ruido directamente a partir de una exploración de frecuencia, a</w:t>
      </w:r>
      <w:r>
        <w:rPr>
          <w:lang w:val="es-ES"/>
        </w:rPr>
        <w:t>u</w:t>
      </w:r>
      <w:r w:rsidRPr="00591584">
        <w:rPr>
          <w:lang w:val="es-ES"/>
        </w:rPr>
        <w:t xml:space="preserve">n cuando algunas de las frecuencias estén ocupadas por señales deseadas. </w:t>
      </w:r>
    </w:p>
    <w:p w:rsidR="002B3327" w:rsidRPr="00591584" w:rsidRDefault="002B3327" w:rsidP="002A55BE">
      <w:pPr>
        <w:rPr>
          <w:lang w:val="es-ES"/>
        </w:rPr>
      </w:pPr>
      <w:r w:rsidRPr="00591584">
        <w:rPr>
          <w:lang w:val="es-ES"/>
        </w:rPr>
        <w:t>Sin embargo, el IN sólo puede medirse mediante un muestreo rápido de los valores momentáneos de la amplitud de RF. Estos valores se almacenan para una evaluación fuera de línea a fin de obtener los parámetros del impulso. La medición se realiza preferentemente en una sola frecuencia que esté libre de señales deseadas y portadoras continuas. El máximo tiempo entre dos muestras consecutivas es:</w:t>
      </w:r>
    </w:p>
    <w:p w:rsidR="002B3327" w:rsidRPr="00591584" w:rsidRDefault="002B3327" w:rsidP="002A55BE">
      <w:pPr>
        <w:pStyle w:val="Equation"/>
        <w:rPr>
          <w:lang w:val="es-ES"/>
        </w:rPr>
      </w:pPr>
      <w:r w:rsidRPr="00591584">
        <w:rPr>
          <w:lang w:val="es-ES"/>
        </w:rPr>
        <w:tab/>
      </w:r>
      <w:r w:rsidRPr="00591584">
        <w:rPr>
          <w:lang w:val="es-ES"/>
        </w:rPr>
        <w:tab/>
      </w:r>
      <w:r w:rsidR="002A55BE" w:rsidRPr="00591584">
        <w:rPr>
          <w:iCs/>
          <w:position w:val="-24"/>
          <w:u w:color="000000"/>
          <w:lang w:val="es-ES"/>
        </w:rPr>
        <w:object w:dxaOrig="14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5pt;height:31.4pt" o:ole="">
            <v:imagedata r:id="rId13" o:title=""/>
          </v:shape>
          <o:OLEObject Type="Embed" ProgID="Equation.3" ShapeID="_x0000_i1025" DrawAspect="Content" ObjectID="_1357644457" r:id="rId14"/>
        </w:object>
      </w:r>
      <w:r w:rsidRPr="00591584">
        <w:rPr>
          <w:lang w:val="es-ES"/>
        </w:rPr>
        <w:tab/>
        <w:t>(1)</w:t>
      </w:r>
    </w:p>
    <w:p w:rsidR="002B3327" w:rsidRPr="00591584" w:rsidRDefault="002B3327" w:rsidP="002A55BE">
      <w:pPr>
        <w:rPr>
          <w:lang w:val="es-ES"/>
        </w:rPr>
      </w:pPr>
      <w:r w:rsidRPr="00591584">
        <w:rPr>
          <w:lang w:val="es-ES"/>
        </w:rPr>
        <w:t>donde:</w:t>
      </w:r>
    </w:p>
    <w:p w:rsidR="002B3327" w:rsidRPr="00591584" w:rsidRDefault="002B3327" w:rsidP="002A55BE">
      <w:pPr>
        <w:pStyle w:val="Equationlegend"/>
        <w:rPr>
          <w:lang w:val="es-ES"/>
        </w:rPr>
      </w:pPr>
      <w:r w:rsidRPr="00591584">
        <w:rPr>
          <w:lang w:val="es-ES"/>
        </w:rPr>
        <w:tab/>
      </w:r>
      <w:r w:rsidRPr="00591584">
        <w:rPr>
          <w:i/>
          <w:u w:color="000000"/>
          <w:lang w:val="es-ES"/>
        </w:rPr>
        <w:t>Ts</w:t>
      </w:r>
      <w:r w:rsidR="002A55BE">
        <w:rPr>
          <w:i/>
          <w:u w:color="000000"/>
          <w:lang w:val="es-ES"/>
        </w:rPr>
        <w:t xml:space="preserve"> </w:t>
      </w:r>
      <w:r w:rsidRPr="00591584">
        <w:rPr>
          <w:lang w:val="es-ES"/>
        </w:rPr>
        <w:t>:</w:t>
      </w:r>
      <w:r w:rsidRPr="00591584">
        <w:rPr>
          <w:lang w:val="es-ES"/>
        </w:rPr>
        <w:tab/>
        <w:t>tiempo entre dos muestras consecutivas</w:t>
      </w:r>
    </w:p>
    <w:p w:rsidR="002B3327" w:rsidRPr="00591584" w:rsidRDefault="002B3327" w:rsidP="002A55BE">
      <w:pPr>
        <w:pStyle w:val="Equationlegend"/>
        <w:rPr>
          <w:rStyle w:val="EquationlegendChar"/>
          <w:lang w:val="es-ES"/>
        </w:rPr>
      </w:pPr>
      <w:r w:rsidRPr="00591584">
        <w:rPr>
          <w:lang w:val="es-ES"/>
        </w:rPr>
        <w:tab/>
      </w:r>
      <w:r w:rsidRPr="00591584">
        <w:rPr>
          <w:i/>
          <w:u w:color="000000"/>
          <w:lang w:val="es-ES"/>
        </w:rPr>
        <w:t>RBW</w:t>
      </w:r>
      <w:r w:rsidR="002A55BE">
        <w:rPr>
          <w:i/>
          <w:u w:color="000000"/>
          <w:lang w:val="es-ES"/>
        </w:rPr>
        <w:t xml:space="preserve"> </w:t>
      </w:r>
      <w:r w:rsidRPr="00591584">
        <w:rPr>
          <w:rStyle w:val="EquationlegendChar"/>
          <w:lang w:val="es-ES"/>
        </w:rPr>
        <w:t>:</w:t>
      </w:r>
      <w:r w:rsidRPr="00591584">
        <w:rPr>
          <w:rStyle w:val="EquationlegendChar"/>
          <w:lang w:val="es-ES"/>
        </w:rPr>
        <w:tab/>
      </w:r>
      <w:r w:rsidRPr="00591584">
        <w:rPr>
          <w:lang w:val="es-ES"/>
        </w:rPr>
        <w:t>anchura de banda del filtro utilizado para la medición</w:t>
      </w:r>
      <w:r w:rsidRPr="00591584">
        <w:rPr>
          <w:rStyle w:val="EquationlegendChar"/>
          <w:lang w:val="es-ES"/>
        </w:rPr>
        <w:t>.</w:t>
      </w:r>
    </w:p>
    <w:p w:rsidR="002B3327" w:rsidRPr="00591584" w:rsidRDefault="002B3327" w:rsidP="002A55BE">
      <w:pPr>
        <w:rPr>
          <w:lang w:val="es-ES"/>
        </w:rPr>
      </w:pPr>
      <w:r w:rsidRPr="00591584">
        <w:rPr>
          <w:lang w:val="es-ES"/>
        </w:rPr>
        <w:t>Este método de medición se conoce con el nombre de «método de muestreo de datos en bruto».</w:t>
      </w:r>
    </w:p>
    <w:p w:rsidR="002B3327" w:rsidRPr="00591584" w:rsidRDefault="002B3327" w:rsidP="002A55BE">
      <w:pPr>
        <w:pStyle w:val="Heading1"/>
        <w:rPr>
          <w:lang w:val="es-ES"/>
        </w:rPr>
      </w:pPr>
      <w:r w:rsidRPr="00591584">
        <w:rPr>
          <w:lang w:val="es-ES"/>
        </w:rPr>
        <w:t>6</w:t>
      </w:r>
      <w:r w:rsidRPr="00591584">
        <w:rPr>
          <w:lang w:val="es-ES"/>
        </w:rPr>
        <w:tab/>
        <w:t>Tipo de medición</w:t>
      </w:r>
    </w:p>
    <w:p w:rsidR="002B3327" w:rsidRPr="00591584" w:rsidRDefault="002B3327" w:rsidP="002A55BE">
      <w:pPr>
        <w:rPr>
          <w:lang w:val="es-ES"/>
        </w:rPr>
      </w:pPr>
      <w:r w:rsidRPr="00591584">
        <w:rPr>
          <w:lang w:val="es-ES"/>
        </w:rPr>
        <w:t>Determinar el nivel y las características del MMN verdadero, incluido el IN, para todas las gamas de frecuencia puede llevar mucho tiempo al ser una tarea de medición muy compleja. Sin embargo, cuando sólo interesa la componente del WGN, o únicamente deben investigarse ciertas gamas de frecuencias, las mediciones pueden simplificarse notablemente sin perder información importante o disminuir la precisión. Por esta razón, al realizar las mediciones de ruido radioeléctrico se recomienda utilizar las tres metodologías distintas siguientes:</w:t>
      </w:r>
    </w:p>
    <w:p w:rsidR="002B3327" w:rsidRPr="00591584" w:rsidRDefault="002B3327" w:rsidP="002A55BE">
      <w:pPr>
        <w:rPr>
          <w:lang w:val="es-ES"/>
        </w:rPr>
      </w:pPr>
      <w:r w:rsidRPr="00591584">
        <w:rPr>
          <w:b/>
          <w:bCs/>
          <w:lang w:val="es-ES"/>
        </w:rPr>
        <w:t>Tipo</w:t>
      </w:r>
      <w:r w:rsidRPr="00591584">
        <w:rPr>
          <w:b/>
          <w:u w:color="000000"/>
          <w:lang w:val="es-ES"/>
        </w:rPr>
        <w:t xml:space="preserve"> A</w:t>
      </w:r>
      <w:r w:rsidRPr="002A55BE">
        <w:rPr>
          <w:bCs/>
          <w:u w:color="000000"/>
          <w:lang w:val="es-ES"/>
        </w:rPr>
        <w:t>:</w:t>
      </w:r>
      <w:r w:rsidRPr="00591584">
        <w:rPr>
          <w:lang w:val="es-ES"/>
        </w:rPr>
        <w:tab/>
      </w:r>
      <w:r w:rsidR="002A55BE">
        <w:rPr>
          <w:lang w:val="es-ES"/>
        </w:rPr>
        <w:tab/>
      </w:r>
      <w:r>
        <w:rPr>
          <w:lang w:val="es-ES"/>
        </w:rPr>
        <w:t>S</w:t>
      </w:r>
      <w:r w:rsidRPr="00591584">
        <w:rPr>
          <w:lang w:val="es-ES"/>
        </w:rPr>
        <w:t xml:space="preserve">ólo WGN. Este </w:t>
      </w:r>
      <w:r>
        <w:rPr>
          <w:lang w:val="es-ES"/>
        </w:rPr>
        <w:t>t</w:t>
      </w:r>
      <w:r w:rsidRPr="00591584">
        <w:rPr>
          <w:lang w:val="es-ES"/>
        </w:rPr>
        <w:t>ipo de medición proporciona únicamente los niveles de WGN, ignorando el IN. Requiere únicamente realizar mediciones del nivel eficaz restante en una frecuencia «libre». Puede aplicarse tanto el método del valor eficaz como el del muestreo de datos en bruto. La evaluación de los datos es relativamente sencilla.</w:t>
      </w:r>
    </w:p>
    <w:p w:rsidR="002B3327" w:rsidRPr="00591584" w:rsidRDefault="002B3327" w:rsidP="002A55BE">
      <w:pPr>
        <w:rPr>
          <w:lang w:val="es-ES"/>
        </w:rPr>
      </w:pPr>
      <w:r w:rsidRPr="00591584">
        <w:rPr>
          <w:b/>
          <w:u w:color="000000"/>
          <w:lang w:val="es-ES"/>
        </w:rPr>
        <w:t>Tipo B</w:t>
      </w:r>
      <w:r w:rsidRPr="002A55BE">
        <w:rPr>
          <w:bCs/>
          <w:u w:color="000000"/>
          <w:lang w:val="es-ES"/>
        </w:rPr>
        <w:t>:</w:t>
      </w:r>
      <w:r w:rsidRPr="00591584">
        <w:rPr>
          <w:b/>
          <w:u w:color="000000"/>
          <w:lang w:val="es-ES"/>
        </w:rPr>
        <w:tab/>
      </w:r>
      <w:r w:rsidR="002A55BE">
        <w:rPr>
          <w:b/>
          <w:u w:color="000000"/>
          <w:lang w:val="es-ES"/>
        </w:rPr>
        <w:tab/>
      </w:r>
      <w:r w:rsidRPr="00591584">
        <w:rPr>
          <w:lang w:val="es-ES"/>
        </w:rPr>
        <w:t xml:space="preserve">WGN e IN. Con este </w:t>
      </w:r>
      <w:r>
        <w:rPr>
          <w:lang w:val="es-ES"/>
        </w:rPr>
        <w:t>t</w:t>
      </w:r>
      <w:r w:rsidRPr="00591584">
        <w:rPr>
          <w:lang w:val="es-ES"/>
        </w:rPr>
        <w:t>ipo de medición se obtienen los niveles de WGN y las características de los parámetros de IN importantes del ruido radioeléctrico.</w:t>
      </w:r>
      <w:r>
        <w:rPr>
          <w:lang w:val="es-ES"/>
        </w:rPr>
        <w:t xml:space="preserve"> </w:t>
      </w:r>
      <w:r w:rsidRPr="00591584">
        <w:rPr>
          <w:lang w:val="es-ES"/>
        </w:rPr>
        <w:t>Requiere un muestreo de datos rápido (método de muestreo de datos en bruto). La evaluación de los datos es más compleja y exige un amplio postprocesamiento, que generalmente sólo puede realizarse por medio de ordenadores.</w:t>
      </w:r>
    </w:p>
    <w:p w:rsidR="002B3327" w:rsidRPr="00591584" w:rsidRDefault="002B3327" w:rsidP="002A55BE">
      <w:pPr>
        <w:rPr>
          <w:lang w:val="es-ES"/>
        </w:rPr>
      </w:pPr>
      <w:r w:rsidRPr="00591584">
        <w:rPr>
          <w:b/>
          <w:u w:color="000000"/>
          <w:lang w:val="es-ES"/>
        </w:rPr>
        <w:t>Tipo C</w:t>
      </w:r>
      <w:r w:rsidRPr="002A55BE">
        <w:rPr>
          <w:bCs/>
          <w:u w:color="000000"/>
          <w:lang w:val="es-ES"/>
        </w:rPr>
        <w:t>:</w:t>
      </w:r>
      <w:r w:rsidR="002A55BE">
        <w:rPr>
          <w:bCs/>
          <w:u w:color="000000"/>
          <w:lang w:val="es-ES"/>
        </w:rPr>
        <w:tab/>
      </w:r>
      <w:r w:rsidRPr="00591584">
        <w:rPr>
          <w:lang w:val="es-ES"/>
        </w:rPr>
        <w:tab/>
        <w:t xml:space="preserve">WGN, IN y separación del MMN. Además del nivel de WGN y las características del IN, este </w:t>
      </w:r>
      <w:r>
        <w:rPr>
          <w:lang w:val="es-ES"/>
        </w:rPr>
        <w:t>tipo</w:t>
      </w:r>
      <w:r w:rsidRPr="00591584">
        <w:rPr>
          <w:lang w:val="es-ES"/>
        </w:rPr>
        <w:t xml:space="preserve"> de medición separa en gran medida el MMN y el IN del ruido atmosférico, lo cual reviste gran importancia en la gama de frecuencias de ondas decamétricas. El proceso de medición es igual a la medición de Tipo B, pero debe llevarse a cabo en dos emplazamientos distintos y los equipos en estos emplazamientos deben estar sincronizados en el tiempo. </w:t>
      </w:r>
    </w:p>
    <w:p w:rsidR="002B3327" w:rsidRPr="00591584" w:rsidRDefault="002B3327" w:rsidP="002A55BE">
      <w:pPr>
        <w:rPr>
          <w:lang w:val="es-ES"/>
        </w:rPr>
      </w:pPr>
      <w:r w:rsidRPr="00591584">
        <w:rPr>
          <w:lang w:val="es-ES"/>
        </w:rPr>
        <w:lastRenderedPageBreak/>
        <w:t xml:space="preserve">La selección del </w:t>
      </w:r>
      <w:r>
        <w:rPr>
          <w:lang w:val="es-ES"/>
        </w:rPr>
        <w:t>t</w:t>
      </w:r>
      <w:r w:rsidRPr="00591584">
        <w:rPr>
          <w:lang w:val="es-ES"/>
        </w:rPr>
        <w:t xml:space="preserve">ipo de medición adecuado depende de los requisitos, de la categoría medioambiental y de la gama de frecuencias. Si los resultados de las mediciones son de uso general, se subraya el </w:t>
      </w:r>
      <w:r>
        <w:rPr>
          <w:lang w:val="es-ES"/>
        </w:rPr>
        <w:t>t</w:t>
      </w:r>
      <w:r w:rsidRPr="00591584">
        <w:rPr>
          <w:lang w:val="es-ES"/>
        </w:rPr>
        <w:t>ipo recomendado.</w:t>
      </w:r>
    </w:p>
    <w:p w:rsidR="002B3327" w:rsidRPr="00591584" w:rsidRDefault="002B3327" w:rsidP="002B3327">
      <w:pPr>
        <w:pStyle w:val="TableNo"/>
        <w:rPr>
          <w:lang w:val="es-ES"/>
        </w:rPr>
      </w:pPr>
      <w:r w:rsidRPr="00591584">
        <w:rPr>
          <w:lang w:val="es-ES"/>
        </w:rPr>
        <w:t>CUADRO 3</w:t>
      </w:r>
    </w:p>
    <w:p w:rsidR="002B3327" w:rsidRPr="00591584" w:rsidRDefault="002B3327" w:rsidP="002B3327">
      <w:pPr>
        <w:pStyle w:val="Tabletitle"/>
        <w:rPr>
          <w:lang w:val="es-ES"/>
        </w:rPr>
      </w:pPr>
      <w:r w:rsidRPr="00591584">
        <w:rPr>
          <w:lang w:val="es-ES"/>
        </w:rPr>
        <w:t>Tipos de medición recomendados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2835"/>
        <w:gridCol w:w="2835"/>
        <w:gridCol w:w="2835"/>
      </w:tblGrid>
      <w:tr w:rsidR="002B3327" w:rsidRPr="00591584" w:rsidTr="002A55BE">
        <w:trPr>
          <w:jc w:val="center"/>
        </w:trPr>
        <w:tc>
          <w:tcPr>
            <w:tcW w:w="2835" w:type="dxa"/>
          </w:tcPr>
          <w:p w:rsidR="002B3327" w:rsidRPr="00591584" w:rsidRDefault="002B3327" w:rsidP="005D140F">
            <w:pPr>
              <w:pStyle w:val="Tablehead"/>
              <w:rPr>
                <w:lang w:val="es-ES"/>
              </w:rPr>
            </w:pPr>
            <w:r w:rsidRPr="00591584">
              <w:rPr>
                <w:lang w:val="es-ES"/>
              </w:rPr>
              <w:t xml:space="preserve">Gama de frecuencias </w:t>
            </w:r>
          </w:p>
        </w:tc>
        <w:tc>
          <w:tcPr>
            <w:tcW w:w="2835" w:type="dxa"/>
          </w:tcPr>
          <w:p w:rsidR="002B3327" w:rsidRPr="00591584" w:rsidRDefault="002B3327" w:rsidP="005D140F">
            <w:pPr>
              <w:pStyle w:val="Tablehead"/>
              <w:rPr>
                <w:lang w:val="es-ES"/>
              </w:rPr>
            </w:pPr>
            <w:r w:rsidRPr="00591584">
              <w:rPr>
                <w:lang w:val="es-ES"/>
              </w:rPr>
              <w:t>Mediciones en exteriores</w:t>
            </w:r>
          </w:p>
        </w:tc>
        <w:tc>
          <w:tcPr>
            <w:tcW w:w="2835" w:type="dxa"/>
          </w:tcPr>
          <w:p w:rsidR="002B3327" w:rsidRPr="00591584" w:rsidRDefault="002B3327" w:rsidP="005D140F">
            <w:pPr>
              <w:pStyle w:val="Tablehead"/>
              <w:rPr>
                <w:lang w:val="es-ES"/>
              </w:rPr>
            </w:pPr>
            <w:r w:rsidRPr="00591584">
              <w:rPr>
                <w:lang w:val="es-ES"/>
              </w:rPr>
              <w:t xml:space="preserve">Mediciones </w:t>
            </w:r>
            <w:r>
              <w:rPr>
                <w:lang w:val="es-ES"/>
              </w:rPr>
              <w:t>e</w:t>
            </w:r>
            <w:r w:rsidRPr="00591584">
              <w:rPr>
                <w:lang w:val="es-ES"/>
              </w:rPr>
              <w:t>n interiores</w:t>
            </w:r>
          </w:p>
        </w:tc>
      </w:tr>
      <w:tr w:rsidR="002B3327" w:rsidRPr="00591584" w:rsidTr="002A55BE">
        <w:trPr>
          <w:jc w:val="center"/>
        </w:trPr>
        <w:tc>
          <w:tcPr>
            <w:tcW w:w="2835" w:type="dxa"/>
          </w:tcPr>
          <w:p w:rsidR="002B3327" w:rsidRPr="00591584" w:rsidRDefault="002B3327" w:rsidP="002A55BE">
            <w:pPr>
              <w:pStyle w:val="Tabletext"/>
              <w:jc w:val="left"/>
              <w:rPr>
                <w:lang w:val="es-ES"/>
              </w:rPr>
            </w:pPr>
            <w:r w:rsidRPr="00591584">
              <w:rPr>
                <w:lang w:val="es-ES"/>
              </w:rPr>
              <w:t>9 kHz – 300 kHz</w:t>
            </w:r>
            <w:r w:rsidRPr="00591584">
              <w:rPr>
                <w:lang w:val="es-ES"/>
              </w:rPr>
              <w:br/>
              <w:t>(ondas kilométricas)</w:t>
            </w:r>
          </w:p>
        </w:tc>
        <w:tc>
          <w:tcPr>
            <w:tcW w:w="2835" w:type="dxa"/>
          </w:tcPr>
          <w:p w:rsidR="002B3327" w:rsidRPr="00591584" w:rsidRDefault="002B3327" w:rsidP="002A55BE">
            <w:pPr>
              <w:pStyle w:val="Tabletext"/>
              <w:jc w:val="center"/>
              <w:rPr>
                <w:u w:color="000000"/>
                <w:lang w:val="es-ES"/>
              </w:rPr>
            </w:pPr>
            <w:r w:rsidRPr="00591584">
              <w:rPr>
                <w:u w:color="000000"/>
                <w:lang w:val="es-ES"/>
              </w:rPr>
              <w:t>A, B</w:t>
            </w:r>
          </w:p>
        </w:tc>
        <w:tc>
          <w:tcPr>
            <w:tcW w:w="2835" w:type="dxa"/>
          </w:tcPr>
          <w:p w:rsidR="002B3327" w:rsidRPr="00591584" w:rsidRDefault="002B3327" w:rsidP="002A55BE">
            <w:pPr>
              <w:pStyle w:val="Tabletext"/>
              <w:jc w:val="center"/>
              <w:rPr>
                <w:u w:color="000000"/>
                <w:lang w:val="es-ES"/>
              </w:rPr>
            </w:pPr>
            <w:r w:rsidRPr="00591584">
              <w:rPr>
                <w:u w:color="000000"/>
                <w:lang w:val="es-ES"/>
              </w:rPr>
              <w:t>A, B</w:t>
            </w:r>
          </w:p>
        </w:tc>
      </w:tr>
      <w:tr w:rsidR="002B3327" w:rsidRPr="00591584" w:rsidTr="002A55BE">
        <w:trPr>
          <w:jc w:val="center"/>
        </w:trPr>
        <w:tc>
          <w:tcPr>
            <w:tcW w:w="2835" w:type="dxa"/>
          </w:tcPr>
          <w:p w:rsidR="002B3327" w:rsidRPr="00591584" w:rsidRDefault="002B3327" w:rsidP="002A55BE">
            <w:pPr>
              <w:pStyle w:val="Tabletext"/>
              <w:jc w:val="left"/>
              <w:rPr>
                <w:lang w:val="es-ES"/>
              </w:rPr>
            </w:pPr>
            <w:r w:rsidRPr="00591584">
              <w:rPr>
                <w:lang w:val="es-ES"/>
              </w:rPr>
              <w:t>300 kHz – 3 MHz</w:t>
            </w:r>
            <w:r w:rsidRPr="00591584">
              <w:rPr>
                <w:lang w:val="es-ES"/>
              </w:rPr>
              <w:br/>
              <w:t>(ondas hectométricas)</w:t>
            </w:r>
          </w:p>
        </w:tc>
        <w:tc>
          <w:tcPr>
            <w:tcW w:w="2835" w:type="dxa"/>
          </w:tcPr>
          <w:p w:rsidR="002B3327" w:rsidRPr="00591584" w:rsidRDefault="002B3327" w:rsidP="002A55BE">
            <w:pPr>
              <w:pStyle w:val="Tabletext"/>
              <w:jc w:val="center"/>
              <w:rPr>
                <w:u w:color="000000"/>
                <w:lang w:val="es-ES"/>
              </w:rPr>
            </w:pPr>
            <w:r w:rsidRPr="00591584">
              <w:rPr>
                <w:u w:color="000000"/>
                <w:lang w:val="es-ES"/>
              </w:rPr>
              <w:t>A, B, C</w:t>
            </w:r>
          </w:p>
        </w:tc>
        <w:tc>
          <w:tcPr>
            <w:tcW w:w="2835" w:type="dxa"/>
          </w:tcPr>
          <w:p w:rsidR="002B3327" w:rsidRPr="00591584" w:rsidRDefault="002B3327" w:rsidP="002A55BE">
            <w:pPr>
              <w:pStyle w:val="Tabletext"/>
              <w:jc w:val="center"/>
              <w:rPr>
                <w:u w:color="000000"/>
                <w:lang w:val="es-ES"/>
              </w:rPr>
            </w:pPr>
            <w:r w:rsidRPr="00591584">
              <w:rPr>
                <w:u w:color="000000"/>
                <w:lang w:val="es-ES"/>
              </w:rPr>
              <w:t>A, B</w:t>
            </w:r>
          </w:p>
        </w:tc>
      </w:tr>
      <w:tr w:rsidR="002B3327" w:rsidRPr="00591584" w:rsidTr="002A55BE">
        <w:trPr>
          <w:jc w:val="center"/>
        </w:trPr>
        <w:tc>
          <w:tcPr>
            <w:tcW w:w="2835" w:type="dxa"/>
          </w:tcPr>
          <w:p w:rsidR="002B3327" w:rsidRPr="00591584" w:rsidRDefault="002B3327" w:rsidP="002A55BE">
            <w:pPr>
              <w:pStyle w:val="Tabletext"/>
              <w:jc w:val="left"/>
              <w:rPr>
                <w:lang w:val="es-ES"/>
              </w:rPr>
            </w:pPr>
            <w:r w:rsidRPr="00591584">
              <w:rPr>
                <w:lang w:val="es-ES"/>
              </w:rPr>
              <w:t>3 MHz – 30 MHz</w:t>
            </w:r>
            <w:r w:rsidRPr="00591584">
              <w:rPr>
                <w:lang w:val="es-ES"/>
              </w:rPr>
              <w:br/>
              <w:t>(ondas decamétricas)</w:t>
            </w:r>
          </w:p>
        </w:tc>
        <w:tc>
          <w:tcPr>
            <w:tcW w:w="2835" w:type="dxa"/>
          </w:tcPr>
          <w:p w:rsidR="002B3327" w:rsidRPr="00591584" w:rsidRDefault="002B3327" w:rsidP="002A55BE">
            <w:pPr>
              <w:pStyle w:val="Tabletext"/>
              <w:jc w:val="center"/>
              <w:rPr>
                <w:u w:color="000000"/>
                <w:lang w:val="es-ES"/>
              </w:rPr>
            </w:pPr>
            <w:r w:rsidRPr="00591584">
              <w:rPr>
                <w:u w:color="000000"/>
                <w:lang w:val="es-ES"/>
              </w:rPr>
              <w:t>A, B, C</w:t>
            </w:r>
          </w:p>
        </w:tc>
        <w:tc>
          <w:tcPr>
            <w:tcW w:w="2835" w:type="dxa"/>
          </w:tcPr>
          <w:p w:rsidR="002B3327" w:rsidRPr="00591584" w:rsidRDefault="002B3327" w:rsidP="002A55BE">
            <w:pPr>
              <w:pStyle w:val="Tabletext"/>
              <w:jc w:val="center"/>
              <w:rPr>
                <w:u w:color="000000"/>
                <w:lang w:val="es-ES"/>
              </w:rPr>
            </w:pPr>
            <w:r w:rsidRPr="00591584">
              <w:rPr>
                <w:u w:color="000000"/>
                <w:lang w:val="es-ES"/>
              </w:rPr>
              <w:t>A, B</w:t>
            </w:r>
          </w:p>
        </w:tc>
      </w:tr>
      <w:tr w:rsidR="002B3327" w:rsidRPr="00591584" w:rsidTr="002A55BE">
        <w:trPr>
          <w:jc w:val="center"/>
        </w:trPr>
        <w:tc>
          <w:tcPr>
            <w:tcW w:w="2835" w:type="dxa"/>
          </w:tcPr>
          <w:p w:rsidR="002B3327" w:rsidRPr="00591584" w:rsidRDefault="002B3327" w:rsidP="002A55BE">
            <w:pPr>
              <w:pStyle w:val="Tabletext"/>
              <w:jc w:val="left"/>
              <w:rPr>
                <w:lang w:val="es-ES"/>
              </w:rPr>
            </w:pPr>
            <w:r w:rsidRPr="00591584">
              <w:rPr>
                <w:lang w:val="es-ES"/>
              </w:rPr>
              <w:t>30 MHz – 300 MHz</w:t>
            </w:r>
            <w:r w:rsidRPr="00591584">
              <w:rPr>
                <w:lang w:val="es-ES"/>
              </w:rPr>
              <w:br/>
              <w:t>(ondas métricas)</w:t>
            </w:r>
          </w:p>
        </w:tc>
        <w:tc>
          <w:tcPr>
            <w:tcW w:w="2835" w:type="dxa"/>
          </w:tcPr>
          <w:p w:rsidR="002B3327" w:rsidRPr="00591584" w:rsidRDefault="002B3327" w:rsidP="002A55BE">
            <w:pPr>
              <w:pStyle w:val="Tabletext"/>
              <w:jc w:val="center"/>
              <w:rPr>
                <w:u w:color="000000"/>
                <w:lang w:val="es-ES"/>
              </w:rPr>
            </w:pPr>
            <w:r w:rsidRPr="00591584">
              <w:rPr>
                <w:u w:color="000000"/>
                <w:lang w:val="es-ES"/>
              </w:rPr>
              <w:t>A, B</w:t>
            </w:r>
          </w:p>
        </w:tc>
        <w:tc>
          <w:tcPr>
            <w:tcW w:w="2835" w:type="dxa"/>
          </w:tcPr>
          <w:p w:rsidR="002B3327" w:rsidRPr="00591584" w:rsidRDefault="002B3327" w:rsidP="002A55BE">
            <w:pPr>
              <w:pStyle w:val="Tabletext"/>
              <w:jc w:val="center"/>
              <w:rPr>
                <w:u w:color="000000"/>
                <w:lang w:val="es-ES"/>
              </w:rPr>
            </w:pPr>
            <w:r w:rsidRPr="00591584">
              <w:rPr>
                <w:u w:color="000000"/>
                <w:lang w:val="es-ES"/>
              </w:rPr>
              <w:t>A, B</w:t>
            </w:r>
          </w:p>
        </w:tc>
      </w:tr>
      <w:tr w:rsidR="002B3327" w:rsidRPr="00591584" w:rsidTr="002A55BE">
        <w:trPr>
          <w:jc w:val="center"/>
        </w:trPr>
        <w:tc>
          <w:tcPr>
            <w:tcW w:w="2835" w:type="dxa"/>
          </w:tcPr>
          <w:p w:rsidR="002B3327" w:rsidRPr="00591584" w:rsidRDefault="002B3327" w:rsidP="002A55BE">
            <w:pPr>
              <w:pStyle w:val="Tabletext"/>
              <w:jc w:val="left"/>
              <w:rPr>
                <w:lang w:val="es-ES"/>
              </w:rPr>
            </w:pPr>
            <w:r w:rsidRPr="00591584">
              <w:rPr>
                <w:lang w:val="es-ES"/>
              </w:rPr>
              <w:t>300 MHz – 3 GHz</w:t>
            </w:r>
            <w:r w:rsidRPr="00591584">
              <w:rPr>
                <w:lang w:val="es-ES"/>
              </w:rPr>
              <w:br/>
              <w:t>(ondas decimétricas)</w:t>
            </w:r>
          </w:p>
        </w:tc>
        <w:tc>
          <w:tcPr>
            <w:tcW w:w="2835" w:type="dxa"/>
          </w:tcPr>
          <w:p w:rsidR="002B3327" w:rsidRPr="00591584" w:rsidRDefault="002B3327" w:rsidP="002A55BE">
            <w:pPr>
              <w:pStyle w:val="Tabletext"/>
              <w:jc w:val="center"/>
              <w:rPr>
                <w:u w:color="000000"/>
                <w:lang w:val="es-ES"/>
              </w:rPr>
            </w:pPr>
            <w:r w:rsidRPr="00591584">
              <w:rPr>
                <w:u w:color="000000"/>
                <w:lang w:val="es-ES"/>
              </w:rPr>
              <w:t>A, B</w:t>
            </w:r>
          </w:p>
        </w:tc>
        <w:tc>
          <w:tcPr>
            <w:tcW w:w="2835" w:type="dxa"/>
          </w:tcPr>
          <w:p w:rsidR="002B3327" w:rsidRPr="00591584" w:rsidRDefault="002B3327" w:rsidP="002A55BE">
            <w:pPr>
              <w:pStyle w:val="Tabletext"/>
              <w:jc w:val="center"/>
              <w:rPr>
                <w:u w:color="000000"/>
                <w:lang w:val="es-ES"/>
              </w:rPr>
            </w:pPr>
            <w:r w:rsidRPr="00591584">
              <w:rPr>
                <w:u w:color="000000"/>
                <w:lang w:val="es-ES"/>
              </w:rPr>
              <w:t>A, B</w:t>
            </w:r>
          </w:p>
        </w:tc>
      </w:tr>
      <w:tr w:rsidR="002B3327" w:rsidRPr="00591584" w:rsidTr="002A55BE">
        <w:trPr>
          <w:jc w:val="center"/>
        </w:trPr>
        <w:tc>
          <w:tcPr>
            <w:tcW w:w="2835" w:type="dxa"/>
          </w:tcPr>
          <w:p w:rsidR="002B3327" w:rsidRPr="00591584" w:rsidRDefault="002B3327" w:rsidP="002A55BE">
            <w:pPr>
              <w:pStyle w:val="Tabletext"/>
              <w:jc w:val="left"/>
              <w:rPr>
                <w:lang w:val="es-ES"/>
              </w:rPr>
            </w:pPr>
            <w:r w:rsidRPr="00591584">
              <w:rPr>
                <w:lang w:val="es-ES"/>
              </w:rPr>
              <w:t>&gt; 3 GHz</w:t>
            </w:r>
            <w:r w:rsidRPr="00591584">
              <w:rPr>
                <w:lang w:val="es-ES"/>
              </w:rPr>
              <w:br/>
              <w:t>(ondas centimétricas)</w:t>
            </w:r>
          </w:p>
        </w:tc>
        <w:tc>
          <w:tcPr>
            <w:tcW w:w="2835" w:type="dxa"/>
          </w:tcPr>
          <w:p w:rsidR="002B3327" w:rsidRPr="00591584" w:rsidRDefault="002B3327" w:rsidP="002A55BE">
            <w:pPr>
              <w:pStyle w:val="Tabletext"/>
              <w:jc w:val="center"/>
              <w:rPr>
                <w:u w:color="000000"/>
                <w:lang w:val="es-ES"/>
              </w:rPr>
            </w:pPr>
            <w:r w:rsidRPr="00591584">
              <w:rPr>
                <w:u w:color="000000"/>
                <w:lang w:val="es-ES"/>
              </w:rPr>
              <w:t>A</w:t>
            </w:r>
          </w:p>
        </w:tc>
        <w:tc>
          <w:tcPr>
            <w:tcW w:w="2835" w:type="dxa"/>
          </w:tcPr>
          <w:p w:rsidR="002B3327" w:rsidRPr="00591584" w:rsidRDefault="002B3327" w:rsidP="002A55BE">
            <w:pPr>
              <w:pStyle w:val="Tabletext"/>
              <w:jc w:val="center"/>
              <w:rPr>
                <w:u w:color="000000"/>
                <w:lang w:val="es-ES"/>
              </w:rPr>
            </w:pPr>
            <w:r w:rsidRPr="00591584">
              <w:rPr>
                <w:u w:color="000000"/>
                <w:lang w:val="es-ES"/>
              </w:rPr>
              <w:t>A</w:t>
            </w:r>
          </w:p>
        </w:tc>
      </w:tr>
    </w:tbl>
    <w:p w:rsidR="002B3327" w:rsidRPr="00591584" w:rsidRDefault="002B3327" w:rsidP="002A55BE">
      <w:pPr>
        <w:pStyle w:val="Tablefin"/>
        <w:rPr>
          <w:lang w:val="es-ES"/>
        </w:rPr>
      </w:pPr>
    </w:p>
    <w:p w:rsidR="002B3327" w:rsidRPr="00591584" w:rsidRDefault="002B3327" w:rsidP="002A55BE">
      <w:pPr>
        <w:pStyle w:val="Heading1"/>
        <w:rPr>
          <w:lang w:val="es-ES"/>
        </w:rPr>
      </w:pPr>
      <w:r w:rsidRPr="00591584">
        <w:rPr>
          <w:lang w:val="es-ES"/>
        </w:rPr>
        <w:t>7</w:t>
      </w:r>
      <w:r w:rsidRPr="00591584">
        <w:rPr>
          <w:lang w:val="es-ES"/>
        </w:rPr>
        <w:tab/>
        <w:t>Especificaciones de los equipos</w:t>
      </w:r>
    </w:p>
    <w:p w:rsidR="002B3327" w:rsidRPr="00591584" w:rsidRDefault="002B3327" w:rsidP="002A55BE">
      <w:pPr>
        <w:pStyle w:val="Heading2"/>
        <w:rPr>
          <w:lang w:val="es-ES"/>
        </w:rPr>
      </w:pPr>
      <w:r w:rsidRPr="00591584">
        <w:rPr>
          <w:lang w:val="es-ES"/>
        </w:rPr>
        <w:t>7.1</w:t>
      </w:r>
      <w:r w:rsidRPr="00591584">
        <w:rPr>
          <w:lang w:val="es-ES"/>
        </w:rPr>
        <w:tab/>
        <w:t>Receptor y preamplificador</w:t>
      </w:r>
    </w:p>
    <w:p w:rsidR="002B3327" w:rsidRPr="00591584" w:rsidRDefault="002B3327" w:rsidP="002A55BE">
      <w:pPr>
        <w:rPr>
          <w:lang w:val="es-ES"/>
        </w:rPr>
      </w:pPr>
      <w:r w:rsidRPr="00591584">
        <w:rPr>
          <w:lang w:val="es-ES"/>
        </w:rPr>
        <w:t>El receptor de medición debe ser un receptor de medición transportable normalizado o un analizador de espectro y cualquier preamplificador adicional que se utili</w:t>
      </w:r>
      <w:r>
        <w:rPr>
          <w:lang w:val="es-ES"/>
        </w:rPr>
        <w:t>ce</w:t>
      </w:r>
      <w:r w:rsidRPr="00591584">
        <w:rPr>
          <w:lang w:val="es-ES"/>
        </w:rPr>
        <w:t xml:space="preserve">, tal como un LNA, debe presentar un bajo factor de ruido del equipo junto con una elevada estabilidad de la ganancia, lo cual es esencial para la calidad de las mediciones del ruido. </w:t>
      </w:r>
    </w:p>
    <w:p w:rsidR="002B3327" w:rsidRPr="00591584" w:rsidRDefault="002B3327" w:rsidP="002A55BE">
      <w:pPr>
        <w:rPr>
          <w:lang w:val="es-ES"/>
        </w:rPr>
      </w:pPr>
      <w:r w:rsidRPr="00591584">
        <w:rPr>
          <w:lang w:val="es-ES"/>
        </w:rPr>
        <w:t xml:space="preserve">A fin de garantizar una precisión en la medición aceptable es preciso mantener el ruido medido al menos 10 dB por encima del ruido de fondo del equipo si se emplea un detector de valor eficaz. Un amplificador de bajo nivel de ruido externo (LNA) puede ayudar a conseguir este objetivo. Es fundamental para frecuencias &gt; 20 MHz. </w:t>
      </w:r>
    </w:p>
    <w:p w:rsidR="002B3327" w:rsidRPr="00591584" w:rsidRDefault="002B3327" w:rsidP="00EB2551">
      <w:pPr>
        <w:rPr>
          <w:lang w:val="es-ES"/>
        </w:rPr>
      </w:pPr>
      <w:r w:rsidRPr="00591584">
        <w:rPr>
          <w:lang w:val="es-ES"/>
        </w:rPr>
        <w:t>Debe tomarse la precaución de utilizar un receptor de medición con un sistema de corrección de errores incorporado que debe aplicarse a los resultados cuando se miden relaciones</w:t>
      </w:r>
      <w:r w:rsidRPr="00591584">
        <w:rPr>
          <w:i/>
          <w:lang w:val="es-ES"/>
        </w:rPr>
        <w:t xml:space="preserve"> S</w:t>
      </w:r>
      <w:r w:rsidRPr="00591584">
        <w:rPr>
          <w:lang w:val="es-ES"/>
        </w:rPr>
        <w:t>/</w:t>
      </w:r>
      <w:r w:rsidRPr="00591584">
        <w:rPr>
          <w:i/>
          <w:lang w:val="es-ES"/>
        </w:rPr>
        <w:t>N</w:t>
      </w:r>
      <w:r w:rsidRPr="00591584">
        <w:rPr>
          <w:lang w:val="es-ES"/>
        </w:rPr>
        <w:t xml:space="preserve"> bajas. Si esta corrección del ruido es conmutable, puede activarse. No obstante, en este caso no es aplicable ninguna corrección adicional como la descrita en el </w:t>
      </w:r>
      <w:r w:rsidR="00EB2551">
        <w:rPr>
          <w:lang w:val="es-ES"/>
        </w:rPr>
        <w:t>§</w:t>
      </w:r>
      <w:r w:rsidRPr="00591584">
        <w:rPr>
          <w:lang w:val="es-ES"/>
        </w:rPr>
        <w:t> 10.2.</w:t>
      </w:r>
    </w:p>
    <w:p w:rsidR="002B3327" w:rsidRPr="00591584" w:rsidRDefault="002B3327" w:rsidP="002A55BE">
      <w:pPr>
        <w:rPr>
          <w:lang w:val="es-ES"/>
        </w:rPr>
      </w:pPr>
      <w:r w:rsidRPr="00591584">
        <w:rPr>
          <w:lang w:val="es-ES"/>
        </w:rPr>
        <w:t xml:space="preserve">Los requisitos del sistema de medición aparecen en el </w:t>
      </w:r>
      <w:r>
        <w:rPr>
          <w:lang w:val="es-ES"/>
        </w:rPr>
        <w:t>Cuadro</w:t>
      </w:r>
      <w:r w:rsidRPr="00591584">
        <w:rPr>
          <w:lang w:val="es-ES"/>
        </w:rPr>
        <w:t xml:space="preserve"> 4, que no describe un nuevo conjunto de receptores de medición o especificaciones del LNA sino que sólo señala los requisitos adicionales o específicos necesarios para el receptor y el LNA utilizados</w:t>
      </w:r>
      <w:r>
        <w:rPr>
          <w:lang w:val="es-ES"/>
        </w:rPr>
        <w:t xml:space="preserve"> </w:t>
      </w:r>
      <w:r w:rsidRPr="00591584">
        <w:rPr>
          <w:lang w:val="es-ES"/>
        </w:rPr>
        <w:t>en las mediciones de ruido. Además, las denominaciones de la banda de frecuencias se basan en la implementación práctica de un sistema de medición de ruido y no se refieren a un sistema de recepción específico.</w:t>
      </w:r>
    </w:p>
    <w:p w:rsidR="002B3327" w:rsidRPr="00591584" w:rsidRDefault="002B3327" w:rsidP="002B3327">
      <w:pPr>
        <w:pStyle w:val="TableNo"/>
        <w:rPr>
          <w:lang w:val="es-ES"/>
        </w:rPr>
      </w:pPr>
      <w:r w:rsidRPr="00591584">
        <w:rPr>
          <w:lang w:val="es-ES"/>
        </w:rPr>
        <w:lastRenderedPageBreak/>
        <w:t>CUADRO 4</w:t>
      </w:r>
    </w:p>
    <w:p w:rsidR="002B3327" w:rsidRPr="00591584" w:rsidRDefault="002B3327" w:rsidP="002B3327">
      <w:pPr>
        <w:pStyle w:val="Tabletitle"/>
        <w:rPr>
          <w:lang w:val="es-ES"/>
        </w:rPr>
      </w:pPr>
      <w:r w:rsidRPr="00591584">
        <w:rPr>
          <w:lang w:val="es-ES"/>
        </w:rPr>
        <w:t>Requisitos del sistema de medición del ruido (receptor/LNA)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3260"/>
        <w:gridCol w:w="2056"/>
        <w:gridCol w:w="1913"/>
      </w:tblGrid>
      <w:tr w:rsidR="002B3327" w:rsidRPr="00591584" w:rsidTr="009D7564">
        <w:trPr>
          <w:trHeight w:val="359"/>
          <w:jc w:val="center"/>
        </w:trPr>
        <w:tc>
          <w:tcPr>
            <w:tcW w:w="2410" w:type="dxa"/>
          </w:tcPr>
          <w:p w:rsidR="002B3327" w:rsidRPr="00591584" w:rsidRDefault="002B3327" w:rsidP="009D7564">
            <w:pPr>
              <w:pStyle w:val="Tablehead"/>
              <w:rPr>
                <w:lang w:val="es-ES"/>
              </w:rPr>
            </w:pPr>
            <w:r w:rsidRPr="00591584">
              <w:rPr>
                <w:lang w:val="es-ES"/>
              </w:rPr>
              <w:t>Función</w:t>
            </w:r>
          </w:p>
        </w:tc>
        <w:tc>
          <w:tcPr>
            <w:tcW w:w="7229" w:type="dxa"/>
            <w:gridSpan w:val="3"/>
          </w:tcPr>
          <w:p w:rsidR="002B3327" w:rsidRPr="00591584" w:rsidRDefault="002B3327" w:rsidP="009D7564">
            <w:pPr>
              <w:pStyle w:val="Tablehead"/>
              <w:rPr>
                <w:lang w:val="es-ES"/>
              </w:rPr>
            </w:pPr>
            <w:r w:rsidRPr="00591584">
              <w:rPr>
                <w:lang w:val="es-ES"/>
              </w:rPr>
              <w:t>Gama de frecuencias</w:t>
            </w:r>
          </w:p>
        </w:tc>
      </w:tr>
      <w:tr w:rsidR="002B3327" w:rsidRPr="00591584" w:rsidTr="009D7564">
        <w:trPr>
          <w:trHeight w:val="315"/>
          <w:jc w:val="center"/>
        </w:trPr>
        <w:tc>
          <w:tcPr>
            <w:tcW w:w="2410" w:type="dxa"/>
          </w:tcPr>
          <w:p w:rsidR="002B3327" w:rsidRPr="00591584" w:rsidRDefault="002B3327" w:rsidP="009D7564">
            <w:pPr>
              <w:pStyle w:val="Tabletext"/>
              <w:jc w:val="left"/>
              <w:rPr>
                <w:lang w:val="es-ES"/>
              </w:rPr>
            </w:pPr>
            <w:r w:rsidRPr="00591584">
              <w:rPr>
                <w:lang w:val="es-ES"/>
              </w:rPr>
              <w:t>Gama de frecuencias</w:t>
            </w:r>
          </w:p>
        </w:tc>
        <w:tc>
          <w:tcPr>
            <w:tcW w:w="3260" w:type="dxa"/>
          </w:tcPr>
          <w:p w:rsidR="002B3327" w:rsidRPr="00591584" w:rsidRDefault="002B3327" w:rsidP="009D7564">
            <w:pPr>
              <w:pStyle w:val="Tabletext"/>
              <w:jc w:val="center"/>
              <w:rPr>
                <w:lang w:val="es-ES"/>
              </w:rPr>
            </w:pPr>
            <w:r w:rsidRPr="00591584">
              <w:rPr>
                <w:lang w:val="es-ES"/>
              </w:rPr>
              <w:t>9 kHz – 30 MHz</w:t>
            </w:r>
          </w:p>
        </w:tc>
        <w:tc>
          <w:tcPr>
            <w:tcW w:w="2056" w:type="dxa"/>
          </w:tcPr>
          <w:p w:rsidR="002B3327" w:rsidRPr="00591584" w:rsidRDefault="002B3327" w:rsidP="009D7564">
            <w:pPr>
              <w:pStyle w:val="Tabletext"/>
              <w:jc w:val="center"/>
              <w:rPr>
                <w:lang w:val="es-ES"/>
              </w:rPr>
            </w:pPr>
            <w:r w:rsidRPr="00591584">
              <w:rPr>
                <w:lang w:val="es-ES"/>
              </w:rPr>
              <w:t>30-500 MHz</w:t>
            </w:r>
          </w:p>
        </w:tc>
        <w:tc>
          <w:tcPr>
            <w:tcW w:w="1913" w:type="dxa"/>
          </w:tcPr>
          <w:p w:rsidR="002B3327" w:rsidRPr="00591584" w:rsidRDefault="002B3327" w:rsidP="009D7564">
            <w:pPr>
              <w:pStyle w:val="Tabletext"/>
              <w:jc w:val="center"/>
              <w:rPr>
                <w:lang w:val="es-ES"/>
              </w:rPr>
            </w:pPr>
            <w:r w:rsidRPr="00591584">
              <w:rPr>
                <w:lang w:val="es-ES"/>
              </w:rPr>
              <w:t>0.5-3 GHz</w:t>
            </w:r>
          </w:p>
        </w:tc>
      </w:tr>
      <w:tr w:rsidR="002B3327" w:rsidRPr="00591584" w:rsidTr="009D7564">
        <w:trPr>
          <w:trHeight w:val="315"/>
          <w:jc w:val="center"/>
        </w:trPr>
        <w:tc>
          <w:tcPr>
            <w:tcW w:w="2410" w:type="dxa"/>
          </w:tcPr>
          <w:p w:rsidR="002B3327" w:rsidRPr="00591584" w:rsidRDefault="002B3327" w:rsidP="009D7564">
            <w:pPr>
              <w:pStyle w:val="Tabletext"/>
              <w:jc w:val="left"/>
              <w:rPr>
                <w:lang w:val="es-ES"/>
              </w:rPr>
            </w:pPr>
            <w:r w:rsidRPr="00591584">
              <w:rPr>
                <w:lang w:val="es-ES"/>
              </w:rPr>
              <w:t>Entrada (entrada de antena) ROE</w:t>
            </w:r>
          </w:p>
        </w:tc>
        <w:tc>
          <w:tcPr>
            <w:tcW w:w="7229" w:type="dxa"/>
            <w:gridSpan w:val="3"/>
          </w:tcPr>
          <w:p w:rsidR="002B3327" w:rsidRPr="00591584" w:rsidRDefault="002B3327" w:rsidP="009D7564">
            <w:pPr>
              <w:pStyle w:val="Tabletext"/>
              <w:jc w:val="center"/>
              <w:rPr>
                <w:szCs w:val="22"/>
                <w:u w:color="000000"/>
                <w:lang w:val="es-ES"/>
              </w:rPr>
            </w:pPr>
            <w:r w:rsidRPr="00591584">
              <w:rPr>
                <w:u w:color="000000"/>
                <w:lang w:val="es-ES"/>
              </w:rPr>
              <w:t>50 Ω, nominal &lt; 1</w:t>
            </w:r>
            <w:r>
              <w:rPr>
                <w:u w:color="000000"/>
                <w:lang w:val="es-ES"/>
              </w:rPr>
              <w:t>,</w:t>
            </w:r>
            <w:r w:rsidRPr="00591584">
              <w:rPr>
                <w:u w:color="000000"/>
                <w:lang w:val="es-ES"/>
              </w:rPr>
              <w:t>5</w:t>
            </w:r>
          </w:p>
        </w:tc>
      </w:tr>
      <w:tr w:rsidR="002B3327" w:rsidRPr="00591584" w:rsidTr="009D7564">
        <w:trPr>
          <w:trHeight w:val="315"/>
          <w:jc w:val="center"/>
        </w:trPr>
        <w:tc>
          <w:tcPr>
            <w:tcW w:w="2410" w:type="dxa"/>
          </w:tcPr>
          <w:p w:rsidR="002B3327" w:rsidRPr="00591584" w:rsidRDefault="002B3327" w:rsidP="009D7564">
            <w:pPr>
              <w:pStyle w:val="Tabletext"/>
              <w:jc w:val="left"/>
              <w:rPr>
                <w:lang w:val="es-ES"/>
              </w:rPr>
            </w:pPr>
            <w:r w:rsidRPr="00591584">
              <w:rPr>
                <w:lang w:val="es-ES"/>
              </w:rPr>
              <w:t>Interruptor de 3</w:t>
            </w:r>
            <w:r w:rsidRPr="00591584">
              <w:rPr>
                <w:vertAlign w:val="superscript"/>
                <w:lang w:val="es-ES"/>
              </w:rPr>
              <w:t>er</w:t>
            </w:r>
            <w:r w:rsidRPr="00591584">
              <w:rPr>
                <w:lang w:val="es-ES"/>
              </w:rPr>
              <w:t xml:space="preserve"> orden</w:t>
            </w:r>
          </w:p>
        </w:tc>
        <w:tc>
          <w:tcPr>
            <w:tcW w:w="3260" w:type="dxa"/>
          </w:tcPr>
          <w:p w:rsidR="002B3327" w:rsidRPr="00591584" w:rsidRDefault="002B3327" w:rsidP="009D7564">
            <w:pPr>
              <w:pStyle w:val="Tabletext"/>
              <w:jc w:val="center"/>
              <w:rPr>
                <w:lang w:val="es-ES"/>
              </w:rPr>
            </w:pPr>
            <w:r w:rsidRPr="00591584">
              <w:rPr>
                <w:lang w:val="es-ES"/>
              </w:rPr>
              <w:sym w:font="Symbol" w:char="F0B3"/>
            </w:r>
            <w:r w:rsidRPr="00591584">
              <w:rPr>
                <w:lang w:val="es-ES"/>
              </w:rPr>
              <w:t> 20 dBm (&gt;</w:t>
            </w:r>
            <w:r w:rsidRPr="00591584">
              <w:rPr>
                <w:u w:color="000000"/>
                <w:lang w:val="es-ES"/>
              </w:rPr>
              <w:t> </w:t>
            </w:r>
            <w:r w:rsidRPr="00591584">
              <w:rPr>
                <w:lang w:val="es-ES"/>
              </w:rPr>
              <w:t>3 MHz)</w:t>
            </w:r>
          </w:p>
        </w:tc>
        <w:tc>
          <w:tcPr>
            <w:tcW w:w="2056" w:type="dxa"/>
          </w:tcPr>
          <w:p w:rsidR="002B3327" w:rsidRPr="00591584" w:rsidRDefault="002B3327" w:rsidP="009D7564">
            <w:pPr>
              <w:pStyle w:val="Tabletext"/>
              <w:jc w:val="center"/>
              <w:rPr>
                <w:lang w:val="es-ES"/>
              </w:rPr>
            </w:pPr>
            <w:r w:rsidRPr="00591584">
              <w:rPr>
                <w:lang w:val="es-ES"/>
              </w:rPr>
              <w:sym w:font="Symbol" w:char="F0B3"/>
            </w:r>
            <w:r w:rsidRPr="00591584">
              <w:rPr>
                <w:lang w:val="es-ES"/>
              </w:rPr>
              <w:t> 10 dBm</w:t>
            </w:r>
          </w:p>
        </w:tc>
        <w:tc>
          <w:tcPr>
            <w:tcW w:w="1913" w:type="dxa"/>
          </w:tcPr>
          <w:p w:rsidR="002B3327" w:rsidRPr="00591584" w:rsidRDefault="002B3327" w:rsidP="009D7564">
            <w:pPr>
              <w:pStyle w:val="Tabletext"/>
              <w:jc w:val="center"/>
              <w:rPr>
                <w:lang w:val="es-ES"/>
              </w:rPr>
            </w:pPr>
            <w:r w:rsidRPr="00591584">
              <w:rPr>
                <w:lang w:val="es-ES"/>
              </w:rPr>
              <w:sym w:font="Symbol" w:char="F0B3"/>
            </w:r>
            <w:r w:rsidRPr="00591584">
              <w:rPr>
                <w:lang w:val="es-ES"/>
              </w:rPr>
              <w:t> 0 dBm</w:t>
            </w:r>
          </w:p>
        </w:tc>
      </w:tr>
      <w:tr w:rsidR="002B3327" w:rsidRPr="00591584" w:rsidTr="009D7564">
        <w:trPr>
          <w:trHeight w:val="315"/>
          <w:jc w:val="center"/>
        </w:trPr>
        <w:tc>
          <w:tcPr>
            <w:tcW w:w="2410" w:type="dxa"/>
          </w:tcPr>
          <w:p w:rsidR="002B3327" w:rsidRPr="00591584" w:rsidRDefault="002B3327" w:rsidP="009D7564">
            <w:pPr>
              <w:pStyle w:val="Tabletext"/>
              <w:jc w:val="left"/>
              <w:rPr>
                <w:lang w:val="es-ES"/>
              </w:rPr>
            </w:pPr>
            <w:r w:rsidRPr="00591584">
              <w:rPr>
                <w:lang w:val="es-ES"/>
              </w:rPr>
              <w:t>Interruptor de 2º orden</w:t>
            </w:r>
          </w:p>
        </w:tc>
        <w:tc>
          <w:tcPr>
            <w:tcW w:w="3260" w:type="dxa"/>
          </w:tcPr>
          <w:p w:rsidR="002B3327" w:rsidRPr="00591584" w:rsidRDefault="002B3327" w:rsidP="009D7564">
            <w:pPr>
              <w:pStyle w:val="Tabletext"/>
              <w:jc w:val="center"/>
              <w:rPr>
                <w:lang w:val="es-ES"/>
              </w:rPr>
            </w:pPr>
            <w:r w:rsidRPr="00591584">
              <w:rPr>
                <w:lang w:val="es-ES"/>
              </w:rPr>
              <w:sym w:font="Symbol" w:char="F0B3"/>
            </w:r>
            <w:r w:rsidRPr="00591584">
              <w:rPr>
                <w:lang w:val="es-ES"/>
              </w:rPr>
              <w:t> 60 dBm (&gt;</w:t>
            </w:r>
            <w:r w:rsidRPr="00591584">
              <w:rPr>
                <w:u w:color="000000"/>
                <w:lang w:val="es-ES"/>
              </w:rPr>
              <w:t> </w:t>
            </w:r>
            <w:r w:rsidRPr="00591584">
              <w:rPr>
                <w:lang w:val="es-ES"/>
              </w:rPr>
              <w:t>3 MHz)</w:t>
            </w:r>
          </w:p>
        </w:tc>
        <w:tc>
          <w:tcPr>
            <w:tcW w:w="2056" w:type="dxa"/>
          </w:tcPr>
          <w:p w:rsidR="002B3327" w:rsidRPr="00591584" w:rsidRDefault="002B3327" w:rsidP="009D7564">
            <w:pPr>
              <w:pStyle w:val="Tabletext"/>
              <w:jc w:val="center"/>
              <w:rPr>
                <w:lang w:val="es-ES"/>
              </w:rPr>
            </w:pPr>
            <w:r w:rsidRPr="00591584">
              <w:rPr>
                <w:lang w:val="es-ES"/>
              </w:rPr>
              <w:sym w:font="Symbol" w:char="F0B3"/>
            </w:r>
            <w:r w:rsidRPr="00591584">
              <w:rPr>
                <w:lang w:val="es-ES"/>
              </w:rPr>
              <w:t> 50 dBm</w:t>
            </w:r>
          </w:p>
        </w:tc>
        <w:tc>
          <w:tcPr>
            <w:tcW w:w="1913" w:type="dxa"/>
          </w:tcPr>
          <w:p w:rsidR="002B3327" w:rsidRPr="00591584" w:rsidRDefault="002B3327" w:rsidP="009D7564">
            <w:pPr>
              <w:pStyle w:val="Tabletext"/>
              <w:jc w:val="center"/>
              <w:rPr>
                <w:lang w:val="es-ES"/>
              </w:rPr>
            </w:pPr>
            <w:r w:rsidRPr="00591584">
              <w:rPr>
                <w:lang w:val="es-ES"/>
              </w:rPr>
              <w:sym w:font="Symbol" w:char="F0B3"/>
            </w:r>
            <w:r w:rsidRPr="00591584">
              <w:rPr>
                <w:lang w:val="es-ES"/>
              </w:rPr>
              <w:t> 40 dBm</w:t>
            </w:r>
          </w:p>
        </w:tc>
      </w:tr>
      <w:tr w:rsidR="002B3327" w:rsidRPr="00151803" w:rsidTr="009D7564">
        <w:trPr>
          <w:trHeight w:val="315"/>
          <w:jc w:val="center"/>
        </w:trPr>
        <w:tc>
          <w:tcPr>
            <w:tcW w:w="2410" w:type="dxa"/>
          </w:tcPr>
          <w:p w:rsidR="002B3327" w:rsidRPr="00591584" w:rsidRDefault="002B3327" w:rsidP="009D7564">
            <w:pPr>
              <w:pStyle w:val="Tabletext"/>
              <w:jc w:val="left"/>
              <w:rPr>
                <w:lang w:val="es-ES"/>
              </w:rPr>
            </w:pPr>
            <w:r w:rsidRPr="00591584">
              <w:rPr>
                <w:lang w:val="es-ES"/>
              </w:rPr>
              <w:t>Preselección</w:t>
            </w:r>
          </w:p>
        </w:tc>
        <w:tc>
          <w:tcPr>
            <w:tcW w:w="3260" w:type="dxa"/>
          </w:tcPr>
          <w:p w:rsidR="002B3327" w:rsidRPr="00591584" w:rsidRDefault="002B3327" w:rsidP="009D7564">
            <w:pPr>
              <w:pStyle w:val="Tabletext"/>
              <w:jc w:val="center"/>
              <w:rPr>
                <w:lang w:val="es-ES"/>
              </w:rPr>
            </w:pPr>
            <w:r w:rsidRPr="00591584">
              <w:rPr>
                <w:lang w:val="es-ES"/>
              </w:rPr>
              <w:t>Conjunto de filtros de banda de suboctava o filtro de seguimiento</w:t>
            </w:r>
          </w:p>
        </w:tc>
        <w:tc>
          <w:tcPr>
            <w:tcW w:w="3969" w:type="dxa"/>
            <w:gridSpan w:val="2"/>
          </w:tcPr>
          <w:p w:rsidR="002B3327" w:rsidRPr="00591584" w:rsidRDefault="002B3327" w:rsidP="009D7564">
            <w:pPr>
              <w:pStyle w:val="Tabletext"/>
              <w:jc w:val="center"/>
              <w:rPr>
                <w:lang w:val="es-ES"/>
              </w:rPr>
            </w:pPr>
            <w:r w:rsidRPr="00591584">
              <w:rPr>
                <w:lang w:val="es-ES"/>
              </w:rPr>
              <w:t>Filtro de seguimiento o fijo</w:t>
            </w:r>
            <w:r w:rsidRPr="00591584">
              <w:rPr>
                <w:lang w:val="es-ES"/>
              </w:rPr>
              <w:br/>
              <w:t>Filtro paso bajo/paso alto</w:t>
            </w:r>
          </w:p>
        </w:tc>
      </w:tr>
      <w:tr w:rsidR="002B3327" w:rsidRPr="00591584" w:rsidTr="009D7564">
        <w:trPr>
          <w:trHeight w:val="315"/>
          <w:jc w:val="center"/>
        </w:trPr>
        <w:tc>
          <w:tcPr>
            <w:tcW w:w="2410" w:type="dxa"/>
          </w:tcPr>
          <w:p w:rsidR="002B3327" w:rsidRPr="00591584" w:rsidRDefault="002B3327" w:rsidP="009D7564">
            <w:pPr>
              <w:pStyle w:val="Tabletext"/>
              <w:jc w:val="left"/>
              <w:rPr>
                <w:lang w:val="es-ES"/>
              </w:rPr>
            </w:pPr>
            <w:r w:rsidRPr="00591584">
              <w:rPr>
                <w:lang w:val="es-ES"/>
              </w:rPr>
              <w:t>Factor de ruido total</w:t>
            </w:r>
          </w:p>
        </w:tc>
        <w:tc>
          <w:tcPr>
            <w:tcW w:w="3260" w:type="dxa"/>
          </w:tcPr>
          <w:p w:rsidR="002B3327" w:rsidRPr="00591584" w:rsidRDefault="002B3327" w:rsidP="009D7564">
            <w:pPr>
              <w:pStyle w:val="Tabletext"/>
              <w:jc w:val="center"/>
              <w:rPr>
                <w:szCs w:val="22"/>
                <w:u w:color="000000"/>
                <w:lang w:val="es-ES"/>
              </w:rPr>
            </w:pPr>
            <w:r w:rsidRPr="00591584">
              <w:rPr>
                <w:u w:color="000000"/>
                <w:lang w:val="es-ES"/>
              </w:rPr>
              <w:t>≤ 15 dB (&gt; 2 MHz)</w:t>
            </w:r>
          </w:p>
        </w:tc>
        <w:tc>
          <w:tcPr>
            <w:tcW w:w="2056" w:type="dxa"/>
          </w:tcPr>
          <w:p w:rsidR="002B3327" w:rsidRPr="00591584" w:rsidRDefault="002B3327" w:rsidP="009D7564">
            <w:pPr>
              <w:pStyle w:val="Tabletext"/>
              <w:jc w:val="center"/>
              <w:rPr>
                <w:szCs w:val="22"/>
                <w:u w:color="000000"/>
                <w:lang w:val="es-ES"/>
              </w:rPr>
            </w:pPr>
            <w:r w:rsidRPr="00591584">
              <w:rPr>
                <w:szCs w:val="22"/>
                <w:u w:color="000000"/>
                <w:lang w:val="es-ES"/>
              </w:rPr>
              <w:t>≤ 2 dB</w:t>
            </w:r>
            <w:r w:rsidRPr="00591584">
              <w:rPr>
                <w:szCs w:val="22"/>
                <w:u w:color="000000"/>
                <w:vertAlign w:val="superscript"/>
                <w:lang w:val="es-ES"/>
              </w:rPr>
              <w:t>(1)</w:t>
            </w:r>
            <w:r w:rsidRPr="00591584">
              <w:rPr>
                <w:szCs w:val="22"/>
                <w:u w:color="000000"/>
                <w:lang w:val="es-ES"/>
              </w:rPr>
              <w:t xml:space="preserve"> (&gt; 20 MHz)</w:t>
            </w:r>
          </w:p>
        </w:tc>
        <w:tc>
          <w:tcPr>
            <w:tcW w:w="1913" w:type="dxa"/>
          </w:tcPr>
          <w:p w:rsidR="002B3327" w:rsidRPr="00591584" w:rsidRDefault="002B3327" w:rsidP="009D7564">
            <w:pPr>
              <w:pStyle w:val="Tabletext"/>
              <w:jc w:val="center"/>
              <w:rPr>
                <w:szCs w:val="22"/>
                <w:u w:color="000000"/>
                <w:lang w:val="es-ES"/>
              </w:rPr>
            </w:pPr>
            <w:r w:rsidRPr="00591584">
              <w:rPr>
                <w:szCs w:val="22"/>
                <w:u w:color="000000"/>
                <w:lang w:val="es-ES"/>
              </w:rPr>
              <w:t>≤ 2 dB</w:t>
            </w:r>
            <w:r w:rsidRPr="00591584">
              <w:rPr>
                <w:szCs w:val="22"/>
                <w:u w:color="000000"/>
                <w:vertAlign w:val="superscript"/>
                <w:lang w:val="es-ES"/>
              </w:rPr>
              <w:t>(1)</w:t>
            </w:r>
          </w:p>
        </w:tc>
      </w:tr>
      <w:tr w:rsidR="002B3327" w:rsidRPr="00591584" w:rsidTr="009D7564">
        <w:trPr>
          <w:trHeight w:val="315"/>
          <w:jc w:val="center"/>
        </w:trPr>
        <w:tc>
          <w:tcPr>
            <w:tcW w:w="2410" w:type="dxa"/>
          </w:tcPr>
          <w:p w:rsidR="002B3327" w:rsidRPr="00591584" w:rsidRDefault="002B3327" w:rsidP="009D7564">
            <w:pPr>
              <w:pStyle w:val="Tabletext"/>
              <w:jc w:val="left"/>
              <w:rPr>
                <w:lang w:val="es-ES"/>
              </w:rPr>
            </w:pPr>
            <w:r w:rsidRPr="00591584">
              <w:rPr>
                <w:lang w:val="es-ES"/>
              </w:rPr>
              <w:t>Rechazo de FI</w:t>
            </w:r>
          </w:p>
        </w:tc>
        <w:tc>
          <w:tcPr>
            <w:tcW w:w="3260" w:type="dxa"/>
          </w:tcPr>
          <w:p w:rsidR="002B3327" w:rsidRPr="00591584" w:rsidRDefault="002B3327" w:rsidP="009D7564">
            <w:pPr>
              <w:pStyle w:val="Tabletext"/>
              <w:jc w:val="center"/>
              <w:rPr>
                <w:lang w:val="es-ES"/>
              </w:rPr>
            </w:pPr>
            <w:r w:rsidRPr="00591584">
              <w:rPr>
                <w:lang w:val="es-ES"/>
              </w:rPr>
              <w:t>&gt; 80 dB</w:t>
            </w:r>
          </w:p>
        </w:tc>
        <w:tc>
          <w:tcPr>
            <w:tcW w:w="2056" w:type="dxa"/>
          </w:tcPr>
          <w:p w:rsidR="002B3327" w:rsidRPr="00591584" w:rsidRDefault="002B3327" w:rsidP="009D7564">
            <w:pPr>
              <w:pStyle w:val="Tabletext"/>
              <w:jc w:val="center"/>
              <w:rPr>
                <w:lang w:val="es-ES"/>
              </w:rPr>
            </w:pPr>
            <w:r w:rsidRPr="00591584">
              <w:rPr>
                <w:lang w:val="es-ES"/>
              </w:rPr>
              <w:t>&gt; 90 dB</w:t>
            </w:r>
          </w:p>
        </w:tc>
        <w:tc>
          <w:tcPr>
            <w:tcW w:w="1913" w:type="dxa"/>
          </w:tcPr>
          <w:p w:rsidR="002B3327" w:rsidRPr="00591584" w:rsidRDefault="002B3327" w:rsidP="009D7564">
            <w:pPr>
              <w:pStyle w:val="Tabletext"/>
              <w:jc w:val="center"/>
              <w:rPr>
                <w:lang w:val="es-ES"/>
              </w:rPr>
            </w:pPr>
            <w:r w:rsidRPr="00591584">
              <w:rPr>
                <w:lang w:val="es-ES"/>
              </w:rPr>
              <w:t>&gt; 100 dB</w:t>
            </w:r>
          </w:p>
        </w:tc>
      </w:tr>
      <w:tr w:rsidR="002B3327" w:rsidRPr="00591584" w:rsidTr="009D7564">
        <w:trPr>
          <w:trHeight w:val="315"/>
          <w:jc w:val="center"/>
        </w:trPr>
        <w:tc>
          <w:tcPr>
            <w:tcW w:w="2410" w:type="dxa"/>
          </w:tcPr>
          <w:p w:rsidR="002B3327" w:rsidRPr="00591584" w:rsidRDefault="002B3327" w:rsidP="009D7564">
            <w:pPr>
              <w:pStyle w:val="Tabletext"/>
              <w:jc w:val="left"/>
              <w:rPr>
                <w:lang w:val="es-ES"/>
              </w:rPr>
            </w:pPr>
            <w:r w:rsidRPr="00591584">
              <w:rPr>
                <w:lang w:val="es-ES"/>
              </w:rPr>
              <w:t>Rechazo de imagen</w:t>
            </w:r>
          </w:p>
        </w:tc>
        <w:tc>
          <w:tcPr>
            <w:tcW w:w="3260" w:type="dxa"/>
          </w:tcPr>
          <w:p w:rsidR="002B3327" w:rsidRPr="00591584" w:rsidRDefault="002B3327" w:rsidP="009D7564">
            <w:pPr>
              <w:pStyle w:val="Tabletext"/>
              <w:jc w:val="center"/>
              <w:rPr>
                <w:lang w:val="es-ES"/>
              </w:rPr>
            </w:pPr>
            <w:r w:rsidRPr="00591584">
              <w:rPr>
                <w:lang w:val="es-ES"/>
              </w:rPr>
              <w:t>&gt; 80 dB</w:t>
            </w:r>
          </w:p>
        </w:tc>
        <w:tc>
          <w:tcPr>
            <w:tcW w:w="2056" w:type="dxa"/>
          </w:tcPr>
          <w:p w:rsidR="002B3327" w:rsidRPr="00591584" w:rsidRDefault="002B3327" w:rsidP="009D7564">
            <w:pPr>
              <w:pStyle w:val="Tabletext"/>
              <w:jc w:val="center"/>
              <w:rPr>
                <w:lang w:val="es-ES"/>
              </w:rPr>
            </w:pPr>
            <w:r w:rsidRPr="00591584">
              <w:rPr>
                <w:lang w:val="es-ES"/>
              </w:rPr>
              <w:t>&gt; 90 dB</w:t>
            </w:r>
          </w:p>
        </w:tc>
        <w:tc>
          <w:tcPr>
            <w:tcW w:w="1913" w:type="dxa"/>
          </w:tcPr>
          <w:p w:rsidR="002B3327" w:rsidRPr="00591584" w:rsidRDefault="002B3327" w:rsidP="009D7564">
            <w:pPr>
              <w:pStyle w:val="Tabletext"/>
              <w:jc w:val="center"/>
              <w:rPr>
                <w:lang w:val="es-ES"/>
              </w:rPr>
            </w:pPr>
            <w:r w:rsidRPr="00591584">
              <w:rPr>
                <w:lang w:val="es-ES"/>
              </w:rPr>
              <w:t>&gt; 100 dB</w:t>
            </w:r>
          </w:p>
        </w:tc>
      </w:tr>
      <w:tr w:rsidR="002B3327" w:rsidRPr="00591584" w:rsidTr="009D7564">
        <w:trPr>
          <w:trHeight w:val="315"/>
          <w:jc w:val="center"/>
        </w:trPr>
        <w:tc>
          <w:tcPr>
            <w:tcW w:w="2410" w:type="dxa"/>
          </w:tcPr>
          <w:p w:rsidR="002B3327" w:rsidRPr="00591584" w:rsidRDefault="002B3327" w:rsidP="009D7564">
            <w:pPr>
              <w:pStyle w:val="Tabletext"/>
              <w:jc w:val="left"/>
              <w:rPr>
                <w:lang w:val="es-ES"/>
              </w:rPr>
            </w:pPr>
            <w:r w:rsidRPr="00591584">
              <w:rPr>
                <w:lang w:val="es-ES"/>
              </w:rPr>
              <w:t>Ganancia del LNA</w:t>
            </w:r>
          </w:p>
        </w:tc>
        <w:tc>
          <w:tcPr>
            <w:tcW w:w="3260" w:type="dxa"/>
          </w:tcPr>
          <w:p w:rsidR="002B3327" w:rsidRPr="00591584" w:rsidRDefault="002B3327" w:rsidP="009D7564">
            <w:pPr>
              <w:pStyle w:val="Tabletext"/>
              <w:jc w:val="center"/>
              <w:rPr>
                <w:u w:color="000000"/>
                <w:lang w:val="es-ES"/>
              </w:rPr>
            </w:pPr>
            <w:r w:rsidRPr="00591584">
              <w:rPr>
                <w:u w:color="000000"/>
                <w:lang w:val="es-ES"/>
              </w:rPr>
              <w:t>≤</w:t>
            </w:r>
            <w:r w:rsidRPr="00591584">
              <w:rPr>
                <w:lang w:val="es-ES"/>
              </w:rPr>
              <w:t> </w:t>
            </w:r>
            <w:r w:rsidRPr="00591584">
              <w:rPr>
                <w:u w:color="000000"/>
                <w:lang w:val="es-ES"/>
              </w:rPr>
              <w:t>18 dB</w:t>
            </w:r>
          </w:p>
        </w:tc>
        <w:tc>
          <w:tcPr>
            <w:tcW w:w="2056" w:type="dxa"/>
          </w:tcPr>
          <w:p w:rsidR="002B3327" w:rsidRPr="00591584" w:rsidRDefault="002B3327" w:rsidP="009D7564">
            <w:pPr>
              <w:pStyle w:val="Tabletext"/>
              <w:jc w:val="center"/>
              <w:rPr>
                <w:u w:color="000000"/>
                <w:lang w:val="es-ES"/>
              </w:rPr>
            </w:pPr>
            <w:r w:rsidRPr="00591584">
              <w:rPr>
                <w:u w:color="000000"/>
                <w:lang w:val="es-ES"/>
              </w:rPr>
              <w:t>≤</w:t>
            </w:r>
            <w:r w:rsidRPr="00591584">
              <w:rPr>
                <w:lang w:val="es-ES"/>
              </w:rPr>
              <w:t> </w:t>
            </w:r>
            <w:r w:rsidRPr="00591584">
              <w:rPr>
                <w:u w:color="000000"/>
                <w:lang w:val="es-ES"/>
              </w:rPr>
              <w:t>25 dB</w:t>
            </w:r>
          </w:p>
        </w:tc>
        <w:tc>
          <w:tcPr>
            <w:tcW w:w="1913" w:type="dxa"/>
          </w:tcPr>
          <w:p w:rsidR="002B3327" w:rsidRPr="00591584" w:rsidRDefault="002B3327" w:rsidP="009D7564">
            <w:pPr>
              <w:pStyle w:val="Tabletext"/>
              <w:jc w:val="center"/>
              <w:rPr>
                <w:u w:color="000000"/>
                <w:lang w:val="es-ES"/>
              </w:rPr>
            </w:pPr>
            <w:r w:rsidRPr="00591584">
              <w:rPr>
                <w:u w:color="000000"/>
                <w:lang w:val="es-ES"/>
              </w:rPr>
              <w:t>≤</w:t>
            </w:r>
            <w:r w:rsidRPr="00591584">
              <w:rPr>
                <w:lang w:val="es-ES"/>
              </w:rPr>
              <w:t> </w:t>
            </w:r>
            <w:r w:rsidRPr="00591584">
              <w:rPr>
                <w:u w:color="000000"/>
                <w:lang w:val="es-ES"/>
              </w:rPr>
              <w:t>25 dB</w:t>
            </w:r>
          </w:p>
        </w:tc>
      </w:tr>
      <w:tr w:rsidR="002B3327" w:rsidRPr="00591584" w:rsidTr="009D7564">
        <w:trPr>
          <w:trHeight w:val="315"/>
          <w:jc w:val="center"/>
        </w:trPr>
        <w:tc>
          <w:tcPr>
            <w:tcW w:w="2410" w:type="dxa"/>
          </w:tcPr>
          <w:p w:rsidR="002B3327" w:rsidRPr="00591584" w:rsidRDefault="002B3327" w:rsidP="009D7564">
            <w:pPr>
              <w:pStyle w:val="Tabletext"/>
              <w:jc w:val="left"/>
              <w:rPr>
                <w:lang w:val="es-ES"/>
              </w:rPr>
            </w:pPr>
            <w:r w:rsidRPr="00591584">
              <w:rPr>
                <w:lang w:val="es-ES"/>
              </w:rPr>
              <w:t>Estabilidad de ganancia del LNA</w:t>
            </w:r>
          </w:p>
        </w:tc>
        <w:tc>
          <w:tcPr>
            <w:tcW w:w="7229" w:type="dxa"/>
            <w:gridSpan w:val="3"/>
          </w:tcPr>
          <w:p w:rsidR="002B3327" w:rsidRPr="00591584" w:rsidRDefault="002B3327" w:rsidP="009D7564">
            <w:pPr>
              <w:pStyle w:val="Tabletext"/>
              <w:jc w:val="center"/>
              <w:rPr>
                <w:u w:color="000000"/>
                <w:lang w:val="es-ES"/>
              </w:rPr>
            </w:pPr>
            <w:r w:rsidRPr="00591584">
              <w:rPr>
                <w:u w:color="000000"/>
                <w:lang w:val="es-ES"/>
              </w:rPr>
              <w:t>≤</w:t>
            </w:r>
            <w:r w:rsidRPr="00591584">
              <w:rPr>
                <w:lang w:val="es-ES"/>
              </w:rPr>
              <w:t> </w:t>
            </w:r>
            <w:r w:rsidRPr="00591584">
              <w:rPr>
                <w:u w:color="000000"/>
                <w:lang w:val="es-ES"/>
              </w:rPr>
              <w:t>0</w:t>
            </w:r>
            <w:r>
              <w:rPr>
                <w:u w:color="000000"/>
                <w:lang w:val="es-ES"/>
              </w:rPr>
              <w:t>,</w:t>
            </w:r>
            <w:r w:rsidRPr="00591584">
              <w:rPr>
                <w:u w:color="000000"/>
                <w:lang w:val="es-ES"/>
              </w:rPr>
              <w:t>7 dB a 20-30°C</w:t>
            </w:r>
          </w:p>
        </w:tc>
      </w:tr>
      <w:tr w:rsidR="002B3327" w:rsidRPr="00591584" w:rsidTr="009D7564">
        <w:trPr>
          <w:trHeight w:val="780"/>
          <w:jc w:val="center"/>
        </w:trPr>
        <w:tc>
          <w:tcPr>
            <w:tcW w:w="2410" w:type="dxa"/>
          </w:tcPr>
          <w:p w:rsidR="002B3327" w:rsidRPr="00591584" w:rsidRDefault="002B3327" w:rsidP="009D7564">
            <w:pPr>
              <w:pStyle w:val="Tabletext"/>
              <w:jc w:val="left"/>
              <w:rPr>
                <w:lang w:val="es-ES"/>
              </w:rPr>
            </w:pPr>
            <w:r w:rsidRPr="00591584">
              <w:rPr>
                <w:lang w:val="es-ES"/>
              </w:rPr>
              <w:t>Uniformidad de la ganancia del LNA en la gama de frecuencias de interés</w:t>
            </w:r>
          </w:p>
        </w:tc>
        <w:tc>
          <w:tcPr>
            <w:tcW w:w="3260" w:type="dxa"/>
          </w:tcPr>
          <w:p w:rsidR="002B3327" w:rsidRPr="00591584" w:rsidRDefault="002B3327" w:rsidP="009D7564">
            <w:pPr>
              <w:pStyle w:val="Tabletext"/>
              <w:jc w:val="center"/>
              <w:rPr>
                <w:szCs w:val="22"/>
                <w:u w:color="000000"/>
                <w:lang w:val="es-ES"/>
              </w:rPr>
            </w:pPr>
            <w:r w:rsidRPr="00591584">
              <w:rPr>
                <w:u w:color="000000"/>
                <w:lang w:val="es-ES"/>
              </w:rPr>
              <w:t>&lt;</w:t>
            </w:r>
            <w:r w:rsidRPr="00591584">
              <w:rPr>
                <w:lang w:val="es-ES"/>
              </w:rPr>
              <w:t> </w:t>
            </w:r>
            <w:r w:rsidRPr="00591584">
              <w:rPr>
                <w:u w:color="000000"/>
                <w:lang w:val="es-ES"/>
              </w:rPr>
              <w:t>0,4</w:t>
            </w:r>
            <w:r w:rsidRPr="00591584">
              <w:rPr>
                <w:szCs w:val="22"/>
                <w:u w:color="000000"/>
                <w:lang w:val="es-ES"/>
              </w:rPr>
              <w:t> dB</w:t>
            </w:r>
          </w:p>
        </w:tc>
        <w:tc>
          <w:tcPr>
            <w:tcW w:w="2056" w:type="dxa"/>
          </w:tcPr>
          <w:p w:rsidR="002B3327" w:rsidRPr="00591584" w:rsidRDefault="002B3327" w:rsidP="009D7564">
            <w:pPr>
              <w:pStyle w:val="Tabletext"/>
              <w:jc w:val="center"/>
              <w:rPr>
                <w:szCs w:val="22"/>
                <w:u w:color="000000"/>
                <w:lang w:val="es-ES"/>
              </w:rPr>
            </w:pPr>
            <w:r w:rsidRPr="00591584">
              <w:rPr>
                <w:u w:color="000000"/>
                <w:lang w:val="es-ES"/>
              </w:rPr>
              <w:t>&lt;</w:t>
            </w:r>
            <w:r w:rsidRPr="00591584">
              <w:rPr>
                <w:lang w:val="es-ES"/>
              </w:rPr>
              <w:t> </w:t>
            </w:r>
            <w:r w:rsidRPr="00591584">
              <w:rPr>
                <w:u w:color="000000"/>
                <w:lang w:val="es-ES"/>
              </w:rPr>
              <w:t>0,4</w:t>
            </w:r>
            <w:r w:rsidRPr="00591584">
              <w:rPr>
                <w:szCs w:val="22"/>
                <w:u w:color="000000"/>
                <w:lang w:val="es-ES"/>
              </w:rPr>
              <w:t> dB</w:t>
            </w:r>
          </w:p>
        </w:tc>
        <w:tc>
          <w:tcPr>
            <w:tcW w:w="1913" w:type="dxa"/>
          </w:tcPr>
          <w:p w:rsidR="002B3327" w:rsidRPr="00591584" w:rsidRDefault="002B3327" w:rsidP="009D7564">
            <w:pPr>
              <w:pStyle w:val="Tabletext"/>
              <w:jc w:val="center"/>
              <w:rPr>
                <w:szCs w:val="22"/>
                <w:u w:color="000000"/>
                <w:lang w:val="es-ES"/>
              </w:rPr>
            </w:pPr>
            <w:r w:rsidRPr="00591584">
              <w:rPr>
                <w:szCs w:val="22"/>
                <w:u w:color="000000"/>
                <w:lang w:val="es-ES"/>
              </w:rPr>
              <w:t>&lt;</w:t>
            </w:r>
            <w:r w:rsidRPr="00591584">
              <w:rPr>
                <w:lang w:val="es-ES"/>
              </w:rPr>
              <w:t> </w:t>
            </w:r>
            <w:r w:rsidRPr="00591584">
              <w:rPr>
                <w:szCs w:val="22"/>
                <w:u w:color="000000"/>
                <w:lang w:val="es-ES"/>
              </w:rPr>
              <w:t>0,5 dB</w:t>
            </w:r>
          </w:p>
        </w:tc>
      </w:tr>
      <w:tr w:rsidR="002B3327" w:rsidRPr="00151803" w:rsidTr="009D7564">
        <w:trPr>
          <w:trHeight w:val="315"/>
          <w:jc w:val="center"/>
        </w:trPr>
        <w:tc>
          <w:tcPr>
            <w:tcW w:w="2410" w:type="dxa"/>
          </w:tcPr>
          <w:p w:rsidR="002B3327" w:rsidRPr="00591584" w:rsidRDefault="002B3327" w:rsidP="009D7564">
            <w:pPr>
              <w:pStyle w:val="Tabletext"/>
              <w:jc w:val="left"/>
              <w:rPr>
                <w:lang w:val="es-ES"/>
              </w:rPr>
            </w:pPr>
            <w:r w:rsidRPr="00591584">
              <w:rPr>
                <w:lang w:val="es-ES"/>
              </w:rPr>
              <w:t>CAG</w:t>
            </w:r>
          </w:p>
        </w:tc>
        <w:tc>
          <w:tcPr>
            <w:tcW w:w="7229" w:type="dxa"/>
            <w:gridSpan w:val="3"/>
          </w:tcPr>
          <w:p w:rsidR="002B3327" w:rsidRPr="00591584" w:rsidRDefault="002B3327" w:rsidP="009D7564">
            <w:pPr>
              <w:pStyle w:val="Tabletext"/>
              <w:jc w:val="left"/>
              <w:rPr>
                <w:lang w:val="es-ES"/>
              </w:rPr>
            </w:pPr>
            <w:r w:rsidRPr="00591584">
              <w:rPr>
                <w:lang w:val="es-ES"/>
              </w:rPr>
              <w:t>No debe aplicarse CAG a los resultados de la medición</w:t>
            </w:r>
          </w:p>
        </w:tc>
      </w:tr>
      <w:tr w:rsidR="002B3327" w:rsidRPr="00151803" w:rsidTr="009D7564">
        <w:trPr>
          <w:trHeight w:val="1275"/>
          <w:jc w:val="center"/>
        </w:trPr>
        <w:tc>
          <w:tcPr>
            <w:tcW w:w="2410" w:type="dxa"/>
            <w:tcBorders>
              <w:bottom w:val="single" w:sz="4" w:space="0" w:color="auto"/>
            </w:tcBorders>
          </w:tcPr>
          <w:p w:rsidR="002B3327" w:rsidRPr="00591584" w:rsidRDefault="002B3327" w:rsidP="009D7564">
            <w:pPr>
              <w:pStyle w:val="Tabletext"/>
              <w:jc w:val="left"/>
              <w:rPr>
                <w:lang w:val="es-ES"/>
              </w:rPr>
            </w:pPr>
            <w:r w:rsidRPr="00591584">
              <w:rPr>
                <w:lang w:val="es-ES"/>
              </w:rPr>
              <w:t>Compatibilidad electromagnética del montaje de medición incluidos los ordenadores y la interfaz</w:t>
            </w:r>
          </w:p>
        </w:tc>
        <w:tc>
          <w:tcPr>
            <w:tcW w:w="7229" w:type="dxa"/>
            <w:gridSpan w:val="3"/>
            <w:tcBorders>
              <w:bottom w:val="single" w:sz="4" w:space="0" w:color="auto"/>
            </w:tcBorders>
          </w:tcPr>
          <w:p w:rsidR="002B3327" w:rsidRPr="00591584" w:rsidRDefault="002B3327" w:rsidP="009D7564">
            <w:pPr>
              <w:pStyle w:val="Tabletext"/>
              <w:jc w:val="left"/>
              <w:rPr>
                <w:lang w:val="es-ES"/>
              </w:rPr>
            </w:pPr>
            <w:r w:rsidRPr="00591584">
              <w:rPr>
                <w:lang w:val="es-ES"/>
              </w:rPr>
              <w:t>Toda la interferencia producida y recibida por el montaje de medición debe estar &gt; 10 dB por debajo del ruido medio que va a medirse</w:t>
            </w:r>
          </w:p>
        </w:tc>
      </w:tr>
      <w:tr w:rsidR="002B3327" w:rsidRPr="00151803" w:rsidTr="002A55BE">
        <w:trPr>
          <w:jc w:val="center"/>
        </w:trPr>
        <w:tc>
          <w:tcPr>
            <w:tcW w:w="9639" w:type="dxa"/>
            <w:gridSpan w:val="4"/>
            <w:tcBorders>
              <w:top w:val="single" w:sz="4" w:space="0" w:color="auto"/>
              <w:left w:val="nil"/>
              <w:bottom w:val="nil"/>
              <w:right w:val="nil"/>
            </w:tcBorders>
          </w:tcPr>
          <w:p w:rsidR="002B3327" w:rsidRPr="00591584" w:rsidRDefault="002B3327" w:rsidP="009D7564">
            <w:pPr>
              <w:pStyle w:val="Tablelegend"/>
              <w:rPr>
                <w:lang w:val="es-ES"/>
              </w:rPr>
            </w:pPr>
            <w:r w:rsidRPr="00591584">
              <w:rPr>
                <w:vertAlign w:val="superscript"/>
                <w:lang w:val="es-ES"/>
              </w:rPr>
              <w:t>(1)</w:t>
            </w:r>
            <w:r w:rsidRPr="00591584">
              <w:rPr>
                <w:lang w:val="es-ES"/>
              </w:rPr>
              <w:tab/>
              <w:t xml:space="preserve">Este factor de </w:t>
            </w:r>
            <w:r w:rsidRPr="00EE15CA">
              <w:rPr>
                <w:lang w:val="es-ES_tradnl"/>
              </w:rPr>
              <w:t>ruido</w:t>
            </w:r>
            <w:r w:rsidRPr="00591584">
              <w:rPr>
                <w:lang w:val="es-ES"/>
              </w:rPr>
              <w:t xml:space="preserve"> se aplica al LNA.</w:t>
            </w:r>
          </w:p>
        </w:tc>
      </w:tr>
    </w:tbl>
    <w:p w:rsidR="002B3327" w:rsidRPr="00591584" w:rsidRDefault="002B3327" w:rsidP="002A55BE">
      <w:pPr>
        <w:pStyle w:val="Tablefin"/>
        <w:rPr>
          <w:lang w:val="es-ES"/>
        </w:rPr>
      </w:pPr>
    </w:p>
    <w:p w:rsidR="002B3327" w:rsidRPr="00591584" w:rsidRDefault="002B3327" w:rsidP="002A55BE">
      <w:pPr>
        <w:rPr>
          <w:lang w:val="es-ES"/>
        </w:rPr>
      </w:pPr>
      <w:r w:rsidRPr="00591584">
        <w:rPr>
          <w:lang w:val="es-ES"/>
        </w:rPr>
        <w:t>Cuando se emplea un LNA, la combinación de receptor y LNA debe satisfacer los requisitos señalados en el Cuadro 4.</w:t>
      </w:r>
      <w:r>
        <w:rPr>
          <w:lang w:val="es-ES"/>
        </w:rPr>
        <w:t xml:space="preserve"> El factor de ruido del sistema de la combinación está dominado por el factor de ruido del LNA.</w:t>
      </w:r>
    </w:p>
    <w:p w:rsidR="002B3327" w:rsidRPr="00591584" w:rsidRDefault="002B3327" w:rsidP="006D7658">
      <w:pPr>
        <w:rPr>
          <w:lang w:val="es-ES"/>
        </w:rPr>
      </w:pPr>
      <w:r w:rsidRPr="00591584">
        <w:rPr>
          <w:lang w:val="es-ES"/>
        </w:rPr>
        <w:t>Debe tomarse la precaución de no sobrecargar el receptor o el LNA. Hay que aplicar un filtro paso banda externo para impedir esta sobrecarga. Por debajo de 30 MHz, las señales con el mayor nivel de entrada proceden de estaciones de radiodifusión. La atenuación del filtro paso banda a través de las bandas de radiodifusión debe ser al menos de 20 dB.</w:t>
      </w:r>
    </w:p>
    <w:p w:rsidR="002B3327" w:rsidRPr="00591584" w:rsidRDefault="002B3327" w:rsidP="002A55BE">
      <w:pPr>
        <w:rPr>
          <w:lang w:val="es-ES"/>
        </w:rPr>
      </w:pPr>
      <w:r w:rsidRPr="00591584">
        <w:rPr>
          <w:lang w:val="es-ES"/>
        </w:rPr>
        <w:t>Hay que conocer con precisión la selectividad en FI entre 6</w:t>
      </w:r>
      <w:r>
        <w:rPr>
          <w:lang w:val="es-ES"/>
        </w:rPr>
        <w:t xml:space="preserve"> </w:t>
      </w:r>
      <w:r w:rsidRPr="00591584">
        <w:rPr>
          <w:lang w:val="es-ES"/>
        </w:rPr>
        <w:t xml:space="preserve">dB y 60 dB para calcular la anchura de banda de ruido equivalente cuando deban comparase mediciones efectuadas con distintos filtros de FI. Si se especifica, la anchura de banda del ruido puede extraerse de las especificaciones del receptor. Se trata de la anchura de banda de un filtro rectangular (teórico) que deja pasar la misma potencia de ruido que el filtro del receptor o del analizador. </w:t>
      </w:r>
    </w:p>
    <w:p w:rsidR="002B3327" w:rsidRPr="00591584" w:rsidRDefault="002B3327" w:rsidP="002A55BE">
      <w:pPr>
        <w:pStyle w:val="Heading2"/>
        <w:rPr>
          <w:lang w:val="es-ES"/>
        </w:rPr>
      </w:pPr>
      <w:r w:rsidRPr="00591584">
        <w:rPr>
          <w:lang w:val="es-ES"/>
        </w:rPr>
        <w:lastRenderedPageBreak/>
        <w:t>7.2</w:t>
      </w:r>
      <w:r w:rsidRPr="00591584">
        <w:rPr>
          <w:lang w:val="es-ES"/>
        </w:rPr>
        <w:tab/>
        <w:t>Antenas</w:t>
      </w:r>
    </w:p>
    <w:p w:rsidR="002B3327" w:rsidRPr="00591584" w:rsidRDefault="002B3327" w:rsidP="006A041D">
      <w:pPr>
        <w:keepNext/>
        <w:keepLines/>
        <w:rPr>
          <w:lang w:val="es-ES"/>
        </w:rPr>
      </w:pPr>
      <w:r w:rsidRPr="00591584">
        <w:rPr>
          <w:lang w:val="es-ES"/>
        </w:rPr>
        <w:t>De conformidad con la Recomendación UIT</w:t>
      </w:r>
      <w:r w:rsidRPr="00591584">
        <w:rPr>
          <w:lang w:val="es-ES"/>
        </w:rPr>
        <w:noBreakHyphen/>
        <w:t>R P.372, el nivel de ruido se expresa como factor de ruido (en dB por encima del ruido térmico) en vez de como intensidad de campo. Este factor de ruido se referencia, por definición, a una antena «sin perdidas». Con respecto a las fuentes de ruido uniformemente distribuidas en el plano horizontal o que se reciben bajo un ángulo vertical relativamente pequeño, la aproximación más ajustada a una antena sin pérdidas es un dipolo sintonizado vertical. Por consiguiente, se recomienda utilizar dicho dipolo para las mediciones del ruido por encima de 30 MHz.</w:t>
      </w:r>
    </w:p>
    <w:p w:rsidR="002B3327" w:rsidRPr="00591584" w:rsidRDefault="002B3327" w:rsidP="002A55BE">
      <w:pPr>
        <w:rPr>
          <w:lang w:val="es-ES"/>
        </w:rPr>
      </w:pPr>
      <w:r w:rsidRPr="00591584">
        <w:rPr>
          <w:lang w:val="es-ES"/>
        </w:rPr>
        <w:t>Por debajo de 30 MHz, los dipolos verticales no son prácticos puesto que su tamaño es demasiado grande. Además, sólo son ideales si están lo suficientemente alejados del suelo, lo cual puede ser difícil de lograr. Por tanto, la Recomendación UIT</w:t>
      </w:r>
      <w:r w:rsidRPr="00591584">
        <w:rPr>
          <w:lang w:val="es-ES"/>
        </w:rPr>
        <w:noBreakHyphen/>
        <w:t>R P.372 utiliza un monopolo vertical corto situado sobre un suelo conductor perfecto como antena de referencia para frecuencias inferiores a 30 MHz. Se recomienda emplear como antena de medición un monopolo vertical corto con una altura inferior a una décima parte de la longitud de onda. Sin embargo, este monopolo corto debe estar eléctricamente adaptado a la impedancia de entrada del receptor (normalmente 50 Ω). Esta adaptación generalmente se realiza utilizando elementos activos. Es importante no incluir en la antena ninguna amplificación adicional pues ello haría que dicha antena estuviese sujeta a sobrecargas causadas por señales de radiodifusión de gran intensidad.</w:t>
      </w:r>
    </w:p>
    <w:p w:rsidR="002B3327" w:rsidRPr="00591584" w:rsidRDefault="002B3327" w:rsidP="002A55BE">
      <w:pPr>
        <w:rPr>
          <w:lang w:val="es-ES"/>
        </w:rPr>
      </w:pPr>
      <w:r w:rsidRPr="00591584">
        <w:rPr>
          <w:lang w:val="es-ES"/>
        </w:rPr>
        <w:t>Aplicando el modelo según el cual las fuentes de ruido se reciben uniformemente desde todos los ángulos, no es necesario corregir la posible directividad de la antena de medición. Incluso las antenas más directivas, como las Yagi, sólo logran la ganancia en la dirección preferida suprimiendo las señales correspondientes que llegan de otras direcciones, de forma que la ganancia media para el entorno de ruido es cero. Por consiguiente, es posible utilizar antenas directivas para realizar las mediciones cuando cabe esperar que el ruido esté uniformemente distribuido, siempre que dichas antenas estén adaptadas.</w:t>
      </w:r>
    </w:p>
    <w:p w:rsidR="002B3327" w:rsidRPr="00591584" w:rsidRDefault="002B3327" w:rsidP="002A55BE">
      <w:pPr>
        <w:rPr>
          <w:lang w:val="es-ES"/>
        </w:rPr>
      </w:pPr>
      <w:r w:rsidRPr="00591584">
        <w:rPr>
          <w:lang w:val="es-ES"/>
        </w:rPr>
        <w:t>Para calcular el factor de ruido externo es necesario conocer el factor de antena que puede utilizarse a fin de determinar la intensidad de campo a partir de la tensión de antena medida. A menudo, esta cifra viene dada por el fabricante, pero deben considerarse detenidamente los siguientes puntos:</w:t>
      </w:r>
    </w:p>
    <w:p w:rsidR="002B3327" w:rsidRPr="00591584" w:rsidRDefault="002B3327" w:rsidP="002A55BE">
      <w:pPr>
        <w:pStyle w:val="enumlev1"/>
        <w:rPr>
          <w:lang w:val="es-ES"/>
        </w:rPr>
      </w:pPr>
      <w:r w:rsidRPr="00591584">
        <w:rPr>
          <w:lang w:val="es-ES"/>
        </w:rPr>
        <w:t>–</w:t>
      </w:r>
      <w:r w:rsidRPr="00591584">
        <w:rPr>
          <w:lang w:val="es-ES"/>
        </w:rPr>
        <w:tab/>
        <w:t xml:space="preserve">Si la antena es directiva, el factor de antena comunicado por el fabricante sólo se aplica a la dirección del haz principal. No obstante, para calcular la intensidad de campo del ruido únicamente debe emplearse el factor de antena </w:t>
      </w:r>
      <w:r w:rsidRPr="007A7D32">
        <w:rPr>
          <w:u w:val="single"/>
          <w:lang w:val="es-ES"/>
        </w:rPr>
        <w:t>medio</w:t>
      </w:r>
      <w:r w:rsidRPr="00591584">
        <w:rPr>
          <w:rStyle w:val="FootnoteReference"/>
          <w:lang w:val="es-ES"/>
        </w:rPr>
        <w:footnoteReference w:id="1"/>
      </w:r>
      <w:r w:rsidRPr="00591584">
        <w:rPr>
          <w:lang w:val="es-ES"/>
        </w:rPr>
        <w:t xml:space="preserve"> de las señales procedentes de cualquier dirección.</w:t>
      </w:r>
    </w:p>
    <w:p w:rsidR="002B3327" w:rsidRPr="00591584" w:rsidRDefault="002B3327" w:rsidP="006D7658">
      <w:pPr>
        <w:pStyle w:val="enumlev1"/>
        <w:rPr>
          <w:lang w:val="es-ES"/>
        </w:rPr>
      </w:pPr>
      <w:r w:rsidRPr="00591584">
        <w:rPr>
          <w:lang w:val="es-ES"/>
        </w:rPr>
        <w:t>–</w:t>
      </w:r>
      <w:r w:rsidRPr="00591584">
        <w:rPr>
          <w:lang w:val="es-ES"/>
        </w:rPr>
        <w:tab/>
        <w:t>Especialmente a bajas frecuencias es importante que se satisfagan las condiciones bajo las cuales ha indicado el fabricante el factor de antena. Parámetros tales como la distancia de la antena al suelo, las obstrucciones en las proximidades inmediatas de la antena y las tomas de tierra pueden alterar de forma significativa el valor del factor de antena.</w:t>
      </w:r>
    </w:p>
    <w:p w:rsidR="002B3327" w:rsidRPr="00591584" w:rsidRDefault="002B3327" w:rsidP="002A55BE">
      <w:pPr>
        <w:rPr>
          <w:lang w:val="es-ES"/>
        </w:rPr>
      </w:pPr>
      <w:r w:rsidRPr="00591584">
        <w:rPr>
          <w:lang w:val="es-ES"/>
        </w:rPr>
        <w:t>Cuando se desconoce el factor de antena, también puede medirse utilizando una antena de referencia con un factor de antena conocido, pero siguen aplicándose las anteriores condiciones. Una manera práctica de determinar el factor de antena consiste en comparar los niveles de la medición y la antena de referencia para un gran número de emisiones procedentes de direcciones aleatorias y promediar a continuación los resultados para cada banda de frecuencias.</w:t>
      </w:r>
    </w:p>
    <w:p w:rsidR="002B3327" w:rsidRPr="00591584" w:rsidRDefault="002B3327" w:rsidP="002A55BE">
      <w:pPr>
        <w:rPr>
          <w:lang w:val="es-ES"/>
        </w:rPr>
      </w:pPr>
      <w:r w:rsidRPr="00591584">
        <w:rPr>
          <w:lang w:val="es-ES"/>
        </w:rPr>
        <w:lastRenderedPageBreak/>
        <w:t>Con respecto a las antenas de referencia en la Recomendación UIT</w:t>
      </w:r>
      <w:r w:rsidRPr="00591584">
        <w:rPr>
          <w:lang w:val="es-ES"/>
        </w:rPr>
        <w:noBreakHyphen/>
        <w:t>R P.372 y para adaptarlas a situaciones reales de recepción, el punto de alimentación de la antena de referencia debe estar en el suelo o próximo al mismo para frecuencias de hasta 60 MHz, y al menos a 5 m por encima del suelo para frecuencias superiores.</w:t>
      </w:r>
    </w:p>
    <w:p w:rsidR="002B3327" w:rsidRPr="00591584" w:rsidRDefault="002B3327" w:rsidP="002A55BE">
      <w:pPr>
        <w:pStyle w:val="Heading1"/>
        <w:rPr>
          <w:u w:color="000000"/>
          <w:lang w:val="es-ES"/>
        </w:rPr>
      </w:pPr>
      <w:r w:rsidRPr="00591584">
        <w:rPr>
          <w:u w:color="000000"/>
          <w:lang w:val="es-ES"/>
        </w:rPr>
        <w:t>8</w:t>
      </w:r>
      <w:r w:rsidRPr="00591584">
        <w:rPr>
          <w:u w:color="000000"/>
          <w:lang w:val="es-ES"/>
        </w:rPr>
        <w:tab/>
      </w:r>
      <w:r w:rsidRPr="00591584">
        <w:rPr>
          <w:lang w:val="es-ES"/>
        </w:rPr>
        <w:t>Análisis de incertidumbre</w:t>
      </w:r>
    </w:p>
    <w:p w:rsidR="002B3327" w:rsidRPr="00591584" w:rsidRDefault="002B3327" w:rsidP="006A041D">
      <w:pPr>
        <w:rPr>
          <w:lang w:val="es-ES"/>
        </w:rPr>
      </w:pPr>
      <w:r w:rsidRPr="00591584">
        <w:rPr>
          <w:lang w:val="es-ES"/>
        </w:rPr>
        <w:t>El resultado final de la medición debe reflejar un valor real que pueda reproducirse incluso cuando se utilice otro montaje de medición distinto. No sólo es necesario conocer la precisión media sino también los l</w:t>
      </w:r>
      <w:r>
        <w:rPr>
          <w:lang w:val="es-ES"/>
        </w:rPr>
        <w:t>í</w:t>
      </w:r>
      <w:r w:rsidRPr="00591584">
        <w:rPr>
          <w:lang w:val="es-ES"/>
        </w:rPr>
        <w:t>mites dentro de los cuales pueden variar los valores. Para cada medición debe realizarse un balance de incertidumbre que contenga todos los elementos que puedan influir en la incertidumbre total. Puede encontrarse información al respecto, por ejemplo, en la publicación de la</w:t>
      </w:r>
      <w:r w:rsidR="006A041D">
        <w:rPr>
          <w:lang w:val="es-ES"/>
        </w:rPr>
        <w:t> </w:t>
      </w:r>
      <w:r w:rsidRPr="00591584">
        <w:rPr>
          <w:lang w:val="es-ES"/>
        </w:rPr>
        <w:t>ISO «</w:t>
      </w:r>
      <w:r w:rsidRPr="00E16436">
        <w:rPr>
          <w:i/>
          <w:iCs/>
          <w:lang w:val="es-ES"/>
        </w:rPr>
        <w:t>Guide to the expession of uncertainty in measurements</w:t>
      </w:r>
      <w:r w:rsidRPr="00591584">
        <w:rPr>
          <w:lang w:val="es-ES"/>
        </w:rPr>
        <w:t>»</w:t>
      </w:r>
      <w:r w:rsidRPr="00591584">
        <w:rPr>
          <w:rFonts w:eastAsia="MS Mincho"/>
          <w:lang w:val="es-ES"/>
        </w:rPr>
        <w:t>.</w:t>
      </w:r>
    </w:p>
    <w:p w:rsidR="002B3327" w:rsidRPr="00591584" w:rsidRDefault="002B3327" w:rsidP="002A55BE">
      <w:pPr>
        <w:pStyle w:val="Heading1"/>
        <w:rPr>
          <w:u w:color="000000"/>
          <w:lang w:val="es-ES"/>
        </w:rPr>
      </w:pPr>
      <w:r w:rsidRPr="00591584">
        <w:rPr>
          <w:u w:color="000000"/>
          <w:lang w:val="es-ES"/>
        </w:rPr>
        <w:t>9</w:t>
      </w:r>
      <w:r w:rsidRPr="00591584">
        <w:rPr>
          <w:u w:color="000000"/>
          <w:lang w:val="es-ES"/>
        </w:rPr>
        <w:tab/>
      </w:r>
      <w:r w:rsidRPr="00591584">
        <w:rPr>
          <w:lang w:val="es-ES"/>
        </w:rPr>
        <w:t>Proceso de medición</w:t>
      </w:r>
    </w:p>
    <w:p w:rsidR="002B3327" w:rsidRPr="00591584" w:rsidRDefault="002B3327" w:rsidP="002A55BE">
      <w:pPr>
        <w:pStyle w:val="Heading2"/>
        <w:rPr>
          <w:lang w:val="es-ES"/>
        </w:rPr>
      </w:pPr>
      <w:r w:rsidRPr="00591584">
        <w:rPr>
          <w:lang w:val="es-ES"/>
        </w:rPr>
        <w:t>9.1</w:t>
      </w:r>
      <w:r w:rsidRPr="00591584">
        <w:rPr>
          <w:lang w:val="es-ES"/>
        </w:rPr>
        <w:tab/>
        <w:t>Selección de los emplazamientos de medición</w:t>
      </w:r>
    </w:p>
    <w:p w:rsidR="002B3327" w:rsidRPr="00591584" w:rsidRDefault="002B3327" w:rsidP="002A55BE">
      <w:pPr>
        <w:rPr>
          <w:lang w:val="es-ES"/>
        </w:rPr>
      </w:pPr>
      <w:r w:rsidRPr="00591584">
        <w:rPr>
          <w:lang w:val="es-ES"/>
        </w:rPr>
        <w:t>Incluso en una sola frecuencia, el nivel de ruido radioeléctrico, especialmente cuando viene determinado por el MMN, varía dependiendo de la hora y del emplazamiento. En bandas de frecuencias por debajo de 30 MHz, los niveles de ruido suelen variar con el tiempo debido fundamentalmente a las condiciones de propagación. En consecuencia, por regla general es preciso realizar múltiples mediciones en distintos emplazamientos. La Recomendación UIT</w:t>
      </w:r>
      <w:r w:rsidRPr="00591584">
        <w:rPr>
          <w:lang w:val="es-ES"/>
        </w:rPr>
        <w:noBreakHyphen/>
        <w:t>R P.372 define cuatro categorías de emplazamiento distintas. Para reflejar las diferencias resultantes en el nivel de MMN, deben seleccionarle los lugares de medición de acuerdo con estas categorías. Sin embargo, para obtener una evaluación más detallada se recomienda clasificar las mediciones del ruido en las siguientes categorías:</w:t>
      </w:r>
    </w:p>
    <w:p w:rsidR="002B3327" w:rsidRPr="00591584" w:rsidRDefault="002B3327" w:rsidP="002A55BE">
      <w:pPr>
        <w:pStyle w:val="TableNo"/>
        <w:keepLines/>
        <w:rPr>
          <w:lang w:val="es-ES"/>
        </w:rPr>
      </w:pPr>
      <w:r w:rsidRPr="00591584">
        <w:rPr>
          <w:lang w:val="es-ES"/>
        </w:rPr>
        <w:t>CUADRO 5</w:t>
      </w:r>
    </w:p>
    <w:p w:rsidR="002B3327" w:rsidRPr="00591584" w:rsidRDefault="002B3327" w:rsidP="002A55BE">
      <w:pPr>
        <w:pStyle w:val="Tabletitle"/>
        <w:keepLines/>
        <w:rPr>
          <w:lang w:val="es-ES"/>
        </w:rPr>
      </w:pPr>
      <w:r w:rsidRPr="00591584">
        <w:rPr>
          <w:lang w:val="es-ES"/>
        </w:rPr>
        <w:t>Criterios de selección para emplazamientos de medición en exteriores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701"/>
        <w:gridCol w:w="7938"/>
      </w:tblGrid>
      <w:tr w:rsidR="002B3327" w:rsidRPr="00591584" w:rsidTr="005D140F">
        <w:trPr>
          <w:jc w:val="center"/>
        </w:trPr>
        <w:tc>
          <w:tcPr>
            <w:tcW w:w="1701" w:type="dxa"/>
            <w:shd w:val="clear" w:color="auto" w:fill="auto"/>
          </w:tcPr>
          <w:p w:rsidR="002B3327" w:rsidRPr="00591584" w:rsidRDefault="002B3327" w:rsidP="002A55BE">
            <w:pPr>
              <w:pStyle w:val="Tablehead"/>
              <w:keepLines/>
              <w:rPr>
                <w:lang w:val="es-ES" w:eastAsia="de-DE"/>
              </w:rPr>
            </w:pPr>
            <w:r w:rsidRPr="00591584">
              <w:rPr>
                <w:lang w:val="es-ES" w:eastAsia="de-DE"/>
              </w:rPr>
              <w:t>Categoría</w:t>
            </w:r>
          </w:p>
        </w:tc>
        <w:tc>
          <w:tcPr>
            <w:tcW w:w="7938" w:type="dxa"/>
            <w:shd w:val="clear" w:color="auto" w:fill="auto"/>
            <w:vAlign w:val="center"/>
          </w:tcPr>
          <w:p w:rsidR="002B3327" w:rsidRPr="00591584" w:rsidRDefault="002B3327" w:rsidP="002A55BE">
            <w:pPr>
              <w:pStyle w:val="Tablehead"/>
              <w:keepLines/>
              <w:rPr>
                <w:lang w:val="es-ES" w:eastAsia="de-DE"/>
              </w:rPr>
            </w:pPr>
            <w:r w:rsidRPr="00591584">
              <w:rPr>
                <w:lang w:val="es-ES" w:eastAsia="de-DE"/>
              </w:rPr>
              <w:t>Definición</w:t>
            </w:r>
          </w:p>
        </w:tc>
      </w:tr>
      <w:tr w:rsidR="002B3327" w:rsidRPr="00151803" w:rsidTr="005D140F">
        <w:trPr>
          <w:jc w:val="center"/>
        </w:trPr>
        <w:tc>
          <w:tcPr>
            <w:tcW w:w="1701" w:type="dxa"/>
            <w:shd w:val="clear" w:color="auto" w:fill="auto"/>
          </w:tcPr>
          <w:p w:rsidR="002B3327" w:rsidRPr="00591584" w:rsidRDefault="002B3327" w:rsidP="00C75BE2">
            <w:pPr>
              <w:pStyle w:val="Tabletext"/>
              <w:keepNext/>
              <w:keepLines/>
              <w:jc w:val="left"/>
              <w:rPr>
                <w:lang w:val="es-ES" w:eastAsia="de-DE"/>
              </w:rPr>
            </w:pPr>
            <w:r w:rsidRPr="00591584">
              <w:rPr>
                <w:lang w:val="es-ES" w:eastAsia="de-DE"/>
              </w:rPr>
              <w:t>Rural remota</w:t>
            </w:r>
          </w:p>
        </w:tc>
        <w:tc>
          <w:tcPr>
            <w:tcW w:w="7938" w:type="dxa"/>
            <w:shd w:val="clear" w:color="auto" w:fill="auto"/>
            <w:vAlign w:val="center"/>
          </w:tcPr>
          <w:p w:rsidR="002B3327" w:rsidRPr="00591584" w:rsidRDefault="002B3327" w:rsidP="00C75BE2">
            <w:pPr>
              <w:pStyle w:val="Tabletext"/>
              <w:keepNext/>
              <w:keepLines/>
              <w:jc w:val="left"/>
              <w:rPr>
                <w:lang w:val="es-ES" w:eastAsia="de-DE"/>
              </w:rPr>
            </w:pPr>
            <w:r w:rsidRPr="00591584">
              <w:rPr>
                <w:lang w:val="es-ES" w:eastAsia="de-DE"/>
              </w:rPr>
              <w:t>No hay civilización evidente ni edificios ni tráfico ni instalaciones eléctricas en un radio de 5 km</w:t>
            </w:r>
          </w:p>
        </w:tc>
      </w:tr>
      <w:tr w:rsidR="002B3327" w:rsidRPr="00151803" w:rsidTr="005D140F">
        <w:trPr>
          <w:jc w:val="center"/>
        </w:trPr>
        <w:tc>
          <w:tcPr>
            <w:tcW w:w="1701" w:type="dxa"/>
            <w:shd w:val="clear" w:color="auto" w:fill="auto"/>
          </w:tcPr>
          <w:p w:rsidR="002B3327" w:rsidRPr="00591584" w:rsidRDefault="002B3327" w:rsidP="00C75BE2">
            <w:pPr>
              <w:pStyle w:val="Tabletext"/>
              <w:keepNext/>
              <w:keepLines/>
              <w:jc w:val="left"/>
              <w:rPr>
                <w:lang w:val="es-ES" w:eastAsia="de-DE"/>
              </w:rPr>
            </w:pPr>
            <w:r w:rsidRPr="00591584">
              <w:rPr>
                <w:lang w:val="es-ES" w:eastAsia="de-DE"/>
              </w:rPr>
              <w:t>Rural</w:t>
            </w:r>
          </w:p>
        </w:tc>
        <w:tc>
          <w:tcPr>
            <w:tcW w:w="7938" w:type="dxa"/>
            <w:shd w:val="clear" w:color="auto" w:fill="auto"/>
            <w:vAlign w:val="center"/>
          </w:tcPr>
          <w:p w:rsidR="002B3327" w:rsidRPr="00591584" w:rsidRDefault="002B3327" w:rsidP="00C75BE2">
            <w:pPr>
              <w:pStyle w:val="Tabletext"/>
              <w:keepNext/>
              <w:keepLines/>
              <w:jc w:val="left"/>
              <w:rPr>
                <w:lang w:val="es-ES" w:eastAsia="de-DE"/>
              </w:rPr>
            </w:pPr>
            <w:r w:rsidRPr="00591584">
              <w:rPr>
                <w:lang w:val="es-ES" w:eastAsia="de-DE"/>
              </w:rPr>
              <w:t>Campo abierto con intensa actividad agrícola, densidad de edificios &lt; 1/</w:t>
            </w:r>
            <w:r>
              <w:rPr>
                <w:lang w:val="es-ES" w:eastAsia="de-DE"/>
              </w:rPr>
              <w:t>h</w:t>
            </w:r>
            <w:r w:rsidRPr="00591584">
              <w:rPr>
                <w:lang w:val="es-ES" w:eastAsia="de-DE"/>
              </w:rPr>
              <w:t>a, sin carreteras principales ni ferrocarril electrificado</w:t>
            </w:r>
          </w:p>
        </w:tc>
      </w:tr>
      <w:tr w:rsidR="002B3327" w:rsidRPr="00151803" w:rsidTr="005D140F">
        <w:trPr>
          <w:jc w:val="center"/>
        </w:trPr>
        <w:tc>
          <w:tcPr>
            <w:tcW w:w="1701" w:type="dxa"/>
            <w:shd w:val="clear" w:color="auto" w:fill="auto"/>
          </w:tcPr>
          <w:p w:rsidR="002B3327" w:rsidRPr="00591584" w:rsidRDefault="002B3327" w:rsidP="00C75BE2">
            <w:pPr>
              <w:pStyle w:val="Tabletext"/>
              <w:keepNext/>
              <w:keepLines/>
              <w:jc w:val="left"/>
              <w:rPr>
                <w:lang w:val="es-ES" w:eastAsia="de-DE"/>
              </w:rPr>
            </w:pPr>
            <w:r w:rsidRPr="00591584">
              <w:rPr>
                <w:lang w:val="es-ES" w:eastAsia="de-DE"/>
              </w:rPr>
              <w:t>Residencial</w:t>
            </w:r>
          </w:p>
        </w:tc>
        <w:tc>
          <w:tcPr>
            <w:tcW w:w="7938" w:type="dxa"/>
            <w:shd w:val="clear" w:color="auto" w:fill="auto"/>
            <w:vAlign w:val="center"/>
          </w:tcPr>
          <w:p w:rsidR="002B3327" w:rsidRPr="00591584" w:rsidRDefault="002B3327" w:rsidP="00B26384">
            <w:pPr>
              <w:pStyle w:val="Tabletext"/>
              <w:keepNext/>
              <w:keepLines/>
              <w:jc w:val="left"/>
              <w:rPr>
                <w:lang w:val="es-ES" w:eastAsia="de-DE"/>
              </w:rPr>
            </w:pPr>
            <w:r w:rsidRPr="00591584">
              <w:rPr>
                <w:lang w:val="es-ES" w:eastAsia="de-DE"/>
              </w:rPr>
              <w:t>Aldeas y zonas puramente residenciales sin actividad comercial o industrial. Sin ferrocarril electrificado, sin carreteras principales y sin líneas o instalaciones aéreas de</w:t>
            </w:r>
            <w:r w:rsidR="00B26384">
              <w:rPr>
                <w:lang w:val="es-ES" w:eastAsia="de-DE"/>
              </w:rPr>
              <w:t> </w:t>
            </w:r>
            <w:r w:rsidRPr="00591584">
              <w:rPr>
                <w:lang w:val="es-ES" w:eastAsia="de-DE"/>
              </w:rPr>
              <w:t>alta tensión en un radio de 1 km</w:t>
            </w:r>
          </w:p>
        </w:tc>
      </w:tr>
      <w:tr w:rsidR="002B3327" w:rsidRPr="00151803" w:rsidTr="005D140F">
        <w:trPr>
          <w:jc w:val="center"/>
        </w:trPr>
        <w:tc>
          <w:tcPr>
            <w:tcW w:w="1701" w:type="dxa"/>
            <w:shd w:val="clear" w:color="auto" w:fill="auto"/>
          </w:tcPr>
          <w:p w:rsidR="002B3327" w:rsidRPr="00591584" w:rsidRDefault="002B3327" w:rsidP="00C75BE2">
            <w:pPr>
              <w:pStyle w:val="Tabletext"/>
              <w:keepNext/>
              <w:keepLines/>
              <w:jc w:val="left"/>
              <w:rPr>
                <w:lang w:val="es-ES" w:eastAsia="de-DE"/>
              </w:rPr>
            </w:pPr>
            <w:r w:rsidRPr="00591584">
              <w:rPr>
                <w:lang w:val="es-ES" w:eastAsia="de-DE"/>
              </w:rPr>
              <w:t>Urbana</w:t>
            </w:r>
          </w:p>
        </w:tc>
        <w:tc>
          <w:tcPr>
            <w:tcW w:w="7938" w:type="dxa"/>
            <w:shd w:val="clear" w:color="auto" w:fill="auto"/>
            <w:vAlign w:val="center"/>
          </w:tcPr>
          <w:p w:rsidR="002B3327" w:rsidRPr="00591584" w:rsidRDefault="002B3327" w:rsidP="00C75BE2">
            <w:pPr>
              <w:pStyle w:val="Tabletext"/>
              <w:keepNext/>
              <w:keepLines/>
              <w:jc w:val="left"/>
              <w:rPr>
                <w:lang w:val="es-ES" w:eastAsia="de-DE"/>
              </w:rPr>
            </w:pPr>
            <w:r w:rsidRPr="00591584">
              <w:rPr>
                <w:lang w:val="es-ES" w:eastAsia="de-DE"/>
              </w:rPr>
              <w:t>Gran densidad de edificios residenciales, incluidas tiendas y actividades comerciales o industriales de poca envergadura. Sin ferrocarril electrificado, carreteras principales y líneas o instalaciones aéreas de alta tensión en un radio de 500 m</w:t>
            </w:r>
          </w:p>
        </w:tc>
      </w:tr>
      <w:tr w:rsidR="002B3327" w:rsidRPr="00151803" w:rsidTr="005D140F">
        <w:trPr>
          <w:jc w:val="center"/>
        </w:trPr>
        <w:tc>
          <w:tcPr>
            <w:tcW w:w="1701" w:type="dxa"/>
            <w:shd w:val="clear" w:color="auto" w:fill="auto"/>
          </w:tcPr>
          <w:p w:rsidR="002B3327" w:rsidRPr="00591584" w:rsidRDefault="002B3327" w:rsidP="00C75BE2">
            <w:pPr>
              <w:pStyle w:val="Tabletext"/>
              <w:jc w:val="left"/>
              <w:rPr>
                <w:lang w:val="es-ES" w:eastAsia="de-DE"/>
              </w:rPr>
            </w:pPr>
            <w:r w:rsidRPr="00591584">
              <w:rPr>
                <w:lang w:val="es-ES" w:eastAsia="de-DE"/>
              </w:rPr>
              <w:t>Ciudad</w:t>
            </w:r>
          </w:p>
        </w:tc>
        <w:tc>
          <w:tcPr>
            <w:tcW w:w="7938" w:type="dxa"/>
            <w:shd w:val="clear" w:color="auto" w:fill="auto"/>
            <w:vAlign w:val="center"/>
          </w:tcPr>
          <w:p w:rsidR="002B3327" w:rsidRPr="00591584" w:rsidRDefault="002B3327" w:rsidP="00C75BE2">
            <w:pPr>
              <w:pStyle w:val="Tabletext"/>
              <w:jc w:val="left"/>
              <w:rPr>
                <w:lang w:val="es-ES" w:eastAsia="de-DE"/>
              </w:rPr>
            </w:pPr>
            <w:r w:rsidRPr="00591584">
              <w:rPr>
                <w:lang w:val="es-ES" w:eastAsia="de-DE"/>
              </w:rPr>
              <w:t>Gran densidad de edificios y oficinas comerciales e industriales. En las proximidades puede haber carreteras principales y ferrocarriles, pero no en gran cantidad</w:t>
            </w:r>
          </w:p>
        </w:tc>
      </w:tr>
      <w:tr w:rsidR="002B3327" w:rsidRPr="00151803" w:rsidTr="005D140F">
        <w:trPr>
          <w:jc w:val="center"/>
        </w:trPr>
        <w:tc>
          <w:tcPr>
            <w:tcW w:w="1701" w:type="dxa"/>
            <w:shd w:val="clear" w:color="auto" w:fill="auto"/>
          </w:tcPr>
          <w:p w:rsidR="002B3327" w:rsidRPr="00591584" w:rsidRDefault="002B3327" w:rsidP="00C75BE2">
            <w:pPr>
              <w:pStyle w:val="Tabletext"/>
              <w:jc w:val="left"/>
              <w:rPr>
                <w:lang w:val="es-ES" w:eastAsia="de-DE"/>
              </w:rPr>
            </w:pPr>
            <w:r w:rsidRPr="00591584">
              <w:rPr>
                <w:lang w:val="es-ES" w:eastAsia="de-DE"/>
              </w:rPr>
              <w:t>Zona industrial</w:t>
            </w:r>
          </w:p>
        </w:tc>
        <w:tc>
          <w:tcPr>
            <w:tcW w:w="7938" w:type="dxa"/>
            <w:shd w:val="clear" w:color="auto" w:fill="auto"/>
            <w:vAlign w:val="center"/>
          </w:tcPr>
          <w:p w:rsidR="002B3327" w:rsidRPr="00591584" w:rsidRDefault="002B3327" w:rsidP="00C75BE2">
            <w:pPr>
              <w:pStyle w:val="Tabletext"/>
              <w:jc w:val="left"/>
              <w:rPr>
                <w:lang w:val="es-ES" w:eastAsia="de-DE"/>
              </w:rPr>
            </w:pPr>
            <w:r w:rsidRPr="00591584">
              <w:rPr>
                <w:lang w:val="es-ES" w:eastAsia="de-DE"/>
              </w:rPr>
              <w:t>Zonas con gran densidad de fábricas e industria pesada</w:t>
            </w:r>
          </w:p>
        </w:tc>
      </w:tr>
      <w:tr w:rsidR="002B3327" w:rsidRPr="00151803" w:rsidTr="005D140F">
        <w:trPr>
          <w:jc w:val="center"/>
        </w:trPr>
        <w:tc>
          <w:tcPr>
            <w:tcW w:w="1701" w:type="dxa"/>
            <w:shd w:val="clear" w:color="auto" w:fill="auto"/>
          </w:tcPr>
          <w:p w:rsidR="002B3327" w:rsidRPr="00591584" w:rsidRDefault="002B3327" w:rsidP="00C75BE2">
            <w:pPr>
              <w:pStyle w:val="Tabletext"/>
              <w:jc w:val="left"/>
              <w:rPr>
                <w:lang w:val="es-ES" w:eastAsia="de-DE"/>
              </w:rPr>
            </w:pPr>
            <w:r w:rsidRPr="00591584">
              <w:rPr>
                <w:lang w:val="es-ES" w:eastAsia="de-DE"/>
              </w:rPr>
              <w:t>Ferrocarril</w:t>
            </w:r>
          </w:p>
        </w:tc>
        <w:tc>
          <w:tcPr>
            <w:tcW w:w="7938" w:type="dxa"/>
            <w:shd w:val="clear" w:color="auto" w:fill="auto"/>
            <w:vAlign w:val="center"/>
          </w:tcPr>
          <w:p w:rsidR="002B3327" w:rsidRPr="00591584" w:rsidRDefault="002B3327" w:rsidP="00C75BE2">
            <w:pPr>
              <w:pStyle w:val="Tabletext"/>
              <w:jc w:val="left"/>
              <w:rPr>
                <w:lang w:val="es-ES" w:eastAsia="de-DE"/>
              </w:rPr>
            </w:pPr>
            <w:r w:rsidRPr="00591584">
              <w:rPr>
                <w:lang w:val="es-ES" w:eastAsia="de-DE"/>
              </w:rPr>
              <w:t>Emplazamientos donde predominan las grandes líneas de ferrocarril electrificadas</w:t>
            </w:r>
          </w:p>
        </w:tc>
      </w:tr>
      <w:tr w:rsidR="002B3327" w:rsidRPr="00151803" w:rsidTr="005D140F">
        <w:trPr>
          <w:jc w:val="center"/>
        </w:trPr>
        <w:tc>
          <w:tcPr>
            <w:tcW w:w="1701" w:type="dxa"/>
            <w:shd w:val="clear" w:color="auto" w:fill="auto"/>
          </w:tcPr>
          <w:p w:rsidR="002B3327" w:rsidRPr="00591584" w:rsidRDefault="002B3327" w:rsidP="00C75BE2">
            <w:pPr>
              <w:pStyle w:val="Tabletext"/>
              <w:jc w:val="left"/>
              <w:rPr>
                <w:lang w:val="es-ES" w:eastAsia="de-DE"/>
              </w:rPr>
            </w:pPr>
            <w:r w:rsidRPr="00591584">
              <w:rPr>
                <w:lang w:val="es-ES" w:eastAsia="de-DE"/>
              </w:rPr>
              <w:t>Carretera</w:t>
            </w:r>
          </w:p>
        </w:tc>
        <w:tc>
          <w:tcPr>
            <w:tcW w:w="7938" w:type="dxa"/>
            <w:shd w:val="clear" w:color="auto" w:fill="auto"/>
            <w:vAlign w:val="center"/>
          </w:tcPr>
          <w:p w:rsidR="002B3327" w:rsidRPr="00591584" w:rsidRDefault="002B3327" w:rsidP="00C75BE2">
            <w:pPr>
              <w:pStyle w:val="Tabletext"/>
              <w:jc w:val="left"/>
              <w:rPr>
                <w:lang w:val="es-ES" w:eastAsia="de-DE"/>
              </w:rPr>
            </w:pPr>
            <w:r w:rsidRPr="00591584">
              <w:rPr>
                <w:lang w:val="es-ES" w:eastAsia="de-DE"/>
              </w:rPr>
              <w:t>Emplazamientos donde predomina el tráfico rodado; por ejemplo, autopistas</w:t>
            </w:r>
          </w:p>
        </w:tc>
      </w:tr>
    </w:tbl>
    <w:p w:rsidR="002B3327" w:rsidRPr="00591584" w:rsidRDefault="002B3327" w:rsidP="00C75BE2">
      <w:pPr>
        <w:pStyle w:val="Tablefin"/>
        <w:jc w:val="left"/>
        <w:rPr>
          <w:u w:color="000000"/>
          <w:lang w:val="es-ES"/>
        </w:rPr>
      </w:pPr>
    </w:p>
    <w:p w:rsidR="002B3327" w:rsidRPr="00591584" w:rsidRDefault="002B3327" w:rsidP="006A041D">
      <w:pPr>
        <w:keepNext/>
        <w:keepLines/>
        <w:rPr>
          <w:u w:color="000000"/>
          <w:lang w:val="es-ES"/>
        </w:rPr>
      </w:pPr>
      <w:r w:rsidRPr="00591584">
        <w:rPr>
          <w:lang w:val="es-ES"/>
        </w:rPr>
        <w:lastRenderedPageBreak/>
        <w:t>Los resultados de la medición deben evaluarse separadamente para cada categoría de emplazamiento. A fin de lograr una descripción estadística razonable sobre el nivel de ruido radioeléctrico, las mediciones deben efectuarse al menos en 10 emplazamientos por cada categoría</w:t>
      </w:r>
      <w:r w:rsidRPr="00591584">
        <w:rPr>
          <w:u w:color="000000"/>
          <w:lang w:val="es-ES"/>
        </w:rPr>
        <w:t>.</w:t>
      </w:r>
    </w:p>
    <w:p w:rsidR="002B3327" w:rsidRPr="00591584" w:rsidRDefault="002B3327" w:rsidP="002A55BE">
      <w:pPr>
        <w:rPr>
          <w:lang w:val="es-ES"/>
        </w:rPr>
      </w:pPr>
      <w:r w:rsidRPr="00591584">
        <w:rPr>
          <w:lang w:val="es-ES"/>
        </w:rPr>
        <w:t xml:space="preserve">Todos los emplazamientos de medición a los que se ha hecho referencia deben estar en el exterior. Para estimar el nivel de ruido radioeléctrico medio procedente de múltiples fuentes interiores, los resultados de las mediciones tomadas en exteriores pueden reducirse un valor equivalente a la atenuación esperada del edificio para las frecuencias respectivas. </w:t>
      </w:r>
    </w:p>
    <w:p w:rsidR="002B3327" w:rsidRPr="00591584" w:rsidRDefault="002B3327" w:rsidP="002A55BE">
      <w:pPr>
        <w:rPr>
          <w:lang w:val="es-ES"/>
        </w:rPr>
      </w:pPr>
      <w:r w:rsidRPr="00591584">
        <w:rPr>
          <w:lang w:val="es-ES"/>
        </w:rPr>
        <w:t>La experiencia demuestra, no obstante, que los niveles de ruido en interiores tienden a ser incluso superiores a los medidos en exteriores. Ello se debe al predominio de unas pocas fuentes de ruido procedentes del interior del edificio cuando se realiza la medición. Si va a estudiarse este entorno, las categorías de emplazamientos del Cuadro 5 no son aplicables puesto que no importa si el edificio se encuentra en una ciudad, en una zona residencial o en una zona rural. En su lugar, se recomienda utilizar las diversas categorías de edificios señal</w:t>
      </w:r>
      <w:r w:rsidR="009D7564">
        <w:rPr>
          <w:lang w:val="es-ES"/>
        </w:rPr>
        <w:t>adas en el Cuadro 6.</w:t>
      </w:r>
    </w:p>
    <w:p w:rsidR="002B3327" w:rsidRPr="00591584" w:rsidRDefault="002B3327" w:rsidP="002A55BE">
      <w:pPr>
        <w:rPr>
          <w:u w:color="000000"/>
          <w:lang w:val="es-ES"/>
        </w:rPr>
      </w:pPr>
      <w:r w:rsidRPr="00591584">
        <w:rPr>
          <w:lang w:val="es-ES"/>
        </w:rPr>
        <w:t>Cabe señalar que con las mediciones en interiores siempre se obtiene la suma de ruido e interferencia procedentes de fuente únicas. En la mayoría de los casos, las emisiones producidas por una sola fuente situada en el interior de la casa serán las que predominen. De acuerdo con las actuales definiciones de la Recomendación UIT-R P</w:t>
      </w:r>
      <w:r>
        <w:rPr>
          <w:lang w:val="es-ES"/>
        </w:rPr>
        <w:t>.</w:t>
      </w:r>
      <w:r w:rsidRPr="00591584">
        <w:rPr>
          <w:lang w:val="es-ES"/>
        </w:rPr>
        <w:t>372, estas emisiones no son MMN. Sin embargo, los servicios de radiocomunicaciones deben hacer frente a señales no deseadas, tanto si es ruido como si es interferencia, para funcionar adecuadamente. En consecuencia, por razones prácticas, puede ser conveniente medir la suma de ambos</w:t>
      </w:r>
      <w:r w:rsidRPr="00591584">
        <w:rPr>
          <w:u w:color="000000"/>
          <w:lang w:val="es-ES"/>
        </w:rPr>
        <w:t>.</w:t>
      </w:r>
    </w:p>
    <w:p w:rsidR="002B3327" w:rsidRDefault="002B3327" w:rsidP="002A55BE">
      <w:pPr>
        <w:rPr>
          <w:lang w:val="es-ES"/>
        </w:rPr>
      </w:pPr>
    </w:p>
    <w:p w:rsidR="002B3327" w:rsidRPr="00591584" w:rsidRDefault="002B3327" w:rsidP="002B3327">
      <w:pPr>
        <w:pStyle w:val="TableNo"/>
        <w:rPr>
          <w:lang w:val="es-ES"/>
        </w:rPr>
      </w:pPr>
      <w:r w:rsidRPr="00591584">
        <w:rPr>
          <w:lang w:val="es-ES"/>
        </w:rPr>
        <w:t>CUADRO 6</w:t>
      </w:r>
    </w:p>
    <w:p w:rsidR="002B3327" w:rsidRPr="00591584" w:rsidRDefault="002B3327" w:rsidP="002B3327">
      <w:pPr>
        <w:pStyle w:val="Tabletitle"/>
        <w:rPr>
          <w:lang w:val="es-ES"/>
        </w:rPr>
      </w:pPr>
      <w:r w:rsidRPr="00591584">
        <w:rPr>
          <w:lang w:val="es-ES"/>
        </w:rPr>
        <w:t>Criterios de selección para los emplazamientos de medición en interiores</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701"/>
        <w:gridCol w:w="7655"/>
      </w:tblGrid>
      <w:tr w:rsidR="002B3327" w:rsidRPr="00591584" w:rsidTr="00146A2A">
        <w:trPr>
          <w:jc w:val="center"/>
        </w:trPr>
        <w:tc>
          <w:tcPr>
            <w:tcW w:w="1701" w:type="dxa"/>
            <w:shd w:val="clear" w:color="auto" w:fill="auto"/>
          </w:tcPr>
          <w:p w:rsidR="002B3327" w:rsidRPr="00591584" w:rsidRDefault="002B3327" w:rsidP="005D140F">
            <w:pPr>
              <w:pStyle w:val="Tablehead"/>
              <w:rPr>
                <w:lang w:val="es-ES" w:eastAsia="de-DE"/>
              </w:rPr>
            </w:pPr>
            <w:r w:rsidRPr="00591584">
              <w:rPr>
                <w:lang w:val="es-ES" w:eastAsia="de-DE"/>
              </w:rPr>
              <w:t>Categoría</w:t>
            </w:r>
          </w:p>
        </w:tc>
        <w:tc>
          <w:tcPr>
            <w:tcW w:w="7655" w:type="dxa"/>
            <w:shd w:val="clear" w:color="auto" w:fill="auto"/>
          </w:tcPr>
          <w:p w:rsidR="002B3327" w:rsidRPr="00591584" w:rsidRDefault="002B3327" w:rsidP="005D140F">
            <w:pPr>
              <w:pStyle w:val="Tablehead"/>
              <w:rPr>
                <w:lang w:val="es-ES" w:eastAsia="de-DE"/>
              </w:rPr>
            </w:pPr>
            <w:r w:rsidRPr="00591584">
              <w:rPr>
                <w:lang w:val="es-ES" w:eastAsia="de-DE"/>
              </w:rPr>
              <w:t>Definición</w:t>
            </w:r>
          </w:p>
        </w:tc>
      </w:tr>
      <w:tr w:rsidR="002B3327" w:rsidRPr="00151803" w:rsidTr="00146A2A">
        <w:trPr>
          <w:jc w:val="center"/>
        </w:trPr>
        <w:tc>
          <w:tcPr>
            <w:tcW w:w="1701" w:type="dxa"/>
            <w:shd w:val="clear" w:color="auto" w:fill="auto"/>
          </w:tcPr>
          <w:p w:rsidR="002B3327" w:rsidRPr="00591584" w:rsidRDefault="002B3327" w:rsidP="00E907E4">
            <w:pPr>
              <w:pStyle w:val="Tabletext"/>
              <w:jc w:val="left"/>
              <w:rPr>
                <w:lang w:val="es-ES" w:eastAsia="de-DE"/>
              </w:rPr>
            </w:pPr>
            <w:r w:rsidRPr="00591584">
              <w:rPr>
                <w:lang w:val="es-ES" w:eastAsia="de-DE"/>
              </w:rPr>
              <w:t>Doméstico</w:t>
            </w:r>
          </w:p>
        </w:tc>
        <w:tc>
          <w:tcPr>
            <w:tcW w:w="7655" w:type="dxa"/>
            <w:shd w:val="clear" w:color="auto" w:fill="auto"/>
          </w:tcPr>
          <w:p w:rsidR="002B3327" w:rsidRPr="00591584" w:rsidRDefault="002B3327" w:rsidP="00E907E4">
            <w:pPr>
              <w:pStyle w:val="Tabletext"/>
              <w:jc w:val="left"/>
              <w:rPr>
                <w:lang w:val="es-ES" w:eastAsia="de-DE"/>
              </w:rPr>
            </w:pPr>
            <w:r w:rsidRPr="00591584">
              <w:rPr>
                <w:lang w:val="es-ES" w:eastAsia="de-DE"/>
              </w:rPr>
              <w:t>Casa o apartamento dotado de los electrodomésticos y dispositivos electrónicos habituales para uso privado</w:t>
            </w:r>
          </w:p>
        </w:tc>
      </w:tr>
      <w:tr w:rsidR="002B3327" w:rsidRPr="00151803" w:rsidTr="00146A2A">
        <w:trPr>
          <w:jc w:val="center"/>
        </w:trPr>
        <w:tc>
          <w:tcPr>
            <w:tcW w:w="1701" w:type="dxa"/>
            <w:shd w:val="clear" w:color="auto" w:fill="auto"/>
          </w:tcPr>
          <w:p w:rsidR="002B3327" w:rsidRPr="00591584" w:rsidRDefault="002B3327" w:rsidP="00E907E4">
            <w:pPr>
              <w:pStyle w:val="Tabletext"/>
              <w:jc w:val="left"/>
              <w:rPr>
                <w:lang w:val="es-ES" w:eastAsia="de-DE"/>
              </w:rPr>
            </w:pPr>
            <w:r w:rsidRPr="00591584">
              <w:rPr>
                <w:lang w:val="es-ES" w:eastAsia="de-DE"/>
              </w:rPr>
              <w:t>Oficina</w:t>
            </w:r>
          </w:p>
        </w:tc>
        <w:tc>
          <w:tcPr>
            <w:tcW w:w="7655" w:type="dxa"/>
            <w:shd w:val="clear" w:color="auto" w:fill="auto"/>
          </w:tcPr>
          <w:p w:rsidR="002B3327" w:rsidRPr="00591584" w:rsidRDefault="002B3327" w:rsidP="00E907E4">
            <w:pPr>
              <w:pStyle w:val="Tabletext"/>
              <w:jc w:val="left"/>
              <w:rPr>
                <w:lang w:val="es-ES" w:eastAsia="de-DE"/>
              </w:rPr>
            </w:pPr>
            <w:r w:rsidRPr="00591584">
              <w:rPr>
                <w:lang w:val="es-ES" w:eastAsia="de-DE"/>
              </w:rPr>
              <w:t>Dispositivos eléctricos y electrónicos para uso comercial, equipos de TI y de telecomunicaciones; por ejemplo, ordenadores, impresoras, redes de área local</w:t>
            </w:r>
          </w:p>
        </w:tc>
      </w:tr>
      <w:tr w:rsidR="002B3327" w:rsidRPr="00151803" w:rsidTr="00146A2A">
        <w:trPr>
          <w:jc w:val="center"/>
        </w:trPr>
        <w:tc>
          <w:tcPr>
            <w:tcW w:w="1701" w:type="dxa"/>
            <w:shd w:val="clear" w:color="auto" w:fill="auto"/>
          </w:tcPr>
          <w:p w:rsidR="002B3327" w:rsidRPr="00591584" w:rsidRDefault="002B3327" w:rsidP="00E907E4">
            <w:pPr>
              <w:pStyle w:val="Tabletext"/>
              <w:jc w:val="left"/>
              <w:rPr>
                <w:lang w:val="es-ES" w:eastAsia="de-DE"/>
              </w:rPr>
            </w:pPr>
            <w:r w:rsidRPr="00591584">
              <w:rPr>
                <w:lang w:val="es-ES" w:eastAsia="de-DE"/>
              </w:rPr>
              <w:t>Centro comercial</w:t>
            </w:r>
          </w:p>
        </w:tc>
        <w:tc>
          <w:tcPr>
            <w:tcW w:w="7655" w:type="dxa"/>
            <w:shd w:val="clear" w:color="auto" w:fill="auto"/>
          </w:tcPr>
          <w:p w:rsidR="002B3327" w:rsidRPr="00591584" w:rsidRDefault="002B3327" w:rsidP="00E907E4">
            <w:pPr>
              <w:pStyle w:val="Tabletext"/>
              <w:jc w:val="left"/>
              <w:rPr>
                <w:lang w:val="es-ES" w:eastAsia="de-DE"/>
              </w:rPr>
            </w:pPr>
            <w:r w:rsidRPr="00591584">
              <w:rPr>
                <w:lang w:val="es-ES" w:eastAsia="de-DE"/>
              </w:rPr>
              <w:t>Locales con tiendas y supermercados</w:t>
            </w:r>
          </w:p>
        </w:tc>
      </w:tr>
      <w:tr w:rsidR="002B3327" w:rsidRPr="00151803" w:rsidTr="00146A2A">
        <w:trPr>
          <w:jc w:val="center"/>
        </w:trPr>
        <w:tc>
          <w:tcPr>
            <w:tcW w:w="1701" w:type="dxa"/>
            <w:shd w:val="clear" w:color="auto" w:fill="auto"/>
          </w:tcPr>
          <w:p w:rsidR="002B3327" w:rsidRPr="00591584" w:rsidRDefault="002B3327" w:rsidP="00E907E4">
            <w:pPr>
              <w:pStyle w:val="Tabletext"/>
              <w:jc w:val="left"/>
              <w:rPr>
                <w:lang w:val="es-ES" w:eastAsia="de-DE"/>
              </w:rPr>
            </w:pPr>
            <w:r w:rsidRPr="00591584">
              <w:rPr>
                <w:lang w:val="es-ES" w:eastAsia="de-DE"/>
              </w:rPr>
              <w:t>Estación de ferrocarril</w:t>
            </w:r>
          </w:p>
        </w:tc>
        <w:tc>
          <w:tcPr>
            <w:tcW w:w="7655" w:type="dxa"/>
            <w:shd w:val="clear" w:color="auto" w:fill="auto"/>
          </w:tcPr>
          <w:p w:rsidR="002B3327" w:rsidRPr="00591584" w:rsidRDefault="002B3327" w:rsidP="00E907E4">
            <w:pPr>
              <w:pStyle w:val="Tabletext"/>
              <w:jc w:val="left"/>
              <w:rPr>
                <w:lang w:val="es-ES" w:eastAsia="de-DE"/>
              </w:rPr>
            </w:pPr>
            <w:r w:rsidRPr="00591584">
              <w:rPr>
                <w:lang w:val="es-ES" w:eastAsia="de-DE"/>
              </w:rPr>
              <w:t>Principales estaciones ferroviarias situadas en el interior de plataformas cubiertas</w:t>
            </w:r>
          </w:p>
        </w:tc>
      </w:tr>
      <w:tr w:rsidR="002B3327" w:rsidRPr="00151803" w:rsidTr="00146A2A">
        <w:trPr>
          <w:jc w:val="center"/>
        </w:trPr>
        <w:tc>
          <w:tcPr>
            <w:tcW w:w="1701" w:type="dxa"/>
            <w:shd w:val="clear" w:color="auto" w:fill="auto"/>
          </w:tcPr>
          <w:p w:rsidR="002B3327" w:rsidRPr="00591584" w:rsidRDefault="002B3327" w:rsidP="00E907E4">
            <w:pPr>
              <w:pStyle w:val="Tabletext"/>
              <w:jc w:val="left"/>
              <w:rPr>
                <w:lang w:val="es-ES" w:eastAsia="de-DE"/>
              </w:rPr>
            </w:pPr>
            <w:r w:rsidRPr="00591584">
              <w:rPr>
                <w:lang w:val="es-ES" w:eastAsia="de-DE"/>
              </w:rPr>
              <w:t>Terminal de aeropuerto</w:t>
            </w:r>
          </w:p>
        </w:tc>
        <w:tc>
          <w:tcPr>
            <w:tcW w:w="7655" w:type="dxa"/>
            <w:shd w:val="clear" w:color="auto" w:fill="auto"/>
          </w:tcPr>
          <w:p w:rsidR="002B3327" w:rsidRPr="00591584" w:rsidRDefault="002B3327" w:rsidP="00E907E4">
            <w:pPr>
              <w:pStyle w:val="Tabletext"/>
              <w:jc w:val="left"/>
              <w:rPr>
                <w:lang w:val="es-ES" w:eastAsia="de-DE"/>
              </w:rPr>
            </w:pPr>
            <w:r w:rsidRPr="00591584">
              <w:rPr>
                <w:lang w:val="es-ES" w:eastAsia="de-DE"/>
              </w:rPr>
              <w:t>Principales aeropuertos, interior del edificio de la terminal</w:t>
            </w:r>
          </w:p>
        </w:tc>
      </w:tr>
      <w:tr w:rsidR="002B3327" w:rsidRPr="00151803" w:rsidTr="00146A2A">
        <w:trPr>
          <w:jc w:val="center"/>
        </w:trPr>
        <w:tc>
          <w:tcPr>
            <w:tcW w:w="1701" w:type="dxa"/>
            <w:shd w:val="clear" w:color="auto" w:fill="auto"/>
          </w:tcPr>
          <w:p w:rsidR="002B3327" w:rsidRPr="00591584" w:rsidRDefault="002B3327" w:rsidP="00E907E4">
            <w:pPr>
              <w:pStyle w:val="Tabletext"/>
              <w:jc w:val="left"/>
              <w:rPr>
                <w:lang w:val="es-ES" w:eastAsia="de-DE"/>
              </w:rPr>
            </w:pPr>
            <w:r w:rsidRPr="00591584">
              <w:rPr>
                <w:lang w:val="es-ES" w:eastAsia="de-DE"/>
              </w:rPr>
              <w:t>Fábrica</w:t>
            </w:r>
          </w:p>
        </w:tc>
        <w:tc>
          <w:tcPr>
            <w:tcW w:w="7655" w:type="dxa"/>
            <w:shd w:val="clear" w:color="auto" w:fill="auto"/>
          </w:tcPr>
          <w:p w:rsidR="002B3327" w:rsidRPr="00591584" w:rsidRDefault="002B3327" w:rsidP="00E907E4">
            <w:pPr>
              <w:pStyle w:val="Tabletext"/>
              <w:jc w:val="left"/>
              <w:rPr>
                <w:lang w:val="es-ES" w:eastAsia="de-DE"/>
              </w:rPr>
            </w:pPr>
            <w:r w:rsidRPr="00591584">
              <w:rPr>
                <w:lang w:val="es-ES" w:eastAsia="de-DE"/>
              </w:rPr>
              <w:t>Interior de edificios de fábricas con gran cantidad de maquinaria eléctrica</w:t>
            </w:r>
          </w:p>
        </w:tc>
      </w:tr>
      <w:tr w:rsidR="002B3327" w:rsidRPr="00151803" w:rsidTr="00146A2A">
        <w:trPr>
          <w:jc w:val="center"/>
        </w:trPr>
        <w:tc>
          <w:tcPr>
            <w:tcW w:w="1701" w:type="dxa"/>
            <w:shd w:val="clear" w:color="auto" w:fill="auto"/>
          </w:tcPr>
          <w:p w:rsidR="002B3327" w:rsidRPr="00591584" w:rsidRDefault="002B3327" w:rsidP="00E907E4">
            <w:pPr>
              <w:pStyle w:val="Tabletext"/>
              <w:jc w:val="left"/>
              <w:rPr>
                <w:lang w:val="es-ES" w:eastAsia="de-DE"/>
              </w:rPr>
            </w:pPr>
            <w:r w:rsidRPr="00591584">
              <w:rPr>
                <w:lang w:val="es-ES" w:eastAsia="de-DE"/>
              </w:rPr>
              <w:t>Hospital</w:t>
            </w:r>
          </w:p>
        </w:tc>
        <w:tc>
          <w:tcPr>
            <w:tcW w:w="7655" w:type="dxa"/>
            <w:shd w:val="clear" w:color="auto" w:fill="auto"/>
          </w:tcPr>
          <w:p w:rsidR="002B3327" w:rsidRPr="00591584" w:rsidRDefault="002B3327" w:rsidP="00E907E4">
            <w:pPr>
              <w:pStyle w:val="Tabletext"/>
              <w:jc w:val="left"/>
              <w:rPr>
                <w:lang w:val="es-ES" w:eastAsia="de-DE"/>
              </w:rPr>
            </w:pPr>
            <w:r w:rsidRPr="00591584">
              <w:rPr>
                <w:lang w:val="es-ES" w:eastAsia="de-DE"/>
              </w:rPr>
              <w:t>Emplazamientos con gran cantidad de instrumentos médicos</w:t>
            </w:r>
          </w:p>
        </w:tc>
      </w:tr>
    </w:tbl>
    <w:p w:rsidR="002B3327" w:rsidRPr="00591584" w:rsidRDefault="002B3327" w:rsidP="002A55BE">
      <w:pPr>
        <w:pStyle w:val="Tablefin"/>
        <w:rPr>
          <w:u w:color="000000"/>
          <w:lang w:val="es-ES"/>
        </w:rPr>
      </w:pPr>
    </w:p>
    <w:p w:rsidR="002B3327" w:rsidRPr="00591584" w:rsidRDefault="002B3327" w:rsidP="00B73AAF">
      <w:pPr>
        <w:pStyle w:val="Heading2"/>
        <w:rPr>
          <w:lang w:val="es-ES"/>
        </w:rPr>
      </w:pPr>
      <w:r w:rsidRPr="00591584">
        <w:rPr>
          <w:lang w:val="es-ES"/>
        </w:rPr>
        <w:t>9.2</w:t>
      </w:r>
      <w:r w:rsidRPr="00591584">
        <w:rPr>
          <w:lang w:val="es-ES"/>
        </w:rPr>
        <w:tab/>
        <w:t>Selección de frecuencias</w:t>
      </w:r>
    </w:p>
    <w:p w:rsidR="002B3327" w:rsidRPr="00591584" w:rsidRDefault="002B3327" w:rsidP="002A55BE">
      <w:pPr>
        <w:rPr>
          <w:lang w:val="es-ES"/>
        </w:rPr>
      </w:pPr>
      <w:r w:rsidRPr="00591584">
        <w:rPr>
          <w:lang w:val="es-ES"/>
        </w:rPr>
        <w:t>Es posible realizar mediciones en una sola frecuencia (canal) o en una cierta banda de frecuencias (por ejemplo, 100 kHz). Estas observaciones pueden hacerse automáticamente y los resultados pueden procesarse de acuerdo con un protocolo previamente definido.</w:t>
      </w:r>
    </w:p>
    <w:p w:rsidR="002B3327" w:rsidRPr="00591584" w:rsidRDefault="002B3327" w:rsidP="006A041D">
      <w:pPr>
        <w:keepNext/>
        <w:keepLines/>
        <w:rPr>
          <w:lang w:val="es-ES"/>
        </w:rPr>
      </w:pPr>
      <w:r w:rsidRPr="00591584">
        <w:rPr>
          <w:lang w:val="es-ES"/>
        </w:rPr>
        <w:lastRenderedPageBreak/>
        <w:t>En la band</w:t>
      </w:r>
      <w:r>
        <w:rPr>
          <w:lang w:val="es-ES"/>
        </w:rPr>
        <w:t>a de frecuencias de ondas decamé</w:t>
      </w:r>
      <w:r w:rsidRPr="00591584">
        <w:rPr>
          <w:lang w:val="es-ES"/>
        </w:rPr>
        <w:t>tricas es virtualmente imposible encontrar una frecuencia que no curse emisiones deseadas durante todo el periodo de medición de 24 horas. La forma más sencilla de encontrar una frecuencia o banda de frecuencias adecuada es utilizar la información extraída de las mediciones de prueba o los datos históricos. No obstante, no está garantizado que todas las muestras de medición puedan utilizarse debido a la ocupación imprevista que podría aparecer durante el intervalo de medición real. Por tanto, en vez de elegir una frecuencia o una banda de frecuencias fija, es conveniente realizar una exploración de la banda de interés a fin de determinar el nivel de WGN. La frecuencia con el nivel más bajo en la gama de exploración debe medirse a continuación en modo de frecuencia única durante un tiempo de al menos 0,5 s para determinar el nivel de IN. Especialmente en la gama de frecuencias por debajo de 30 MHz con ocupación variable a lo largo del día se recomienda repetir esta selección de frecuencia antes de cada medición.</w:t>
      </w:r>
    </w:p>
    <w:p w:rsidR="002B3327" w:rsidRPr="00591584" w:rsidRDefault="002B3327" w:rsidP="002A55BE">
      <w:pPr>
        <w:rPr>
          <w:lang w:val="es-ES"/>
        </w:rPr>
      </w:pPr>
      <w:r w:rsidRPr="00591584">
        <w:rPr>
          <w:lang w:val="es-ES"/>
        </w:rPr>
        <w:t>En la gama de frecuencias por encima de 30 MHz, las emisiones deseadas normalmente proceden de fuentes nacionales y se conoce la ocupación. En este caso, puede utilizarse una frecuencia fija sin asignación activa.</w:t>
      </w:r>
    </w:p>
    <w:p w:rsidR="002B3327" w:rsidRPr="00591584" w:rsidRDefault="002B3327" w:rsidP="002A55BE">
      <w:pPr>
        <w:rPr>
          <w:u w:color="000000"/>
          <w:lang w:val="es-ES"/>
        </w:rPr>
      </w:pPr>
      <w:r w:rsidRPr="00591584">
        <w:rPr>
          <w:lang w:val="es-ES"/>
        </w:rPr>
        <w:t xml:space="preserve">El ejemplo de la </w:t>
      </w:r>
      <w:r>
        <w:rPr>
          <w:lang w:val="es-ES"/>
        </w:rPr>
        <w:t>Fig.</w:t>
      </w:r>
      <w:r w:rsidRPr="00591584">
        <w:rPr>
          <w:lang w:val="es-ES"/>
        </w:rPr>
        <w:t xml:space="preserve"> 1 muestra el espectro en torno a 142 MHz con unas pocas emisiones a las frecuencias de usuario y registra la traza máxima con dos anchuras de banda de resolución (RBW) distintas (traza superior: 300 kHz, traza inferior: 10 kHz). La frecuencia marcada se selecciona para las mediciones de ruido puesto que se supone que está libre de emisiones y se encuentra lo suficientemente alejada de los canales utilizados</w:t>
      </w:r>
      <w:r w:rsidRPr="00591584">
        <w:rPr>
          <w:u w:color="000000"/>
          <w:lang w:val="es-ES"/>
        </w:rPr>
        <w:t>.</w:t>
      </w:r>
    </w:p>
    <w:p w:rsidR="002B3327" w:rsidRPr="00591584" w:rsidRDefault="002B3327" w:rsidP="002A55BE">
      <w:pPr>
        <w:rPr>
          <w:lang w:val="es-ES"/>
        </w:rPr>
      </w:pPr>
      <w:r w:rsidRPr="00591584">
        <w:rPr>
          <w:lang w:val="es-ES"/>
        </w:rPr>
        <w:t xml:space="preserve">Especialmente cuando se realizan mediciones automáticas autónomas y selección de frecuencias, no puede suponerse siempre que la frecuencia seleccionada contiene sólo ruido. La selección de una banda de frecuencia que consista principalmente en ruido de fondo con una distribución de amplitud gaussiana mejora la precisión de la medición del nivel de potencia de ruido. La forma más fiable de comprobar si una frecuencia o una banda de frecuencias contienen únicamente WGN es aplicar el concepto matemático de descomposición del valor singular (SVD). Este método supone la construcción de una matriz de autocorrelación estimada a partir de la señal recibida y la evaluación posterior de los resultados obtenidos aplicando la SVD a la matriz de autocorrelación estimada. </w:t>
      </w:r>
    </w:p>
    <w:p w:rsidR="002B3327" w:rsidRDefault="00151803" w:rsidP="002B3327">
      <w:pPr>
        <w:pStyle w:val="FigureNo"/>
        <w:rPr>
          <w:lang w:val="es-ES"/>
        </w:rPr>
      </w:pPr>
      <w:r w:rsidRPr="00970B36">
        <w:rPr>
          <w:lang w:val="es-ES"/>
        </w:rPr>
        <w:lastRenderedPageBreak/>
        <w:pict>
          <v:shape id="_x0000_i1026" type="#_x0000_t75" style="width:422.8pt;height:419.45pt">
            <v:imagedata r:id="rId15" o:title=""/>
          </v:shape>
        </w:pict>
      </w:r>
    </w:p>
    <w:p w:rsidR="00E907E4" w:rsidRDefault="00E907E4" w:rsidP="002A55BE">
      <w:pPr>
        <w:rPr>
          <w:lang w:val="es-ES"/>
        </w:rPr>
      </w:pPr>
    </w:p>
    <w:p w:rsidR="002B3327" w:rsidRPr="00591584" w:rsidRDefault="002B3327" w:rsidP="002A55BE">
      <w:pPr>
        <w:rPr>
          <w:lang w:val="es-ES"/>
        </w:rPr>
      </w:pPr>
      <w:r w:rsidRPr="00591584">
        <w:rPr>
          <w:lang w:val="es-ES"/>
        </w:rPr>
        <w:t>La forma más práctica de seleccionar una frecuencia o una banda de frecuencias adecuada es encontrar en primer lugar una banda candidata explorando la gama de frecuencias deseadas e identificando la frecuencia o la banda de frecuencias con el nivel más bajo. La posibilidad de utilizar esta banda de frecuencias o esta frecuencia puede verificarse aplicando el proceso SVD. Si dicho proceso pone en evidencia que la exploración contiene principalmente WGN, puede emplearse la medición. De no ser así, debe seleccionarse una frecuencia o una banda de frecuencias alternativa.</w:t>
      </w:r>
    </w:p>
    <w:p w:rsidR="002B3327" w:rsidRPr="00591584" w:rsidRDefault="002B3327" w:rsidP="002A55BE">
      <w:pPr>
        <w:rPr>
          <w:lang w:val="es-ES"/>
        </w:rPr>
      </w:pPr>
      <w:r w:rsidRPr="00591584">
        <w:rPr>
          <w:lang w:val="es-ES"/>
        </w:rPr>
        <w:t>En el Apéndice 1 se describen los detalles del método SVD.</w:t>
      </w:r>
    </w:p>
    <w:p w:rsidR="002B3327" w:rsidRPr="00591584" w:rsidRDefault="002B3327" w:rsidP="00EB2551">
      <w:pPr>
        <w:pStyle w:val="Heading2"/>
        <w:rPr>
          <w:lang w:val="es-ES"/>
        </w:rPr>
      </w:pPr>
      <w:r w:rsidRPr="00591584">
        <w:rPr>
          <w:lang w:val="es-ES"/>
        </w:rPr>
        <w:lastRenderedPageBreak/>
        <w:t>9.3</w:t>
      </w:r>
      <w:r w:rsidRPr="00591584">
        <w:rPr>
          <w:lang w:val="es-ES"/>
        </w:rPr>
        <w:tab/>
        <w:t>Ajustes del analizador/receptor</w:t>
      </w:r>
    </w:p>
    <w:p w:rsidR="002B3327" w:rsidRPr="00591584" w:rsidRDefault="002B3327" w:rsidP="00EB2551">
      <w:pPr>
        <w:keepNext/>
        <w:keepLines/>
        <w:rPr>
          <w:lang w:val="es-ES"/>
        </w:rPr>
      </w:pPr>
      <w:r w:rsidRPr="00591584">
        <w:rPr>
          <w:lang w:val="es-ES"/>
        </w:rPr>
        <w:t>Los ajustes recomendados de los equipos figuran en el Cuadro 7:</w:t>
      </w:r>
    </w:p>
    <w:p w:rsidR="002B3327" w:rsidRPr="00591584" w:rsidRDefault="002B3327" w:rsidP="002B3327">
      <w:pPr>
        <w:pStyle w:val="TableNo"/>
        <w:rPr>
          <w:lang w:val="es-ES"/>
        </w:rPr>
      </w:pPr>
      <w:r w:rsidRPr="00591584">
        <w:rPr>
          <w:lang w:val="es-ES"/>
        </w:rPr>
        <w:t>CUADRO 7</w:t>
      </w:r>
    </w:p>
    <w:p w:rsidR="002B3327" w:rsidRPr="00591584" w:rsidRDefault="002B3327" w:rsidP="002B3327">
      <w:pPr>
        <w:pStyle w:val="Tabletitle"/>
        <w:rPr>
          <w:lang w:val="es-ES"/>
        </w:rPr>
      </w:pPr>
      <w:r w:rsidRPr="00591584">
        <w:rPr>
          <w:lang w:val="es-ES"/>
        </w:rPr>
        <w:t>Ajustes del analizador/receptor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7654"/>
      </w:tblGrid>
      <w:tr w:rsidR="002B3327" w:rsidRPr="00151803" w:rsidTr="005D140F">
        <w:trPr>
          <w:cantSplit/>
          <w:trHeight w:val="315"/>
          <w:jc w:val="center"/>
        </w:trPr>
        <w:tc>
          <w:tcPr>
            <w:tcW w:w="1985" w:type="dxa"/>
          </w:tcPr>
          <w:p w:rsidR="002B3327" w:rsidRPr="00591584" w:rsidRDefault="002B3327" w:rsidP="00E907E4">
            <w:pPr>
              <w:pStyle w:val="Tabletext"/>
              <w:jc w:val="left"/>
              <w:rPr>
                <w:lang w:val="es-ES"/>
              </w:rPr>
            </w:pPr>
            <w:r w:rsidRPr="00591584">
              <w:rPr>
                <w:lang w:val="es-ES"/>
              </w:rPr>
              <w:t>Tiempo de medición</w:t>
            </w:r>
          </w:p>
        </w:tc>
        <w:tc>
          <w:tcPr>
            <w:tcW w:w="7654" w:type="dxa"/>
          </w:tcPr>
          <w:p w:rsidR="002B3327" w:rsidRPr="00591584" w:rsidRDefault="002B3327" w:rsidP="00E907E4">
            <w:pPr>
              <w:pStyle w:val="Tabletext"/>
              <w:jc w:val="left"/>
              <w:rPr>
                <w:lang w:val="es-ES"/>
              </w:rPr>
            </w:pPr>
            <w:r w:rsidRPr="00591584">
              <w:rPr>
                <w:lang w:val="es-ES"/>
              </w:rPr>
              <w:t>Es conveniente obtener un resultado cada 10 a 30 s. Para las mediciones de WGN con un detector de valor eficaz es útil emplear un tiempo de barrido o un tiempo de exploración de 10 a 20 s. Para el muestreo de datos en bruto es adecuado realizar una exploración de al menos 0,5 s de duración cada 10 a 30 s. Durante la exploración, las amplitudes de la muestra deben tomarse a una velocidad muy rápida (la frecuencia de muest</w:t>
            </w:r>
            <w:r w:rsidR="00E907E4">
              <w:rPr>
                <w:lang w:val="es-ES"/>
              </w:rPr>
              <w:t>reo debe ser al menos de 1/RBW)</w:t>
            </w:r>
          </w:p>
        </w:tc>
      </w:tr>
      <w:tr w:rsidR="002B3327" w:rsidRPr="00151803" w:rsidTr="005D140F">
        <w:trPr>
          <w:cantSplit/>
          <w:trHeight w:val="225"/>
          <w:jc w:val="center"/>
        </w:trPr>
        <w:tc>
          <w:tcPr>
            <w:tcW w:w="1985" w:type="dxa"/>
          </w:tcPr>
          <w:p w:rsidR="002B3327" w:rsidRPr="00591584" w:rsidRDefault="002B3327" w:rsidP="00E907E4">
            <w:pPr>
              <w:pStyle w:val="Tabletext"/>
              <w:jc w:val="left"/>
              <w:rPr>
                <w:lang w:val="es-ES"/>
              </w:rPr>
            </w:pPr>
            <w:r w:rsidRPr="00591584">
              <w:rPr>
                <w:lang w:val="es-ES"/>
              </w:rPr>
              <w:t>Gama de frecuencia</w:t>
            </w:r>
            <w:r>
              <w:rPr>
                <w:lang w:val="es-ES"/>
              </w:rPr>
              <w:t>s</w:t>
            </w:r>
          </w:p>
        </w:tc>
        <w:tc>
          <w:tcPr>
            <w:tcW w:w="7654" w:type="dxa"/>
          </w:tcPr>
          <w:p w:rsidR="002B3327" w:rsidRPr="00591584" w:rsidRDefault="002B3327" w:rsidP="00E907E4">
            <w:pPr>
              <w:pStyle w:val="Tabletext"/>
              <w:jc w:val="left"/>
              <w:rPr>
                <w:lang w:val="es-ES"/>
              </w:rPr>
            </w:pPr>
            <w:r w:rsidRPr="00591584">
              <w:rPr>
                <w:lang w:val="es-ES"/>
              </w:rPr>
              <w:t>La gama de frecuencias de observación depende enteramente de la utilización de la banda de frecuencias elegida; esta banda puede dividirse incluso en subbandas o en frecuencias, dependi</w:t>
            </w:r>
            <w:r w:rsidR="00E907E4">
              <w:rPr>
                <w:lang w:val="es-ES"/>
              </w:rPr>
              <w:t>endo de la banda de frecuencias</w:t>
            </w:r>
          </w:p>
        </w:tc>
      </w:tr>
      <w:tr w:rsidR="002B3327" w:rsidRPr="00151803" w:rsidTr="005D140F">
        <w:trPr>
          <w:cantSplit/>
          <w:trHeight w:val="225"/>
          <w:jc w:val="center"/>
        </w:trPr>
        <w:tc>
          <w:tcPr>
            <w:tcW w:w="1985" w:type="dxa"/>
          </w:tcPr>
          <w:p w:rsidR="002B3327" w:rsidRPr="00591584" w:rsidRDefault="002B3327" w:rsidP="00E907E4">
            <w:pPr>
              <w:pStyle w:val="Tabletext"/>
              <w:jc w:val="left"/>
              <w:rPr>
                <w:lang w:val="es-ES"/>
              </w:rPr>
            </w:pPr>
            <w:r w:rsidRPr="00591584">
              <w:rPr>
                <w:lang w:val="es-ES"/>
              </w:rPr>
              <w:t>Anchura de banda de resolución (RBW)</w:t>
            </w:r>
          </w:p>
        </w:tc>
        <w:tc>
          <w:tcPr>
            <w:tcW w:w="7654" w:type="dxa"/>
          </w:tcPr>
          <w:p w:rsidR="002B3327" w:rsidRPr="00591584" w:rsidRDefault="002B3327" w:rsidP="00E907E4">
            <w:pPr>
              <w:pStyle w:val="Tabletext"/>
              <w:jc w:val="left"/>
              <w:rPr>
                <w:lang w:val="es-ES"/>
              </w:rPr>
            </w:pPr>
            <w:r w:rsidRPr="00591584">
              <w:rPr>
                <w:lang w:val="es-ES"/>
              </w:rPr>
              <w:t>Si se utiliza la banda de frecuencias explorada, la anchura de banda del filtro aplicado depende de la amplitud de frecuencia dividida por la resolución requerida. El principio de muestreo en bruto exige una RBW que sea la mitad de la frecuencia de muestreo. El factor de forma del filtro debe determinarse de tal forma que sea posible comparar los resultados de las mediciones realizadas con distintos receptores. En el Cuadro 8 aparecen los v</w:t>
            </w:r>
            <w:r w:rsidR="00E907E4">
              <w:rPr>
                <w:lang w:val="es-ES"/>
              </w:rPr>
              <w:t>alores recomendados para la RBW</w:t>
            </w:r>
          </w:p>
        </w:tc>
      </w:tr>
      <w:tr w:rsidR="002B3327" w:rsidRPr="00151803" w:rsidTr="005D140F">
        <w:trPr>
          <w:cantSplit/>
          <w:trHeight w:val="225"/>
          <w:jc w:val="center"/>
        </w:trPr>
        <w:tc>
          <w:tcPr>
            <w:tcW w:w="1985" w:type="dxa"/>
          </w:tcPr>
          <w:p w:rsidR="002B3327" w:rsidRPr="00591584" w:rsidRDefault="002B3327" w:rsidP="00E907E4">
            <w:pPr>
              <w:pStyle w:val="Tabletext"/>
              <w:jc w:val="left"/>
              <w:rPr>
                <w:lang w:val="es-ES"/>
              </w:rPr>
            </w:pPr>
            <w:r w:rsidRPr="00591584">
              <w:rPr>
                <w:lang w:val="es-ES"/>
              </w:rPr>
              <w:t>Detector</w:t>
            </w:r>
          </w:p>
        </w:tc>
        <w:tc>
          <w:tcPr>
            <w:tcW w:w="7654" w:type="dxa"/>
          </w:tcPr>
          <w:p w:rsidR="002B3327" w:rsidRPr="00591584" w:rsidRDefault="002B3327" w:rsidP="00E907E4">
            <w:pPr>
              <w:pStyle w:val="Tabletext"/>
              <w:jc w:val="left"/>
              <w:rPr>
                <w:lang w:val="es-ES"/>
              </w:rPr>
            </w:pPr>
            <w:r w:rsidRPr="00591584">
              <w:rPr>
                <w:lang w:val="es-ES"/>
              </w:rPr>
              <w:t>Para las mediciones de WGN es necesario utilizar un detector de valor eficaz; cualquier otro detector es inapropiado. Algunos fabricantes también denominan a este dispositivo detector de valor medio. Es importante que el detector promedie la potencia y no la tensión. Estos detectores se basan generalmente en un muestreador en el que la velocidad de muestreo se basa a su vez en la anchura de banda del filtro. El valor eficaz de la potencia se calcula a partir de estas muestras a lo largo de un periodo definido de tiempo. Este periodo de tiempo es el periodo de medición. Cuando se emplea un detector de valor eficaz sin muestro, el tiempo de integración de este detector debe ser 10/2</w:t>
            </w:r>
            <w:r w:rsidRPr="00591584">
              <w:rPr>
                <w:i/>
                <w:lang w:val="es-ES"/>
              </w:rPr>
              <w:t>B</w:t>
            </w:r>
            <w:r w:rsidRPr="00591584">
              <w:rPr>
                <w:i/>
                <w:vertAlign w:val="subscript"/>
                <w:lang w:val="es-ES"/>
              </w:rPr>
              <w:t>N</w:t>
            </w:r>
            <w:r w:rsidRPr="00591584">
              <w:rPr>
                <w:lang w:val="es-ES"/>
              </w:rPr>
              <w:t xml:space="preserve"> (kHz) si se espera una incertidumbre del 1%. Por consiguiente, si la anchura de banda del ruido </w:t>
            </w:r>
            <w:r w:rsidRPr="00591584">
              <w:rPr>
                <w:i/>
                <w:lang w:val="es-ES"/>
              </w:rPr>
              <w:t>B</w:t>
            </w:r>
            <w:r w:rsidRPr="00591584">
              <w:rPr>
                <w:i/>
                <w:vertAlign w:val="subscript"/>
                <w:lang w:val="es-ES"/>
              </w:rPr>
              <w:t>N</w:t>
            </w:r>
            <w:r w:rsidRPr="00591584">
              <w:rPr>
                <w:lang w:val="es-ES"/>
              </w:rPr>
              <w:t xml:space="preserve"> es 500 kHz, el mínimo tiempo de integración debe ser 10 s. Debe prestarse especial atención cuando se utilizan receptores de una generación anterior. Si los valores medidos son inferiores a 10 dB por encima del ruido de fondo del equipo, este detector requiere una calibración determinada. El principio de datos en bruto exige la utilización de un detector de muestras porque el procesamiento que incluye los cálculos del valor e</w:t>
            </w:r>
            <w:r w:rsidR="00E907E4">
              <w:rPr>
                <w:lang w:val="es-ES"/>
              </w:rPr>
              <w:t>ficaz se realiza posteriormente</w:t>
            </w:r>
          </w:p>
        </w:tc>
      </w:tr>
      <w:tr w:rsidR="002B3327" w:rsidRPr="00151803" w:rsidTr="005D140F">
        <w:trPr>
          <w:cantSplit/>
          <w:trHeight w:val="225"/>
          <w:jc w:val="center"/>
        </w:trPr>
        <w:tc>
          <w:tcPr>
            <w:tcW w:w="1985" w:type="dxa"/>
          </w:tcPr>
          <w:p w:rsidR="002B3327" w:rsidRPr="00591584" w:rsidRDefault="002B3327" w:rsidP="00E907E4">
            <w:pPr>
              <w:pStyle w:val="Tabletext"/>
              <w:jc w:val="left"/>
              <w:rPr>
                <w:lang w:val="es-ES"/>
              </w:rPr>
            </w:pPr>
            <w:r w:rsidRPr="00591584">
              <w:rPr>
                <w:lang w:val="es-ES"/>
              </w:rPr>
              <w:t>Atenuador</w:t>
            </w:r>
          </w:p>
        </w:tc>
        <w:tc>
          <w:tcPr>
            <w:tcW w:w="7654" w:type="dxa"/>
          </w:tcPr>
          <w:p w:rsidR="002B3327" w:rsidRPr="00591584" w:rsidRDefault="002B3327" w:rsidP="00E907E4">
            <w:pPr>
              <w:pStyle w:val="Tabletext"/>
              <w:jc w:val="left"/>
              <w:rPr>
                <w:lang w:val="es-ES"/>
              </w:rPr>
            </w:pPr>
            <w:r w:rsidRPr="00591584">
              <w:rPr>
                <w:lang w:val="es-ES"/>
              </w:rPr>
              <w:t>3 dB</w:t>
            </w:r>
            <w:r w:rsidRPr="00591584">
              <w:rPr>
                <w:lang w:val="es-ES"/>
              </w:rPr>
              <w:br/>
              <w:t>Se recomienda aplicar un atenuador externo entre la antena y el LNA para ajustar una impedancia de entrada del receptor/LNA con objeto de garantizar una baja incertidumbre en la medición. Si puede asegurarse que la antena se adapta exactamente a la impedancia de entrada del LNA no es nec</w:t>
            </w:r>
            <w:r w:rsidR="00E907E4">
              <w:rPr>
                <w:lang w:val="es-ES"/>
              </w:rPr>
              <w:t>esaria la atenuación adicional</w:t>
            </w:r>
          </w:p>
        </w:tc>
      </w:tr>
      <w:tr w:rsidR="002B3327" w:rsidRPr="00591584" w:rsidTr="005D140F">
        <w:trPr>
          <w:cantSplit/>
          <w:trHeight w:val="225"/>
          <w:jc w:val="center"/>
        </w:trPr>
        <w:tc>
          <w:tcPr>
            <w:tcW w:w="1985" w:type="dxa"/>
          </w:tcPr>
          <w:p w:rsidR="002B3327" w:rsidRPr="00591584" w:rsidRDefault="002B3327" w:rsidP="00E907E4">
            <w:pPr>
              <w:pStyle w:val="Tabletext"/>
              <w:jc w:val="left"/>
              <w:rPr>
                <w:lang w:val="es-ES"/>
              </w:rPr>
            </w:pPr>
            <w:r w:rsidRPr="00591584">
              <w:rPr>
                <w:lang w:val="es-ES"/>
              </w:rPr>
              <w:t>Preselector</w:t>
            </w:r>
          </w:p>
        </w:tc>
        <w:tc>
          <w:tcPr>
            <w:tcW w:w="7654" w:type="dxa"/>
          </w:tcPr>
          <w:p w:rsidR="002B3327" w:rsidRPr="00591584" w:rsidRDefault="002B3327" w:rsidP="00E907E4">
            <w:pPr>
              <w:pStyle w:val="Tabletext"/>
              <w:jc w:val="left"/>
              <w:rPr>
                <w:lang w:val="es-ES"/>
              </w:rPr>
            </w:pPr>
            <w:r w:rsidRPr="00591584">
              <w:rPr>
                <w:lang w:val="es-ES"/>
              </w:rPr>
              <w:t>Activado (si es conmutable)</w:t>
            </w:r>
          </w:p>
        </w:tc>
      </w:tr>
    </w:tbl>
    <w:p w:rsidR="002B3327" w:rsidRPr="00591584" w:rsidRDefault="002B3327" w:rsidP="002A55BE">
      <w:pPr>
        <w:pStyle w:val="Tablefin"/>
        <w:rPr>
          <w:sz w:val="2"/>
          <w:lang w:val="es-ES"/>
        </w:rPr>
      </w:pPr>
    </w:p>
    <w:p w:rsidR="002B3327" w:rsidRPr="00591584" w:rsidRDefault="002B3327" w:rsidP="002A55BE">
      <w:pPr>
        <w:pStyle w:val="Tablefin"/>
        <w:rPr>
          <w:lang w:val="es-ES"/>
        </w:rPr>
      </w:pPr>
    </w:p>
    <w:p w:rsidR="002B3327" w:rsidRPr="00591584" w:rsidRDefault="002B3327" w:rsidP="00E907E4">
      <w:pPr>
        <w:pStyle w:val="TableNo"/>
        <w:keepLines/>
        <w:rPr>
          <w:lang w:val="es-ES"/>
        </w:rPr>
      </w:pPr>
      <w:r w:rsidRPr="00591584">
        <w:rPr>
          <w:lang w:val="es-ES"/>
        </w:rPr>
        <w:lastRenderedPageBreak/>
        <w:t>CUADRO 8</w:t>
      </w:r>
    </w:p>
    <w:p w:rsidR="002B3327" w:rsidRPr="00591584" w:rsidRDefault="002B3327" w:rsidP="00E907E4">
      <w:pPr>
        <w:pStyle w:val="Tabletitle"/>
        <w:keepLines/>
        <w:rPr>
          <w:lang w:val="es-ES"/>
        </w:rPr>
      </w:pPr>
      <w:r w:rsidRPr="00591584">
        <w:rPr>
          <w:lang w:val="es-ES"/>
        </w:rPr>
        <w:t>Anchuras de banda de medición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3119"/>
      </w:tblGrid>
      <w:tr w:rsidR="002B3327" w:rsidRPr="00151803" w:rsidTr="005D140F">
        <w:trPr>
          <w:cantSplit/>
          <w:trHeight w:val="315"/>
          <w:jc w:val="center"/>
        </w:trPr>
        <w:tc>
          <w:tcPr>
            <w:tcW w:w="2835" w:type="dxa"/>
            <w:vAlign w:val="center"/>
          </w:tcPr>
          <w:p w:rsidR="002B3327" w:rsidRPr="00591584" w:rsidRDefault="002B3327" w:rsidP="00E907E4">
            <w:pPr>
              <w:pStyle w:val="Tablehead"/>
              <w:keepLines/>
              <w:rPr>
                <w:lang w:val="es-ES"/>
              </w:rPr>
            </w:pPr>
            <w:r w:rsidRPr="00591584">
              <w:rPr>
                <w:lang w:val="es-ES"/>
              </w:rPr>
              <w:t>Gama de frecuencias</w:t>
            </w:r>
          </w:p>
        </w:tc>
        <w:tc>
          <w:tcPr>
            <w:tcW w:w="2835" w:type="dxa"/>
            <w:vAlign w:val="center"/>
          </w:tcPr>
          <w:p w:rsidR="002B3327" w:rsidRPr="00591584" w:rsidRDefault="002B3327" w:rsidP="00E907E4">
            <w:pPr>
              <w:pStyle w:val="Tablehead"/>
              <w:keepLines/>
              <w:rPr>
                <w:lang w:val="es-ES"/>
              </w:rPr>
            </w:pPr>
            <w:r w:rsidRPr="00591584">
              <w:rPr>
                <w:lang w:val="es-ES"/>
              </w:rPr>
              <w:t>RBW para la medición de Tipo A (sólo WGN)</w:t>
            </w:r>
          </w:p>
        </w:tc>
        <w:tc>
          <w:tcPr>
            <w:tcW w:w="3119" w:type="dxa"/>
            <w:vAlign w:val="center"/>
          </w:tcPr>
          <w:p w:rsidR="002B3327" w:rsidRPr="00591584" w:rsidRDefault="002B3327" w:rsidP="00E907E4">
            <w:pPr>
              <w:pStyle w:val="Tablehead"/>
              <w:keepLines/>
              <w:rPr>
                <w:lang w:val="es-ES"/>
              </w:rPr>
            </w:pPr>
            <w:r w:rsidRPr="00591584">
              <w:rPr>
                <w:lang w:val="es-ES"/>
              </w:rPr>
              <w:t>RBW para mediciones de Tipo</w:t>
            </w:r>
            <w:r>
              <w:rPr>
                <w:lang w:val="es-ES"/>
              </w:rPr>
              <w:t> </w:t>
            </w:r>
            <w:r w:rsidRPr="00591584">
              <w:rPr>
                <w:lang w:val="es-ES"/>
              </w:rPr>
              <w:t>B y C (WGN e IN)</w:t>
            </w:r>
          </w:p>
        </w:tc>
      </w:tr>
      <w:tr w:rsidR="002B3327" w:rsidRPr="00591584" w:rsidTr="005D140F">
        <w:trPr>
          <w:cantSplit/>
          <w:trHeight w:val="315"/>
          <w:jc w:val="center"/>
        </w:trPr>
        <w:tc>
          <w:tcPr>
            <w:tcW w:w="2835" w:type="dxa"/>
          </w:tcPr>
          <w:p w:rsidR="002B3327" w:rsidRPr="00591584" w:rsidRDefault="002B3327" w:rsidP="00E907E4">
            <w:pPr>
              <w:pStyle w:val="Tabletext"/>
              <w:keepNext/>
              <w:keepLines/>
              <w:jc w:val="center"/>
              <w:rPr>
                <w:lang w:val="es-ES"/>
              </w:rPr>
            </w:pPr>
            <w:r w:rsidRPr="00591584">
              <w:rPr>
                <w:lang w:val="es-ES"/>
              </w:rPr>
              <w:t>300 kHz – 30 MHz</w:t>
            </w:r>
          </w:p>
        </w:tc>
        <w:tc>
          <w:tcPr>
            <w:tcW w:w="2835" w:type="dxa"/>
          </w:tcPr>
          <w:p w:rsidR="002B3327" w:rsidRPr="00591584" w:rsidRDefault="002B3327" w:rsidP="00E907E4">
            <w:pPr>
              <w:pStyle w:val="Tabletext"/>
              <w:keepNext/>
              <w:keepLines/>
              <w:jc w:val="center"/>
              <w:rPr>
                <w:u w:color="000000"/>
                <w:lang w:val="es-ES"/>
              </w:rPr>
            </w:pPr>
            <w:r w:rsidRPr="00591584">
              <w:rPr>
                <w:u w:color="000000"/>
                <w:lang w:val="es-ES"/>
              </w:rPr>
              <w:t>100 Hz</w:t>
            </w:r>
          </w:p>
        </w:tc>
        <w:tc>
          <w:tcPr>
            <w:tcW w:w="3119" w:type="dxa"/>
          </w:tcPr>
          <w:p w:rsidR="002B3327" w:rsidRPr="00591584" w:rsidRDefault="002B3327" w:rsidP="00E907E4">
            <w:pPr>
              <w:pStyle w:val="Tabletext"/>
              <w:keepNext/>
              <w:keepLines/>
              <w:jc w:val="center"/>
              <w:rPr>
                <w:u w:color="000000"/>
                <w:lang w:val="es-ES"/>
              </w:rPr>
            </w:pPr>
            <w:r w:rsidRPr="00591584">
              <w:rPr>
                <w:u w:color="000000"/>
                <w:lang w:val="es-ES"/>
              </w:rPr>
              <w:t>10 kHz</w:t>
            </w:r>
          </w:p>
        </w:tc>
      </w:tr>
      <w:tr w:rsidR="002B3327" w:rsidRPr="00591584" w:rsidTr="005D140F">
        <w:trPr>
          <w:cantSplit/>
          <w:trHeight w:val="315"/>
          <w:jc w:val="center"/>
        </w:trPr>
        <w:tc>
          <w:tcPr>
            <w:tcW w:w="2835" w:type="dxa"/>
          </w:tcPr>
          <w:p w:rsidR="002B3327" w:rsidRPr="00591584" w:rsidRDefault="002B3327" w:rsidP="00E907E4">
            <w:pPr>
              <w:pStyle w:val="Tabletext"/>
              <w:keepNext/>
              <w:keepLines/>
              <w:jc w:val="center"/>
              <w:rPr>
                <w:lang w:val="es-ES"/>
              </w:rPr>
            </w:pPr>
            <w:r w:rsidRPr="00591584">
              <w:rPr>
                <w:lang w:val="es-ES"/>
              </w:rPr>
              <w:t>30 MHz – 450 MHz</w:t>
            </w:r>
          </w:p>
        </w:tc>
        <w:tc>
          <w:tcPr>
            <w:tcW w:w="2835" w:type="dxa"/>
          </w:tcPr>
          <w:p w:rsidR="002B3327" w:rsidRPr="00591584" w:rsidRDefault="002B3327" w:rsidP="00E907E4">
            <w:pPr>
              <w:pStyle w:val="Tabletext"/>
              <w:keepNext/>
              <w:keepLines/>
              <w:jc w:val="center"/>
              <w:rPr>
                <w:u w:color="000000"/>
                <w:lang w:val="es-ES"/>
              </w:rPr>
            </w:pPr>
            <w:r w:rsidRPr="00591584">
              <w:rPr>
                <w:u w:color="000000"/>
                <w:lang w:val="es-ES"/>
              </w:rPr>
              <w:t>1 kHz</w:t>
            </w:r>
          </w:p>
        </w:tc>
        <w:tc>
          <w:tcPr>
            <w:tcW w:w="3119" w:type="dxa"/>
          </w:tcPr>
          <w:p w:rsidR="002B3327" w:rsidRPr="00591584" w:rsidRDefault="002B3327" w:rsidP="00E907E4">
            <w:pPr>
              <w:pStyle w:val="Tabletext"/>
              <w:keepNext/>
              <w:keepLines/>
              <w:jc w:val="center"/>
              <w:rPr>
                <w:u w:color="000000"/>
                <w:lang w:val="es-ES"/>
              </w:rPr>
            </w:pPr>
            <w:r w:rsidRPr="00591584">
              <w:rPr>
                <w:u w:color="000000"/>
                <w:lang w:val="es-ES"/>
              </w:rPr>
              <w:t>100 kHz</w:t>
            </w:r>
          </w:p>
        </w:tc>
      </w:tr>
      <w:tr w:rsidR="002B3327" w:rsidRPr="00591584" w:rsidTr="005D140F">
        <w:trPr>
          <w:cantSplit/>
          <w:trHeight w:val="315"/>
          <w:jc w:val="center"/>
        </w:trPr>
        <w:tc>
          <w:tcPr>
            <w:tcW w:w="2835" w:type="dxa"/>
          </w:tcPr>
          <w:p w:rsidR="002B3327" w:rsidRPr="00591584" w:rsidRDefault="002B3327" w:rsidP="00E907E4">
            <w:pPr>
              <w:pStyle w:val="Tabletext"/>
              <w:jc w:val="center"/>
              <w:rPr>
                <w:lang w:val="es-ES"/>
              </w:rPr>
            </w:pPr>
            <w:r w:rsidRPr="00591584">
              <w:rPr>
                <w:lang w:val="es-ES"/>
              </w:rPr>
              <w:t>450 MHz – 1 GHz</w:t>
            </w:r>
          </w:p>
        </w:tc>
        <w:tc>
          <w:tcPr>
            <w:tcW w:w="2835" w:type="dxa"/>
          </w:tcPr>
          <w:p w:rsidR="002B3327" w:rsidRPr="00591584" w:rsidRDefault="002B3327" w:rsidP="00E907E4">
            <w:pPr>
              <w:pStyle w:val="Tabletext"/>
              <w:jc w:val="center"/>
              <w:rPr>
                <w:u w:color="000000"/>
                <w:lang w:val="es-ES"/>
              </w:rPr>
            </w:pPr>
            <w:r w:rsidRPr="00591584">
              <w:rPr>
                <w:u w:color="000000"/>
                <w:lang w:val="es-ES"/>
              </w:rPr>
              <w:t>1 kHz</w:t>
            </w:r>
          </w:p>
        </w:tc>
        <w:tc>
          <w:tcPr>
            <w:tcW w:w="3119" w:type="dxa"/>
          </w:tcPr>
          <w:p w:rsidR="002B3327" w:rsidRPr="00591584" w:rsidRDefault="002B3327" w:rsidP="00E907E4">
            <w:pPr>
              <w:pStyle w:val="Tabletext"/>
              <w:jc w:val="center"/>
              <w:rPr>
                <w:u w:color="000000"/>
                <w:lang w:val="es-ES"/>
              </w:rPr>
            </w:pPr>
            <w:r w:rsidRPr="00591584">
              <w:rPr>
                <w:u w:color="000000"/>
                <w:lang w:val="es-ES"/>
              </w:rPr>
              <w:t>300 kHz</w:t>
            </w:r>
          </w:p>
        </w:tc>
      </w:tr>
      <w:tr w:rsidR="002B3327" w:rsidRPr="00591584" w:rsidTr="005D140F">
        <w:trPr>
          <w:cantSplit/>
          <w:trHeight w:val="315"/>
          <w:jc w:val="center"/>
        </w:trPr>
        <w:tc>
          <w:tcPr>
            <w:tcW w:w="2835" w:type="dxa"/>
          </w:tcPr>
          <w:p w:rsidR="002B3327" w:rsidRPr="00591584" w:rsidRDefault="002B3327" w:rsidP="00E907E4">
            <w:pPr>
              <w:pStyle w:val="Tabletext"/>
              <w:jc w:val="center"/>
              <w:rPr>
                <w:lang w:val="es-ES"/>
              </w:rPr>
            </w:pPr>
            <w:r w:rsidRPr="00591584">
              <w:rPr>
                <w:lang w:val="es-ES"/>
              </w:rPr>
              <w:t>1 GHz – 3 GHz</w:t>
            </w:r>
          </w:p>
        </w:tc>
        <w:tc>
          <w:tcPr>
            <w:tcW w:w="2835" w:type="dxa"/>
          </w:tcPr>
          <w:p w:rsidR="002B3327" w:rsidRPr="00591584" w:rsidRDefault="002B3327" w:rsidP="00E907E4">
            <w:pPr>
              <w:pStyle w:val="Tabletext"/>
              <w:jc w:val="center"/>
              <w:rPr>
                <w:u w:color="000000"/>
                <w:lang w:val="es-ES"/>
              </w:rPr>
            </w:pPr>
            <w:r w:rsidRPr="00591584">
              <w:rPr>
                <w:u w:color="000000"/>
                <w:lang w:val="es-ES"/>
              </w:rPr>
              <w:t>10 kHz</w:t>
            </w:r>
          </w:p>
        </w:tc>
        <w:tc>
          <w:tcPr>
            <w:tcW w:w="3119" w:type="dxa"/>
          </w:tcPr>
          <w:p w:rsidR="002B3327" w:rsidRPr="00591584" w:rsidRDefault="002B3327" w:rsidP="00E907E4">
            <w:pPr>
              <w:pStyle w:val="Tabletext"/>
              <w:jc w:val="center"/>
              <w:rPr>
                <w:u w:color="000000"/>
                <w:lang w:val="es-ES"/>
              </w:rPr>
            </w:pPr>
            <w:r w:rsidRPr="00591584">
              <w:rPr>
                <w:u w:color="000000"/>
                <w:lang w:val="es-ES"/>
              </w:rPr>
              <w:t>5 MHz</w:t>
            </w:r>
          </w:p>
        </w:tc>
      </w:tr>
      <w:tr w:rsidR="002B3327" w:rsidRPr="00591584" w:rsidTr="005D140F">
        <w:trPr>
          <w:cantSplit/>
          <w:trHeight w:val="315"/>
          <w:jc w:val="center"/>
        </w:trPr>
        <w:tc>
          <w:tcPr>
            <w:tcW w:w="2835" w:type="dxa"/>
          </w:tcPr>
          <w:p w:rsidR="002B3327" w:rsidRPr="00591584" w:rsidRDefault="002B3327" w:rsidP="00E907E4">
            <w:pPr>
              <w:pStyle w:val="Tabletext"/>
              <w:jc w:val="center"/>
              <w:rPr>
                <w:lang w:val="es-ES"/>
              </w:rPr>
            </w:pPr>
            <w:r w:rsidRPr="00591584">
              <w:rPr>
                <w:lang w:val="es-ES"/>
              </w:rPr>
              <w:t>&gt; 3 GHz</w:t>
            </w:r>
          </w:p>
        </w:tc>
        <w:tc>
          <w:tcPr>
            <w:tcW w:w="2835" w:type="dxa"/>
          </w:tcPr>
          <w:p w:rsidR="002B3327" w:rsidRPr="00591584" w:rsidRDefault="002B3327" w:rsidP="00E907E4">
            <w:pPr>
              <w:pStyle w:val="Tabletext"/>
              <w:jc w:val="center"/>
              <w:rPr>
                <w:u w:color="000000"/>
                <w:lang w:val="es-ES"/>
              </w:rPr>
            </w:pPr>
            <w:r w:rsidRPr="00591584">
              <w:rPr>
                <w:u w:color="000000"/>
                <w:lang w:val="es-ES"/>
              </w:rPr>
              <w:t>10 kHz</w:t>
            </w:r>
          </w:p>
        </w:tc>
        <w:tc>
          <w:tcPr>
            <w:tcW w:w="3119" w:type="dxa"/>
          </w:tcPr>
          <w:p w:rsidR="002B3327" w:rsidRPr="00591584" w:rsidRDefault="002B3327" w:rsidP="00E907E4">
            <w:pPr>
              <w:pStyle w:val="Tabletext"/>
              <w:jc w:val="center"/>
              <w:rPr>
                <w:u w:color="000000"/>
                <w:lang w:val="es-ES"/>
              </w:rPr>
            </w:pPr>
            <w:r w:rsidRPr="00591584">
              <w:rPr>
                <w:u w:color="000000"/>
                <w:lang w:val="es-ES"/>
              </w:rPr>
              <w:t>10 MHz</w:t>
            </w:r>
          </w:p>
        </w:tc>
      </w:tr>
    </w:tbl>
    <w:p w:rsidR="002B3327" w:rsidRPr="00591584" w:rsidRDefault="002B3327" w:rsidP="002A55BE">
      <w:pPr>
        <w:pStyle w:val="Tablefin"/>
        <w:rPr>
          <w:u w:color="000000"/>
          <w:lang w:val="es-ES"/>
        </w:rPr>
      </w:pPr>
    </w:p>
    <w:p w:rsidR="002B3327" w:rsidRPr="00591584" w:rsidRDefault="002B3327" w:rsidP="002A55BE">
      <w:pPr>
        <w:rPr>
          <w:u w:color="000000"/>
          <w:lang w:val="es-ES"/>
        </w:rPr>
      </w:pPr>
      <w:r w:rsidRPr="00591584">
        <w:rPr>
          <w:lang w:val="es-ES"/>
        </w:rPr>
        <w:t>En este contexto, la RWB es la anchura de banda de ruido equivalente de la anchura de banda a 3</w:t>
      </w:r>
      <w:r>
        <w:rPr>
          <w:lang w:val="es-ES"/>
        </w:rPr>
        <w:t> </w:t>
      </w:r>
      <w:r w:rsidRPr="00591584">
        <w:rPr>
          <w:lang w:val="es-ES"/>
        </w:rPr>
        <w:t>dB nominal</w:t>
      </w:r>
      <w:r w:rsidRPr="00591584">
        <w:rPr>
          <w:u w:color="000000"/>
          <w:lang w:val="es-ES"/>
        </w:rPr>
        <w:t xml:space="preserve">. </w:t>
      </w:r>
    </w:p>
    <w:p w:rsidR="002B3327" w:rsidRPr="00591584" w:rsidRDefault="002B3327" w:rsidP="002A55BE">
      <w:pPr>
        <w:rPr>
          <w:lang w:val="es-ES"/>
        </w:rPr>
      </w:pPr>
      <w:r w:rsidRPr="00591584">
        <w:rPr>
          <w:lang w:val="es-ES"/>
        </w:rPr>
        <w:t>Utilizando unas RBW mayores, como indica el Cuadro 8, se obtiene un mayor volumen de datos que deben procesarse debido a que es necesaria una mayor velocidad de muestreo. Sin embargo, el IN puede determinarse más claramente. Si se llevan a cabo las mediciones de los Tipos B y C, se recomienda utilizar una anchura de banda más estrecha para medir el WGN y una anchura de banda mayor para la medición del IN únicamente.</w:t>
      </w:r>
    </w:p>
    <w:p w:rsidR="002B3327" w:rsidRPr="00591584" w:rsidRDefault="002B3327" w:rsidP="002A55BE">
      <w:pPr>
        <w:pStyle w:val="Heading2"/>
        <w:rPr>
          <w:lang w:val="es-ES"/>
        </w:rPr>
      </w:pPr>
      <w:r w:rsidRPr="00591584">
        <w:rPr>
          <w:lang w:val="es-ES"/>
        </w:rPr>
        <w:t>9.4</w:t>
      </w:r>
      <w:r w:rsidRPr="00591584">
        <w:rPr>
          <w:lang w:val="es-ES"/>
        </w:rPr>
        <w:tab/>
        <w:t>Periodo de medición</w:t>
      </w:r>
    </w:p>
    <w:p w:rsidR="002B3327" w:rsidRPr="00591584" w:rsidRDefault="002B3327" w:rsidP="002A55BE">
      <w:pPr>
        <w:rPr>
          <w:lang w:val="es-ES"/>
        </w:rPr>
      </w:pPr>
      <w:r w:rsidRPr="00591584">
        <w:rPr>
          <w:lang w:val="es-ES"/>
        </w:rPr>
        <w:t>El periodo de medición debe elegirse considerando el instante en el que cabe esperar cambios significativos en el ruido medido. Por ejemplo, para incluir las diferencias diurnas y nocturnas d</w:t>
      </w:r>
      <w:r>
        <w:rPr>
          <w:lang w:val="es-ES"/>
        </w:rPr>
        <w:t>e la propagación en ondas decamé</w:t>
      </w:r>
      <w:r w:rsidRPr="00591584">
        <w:rPr>
          <w:lang w:val="es-ES"/>
        </w:rPr>
        <w:t>tricas y si se emplean equipos de forma temporal, el periodo de medición normalizada debe ser de 24 h</w:t>
      </w:r>
      <w:r>
        <w:rPr>
          <w:lang w:val="es-ES"/>
        </w:rPr>
        <w:t>oras</w:t>
      </w:r>
      <w:r w:rsidRPr="00591584">
        <w:rPr>
          <w:lang w:val="es-ES"/>
        </w:rPr>
        <w:t xml:space="preserve">. Para tener en cuenta la variación debida a los periodos estacionales, las mediciones en ondas decamétricas pueden repetirse un cierto número de veces cada año. En frecuencias por encima de 30 MHz, se recomienda un mínimo periodo de observación de 10 </w:t>
      </w:r>
      <w:r>
        <w:rPr>
          <w:lang w:val="es-ES"/>
        </w:rPr>
        <w:t>horas</w:t>
      </w:r>
      <w:r w:rsidRPr="00591584">
        <w:rPr>
          <w:lang w:val="es-ES"/>
        </w:rPr>
        <w:t xml:space="preserve"> durante las horas de funcionamiento diurnas. </w:t>
      </w:r>
    </w:p>
    <w:p w:rsidR="002B3327" w:rsidRPr="00591584" w:rsidRDefault="002B3327" w:rsidP="002A55BE">
      <w:pPr>
        <w:pStyle w:val="Heading2"/>
        <w:rPr>
          <w:lang w:val="es-ES"/>
        </w:rPr>
      </w:pPr>
      <w:r w:rsidRPr="00591584">
        <w:rPr>
          <w:lang w:val="es-ES"/>
        </w:rPr>
        <w:t>9.5</w:t>
      </w:r>
      <w:r w:rsidRPr="00591584">
        <w:rPr>
          <w:lang w:val="es-ES"/>
        </w:rPr>
        <w:tab/>
        <w:t>Separación del ruido artificial y el ruido atmosférico (medición de Tipo C únicamente)</w:t>
      </w:r>
    </w:p>
    <w:p w:rsidR="002B3327" w:rsidRPr="00591584" w:rsidRDefault="002B3327" w:rsidP="002A55BE">
      <w:pPr>
        <w:rPr>
          <w:lang w:val="es-ES"/>
        </w:rPr>
      </w:pPr>
      <w:r w:rsidRPr="00591584">
        <w:rPr>
          <w:lang w:val="es-ES"/>
        </w:rPr>
        <w:t>Por debajo de 30 MHz, partes significativas de la componente del IN pueden proceder del ruido atmosférico, como el producido por los rayos. Si las mediciones tienen por objeto determinar sólo el MMN, el ruido atmosférico debe sustraerse del resultado de la medición. Sin embargo, esto sólo es posible para el IN. A fin de identificar el origen del IN es necesario medir en dos emplazamientos distintos al mismo tiempo:</w:t>
      </w:r>
    </w:p>
    <w:p w:rsidR="002B3327" w:rsidRPr="00591584" w:rsidRDefault="002B3327" w:rsidP="002A55BE">
      <w:pPr>
        <w:pStyle w:val="enumlev1"/>
        <w:rPr>
          <w:lang w:val="es-ES"/>
        </w:rPr>
      </w:pPr>
      <w:r w:rsidRPr="00591584">
        <w:rPr>
          <w:lang w:val="es-ES"/>
        </w:rPr>
        <w:t>–</w:t>
      </w:r>
      <w:r w:rsidRPr="00591584">
        <w:rPr>
          <w:lang w:val="es-ES"/>
        </w:rPr>
        <w:tab/>
        <w:t>en el emplazamiento de la medición; y</w:t>
      </w:r>
    </w:p>
    <w:p w:rsidR="002B3327" w:rsidRPr="00591584" w:rsidRDefault="002B3327" w:rsidP="002A55BE">
      <w:pPr>
        <w:pStyle w:val="enumlev1"/>
        <w:rPr>
          <w:lang w:val="es-ES"/>
        </w:rPr>
      </w:pPr>
      <w:r w:rsidRPr="00591584">
        <w:rPr>
          <w:lang w:val="es-ES"/>
        </w:rPr>
        <w:t>–</w:t>
      </w:r>
      <w:r w:rsidRPr="00591584">
        <w:rPr>
          <w:lang w:val="es-ES"/>
        </w:rPr>
        <w:tab/>
        <w:t>en el emplazamiento de referencia.</w:t>
      </w:r>
    </w:p>
    <w:p w:rsidR="002B3327" w:rsidRPr="00591584" w:rsidRDefault="002B3327" w:rsidP="002A55BE">
      <w:pPr>
        <w:rPr>
          <w:lang w:val="es-ES"/>
        </w:rPr>
      </w:pPr>
      <w:r w:rsidRPr="00591584">
        <w:rPr>
          <w:lang w:val="es-ES"/>
        </w:rPr>
        <w:t>La distancia entre ambos emplazamientos debe ser superior al alcance de las emisiones de MMN típicas pero deben estar lo suficientemente cerca como para suponer las mismas condiciones de propagación por onda ionosférica (la distancia recomendada es de 500 m a 10 km).</w:t>
      </w:r>
    </w:p>
    <w:p w:rsidR="002B3327" w:rsidRPr="00591584" w:rsidRDefault="002B3327" w:rsidP="002A55BE">
      <w:pPr>
        <w:rPr>
          <w:lang w:val="es-ES"/>
        </w:rPr>
      </w:pPr>
      <w:r w:rsidRPr="00591584">
        <w:rPr>
          <w:lang w:val="es-ES"/>
        </w:rPr>
        <w:t>Los equipos de medición en ambos emplazamientos deben estar exactamente sincronizados en el tiempo (máxima desviación: 100 ms). A continuación se indican dos formas de lograr esta sincronización exacta:</w:t>
      </w:r>
    </w:p>
    <w:p w:rsidR="002B3327" w:rsidRPr="00591584" w:rsidRDefault="002B3327" w:rsidP="002A55BE">
      <w:pPr>
        <w:pStyle w:val="enumlev1"/>
        <w:rPr>
          <w:lang w:val="es-ES"/>
        </w:rPr>
      </w:pPr>
      <w:r w:rsidRPr="00591584">
        <w:rPr>
          <w:lang w:val="es-ES"/>
        </w:rPr>
        <w:t>–</w:t>
      </w:r>
      <w:r w:rsidRPr="00591584">
        <w:rPr>
          <w:lang w:val="es-ES"/>
        </w:rPr>
        <w:tab/>
        <w:t>Conmutando periódicamente el receptor de medición a una señal horaria normalizada (por ejemplo, DCF77)</w:t>
      </w:r>
      <w:r>
        <w:rPr>
          <w:lang w:val="es-ES"/>
        </w:rPr>
        <w:t>.</w:t>
      </w:r>
    </w:p>
    <w:p w:rsidR="002B3327" w:rsidRPr="00591584" w:rsidRDefault="002B3327" w:rsidP="002A55BE">
      <w:pPr>
        <w:pStyle w:val="enumlev1"/>
        <w:rPr>
          <w:lang w:val="es-ES"/>
        </w:rPr>
      </w:pPr>
      <w:r w:rsidRPr="00591584">
        <w:rPr>
          <w:lang w:val="es-ES"/>
        </w:rPr>
        <w:t>–</w:t>
      </w:r>
      <w:r w:rsidRPr="00591584">
        <w:rPr>
          <w:lang w:val="es-ES"/>
        </w:rPr>
        <w:tab/>
        <w:t>Utilizando la señal horaria procedente de un receptor GPS adosado.</w:t>
      </w:r>
    </w:p>
    <w:p w:rsidR="002B3327" w:rsidRPr="00591584" w:rsidRDefault="002B3327" w:rsidP="002A55BE">
      <w:pPr>
        <w:rPr>
          <w:lang w:val="es-ES"/>
        </w:rPr>
      </w:pPr>
      <w:r w:rsidRPr="00591584">
        <w:rPr>
          <w:lang w:val="es-ES"/>
        </w:rPr>
        <w:lastRenderedPageBreak/>
        <w:t>La hora transmitida puede utilizarse para ajustar el reloj interno del procesador o también puede calcularse la separación entre el reloj del procesador y la hora real transmitida utilizándola para corregir la marca de tiempo</w:t>
      </w:r>
      <w:r>
        <w:rPr>
          <w:lang w:val="es-ES"/>
        </w:rPr>
        <w:t xml:space="preserve"> </w:t>
      </w:r>
      <w:r w:rsidRPr="00591584">
        <w:rPr>
          <w:lang w:val="es-ES"/>
        </w:rPr>
        <w:t>que debe almacenarse con cada exploración de medición.</w:t>
      </w:r>
    </w:p>
    <w:p w:rsidR="002B3327" w:rsidRPr="00591584" w:rsidRDefault="002B3327" w:rsidP="002A55BE">
      <w:pPr>
        <w:rPr>
          <w:lang w:val="es-ES"/>
        </w:rPr>
      </w:pPr>
      <w:r w:rsidRPr="00591584">
        <w:rPr>
          <w:lang w:val="es-ES"/>
        </w:rPr>
        <w:t>Mediante estas marcas de tiempo cada exploración puede compararse posteriormente con la exploración respectiva en el otro emplazamiento. Si una señal aparece en ambos emplazamientos de medición se supone que es ruido atmosférico o una emisión deseada recibida a través de onda ionosférica y se elimina de los resultados antes de proseguir el procesamiento. Las señales que sólo se reciben en el emplazamiento de medición se supone que son MMN procedente de fuentes cercanas.</w:t>
      </w:r>
    </w:p>
    <w:p w:rsidR="002B3327" w:rsidRPr="00591584" w:rsidRDefault="002B3327" w:rsidP="002A55BE">
      <w:pPr>
        <w:pStyle w:val="Heading2"/>
        <w:rPr>
          <w:lang w:val="es-ES"/>
        </w:rPr>
      </w:pPr>
      <w:r w:rsidRPr="00591584">
        <w:rPr>
          <w:lang w:val="es-ES"/>
        </w:rPr>
        <w:t>9.6</w:t>
      </w:r>
      <w:r w:rsidRPr="00591584">
        <w:rPr>
          <w:lang w:val="es-ES"/>
        </w:rPr>
        <w:tab/>
        <w:t>Recopilación de datos y postprocesamiento</w:t>
      </w:r>
    </w:p>
    <w:p w:rsidR="002B3327" w:rsidRPr="00591584" w:rsidRDefault="002B3327" w:rsidP="00B73AAF">
      <w:pPr>
        <w:pStyle w:val="Heading3"/>
        <w:rPr>
          <w:lang w:val="es-ES"/>
        </w:rPr>
      </w:pPr>
      <w:r w:rsidRPr="00591584">
        <w:rPr>
          <w:lang w:val="es-ES"/>
        </w:rPr>
        <w:t>9.6.1</w:t>
      </w:r>
      <w:r w:rsidRPr="00591584">
        <w:rPr>
          <w:lang w:val="es-ES"/>
        </w:rPr>
        <w:tab/>
        <w:t>Mediciones del WGN con el detector de valor eficaz (</w:t>
      </w:r>
      <w:r w:rsidR="00E22B71" w:rsidRPr="00591584">
        <w:rPr>
          <w:lang w:val="es-ES"/>
        </w:rPr>
        <w:t xml:space="preserve">medición </w:t>
      </w:r>
      <w:r w:rsidRPr="00591584">
        <w:rPr>
          <w:lang w:val="es-ES"/>
        </w:rPr>
        <w:t>de Tipo A)</w:t>
      </w:r>
    </w:p>
    <w:p w:rsidR="002B3327" w:rsidRPr="00591584" w:rsidRDefault="002B3327" w:rsidP="006A041D">
      <w:pPr>
        <w:rPr>
          <w:lang w:val="es-ES"/>
        </w:rPr>
      </w:pPr>
      <w:r w:rsidRPr="00591584">
        <w:rPr>
          <w:lang w:val="es-ES"/>
        </w:rPr>
        <w:t>Un analizador de espectro explora una banda de frecuencias en un número de etapas (segmentos de frecuencia). Un número normal de segmentos en los modernos analizadores de espectro es entre 500-10</w:t>
      </w:r>
      <w:r w:rsidR="006A041D">
        <w:rPr>
          <w:lang w:val="es-ES"/>
        </w:rPr>
        <w:t> </w:t>
      </w:r>
      <w:r w:rsidRPr="00591584">
        <w:rPr>
          <w:lang w:val="es-ES"/>
        </w:rPr>
        <w:t>000. Si el tiempo de exploración es, por ejemplo, de 10 s los resultados de las mediciones conforman una base de datos (matriz) de 500 × 8</w:t>
      </w:r>
      <w:r w:rsidR="006A041D">
        <w:rPr>
          <w:lang w:val="es-ES"/>
        </w:rPr>
        <w:t> </w:t>
      </w:r>
      <w:r w:rsidRPr="00591584">
        <w:rPr>
          <w:lang w:val="es-ES"/>
        </w:rPr>
        <w:t xml:space="preserve">600 </w:t>
      </w:r>
      <w:r>
        <w:rPr>
          <w:lang w:val="es-ES"/>
        </w:rPr>
        <w:t>a</w:t>
      </w:r>
      <w:r w:rsidRPr="00591584">
        <w:rPr>
          <w:lang w:val="es-ES"/>
        </w:rPr>
        <w:t xml:space="preserve"> 10 000 × 8 600 muestras de mediciones por día. Para poder excluir ciertas partes de la medición y aplicar distintos métodos estadísticos, esta base de datos debe procesarse posteriormente mediante un software especializado.</w:t>
      </w:r>
    </w:p>
    <w:p w:rsidR="002B3327" w:rsidRPr="00591584" w:rsidRDefault="002B3327" w:rsidP="00B73AAF">
      <w:pPr>
        <w:pStyle w:val="Heading3"/>
        <w:rPr>
          <w:lang w:val="es-ES"/>
        </w:rPr>
      </w:pPr>
      <w:r w:rsidRPr="00591584">
        <w:rPr>
          <w:lang w:val="es-ES"/>
        </w:rPr>
        <w:t>9.6.2</w:t>
      </w:r>
      <w:r w:rsidRPr="00591584">
        <w:rPr>
          <w:lang w:val="es-ES"/>
        </w:rPr>
        <w:tab/>
        <w:t>Mediciones de WGN + IN con muestreo de datos en bruto (</w:t>
      </w:r>
      <w:r w:rsidR="00E22B71" w:rsidRPr="00591584">
        <w:rPr>
          <w:lang w:val="es-ES"/>
        </w:rPr>
        <w:t xml:space="preserve">mediciones </w:t>
      </w:r>
      <w:r w:rsidRPr="00591584">
        <w:rPr>
          <w:lang w:val="es-ES"/>
        </w:rPr>
        <w:t>de los Tipos A, B y C)</w:t>
      </w:r>
    </w:p>
    <w:p w:rsidR="002B3327" w:rsidRPr="00591584" w:rsidRDefault="002B3327" w:rsidP="006A041D">
      <w:pPr>
        <w:rPr>
          <w:lang w:val="es-ES"/>
        </w:rPr>
      </w:pPr>
      <w:r w:rsidRPr="00591584">
        <w:rPr>
          <w:lang w:val="es-ES"/>
        </w:rPr>
        <w:t>Para permitir una completa evaluación de los impulsos sería necesario muestrear tan rápidamente que cada uno de los impulsos fuese capturado al menos una vez. Sin embargo, ello exigiría el almacenamiento de un gran volumen de datos. Para una evaluación estadística, no es necesaria una observación continua de la gama de frecuencias. En vez de ello, el estudio puede dividirse en exploraciones individuales (de una frecuencia o una banda). Una exploración debe durar al menos 0,5</w:t>
      </w:r>
      <w:r w:rsidR="006A041D">
        <w:rPr>
          <w:lang w:val="es-ES"/>
        </w:rPr>
        <w:t> </w:t>
      </w:r>
      <w:r w:rsidRPr="00591584">
        <w:rPr>
          <w:lang w:val="es-ES"/>
        </w:rPr>
        <w:t xml:space="preserve">s, periodo durante el cual el nivel momentáneo de la señal se captura lo más rápidamente posible (Ts ≤ 1/RBW). A continuación, puede introducirse una pausa de unos pocos segundos durante la cual no se mide nada, hasta que se inicia la siguiente exploración. Este método produce muchos millones de muestras por cada exploración que deben ser estadísticamente evaluadas por un software especializado. </w:t>
      </w:r>
    </w:p>
    <w:p w:rsidR="002B3327" w:rsidRPr="00591584" w:rsidRDefault="002B3327" w:rsidP="002A55BE">
      <w:pPr>
        <w:pStyle w:val="Heading1"/>
        <w:rPr>
          <w:u w:color="000000"/>
          <w:lang w:val="es-ES"/>
        </w:rPr>
      </w:pPr>
      <w:r w:rsidRPr="00591584">
        <w:rPr>
          <w:u w:color="000000"/>
          <w:lang w:val="es-ES"/>
        </w:rPr>
        <w:t>10</w:t>
      </w:r>
      <w:r w:rsidRPr="00591584">
        <w:rPr>
          <w:u w:color="000000"/>
          <w:lang w:val="es-ES"/>
        </w:rPr>
        <w:tab/>
        <w:t>Procesamiento de datos</w:t>
      </w:r>
    </w:p>
    <w:p w:rsidR="002B3327" w:rsidRPr="00591584" w:rsidRDefault="002B3327" w:rsidP="00B73AAF">
      <w:pPr>
        <w:pStyle w:val="Heading2"/>
        <w:rPr>
          <w:lang w:val="es-ES"/>
        </w:rPr>
      </w:pPr>
      <w:r w:rsidRPr="00591584">
        <w:rPr>
          <w:lang w:val="es-ES"/>
        </w:rPr>
        <w:t>10.1</w:t>
      </w:r>
      <w:r w:rsidRPr="00591584">
        <w:rPr>
          <w:lang w:val="es-ES"/>
        </w:rPr>
        <w:tab/>
        <w:t>Consideraciones generales</w:t>
      </w:r>
    </w:p>
    <w:p w:rsidR="002B3327" w:rsidRPr="00591584" w:rsidRDefault="002B3327" w:rsidP="00E22B71">
      <w:pPr>
        <w:rPr>
          <w:lang w:val="es-ES"/>
        </w:rPr>
      </w:pPr>
      <w:r w:rsidRPr="00591584">
        <w:rPr>
          <w:lang w:val="es-ES"/>
        </w:rPr>
        <w:t>El Cuadro</w:t>
      </w:r>
      <w:r w:rsidR="00E22B71">
        <w:rPr>
          <w:lang w:val="es-ES"/>
        </w:rPr>
        <w:t> </w:t>
      </w:r>
      <w:r w:rsidRPr="00591584">
        <w:rPr>
          <w:lang w:val="es-ES"/>
        </w:rPr>
        <w:t>9 presenta las distintas etapas de procesamiento para los diferentes principios de medición.</w:t>
      </w:r>
    </w:p>
    <w:p w:rsidR="002B3327" w:rsidRDefault="002B3327" w:rsidP="002A55BE">
      <w:pPr>
        <w:rPr>
          <w:lang w:val="es-ES"/>
        </w:rPr>
      </w:pPr>
    </w:p>
    <w:p w:rsidR="002B3327" w:rsidRPr="00591584" w:rsidRDefault="002B3327" w:rsidP="00E907E4">
      <w:pPr>
        <w:pStyle w:val="TableNo"/>
        <w:keepLines/>
        <w:rPr>
          <w:lang w:val="es-ES"/>
        </w:rPr>
      </w:pPr>
      <w:r w:rsidRPr="00591584">
        <w:rPr>
          <w:lang w:val="es-ES"/>
        </w:rPr>
        <w:lastRenderedPageBreak/>
        <w:t>CUADRO 9</w:t>
      </w:r>
    </w:p>
    <w:p w:rsidR="002B3327" w:rsidRPr="00591584" w:rsidRDefault="002B3327" w:rsidP="00E907E4">
      <w:pPr>
        <w:pStyle w:val="Tabletitle"/>
        <w:keepLines/>
        <w:rPr>
          <w:lang w:val="es-ES"/>
        </w:rPr>
      </w:pPr>
      <w:r w:rsidRPr="00591584">
        <w:rPr>
          <w:lang w:val="es-ES"/>
        </w:rPr>
        <w:t>Etapas de procesamiento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9"/>
        <w:gridCol w:w="1701"/>
        <w:gridCol w:w="1559"/>
      </w:tblGrid>
      <w:tr w:rsidR="002B3327" w:rsidRPr="00151803" w:rsidTr="005D140F">
        <w:trPr>
          <w:jc w:val="center"/>
        </w:trPr>
        <w:tc>
          <w:tcPr>
            <w:tcW w:w="6379" w:type="dxa"/>
            <w:vAlign w:val="center"/>
          </w:tcPr>
          <w:p w:rsidR="002B3327" w:rsidRPr="00B73AAF" w:rsidRDefault="002B3327" w:rsidP="00B73AAF">
            <w:pPr>
              <w:pStyle w:val="Tablehead"/>
              <w:rPr>
                <w:u w:color="000000"/>
              </w:rPr>
            </w:pPr>
            <w:r w:rsidRPr="00B73AAF">
              <w:rPr>
                <w:u w:color="000000"/>
              </w:rPr>
              <w:t>Etapa de procesamiento</w:t>
            </w:r>
          </w:p>
        </w:tc>
        <w:tc>
          <w:tcPr>
            <w:tcW w:w="1701" w:type="dxa"/>
            <w:vAlign w:val="center"/>
          </w:tcPr>
          <w:p w:rsidR="002B3327" w:rsidRPr="00B73AAF" w:rsidRDefault="002B3327" w:rsidP="00B73AAF">
            <w:pPr>
              <w:pStyle w:val="Tablehead"/>
              <w:rPr>
                <w:u w:color="000000"/>
              </w:rPr>
            </w:pPr>
            <w:r w:rsidRPr="00B73AAF">
              <w:rPr>
                <w:u w:color="000000"/>
              </w:rPr>
              <w:t>Medición valor eficaz – WGN</w:t>
            </w:r>
          </w:p>
        </w:tc>
        <w:tc>
          <w:tcPr>
            <w:tcW w:w="1559" w:type="dxa"/>
            <w:vAlign w:val="center"/>
          </w:tcPr>
          <w:p w:rsidR="002B3327" w:rsidRPr="00EE15CA" w:rsidRDefault="002B3327" w:rsidP="00B73AAF">
            <w:pPr>
              <w:pStyle w:val="Tablehead"/>
              <w:rPr>
                <w:u w:color="000000"/>
                <w:lang w:val="es-ES_tradnl"/>
              </w:rPr>
            </w:pPr>
            <w:r w:rsidRPr="00EE15CA">
              <w:rPr>
                <w:u w:color="000000"/>
                <w:lang w:val="es-ES_tradnl"/>
              </w:rPr>
              <w:t>Muestreo</w:t>
            </w:r>
            <w:r w:rsidRPr="00EE15CA">
              <w:rPr>
                <w:u w:color="000000"/>
                <w:lang w:val="es-ES_tradnl"/>
              </w:rPr>
              <w:br/>
              <w:t>de datos</w:t>
            </w:r>
            <w:r w:rsidRPr="00EE15CA">
              <w:rPr>
                <w:u w:color="000000"/>
                <w:lang w:val="es-ES_tradnl"/>
              </w:rPr>
              <w:br/>
              <w:t>en bruto</w:t>
            </w:r>
          </w:p>
        </w:tc>
      </w:tr>
      <w:tr w:rsidR="002B3327" w:rsidRPr="00591584" w:rsidTr="005D140F">
        <w:trPr>
          <w:jc w:val="center"/>
        </w:trPr>
        <w:tc>
          <w:tcPr>
            <w:tcW w:w="6379" w:type="dxa"/>
          </w:tcPr>
          <w:p w:rsidR="002B3327" w:rsidRPr="00591584" w:rsidRDefault="002B3327" w:rsidP="00146A2A">
            <w:pPr>
              <w:pStyle w:val="Tabletext"/>
              <w:keepNext/>
              <w:keepLines/>
              <w:jc w:val="left"/>
              <w:rPr>
                <w:lang w:val="es-ES"/>
              </w:rPr>
            </w:pPr>
            <w:r w:rsidRPr="00591584">
              <w:rPr>
                <w:lang w:val="es-ES"/>
              </w:rPr>
              <w:t>Corrección del ruido del equipo</w:t>
            </w:r>
          </w:p>
        </w:tc>
        <w:tc>
          <w:tcPr>
            <w:tcW w:w="1701" w:type="dxa"/>
          </w:tcPr>
          <w:p w:rsidR="002B3327" w:rsidRPr="00591584" w:rsidRDefault="002B3327" w:rsidP="00146A2A">
            <w:pPr>
              <w:pStyle w:val="Tabletext"/>
              <w:keepNext/>
              <w:keepLines/>
              <w:jc w:val="center"/>
              <w:rPr>
                <w:lang w:val="es-ES"/>
              </w:rPr>
            </w:pPr>
            <w:r w:rsidRPr="00591584">
              <w:rPr>
                <w:lang w:val="es-ES"/>
              </w:rPr>
              <w:t>x</w:t>
            </w:r>
          </w:p>
        </w:tc>
        <w:tc>
          <w:tcPr>
            <w:tcW w:w="1559" w:type="dxa"/>
          </w:tcPr>
          <w:p w:rsidR="002B3327" w:rsidRPr="00591584" w:rsidRDefault="002B3327" w:rsidP="00146A2A">
            <w:pPr>
              <w:pStyle w:val="Tabletext"/>
              <w:keepNext/>
              <w:keepLines/>
              <w:jc w:val="center"/>
              <w:rPr>
                <w:lang w:val="es-ES"/>
              </w:rPr>
            </w:pPr>
            <w:r w:rsidRPr="00591584">
              <w:rPr>
                <w:lang w:val="es-ES"/>
              </w:rPr>
              <w:t>x</w:t>
            </w:r>
          </w:p>
        </w:tc>
      </w:tr>
      <w:tr w:rsidR="002B3327" w:rsidRPr="00591584" w:rsidTr="005D140F">
        <w:trPr>
          <w:jc w:val="center"/>
        </w:trPr>
        <w:tc>
          <w:tcPr>
            <w:tcW w:w="6379" w:type="dxa"/>
            <w:tcBorders>
              <w:bottom w:val="single" w:sz="4" w:space="0" w:color="auto"/>
            </w:tcBorders>
          </w:tcPr>
          <w:p w:rsidR="002B3327" w:rsidRPr="00591584" w:rsidRDefault="002B3327" w:rsidP="00146A2A">
            <w:pPr>
              <w:pStyle w:val="Tabletext"/>
              <w:keepNext/>
              <w:keepLines/>
              <w:jc w:val="left"/>
              <w:rPr>
                <w:lang w:val="es-ES"/>
              </w:rPr>
            </w:pPr>
            <w:r w:rsidRPr="00591584">
              <w:rPr>
                <w:lang w:val="es-ES"/>
              </w:rPr>
              <w:t>Determinación del nivel de WGN utilizando el «método del 20%»</w:t>
            </w:r>
          </w:p>
        </w:tc>
        <w:tc>
          <w:tcPr>
            <w:tcW w:w="1701" w:type="dxa"/>
            <w:tcBorders>
              <w:bottom w:val="single" w:sz="4" w:space="0" w:color="auto"/>
            </w:tcBorders>
          </w:tcPr>
          <w:p w:rsidR="002B3327" w:rsidRPr="00591584" w:rsidRDefault="002B3327" w:rsidP="00146A2A">
            <w:pPr>
              <w:pStyle w:val="Tabletext"/>
              <w:keepNext/>
              <w:keepLines/>
              <w:jc w:val="center"/>
              <w:rPr>
                <w:lang w:val="es-ES"/>
              </w:rPr>
            </w:pPr>
            <w:r w:rsidRPr="00591584">
              <w:rPr>
                <w:lang w:val="es-ES"/>
              </w:rPr>
              <w:t>x</w:t>
            </w:r>
          </w:p>
        </w:tc>
        <w:tc>
          <w:tcPr>
            <w:tcW w:w="1559" w:type="dxa"/>
            <w:tcBorders>
              <w:bottom w:val="single" w:sz="4" w:space="0" w:color="auto"/>
            </w:tcBorders>
          </w:tcPr>
          <w:p w:rsidR="002B3327" w:rsidRPr="00591584" w:rsidRDefault="002B3327" w:rsidP="00146A2A">
            <w:pPr>
              <w:pStyle w:val="Tabletext"/>
              <w:keepNext/>
              <w:keepLines/>
              <w:jc w:val="center"/>
              <w:rPr>
                <w:u w:color="000000"/>
                <w:lang w:val="es-ES"/>
              </w:rPr>
            </w:pPr>
          </w:p>
        </w:tc>
      </w:tr>
      <w:tr w:rsidR="002B3327" w:rsidRPr="00591584" w:rsidTr="005D140F">
        <w:trPr>
          <w:jc w:val="center"/>
        </w:trPr>
        <w:tc>
          <w:tcPr>
            <w:tcW w:w="6379" w:type="dxa"/>
            <w:tcBorders>
              <w:bottom w:val="single" w:sz="4" w:space="0" w:color="auto"/>
            </w:tcBorders>
          </w:tcPr>
          <w:p w:rsidR="002B3327" w:rsidRPr="00591584" w:rsidRDefault="002B3327" w:rsidP="00146A2A">
            <w:pPr>
              <w:pStyle w:val="Tabletext"/>
              <w:keepNext/>
              <w:keepLines/>
              <w:jc w:val="left"/>
              <w:rPr>
                <w:lang w:val="es-ES"/>
              </w:rPr>
            </w:pPr>
            <w:r w:rsidRPr="00591584">
              <w:rPr>
                <w:lang w:val="es-ES"/>
              </w:rPr>
              <w:t>Validación del valor de corte del 20%</w:t>
            </w:r>
          </w:p>
        </w:tc>
        <w:tc>
          <w:tcPr>
            <w:tcW w:w="1701" w:type="dxa"/>
            <w:tcBorders>
              <w:bottom w:val="single" w:sz="4" w:space="0" w:color="auto"/>
            </w:tcBorders>
          </w:tcPr>
          <w:p w:rsidR="002B3327" w:rsidRPr="00591584" w:rsidRDefault="002B3327" w:rsidP="00146A2A">
            <w:pPr>
              <w:pStyle w:val="Tabletext"/>
              <w:keepNext/>
              <w:keepLines/>
              <w:jc w:val="center"/>
              <w:rPr>
                <w:lang w:val="es-ES"/>
              </w:rPr>
            </w:pPr>
            <w:r w:rsidRPr="00591584">
              <w:rPr>
                <w:lang w:val="es-ES"/>
              </w:rPr>
              <w:t>x</w:t>
            </w:r>
          </w:p>
        </w:tc>
        <w:tc>
          <w:tcPr>
            <w:tcW w:w="1559" w:type="dxa"/>
            <w:tcBorders>
              <w:bottom w:val="single" w:sz="4" w:space="0" w:color="auto"/>
            </w:tcBorders>
          </w:tcPr>
          <w:p w:rsidR="002B3327" w:rsidRPr="00591584" w:rsidRDefault="002B3327" w:rsidP="00146A2A">
            <w:pPr>
              <w:pStyle w:val="Tabletext"/>
              <w:keepNext/>
              <w:keepLines/>
              <w:jc w:val="center"/>
              <w:rPr>
                <w:u w:color="000000"/>
                <w:lang w:val="es-ES"/>
              </w:rPr>
            </w:pPr>
          </w:p>
        </w:tc>
      </w:tr>
      <w:tr w:rsidR="002B3327" w:rsidRPr="00591584" w:rsidTr="005D140F">
        <w:trPr>
          <w:jc w:val="center"/>
        </w:trPr>
        <w:tc>
          <w:tcPr>
            <w:tcW w:w="6379" w:type="dxa"/>
            <w:tcBorders>
              <w:bottom w:val="single" w:sz="4" w:space="0" w:color="auto"/>
            </w:tcBorders>
          </w:tcPr>
          <w:p w:rsidR="002B3327" w:rsidRPr="00591584" w:rsidRDefault="002B3327" w:rsidP="00146A2A">
            <w:pPr>
              <w:pStyle w:val="Tabletext"/>
              <w:jc w:val="left"/>
              <w:rPr>
                <w:lang w:val="es-ES"/>
              </w:rPr>
            </w:pPr>
            <w:r w:rsidRPr="00591584">
              <w:rPr>
                <w:lang w:val="es-ES"/>
              </w:rPr>
              <w:t>Trazado de la distribución de probabilidad de las amplitudes (APD) de las muestras de datos en bruto</w:t>
            </w:r>
          </w:p>
        </w:tc>
        <w:tc>
          <w:tcPr>
            <w:tcW w:w="1701" w:type="dxa"/>
            <w:tcBorders>
              <w:bottom w:val="single" w:sz="4" w:space="0" w:color="auto"/>
            </w:tcBorders>
          </w:tcPr>
          <w:p w:rsidR="002B3327" w:rsidRPr="00591584" w:rsidRDefault="002B3327" w:rsidP="00146A2A">
            <w:pPr>
              <w:pStyle w:val="Tabletext"/>
              <w:jc w:val="center"/>
              <w:rPr>
                <w:u w:color="000000"/>
                <w:lang w:val="es-ES"/>
              </w:rPr>
            </w:pPr>
          </w:p>
        </w:tc>
        <w:tc>
          <w:tcPr>
            <w:tcW w:w="1559" w:type="dxa"/>
            <w:tcBorders>
              <w:bottom w:val="single" w:sz="4" w:space="0" w:color="auto"/>
            </w:tcBorders>
          </w:tcPr>
          <w:p w:rsidR="002B3327" w:rsidRPr="00591584" w:rsidRDefault="002B3327" w:rsidP="00146A2A">
            <w:pPr>
              <w:pStyle w:val="Tabletext"/>
              <w:jc w:val="center"/>
              <w:rPr>
                <w:lang w:val="es-ES"/>
              </w:rPr>
            </w:pPr>
            <w:r w:rsidRPr="00591584">
              <w:rPr>
                <w:lang w:val="es-ES"/>
              </w:rPr>
              <w:t>x</w:t>
            </w:r>
          </w:p>
        </w:tc>
      </w:tr>
      <w:tr w:rsidR="002B3327" w:rsidRPr="00591584" w:rsidTr="005D140F">
        <w:trPr>
          <w:jc w:val="center"/>
        </w:trPr>
        <w:tc>
          <w:tcPr>
            <w:tcW w:w="6379" w:type="dxa"/>
          </w:tcPr>
          <w:p w:rsidR="002B3327" w:rsidRPr="00591584" w:rsidRDefault="002B3327" w:rsidP="00146A2A">
            <w:pPr>
              <w:pStyle w:val="Tabletext"/>
              <w:jc w:val="left"/>
              <w:rPr>
                <w:lang w:val="es-ES"/>
              </w:rPr>
            </w:pPr>
            <w:r w:rsidRPr="00591584">
              <w:rPr>
                <w:lang w:val="es-ES"/>
              </w:rPr>
              <w:t xml:space="preserve">Cálculo de </w:t>
            </w:r>
            <w:r w:rsidRPr="00591584">
              <w:rPr>
                <w:i/>
                <w:lang w:val="es-ES"/>
              </w:rPr>
              <w:t>F</w:t>
            </w:r>
            <w:r w:rsidRPr="00591584">
              <w:rPr>
                <w:i/>
                <w:vertAlign w:val="subscript"/>
                <w:lang w:val="es-ES"/>
              </w:rPr>
              <w:t>a</w:t>
            </w:r>
            <w:r w:rsidRPr="00591584">
              <w:rPr>
                <w:lang w:val="es-ES"/>
              </w:rPr>
              <w:t xml:space="preserve"> </w:t>
            </w:r>
          </w:p>
        </w:tc>
        <w:tc>
          <w:tcPr>
            <w:tcW w:w="1701" w:type="dxa"/>
          </w:tcPr>
          <w:p w:rsidR="002B3327" w:rsidRPr="00591584" w:rsidRDefault="002B3327" w:rsidP="00146A2A">
            <w:pPr>
              <w:pStyle w:val="Tabletext"/>
              <w:jc w:val="center"/>
              <w:rPr>
                <w:lang w:val="es-ES"/>
              </w:rPr>
            </w:pPr>
            <w:r w:rsidRPr="00591584">
              <w:rPr>
                <w:lang w:val="es-ES"/>
              </w:rPr>
              <w:t>x</w:t>
            </w:r>
          </w:p>
        </w:tc>
        <w:tc>
          <w:tcPr>
            <w:tcW w:w="1559" w:type="dxa"/>
          </w:tcPr>
          <w:p w:rsidR="002B3327" w:rsidRPr="00591584" w:rsidRDefault="002B3327" w:rsidP="00146A2A">
            <w:pPr>
              <w:pStyle w:val="Tabletext"/>
              <w:jc w:val="center"/>
              <w:rPr>
                <w:lang w:val="es-ES"/>
              </w:rPr>
            </w:pPr>
            <w:r w:rsidRPr="00591584">
              <w:rPr>
                <w:lang w:val="es-ES"/>
              </w:rPr>
              <w:t>x</w:t>
            </w:r>
          </w:p>
        </w:tc>
      </w:tr>
      <w:tr w:rsidR="002B3327" w:rsidRPr="00591584" w:rsidTr="005D140F">
        <w:trPr>
          <w:jc w:val="center"/>
        </w:trPr>
        <w:tc>
          <w:tcPr>
            <w:tcW w:w="6379" w:type="dxa"/>
          </w:tcPr>
          <w:p w:rsidR="002B3327" w:rsidRPr="00591584" w:rsidRDefault="002B3327" w:rsidP="00146A2A">
            <w:pPr>
              <w:pStyle w:val="Tabletext"/>
              <w:jc w:val="left"/>
              <w:rPr>
                <w:lang w:val="es-ES"/>
              </w:rPr>
            </w:pPr>
            <w:r w:rsidRPr="00591584">
              <w:rPr>
                <w:lang w:val="es-ES"/>
              </w:rPr>
              <w:t>Separación de las muestras de IN del WGN</w:t>
            </w:r>
          </w:p>
        </w:tc>
        <w:tc>
          <w:tcPr>
            <w:tcW w:w="1701" w:type="dxa"/>
          </w:tcPr>
          <w:p w:rsidR="002B3327" w:rsidRPr="00591584" w:rsidRDefault="002B3327" w:rsidP="00146A2A">
            <w:pPr>
              <w:pStyle w:val="Tabletext"/>
              <w:jc w:val="center"/>
              <w:rPr>
                <w:u w:color="000000"/>
                <w:lang w:val="es-ES"/>
              </w:rPr>
            </w:pPr>
          </w:p>
        </w:tc>
        <w:tc>
          <w:tcPr>
            <w:tcW w:w="1559" w:type="dxa"/>
          </w:tcPr>
          <w:p w:rsidR="002B3327" w:rsidRPr="00591584" w:rsidRDefault="006D7658" w:rsidP="00146A2A">
            <w:pPr>
              <w:pStyle w:val="Tabletext"/>
              <w:jc w:val="center"/>
              <w:rPr>
                <w:lang w:val="es-ES"/>
              </w:rPr>
            </w:pPr>
            <w:r w:rsidRPr="00591584">
              <w:rPr>
                <w:lang w:val="es-ES"/>
              </w:rPr>
              <w:t>Opcional</w:t>
            </w:r>
          </w:p>
        </w:tc>
      </w:tr>
      <w:tr w:rsidR="002B3327" w:rsidRPr="00591584" w:rsidTr="005D140F">
        <w:trPr>
          <w:jc w:val="center"/>
        </w:trPr>
        <w:tc>
          <w:tcPr>
            <w:tcW w:w="6379" w:type="dxa"/>
          </w:tcPr>
          <w:p w:rsidR="002B3327" w:rsidRPr="00591584" w:rsidRDefault="002B3327" w:rsidP="00146A2A">
            <w:pPr>
              <w:pStyle w:val="Tabletext"/>
              <w:jc w:val="left"/>
              <w:rPr>
                <w:lang w:val="es-ES"/>
              </w:rPr>
            </w:pPr>
            <w:r w:rsidRPr="00591584">
              <w:rPr>
                <w:lang w:val="es-ES"/>
              </w:rPr>
              <w:t>Combinación de los trenes de impulsos para constituir ráfagas</w:t>
            </w:r>
          </w:p>
        </w:tc>
        <w:tc>
          <w:tcPr>
            <w:tcW w:w="1701" w:type="dxa"/>
          </w:tcPr>
          <w:p w:rsidR="002B3327" w:rsidRPr="00591584" w:rsidRDefault="002B3327" w:rsidP="00146A2A">
            <w:pPr>
              <w:pStyle w:val="Tabletext"/>
              <w:jc w:val="center"/>
              <w:rPr>
                <w:u w:color="000000"/>
                <w:lang w:val="es-ES"/>
              </w:rPr>
            </w:pPr>
          </w:p>
        </w:tc>
        <w:tc>
          <w:tcPr>
            <w:tcW w:w="1559" w:type="dxa"/>
          </w:tcPr>
          <w:p w:rsidR="002B3327" w:rsidRPr="00591584" w:rsidRDefault="006D7658" w:rsidP="00146A2A">
            <w:pPr>
              <w:pStyle w:val="Tabletext"/>
              <w:jc w:val="center"/>
              <w:rPr>
                <w:lang w:val="es-ES"/>
              </w:rPr>
            </w:pPr>
            <w:r w:rsidRPr="00591584">
              <w:rPr>
                <w:lang w:val="es-ES"/>
              </w:rPr>
              <w:t>Opcional</w:t>
            </w:r>
          </w:p>
        </w:tc>
      </w:tr>
      <w:tr w:rsidR="002B3327" w:rsidRPr="00591584" w:rsidTr="005D140F">
        <w:trPr>
          <w:jc w:val="center"/>
        </w:trPr>
        <w:tc>
          <w:tcPr>
            <w:tcW w:w="6379" w:type="dxa"/>
          </w:tcPr>
          <w:p w:rsidR="002B3327" w:rsidRPr="00591584" w:rsidRDefault="002B3327" w:rsidP="00146A2A">
            <w:pPr>
              <w:pStyle w:val="Tabletext"/>
              <w:jc w:val="left"/>
              <w:rPr>
                <w:lang w:val="es-ES"/>
              </w:rPr>
            </w:pPr>
            <w:r w:rsidRPr="00591584">
              <w:rPr>
                <w:lang w:val="es-ES"/>
              </w:rPr>
              <w:t>Separación de los impulsos de MMN del ruido atmosférico</w:t>
            </w:r>
          </w:p>
        </w:tc>
        <w:tc>
          <w:tcPr>
            <w:tcW w:w="1701" w:type="dxa"/>
          </w:tcPr>
          <w:p w:rsidR="002B3327" w:rsidRPr="00591584" w:rsidRDefault="002B3327" w:rsidP="00146A2A">
            <w:pPr>
              <w:pStyle w:val="Tabletext"/>
              <w:jc w:val="center"/>
              <w:rPr>
                <w:u w:color="000000"/>
                <w:lang w:val="es-ES"/>
              </w:rPr>
            </w:pPr>
          </w:p>
        </w:tc>
        <w:tc>
          <w:tcPr>
            <w:tcW w:w="1559" w:type="dxa"/>
          </w:tcPr>
          <w:p w:rsidR="002B3327" w:rsidRPr="00591584" w:rsidRDefault="006D7658" w:rsidP="00146A2A">
            <w:pPr>
              <w:pStyle w:val="Tabletext"/>
              <w:jc w:val="center"/>
              <w:rPr>
                <w:lang w:val="es-ES"/>
              </w:rPr>
            </w:pPr>
            <w:r w:rsidRPr="00591584">
              <w:rPr>
                <w:lang w:val="es-ES"/>
              </w:rPr>
              <w:t>Opcional</w:t>
            </w:r>
          </w:p>
        </w:tc>
      </w:tr>
      <w:tr w:rsidR="002B3327" w:rsidRPr="00591584" w:rsidTr="005D140F">
        <w:trPr>
          <w:jc w:val="center"/>
        </w:trPr>
        <w:tc>
          <w:tcPr>
            <w:tcW w:w="6379" w:type="dxa"/>
          </w:tcPr>
          <w:p w:rsidR="002B3327" w:rsidRPr="00591584" w:rsidRDefault="002B3327" w:rsidP="00146A2A">
            <w:pPr>
              <w:pStyle w:val="Tabletext"/>
              <w:jc w:val="left"/>
              <w:rPr>
                <w:lang w:val="es-ES"/>
              </w:rPr>
            </w:pPr>
            <w:r w:rsidRPr="00591584">
              <w:rPr>
                <w:lang w:val="es-ES"/>
              </w:rPr>
              <w:t>Cálculo de la distribución de los parámetros del impulso</w:t>
            </w:r>
          </w:p>
        </w:tc>
        <w:tc>
          <w:tcPr>
            <w:tcW w:w="1701" w:type="dxa"/>
          </w:tcPr>
          <w:p w:rsidR="002B3327" w:rsidRPr="00591584" w:rsidRDefault="002B3327" w:rsidP="00146A2A">
            <w:pPr>
              <w:pStyle w:val="Tabletext"/>
              <w:jc w:val="center"/>
              <w:rPr>
                <w:u w:color="000000"/>
                <w:lang w:val="es-ES"/>
              </w:rPr>
            </w:pPr>
          </w:p>
        </w:tc>
        <w:tc>
          <w:tcPr>
            <w:tcW w:w="1559" w:type="dxa"/>
          </w:tcPr>
          <w:p w:rsidR="002B3327" w:rsidRPr="00591584" w:rsidRDefault="006D7658" w:rsidP="00146A2A">
            <w:pPr>
              <w:pStyle w:val="Tabletext"/>
              <w:jc w:val="center"/>
              <w:rPr>
                <w:lang w:val="es-ES"/>
              </w:rPr>
            </w:pPr>
            <w:r w:rsidRPr="00591584">
              <w:rPr>
                <w:lang w:val="es-ES"/>
              </w:rPr>
              <w:t>Opcional</w:t>
            </w:r>
          </w:p>
        </w:tc>
      </w:tr>
    </w:tbl>
    <w:p w:rsidR="002B3327" w:rsidRPr="00591584" w:rsidRDefault="002B3327" w:rsidP="00146A2A">
      <w:pPr>
        <w:pStyle w:val="Tablefin"/>
        <w:jc w:val="left"/>
        <w:rPr>
          <w:lang w:val="es-ES"/>
        </w:rPr>
      </w:pPr>
    </w:p>
    <w:p w:rsidR="00E22B71" w:rsidRPr="00591584" w:rsidRDefault="00E22B71" w:rsidP="00E22B71">
      <w:pPr>
        <w:pStyle w:val="Blanc"/>
        <w:rPr>
          <w:lang w:val="es-ES"/>
        </w:rPr>
      </w:pPr>
    </w:p>
    <w:p w:rsidR="002B3327" w:rsidRPr="00591584" w:rsidRDefault="002B3327" w:rsidP="002A55BE">
      <w:pPr>
        <w:pStyle w:val="Heading2"/>
        <w:rPr>
          <w:lang w:val="es-ES"/>
        </w:rPr>
      </w:pPr>
      <w:r w:rsidRPr="00591584">
        <w:rPr>
          <w:lang w:val="es-ES"/>
        </w:rPr>
        <w:t>10.2</w:t>
      </w:r>
      <w:r w:rsidRPr="00591584">
        <w:rPr>
          <w:lang w:val="es-ES"/>
        </w:rPr>
        <w:tab/>
        <w:t>Corrección del ruido del equipo</w:t>
      </w:r>
    </w:p>
    <w:p w:rsidR="002B3327" w:rsidRPr="00591584" w:rsidRDefault="002B3327" w:rsidP="002A55BE">
      <w:pPr>
        <w:rPr>
          <w:lang w:val="es-ES"/>
        </w:rPr>
      </w:pPr>
      <w:r w:rsidRPr="00591584">
        <w:rPr>
          <w:lang w:val="es-ES"/>
        </w:rPr>
        <w:t>La señales medidas son, de hecho, señales superpuestas al ruido del propio equipo. Para determinar la diferencia entre el ruido externo y el ruido del equipo puede efectuarse una medición manual con objeto de introducir la corrección como sigue:</w:t>
      </w:r>
    </w:p>
    <w:p w:rsidR="002B3327" w:rsidRPr="00591584" w:rsidRDefault="002B3327" w:rsidP="002A55BE">
      <w:pPr>
        <w:pStyle w:val="enumlev1"/>
        <w:rPr>
          <w:lang w:val="es-ES"/>
        </w:rPr>
      </w:pPr>
      <w:r w:rsidRPr="00591584">
        <w:rPr>
          <w:lang w:val="es-ES"/>
        </w:rPr>
        <w:t>a)</w:t>
      </w:r>
      <w:r w:rsidRPr="00591584">
        <w:rPr>
          <w:lang w:val="es-ES"/>
        </w:rPr>
        <w:tab/>
        <w:t xml:space="preserve">utilizando un detector de valor eficaz en una frecuencia «libre» en ese momento, se mide el nivel del WGN; </w:t>
      </w:r>
    </w:p>
    <w:p w:rsidR="002B3327" w:rsidRPr="00591584" w:rsidRDefault="002B3327" w:rsidP="002A55BE">
      <w:pPr>
        <w:pStyle w:val="enumlev1"/>
        <w:rPr>
          <w:lang w:val="es-ES"/>
        </w:rPr>
      </w:pPr>
      <w:r w:rsidRPr="00591584">
        <w:rPr>
          <w:lang w:val="es-ES"/>
        </w:rPr>
        <w:t>b)</w:t>
      </w:r>
      <w:r w:rsidRPr="00591584">
        <w:rPr>
          <w:lang w:val="es-ES"/>
        </w:rPr>
        <w:tab/>
        <w:t xml:space="preserve">se sustituye la antena con una carga de 50 Ω y se mide la suma del ruido del sistema y el ruido térmico de la carga, utilizando los mismos ajustes que antes. </w:t>
      </w:r>
    </w:p>
    <w:p w:rsidR="002B3327" w:rsidRPr="00591584" w:rsidRDefault="002B3327" w:rsidP="002A55BE">
      <w:pPr>
        <w:rPr>
          <w:lang w:val="es-ES"/>
        </w:rPr>
      </w:pPr>
      <w:r w:rsidRPr="00591584">
        <w:rPr>
          <w:lang w:val="es-ES"/>
        </w:rPr>
        <w:t xml:space="preserve">Si la diferencia entre los resultados de las mediciones a) y b) es </w:t>
      </w:r>
      <w:r w:rsidRPr="00591584">
        <w:rPr>
          <w:i/>
          <w:u w:color="000000"/>
          <w:lang w:val="es-ES"/>
        </w:rPr>
        <w:t>K</w:t>
      </w:r>
      <w:r w:rsidRPr="00591584">
        <w:rPr>
          <w:lang w:val="es-ES"/>
        </w:rPr>
        <w:t> dB o más, no es necesario introducir ninguna corrección adicional para el equipo. Si es inferior, el ruido del equipo obtenido de la medición b) debe sustraerse linealmente de todos los valores de ruido externo:</w:t>
      </w:r>
    </w:p>
    <w:p w:rsidR="002B3327" w:rsidRPr="00591584" w:rsidRDefault="002B3327" w:rsidP="002A55BE">
      <w:pPr>
        <w:pStyle w:val="Blanc"/>
        <w:rPr>
          <w:lang w:val="es-ES"/>
        </w:rPr>
      </w:pPr>
    </w:p>
    <w:p w:rsidR="002B3327" w:rsidRPr="00591584" w:rsidRDefault="002B3327" w:rsidP="002A55BE">
      <w:pPr>
        <w:pStyle w:val="Equation"/>
        <w:rPr>
          <w:lang w:val="es-ES"/>
        </w:rPr>
      </w:pPr>
      <w:r w:rsidRPr="00591584">
        <w:rPr>
          <w:lang w:val="es-ES"/>
        </w:rPr>
        <w:tab/>
      </w:r>
      <w:r w:rsidRPr="00591584">
        <w:rPr>
          <w:lang w:val="es-ES"/>
        </w:rPr>
        <w:tab/>
      </w:r>
      <w:r w:rsidR="00E907E4" w:rsidRPr="00591584">
        <w:rPr>
          <w:position w:val="-28"/>
          <w:u w:color="000000"/>
          <w:lang w:val="es-ES"/>
        </w:rPr>
        <w:object w:dxaOrig="2280" w:dyaOrig="660">
          <v:shape id="_x0000_i1027" type="#_x0000_t75" style="width:114.05pt;height:33.85pt" o:ole="">
            <v:imagedata r:id="rId16" o:title=""/>
          </v:shape>
          <o:OLEObject Type="Embed" ProgID="Equation.3" ShapeID="_x0000_i1027" DrawAspect="Content" ObjectID="_1357644458" r:id="rId17"/>
        </w:object>
      </w:r>
      <w:r w:rsidRPr="00591584">
        <w:rPr>
          <w:lang w:val="es-ES"/>
        </w:rPr>
        <w:tab/>
        <w:t>(2)</w:t>
      </w:r>
    </w:p>
    <w:p w:rsidR="00E22B71" w:rsidRPr="00591584" w:rsidRDefault="00E22B71" w:rsidP="00E22B71">
      <w:pPr>
        <w:pStyle w:val="Blanc"/>
        <w:rPr>
          <w:lang w:val="es-ES"/>
        </w:rPr>
      </w:pPr>
    </w:p>
    <w:p w:rsidR="002B3327" w:rsidRPr="00591584" w:rsidRDefault="002B3327" w:rsidP="002A55BE">
      <w:pPr>
        <w:rPr>
          <w:lang w:val="es-ES"/>
        </w:rPr>
      </w:pPr>
      <w:r w:rsidRPr="00591584">
        <w:rPr>
          <w:lang w:val="es-ES"/>
        </w:rPr>
        <w:t>donde:</w:t>
      </w:r>
    </w:p>
    <w:p w:rsidR="002B3327" w:rsidRPr="00591584" w:rsidRDefault="002B3327" w:rsidP="002A55BE">
      <w:pPr>
        <w:pStyle w:val="Equationlegend"/>
        <w:rPr>
          <w:lang w:val="es-ES"/>
        </w:rPr>
      </w:pPr>
      <w:r w:rsidRPr="00591584">
        <w:rPr>
          <w:i/>
          <w:u w:color="000000"/>
          <w:lang w:val="es-ES"/>
        </w:rPr>
        <w:tab/>
        <w:t>p</w:t>
      </w:r>
      <w:r w:rsidRPr="00591584">
        <w:rPr>
          <w:i/>
          <w:u w:color="000000"/>
          <w:vertAlign w:val="subscript"/>
          <w:lang w:val="es-ES"/>
        </w:rPr>
        <w:t xml:space="preserve">a </w:t>
      </w:r>
      <w:r w:rsidRPr="00591584">
        <w:rPr>
          <w:iCs/>
          <w:u w:color="000000"/>
          <w:lang w:val="es-ES"/>
        </w:rPr>
        <w:t>:</w:t>
      </w:r>
      <w:r w:rsidRPr="00591584">
        <w:rPr>
          <w:lang w:val="es-ES"/>
        </w:rPr>
        <w:tab/>
        <w:t>nivel de ruido obtenido en la medición a), en unidades lineales</w:t>
      </w:r>
    </w:p>
    <w:p w:rsidR="002B3327" w:rsidRPr="00591584" w:rsidRDefault="002B3327" w:rsidP="002A55BE">
      <w:pPr>
        <w:pStyle w:val="Equationlegend"/>
        <w:rPr>
          <w:lang w:val="es-ES"/>
        </w:rPr>
      </w:pPr>
      <w:r w:rsidRPr="00591584">
        <w:rPr>
          <w:i/>
          <w:u w:color="000000"/>
          <w:lang w:val="es-ES"/>
        </w:rPr>
        <w:tab/>
        <w:t>p</w:t>
      </w:r>
      <w:r w:rsidRPr="00591584">
        <w:rPr>
          <w:i/>
          <w:u w:color="000000"/>
          <w:vertAlign w:val="subscript"/>
          <w:lang w:val="es-ES"/>
        </w:rPr>
        <w:t>b</w:t>
      </w:r>
      <w:r w:rsidRPr="00591584">
        <w:rPr>
          <w:lang w:val="es-ES"/>
        </w:rPr>
        <w:t xml:space="preserve"> </w:t>
      </w:r>
      <w:r w:rsidRPr="00591584">
        <w:rPr>
          <w:iCs/>
          <w:u w:color="000000"/>
          <w:lang w:val="es-ES"/>
        </w:rPr>
        <w:t>:</w:t>
      </w:r>
      <w:r w:rsidRPr="00591584">
        <w:rPr>
          <w:lang w:val="es-ES"/>
        </w:rPr>
        <w:tab/>
        <w:t>nivel de ruido obtenido en la medición b), en unidades lineales</w:t>
      </w:r>
    </w:p>
    <w:p w:rsidR="002B3327" w:rsidRPr="00591584" w:rsidRDefault="002B3327" w:rsidP="002A55BE">
      <w:pPr>
        <w:pStyle w:val="Equationlegend"/>
        <w:rPr>
          <w:lang w:val="es-ES"/>
        </w:rPr>
      </w:pPr>
      <w:r w:rsidRPr="00591584">
        <w:rPr>
          <w:i/>
          <w:u w:color="000000"/>
          <w:lang w:val="es-ES"/>
        </w:rPr>
        <w:tab/>
        <w:t>f</w:t>
      </w:r>
      <w:r w:rsidRPr="00591584">
        <w:rPr>
          <w:lang w:val="es-ES"/>
        </w:rPr>
        <w:t xml:space="preserve"> </w:t>
      </w:r>
      <w:r w:rsidRPr="00591584">
        <w:rPr>
          <w:iCs/>
          <w:u w:color="000000"/>
          <w:lang w:val="es-ES"/>
        </w:rPr>
        <w:t>:</w:t>
      </w:r>
      <w:r w:rsidRPr="00591584">
        <w:rPr>
          <w:lang w:val="es-ES"/>
        </w:rPr>
        <w:tab/>
        <w:t>factor de ruido del equipo.</w:t>
      </w:r>
    </w:p>
    <w:p w:rsidR="006D7658" w:rsidRPr="00591584" w:rsidRDefault="006D7658" w:rsidP="006D7658">
      <w:pPr>
        <w:pStyle w:val="Blanc"/>
        <w:rPr>
          <w:lang w:val="es-ES"/>
        </w:rPr>
      </w:pPr>
    </w:p>
    <w:p w:rsidR="002B3327" w:rsidRPr="00591584" w:rsidRDefault="002B3327" w:rsidP="002A55BE">
      <w:pPr>
        <w:rPr>
          <w:lang w:val="es-ES"/>
        </w:rPr>
      </w:pPr>
      <w:r w:rsidRPr="00591584">
        <w:rPr>
          <w:lang w:val="es-ES"/>
        </w:rPr>
        <w:t xml:space="preserve">El coeficiente </w:t>
      </w:r>
      <w:r w:rsidRPr="00591584">
        <w:rPr>
          <w:i/>
          <w:iCs/>
          <w:lang w:val="es-ES"/>
        </w:rPr>
        <w:t>K</w:t>
      </w:r>
      <w:r w:rsidRPr="00591584">
        <w:rPr>
          <w:lang w:val="es-ES"/>
        </w:rPr>
        <w:t xml:space="preserve"> puede calcularse como sigue:</w:t>
      </w:r>
    </w:p>
    <w:p w:rsidR="002B3327" w:rsidRPr="00591584" w:rsidRDefault="002B3327" w:rsidP="002A55BE">
      <w:pPr>
        <w:pStyle w:val="Blanc"/>
        <w:rPr>
          <w:lang w:val="es-ES"/>
        </w:rPr>
      </w:pPr>
    </w:p>
    <w:p w:rsidR="002B3327" w:rsidRDefault="002B3327" w:rsidP="002A55BE">
      <w:pPr>
        <w:pStyle w:val="Equation"/>
        <w:rPr>
          <w:lang w:val="es-ES"/>
        </w:rPr>
      </w:pPr>
      <w:r w:rsidRPr="00591584">
        <w:rPr>
          <w:lang w:val="es-ES"/>
        </w:rPr>
        <w:tab/>
      </w:r>
      <w:r w:rsidRPr="00591584">
        <w:rPr>
          <w:lang w:val="es-ES"/>
        </w:rPr>
        <w:tab/>
      </w:r>
      <w:r w:rsidR="00E907E4" w:rsidRPr="00591584">
        <w:rPr>
          <w:position w:val="-28"/>
          <w:u w:color="000000"/>
          <w:lang w:val="es-ES"/>
        </w:rPr>
        <w:object w:dxaOrig="2520" w:dyaOrig="660">
          <v:shape id="_x0000_i1028" type="#_x0000_t75" style="width:126.6pt;height:33.85pt" o:ole="">
            <v:imagedata r:id="rId18" o:title=""/>
          </v:shape>
          <o:OLEObject Type="Embed" ProgID="Equation.3" ShapeID="_x0000_i1028" DrawAspect="Content" ObjectID="_1357644459" r:id="rId19"/>
        </w:object>
      </w:r>
      <w:r w:rsidRPr="00591584">
        <w:rPr>
          <w:lang w:val="es-ES"/>
        </w:rPr>
        <w:tab/>
        <w:t>(3)</w:t>
      </w:r>
    </w:p>
    <w:p w:rsidR="002B3327" w:rsidRPr="00591584" w:rsidRDefault="002B3327" w:rsidP="00E907E4">
      <w:pPr>
        <w:keepNext/>
        <w:keepLines/>
        <w:rPr>
          <w:lang w:val="es-ES"/>
        </w:rPr>
      </w:pPr>
      <w:r w:rsidRPr="00591584">
        <w:rPr>
          <w:lang w:val="es-ES"/>
        </w:rPr>
        <w:lastRenderedPageBreak/>
        <w:t xml:space="preserve">Las especificaciones del equipo normalmente indican un factor de ruido </w:t>
      </w:r>
      <w:r w:rsidRPr="00591584">
        <w:rPr>
          <w:i/>
          <w:iCs/>
          <w:lang w:val="es-ES"/>
        </w:rPr>
        <w:t>F</w:t>
      </w:r>
      <w:r w:rsidRPr="00591584">
        <w:rPr>
          <w:lang w:val="es-ES"/>
        </w:rPr>
        <w:t xml:space="preserve">. Como se trata del factor de ruido expresado en decibelios, el factor de ruido </w:t>
      </w:r>
      <w:r w:rsidRPr="00591584">
        <w:rPr>
          <w:i/>
          <w:iCs/>
          <w:lang w:val="es-ES"/>
        </w:rPr>
        <w:t>f</w:t>
      </w:r>
      <w:r w:rsidRPr="00591584">
        <w:rPr>
          <w:lang w:val="es-ES"/>
        </w:rPr>
        <w:t xml:space="preserve"> puede calcularse como sigue:</w:t>
      </w:r>
    </w:p>
    <w:p w:rsidR="002B3327" w:rsidRPr="00591584" w:rsidRDefault="002B3327" w:rsidP="002A55BE">
      <w:pPr>
        <w:pStyle w:val="Blanc"/>
        <w:rPr>
          <w:lang w:val="es-ES"/>
        </w:rPr>
      </w:pPr>
    </w:p>
    <w:p w:rsidR="002B3327" w:rsidRPr="00591584" w:rsidRDefault="002B3327" w:rsidP="002A55BE">
      <w:pPr>
        <w:pStyle w:val="Equation"/>
        <w:rPr>
          <w:lang w:val="es-ES"/>
        </w:rPr>
      </w:pPr>
      <w:r w:rsidRPr="00591584">
        <w:rPr>
          <w:lang w:val="es-ES"/>
        </w:rPr>
        <w:tab/>
      </w:r>
      <w:r w:rsidRPr="00591584">
        <w:rPr>
          <w:lang w:val="es-ES"/>
        </w:rPr>
        <w:tab/>
      </w:r>
      <w:r w:rsidR="00E907E4" w:rsidRPr="00591584">
        <w:rPr>
          <w:position w:val="-10"/>
          <w:u w:color="000000"/>
          <w:lang w:val="es-ES"/>
        </w:rPr>
        <w:object w:dxaOrig="1140" w:dyaOrig="660">
          <v:shape id="_x0000_i1029" type="#_x0000_t75" style="width:57pt;height:32.4pt" o:ole="">
            <v:imagedata r:id="rId20" o:title=""/>
          </v:shape>
          <o:OLEObject Type="Embed" ProgID="Equation.3" ShapeID="_x0000_i1029" DrawAspect="Content" ObjectID="_1357644460" r:id="rId21"/>
        </w:object>
      </w:r>
      <w:r w:rsidRPr="00591584">
        <w:rPr>
          <w:lang w:val="es-ES"/>
        </w:rPr>
        <w:tab/>
        <w:t>(4)</w:t>
      </w:r>
    </w:p>
    <w:p w:rsidR="002B3327" w:rsidRPr="00591584" w:rsidRDefault="002B3327" w:rsidP="002A55BE">
      <w:pPr>
        <w:pStyle w:val="Blanc"/>
        <w:rPr>
          <w:lang w:val="es-ES"/>
        </w:rPr>
      </w:pPr>
    </w:p>
    <w:p w:rsidR="002B3327" w:rsidRDefault="002B3327" w:rsidP="002A55BE">
      <w:pPr>
        <w:pStyle w:val="Equationlegend"/>
        <w:rPr>
          <w:lang w:val="es-ES"/>
        </w:rPr>
      </w:pPr>
      <w:r w:rsidRPr="00591584">
        <w:rPr>
          <w:lang w:val="es-ES"/>
        </w:rPr>
        <w:t xml:space="preserve">La curva representada en la </w:t>
      </w:r>
      <w:r>
        <w:rPr>
          <w:lang w:val="es-ES"/>
        </w:rPr>
        <w:t>Fig.</w:t>
      </w:r>
      <w:r w:rsidRPr="00591584">
        <w:rPr>
          <w:lang w:val="es-ES"/>
        </w:rPr>
        <w:t xml:space="preserve"> 2 proporciona el valor de </w:t>
      </w:r>
      <w:r w:rsidRPr="00591584">
        <w:rPr>
          <w:i/>
          <w:iCs/>
          <w:lang w:val="es-ES"/>
        </w:rPr>
        <w:t>K</w:t>
      </w:r>
      <w:r w:rsidRPr="00591584">
        <w:rPr>
          <w:lang w:val="es-ES"/>
        </w:rPr>
        <w:t xml:space="preserve"> en función del factor de ruido.</w:t>
      </w:r>
    </w:p>
    <w:p w:rsidR="00E22B71" w:rsidRPr="00591584" w:rsidRDefault="00E22B71" w:rsidP="00E22B71">
      <w:pPr>
        <w:pStyle w:val="Blanc"/>
        <w:rPr>
          <w:lang w:val="es-ES"/>
        </w:rPr>
      </w:pPr>
    </w:p>
    <w:p w:rsidR="002B3327" w:rsidRPr="00591584" w:rsidRDefault="00151803" w:rsidP="002B3327">
      <w:pPr>
        <w:pStyle w:val="FigureNo"/>
        <w:rPr>
          <w:lang w:val="es-ES"/>
        </w:rPr>
      </w:pPr>
      <w:r w:rsidRPr="00970B36">
        <w:rPr>
          <w:lang w:val="es-ES"/>
        </w:rPr>
        <w:pict>
          <v:shape id="_x0000_i1030" type="#_x0000_t75" style="width:418.95pt;height:315.55pt">
            <v:imagedata r:id="rId22" o:title=""/>
          </v:shape>
        </w:pict>
      </w:r>
    </w:p>
    <w:p w:rsidR="00E22B71" w:rsidRPr="00591584" w:rsidRDefault="00E22B71" w:rsidP="00E22B71">
      <w:pPr>
        <w:spacing w:before="0"/>
        <w:rPr>
          <w:lang w:val="es-ES"/>
        </w:rPr>
      </w:pPr>
    </w:p>
    <w:p w:rsidR="002B3327" w:rsidRPr="00591584" w:rsidRDefault="002B3327" w:rsidP="002A55BE">
      <w:pPr>
        <w:pStyle w:val="Heading2"/>
        <w:rPr>
          <w:lang w:val="es-ES"/>
        </w:rPr>
      </w:pPr>
      <w:r w:rsidRPr="00591584">
        <w:rPr>
          <w:lang w:val="es-ES"/>
        </w:rPr>
        <w:t>10.3</w:t>
      </w:r>
      <w:r w:rsidRPr="00591584">
        <w:rPr>
          <w:lang w:val="es-ES"/>
        </w:rPr>
        <w:tab/>
        <w:t>Determinación del nivel de WGN utilizando el «método del 20</w:t>
      </w:r>
      <w:r>
        <w:rPr>
          <w:lang w:val="es-ES"/>
        </w:rPr>
        <w:t>%</w:t>
      </w:r>
      <w:r w:rsidRPr="00591584">
        <w:rPr>
          <w:lang w:val="es-ES"/>
        </w:rPr>
        <w:t>» (medición únicamente del valor eficaz del WGN)</w:t>
      </w:r>
    </w:p>
    <w:p w:rsidR="002B3327" w:rsidRPr="00591584" w:rsidRDefault="002B3327" w:rsidP="002A55BE">
      <w:pPr>
        <w:rPr>
          <w:lang w:val="es-ES"/>
        </w:rPr>
      </w:pPr>
      <w:r w:rsidRPr="00591584">
        <w:rPr>
          <w:lang w:val="es-ES"/>
        </w:rPr>
        <w:t>Especialmente por debajo de 30 MHz no puede suponerse que la frecuencia (o gama de frecuencias)</w:t>
      </w:r>
      <w:r>
        <w:rPr>
          <w:lang w:val="es-ES"/>
        </w:rPr>
        <w:t xml:space="preserve"> </w:t>
      </w:r>
      <w:r w:rsidRPr="00591584">
        <w:rPr>
          <w:lang w:val="es-ES"/>
        </w:rPr>
        <w:t>de medición se encuentre libre durante todo el periodo de medición. Por lo tanto se recomienda realizar una exploración a lo largo de una pequeña gama de frecuencias en vez de medir en una sola frecuencia. Las ocupaciones no deseadas pueden eliminarse de los resultados utilizando únicamente las muestras con los niveles del 20% más bajo y descartar el otro 80%. Sin embargo, de esta forma también se suprimen algunas muestras que contienen ruido y, en consecuencia, se obtienen unos niveles de ruido demasiado bajos a menos que se aplique una corrección. Dicha corrección necesaria se determina conectando una fuente de ruido blanco al receptor, tomando algunas muestras de medición y determinando el nivel eficaz medio de todas las muestras (el 100%). A continuación se recorta el 80% superior y se calcula el nivel eficaz medio de las muestras del 20% más bajas. La corrección que debe aplicarse es la diferencia entre ambos niveles eficaces medios (100% y 20%).</w:t>
      </w:r>
    </w:p>
    <w:p w:rsidR="002B3327" w:rsidRPr="00591584" w:rsidRDefault="002B3327" w:rsidP="006D7658">
      <w:pPr>
        <w:pStyle w:val="Heading2"/>
        <w:rPr>
          <w:lang w:val="es-ES"/>
        </w:rPr>
      </w:pPr>
      <w:r w:rsidRPr="00591584">
        <w:rPr>
          <w:lang w:val="es-ES"/>
        </w:rPr>
        <w:lastRenderedPageBreak/>
        <w:t>10.4</w:t>
      </w:r>
      <w:r w:rsidRPr="00591584">
        <w:rPr>
          <w:lang w:val="es-ES"/>
        </w:rPr>
        <w:tab/>
        <w:t>Validación del valor de corte del 20% (medición únicamente del valor eficaz del</w:t>
      </w:r>
      <w:r w:rsidR="006D7658">
        <w:rPr>
          <w:lang w:val="es-ES"/>
        </w:rPr>
        <w:t xml:space="preserve"> </w:t>
      </w:r>
      <w:r w:rsidRPr="00591584">
        <w:rPr>
          <w:lang w:val="es-ES"/>
        </w:rPr>
        <w:t>WGN)</w:t>
      </w:r>
    </w:p>
    <w:p w:rsidR="002B3327" w:rsidRPr="00591584" w:rsidRDefault="002B3327" w:rsidP="00E907E4">
      <w:pPr>
        <w:keepNext/>
        <w:keepLines/>
        <w:rPr>
          <w:lang w:val="es-ES"/>
        </w:rPr>
      </w:pPr>
      <w:r w:rsidRPr="00591584">
        <w:rPr>
          <w:lang w:val="es-ES"/>
        </w:rPr>
        <w:t>En ondas decam</w:t>
      </w:r>
      <w:r>
        <w:rPr>
          <w:lang w:val="es-ES"/>
        </w:rPr>
        <w:t>é</w:t>
      </w:r>
      <w:r w:rsidRPr="00591584">
        <w:rPr>
          <w:lang w:val="es-ES"/>
        </w:rPr>
        <w:t>tricas, el 20% de los valores más bajos es un valor práctico para determinar el nivel de ruido. Para otras gamas de frecuencia debe verificarse si este valor del 20</w:t>
      </w:r>
      <w:r>
        <w:rPr>
          <w:lang w:val="es-ES"/>
        </w:rPr>
        <w:t>%</w:t>
      </w:r>
      <w:r w:rsidRPr="00591584">
        <w:rPr>
          <w:lang w:val="es-ES"/>
        </w:rPr>
        <w:t xml:space="preserve"> es correcto o hay que cambiarse a otro valor. En al Apéndice 2 se describen algunos métodos para validar el valor de corte.</w:t>
      </w:r>
    </w:p>
    <w:p w:rsidR="002B3327" w:rsidRPr="00591584" w:rsidRDefault="002B3327" w:rsidP="00E907E4">
      <w:pPr>
        <w:pStyle w:val="Heading2"/>
        <w:rPr>
          <w:lang w:val="es-ES"/>
        </w:rPr>
      </w:pPr>
      <w:r w:rsidRPr="00591584">
        <w:rPr>
          <w:lang w:val="es-ES"/>
        </w:rPr>
        <w:t>10.5</w:t>
      </w:r>
      <w:r w:rsidRPr="00591584">
        <w:rPr>
          <w:lang w:val="es-ES"/>
        </w:rPr>
        <w:tab/>
        <w:t>Trazado de la APD (muestreo de datos en bruto únicamente)</w:t>
      </w:r>
    </w:p>
    <w:p w:rsidR="002B3327" w:rsidRDefault="002B3327" w:rsidP="006D7658">
      <w:pPr>
        <w:rPr>
          <w:lang w:val="es-ES"/>
        </w:rPr>
      </w:pPr>
      <w:r w:rsidRPr="00591584">
        <w:rPr>
          <w:lang w:val="es-ES"/>
        </w:rPr>
        <w:t>Si se utiliza muestreo de datos en bruto para determinar el WGN, el nivel eficaz puede obtenerse teóricamente mediante promediación lineal de los niveles de potencia de todas las muestra medidas en un cierto tiempo (de integración). No obstante, esto es correcto únicamente si durante la medición sólo estaba presente el WGN. Especialmente en ondas decamétricas, esta hipótesis generalmente no se da. En estos casos, el nivel eficaz del WGN puede calcularse trazando los datos en bruto en el denominado gráfico de «Distribución de probabilidad de las amplitudes»: Dicho gr</w:t>
      </w:r>
      <w:r>
        <w:rPr>
          <w:lang w:val="es-ES"/>
        </w:rPr>
        <w:t>á</w:t>
      </w:r>
      <w:r w:rsidRPr="00591584">
        <w:rPr>
          <w:lang w:val="es-ES"/>
        </w:rPr>
        <w:t xml:space="preserve">fico representa el porcentaje de muestras de medición que rebasan una cierta amplitud (véase la </w:t>
      </w:r>
      <w:r>
        <w:rPr>
          <w:lang w:val="es-ES"/>
        </w:rPr>
        <w:t>Fig.</w:t>
      </w:r>
      <w:r w:rsidR="006D7658">
        <w:rPr>
          <w:lang w:val="es-ES"/>
        </w:rPr>
        <w:t> </w:t>
      </w:r>
      <w:r w:rsidRPr="00591584">
        <w:rPr>
          <w:lang w:val="es-ES"/>
        </w:rPr>
        <w:t>3).</w:t>
      </w:r>
    </w:p>
    <w:p w:rsidR="00E22B71" w:rsidRPr="00591584" w:rsidRDefault="00E22B71" w:rsidP="00E22B71">
      <w:pPr>
        <w:pStyle w:val="Blanc"/>
        <w:rPr>
          <w:lang w:val="es-ES"/>
        </w:rPr>
      </w:pPr>
    </w:p>
    <w:p w:rsidR="002B3327" w:rsidRPr="00CA6636" w:rsidRDefault="00151803" w:rsidP="002B3327">
      <w:pPr>
        <w:pStyle w:val="FigureNo"/>
        <w:rPr>
          <w:sz w:val="24"/>
          <w:szCs w:val="24"/>
          <w:lang w:val="es-ES"/>
        </w:rPr>
      </w:pPr>
      <w:r w:rsidRPr="00970B36">
        <w:rPr>
          <w:sz w:val="24"/>
          <w:szCs w:val="24"/>
          <w:lang w:val="es-ES"/>
        </w:rPr>
        <w:pict>
          <v:shape id="_x0000_i1031" type="#_x0000_t75" style="width:355.65pt;height:363.4pt">
            <v:imagedata r:id="rId23" o:title=""/>
          </v:shape>
        </w:pict>
      </w:r>
    </w:p>
    <w:p w:rsidR="00E22B71" w:rsidRPr="00591584" w:rsidRDefault="00E22B71" w:rsidP="00E22B71">
      <w:pPr>
        <w:spacing w:before="0"/>
        <w:rPr>
          <w:lang w:val="es-ES"/>
        </w:rPr>
      </w:pPr>
    </w:p>
    <w:p w:rsidR="002B3327" w:rsidRPr="00591584" w:rsidRDefault="002B3327" w:rsidP="002A55BE">
      <w:pPr>
        <w:rPr>
          <w:u w:color="000000"/>
          <w:lang w:val="es-ES"/>
        </w:rPr>
      </w:pPr>
      <w:r w:rsidRPr="00591584">
        <w:rPr>
          <w:lang w:val="es-ES"/>
        </w:rPr>
        <w:t>El eje x del gráfico de la APD tiene una escala de Rayleigh. Con esta escala es fácil separar los distintos tipos de ruido: el ruido blanco aparece como una línea r</w:t>
      </w:r>
      <w:r>
        <w:rPr>
          <w:lang w:val="es-ES"/>
        </w:rPr>
        <w:t>ecta inclinada (en medio del grá</w:t>
      </w:r>
      <w:r w:rsidRPr="00591584">
        <w:rPr>
          <w:lang w:val="es-ES"/>
        </w:rPr>
        <w:t>fico). Puede demostrarse matemáticamente que el gradiente de esta línea es –10 cuando ambas escalas pasan a ser lineales. Ello significa que la línea cae 10 dB entre el</w:t>
      </w:r>
      <w:r w:rsidRPr="00591584">
        <w:rPr>
          <w:u w:color="000000"/>
          <w:lang w:val="es-ES"/>
        </w:rPr>
        <w:t xml:space="preserve"> 0,1%, 37%, 90% </w:t>
      </w:r>
      <w:r>
        <w:rPr>
          <w:u w:color="000000"/>
          <w:lang w:val="es-ES"/>
        </w:rPr>
        <w:t>y</w:t>
      </w:r>
      <w:r w:rsidRPr="00591584">
        <w:rPr>
          <w:u w:color="000000"/>
          <w:lang w:val="es-ES"/>
        </w:rPr>
        <w:t xml:space="preserve"> 99%. </w:t>
      </w:r>
    </w:p>
    <w:p w:rsidR="002B3327" w:rsidRPr="00591584" w:rsidRDefault="002B3327" w:rsidP="002A55BE">
      <w:pPr>
        <w:rPr>
          <w:lang w:val="es-ES"/>
        </w:rPr>
      </w:pPr>
      <w:r w:rsidRPr="00591584">
        <w:rPr>
          <w:lang w:val="es-ES"/>
        </w:rPr>
        <w:lastRenderedPageBreak/>
        <w:t>El borde ascendente de la izquierda indica ruido impulsivo, la disminución hacia la derecha se debe a portadoras únicas de fuentes próximas y al límite de indicación de nivel más bajo del receptor de medición.</w:t>
      </w:r>
    </w:p>
    <w:p w:rsidR="002B3327" w:rsidRPr="00591584" w:rsidRDefault="002B3327" w:rsidP="002A55BE">
      <w:pPr>
        <w:rPr>
          <w:lang w:val="es-ES"/>
        </w:rPr>
      </w:pPr>
      <w:r w:rsidRPr="00591584">
        <w:rPr>
          <w:lang w:val="es-ES"/>
        </w:rPr>
        <w:t>Cuando no están presentes portadoras únicas o emisiones deseadas de banda estrecha, el nivel eficaz global es el valor en el punto donde la curva atraviesa el 37% en la abscisa.</w:t>
      </w:r>
    </w:p>
    <w:p w:rsidR="002B3327" w:rsidRDefault="002B3327" w:rsidP="00E22B71">
      <w:pPr>
        <w:rPr>
          <w:lang w:val="es-ES"/>
        </w:rPr>
      </w:pPr>
      <w:r w:rsidRPr="00591584">
        <w:rPr>
          <w:lang w:val="es-ES"/>
        </w:rPr>
        <w:t>Sin embargo, la presencia de portadoras y de emisiones deseadas no sólo produce un aumento hacia el extremo derecho de la APD sino también un incremento de toda la curva, incluido el valor del 37%, y da lugar a una curva cóncava en vez de una línea recta en la parte media del gr</w:t>
      </w:r>
      <w:r>
        <w:rPr>
          <w:lang w:val="es-ES"/>
        </w:rPr>
        <w:t>á</w:t>
      </w:r>
      <w:r w:rsidRPr="00591584">
        <w:rPr>
          <w:lang w:val="es-ES"/>
        </w:rPr>
        <w:t xml:space="preserve">fico, como puede verse en la </w:t>
      </w:r>
      <w:r>
        <w:rPr>
          <w:lang w:val="es-ES"/>
        </w:rPr>
        <w:t>Fig.</w:t>
      </w:r>
      <w:r w:rsidR="006D7658">
        <w:rPr>
          <w:lang w:val="es-ES"/>
        </w:rPr>
        <w:t xml:space="preserve"> 4.</w:t>
      </w:r>
    </w:p>
    <w:p w:rsidR="00E22B71" w:rsidRPr="00591584" w:rsidRDefault="00E22B71" w:rsidP="00E22B71">
      <w:pPr>
        <w:rPr>
          <w:lang w:val="es-ES"/>
        </w:rPr>
      </w:pPr>
    </w:p>
    <w:p w:rsidR="002B3327" w:rsidRPr="00340DBC" w:rsidRDefault="00151803" w:rsidP="002B3327">
      <w:pPr>
        <w:pStyle w:val="FigureNo"/>
        <w:rPr>
          <w:sz w:val="24"/>
          <w:szCs w:val="24"/>
          <w:lang w:val="es-ES"/>
        </w:rPr>
      </w:pPr>
      <w:r w:rsidRPr="00970B36">
        <w:rPr>
          <w:sz w:val="24"/>
          <w:szCs w:val="24"/>
          <w:lang w:val="es-ES"/>
        </w:rPr>
        <w:pict>
          <v:shape id="_x0000_i1032" type="#_x0000_t75" style="width:359.05pt;height:359.05pt;mso-position-vertical:absolute">
            <v:imagedata r:id="rId24" o:title=""/>
          </v:shape>
        </w:pict>
      </w:r>
    </w:p>
    <w:p w:rsidR="00E907E4" w:rsidRDefault="00E907E4" w:rsidP="00E22B71">
      <w:pPr>
        <w:rPr>
          <w:lang w:val="es-ES"/>
        </w:rPr>
      </w:pPr>
    </w:p>
    <w:p w:rsidR="002B3327" w:rsidRPr="00591584" w:rsidRDefault="002B3327" w:rsidP="002A55BE">
      <w:pPr>
        <w:rPr>
          <w:u w:color="000000"/>
          <w:lang w:val="es-ES"/>
        </w:rPr>
      </w:pPr>
      <w:r w:rsidRPr="00591584">
        <w:rPr>
          <w:lang w:val="es-ES"/>
        </w:rPr>
        <w:t>En este caso, el nivel del WGN se determina trazando una línea recta con la pendiente del WGN ideal a la curva. El nivel eficaz del WGN se encuentra donde la tangente cruza el valor del 37% en la abscisa</w:t>
      </w:r>
      <w:r w:rsidRPr="00591584">
        <w:rPr>
          <w:u w:color="000000"/>
          <w:lang w:val="es-ES"/>
        </w:rPr>
        <w:t xml:space="preserve">. </w:t>
      </w:r>
    </w:p>
    <w:p w:rsidR="002B3327" w:rsidRPr="00591584" w:rsidRDefault="002B3327" w:rsidP="002A55BE">
      <w:pPr>
        <w:rPr>
          <w:lang w:val="es-ES"/>
        </w:rPr>
      </w:pPr>
      <w:r w:rsidRPr="00591584">
        <w:rPr>
          <w:lang w:val="es-ES"/>
        </w:rPr>
        <w:t>Para mejorar la precisión, los valores medidos a lo largo del tiempo pueden transformarse al dominio de la frecuencia aplicando la transformada de Four</w:t>
      </w:r>
      <w:r>
        <w:rPr>
          <w:lang w:val="es-ES"/>
        </w:rPr>
        <w:t>ier. Se construye un segundo grá</w:t>
      </w:r>
      <w:r w:rsidRPr="00591584">
        <w:rPr>
          <w:lang w:val="es-ES"/>
        </w:rPr>
        <w:t xml:space="preserve">fico de la APD a partir de los valores resultantes en el dominio de la frecuencia y también en este caso se traza una tangente en la parte media del gráfico. El nivel eficaz del WGN también es el valor del 37% del dominio de la frecuencia APD. Si durante las mediciones están presentes señales deseadas o portadoras únicas, sólo se traza uno de los dos gráficos de la APD, dependiendo de la naturaleza de las señales. El WGN global exacto es en ese caso el menor de los dos valores del 37%. Este </w:t>
      </w:r>
      <w:r w:rsidRPr="00591584">
        <w:rPr>
          <w:lang w:val="es-ES"/>
        </w:rPr>
        <w:lastRenderedPageBreak/>
        <w:t xml:space="preserve">método de evaluación es especialmente necesario cuando las mediciones del ruido se realizan dentro de las bandas de frecuencias ocupadas por señales deseadas. Cuando se seleccionan las frecuencias de modo que no hay portadoras dominantes y emisiones deseadas, normalmente no es necesario aplicar la transformada rápida de Fourier. </w:t>
      </w:r>
    </w:p>
    <w:p w:rsidR="002B3327" w:rsidRPr="00591584" w:rsidRDefault="002B3327" w:rsidP="002A55BE">
      <w:pPr>
        <w:pStyle w:val="Heading2"/>
        <w:rPr>
          <w:lang w:val="es-ES"/>
        </w:rPr>
      </w:pPr>
      <w:r w:rsidRPr="00591584">
        <w:rPr>
          <w:lang w:val="es-ES"/>
        </w:rPr>
        <w:t>10.6</w:t>
      </w:r>
      <w:r w:rsidRPr="00591584">
        <w:rPr>
          <w:lang w:val="es-ES"/>
        </w:rPr>
        <w:tab/>
        <w:t xml:space="preserve">Cálculo de </w:t>
      </w:r>
      <w:r w:rsidRPr="00591584">
        <w:rPr>
          <w:i/>
          <w:lang w:val="es-ES"/>
        </w:rPr>
        <w:t>F</w:t>
      </w:r>
      <w:r w:rsidRPr="00591584">
        <w:rPr>
          <w:i/>
          <w:vertAlign w:val="subscript"/>
          <w:lang w:val="es-ES"/>
        </w:rPr>
        <w:t>a</w:t>
      </w:r>
    </w:p>
    <w:p w:rsidR="002B3327" w:rsidRPr="00591584" w:rsidRDefault="002B3327" w:rsidP="002A55BE">
      <w:pPr>
        <w:rPr>
          <w:lang w:val="es-ES"/>
        </w:rPr>
      </w:pPr>
      <w:r w:rsidRPr="00591584">
        <w:rPr>
          <w:lang w:val="es-ES"/>
        </w:rPr>
        <w:t>De acuerdo con la Recomendación UIT</w:t>
      </w:r>
      <w:r w:rsidRPr="00591584">
        <w:rPr>
          <w:lang w:val="es-ES"/>
        </w:rPr>
        <w:noBreakHyphen/>
        <w:t xml:space="preserve">R P.372, el nivel de ruido se expresa como un factor de ruido de una antena sin pérdidas debido al ruido externo </w:t>
      </w:r>
      <w:r w:rsidRPr="00591584">
        <w:rPr>
          <w:i/>
          <w:lang w:val="es-ES"/>
        </w:rPr>
        <w:t>F</w:t>
      </w:r>
      <w:r w:rsidRPr="00591584">
        <w:rPr>
          <w:i/>
          <w:u w:color="000000"/>
          <w:vertAlign w:val="subscript"/>
          <w:lang w:val="es-ES"/>
        </w:rPr>
        <w:t>a</w:t>
      </w:r>
      <w:r w:rsidRPr="00591584">
        <w:rPr>
          <w:lang w:val="es-ES"/>
        </w:rPr>
        <w:t xml:space="preserve"> en dB por encima del ruido térmico. </w:t>
      </w:r>
    </w:p>
    <w:p w:rsidR="002B3327" w:rsidRPr="00591584" w:rsidRDefault="002B3327" w:rsidP="002A55BE">
      <w:pPr>
        <w:rPr>
          <w:lang w:val="es-ES"/>
        </w:rPr>
      </w:pPr>
      <w:r w:rsidRPr="00591584">
        <w:rPr>
          <w:lang w:val="es-ES"/>
        </w:rPr>
        <w:t>El ruido térmico puede calcularse como sigue:</w:t>
      </w:r>
    </w:p>
    <w:p w:rsidR="002B3327" w:rsidRPr="00591584" w:rsidRDefault="002B3327" w:rsidP="002A55BE">
      <w:pPr>
        <w:pStyle w:val="Blanc"/>
        <w:rPr>
          <w:lang w:val="es-ES"/>
        </w:rPr>
      </w:pPr>
    </w:p>
    <w:p w:rsidR="002B3327" w:rsidRPr="00591584" w:rsidRDefault="002B3327" w:rsidP="002A55BE">
      <w:pPr>
        <w:pStyle w:val="Equation"/>
        <w:rPr>
          <w:lang w:val="es-ES"/>
        </w:rPr>
      </w:pPr>
      <w:r w:rsidRPr="00591584">
        <w:rPr>
          <w:lang w:val="es-ES"/>
        </w:rPr>
        <w:tab/>
      </w:r>
      <w:r w:rsidRPr="00591584">
        <w:rPr>
          <w:lang w:val="es-ES"/>
        </w:rPr>
        <w:tab/>
      </w:r>
      <w:r w:rsidR="00E907E4" w:rsidRPr="00591584">
        <w:rPr>
          <w:position w:val="-12"/>
          <w:lang w:val="es-ES"/>
        </w:rPr>
        <w:object w:dxaOrig="2060" w:dyaOrig="360">
          <v:shape id="_x0000_i1033" type="#_x0000_t75" style="width:103.4pt;height:18.35pt" o:ole="">
            <v:imagedata r:id="rId25" o:title=""/>
          </v:shape>
          <o:OLEObject Type="Embed" ProgID="Equation.3" ShapeID="_x0000_i1033" DrawAspect="Content" ObjectID="_1357644461" r:id="rId26"/>
        </w:object>
      </w:r>
      <w:r w:rsidRPr="00591584">
        <w:rPr>
          <w:lang w:val="es-ES"/>
        </w:rPr>
        <w:tab/>
        <w:t>(5)</w:t>
      </w:r>
    </w:p>
    <w:p w:rsidR="00E22B71" w:rsidRPr="00591584" w:rsidRDefault="00E22B71" w:rsidP="00E22B71">
      <w:pPr>
        <w:pStyle w:val="Blanc"/>
        <w:rPr>
          <w:lang w:val="es-ES"/>
        </w:rPr>
      </w:pPr>
    </w:p>
    <w:p w:rsidR="002B3327" w:rsidRPr="00591584" w:rsidRDefault="002B3327" w:rsidP="002A55BE">
      <w:pPr>
        <w:rPr>
          <w:lang w:val="es-ES"/>
        </w:rPr>
      </w:pPr>
      <w:r w:rsidRPr="00591584">
        <w:rPr>
          <w:lang w:val="es-ES"/>
        </w:rPr>
        <w:t>donde:</w:t>
      </w:r>
    </w:p>
    <w:p w:rsidR="002B3327" w:rsidRPr="00591584" w:rsidRDefault="002B3327" w:rsidP="002A55BE">
      <w:pPr>
        <w:pStyle w:val="Equationlegend"/>
        <w:rPr>
          <w:lang w:val="es-ES"/>
        </w:rPr>
      </w:pPr>
      <w:r w:rsidRPr="00591584">
        <w:rPr>
          <w:i/>
          <w:u w:color="000000"/>
          <w:lang w:val="es-ES"/>
        </w:rPr>
        <w:tab/>
        <w:t>K</w:t>
      </w:r>
      <w:r w:rsidRPr="00591584">
        <w:rPr>
          <w:lang w:val="es-ES"/>
        </w:rPr>
        <w:t>:</w:t>
      </w:r>
      <w:r w:rsidRPr="00591584">
        <w:rPr>
          <w:lang w:val="es-ES"/>
        </w:rPr>
        <w:tab/>
        <w:t>constante de Boltzmann 1,38*10</w:t>
      </w:r>
      <w:r w:rsidRPr="00591584">
        <w:rPr>
          <w:vertAlign w:val="superscript"/>
          <w:lang w:val="es-ES"/>
        </w:rPr>
        <w:t>−23</w:t>
      </w:r>
      <w:r w:rsidRPr="00591584">
        <w:rPr>
          <w:lang w:val="es-ES"/>
        </w:rPr>
        <w:t xml:space="preserve"> (J/K)</w:t>
      </w:r>
    </w:p>
    <w:p w:rsidR="002B3327" w:rsidRPr="00591584" w:rsidRDefault="002B3327" w:rsidP="002A55BE">
      <w:pPr>
        <w:pStyle w:val="Equationlegend"/>
        <w:rPr>
          <w:lang w:val="es-ES"/>
        </w:rPr>
      </w:pPr>
      <w:r w:rsidRPr="00591584">
        <w:rPr>
          <w:i/>
          <w:u w:color="000000"/>
          <w:lang w:val="es-ES"/>
        </w:rPr>
        <w:tab/>
        <w:t>t</w:t>
      </w:r>
      <w:r w:rsidRPr="00591584">
        <w:rPr>
          <w:lang w:val="es-ES"/>
        </w:rPr>
        <w:t>:</w:t>
      </w:r>
      <w:r w:rsidRPr="00591584">
        <w:rPr>
          <w:lang w:val="es-ES"/>
        </w:rPr>
        <w:tab/>
        <w:t>temperatura ambiente (K)</w:t>
      </w:r>
    </w:p>
    <w:p w:rsidR="002B3327" w:rsidRPr="00591584" w:rsidRDefault="002B3327" w:rsidP="002A55BE">
      <w:pPr>
        <w:pStyle w:val="Equationlegend"/>
        <w:rPr>
          <w:lang w:val="es-ES"/>
        </w:rPr>
      </w:pPr>
      <w:r w:rsidRPr="00591584">
        <w:rPr>
          <w:i/>
          <w:u w:color="000000"/>
          <w:lang w:val="es-ES"/>
        </w:rPr>
        <w:tab/>
        <w:t>b</w:t>
      </w:r>
      <w:r w:rsidRPr="00591584">
        <w:rPr>
          <w:lang w:val="es-ES"/>
        </w:rPr>
        <w:t xml:space="preserve">: </w:t>
      </w:r>
      <w:r w:rsidRPr="00591584">
        <w:rPr>
          <w:lang w:val="es-ES"/>
        </w:rPr>
        <w:tab/>
        <w:t>anchura de banda equivalente de ruido del filtro de medición (Hz).</w:t>
      </w:r>
    </w:p>
    <w:p w:rsidR="006D7658" w:rsidRPr="00591584" w:rsidRDefault="006D7658" w:rsidP="006D7658">
      <w:pPr>
        <w:pStyle w:val="Blanc"/>
        <w:rPr>
          <w:lang w:val="es-ES"/>
        </w:rPr>
      </w:pPr>
    </w:p>
    <w:p w:rsidR="002B3327" w:rsidRPr="00591584" w:rsidRDefault="002B3327" w:rsidP="002A55BE">
      <w:pPr>
        <w:rPr>
          <w:lang w:val="es-ES"/>
        </w:rPr>
      </w:pPr>
      <w:r w:rsidRPr="00591584">
        <w:rPr>
          <w:lang w:val="es-ES"/>
        </w:rPr>
        <w:t xml:space="preserve">Para una temperatura de referencia </w:t>
      </w:r>
      <w:r w:rsidRPr="00591584">
        <w:rPr>
          <w:i/>
          <w:lang w:val="es-ES"/>
        </w:rPr>
        <w:t>t</w:t>
      </w:r>
      <w:r w:rsidRPr="00591584">
        <w:rPr>
          <w:vertAlign w:val="subscript"/>
          <w:lang w:val="es-ES"/>
        </w:rPr>
        <w:t>0</w:t>
      </w:r>
      <w:r w:rsidRPr="00591584">
        <w:rPr>
          <w:lang w:val="es-ES"/>
        </w:rPr>
        <w:t xml:space="preserve"> de 290 K (17°C), </w:t>
      </w:r>
      <w:r w:rsidRPr="00591584">
        <w:rPr>
          <w:i/>
          <w:lang w:val="es-ES"/>
        </w:rPr>
        <w:t>P</w:t>
      </w:r>
      <w:r w:rsidRPr="00591584">
        <w:rPr>
          <w:vertAlign w:val="subscript"/>
          <w:lang w:val="es-ES"/>
        </w:rPr>
        <w:t>0</w:t>
      </w:r>
      <w:r w:rsidRPr="00591584">
        <w:rPr>
          <w:lang w:val="es-ES"/>
        </w:rPr>
        <w:t xml:space="preserve"> toma el valor –174 dBm en una anchura de banda de 1 Hz.</w:t>
      </w:r>
    </w:p>
    <w:p w:rsidR="002B3327" w:rsidRDefault="002B3327" w:rsidP="002A55BE">
      <w:pPr>
        <w:rPr>
          <w:lang w:val="es-ES"/>
        </w:rPr>
      </w:pPr>
      <w:r w:rsidRPr="00591584">
        <w:rPr>
          <w:lang w:val="es-ES"/>
        </w:rPr>
        <w:t xml:space="preserve">El nivel de ruido medido es la suma del ruido externo y el ruido provocado por el sistema de medición, consistente principalmente en el ruido del receptor y, en caso de que se utilice un LNA, el ruido del LNA. El factor de ruido externo </w:t>
      </w:r>
      <w:r w:rsidRPr="00591584">
        <w:rPr>
          <w:i/>
          <w:lang w:val="es-ES"/>
        </w:rPr>
        <w:t>f</w:t>
      </w:r>
      <w:r w:rsidRPr="00591584">
        <w:rPr>
          <w:i/>
          <w:vertAlign w:val="subscript"/>
          <w:lang w:val="es-ES"/>
        </w:rPr>
        <w:t>a</w:t>
      </w:r>
      <w:r w:rsidRPr="00591584">
        <w:rPr>
          <w:lang w:val="es-ES"/>
        </w:rPr>
        <w:t xml:space="preserve"> puede calcularse mediante las ecuaciones de la Recomendación UIT</w:t>
      </w:r>
      <w:r w:rsidRPr="00591584">
        <w:rPr>
          <w:lang w:val="es-ES"/>
        </w:rPr>
        <w:noBreakHyphen/>
        <w:t xml:space="preserve">R P.372. En entornos de medición reales es realista suponer que la temperatura de todas las partes del sistema de medición es la misma. Además, puede fijarse a la temperatura de referencia </w:t>
      </w:r>
      <w:r w:rsidRPr="00591584">
        <w:rPr>
          <w:i/>
          <w:lang w:val="es-ES"/>
        </w:rPr>
        <w:t>t</w:t>
      </w:r>
      <w:r w:rsidRPr="00591584">
        <w:rPr>
          <w:vertAlign w:val="subscript"/>
          <w:lang w:val="es-ES"/>
        </w:rPr>
        <w:t>0</w:t>
      </w:r>
      <w:r w:rsidRPr="00591584">
        <w:rPr>
          <w:lang w:val="es-ES"/>
        </w:rPr>
        <w:t xml:space="preserve"> de 17°C sin introducir un error considerable excepto en casos especiales con temperaturas extremas. Bajo estas hipótesis, la ecuación fundamental que puede emplearse para calcular </w:t>
      </w:r>
      <w:r w:rsidRPr="00591584">
        <w:rPr>
          <w:i/>
          <w:iCs/>
          <w:lang w:val="es-ES"/>
        </w:rPr>
        <w:t>f</w:t>
      </w:r>
      <w:r w:rsidRPr="00591584">
        <w:rPr>
          <w:i/>
          <w:iCs/>
          <w:vertAlign w:val="subscript"/>
          <w:lang w:val="es-ES"/>
        </w:rPr>
        <w:t>a</w:t>
      </w:r>
      <w:r w:rsidRPr="00591584">
        <w:rPr>
          <w:lang w:val="es-ES"/>
        </w:rPr>
        <w:t xml:space="preserve"> es:</w:t>
      </w:r>
    </w:p>
    <w:p w:rsidR="00E907E4" w:rsidRPr="00591584" w:rsidRDefault="00E907E4" w:rsidP="00E907E4">
      <w:pPr>
        <w:pStyle w:val="Blanc"/>
        <w:rPr>
          <w:lang w:val="es-ES"/>
        </w:rPr>
      </w:pPr>
    </w:p>
    <w:p w:rsidR="002B3327" w:rsidRPr="00591584" w:rsidRDefault="002B3327" w:rsidP="002A55BE">
      <w:pPr>
        <w:pStyle w:val="Equation"/>
        <w:rPr>
          <w:lang w:val="es-ES"/>
        </w:rPr>
      </w:pPr>
      <w:r w:rsidRPr="00591584">
        <w:rPr>
          <w:lang w:val="es-ES"/>
        </w:rPr>
        <w:tab/>
      </w:r>
      <w:r w:rsidRPr="00591584">
        <w:rPr>
          <w:lang w:val="es-ES"/>
        </w:rPr>
        <w:tab/>
      </w:r>
      <w:r w:rsidRPr="00591584">
        <w:rPr>
          <w:position w:val="-12"/>
          <w:lang w:val="es-ES"/>
        </w:rPr>
        <w:object w:dxaOrig="1880" w:dyaOrig="360">
          <v:shape id="_x0000_i1034" type="#_x0000_t75" style="width:93.75pt;height:18.35pt" o:ole="">
            <v:imagedata r:id="rId27" o:title=""/>
          </v:shape>
          <o:OLEObject Type="Embed" ProgID="Equation.3" ShapeID="_x0000_i1034" DrawAspect="Content" ObjectID="_1357644462" r:id="rId28"/>
        </w:object>
      </w:r>
      <w:r w:rsidRPr="00591584">
        <w:rPr>
          <w:lang w:val="es-ES"/>
        </w:rPr>
        <w:tab/>
        <w:t>(6)</w:t>
      </w:r>
    </w:p>
    <w:p w:rsidR="00E22B71" w:rsidRPr="00591584" w:rsidRDefault="00E22B71" w:rsidP="00E22B71">
      <w:pPr>
        <w:pStyle w:val="Blanc"/>
        <w:rPr>
          <w:lang w:val="es-ES"/>
        </w:rPr>
      </w:pPr>
    </w:p>
    <w:p w:rsidR="002B3327" w:rsidRPr="00591584" w:rsidRDefault="002B3327" w:rsidP="002A55BE">
      <w:pPr>
        <w:rPr>
          <w:lang w:val="es-ES"/>
        </w:rPr>
      </w:pPr>
      <w:r w:rsidRPr="00591584">
        <w:rPr>
          <w:lang w:val="es-ES"/>
        </w:rPr>
        <w:t>donde:</w:t>
      </w:r>
    </w:p>
    <w:p w:rsidR="002B3327" w:rsidRPr="00591584" w:rsidRDefault="002B3327" w:rsidP="002A55BE">
      <w:pPr>
        <w:pStyle w:val="Equationlegend"/>
        <w:rPr>
          <w:lang w:val="es-ES"/>
        </w:rPr>
      </w:pPr>
      <w:r w:rsidRPr="00591584">
        <w:rPr>
          <w:lang w:val="es-ES"/>
        </w:rPr>
        <w:tab/>
      </w:r>
      <w:r w:rsidRPr="00591584">
        <w:rPr>
          <w:i/>
          <w:u w:color="000000"/>
          <w:lang w:val="es-ES"/>
        </w:rPr>
        <w:t>f</w:t>
      </w:r>
      <w:r w:rsidR="00E907E4">
        <w:rPr>
          <w:i/>
          <w:u w:color="000000"/>
          <w:lang w:val="es-ES"/>
        </w:rPr>
        <w:t xml:space="preserve"> </w:t>
      </w:r>
      <w:r w:rsidRPr="00591584">
        <w:rPr>
          <w:iCs/>
          <w:u w:color="000000"/>
          <w:lang w:val="es-ES"/>
        </w:rPr>
        <w:t>:</w:t>
      </w:r>
      <w:r w:rsidRPr="00591584">
        <w:rPr>
          <w:lang w:val="es-ES"/>
        </w:rPr>
        <w:tab/>
        <w:t>factor de ruido total medido en unidades lineales (</w:t>
      </w:r>
      <w:r w:rsidRPr="00591584">
        <w:rPr>
          <w:i/>
          <w:u w:color="000000"/>
          <w:lang w:val="es-ES"/>
        </w:rPr>
        <w:t>p</w:t>
      </w:r>
      <w:r w:rsidRPr="00591584">
        <w:rPr>
          <w:i/>
          <w:u w:color="000000"/>
          <w:vertAlign w:val="subscript"/>
          <w:lang w:val="es-ES"/>
        </w:rPr>
        <w:t>me</w:t>
      </w:r>
      <w:r>
        <w:rPr>
          <w:i/>
          <w:u w:color="000000"/>
          <w:vertAlign w:val="subscript"/>
          <w:lang w:val="es-ES"/>
        </w:rPr>
        <w:t>d</w:t>
      </w:r>
      <w:r w:rsidRPr="00591584">
        <w:rPr>
          <w:lang w:val="es-ES"/>
        </w:rPr>
        <w:t>/</w:t>
      </w:r>
      <w:r w:rsidRPr="00591584">
        <w:rPr>
          <w:i/>
          <w:u w:color="000000"/>
          <w:lang w:val="es-ES"/>
        </w:rPr>
        <w:t>p</w:t>
      </w:r>
      <w:r w:rsidRPr="00591584">
        <w:rPr>
          <w:vertAlign w:val="subscript"/>
          <w:lang w:val="es-ES"/>
        </w:rPr>
        <w:t>0</w:t>
      </w:r>
      <w:r w:rsidRPr="00591584">
        <w:rPr>
          <w:lang w:val="es-ES"/>
        </w:rPr>
        <w:t>)</w:t>
      </w:r>
    </w:p>
    <w:p w:rsidR="002B3327" w:rsidRPr="00591584" w:rsidRDefault="002B3327" w:rsidP="002A55BE">
      <w:pPr>
        <w:pStyle w:val="Equationlegend"/>
        <w:rPr>
          <w:lang w:val="es-ES"/>
        </w:rPr>
      </w:pPr>
      <w:r w:rsidRPr="00591584">
        <w:rPr>
          <w:lang w:val="es-ES"/>
        </w:rPr>
        <w:tab/>
      </w:r>
      <w:r w:rsidRPr="00591584">
        <w:rPr>
          <w:i/>
          <w:u w:color="000000"/>
          <w:lang w:val="es-ES"/>
        </w:rPr>
        <w:t>f</w:t>
      </w:r>
      <w:r w:rsidRPr="00591584">
        <w:rPr>
          <w:i/>
          <w:u w:color="000000"/>
          <w:vertAlign w:val="subscript"/>
          <w:lang w:val="es-ES"/>
        </w:rPr>
        <w:t>c</w:t>
      </w:r>
      <w:r w:rsidR="00E907E4">
        <w:rPr>
          <w:i/>
          <w:u w:color="000000"/>
          <w:vertAlign w:val="subscript"/>
          <w:lang w:val="es-ES"/>
        </w:rPr>
        <w:t xml:space="preserve"> </w:t>
      </w:r>
      <w:r w:rsidRPr="00591584">
        <w:rPr>
          <w:iCs/>
          <w:u w:color="000000"/>
          <w:lang w:val="es-ES"/>
        </w:rPr>
        <w:t>:</w:t>
      </w:r>
      <w:r w:rsidRPr="00591584">
        <w:rPr>
          <w:lang w:val="es-ES"/>
        </w:rPr>
        <w:tab/>
        <w:t>factor de ruido asociado a la antena (potencia de salida/disponible a la entrada de la antena)</w:t>
      </w:r>
    </w:p>
    <w:p w:rsidR="002B3327" w:rsidRPr="00591584" w:rsidRDefault="002B3327" w:rsidP="002A55BE">
      <w:pPr>
        <w:pStyle w:val="Equationlegend"/>
        <w:rPr>
          <w:lang w:val="es-ES"/>
        </w:rPr>
      </w:pPr>
      <w:r w:rsidRPr="00591584">
        <w:rPr>
          <w:lang w:val="es-ES"/>
        </w:rPr>
        <w:tab/>
      </w:r>
      <w:r w:rsidRPr="00591584">
        <w:rPr>
          <w:i/>
          <w:u w:color="000000"/>
          <w:lang w:val="es-ES"/>
        </w:rPr>
        <w:t>f</w:t>
      </w:r>
      <w:r w:rsidRPr="00591584">
        <w:rPr>
          <w:i/>
          <w:u w:color="000000"/>
          <w:vertAlign w:val="subscript"/>
          <w:lang w:val="es-ES"/>
        </w:rPr>
        <w:t>t</w:t>
      </w:r>
      <w:r w:rsidR="00E907E4">
        <w:rPr>
          <w:i/>
          <w:u w:color="000000"/>
          <w:vertAlign w:val="subscript"/>
          <w:lang w:val="es-ES"/>
        </w:rPr>
        <w:t xml:space="preserve"> </w:t>
      </w:r>
      <w:r w:rsidRPr="00591584">
        <w:rPr>
          <w:iCs/>
          <w:u w:color="000000"/>
          <w:lang w:val="es-ES"/>
        </w:rPr>
        <w:t>:</w:t>
      </w:r>
      <w:r w:rsidRPr="00591584">
        <w:rPr>
          <w:lang w:val="es-ES"/>
        </w:rPr>
        <w:tab/>
        <w:t>factor de ruido asociado a la línea de transmisión (potencia de salida/entrada del cable)</w:t>
      </w:r>
    </w:p>
    <w:p w:rsidR="002B3327" w:rsidRPr="00591584" w:rsidRDefault="002B3327" w:rsidP="002A55BE">
      <w:pPr>
        <w:pStyle w:val="Equationlegend"/>
        <w:rPr>
          <w:rStyle w:val="EquationlegendChar"/>
          <w:lang w:val="es-ES"/>
        </w:rPr>
      </w:pPr>
      <w:r w:rsidRPr="00591584">
        <w:rPr>
          <w:lang w:val="es-ES"/>
        </w:rPr>
        <w:tab/>
      </w:r>
      <w:r w:rsidRPr="00591584">
        <w:rPr>
          <w:i/>
          <w:u w:color="000000"/>
          <w:lang w:val="es-ES"/>
        </w:rPr>
        <w:t>f</w:t>
      </w:r>
      <w:r w:rsidRPr="00591584">
        <w:rPr>
          <w:i/>
          <w:u w:color="000000"/>
          <w:vertAlign w:val="subscript"/>
          <w:lang w:val="es-ES"/>
        </w:rPr>
        <w:t>r</w:t>
      </w:r>
      <w:r w:rsidR="00E907E4">
        <w:rPr>
          <w:i/>
          <w:u w:color="000000"/>
          <w:vertAlign w:val="subscript"/>
          <w:lang w:val="es-ES"/>
        </w:rPr>
        <w:t xml:space="preserve"> </w:t>
      </w:r>
      <w:r w:rsidRPr="00591584">
        <w:rPr>
          <w:iCs/>
          <w:u w:color="000000"/>
          <w:lang w:val="es-ES"/>
        </w:rPr>
        <w:t>:</w:t>
      </w:r>
      <w:r w:rsidRPr="00591584">
        <w:rPr>
          <w:rStyle w:val="EquationlegendChar"/>
          <w:lang w:val="es-ES"/>
        </w:rPr>
        <w:tab/>
      </w:r>
      <w:r w:rsidRPr="00591584">
        <w:rPr>
          <w:lang w:val="es-ES"/>
        </w:rPr>
        <w:t>factor de ruido del sistema de recepción (receptor y LNS, si se utiliza</w:t>
      </w:r>
      <w:r w:rsidRPr="00591584">
        <w:rPr>
          <w:rStyle w:val="EquationlegendChar"/>
          <w:lang w:val="es-ES"/>
        </w:rPr>
        <w:t>).</w:t>
      </w:r>
    </w:p>
    <w:p w:rsidR="006D7658" w:rsidRPr="00591584" w:rsidRDefault="006D7658" w:rsidP="006D7658">
      <w:pPr>
        <w:pStyle w:val="Blanc"/>
        <w:rPr>
          <w:lang w:val="es-ES"/>
        </w:rPr>
      </w:pPr>
    </w:p>
    <w:p w:rsidR="002B3327" w:rsidRDefault="002B3327" w:rsidP="002A55BE">
      <w:pPr>
        <w:rPr>
          <w:lang w:val="es-ES"/>
        </w:rPr>
      </w:pPr>
      <w:r w:rsidRPr="00591584">
        <w:rPr>
          <w:lang w:val="es-ES"/>
        </w:rPr>
        <w:t>Todos los parámetros que aparecen en minúscula se expresan en unidades lineales, no en dB. Para llegar a las unidades logarítmicas más comúnmente utilizadas cabe señalar que todos los parámetros son niveles de potencia, por consiguiente, para realizar la conversión se aplica la regla:</w:t>
      </w:r>
    </w:p>
    <w:p w:rsidR="00E907E4" w:rsidRPr="00591584" w:rsidRDefault="00E907E4" w:rsidP="00E907E4">
      <w:pPr>
        <w:pStyle w:val="Blanc"/>
        <w:rPr>
          <w:lang w:val="es-ES"/>
        </w:rPr>
      </w:pPr>
    </w:p>
    <w:p w:rsidR="002B3327" w:rsidRPr="00591584" w:rsidRDefault="002B3327" w:rsidP="002A55BE">
      <w:pPr>
        <w:pStyle w:val="Equation"/>
        <w:rPr>
          <w:lang w:val="es-ES"/>
        </w:rPr>
      </w:pPr>
      <w:r w:rsidRPr="00591584">
        <w:rPr>
          <w:lang w:val="es-ES"/>
        </w:rPr>
        <w:tab/>
      </w:r>
      <w:r w:rsidRPr="00591584">
        <w:rPr>
          <w:lang w:val="es-ES"/>
        </w:rPr>
        <w:tab/>
      </w:r>
      <w:r w:rsidR="00E907E4" w:rsidRPr="00591584">
        <w:rPr>
          <w:position w:val="-12"/>
          <w:lang w:val="es-ES"/>
        </w:rPr>
        <w:object w:dxaOrig="2079" w:dyaOrig="360">
          <v:shape id="_x0000_i1035" type="#_x0000_t75" style="width:103.9pt;height:18.35pt" o:ole="">
            <v:imagedata r:id="rId29" o:title=""/>
          </v:shape>
          <o:OLEObject Type="Embed" ProgID="Equation.3" ShapeID="_x0000_i1035" DrawAspect="Content" ObjectID="_1357644463" r:id="rId30"/>
        </w:object>
      </w:r>
      <w:r w:rsidRPr="00591584">
        <w:rPr>
          <w:lang w:val="es-ES"/>
        </w:rPr>
        <w:tab/>
        <w:t>(7)</w:t>
      </w:r>
    </w:p>
    <w:p w:rsidR="002B3327" w:rsidRPr="00591584" w:rsidRDefault="002B3327" w:rsidP="006A041D">
      <w:pPr>
        <w:keepNext/>
        <w:keepLines/>
        <w:rPr>
          <w:lang w:val="es-ES"/>
        </w:rPr>
      </w:pPr>
      <w:r w:rsidRPr="00591584">
        <w:rPr>
          <w:lang w:val="es-ES"/>
        </w:rPr>
        <w:lastRenderedPageBreak/>
        <w:t>En algunas situaciones de medición prácticas pueden realizarse las siguientes hipótesis:</w:t>
      </w:r>
    </w:p>
    <w:p w:rsidR="002B3327" w:rsidRPr="00591584" w:rsidRDefault="002B3327" w:rsidP="006A041D">
      <w:pPr>
        <w:pStyle w:val="enumlev1"/>
        <w:keepNext/>
        <w:keepLines/>
        <w:rPr>
          <w:lang w:val="es-ES"/>
        </w:rPr>
      </w:pPr>
      <w:r w:rsidRPr="00591584">
        <w:rPr>
          <w:lang w:val="es-ES"/>
        </w:rPr>
        <w:t>–</w:t>
      </w:r>
      <w:r w:rsidRPr="00591584">
        <w:rPr>
          <w:lang w:val="es-ES"/>
        </w:rPr>
        <w:tab/>
        <w:t>La antena puede considerarse sin perdidas (</w:t>
      </w:r>
      <w:r w:rsidRPr="00591584">
        <w:rPr>
          <w:i/>
          <w:lang w:val="es-ES"/>
        </w:rPr>
        <w:t>f</w:t>
      </w:r>
      <w:r w:rsidRPr="00591584">
        <w:rPr>
          <w:i/>
          <w:vertAlign w:val="subscript"/>
          <w:lang w:val="es-ES"/>
        </w:rPr>
        <w:t>c</w:t>
      </w:r>
      <w:r w:rsidRPr="00591584">
        <w:rPr>
          <w:lang w:val="es-ES"/>
        </w:rPr>
        <w:t> = 1), especialmente cuando se emplean antenas adaptadas (por ej</w:t>
      </w:r>
      <w:r>
        <w:rPr>
          <w:lang w:val="es-ES"/>
        </w:rPr>
        <w:t>emplo</w:t>
      </w:r>
      <w:r w:rsidRPr="00591584">
        <w:rPr>
          <w:lang w:val="es-ES"/>
        </w:rPr>
        <w:t xml:space="preserve"> dipolos sintonizados para frecuencias por encima de 30</w:t>
      </w:r>
      <w:r>
        <w:rPr>
          <w:lang w:val="es-ES"/>
        </w:rPr>
        <w:t> </w:t>
      </w:r>
      <w:r w:rsidRPr="00591584">
        <w:rPr>
          <w:lang w:val="es-ES"/>
        </w:rPr>
        <w:t>MHz).</w:t>
      </w:r>
    </w:p>
    <w:p w:rsidR="002B3327" w:rsidRPr="00591584" w:rsidRDefault="002B3327" w:rsidP="002A55BE">
      <w:pPr>
        <w:pStyle w:val="enumlev1"/>
        <w:rPr>
          <w:lang w:val="es-ES"/>
        </w:rPr>
      </w:pPr>
      <w:r w:rsidRPr="00591584">
        <w:rPr>
          <w:lang w:val="es-ES"/>
        </w:rPr>
        <w:t>–</w:t>
      </w:r>
      <w:r w:rsidRPr="00591584">
        <w:rPr>
          <w:lang w:val="es-ES"/>
        </w:rPr>
        <w:tab/>
        <w:t>Las pérdidas de la línea de transmisión pueden despreciarse (</w:t>
      </w:r>
      <w:r w:rsidRPr="00591584">
        <w:rPr>
          <w:i/>
          <w:lang w:val="es-ES"/>
        </w:rPr>
        <w:t>f</w:t>
      </w:r>
      <w:r w:rsidRPr="00591584">
        <w:rPr>
          <w:i/>
          <w:vertAlign w:val="subscript"/>
          <w:lang w:val="es-ES"/>
        </w:rPr>
        <w:t>t</w:t>
      </w:r>
      <w:r w:rsidRPr="00591584">
        <w:rPr>
          <w:lang w:val="es-ES"/>
        </w:rPr>
        <w:t> = 1), especialmente en frecuencias inferiores a 30 MHz.</w:t>
      </w:r>
    </w:p>
    <w:p w:rsidR="002B3327" w:rsidRPr="00591584" w:rsidRDefault="002B3327" w:rsidP="00EB2551">
      <w:pPr>
        <w:pStyle w:val="enumlev1"/>
        <w:rPr>
          <w:lang w:val="es-ES"/>
        </w:rPr>
      </w:pPr>
      <w:r w:rsidRPr="00591584">
        <w:rPr>
          <w:lang w:val="es-ES"/>
        </w:rPr>
        <w:t>–</w:t>
      </w:r>
      <w:r w:rsidRPr="00591584">
        <w:rPr>
          <w:lang w:val="es-ES"/>
        </w:rPr>
        <w:tab/>
        <w:t>El ruido del receptor puede despreciarse (</w:t>
      </w:r>
      <w:r w:rsidRPr="00591584">
        <w:rPr>
          <w:i/>
          <w:lang w:val="es-ES"/>
        </w:rPr>
        <w:t>f</w:t>
      </w:r>
      <w:r w:rsidRPr="00591584">
        <w:rPr>
          <w:i/>
          <w:vertAlign w:val="subscript"/>
          <w:lang w:val="es-ES"/>
        </w:rPr>
        <w:t>r</w:t>
      </w:r>
      <w:r w:rsidRPr="00591584">
        <w:rPr>
          <w:lang w:val="es-ES"/>
        </w:rPr>
        <w:t> = 1)</w:t>
      </w:r>
      <w:r>
        <w:rPr>
          <w:lang w:val="es-ES"/>
        </w:rPr>
        <w:t>,</w:t>
      </w:r>
      <w:r w:rsidRPr="00591584">
        <w:rPr>
          <w:lang w:val="es-ES"/>
        </w:rPr>
        <w:t xml:space="preserve"> cuando la potencia de ruido medida se encuentra al menos 10 dB por encima del ruido del receptor (véase el </w:t>
      </w:r>
      <w:r w:rsidR="00EB2551">
        <w:rPr>
          <w:lang w:val="es-ES"/>
        </w:rPr>
        <w:t>§</w:t>
      </w:r>
      <w:r w:rsidRPr="00591584">
        <w:rPr>
          <w:lang w:val="es-ES"/>
        </w:rPr>
        <w:t xml:space="preserve"> 10.2).</w:t>
      </w:r>
    </w:p>
    <w:p w:rsidR="002B3327" w:rsidRPr="00591584" w:rsidRDefault="002B3327" w:rsidP="002A55BE">
      <w:pPr>
        <w:rPr>
          <w:lang w:val="es-ES"/>
        </w:rPr>
      </w:pPr>
      <w:r w:rsidRPr="00591584">
        <w:rPr>
          <w:lang w:val="es-ES"/>
        </w:rPr>
        <w:t xml:space="preserve">En estos casos la potencia de ruido medida es prácticamente igual a la potencia de ruido externo. </w:t>
      </w:r>
    </w:p>
    <w:p w:rsidR="002B3327" w:rsidRDefault="002B3327" w:rsidP="00E907E4">
      <w:pPr>
        <w:keepNext/>
        <w:keepLines/>
        <w:rPr>
          <w:lang w:val="es-ES"/>
        </w:rPr>
      </w:pPr>
      <w:r w:rsidRPr="00591584">
        <w:rPr>
          <w:lang w:val="es-ES"/>
        </w:rPr>
        <w:t xml:space="preserve">Cuando se mide en dBm, el factor de ruido </w:t>
      </w:r>
      <w:r w:rsidRPr="00591584">
        <w:rPr>
          <w:i/>
          <w:lang w:val="es-ES"/>
        </w:rPr>
        <w:t>F</w:t>
      </w:r>
      <w:r w:rsidRPr="00591584">
        <w:rPr>
          <w:i/>
          <w:vertAlign w:val="subscript"/>
          <w:lang w:val="es-ES"/>
        </w:rPr>
        <w:t>a</w:t>
      </w:r>
      <w:r w:rsidRPr="00591584">
        <w:rPr>
          <w:lang w:val="es-ES"/>
        </w:rPr>
        <w:t xml:space="preserve"> en dB puede calcularse como sigue:</w:t>
      </w:r>
    </w:p>
    <w:p w:rsidR="00E907E4" w:rsidRPr="00EE15CA" w:rsidRDefault="00E907E4" w:rsidP="00E907E4">
      <w:pPr>
        <w:pStyle w:val="Blanc"/>
        <w:rPr>
          <w:lang w:val="es-ES_tradnl"/>
        </w:rPr>
      </w:pPr>
    </w:p>
    <w:p w:rsidR="002B3327" w:rsidRPr="00591584" w:rsidRDefault="002B3327" w:rsidP="002A55BE">
      <w:pPr>
        <w:pStyle w:val="Equation"/>
        <w:rPr>
          <w:lang w:val="es-ES"/>
        </w:rPr>
      </w:pPr>
      <w:r w:rsidRPr="00591584">
        <w:rPr>
          <w:lang w:val="es-ES"/>
        </w:rPr>
        <w:tab/>
      </w:r>
      <w:r w:rsidRPr="00591584">
        <w:rPr>
          <w:lang w:val="es-ES"/>
        </w:rPr>
        <w:tab/>
      </w:r>
      <w:r w:rsidR="00E907E4" w:rsidRPr="00591584">
        <w:rPr>
          <w:position w:val="-12"/>
          <w:lang w:val="es-ES"/>
        </w:rPr>
        <w:object w:dxaOrig="1240" w:dyaOrig="360">
          <v:shape id="_x0000_i1036" type="#_x0000_t75" style="width:61.85pt;height:18.35pt" o:ole="">
            <v:imagedata r:id="rId31" o:title=""/>
          </v:shape>
          <o:OLEObject Type="Embed" ProgID="Equation.3" ShapeID="_x0000_i1036" DrawAspect="Content" ObjectID="_1357644464" r:id="rId32"/>
        </w:object>
      </w:r>
      <w:r w:rsidRPr="00591584">
        <w:rPr>
          <w:lang w:val="es-ES"/>
        </w:rPr>
        <w:tab/>
        <w:t>(8)</w:t>
      </w:r>
    </w:p>
    <w:p w:rsidR="002B3327" w:rsidRPr="00591584" w:rsidRDefault="002B3327" w:rsidP="002A55BE">
      <w:pPr>
        <w:rPr>
          <w:lang w:val="es-ES"/>
        </w:rPr>
      </w:pPr>
      <w:r w:rsidRPr="00591584">
        <w:rPr>
          <w:lang w:val="es-ES"/>
        </w:rPr>
        <w:t>donde:</w:t>
      </w:r>
    </w:p>
    <w:p w:rsidR="002B3327" w:rsidRPr="00591584" w:rsidRDefault="002B3327" w:rsidP="002A55BE">
      <w:pPr>
        <w:pStyle w:val="Equationlegend"/>
        <w:rPr>
          <w:lang w:val="es-ES"/>
        </w:rPr>
      </w:pPr>
      <w:r w:rsidRPr="00591584">
        <w:rPr>
          <w:lang w:val="es-ES"/>
        </w:rPr>
        <w:tab/>
      </w:r>
      <w:r w:rsidRPr="00591584">
        <w:rPr>
          <w:i/>
          <w:lang w:val="es-ES"/>
        </w:rPr>
        <w:t>P</w:t>
      </w:r>
      <w:r w:rsidRPr="00591584">
        <w:rPr>
          <w:vertAlign w:val="subscript"/>
          <w:lang w:val="es-ES"/>
        </w:rPr>
        <w:t>0</w:t>
      </w:r>
      <w:r w:rsidR="00E907E4">
        <w:rPr>
          <w:vertAlign w:val="subscript"/>
          <w:lang w:val="es-ES"/>
        </w:rPr>
        <w:t xml:space="preserve"> </w:t>
      </w:r>
      <w:r w:rsidRPr="00591584">
        <w:rPr>
          <w:lang w:val="es-ES"/>
        </w:rPr>
        <w:t>:</w:t>
      </w:r>
      <w:r w:rsidRPr="00591584">
        <w:rPr>
          <w:lang w:val="es-ES"/>
        </w:rPr>
        <w:tab/>
        <w:t>potencial de ruido térmico (dBm)</w:t>
      </w:r>
    </w:p>
    <w:p w:rsidR="002B3327" w:rsidRPr="00591584" w:rsidRDefault="002B3327" w:rsidP="002A55BE">
      <w:pPr>
        <w:pStyle w:val="Equationlegend"/>
        <w:rPr>
          <w:lang w:val="es-ES"/>
        </w:rPr>
      </w:pPr>
      <w:r w:rsidRPr="00591584">
        <w:rPr>
          <w:lang w:val="es-ES"/>
        </w:rPr>
        <w:tab/>
      </w:r>
      <w:r w:rsidRPr="00591584">
        <w:rPr>
          <w:i/>
          <w:lang w:val="es-ES"/>
        </w:rPr>
        <w:t>P</w:t>
      </w:r>
      <w:r w:rsidRPr="00591584">
        <w:rPr>
          <w:i/>
          <w:vertAlign w:val="subscript"/>
          <w:lang w:val="es-ES"/>
        </w:rPr>
        <w:t>n</w:t>
      </w:r>
      <w:r w:rsidR="00E907E4">
        <w:rPr>
          <w:i/>
          <w:vertAlign w:val="subscript"/>
          <w:lang w:val="es-ES"/>
        </w:rPr>
        <w:t xml:space="preserve"> </w:t>
      </w:r>
      <w:r w:rsidRPr="00591584">
        <w:rPr>
          <w:lang w:val="es-ES"/>
        </w:rPr>
        <w:t>:</w:t>
      </w:r>
      <w:r w:rsidRPr="00591584">
        <w:rPr>
          <w:lang w:val="es-ES"/>
        </w:rPr>
        <w:tab/>
        <w:t>potencial de ruido externo (dBm).</w:t>
      </w:r>
    </w:p>
    <w:p w:rsidR="002B3327" w:rsidRPr="00591584" w:rsidRDefault="002B3327" w:rsidP="002A55BE">
      <w:pPr>
        <w:rPr>
          <w:lang w:val="es-ES"/>
        </w:rPr>
      </w:pPr>
      <w:r w:rsidRPr="00591584">
        <w:rPr>
          <w:lang w:val="es-ES"/>
        </w:rPr>
        <w:t xml:space="preserve">Para gamas de frecuencias por encima de 60 MHz, cuando se utiliza un dipolo vertical sintonizado, </w:t>
      </w:r>
      <w:r w:rsidRPr="00591584">
        <w:rPr>
          <w:i/>
          <w:u w:color="000000"/>
          <w:lang w:val="es-ES"/>
        </w:rPr>
        <w:t>F</w:t>
      </w:r>
      <w:r w:rsidRPr="00591584">
        <w:rPr>
          <w:i/>
          <w:u w:color="000000"/>
          <w:vertAlign w:val="subscript"/>
          <w:lang w:val="es-ES"/>
        </w:rPr>
        <w:t>a</w:t>
      </w:r>
      <w:r w:rsidRPr="00591584">
        <w:rPr>
          <w:lang w:val="es-ES"/>
        </w:rPr>
        <w:t xml:space="preserve"> puede calcularse evidentemente como se ha señalado antes. Sin embargo, para frecuencias más bajas, normalmente no es posible emplear una antena sin pérdidas. </w:t>
      </w:r>
    </w:p>
    <w:p w:rsidR="002B3327" w:rsidRPr="00591584" w:rsidRDefault="002B3327" w:rsidP="00EB2551">
      <w:pPr>
        <w:rPr>
          <w:lang w:val="es-ES"/>
        </w:rPr>
      </w:pPr>
      <w:r w:rsidRPr="00591584">
        <w:rPr>
          <w:lang w:val="es-ES"/>
        </w:rPr>
        <w:t xml:space="preserve">En este caso, el factor de ruido externo puede determinarse aplicando el factor de antena medio (véase el </w:t>
      </w:r>
      <w:r w:rsidR="00EB2551">
        <w:rPr>
          <w:lang w:val="es-ES"/>
        </w:rPr>
        <w:t>§</w:t>
      </w:r>
      <w:r w:rsidRPr="00591584">
        <w:rPr>
          <w:lang w:val="es-ES"/>
        </w:rPr>
        <w:t xml:space="preserve"> 7.2):</w:t>
      </w:r>
    </w:p>
    <w:p w:rsidR="00E907E4" w:rsidRPr="00EB2551" w:rsidRDefault="00E907E4" w:rsidP="00E907E4">
      <w:pPr>
        <w:pStyle w:val="Blanc"/>
        <w:rPr>
          <w:lang w:val="es-ES_tradnl"/>
        </w:rPr>
      </w:pPr>
    </w:p>
    <w:p w:rsidR="002B3327" w:rsidRPr="00591584" w:rsidRDefault="002B3327" w:rsidP="002A55BE">
      <w:pPr>
        <w:pStyle w:val="Equation"/>
        <w:rPr>
          <w:lang w:val="es-ES"/>
        </w:rPr>
      </w:pPr>
      <w:r w:rsidRPr="00591584">
        <w:rPr>
          <w:lang w:val="es-ES"/>
        </w:rPr>
        <w:tab/>
      </w:r>
      <w:r w:rsidRPr="00591584">
        <w:rPr>
          <w:lang w:val="es-ES"/>
        </w:rPr>
        <w:tab/>
      </w:r>
      <w:r w:rsidR="00EB2551" w:rsidRPr="00591584">
        <w:rPr>
          <w:position w:val="-6"/>
          <w:lang w:val="es-ES"/>
        </w:rPr>
        <w:object w:dxaOrig="1240" w:dyaOrig="279">
          <v:shape id="_x0000_i1037" type="#_x0000_t75" style="width:61.85pt;height:14pt" o:ole="">
            <v:imagedata r:id="rId33" o:title=""/>
          </v:shape>
          <o:OLEObject Type="Embed" ProgID="Equation.3" ShapeID="_x0000_i1037" DrawAspect="Content" ObjectID="_1357644465" r:id="rId34"/>
        </w:object>
      </w:r>
      <w:r w:rsidRPr="00591584">
        <w:rPr>
          <w:lang w:val="es-ES"/>
        </w:rPr>
        <w:t>                dB(</w:t>
      </w:r>
      <w:r w:rsidRPr="00591584">
        <w:rPr>
          <w:lang w:val="es-ES"/>
        </w:rPr>
        <w:sym w:font="Symbol" w:char="F06D"/>
      </w:r>
      <w:r w:rsidRPr="00591584">
        <w:rPr>
          <w:lang w:val="es-ES"/>
        </w:rPr>
        <w:t>V/m)</w:t>
      </w:r>
      <w:r w:rsidRPr="00591584">
        <w:rPr>
          <w:lang w:val="es-ES"/>
        </w:rPr>
        <w:tab/>
        <w:t>(9)</w:t>
      </w:r>
    </w:p>
    <w:p w:rsidR="002B3327" w:rsidRPr="00591584" w:rsidRDefault="002B3327" w:rsidP="002A55BE">
      <w:pPr>
        <w:rPr>
          <w:lang w:val="es-ES"/>
        </w:rPr>
      </w:pPr>
      <w:r w:rsidRPr="00591584">
        <w:rPr>
          <w:lang w:val="es-ES"/>
        </w:rPr>
        <w:t>donde:</w:t>
      </w:r>
    </w:p>
    <w:p w:rsidR="002B3327" w:rsidRPr="00591584" w:rsidRDefault="002B3327" w:rsidP="002A55BE">
      <w:pPr>
        <w:pStyle w:val="Equationlegend"/>
        <w:rPr>
          <w:lang w:val="es-ES"/>
        </w:rPr>
      </w:pPr>
      <w:r w:rsidRPr="00591584">
        <w:rPr>
          <w:i/>
          <w:u w:color="000000"/>
          <w:lang w:val="es-ES"/>
        </w:rPr>
        <w:tab/>
        <w:t>E</w:t>
      </w:r>
      <w:r w:rsidR="00E907E4" w:rsidRPr="00E907E4">
        <w:rPr>
          <w:lang w:val="es-ES_tradnl"/>
        </w:rPr>
        <w:t xml:space="preserve"> </w:t>
      </w:r>
      <w:r w:rsidRPr="00591584">
        <w:rPr>
          <w:lang w:val="es-ES"/>
        </w:rPr>
        <w:t>:</w:t>
      </w:r>
      <w:r w:rsidRPr="00591584">
        <w:rPr>
          <w:lang w:val="es-ES"/>
        </w:rPr>
        <w:tab/>
        <w:t>intensidad de campo en dB(µV/m)</w:t>
      </w:r>
    </w:p>
    <w:p w:rsidR="002B3327" w:rsidRPr="00591584" w:rsidRDefault="002B3327" w:rsidP="002A55BE">
      <w:pPr>
        <w:pStyle w:val="Equationlegend"/>
        <w:rPr>
          <w:lang w:val="es-ES"/>
        </w:rPr>
      </w:pPr>
      <w:r w:rsidRPr="00591584">
        <w:rPr>
          <w:i/>
          <w:u w:color="000000"/>
          <w:lang w:val="es-ES"/>
        </w:rPr>
        <w:tab/>
        <w:t>U</w:t>
      </w:r>
      <w:r w:rsidRPr="00591584">
        <w:rPr>
          <w:lang w:val="es-ES"/>
        </w:rPr>
        <w:t xml:space="preserve"> :</w:t>
      </w:r>
      <w:r w:rsidRPr="00591584">
        <w:rPr>
          <w:lang w:val="es-ES"/>
        </w:rPr>
        <w:tab/>
        <w:t>tensión del terminal antena dB(µV)</w:t>
      </w:r>
    </w:p>
    <w:p w:rsidR="002B3327" w:rsidRPr="00591584" w:rsidRDefault="002B3327" w:rsidP="002A55BE">
      <w:pPr>
        <w:pStyle w:val="Equationlegend"/>
        <w:rPr>
          <w:lang w:val="es-ES"/>
        </w:rPr>
      </w:pPr>
      <w:r w:rsidRPr="00591584">
        <w:rPr>
          <w:i/>
          <w:u w:color="000000"/>
          <w:lang w:val="es-ES"/>
        </w:rPr>
        <w:tab/>
        <w:t>AF</w:t>
      </w:r>
      <w:r w:rsidR="00E907E4">
        <w:rPr>
          <w:i/>
          <w:u w:color="000000"/>
          <w:lang w:val="es-ES"/>
        </w:rPr>
        <w:t xml:space="preserve"> </w:t>
      </w:r>
      <w:r w:rsidRPr="00591584">
        <w:rPr>
          <w:lang w:val="es-ES"/>
        </w:rPr>
        <w:t>:</w:t>
      </w:r>
      <w:r w:rsidRPr="00591584">
        <w:rPr>
          <w:lang w:val="es-ES"/>
        </w:rPr>
        <w:tab/>
        <w:t>factor de antena (dB)</w:t>
      </w:r>
      <w:r w:rsidRPr="00591584">
        <w:rPr>
          <w:rStyle w:val="FootnoteReference"/>
          <w:u w:color="000000"/>
          <w:lang w:val="es-ES"/>
        </w:rPr>
        <w:footnoteReference w:id="2"/>
      </w:r>
      <w:r w:rsidRPr="00591584">
        <w:rPr>
          <w:lang w:val="es-ES"/>
        </w:rPr>
        <w:t>.</w:t>
      </w:r>
    </w:p>
    <w:p w:rsidR="002B3327" w:rsidRPr="00591584" w:rsidRDefault="002B3327" w:rsidP="002A55BE">
      <w:pPr>
        <w:rPr>
          <w:lang w:val="es-ES"/>
        </w:rPr>
      </w:pPr>
      <w:r w:rsidRPr="00591584">
        <w:rPr>
          <w:lang w:val="es-ES"/>
        </w:rPr>
        <w:t xml:space="preserve">Cuando se conoce </w:t>
      </w:r>
      <w:r w:rsidRPr="00591584">
        <w:rPr>
          <w:i/>
          <w:u w:color="000000"/>
          <w:lang w:val="es-ES"/>
        </w:rPr>
        <w:t>AF</w:t>
      </w:r>
      <w:r w:rsidRPr="00591584">
        <w:rPr>
          <w:lang w:val="es-ES"/>
        </w:rPr>
        <w:t xml:space="preserve">, puede calcularse </w:t>
      </w:r>
      <w:r w:rsidRPr="00591584">
        <w:rPr>
          <w:i/>
          <w:lang w:val="es-ES"/>
        </w:rPr>
        <w:t>F</w:t>
      </w:r>
      <w:r w:rsidRPr="00591584">
        <w:rPr>
          <w:i/>
          <w:vertAlign w:val="subscript"/>
          <w:lang w:val="es-ES"/>
        </w:rPr>
        <w:t>a</w:t>
      </w:r>
      <w:r w:rsidRPr="00591584">
        <w:rPr>
          <w:lang w:val="es-ES"/>
        </w:rPr>
        <w:t xml:space="preserve"> a partir del nivel de ruido medido, como sigue:</w:t>
      </w:r>
    </w:p>
    <w:p w:rsidR="002B3327" w:rsidRPr="00591584" w:rsidRDefault="002B3327" w:rsidP="002A55BE">
      <w:pPr>
        <w:pStyle w:val="Blanc"/>
        <w:rPr>
          <w:lang w:val="es-ES"/>
        </w:rPr>
      </w:pPr>
    </w:p>
    <w:p w:rsidR="002B3327" w:rsidRPr="00591584" w:rsidRDefault="002B3327" w:rsidP="002A55BE">
      <w:pPr>
        <w:pStyle w:val="Equation"/>
        <w:rPr>
          <w:lang w:val="es-ES"/>
        </w:rPr>
      </w:pPr>
      <w:r w:rsidRPr="00591584">
        <w:rPr>
          <w:lang w:val="es-ES"/>
        </w:rPr>
        <w:tab/>
      </w:r>
      <w:r w:rsidRPr="00591584">
        <w:rPr>
          <w:lang w:val="es-ES"/>
        </w:rPr>
        <w:tab/>
      </w:r>
      <w:r w:rsidR="00EB2551" w:rsidRPr="00591584">
        <w:rPr>
          <w:position w:val="-12"/>
          <w:lang w:val="es-ES"/>
        </w:rPr>
        <w:object w:dxaOrig="5319" w:dyaOrig="360">
          <v:shape id="_x0000_i1038" type="#_x0000_t75" style="width:265.3pt;height:18.35pt" o:ole="">
            <v:imagedata r:id="rId35" o:title=""/>
          </v:shape>
          <o:OLEObject Type="Embed" ProgID="Equation.3" ShapeID="_x0000_i1038" DrawAspect="Content" ObjectID="_1357644466" r:id="rId36"/>
        </w:object>
      </w:r>
      <w:r w:rsidRPr="00591584">
        <w:rPr>
          <w:lang w:val="es-ES"/>
        </w:rPr>
        <w:tab/>
        <w:t>(10)</w:t>
      </w:r>
    </w:p>
    <w:p w:rsidR="002B3327" w:rsidRPr="00591584" w:rsidRDefault="002B3327" w:rsidP="002A55BE">
      <w:pPr>
        <w:rPr>
          <w:lang w:val="es-ES"/>
        </w:rPr>
      </w:pPr>
      <w:r w:rsidRPr="00591584">
        <w:rPr>
          <w:lang w:val="es-ES"/>
        </w:rPr>
        <w:t>donde:</w:t>
      </w:r>
    </w:p>
    <w:p w:rsidR="002B3327" w:rsidRPr="00591584" w:rsidRDefault="002B3327" w:rsidP="002A55BE">
      <w:pPr>
        <w:pStyle w:val="Equationlegend"/>
        <w:rPr>
          <w:lang w:val="es-ES"/>
        </w:rPr>
      </w:pPr>
      <w:r w:rsidRPr="00591584">
        <w:rPr>
          <w:i/>
          <w:lang w:val="es-ES"/>
        </w:rPr>
        <w:tab/>
        <w:t>F</w:t>
      </w:r>
      <w:r w:rsidRPr="00591584">
        <w:rPr>
          <w:i/>
          <w:vertAlign w:val="subscript"/>
          <w:lang w:val="es-ES"/>
        </w:rPr>
        <w:t>a</w:t>
      </w:r>
      <w:r w:rsidR="00E907E4" w:rsidRPr="00E907E4">
        <w:rPr>
          <w:lang w:val="es-ES_tradnl"/>
        </w:rPr>
        <w:t xml:space="preserve"> </w:t>
      </w:r>
      <w:r w:rsidRPr="00591584">
        <w:rPr>
          <w:lang w:val="es-ES"/>
        </w:rPr>
        <w:t>:</w:t>
      </w:r>
      <w:r w:rsidRPr="00591584">
        <w:rPr>
          <w:lang w:val="es-ES"/>
        </w:rPr>
        <w:tab/>
        <w:t>factor de ruido de antena debido al ruido externo (dB)</w:t>
      </w:r>
    </w:p>
    <w:p w:rsidR="002B3327" w:rsidRPr="00591584" w:rsidRDefault="002B3327" w:rsidP="002A55BE">
      <w:pPr>
        <w:pStyle w:val="Equationlegend"/>
        <w:rPr>
          <w:lang w:val="es-ES"/>
        </w:rPr>
      </w:pPr>
      <w:r w:rsidRPr="00591584">
        <w:rPr>
          <w:i/>
          <w:u w:color="000000"/>
          <w:lang w:val="es-ES"/>
        </w:rPr>
        <w:tab/>
        <w:t>P</w:t>
      </w:r>
      <w:r w:rsidR="00E907E4">
        <w:rPr>
          <w:i/>
          <w:u w:color="000000"/>
          <w:lang w:val="es-ES"/>
        </w:rPr>
        <w:t xml:space="preserve"> </w:t>
      </w:r>
      <w:r w:rsidRPr="00591584">
        <w:rPr>
          <w:lang w:val="es-ES"/>
        </w:rPr>
        <w:t>:</w:t>
      </w:r>
      <w:r w:rsidRPr="00591584">
        <w:rPr>
          <w:lang w:val="es-ES"/>
        </w:rPr>
        <w:tab/>
        <w:t>nivel eficaz del WGN (dBm)</w:t>
      </w:r>
    </w:p>
    <w:p w:rsidR="002B3327" w:rsidRPr="00591584" w:rsidRDefault="002B3327" w:rsidP="002A55BE">
      <w:pPr>
        <w:pStyle w:val="Equationlegend"/>
        <w:rPr>
          <w:lang w:val="es-ES"/>
        </w:rPr>
      </w:pPr>
      <w:r w:rsidRPr="00591584">
        <w:rPr>
          <w:lang w:val="es-ES"/>
        </w:rPr>
        <w:tab/>
      </w:r>
      <w:r w:rsidRPr="00EB2551">
        <w:rPr>
          <w:i/>
          <w:iCs/>
          <w:lang w:val="es-ES"/>
        </w:rPr>
        <w:t>AF</w:t>
      </w:r>
      <w:r w:rsidR="00E907E4">
        <w:rPr>
          <w:lang w:val="es-ES"/>
        </w:rPr>
        <w:t xml:space="preserve"> </w:t>
      </w:r>
      <w:r w:rsidRPr="00591584">
        <w:rPr>
          <w:lang w:val="es-ES"/>
        </w:rPr>
        <w:t>:</w:t>
      </w:r>
      <w:r w:rsidRPr="00591584">
        <w:rPr>
          <w:lang w:val="es-ES"/>
        </w:rPr>
        <w:tab/>
        <w:t>factor de antena (dB)</w:t>
      </w:r>
    </w:p>
    <w:p w:rsidR="002B3327" w:rsidRPr="00591584" w:rsidRDefault="002B3327" w:rsidP="002A55BE">
      <w:pPr>
        <w:pStyle w:val="Equationlegend"/>
        <w:rPr>
          <w:lang w:val="es-ES"/>
        </w:rPr>
      </w:pPr>
      <w:r w:rsidRPr="00591584">
        <w:rPr>
          <w:i/>
          <w:u w:color="000000"/>
          <w:lang w:val="es-ES"/>
        </w:rPr>
        <w:tab/>
        <w:t>f</w:t>
      </w:r>
      <w:r w:rsidR="00E907E4">
        <w:rPr>
          <w:i/>
          <w:u w:color="000000"/>
          <w:lang w:val="es-ES"/>
        </w:rPr>
        <w:t xml:space="preserve"> </w:t>
      </w:r>
      <w:r w:rsidRPr="00591584">
        <w:rPr>
          <w:lang w:val="es-ES"/>
        </w:rPr>
        <w:t>:</w:t>
      </w:r>
      <w:r w:rsidRPr="00591584">
        <w:rPr>
          <w:lang w:val="es-ES"/>
        </w:rPr>
        <w:tab/>
        <w:t>frecuencia de medición (MHz)</w:t>
      </w:r>
    </w:p>
    <w:p w:rsidR="002B3327" w:rsidRPr="00591584" w:rsidRDefault="002B3327" w:rsidP="002A55BE">
      <w:pPr>
        <w:pStyle w:val="Equationlegend"/>
        <w:rPr>
          <w:lang w:val="es-ES"/>
        </w:rPr>
      </w:pPr>
      <w:r w:rsidRPr="00591584">
        <w:rPr>
          <w:i/>
          <w:u w:color="000000"/>
          <w:lang w:val="es-ES"/>
        </w:rPr>
        <w:tab/>
        <w:t>b</w:t>
      </w:r>
      <w:r w:rsidR="00E907E4">
        <w:rPr>
          <w:i/>
          <w:u w:color="000000"/>
          <w:lang w:val="es-ES"/>
        </w:rPr>
        <w:t xml:space="preserve"> </w:t>
      </w:r>
      <w:r w:rsidRPr="00591584">
        <w:rPr>
          <w:lang w:val="es-ES"/>
        </w:rPr>
        <w:t>:</w:t>
      </w:r>
      <w:r w:rsidRPr="00591584">
        <w:rPr>
          <w:lang w:val="es-ES"/>
        </w:rPr>
        <w:tab/>
        <w:t>anchura de banda de medición (Hz).</w:t>
      </w:r>
    </w:p>
    <w:p w:rsidR="002B3327" w:rsidRPr="00591584" w:rsidRDefault="002B3327" w:rsidP="006F431D">
      <w:pPr>
        <w:rPr>
          <w:lang w:val="es-ES"/>
        </w:rPr>
      </w:pPr>
      <w:r w:rsidRPr="00591584">
        <w:rPr>
          <w:lang w:val="es-ES"/>
        </w:rPr>
        <w:t>La fórmula anterior se desarrolló utilizando la fórmula (7) de la Recomendación UIT</w:t>
      </w:r>
      <w:r w:rsidRPr="00591584">
        <w:rPr>
          <w:lang w:val="es-ES"/>
        </w:rPr>
        <w:noBreakHyphen/>
        <w:t xml:space="preserve">R P.372 para un monopolo vertical corto como antena de referencia, empleando igualmente la fórmula (9) anterior y suponiendo un sistema de medición con una impedancias de 50 Ω y </w:t>
      </w:r>
      <w:r w:rsidRPr="00591584">
        <w:rPr>
          <w:i/>
          <w:u w:color="000000"/>
          <w:lang w:val="es-ES"/>
        </w:rPr>
        <w:t>P</w:t>
      </w:r>
      <w:r w:rsidR="006F431D">
        <w:rPr>
          <w:u w:color="000000"/>
          <w:lang w:val="es-ES"/>
        </w:rPr>
        <w:t> </w:t>
      </w:r>
      <w:r w:rsidRPr="00591584">
        <w:rPr>
          <w:u w:color="000000"/>
          <w:lang w:val="es-ES"/>
        </w:rPr>
        <w:t>(dBm) </w:t>
      </w:r>
      <w:r w:rsidRPr="00591584">
        <w:rPr>
          <w:i/>
          <w:u w:color="000000"/>
          <w:lang w:val="es-ES"/>
        </w:rPr>
        <w:t>=</w:t>
      </w:r>
      <w:r w:rsidR="006F431D">
        <w:rPr>
          <w:i/>
          <w:u w:color="000000"/>
          <w:lang w:val="es-ES"/>
        </w:rPr>
        <w:t> </w:t>
      </w:r>
      <w:r w:rsidRPr="00591584">
        <w:rPr>
          <w:i/>
          <w:u w:color="000000"/>
          <w:lang w:val="es-ES"/>
        </w:rPr>
        <w:t>U</w:t>
      </w:r>
      <w:r w:rsidR="006F431D">
        <w:rPr>
          <w:u w:color="000000"/>
          <w:lang w:val="es-ES"/>
        </w:rPr>
        <w:t> </w:t>
      </w:r>
      <w:r w:rsidRPr="00591584">
        <w:rPr>
          <w:u w:color="000000"/>
          <w:lang w:val="es-ES"/>
        </w:rPr>
        <w:t>(dB(µV)) −107 dB</w:t>
      </w:r>
      <w:r w:rsidR="006F431D">
        <w:rPr>
          <w:lang w:val="es-ES"/>
        </w:rPr>
        <w:t>.</w:t>
      </w:r>
    </w:p>
    <w:p w:rsidR="002B3327" w:rsidRPr="00591584" w:rsidRDefault="002B3327" w:rsidP="002A55BE">
      <w:pPr>
        <w:pStyle w:val="Heading2"/>
        <w:rPr>
          <w:lang w:val="es-ES"/>
        </w:rPr>
      </w:pPr>
      <w:r w:rsidRPr="00591584">
        <w:rPr>
          <w:lang w:val="es-ES"/>
        </w:rPr>
        <w:lastRenderedPageBreak/>
        <w:t>10.7</w:t>
      </w:r>
      <w:r w:rsidRPr="00591584">
        <w:rPr>
          <w:lang w:val="es-ES"/>
        </w:rPr>
        <w:tab/>
        <w:t>Separación de las muestras del IN del WGN (mediciones de Tipos B y C únicamente)</w:t>
      </w:r>
    </w:p>
    <w:p w:rsidR="002B3327" w:rsidRPr="00591584" w:rsidRDefault="002B3327" w:rsidP="006F431D">
      <w:pPr>
        <w:rPr>
          <w:lang w:val="es-ES"/>
        </w:rPr>
      </w:pPr>
      <w:r w:rsidRPr="00591584">
        <w:rPr>
          <w:lang w:val="es-ES"/>
        </w:rPr>
        <w:t>La experiencia ha demostrado que el IN del WGN no se adapta adecuadamente a uno de los modelos descritos matemáticamente. Cuando se muestrea con suficiente rapidez. El WGN también puede presentar crestas de breve duración que sobrepasan significativamente el nivel medio. Para extraer únicamente las muestras originadas por el IN, debe aplicarse un umbral cuyo valor sea muy superior al de las crestas del WGN. Este umbral se fija a 13</w:t>
      </w:r>
      <w:r w:rsidR="006F431D">
        <w:rPr>
          <w:lang w:val="es-ES"/>
        </w:rPr>
        <w:t> </w:t>
      </w:r>
      <w:r w:rsidRPr="00591584">
        <w:rPr>
          <w:lang w:val="es-ES"/>
        </w:rPr>
        <w:t>dB por encima del nivel eficaz del WGN, puesto que se trata normalmente del factor de CRESTA habitual (diferencia entre el valor eficaz y el valor de cresta) para el WGN. Todas las muestras de medición por encima del umbral se tratan como si fuera IN.</w:t>
      </w:r>
    </w:p>
    <w:p w:rsidR="002B3327" w:rsidRPr="00183765" w:rsidRDefault="00151803" w:rsidP="002B3327">
      <w:pPr>
        <w:pStyle w:val="FigureNo"/>
        <w:rPr>
          <w:sz w:val="24"/>
          <w:szCs w:val="24"/>
          <w:lang w:val="es-ES"/>
        </w:rPr>
      </w:pPr>
      <w:r w:rsidRPr="00970B36">
        <w:rPr>
          <w:sz w:val="24"/>
          <w:szCs w:val="24"/>
          <w:lang w:val="es-ES"/>
        </w:rPr>
        <w:pict>
          <v:shape id="_x0000_i1039" type="#_x0000_t75" style="width:461pt;height:252.25pt">
            <v:imagedata r:id="rId37" o:title=""/>
          </v:shape>
        </w:pict>
      </w:r>
    </w:p>
    <w:p w:rsidR="003C700B" w:rsidRDefault="003C700B" w:rsidP="003C700B">
      <w:pPr>
        <w:rPr>
          <w:lang w:val="es-ES"/>
        </w:rPr>
      </w:pPr>
    </w:p>
    <w:p w:rsidR="002B3327" w:rsidRPr="00591584" w:rsidRDefault="002B3327" w:rsidP="002A55BE">
      <w:pPr>
        <w:pStyle w:val="Heading2"/>
        <w:rPr>
          <w:lang w:val="es-ES"/>
        </w:rPr>
      </w:pPr>
      <w:r w:rsidRPr="00591584">
        <w:rPr>
          <w:lang w:val="es-ES"/>
        </w:rPr>
        <w:t>10.8</w:t>
      </w:r>
      <w:r w:rsidRPr="00591584">
        <w:rPr>
          <w:lang w:val="es-ES"/>
        </w:rPr>
        <w:tab/>
        <w:t>Combinación de los trenes de impulsos para constituir ráfagas (mediciones de Tipos B y C únicamente)</w:t>
      </w:r>
    </w:p>
    <w:p w:rsidR="002B3327" w:rsidRPr="00591584" w:rsidRDefault="002B3327" w:rsidP="002A55BE">
      <w:pPr>
        <w:rPr>
          <w:lang w:val="es-ES"/>
        </w:rPr>
      </w:pPr>
      <w:r w:rsidRPr="00591584">
        <w:rPr>
          <w:lang w:val="es-ES"/>
        </w:rPr>
        <w:t>Al examinar la amplitud de RF de los impulsos reales en función del tiempo, puede observarse que la mayoría de los impulsos son de hecho una serie de crestas de breve duración o «trenes de impulsos». Como la medición de los niveles de impulsos para el MMN se centra en la posible interferencia de un impulso, es necesario integrar las crestas de un tren de impulsos en un s</w:t>
      </w:r>
      <w:r>
        <w:rPr>
          <w:lang w:val="es-ES"/>
        </w:rPr>
        <w:t>o</w:t>
      </w:r>
      <w:r w:rsidRPr="00591584">
        <w:rPr>
          <w:lang w:val="es-ES"/>
        </w:rPr>
        <w:t xml:space="preserve">lo evento que se denomina «ráfaga». La integración se realiza siempre que al menos el 50% de las muestras de medición se encuentren por encima del umbral. </w:t>
      </w:r>
    </w:p>
    <w:p w:rsidR="002B3327" w:rsidRPr="00591584" w:rsidRDefault="002B3327" w:rsidP="006A041D">
      <w:pPr>
        <w:keepNext/>
        <w:keepLines/>
        <w:rPr>
          <w:lang w:val="es-ES"/>
        </w:rPr>
      </w:pPr>
      <w:r w:rsidRPr="00591584">
        <w:rPr>
          <w:lang w:val="es-ES"/>
        </w:rPr>
        <w:t xml:space="preserve">La duración de cada ráfaga en un registro se calcula de forma que se satisfagan las siguientes condiciones para </w:t>
      </w:r>
      <w:r w:rsidRPr="00591584">
        <w:rPr>
          <w:u w:val="single"/>
          <w:lang w:val="es-ES"/>
        </w:rPr>
        <w:t>todos</w:t>
      </w:r>
      <w:r w:rsidRPr="00591584">
        <w:rPr>
          <w:lang w:val="es-ES"/>
        </w:rPr>
        <w:t xml:space="preserve"> los impulsos recibidos a lo largo del registro completo:</w:t>
      </w:r>
    </w:p>
    <w:p w:rsidR="002B3327" w:rsidRPr="00591584" w:rsidRDefault="002B3327" w:rsidP="006A041D">
      <w:pPr>
        <w:pStyle w:val="enumlev1"/>
        <w:keepNext/>
        <w:keepLines/>
        <w:rPr>
          <w:lang w:val="es-ES"/>
        </w:rPr>
      </w:pPr>
      <w:r w:rsidRPr="00591584">
        <w:rPr>
          <w:lang w:val="es-ES"/>
        </w:rPr>
        <w:t>1</w:t>
      </w:r>
      <w:r>
        <w:rPr>
          <w:lang w:val="es-ES"/>
        </w:rPr>
        <w:t>)</w:t>
      </w:r>
      <w:r w:rsidRPr="00591584">
        <w:rPr>
          <w:lang w:val="es-ES"/>
        </w:rPr>
        <w:tab/>
        <w:t>la muestra que sigue directamente a un punto de inicio de ráfaga siempre rebasa el umbral, la muestra que sigue directamente a un punto de fin de ráfaga siempre cae por debajo del umbral;</w:t>
      </w:r>
    </w:p>
    <w:p w:rsidR="002B3327" w:rsidRPr="00591584" w:rsidRDefault="002B3327" w:rsidP="002A55BE">
      <w:pPr>
        <w:pStyle w:val="enumlev1"/>
        <w:rPr>
          <w:lang w:val="es-ES"/>
        </w:rPr>
      </w:pPr>
      <w:r w:rsidRPr="00591584">
        <w:rPr>
          <w:lang w:val="es-ES"/>
        </w:rPr>
        <w:t>2</w:t>
      </w:r>
      <w:r>
        <w:rPr>
          <w:lang w:val="es-ES"/>
        </w:rPr>
        <w:t>)</w:t>
      </w:r>
      <w:r w:rsidRPr="00591584">
        <w:rPr>
          <w:lang w:val="es-ES"/>
        </w:rPr>
        <w:tab/>
        <w:t>al menos el 50% de las muestras entre el inicio y el fin de la ráfaga rebasan el umbral.</w:t>
      </w:r>
    </w:p>
    <w:p w:rsidR="002B3327" w:rsidRPr="00591584" w:rsidRDefault="002B3327" w:rsidP="002A55BE">
      <w:pPr>
        <w:rPr>
          <w:lang w:val="es-ES"/>
        </w:rPr>
      </w:pPr>
      <w:r w:rsidRPr="00591584">
        <w:rPr>
          <w:lang w:val="es-ES"/>
        </w:rPr>
        <w:t xml:space="preserve">Durante un tiempo de al menos el 25% de la duración de la ráfaga, </w:t>
      </w:r>
      <w:r w:rsidRPr="00591584">
        <w:rPr>
          <w:u w:val="single"/>
          <w:lang w:val="es-ES"/>
        </w:rPr>
        <w:t>todas</w:t>
      </w:r>
      <w:r w:rsidRPr="00591584">
        <w:rPr>
          <w:lang w:val="es-ES"/>
        </w:rPr>
        <w:t xml:space="preserve"> las muestras antes del inicio de la ráfaga y después del fin de la ráfaga caen por debajo del umbral.</w:t>
      </w:r>
    </w:p>
    <w:p w:rsidR="002B3327" w:rsidRPr="00591584" w:rsidRDefault="002B3327" w:rsidP="002A55BE">
      <w:pPr>
        <w:rPr>
          <w:lang w:val="es-ES"/>
        </w:rPr>
      </w:pPr>
      <w:r w:rsidRPr="00591584">
        <w:rPr>
          <w:lang w:val="es-ES"/>
        </w:rPr>
        <w:lastRenderedPageBreak/>
        <w:t xml:space="preserve">La consecuencia de estas condiciones es que ciertas crestas en el interior de trenes de impulsos irregulares se combinan para constituir una sola ráfaga de larga duración. </w:t>
      </w:r>
    </w:p>
    <w:p w:rsidR="002B3327" w:rsidRDefault="002B3327" w:rsidP="00146A2A">
      <w:pPr>
        <w:keepNext/>
        <w:keepLines/>
        <w:rPr>
          <w:lang w:val="es-ES"/>
        </w:rPr>
      </w:pPr>
      <w:r w:rsidRPr="00591584">
        <w:rPr>
          <w:lang w:val="es-ES"/>
        </w:rPr>
        <w:t xml:space="preserve">Las siguiente </w:t>
      </w:r>
      <w:r w:rsidR="001A13E6">
        <w:rPr>
          <w:lang w:val="es-ES"/>
        </w:rPr>
        <w:t>F</w:t>
      </w:r>
      <w:r w:rsidR="001A13E6" w:rsidRPr="00591584">
        <w:rPr>
          <w:lang w:val="es-ES"/>
        </w:rPr>
        <w:t xml:space="preserve">iguras </w:t>
      </w:r>
      <w:r w:rsidRPr="00591584">
        <w:rPr>
          <w:lang w:val="es-ES"/>
        </w:rPr>
        <w:t>muestran algunos ejemplos al respecto:</w:t>
      </w:r>
    </w:p>
    <w:p w:rsidR="002B3327" w:rsidRPr="00183765" w:rsidRDefault="00151803" w:rsidP="003C700B">
      <w:pPr>
        <w:pStyle w:val="FigureNo"/>
        <w:rPr>
          <w:sz w:val="24"/>
          <w:szCs w:val="24"/>
          <w:lang w:val="es-ES"/>
        </w:rPr>
      </w:pPr>
      <w:r w:rsidRPr="00970B36">
        <w:rPr>
          <w:sz w:val="24"/>
          <w:szCs w:val="24"/>
          <w:lang w:val="es-ES"/>
        </w:rPr>
        <w:pict>
          <v:shape id="_x0000_i1040" type="#_x0000_t75" style="width:460.5pt;height:260.45pt;mso-position-vertical:absolute">
            <v:imagedata r:id="rId38" o:title=""/>
          </v:shape>
        </w:pict>
      </w:r>
    </w:p>
    <w:p w:rsidR="006F431D" w:rsidRDefault="006F431D" w:rsidP="006F431D">
      <w:pPr>
        <w:rPr>
          <w:lang w:val="es-ES"/>
        </w:rPr>
      </w:pPr>
    </w:p>
    <w:p w:rsidR="002B3327" w:rsidRPr="00591584" w:rsidRDefault="002B3327" w:rsidP="006F431D">
      <w:pPr>
        <w:rPr>
          <w:lang w:val="es-ES"/>
        </w:rPr>
      </w:pPr>
      <w:r w:rsidRPr="00591584">
        <w:rPr>
          <w:lang w:val="es-ES"/>
        </w:rPr>
        <w:t xml:space="preserve">Contando a partir del centro del impulso 1 en la </w:t>
      </w:r>
      <w:r>
        <w:rPr>
          <w:lang w:val="es-ES"/>
        </w:rPr>
        <w:t>Fig.</w:t>
      </w:r>
      <w:r w:rsidR="006F431D">
        <w:rPr>
          <w:lang w:val="es-ES"/>
        </w:rPr>
        <w:t> </w:t>
      </w:r>
      <w:r w:rsidRPr="00591584">
        <w:rPr>
          <w:lang w:val="es-ES"/>
        </w:rPr>
        <w:t>6, el espacio entre el fin del impulso</w:t>
      </w:r>
      <w:r w:rsidR="006F431D">
        <w:rPr>
          <w:lang w:val="es-ES"/>
        </w:rPr>
        <w:t> </w:t>
      </w:r>
      <w:r w:rsidRPr="00591584">
        <w:rPr>
          <w:lang w:val="es-ES"/>
        </w:rPr>
        <w:t>1 y el inicio del impulso</w:t>
      </w:r>
      <w:r w:rsidR="006F431D">
        <w:rPr>
          <w:lang w:val="es-ES"/>
        </w:rPr>
        <w:t> </w:t>
      </w:r>
      <w:r w:rsidRPr="00591584">
        <w:rPr>
          <w:lang w:val="es-ES"/>
        </w:rPr>
        <w:t>2 supone más del 25% de la duración del impulso</w:t>
      </w:r>
      <w:r>
        <w:rPr>
          <w:lang w:val="es-ES"/>
        </w:rPr>
        <w:t> </w:t>
      </w:r>
      <w:r w:rsidRPr="00591584">
        <w:rPr>
          <w:lang w:val="es-ES"/>
        </w:rPr>
        <w:t>1, por lo tanto la segunda cresta se interpreta como un impulso separado.</w:t>
      </w:r>
    </w:p>
    <w:p w:rsidR="002B3327" w:rsidRPr="00797D33" w:rsidRDefault="00151803" w:rsidP="002B3327">
      <w:pPr>
        <w:pStyle w:val="FigureNo"/>
        <w:rPr>
          <w:sz w:val="24"/>
          <w:szCs w:val="24"/>
          <w:lang w:val="es-ES"/>
        </w:rPr>
      </w:pPr>
      <w:r w:rsidRPr="00970B36">
        <w:rPr>
          <w:sz w:val="24"/>
          <w:szCs w:val="24"/>
          <w:lang w:val="es-ES"/>
        </w:rPr>
        <w:pict>
          <v:shape id="_x0000_i1041" type="#_x0000_t75" style="width:467.75pt;height:251.3pt;mso-position-vertical:absolute">
            <v:imagedata r:id="rId39" o:title=""/>
          </v:shape>
        </w:pict>
      </w:r>
    </w:p>
    <w:p w:rsidR="003C700B" w:rsidRDefault="003C700B" w:rsidP="003C700B">
      <w:pPr>
        <w:rPr>
          <w:lang w:val="es-ES"/>
        </w:rPr>
      </w:pPr>
    </w:p>
    <w:p w:rsidR="002B3327" w:rsidRPr="00591584" w:rsidRDefault="002B3327" w:rsidP="006F431D">
      <w:pPr>
        <w:keepNext/>
        <w:keepLines/>
        <w:rPr>
          <w:lang w:val="es-ES"/>
        </w:rPr>
      </w:pPr>
      <w:r w:rsidRPr="00591584">
        <w:rPr>
          <w:lang w:val="es-ES"/>
        </w:rPr>
        <w:lastRenderedPageBreak/>
        <w:t xml:space="preserve">En la </w:t>
      </w:r>
      <w:r>
        <w:rPr>
          <w:lang w:val="es-ES"/>
        </w:rPr>
        <w:t>Fig.</w:t>
      </w:r>
      <w:r w:rsidRPr="00591584">
        <w:rPr>
          <w:lang w:val="es-ES"/>
        </w:rPr>
        <w:t xml:space="preserve"> 7 se satisfacen las tres condiciones definidas anteriormente para el impulso a) a fin de considerarlo como una ráfaga completa. Sin embargo, para el impulso b) no se cumple la condición de que al menos el 25% de las muestras de medición frente al inicio del subimpulso deben caer por debajo del umbral, a menos que el impulso a) se incluya y se forme un impulso (ráfaga) combinado. El tiempo entre el final de esta ráfaga 1 y el inicio del impulso 3 es más del 25% de la duración de la ráfaga 1. Por consiguiente, el impulso c) no se incluye y se mantiene como impulso separado.</w:t>
      </w:r>
    </w:p>
    <w:p w:rsidR="002B3327" w:rsidRPr="00591584" w:rsidRDefault="002B3327" w:rsidP="002A55BE">
      <w:pPr>
        <w:pStyle w:val="Heading2"/>
        <w:rPr>
          <w:lang w:val="es-ES"/>
        </w:rPr>
      </w:pPr>
      <w:r w:rsidRPr="00591584">
        <w:rPr>
          <w:lang w:val="es-ES"/>
        </w:rPr>
        <w:t>10.9</w:t>
      </w:r>
      <w:r w:rsidRPr="00591584">
        <w:rPr>
          <w:lang w:val="es-ES"/>
        </w:rPr>
        <w:tab/>
        <w:t>Separación de los impulsos de MMN del ruido atmosférico (medición de Tipo C únicamente)</w:t>
      </w:r>
    </w:p>
    <w:p w:rsidR="002B3327" w:rsidRPr="00591584" w:rsidRDefault="002B3327" w:rsidP="002A55BE">
      <w:pPr>
        <w:rPr>
          <w:lang w:val="es-ES"/>
        </w:rPr>
      </w:pPr>
      <w:r w:rsidRPr="00591584">
        <w:rPr>
          <w:lang w:val="es-ES"/>
        </w:rPr>
        <w:t>Como se ha dicho anteriormente, esta separación sólo es posible si se aplica el método 3 con medición sincronizada en el tiempo en dos emplazamientos. El IN procedente del ruido atmosférico (principalmente tormentas) se recibirá tanto en el emplazamiento de medición como en el de recepción, por tanto el objetivo es detectar este tipo de señales en los resultados de la medición.</w:t>
      </w:r>
    </w:p>
    <w:p w:rsidR="002B3327" w:rsidRPr="00591584" w:rsidRDefault="002B3327" w:rsidP="002A55BE">
      <w:pPr>
        <w:rPr>
          <w:lang w:val="es-ES"/>
        </w:rPr>
      </w:pPr>
      <w:r w:rsidRPr="00591584">
        <w:rPr>
          <w:lang w:val="es-ES"/>
        </w:rPr>
        <w:t>Como la sincronización en el tiempo del equipo de medición nunca será tan precisa como una muestra, debe determinarse en primer lugar la separación en tiempo exacta entre ambos emplazamientos. Ello se hace comparando entre s</w:t>
      </w:r>
      <w:r>
        <w:rPr>
          <w:lang w:val="es-ES"/>
        </w:rPr>
        <w:t>í</w:t>
      </w:r>
      <w:r w:rsidRPr="00591584">
        <w:rPr>
          <w:lang w:val="es-ES"/>
        </w:rPr>
        <w:t xml:space="preserve"> los tiempo</w:t>
      </w:r>
      <w:r>
        <w:rPr>
          <w:lang w:val="es-ES"/>
        </w:rPr>
        <w:t>s</w:t>
      </w:r>
      <w:r w:rsidRPr="00591584">
        <w:rPr>
          <w:lang w:val="es-ES"/>
        </w:rPr>
        <w:t xml:space="preserve"> de inicio y final de todas las muestras de impulsos/ráfagas del emplazamiento de medición y de referencia y calculando un valor de correlación. A continuación, todas las muestras del emplazamiento de medición se desplazan en el tiempo una muestra y se calcula del valor de correlación nuevamente y así repetidamente. La posición con la correlación más elevada define el desplazamiento de tiempo exacto ente ambas mediciones. Se aplican los siguientes pasos de evaluación únicamente a las muestras que han sido medidas en ambos emplazamientos (duración del resultado útil). </w:t>
      </w:r>
    </w:p>
    <w:p w:rsidR="002B3327" w:rsidRPr="00591584" w:rsidRDefault="002B3327" w:rsidP="006F431D">
      <w:pPr>
        <w:rPr>
          <w:lang w:val="es-ES"/>
        </w:rPr>
      </w:pPr>
      <w:r w:rsidRPr="00591584">
        <w:rPr>
          <w:i/>
          <w:iCs/>
          <w:lang w:val="es-ES"/>
        </w:rPr>
        <w:t>Ejemplo</w:t>
      </w:r>
      <w:r w:rsidRPr="00591584">
        <w:rPr>
          <w:lang w:val="es-ES"/>
        </w:rPr>
        <w:t>: La máxima correlación se logra para un desplazamiento de +100 ms. aplicado al emplazamiento de referencia. El tiempo (exploración) de medición fue de 1</w:t>
      </w:r>
      <w:r w:rsidR="006F431D">
        <w:rPr>
          <w:lang w:val="es-ES"/>
        </w:rPr>
        <w:t> </w:t>
      </w:r>
      <w:r w:rsidRPr="00591584">
        <w:rPr>
          <w:lang w:val="es-ES"/>
        </w:rPr>
        <w:t>s. la duración del resultado útil es, entonces, de 0,1 a 1,0</w:t>
      </w:r>
      <w:r w:rsidR="006F431D">
        <w:rPr>
          <w:lang w:val="es-ES"/>
        </w:rPr>
        <w:t> </w:t>
      </w:r>
      <w:r w:rsidRPr="00591584">
        <w:rPr>
          <w:lang w:val="es-ES"/>
        </w:rPr>
        <w:t>s del emplazamiento de referencia y de 0 s a 0,9</w:t>
      </w:r>
      <w:r w:rsidR="006F431D">
        <w:rPr>
          <w:lang w:val="es-ES"/>
        </w:rPr>
        <w:t> </w:t>
      </w:r>
      <w:r w:rsidRPr="00591584">
        <w:rPr>
          <w:lang w:val="es-ES"/>
        </w:rPr>
        <w:t>s del emplazamiento de medición (véase la Fig. 8).</w:t>
      </w:r>
    </w:p>
    <w:p w:rsidR="002B3327" w:rsidRPr="00591584" w:rsidRDefault="002B3327" w:rsidP="001A13E6">
      <w:pPr>
        <w:rPr>
          <w:lang w:val="es-ES"/>
        </w:rPr>
      </w:pPr>
      <w:r w:rsidRPr="00591584">
        <w:rPr>
          <w:lang w:val="es-ES"/>
        </w:rPr>
        <w:t>Dentro de la duración del resultado útil, se investigan las muestras de inicio de impulso/ráfaga: Si por cada impulso/ráfaga se producen con una tolerancia del 50% de la duración del impulso/ráfaga tanto en el emplazamiento de medición como en el de referencia, el impulso/ráfaga se suprime de los resultados pues se supone que se recibió a través de la onda ionosférica y, por tanto, lo más probable es que sea de carácter atmosférico. Si un punto de inicio de impulso/ráfaga se produce sólo en el emplazamiento de medición, se mantien</w:t>
      </w:r>
      <w:r w:rsidR="006F431D">
        <w:rPr>
          <w:lang w:val="es-ES"/>
        </w:rPr>
        <w:t>e para el procesamiento del IN.</w:t>
      </w:r>
    </w:p>
    <w:p w:rsidR="002B3327" w:rsidRPr="00DD3FC1" w:rsidRDefault="00151803" w:rsidP="003C700B">
      <w:pPr>
        <w:pStyle w:val="FigureNo"/>
        <w:rPr>
          <w:lang w:val="es-ES"/>
        </w:rPr>
      </w:pPr>
      <w:r w:rsidRPr="00970B36">
        <w:rPr>
          <w:lang w:val="es-ES"/>
        </w:rPr>
        <w:lastRenderedPageBreak/>
        <w:pict>
          <v:shape id="_x0000_i1042" type="#_x0000_t75" style="width:486.6pt;height:326.65pt;mso-position-vertical:absolute">
            <v:imagedata r:id="rId40" o:title=""/>
          </v:shape>
        </w:pict>
      </w:r>
    </w:p>
    <w:p w:rsidR="002B3327" w:rsidRPr="00591584" w:rsidRDefault="002B3327" w:rsidP="002A55BE">
      <w:pPr>
        <w:pStyle w:val="Heading2"/>
        <w:rPr>
          <w:lang w:val="es-ES"/>
        </w:rPr>
      </w:pPr>
      <w:r w:rsidRPr="00591584">
        <w:rPr>
          <w:lang w:val="es-ES"/>
        </w:rPr>
        <w:t>10.10</w:t>
      </w:r>
      <w:r w:rsidRPr="00591584">
        <w:rPr>
          <w:lang w:val="es-ES"/>
        </w:rPr>
        <w:tab/>
        <w:t>Cálculo de la distribución de los parámetros del impulso (mediciones de los Tipos B y</w:t>
      </w:r>
      <w:r>
        <w:rPr>
          <w:lang w:val="es-ES"/>
        </w:rPr>
        <w:t> </w:t>
      </w:r>
      <w:r w:rsidRPr="00591584">
        <w:rPr>
          <w:lang w:val="es-ES"/>
        </w:rPr>
        <w:t>C únicamente)</w:t>
      </w:r>
    </w:p>
    <w:p w:rsidR="002B3327" w:rsidRPr="00591584" w:rsidRDefault="002B3327" w:rsidP="002A55BE">
      <w:pPr>
        <w:rPr>
          <w:lang w:val="es-ES"/>
        </w:rPr>
      </w:pPr>
      <w:r w:rsidRPr="00591584">
        <w:rPr>
          <w:lang w:val="es-ES"/>
        </w:rPr>
        <w:t>Como se dijo anteriormente, para caracterizar en su totalidad al IN, se necesitan los siguientes parámetros:</w:t>
      </w:r>
    </w:p>
    <w:p w:rsidR="002B3327" w:rsidRPr="00591584" w:rsidRDefault="002B3327" w:rsidP="002A55BE">
      <w:pPr>
        <w:pStyle w:val="enumlev1"/>
        <w:rPr>
          <w:lang w:val="es-ES"/>
        </w:rPr>
      </w:pPr>
      <w:r w:rsidRPr="00591584">
        <w:rPr>
          <w:lang w:val="es-ES"/>
        </w:rPr>
        <w:t>–</w:t>
      </w:r>
      <w:r w:rsidRPr="00591584">
        <w:rPr>
          <w:lang w:val="es-ES"/>
        </w:rPr>
        <w:tab/>
        <w:t>nivel del impulso/ráfaga</w:t>
      </w:r>
      <w:r>
        <w:rPr>
          <w:lang w:val="es-ES"/>
        </w:rPr>
        <w:t>;</w:t>
      </w:r>
    </w:p>
    <w:p w:rsidR="002B3327" w:rsidRPr="00591584" w:rsidRDefault="002B3327" w:rsidP="002A55BE">
      <w:pPr>
        <w:pStyle w:val="enumlev1"/>
        <w:rPr>
          <w:lang w:val="es-ES"/>
        </w:rPr>
      </w:pPr>
      <w:r w:rsidRPr="00591584">
        <w:rPr>
          <w:lang w:val="es-ES"/>
        </w:rPr>
        <w:t>–</w:t>
      </w:r>
      <w:r w:rsidRPr="00591584">
        <w:rPr>
          <w:lang w:val="es-ES"/>
        </w:rPr>
        <w:tab/>
        <w:t>duración del impulso/ráfaga</w:t>
      </w:r>
      <w:r>
        <w:rPr>
          <w:lang w:val="es-ES"/>
        </w:rPr>
        <w:t>;</w:t>
      </w:r>
    </w:p>
    <w:p w:rsidR="002B3327" w:rsidRPr="00591584" w:rsidRDefault="002B3327" w:rsidP="002A55BE">
      <w:pPr>
        <w:pStyle w:val="enumlev1"/>
        <w:rPr>
          <w:lang w:val="es-ES"/>
        </w:rPr>
      </w:pPr>
      <w:r w:rsidRPr="00591584">
        <w:rPr>
          <w:lang w:val="es-ES"/>
        </w:rPr>
        <w:t>–</w:t>
      </w:r>
      <w:r w:rsidRPr="00591584">
        <w:rPr>
          <w:lang w:val="es-ES"/>
        </w:rPr>
        <w:tab/>
        <w:t>frecuencia de repetición o periodo del impulso/ráfaga</w:t>
      </w:r>
      <w:r>
        <w:rPr>
          <w:lang w:val="es-ES"/>
        </w:rPr>
        <w:t>;</w:t>
      </w:r>
    </w:p>
    <w:p w:rsidR="002B3327" w:rsidRPr="00591584" w:rsidRDefault="002B3327" w:rsidP="002A55BE">
      <w:pPr>
        <w:pStyle w:val="enumlev1"/>
        <w:rPr>
          <w:lang w:val="es-ES"/>
        </w:rPr>
      </w:pPr>
      <w:r w:rsidRPr="00591584">
        <w:rPr>
          <w:lang w:val="es-ES"/>
        </w:rPr>
        <w:t>–</w:t>
      </w:r>
      <w:r w:rsidRPr="00591584">
        <w:rPr>
          <w:lang w:val="es-ES"/>
        </w:rPr>
        <w:tab/>
        <w:t>duración total del impulso/ráfaga.</w:t>
      </w:r>
    </w:p>
    <w:p w:rsidR="002B3327" w:rsidRPr="00591584" w:rsidRDefault="002B3327" w:rsidP="002A55BE">
      <w:pPr>
        <w:rPr>
          <w:lang w:val="es-ES"/>
        </w:rPr>
      </w:pPr>
      <w:r w:rsidRPr="00591584">
        <w:rPr>
          <w:lang w:val="es-ES"/>
        </w:rPr>
        <w:t>Como los tres primeros parámetros varían aleatoriamente, sus valores deben presentarse como un gráfico de distribución.</w:t>
      </w:r>
    </w:p>
    <w:p w:rsidR="002B3327" w:rsidRPr="0062258A" w:rsidRDefault="002B3327" w:rsidP="006F431D">
      <w:pPr>
        <w:pStyle w:val="Heading3"/>
        <w:rPr>
          <w:lang w:val="es-ES_tradnl"/>
        </w:rPr>
      </w:pPr>
      <w:r w:rsidRPr="0062258A">
        <w:rPr>
          <w:lang w:val="es-ES_tradnl"/>
        </w:rPr>
        <w:t>10.10.1</w:t>
      </w:r>
      <w:r w:rsidRPr="0062258A">
        <w:rPr>
          <w:lang w:val="es-ES_tradnl"/>
        </w:rPr>
        <w:tab/>
      </w:r>
      <w:r w:rsidR="006F431D">
        <w:rPr>
          <w:lang w:val="es-ES_tradnl"/>
        </w:rPr>
        <w:t> </w:t>
      </w:r>
      <w:r w:rsidRPr="0062258A">
        <w:rPr>
          <w:lang w:val="es-ES_tradnl"/>
        </w:rPr>
        <w:t>Nivel del impulso/ráfaga</w:t>
      </w:r>
    </w:p>
    <w:p w:rsidR="002B3327" w:rsidRDefault="002B3327" w:rsidP="00074ED7">
      <w:pPr>
        <w:rPr>
          <w:lang w:val="es-ES"/>
        </w:rPr>
      </w:pPr>
      <w:r w:rsidRPr="00591584">
        <w:rPr>
          <w:lang w:val="es-ES"/>
        </w:rPr>
        <w:t>El nivel total del impulso/ráfaga (nivel de IN) sólo puede medirse correctamente para duraciones del impulso/ráfaga de al menos 1/RBW. Como un impulso/ráfaga únicamente puede interferir a un moderno sistema de comunicaciones digital cuando tiene al menos una duración igual a la del símbolo, eligiendo una RBW de acuerdo con el Cuadro 8 se obtienen unos valores de medición que representan la verdadera interferencia potencial. El nivel de IN, sin embargo, sigue dependiendo de la RBW. Por tanto, debe indicarse la RBW utilizada cuando se presenten los niveles de IN. Para lograr la independencia con respecto a la anchura de banda de medición se recomienda normalizar los resultados medidos a la RBW empleada e indicar el nivel de IN como nivel de densidad. El eje y de la APD del IN se expresa en dB(µV/MHz). Para convertir un valor de IN medido en una densidad del nivel de IN, se aplica la siguiente fórmula:</w:t>
      </w:r>
    </w:p>
    <w:p w:rsidR="003C700B" w:rsidRPr="00EE15CA" w:rsidRDefault="003C700B" w:rsidP="003C700B">
      <w:pPr>
        <w:pStyle w:val="Blanc"/>
        <w:rPr>
          <w:lang w:val="es-ES_tradnl"/>
        </w:rPr>
      </w:pPr>
    </w:p>
    <w:p w:rsidR="002B3327" w:rsidRPr="00591584" w:rsidRDefault="002B3327" w:rsidP="002A55BE">
      <w:pPr>
        <w:pStyle w:val="Equation"/>
        <w:rPr>
          <w:lang w:val="es-ES"/>
        </w:rPr>
      </w:pPr>
      <w:r w:rsidRPr="00591584">
        <w:rPr>
          <w:lang w:val="es-ES"/>
        </w:rPr>
        <w:tab/>
      </w:r>
      <w:r w:rsidRPr="00591584">
        <w:rPr>
          <w:lang w:val="es-ES"/>
        </w:rPr>
        <w:tab/>
      </w:r>
      <w:r w:rsidR="003C700B" w:rsidRPr="00591584">
        <w:rPr>
          <w:position w:val="-10"/>
          <w:lang w:val="es-ES"/>
        </w:rPr>
        <w:object w:dxaOrig="2140" w:dyaOrig="320">
          <v:shape id="_x0000_i1043" type="#_x0000_t75" style="width:106.3pt;height:16.45pt" o:ole="">
            <v:imagedata r:id="rId41" o:title=""/>
          </v:shape>
          <o:OLEObject Type="Embed" ProgID="Equation.3" ShapeID="_x0000_i1043" DrawAspect="Content" ObjectID="_1357644467" r:id="rId42"/>
        </w:object>
      </w:r>
      <w:r w:rsidRPr="00591584">
        <w:rPr>
          <w:lang w:val="es-ES"/>
        </w:rPr>
        <w:t>                dB(</w:t>
      </w:r>
      <w:r w:rsidRPr="00591584">
        <w:rPr>
          <w:lang w:val="es-ES"/>
        </w:rPr>
        <w:sym w:font="Symbol" w:char="F06D"/>
      </w:r>
      <w:r w:rsidRPr="00591584">
        <w:rPr>
          <w:lang w:val="es-ES"/>
        </w:rPr>
        <w:t>V/MHz)</w:t>
      </w:r>
      <w:r w:rsidRPr="00591584">
        <w:rPr>
          <w:lang w:val="es-ES"/>
        </w:rPr>
        <w:tab/>
        <w:t>(11)</w:t>
      </w:r>
    </w:p>
    <w:p w:rsidR="002B3327" w:rsidRPr="00591584" w:rsidRDefault="002B3327" w:rsidP="002A55BE">
      <w:pPr>
        <w:rPr>
          <w:lang w:val="es-ES"/>
        </w:rPr>
      </w:pPr>
      <w:r w:rsidRPr="00591584">
        <w:rPr>
          <w:lang w:val="es-ES"/>
        </w:rPr>
        <w:lastRenderedPageBreak/>
        <w:t>donde:</w:t>
      </w:r>
    </w:p>
    <w:p w:rsidR="002B3327" w:rsidRPr="00591584" w:rsidRDefault="002B3327" w:rsidP="002A55BE">
      <w:pPr>
        <w:pStyle w:val="Equationlegend"/>
        <w:rPr>
          <w:lang w:val="es-ES"/>
        </w:rPr>
      </w:pPr>
      <w:r w:rsidRPr="00591584">
        <w:rPr>
          <w:i/>
          <w:u w:color="000000"/>
          <w:lang w:val="es-ES"/>
        </w:rPr>
        <w:tab/>
        <w:t>Wg</w:t>
      </w:r>
      <w:r w:rsidR="003C700B">
        <w:rPr>
          <w:i/>
          <w:u w:color="000000"/>
          <w:lang w:val="es-ES"/>
        </w:rPr>
        <w:t xml:space="preserve"> </w:t>
      </w:r>
      <w:r w:rsidRPr="00591584">
        <w:rPr>
          <w:iCs/>
          <w:u w:color="000000"/>
          <w:lang w:val="es-ES"/>
        </w:rPr>
        <w:t>:</w:t>
      </w:r>
      <w:r w:rsidRPr="00591584">
        <w:rPr>
          <w:lang w:val="es-ES"/>
        </w:rPr>
        <w:tab/>
        <w:t>densidad espectral en dB(µV/MHz)</w:t>
      </w:r>
    </w:p>
    <w:p w:rsidR="002B3327" w:rsidRPr="00591584" w:rsidRDefault="002B3327" w:rsidP="002A55BE">
      <w:pPr>
        <w:pStyle w:val="Equationlegend"/>
        <w:rPr>
          <w:lang w:val="es-ES"/>
        </w:rPr>
      </w:pPr>
      <w:r w:rsidRPr="00591584">
        <w:rPr>
          <w:i/>
          <w:u w:color="000000"/>
          <w:lang w:val="es-ES"/>
        </w:rPr>
        <w:tab/>
        <w:t>U</w:t>
      </w:r>
      <w:r w:rsidR="003C700B">
        <w:rPr>
          <w:i/>
          <w:u w:color="000000"/>
          <w:lang w:val="es-ES"/>
        </w:rPr>
        <w:t xml:space="preserve"> </w:t>
      </w:r>
      <w:r w:rsidRPr="00591584">
        <w:rPr>
          <w:iCs/>
          <w:u w:color="000000"/>
          <w:lang w:val="es-ES"/>
        </w:rPr>
        <w:t>:</w:t>
      </w:r>
      <w:r w:rsidRPr="00591584">
        <w:rPr>
          <w:lang w:val="es-ES"/>
        </w:rPr>
        <w:tab/>
        <w:t>tensión de ruido medida en una antena sin pérdidas dB(µV)</w:t>
      </w:r>
    </w:p>
    <w:p w:rsidR="002B3327" w:rsidRPr="00591584" w:rsidRDefault="002B3327" w:rsidP="002A55BE">
      <w:pPr>
        <w:pStyle w:val="Equationlegend"/>
        <w:rPr>
          <w:lang w:val="es-ES"/>
        </w:rPr>
      </w:pPr>
      <w:r w:rsidRPr="00591584">
        <w:rPr>
          <w:i/>
          <w:u w:color="000000"/>
          <w:lang w:val="es-ES"/>
        </w:rPr>
        <w:tab/>
        <w:t>b</w:t>
      </w:r>
      <w:r w:rsidR="003C700B">
        <w:rPr>
          <w:i/>
          <w:u w:color="000000"/>
          <w:lang w:val="es-ES"/>
        </w:rPr>
        <w:t xml:space="preserve"> </w:t>
      </w:r>
      <w:r w:rsidRPr="00591584">
        <w:rPr>
          <w:iCs/>
          <w:u w:color="000000"/>
          <w:lang w:val="es-ES"/>
        </w:rPr>
        <w:t>:</w:t>
      </w:r>
      <w:r w:rsidRPr="00591584">
        <w:rPr>
          <w:lang w:val="es-ES"/>
        </w:rPr>
        <w:tab/>
        <w:t>anchura de banda del ruido (MHz).</w:t>
      </w:r>
    </w:p>
    <w:p w:rsidR="002B3327" w:rsidRPr="00591584" w:rsidRDefault="002B3327" w:rsidP="00EB2551">
      <w:pPr>
        <w:rPr>
          <w:lang w:val="es-ES"/>
        </w:rPr>
      </w:pPr>
      <w:r w:rsidRPr="00591584">
        <w:rPr>
          <w:lang w:val="es-ES"/>
        </w:rPr>
        <w:t xml:space="preserve">En el caso de que la antena no pueda considerarse sin perdidas, debe aplicarse la corrección adecuada a la tensión de ruido medida de acuerdo con el </w:t>
      </w:r>
      <w:r w:rsidR="00EB2551">
        <w:rPr>
          <w:lang w:val="es-ES"/>
        </w:rPr>
        <w:t>§</w:t>
      </w:r>
      <w:r w:rsidRPr="00591584">
        <w:rPr>
          <w:lang w:val="es-ES"/>
        </w:rPr>
        <w:t xml:space="preserve"> 10.6.</w:t>
      </w:r>
    </w:p>
    <w:p w:rsidR="002B3327" w:rsidRPr="00591584" w:rsidRDefault="002B3327" w:rsidP="002A55BE">
      <w:pPr>
        <w:rPr>
          <w:lang w:val="es-ES"/>
        </w:rPr>
      </w:pPr>
      <w:r w:rsidRPr="00591584">
        <w:rPr>
          <w:lang w:val="es-ES"/>
        </w:rPr>
        <w:t>Sólo habrá un gráfico de distribución de IN por frecuencia y clase de emplazamiento, de acuerdo con los Cuadros 5 y 6.</w:t>
      </w:r>
    </w:p>
    <w:p w:rsidR="002B3327" w:rsidRPr="00BB5ED6" w:rsidRDefault="002B3327" w:rsidP="002A55BE">
      <w:pPr>
        <w:pStyle w:val="Heading3"/>
        <w:rPr>
          <w:lang w:val="es-ES_tradnl"/>
        </w:rPr>
      </w:pPr>
      <w:r w:rsidRPr="00BB5ED6">
        <w:rPr>
          <w:lang w:val="es-ES_tradnl"/>
        </w:rPr>
        <w:t>10.10.2</w:t>
      </w:r>
      <w:r w:rsidRPr="00BB5ED6">
        <w:rPr>
          <w:lang w:val="es-ES_tradnl"/>
        </w:rPr>
        <w:tab/>
      </w:r>
      <w:r w:rsidR="006F431D">
        <w:rPr>
          <w:lang w:val="es-ES_tradnl"/>
        </w:rPr>
        <w:t> </w:t>
      </w:r>
      <w:r w:rsidRPr="00BB5ED6">
        <w:rPr>
          <w:lang w:val="es-ES_tradnl"/>
        </w:rPr>
        <w:t>Duración y periodo del impulso/ráfaga</w:t>
      </w:r>
    </w:p>
    <w:p w:rsidR="002B3327" w:rsidRDefault="002B3327" w:rsidP="002A55BE">
      <w:pPr>
        <w:rPr>
          <w:lang w:val="es-ES"/>
        </w:rPr>
      </w:pPr>
      <w:r w:rsidRPr="00591584">
        <w:rPr>
          <w:lang w:val="es-ES"/>
        </w:rPr>
        <w:t>Una vez identificadas las muestras del inicio y final del impulso/ráfaga, la duración de cada impulso/ráfaga se calcula como sigue:</w:t>
      </w:r>
    </w:p>
    <w:p w:rsidR="003C700B" w:rsidRPr="00EE15CA" w:rsidRDefault="003C700B" w:rsidP="003C700B">
      <w:pPr>
        <w:pStyle w:val="Blanc"/>
        <w:rPr>
          <w:lang w:val="es-ES_tradnl"/>
        </w:rPr>
      </w:pPr>
    </w:p>
    <w:p w:rsidR="002B3327" w:rsidRPr="00591584" w:rsidRDefault="002B3327" w:rsidP="002A55BE">
      <w:pPr>
        <w:pStyle w:val="Equation"/>
        <w:rPr>
          <w:lang w:val="es-ES"/>
        </w:rPr>
      </w:pPr>
      <w:r w:rsidRPr="00591584">
        <w:rPr>
          <w:lang w:val="es-ES"/>
        </w:rPr>
        <w:tab/>
      </w:r>
      <w:r w:rsidRPr="00591584">
        <w:rPr>
          <w:lang w:val="es-ES"/>
        </w:rPr>
        <w:tab/>
      </w:r>
      <w:r w:rsidR="003C700B" w:rsidRPr="00591584">
        <w:rPr>
          <w:position w:val="-12"/>
          <w:lang w:val="es-ES"/>
        </w:rPr>
        <w:object w:dxaOrig="680" w:dyaOrig="360">
          <v:shape id="_x0000_i1044" type="#_x0000_t75" style="width:34.3pt;height:18.35pt" o:ole="">
            <v:imagedata r:id="rId43" o:title=""/>
          </v:shape>
          <o:OLEObject Type="Embed" ProgID="Equation.3" ShapeID="_x0000_i1044" DrawAspect="Content" ObjectID="_1357644468" r:id="rId44"/>
        </w:object>
      </w:r>
      <w:r w:rsidRPr="00591584">
        <w:rPr>
          <w:lang w:val="es-ES"/>
        </w:rPr>
        <w:tab/>
        <w:t>(12)</w:t>
      </w:r>
    </w:p>
    <w:p w:rsidR="003C700B" w:rsidRPr="00EE15CA" w:rsidRDefault="003C700B" w:rsidP="003C700B">
      <w:pPr>
        <w:pStyle w:val="Blanc"/>
        <w:rPr>
          <w:lang w:val="es-ES_tradnl"/>
        </w:rPr>
      </w:pPr>
    </w:p>
    <w:p w:rsidR="002B3327" w:rsidRPr="00591584" w:rsidRDefault="002B3327" w:rsidP="002A55BE">
      <w:pPr>
        <w:rPr>
          <w:lang w:val="es-ES"/>
        </w:rPr>
      </w:pPr>
      <w:r w:rsidRPr="00591584">
        <w:rPr>
          <w:lang w:val="es-ES"/>
        </w:rPr>
        <w:t>donde:</w:t>
      </w:r>
    </w:p>
    <w:p w:rsidR="002B3327" w:rsidRPr="00591584" w:rsidRDefault="002B3327" w:rsidP="002A55BE">
      <w:pPr>
        <w:pStyle w:val="Equationlegend"/>
        <w:rPr>
          <w:lang w:val="es-ES"/>
        </w:rPr>
      </w:pPr>
      <w:r w:rsidRPr="00591584">
        <w:rPr>
          <w:i/>
          <w:u w:color="000000"/>
          <w:lang w:val="es-ES"/>
        </w:rPr>
        <w:tab/>
        <w:t>N</w:t>
      </w:r>
      <w:r w:rsidRPr="00591584">
        <w:rPr>
          <w:u w:color="000000"/>
          <w:vertAlign w:val="subscript"/>
          <w:lang w:val="es-ES"/>
        </w:rPr>
        <w:t>1</w:t>
      </w:r>
      <w:r w:rsidR="003C700B">
        <w:rPr>
          <w:u w:color="000000"/>
          <w:vertAlign w:val="subscript"/>
          <w:lang w:val="es-ES"/>
        </w:rPr>
        <w:t xml:space="preserve"> </w:t>
      </w:r>
      <w:r w:rsidRPr="00591584">
        <w:rPr>
          <w:lang w:val="es-ES"/>
        </w:rPr>
        <w:t>:</w:t>
      </w:r>
      <w:r w:rsidRPr="00591584">
        <w:rPr>
          <w:lang w:val="es-ES"/>
        </w:rPr>
        <w:tab/>
        <w:t>número de muestras entre el inicio y el final del impulso/ráfaga</w:t>
      </w:r>
    </w:p>
    <w:p w:rsidR="002B3327" w:rsidRPr="00591584" w:rsidRDefault="002B3327" w:rsidP="002A55BE">
      <w:pPr>
        <w:pStyle w:val="Equationlegend"/>
        <w:rPr>
          <w:lang w:val="es-ES"/>
        </w:rPr>
      </w:pPr>
      <w:r w:rsidRPr="00591584">
        <w:rPr>
          <w:i/>
          <w:u w:color="000000"/>
          <w:lang w:val="es-ES"/>
        </w:rPr>
        <w:tab/>
        <w:t>f</w:t>
      </w:r>
      <w:r w:rsidRPr="00591584">
        <w:rPr>
          <w:i/>
          <w:u w:color="000000"/>
          <w:vertAlign w:val="subscript"/>
          <w:lang w:val="es-ES"/>
        </w:rPr>
        <w:t>s</w:t>
      </w:r>
      <w:r w:rsidR="003C700B">
        <w:rPr>
          <w:i/>
          <w:u w:color="000000"/>
          <w:vertAlign w:val="subscript"/>
          <w:lang w:val="es-ES"/>
        </w:rPr>
        <w:t xml:space="preserve"> </w:t>
      </w:r>
      <w:r w:rsidRPr="00591584">
        <w:rPr>
          <w:lang w:val="es-ES"/>
        </w:rPr>
        <w:t>:</w:t>
      </w:r>
      <w:r w:rsidRPr="00591584">
        <w:rPr>
          <w:lang w:val="es-ES"/>
        </w:rPr>
        <w:tab/>
        <w:t>frecuencia de muestreo.</w:t>
      </w:r>
    </w:p>
    <w:p w:rsidR="002B3327" w:rsidRDefault="002B3327" w:rsidP="003C700B">
      <w:pPr>
        <w:keepNext/>
        <w:keepLines/>
        <w:rPr>
          <w:lang w:val="es-ES"/>
        </w:rPr>
      </w:pPr>
      <w:r w:rsidRPr="00591584">
        <w:rPr>
          <w:lang w:val="es-ES"/>
        </w:rPr>
        <w:t>El periodo del impulso/ráfaga se calcula como:</w:t>
      </w:r>
    </w:p>
    <w:p w:rsidR="003C700B" w:rsidRPr="00EE15CA" w:rsidRDefault="003C700B" w:rsidP="003C700B">
      <w:pPr>
        <w:pStyle w:val="Blanc"/>
        <w:rPr>
          <w:lang w:val="es-ES_tradnl"/>
        </w:rPr>
      </w:pPr>
    </w:p>
    <w:p w:rsidR="002B3327" w:rsidRPr="00591584" w:rsidRDefault="002B3327" w:rsidP="003C700B">
      <w:pPr>
        <w:pStyle w:val="Equation"/>
        <w:keepNext/>
        <w:keepLines/>
        <w:rPr>
          <w:lang w:val="es-ES"/>
        </w:rPr>
      </w:pPr>
      <w:r w:rsidRPr="00591584">
        <w:rPr>
          <w:lang w:val="es-ES"/>
        </w:rPr>
        <w:tab/>
      </w:r>
      <w:r w:rsidRPr="00591584">
        <w:rPr>
          <w:lang w:val="es-ES"/>
        </w:rPr>
        <w:tab/>
      </w:r>
      <w:r w:rsidRPr="00591584">
        <w:rPr>
          <w:position w:val="-12"/>
          <w:lang w:val="es-ES"/>
        </w:rPr>
        <w:object w:dxaOrig="700" w:dyaOrig="360">
          <v:shape id="_x0000_i1045" type="#_x0000_t75" style="width:34.8pt;height:18.35pt" o:ole="">
            <v:imagedata r:id="rId45" o:title=""/>
          </v:shape>
          <o:OLEObject Type="Embed" ProgID="Equation.3" ShapeID="_x0000_i1045" DrawAspect="Content" ObjectID="_1357644469" r:id="rId46"/>
        </w:object>
      </w:r>
      <w:r w:rsidRPr="00591584">
        <w:rPr>
          <w:lang w:val="es-ES"/>
        </w:rPr>
        <w:tab/>
        <w:t>(13)</w:t>
      </w:r>
    </w:p>
    <w:p w:rsidR="003C700B" w:rsidRPr="00EE15CA" w:rsidRDefault="003C700B" w:rsidP="003C700B">
      <w:pPr>
        <w:pStyle w:val="Blanc"/>
        <w:rPr>
          <w:lang w:val="es-ES_tradnl"/>
        </w:rPr>
      </w:pPr>
    </w:p>
    <w:p w:rsidR="002B3327" w:rsidRPr="00591584" w:rsidRDefault="002B3327" w:rsidP="002A55BE">
      <w:pPr>
        <w:rPr>
          <w:lang w:val="es-ES"/>
        </w:rPr>
      </w:pPr>
      <w:r w:rsidRPr="00591584">
        <w:rPr>
          <w:lang w:val="es-ES"/>
        </w:rPr>
        <w:t>donde:</w:t>
      </w:r>
    </w:p>
    <w:p w:rsidR="002B3327" w:rsidRPr="00591584" w:rsidRDefault="002B3327" w:rsidP="002A55BE">
      <w:pPr>
        <w:pStyle w:val="Equationlegend"/>
        <w:rPr>
          <w:lang w:val="es-ES"/>
        </w:rPr>
      </w:pPr>
      <w:r w:rsidRPr="00591584">
        <w:rPr>
          <w:i/>
          <w:u w:color="000000"/>
          <w:lang w:val="es-ES"/>
        </w:rPr>
        <w:tab/>
        <w:t>N</w:t>
      </w:r>
      <w:r w:rsidRPr="00591584">
        <w:rPr>
          <w:u w:color="000000"/>
          <w:vertAlign w:val="subscript"/>
          <w:lang w:val="es-ES"/>
        </w:rPr>
        <w:t>2</w:t>
      </w:r>
      <w:r w:rsidR="003C700B">
        <w:rPr>
          <w:u w:color="000000"/>
          <w:vertAlign w:val="subscript"/>
          <w:lang w:val="es-ES"/>
        </w:rPr>
        <w:t xml:space="preserve"> </w:t>
      </w:r>
      <w:r w:rsidRPr="00591584">
        <w:rPr>
          <w:lang w:val="es-ES"/>
        </w:rPr>
        <w:t>:</w:t>
      </w:r>
      <w:r w:rsidRPr="00591584">
        <w:rPr>
          <w:lang w:val="es-ES"/>
        </w:rPr>
        <w:tab/>
        <w:t>número de muestras entre puntos de inicio del impulso/ráfaga consecutivos</w:t>
      </w:r>
    </w:p>
    <w:p w:rsidR="002B3327" w:rsidRPr="00591584" w:rsidRDefault="002B3327" w:rsidP="002A55BE">
      <w:pPr>
        <w:pStyle w:val="Equationlegend"/>
        <w:rPr>
          <w:lang w:val="es-ES"/>
        </w:rPr>
      </w:pPr>
      <w:r w:rsidRPr="00591584">
        <w:rPr>
          <w:i/>
          <w:u w:color="000000"/>
          <w:lang w:val="es-ES"/>
        </w:rPr>
        <w:tab/>
        <w:t>f</w:t>
      </w:r>
      <w:r w:rsidRPr="00591584">
        <w:rPr>
          <w:i/>
          <w:u w:color="000000"/>
          <w:vertAlign w:val="subscript"/>
          <w:lang w:val="es-ES"/>
        </w:rPr>
        <w:t>s</w:t>
      </w:r>
      <w:r w:rsidR="003C700B">
        <w:rPr>
          <w:i/>
          <w:u w:color="000000"/>
          <w:vertAlign w:val="subscript"/>
          <w:lang w:val="es-ES"/>
        </w:rPr>
        <w:t xml:space="preserve"> </w:t>
      </w:r>
      <w:r w:rsidRPr="00591584">
        <w:rPr>
          <w:lang w:val="es-ES"/>
        </w:rPr>
        <w:t>:</w:t>
      </w:r>
      <w:r w:rsidRPr="00591584">
        <w:rPr>
          <w:lang w:val="es-ES"/>
        </w:rPr>
        <w:tab/>
        <w:t>frecuencia de muestreo.</w:t>
      </w:r>
    </w:p>
    <w:p w:rsidR="002B3327" w:rsidRPr="00591584" w:rsidRDefault="002B3327" w:rsidP="002A55BE">
      <w:pPr>
        <w:pStyle w:val="Heading3"/>
        <w:rPr>
          <w:lang w:val="es-ES"/>
        </w:rPr>
      </w:pPr>
      <w:r w:rsidRPr="00591584">
        <w:rPr>
          <w:lang w:val="es-ES"/>
        </w:rPr>
        <w:t>10.10.3</w:t>
      </w:r>
      <w:r w:rsidRPr="00591584">
        <w:rPr>
          <w:lang w:val="es-ES"/>
        </w:rPr>
        <w:tab/>
      </w:r>
      <w:r w:rsidR="006F431D">
        <w:rPr>
          <w:lang w:val="es-ES"/>
        </w:rPr>
        <w:t> </w:t>
      </w:r>
      <w:r w:rsidRPr="00591584">
        <w:rPr>
          <w:lang w:val="es-ES"/>
        </w:rPr>
        <w:t>Duración total del impulso/ráfaga</w:t>
      </w:r>
    </w:p>
    <w:p w:rsidR="002B3327" w:rsidRPr="00591584" w:rsidRDefault="002B3327" w:rsidP="002A55BE">
      <w:pPr>
        <w:rPr>
          <w:lang w:val="es-ES"/>
        </w:rPr>
      </w:pPr>
      <w:r w:rsidRPr="00591584">
        <w:rPr>
          <w:lang w:val="es-ES"/>
        </w:rPr>
        <w:t>La duración total del impulso/ráfaga viene dada como porcentaje del tiempo de estudio total:</w:t>
      </w:r>
    </w:p>
    <w:p w:rsidR="003C700B" w:rsidRPr="00B73AAF" w:rsidRDefault="003C700B" w:rsidP="003C700B">
      <w:pPr>
        <w:pStyle w:val="Blanc"/>
        <w:rPr>
          <w:lang w:val="es-ES_tradnl"/>
        </w:rPr>
      </w:pPr>
    </w:p>
    <w:p w:rsidR="002B3327" w:rsidRPr="00591584" w:rsidRDefault="002B3327" w:rsidP="002A55BE">
      <w:pPr>
        <w:pStyle w:val="Equation"/>
        <w:rPr>
          <w:lang w:val="es-ES"/>
        </w:rPr>
      </w:pPr>
      <w:r w:rsidRPr="00591584">
        <w:rPr>
          <w:lang w:val="es-ES"/>
        </w:rPr>
        <w:tab/>
      </w:r>
      <w:r w:rsidRPr="00591584">
        <w:rPr>
          <w:lang w:val="es-ES"/>
        </w:rPr>
        <w:tab/>
      </w:r>
      <w:r w:rsidR="003C700B" w:rsidRPr="00591584">
        <w:rPr>
          <w:position w:val="-10"/>
          <w:lang w:val="es-ES"/>
        </w:rPr>
        <w:object w:dxaOrig="1640" w:dyaOrig="340">
          <v:shape id="_x0000_i1046" type="#_x0000_t75" style="width:82.15pt;height:16.9pt" o:ole="">
            <v:imagedata r:id="rId47" o:title=""/>
          </v:shape>
          <o:OLEObject Type="Embed" ProgID="Equation.3" ShapeID="_x0000_i1046" DrawAspect="Content" ObjectID="_1357644470" r:id="rId48"/>
        </w:object>
      </w:r>
      <w:r w:rsidRPr="00591584">
        <w:rPr>
          <w:lang w:val="es-ES"/>
        </w:rPr>
        <w:tab/>
        <w:t>(14)</w:t>
      </w:r>
    </w:p>
    <w:p w:rsidR="002B3327" w:rsidRPr="00591584" w:rsidRDefault="002B3327" w:rsidP="006A041D">
      <w:pPr>
        <w:keepNext/>
        <w:keepLines/>
        <w:rPr>
          <w:lang w:val="es-ES"/>
        </w:rPr>
      </w:pPr>
      <w:r w:rsidRPr="00591584">
        <w:rPr>
          <w:lang w:val="es-ES"/>
        </w:rPr>
        <w:t>donde:</w:t>
      </w:r>
    </w:p>
    <w:p w:rsidR="002B3327" w:rsidRPr="00591584" w:rsidRDefault="002B3327" w:rsidP="002A55BE">
      <w:pPr>
        <w:pStyle w:val="Equationlegend"/>
        <w:rPr>
          <w:lang w:val="es-ES"/>
        </w:rPr>
      </w:pPr>
      <w:r w:rsidRPr="00591584">
        <w:rPr>
          <w:i/>
          <w:u w:color="000000"/>
          <w:lang w:val="es-ES"/>
        </w:rPr>
        <w:tab/>
        <w:t>Ni</w:t>
      </w:r>
      <w:r w:rsidR="003C700B">
        <w:rPr>
          <w:i/>
          <w:u w:color="000000"/>
          <w:lang w:val="es-ES"/>
        </w:rPr>
        <w:t xml:space="preserve"> </w:t>
      </w:r>
      <w:r w:rsidRPr="00591584">
        <w:rPr>
          <w:lang w:val="es-ES"/>
        </w:rPr>
        <w:t>:</w:t>
      </w:r>
      <w:r w:rsidRPr="00591584">
        <w:rPr>
          <w:lang w:val="es-ES"/>
        </w:rPr>
        <w:tab/>
        <w:t>número de muestras por encima del umbral de IN</w:t>
      </w:r>
    </w:p>
    <w:p w:rsidR="002B3327" w:rsidRPr="00591584" w:rsidRDefault="002B3327" w:rsidP="002A55BE">
      <w:pPr>
        <w:pStyle w:val="Equationlegend"/>
        <w:rPr>
          <w:lang w:val="es-ES"/>
        </w:rPr>
      </w:pPr>
      <w:r w:rsidRPr="00591584">
        <w:rPr>
          <w:i/>
          <w:u w:color="000000"/>
          <w:lang w:val="es-ES"/>
        </w:rPr>
        <w:tab/>
        <w:t>N</w:t>
      </w:r>
      <w:r w:rsidR="003C700B">
        <w:rPr>
          <w:i/>
          <w:u w:color="000000"/>
          <w:lang w:val="es-ES"/>
        </w:rPr>
        <w:t xml:space="preserve"> </w:t>
      </w:r>
      <w:r w:rsidRPr="00591584">
        <w:rPr>
          <w:lang w:val="es-ES"/>
        </w:rPr>
        <w:t>:</w:t>
      </w:r>
      <w:r w:rsidRPr="00591584">
        <w:rPr>
          <w:lang w:val="es-ES"/>
        </w:rPr>
        <w:tab/>
        <w:t>número total de muestras de medición.</w:t>
      </w:r>
    </w:p>
    <w:p w:rsidR="002B3327" w:rsidRPr="00591584" w:rsidRDefault="002B3327" w:rsidP="002A55BE">
      <w:pPr>
        <w:pStyle w:val="Heading1"/>
        <w:rPr>
          <w:u w:color="000000"/>
          <w:lang w:val="es-ES"/>
        </w:rPr>
      </w:pPr>
      <w:r w:rsidRPr="00591584">
        <w:rPr>
          <w:u w:color="000000"/>
          <w:lang w:val="es-ES"/>
        </w:rPr>
        <w:t>11</w:t>
      </w:r>
      <w:r w:rsidRPr="00591584">
        <w:rPr>
          <w:u w:color="000000"/>
          <w:lang w:val="es-ES"/>
        </w:rPr>
        <w:tab/>
        <w:t>Presentación de los resultados</w:t>
      </w:r>
    </w:p>
    <w:p w:rsidR="002B3327" w:rsidRPr="00591584" w:rsidRDefault="002B3327" w:rsidP="002A55BE">
      <w:pPr>
        <w:pStyle w:val="Heading2"/>
        <w:rPr>
          <w:lang w:val="es-ES"/>
        </w:rPr>
      </w:pPr>
      <w:r w:rsidRPr="00591584">
        <w:rPr>
          <w:lang w:val="es-ES"/>
        </w:rPr>
        <w:t>11.1</w:t>
      </w:r>
      <w:r w:rsidRPr="00591584">
        <w:rPr>
          <w:lang w:val="es-ES"/>
        </w:rPr>
        <w:tab/>
        <w:t>Mediciones del WGN</w:t>
      </w:r>
    </w:p>
    <w:p w:rsidR="002B3327" w:rsidRDefault="002B3327" w:rsidP="006A041D">
      <w:pPr>
        <w:keepNext/>
        <w:keepLines/>
        <w:rPr>
          <w:lang w:val="es-ES"/>
        </w:rPr>
      </w:pPr>
      <w:r w:rsidRPr="00591584">
        <w:rPr>
          <w:lang w:val="es-ES"/>
        </w:rPr>
        <w:t xml:space="preserve">Además de la presentación en términos de </w:t>
      </w:r>
      <w:r w:rsidRPr="00591584">
        <w:rPr>
          <w:i/>
          <w:lang w:val="es-ES"/>
        </w:rPr>
        <w:t>F</w:t>
      </w:r>
      <w:r w:rsidRPr="00591584">
        <w:rPr>
          <w:i/>
          <w:vertAlign w:val="subscript"/>
          <w:lang w:val="es-ES"/>
        </w:rPr>
        <w:t>a</w:t>
      </w:r>
      <w:r w:rsidRPr="00591584">
        <w:rPr>
          <w:lang w:val="es-ES"/>
        </w:rPr>
        <w:t>, también es habitual expresar el nivel de ruido en forma de intensidad de campo, especialmente por debajo de 30 MHz. Para este tipo de presentación es necesario convertir la potencia de ruido medida utilizando la siguiente ecuación de la Recomendación UIT</w:t>
      </w:r>
      <w:r w:rsidRPr="00591584">
        <w:rPr>
          <w:lang w:val="es-ES"/>
        </w:rPr>
        <w:noBreakHyphen/>
        <w:t>R P.372:</w:t>
      </w:r>
    </w:p>
    <w:p w:rsidR="003C700B" w:rsidRPr="00EE15CA" w:rsidRDefault="003C700B" w:rsidP="003C700B">
      <w:pPr>
        <w:pStyle w:val="Blanc"/>
        <w:rPr>
          <w:lang w:val="es-ES_tradnl"/>
        </w:rPr>
      </w:pPr>
    </w:p>
    <w:p w:rsidR="002B3327" w:rsidRPr="00591584" w:rsidRDefault="002B3327" w:rsidP="002A55BE">
      <w:pPr>
        <w:pStyle w:val="Equation"/>
        <w:rPr>
          <w:lang w:val="es-ES"/>
        </w:rPr>
      </w:pPr>
      <w:r w:rsidRPr="00591584">
        <w:rPr>
          <w:lang w:val="es-ES"/>
        </w:rPr>
        <w:tab/>
      </w:r>
      <w:r w:rsidRPr="00591584">
        <w:rPr>
          <w:lang w:val="es-ES"/>
        </w:rPr>
        <w:tab/>
      </w:r>
      <w:r w:rsidRPr="00591584">
        <w:rPr>
          <w:position w:val="-12"/>
          <w:lang w:val="es-ES"/>
        </w:rPr>
        <w:object w:dxaOrig="3600" w:dyaOrig="360">
          <v:shape id="_x0000_i1047" type="#_x0000_t75" style="width:179.3pt;height:18.35pt" o:ole="">
            <v:imagedata r:id="rId49" o:title=""/>
          </v:shape>
          <o:OLEObject Type="Embed" ProgID="Equation.3" ShapeID="_x0000_i1047" DrawAspect="Content" ObjectID="_1357644471" r:id="rId50"/>
        </w:object>
      </w:r>
      <w:r w:rsidRPr="00591584">
        <w:rPr>
          <w:lang w:val="es-ES"/>
        </w:rPr>
        <w:tab/>
        <w:t>(15)</w:t>
      </w:r>
    </w:p>
    <w:p w:rsidR="002B3327" w:rsidRPr="00591584" w:rsidRDefault="002B3327" w:rsidP="002A55BE">
      <w:pPr>
        <w:rPr>
          <w:lang w:val="es-ES"/>
        </w:rPr>
      </w:pPr>
      <w:r w:rsidRPr="00591584">
        <w:rPr>
          <w:lang w:val="es-ES"/>
        </w:rPr>
        <w:lastRenderedPageBreak/>
        <w:t>donde:</w:t>
      </w:r>
    </w:p>
    <w:p w:rsidR="002B3327" w:rsidRPr="00591584" w:rsidRDefault="002B3327" w:rsidP="002A55BE">
      <w:pPr>
        <w:pStyle w:val="Equationlegend"/>
        <w:rPr>
          <w:lang w:val="es-ES"/>
        </w:rPr>
      </w:pPr>
      <w:r w:rsidRPr="00591584">
        <w:rPr>
          <w:lang w:val="es-ES"/>
        </w:rPr>
        <w:tab/>
      </w:r>
      <w:r w:rsidRPr="00591584">
        <w:rPr>
          <w:i/>
          <w:u w:color="000000"/>
          <w:lang w:val="es-ES"/>
        </w:rPr>
        <w:t>F</w:t>
      </w:r>
      <w:r w:rsidRPr="00591584">
        <w:rPr>
          <w:i/>
          <w:u w:color="000000"/>
          <w:vertAlign w:val="subscript"/>
          <w:lang w:val="es-ES"/>
        </w:rPr>
        <w:t>a</w:t>
      </w:r>
      <w:r w:rsidR="003C700B">
        <w:rPr>
          <w:i/>
          <w:u w:color="000000"/>
          <w:vertAlign w:val="subscript"/>
          <w:lang w:val="es-ES"/>
        </w:rPr>
        <w:t xml:space="preserve"> </w:t>
      </w:r>
      <w:r w:rsidRPr="00591584">
        <w:rPr>
          <w:lang w:val="es-ES"/>
        </w:rPr>
        <w:t>:</w:t>
      </w:r>
      <w:r w:rsidRPr="00591584">
        <w:rPr>
          <w:lang w:val="es-ES"/>
        </w:rPr>
        <w:tab/>
        <w:t>factor de ruido debido al ruido externo (</w:t>
      </w:r>
      <w:r w:rsidRPr="00591584">
        <w:rPr>
          <w:i/>
          <w:lang w:val="es-ES"/>
        </w:rPr>
        <w:t>F</w:t>
      </w:r>
      <w:r w:rsidRPr="00591584">
        <w:rPr>
          <w:i/>
          <w:u w:color="000000"/>
          <w:vertAlign w:val="subscript"/>
          <w:lang w:val="es-ES"/>
        </w:rPr>
        <w:t>a</w:t>
      </w:r>
      <w:r w:rsidRPr="00591584">
        <w:rPr>
          <w:lang w:val="es-ES"/>
        </w:rPr>
        <w:t> = 10 log(</w:t>
      </w:r>
      <w:r w:rsidRPr="00591584">
        <w:rPr>
          <w:i/>
          <w:lang w:val="es-ES"/>
        </w:rPr>
        <w:t>f</w:t>
      </w:r>
      <w:r w:rsidRPr="00591584">
        <w:rPr>
          <w:i/>
          <w:u w:color="000000"/>
          <w:vertAlign w:val="subscript"/>
          <w:lang w:val="es-ES"/>
        </w:rPr>
        <w:t>a</w:t>
      </w:r>
      <w:r w:rsidRPr="00591584">
        <w:rPr>
          <w:lang w:val="es-ES"/>
        </w:rPr>
        <w:t>)</w:t>
      </w:r>
    </w:p>
    <w:p w:rsidR="002B3327" w:rsidRPr="00591584" w:rsidRDefault="002B3327" w:rsidP="002A55BE">
      <w:pPr>
        <w:pStyle w:val="Equationlegend"/>
        <w:rPr>
          <w:lang w:val="es-ES"/>
        </w:rPr>
      </w:pPr>
      <w:r w:rsidRPr="00591584">
        <w:rPr>
          <w:lang w:val="es-ES"/>
        </w:rPr>
        <w:tab/>
      </w:r>
      <w:r w:rsidRPr="00591584">
        <w:rPr>
          <w:i/>
          <w:u w:color="000000"/>
          <w:lang w:val="es-ES"/>
        </w:rPr>
        <w:t>f</w:t>
      </w:r>
      <w:r w:rsidR="003C700B">
        <w:rPr>
          <w:i/>
          <w:u w:color="000000"/>
          <w:lang w:val="es-ES"/>
        </w:rPr>
        <w:t xml:space="preserve"> </w:t>
      </w:r>
      <w:r w:rsidRPr="00591584">
        <w:rPr>
          <w:lang w:val="es-ES"/>
        </w:rPr>
        <w:t>:</w:t>
      </w:r>
      <w:r w:rsidRPr="00591584">
        <w:rPr>
          <w:lang w:val="es-ES"/>
        </w:rPr>
        <w:tab/>
        <w:t>frecuencia de medición (MHz)</w:t>
      </w:r>
    </w:p>
    <w:p w:rsidR="002B3327" w:rsidRPr="00591584" w:rsidRDefault="002B3327" w:rsidP="002A55BE">
      <w:pPr>
        <w:pStyle w:val="Equationlegend"/>
        <w:rPr>
          <w:rStyle w:val="EquationlegendChar"/>
          <w:lang w:val="es-ES"/>
        </w:rPr>
      </w:pPr>
      <w:r w:rsidRPr="00591584">
        <w:rPr>
          <w:lang w:val="es-ES"/>
        </w:rPr>
        <w:tab/>
      </w:r>
      <w:r w:rsidRPr="00591584">
        <w:rPr>
          <w:i/>
          <w:u w:color="000000"/>
          <w:lang w:val="es-ES"/>
        </w:rPr>
        <w:t>B</w:t>
      </w:r>
      <w:r w:rsidR="003C700B">
        <w:rPr>
          <w:i/>
          <w:u w:color="000000"/>
          <w:lang w:val="es-ES"/>
        </w:rPr>
        <w:t xml:space="preserve"> </w:t>
      </w:r>
      <w:r w:rsidRPr="00591584">
        <w:rPr>
          <w:rStyle w:val="EquationlegendChar"/>
          <w:lang w:val="es-ES"/>
        </w:rPr>
        <w:t>:</w:t>
      </w:r>
      <w:r w:rsidRPr="00591584">
        <w:rPr>
          <w:rStyle w:val="EquationlegendChar"/>
          <w:lang w:val="es-ES"/>
        </w:rPr>
        <w:tab/>
        <w:t>anchura de banda de medición del ruido equivalente en unidades logarítmicas (</w:t>
      </w:r>
      <w:r w:rsidRPr="00591584">
        <w:rPr>
          <w:rStyle w:val="EquationlegendChar"/>
          <w:i/>
          <w:lang w:val="es-ES"/>
        </w:rPr>
        <w:t>B</w:t>
      </w:r>
      <w:r w:rsidRPr="00591584">
        <w:rPr>
          <w:rStyle w:val="EquationlegendChar"/>
          <w:lang w:val="es-ES"/>
        </w:rPr>
        <w:t> = 10 log(</w:t>
      </w:r>
      <w:r w:rsidRPr="00591584">
        <w:rPr>
          <w:rStyle w:val="EquationlegendChar"/>
          <w:i/>
          <w:lang w:val="es-ES"/>
        </w:rPr>
        <w:t>b</w:t>
      </w:r>
      <w:r w:rsidRPr="00591584">
        <w:rPr>
          <w:rStyle w:val="EquationlegendChar"/>
          <w:lang w:val="es-ES"/>
        </w:rPr>
        <w:t>).</w:t>
      </w:r>
    </w:p>
    <w:p w:rsidR="002B3327" w:rsidRPr="00591584" w:rsidRDefault="002B3327" w:rsidP="002A55BE">
      <w:pPr>
        <w:rPr>
          <w:lang w:val="es-ES"/>
        </w:rPr>
      </w:pPr>
      <w:r w:rsidRPr="00591584">
        <w:rPr>
          <w:lang w:val="es-ES"/>
        </w:rPr>
        <w:t xml:space="preserve">La ecuación (15) es válida para monopolos verticales cortos. En el caso de dipolos adaptados, el valor 95,5 debe sustituirse por 99,0. </w:t>
      </w:r>
    </w:p>
    <w:p w:rsidR="002B3327" w:rsidRPr="00591584" w:rsidRDefault="002B3327" w:rsidP="002A55BE">
      <w:pPr>
        <w:rPr>
          <w:lang w:val="es-ES"/>
        </w:rPr>
      </w:pPr>
      <w:r w:rsidRPr="00591584">
        <w:rPr>
          <w:lang w:val="es-ES"/>
        </w:rPr>
        <w:t xml:space="preserve">En las gamas de frecuencias por debajo de 30 MHz, el ruido radioeléctrico varía significativamente a los largo de la hora del día. Por consiguiente, los resultados obtenidos deben presentarse para un periodo de 24 </w:t>
      </w:r>
      <w:r>
        <w:rPr>
          <w:lang w:val="es-ES"/>
        </w:rPr>
        <w:t>horas</w:t>
      </w:r>
      <w:r w:rsidRPr="00591584">
        <w:rPr>
          <w:lang w:val="es-ES"/>
        </w:rPr>
        <w:t>.</w:t>
      </w:r>
    </w:p>
    <w:p w:rsidR="002B3327" w:rsidRPr="00591584" w:rsidRDefault="002B3327" w:rsidP="002A55BE">
      <w:pPr>
        <w:rPr>
          <w:lang w:val="es-ES"/>
        </w:rPr>
      </w:pPr>
      <w:r w:rsidRPr="00591584">
        <w:rPr>
          <w:lang w:val="es-ES"/>
        </w:rPr>
        <w:t xml:space="preserve">La </w:t>
      </w:r>
      <w:r>
        <w:rPr>
          <w:lang w:val="es-ES"/>
        </w:rPr>
        <w:t>Fig.</w:t>
      </w:r>
      <w:r w:rsidRPr="00591584">
        <w:rPr>
          <w:lang w:val="es-ES"/>
        </w:rPr>
        <w:t xml:space="preserve"> 9 muestra un ejemplo de resultados de medición a 5 MHz (4</w:t>
      </w:r>
      <w:r>
        <w:rPr>
          <w:lang w:val="es-ES"/>
        </w:rPr>
        <w:t>,</w:t>
      </w:r>
      <w:r w:rsidRPr="00591584">
        <w:rPr>
          <w:lang w:val="es-ES"/>
        </w:rPr>
        <w:t>9-5</w:t>
      </w:r>
      <w:r>
        <w:rPr>
          <w:lang w:val="es-ES"/>
        </w:rPr>
        <w:t>,</w:t>
      </w:r>
      <w:r w:rsidRPr="00591584">
        <w:rPr>
          <w:lang w:val="es-ES"/>
        </w:rPr>
        <w:t>1 MHz). A la izquierda del gráfico aparecen los valores máximo, medio y mínimo a lo largo de las 24 </w:t>
      </w:r>
      <w:r>
        <w:rPr>
          <w:lang w:val="es-ES"/>
        </w:rPr>
        <w:t>horas</w:t>
      </w:r>
      <w:r w:rsidRPr="00591584">
        <w:rPr>
          <w:lang w:val="es-ES"/>
        </w:rPr>
        <w:t xml:space="preserve"> y a la derecha el espectrograma que contiene todas las exploraciones a lo largo de las 24 </w:t>
      </w:r>
      <w:r>
        <w:rPr>
          <w:lang w:val="es-ES"/>
        </w:rPr>
        <w:t>horas</w:t>
      </w:r>
      <w:r w:rsidRPr="00591584">
        <w:rPr>
          <w:lang w:val="es-ES"/>
        </w:rPr>
        <w:t xml:space="preserve">. </w:t>
      </w:r>
    </w:p>
    <w:p w:rsidR="002B3327" w:rsidRPr="00144373" w:rsidRDefault="00151803" w:rsidP="002B3327">
      <w:pPr>
        <w:pStyle w:val="FigureNo"/>
        <w:rPr>
          <w:sz w:val="24"/>
          <w:szCs w:val="24"/>
          <w:lang w:val="es-ES"/>
        </w:rPr>
      </w:pPr>
      <w:r w:rsidRPr="00970B36">
        <w:rPr>
          <w:sz w:val="24"/>
          <w:szCs w:val="24"/>
          <w:lang w:val="es-ES"/>
        </w:rPr>
        <w:pict>
          <v:shape id="_x0000_i1048" type="#_x0000_t75" style="width:439.25pt;height:283.65pt">
            <v:imagedata r:id="rId51" o:title=""/>
          </v:shape>
        </w:pict>
      </w:r>
    </w:p>
    <w:p w:rsidR="002B3327" w:rsidRPr="00591584" w:rsidRDefault="002B3327" w:rsidP="002A55BE">
      <w:pPr>
        <w:rPr>
          <w:lang w:val="es-ES"/>
        </w:rPr>
      </w:pPr>
      <w:r w:rsidRPr="00591584">
        <w:rPr>
          <w:lang w:val="es-ES"/>
        </w:rPr>
        <w:t>Los resultados también pueden integrarse en periodos de 1 h</w:t>
      </w:r>
      <w:r>
        <w:rPr>
          <w:lang w:val="es-ES"/>
        </w:rPr>
        <w:t>ora</w:t>
      </w:r>
      <w:r w:rsidRPr="00591584">
        <w:rPr>
          <w:lang w:val="es-ES"/>
        </w:rPr>
        <w:t xml:space="preserve"> y presentarse en forma tabular (una valor cada hora). </w:t>
      </w:r>
    </w:p>
    <w:p w:rsidR="002B3327" w:rsidRPr="00591584" w:rsidRDefault="002B3327" w:rsidP="002A55BE">
      <w:pPr>
        <w:rPr>
          <w:lang w:val="es-ES"/>
        </w:rPr>
      </w:pPr>
      <w:r w:rsidRPr="00591584">
        <w:rPr>
          <w:lang w:val="es-ES"/>
        </w:rPr>
        <w:t xml:space="preserve">Una manera alternativa de presentar los resultados del WGN es mediante el denominado diagrama de </w:t>
      </w:r>
      <w:r>
        <w:rPr>
          <w:lang w:val="es-ES"/>
        </w:rPr>
        <w:t>caja</w:t>
      </w:r>
      <w:r w:rsidRPr="00591584">
        <w:rPr>
          <w:lang w:val="es-ES"/>
        </w:rPr>
        <w:t xml:space="preserve">. Para cada hora se calculan los valores máximo, del 90% superior, mediano, del 10% inferior y mínimo, y se presentan en un </w:t>
      </w:r>
      <w:r>
        <w:rPr>
          <w:lang w:val="es-ES"/>
        </w:rPr>
        <w:t>Cuadro</w:t>
      </w:r>
      <w:r w:rsidRPr="00591584">
        <w:rPr>
          <w:lang w:val="es-ES"/>
        </w:rPr>
        <w:t>.</w:t>
      </w:r>
    </w:p>
    <w:p w:rsidR="002B3327" w:rsidRPr="00144373" w:rsidRDefault="00151803" w:rsidP="002B3327">
      <w:pPr>
        <w:pStyle w:val="FigureNo"/>
        <w:rPr>
          <w:sz w:val="24"/>
          <w:szCs w:val="24"/>
          <w:lang w:val="es-ES"/>
        </w:rPr>
      </w:pPr>
      <w:r w:rsidRPr="00970B36">
        <w:rPr>
          <w:sz w:val="24"/>
          <w:szCs w:val="24"/>
          <w:lang w:val="es-ES"/>
        </w:rPr>
        <w:lastRenderedPageBreak/>
        <w:pict>
          <v:shape id="_x0000_i1049" type="#_x0000_t75" style="width:282.7pt;height:214.55pt;mso-position-vertical:absolute">
            <v:imagedata r:id="rId52" o:title=""/>
          </v:shape>
        </w:pict>
      </w:r>
    </w:p>
    <w:p w:rsidR="003C700B" w:rsidRDefault="003C700B" w:rsidP="002A55BE">
      <w:pPr>
        <w:rPr>
          <w:lang w:val="es-ES"/>
        </w:rPr>
      </w:pPr>
    </w:p>
    <w:p w:rsidR="002B3327" w:rsidRPr="00591584" w:rsidRDefault="002B3327" w:rsidP="002A55BE">
      <w:pPr>
        <w:rPr>
          <w:lang w:val="es-ES"/>
        </w:rPr>
      </w:pPr>
      <w:r w:rsidRPr="00591584">
        <w:rPr>
          <w:lang w:val="es-ES"/>
        </w:rPr>
        <w:t xml:space="preserve">Este diagrama de caja es especialmente útil para presentar los resultados procedentes de múltiples mediciones en un solo diagrama. </w:t>
      </w:r>
    </w:p>
    <w:p w:rsidR="002B3327" w:rsidRPr="00591584" w:rsidRDefault="002B3327" w:rsidP="006A041D">
      <w:pPr>
        <w:keepNext/>
        <w:keepLines/>
        <w:rPr>
          <w:lang w:val="es-ES"/>
        </w:rPr>
      </w:pPr>
      <w:r w:rsidRPr="00591584">
        <w:rPr>
          <w:lang w:val="es-ES"/>
        </w:rPr>
        <w:t xml:space="preserve">La </w:t>
      </w:r>
      <w:r>
        <w:rPr>
          <w:lang w:val="es-ES"/>
        </w:rPr>
        <w:t>Fig.</w:t>
      </w:r>
      <w:r w:rsidRPr="00591584">
        <w:rPr>
          <w:lang w:val="es-ES"/>
        </w:rPr>
        <w:t xml:space="preserve"> 11 muestra un diagrama de caja que resume los resultados de 23 mediciones realizadas en emplazamientos rurales.</w:t>
      </w:r>
    </w:p>
    <w:p w:rsidR="002B3327" w:rsidRPr="00144373" w:rsidRDefault="00151803" w:rsidP="00074ED7">
      <w:pPr>
        <w:pStyle w:val="FigureNo"/>
        <w:keepNext w:val="0"/>
        <w:keepLines w:val="0"/>
        <w:rPr>
          <w:lang w:val="es-ES"/>
        </w:rPr>
      </w:pPr>
      <w:r w:rsidRPr="00970B36">
        <w:rPr>
          <w:lang w:val="es-ES"/>
        </w:rPr>
        <w:pict>
          <v:shape id="_x0000_i1050" type="#_x0000_t75" style="width:487.55pt;height:304.9pt;mso-position-horizontal:absolute">
            <v:imagedata r:id="rId53" o:title=""/>
          </v:shape>
        </w:pict>
      </w:r>
    </w:p>
    <w:p w:rsidR="002B3327" w:rsidRPr="00591584" w:rsidRDefault="002B3327" w:rsidP="002A55BE">
      <w:pPr>
        <w:pStyle w:val="Heading2"/>
        <w:rPr>
          <w:lang w:val="es-ES"/>
        </w:rPr>
      </w:pPr>
      <w:r w:rsidRPr="00591584">
        <w:rPr>
          <w:lang w:val="es-ES"/>
        </w:rPr>
        <w:lastRenderedPageBreak/>
        <w:t>11.2</w:t>
      </w:r>
      <w:r w:rsidRPr="00591584">
        <w:rPr>
          <w:lang w:val="es-ES"/>
        </w:rPr>
        <w:tab/>
        <w:t>Mediciones del IN</w:t>
      </w:r>
    </w:p>
    <w:p w:rsidR="002B3327" w:rsidRPr="00591584" w:rsidRDefault="002B3327" w:rsidP="00074ED7">
      <w:pPr>
        <w:keepNext/>
        <w:keepLines/>
        <w:rPr>
          <w:lang w:val="es-ES"/>
        </w:rPr>
      </w:pPr>
      <w:r w:rsidRPr="00591584">
        <w:rPr>
          <w:lang w:val="es-ES"/>
        </w:rPr>
        <w:t xml:space="preserve">Las estadísticas del nivel del impulso/ráfaga se presentan mejor en forma de un gráfico de APD como el que ilustra la </w:t>
      </w:r>
      <w:r>
        <w:rPr>
          <w:lang w:val="es-ES"/>
        </w:rPr>
        <w:t>Fig.</w:t>
      </w:r>
      <w:r w:rsidRPr="00591584">
        <w:rPr>
          <w:lang w:val="es-ES"/>
        </w:rPr>
        <w:t xml:space="preserve"> 3. Si todas las muestras de mediciones se incluyen en la APD (muestras de IN y de WGN), la cantidad relativa de impulsos </w:t>
      </w:r>
      <w:r>
        <w:rPr>
          <w:lang w:val="es-ES"/>
        </w:rPr>
        <w:t>puede obtenerse a partir del grá</w:t>
      </w:r>
      <w:r w:rsidRPr="00591584">
        <w:rPr>
          <w:lang w:val="es-ES"/>
        </w:rPr>
        <w:t>fico directamente leyendo el valor en el que el gr</w:t>
      </w:r>
      <w:r>
        <w:rPr>
          <w:lang w:val="es-ES"/>
        </w:rPr>
        <w:t>á</w:t>
      </w:r>
      <w:r w:rsidRPr="00591584">
        <w:rPr>
          <w:lang w:val="es-ES"/>
        </w:rPr>
        <w:t xml:space="preserve">fico deja la línea recta a la izquierda. En el ejemplo de la </w:t>
      </w:r>
      <w:r>
        <w:rPr>
          <w:lang w:val="es-ES"/>
        </w:rPr>
        <w:t>Fig.</w:t>
      </w:r>
      <w:r w:rsidRPr="00591584">
        <w:rPr>
          <w:lang w:val="es-ES"/>
        </w:rPr>
        <w:t xml:space="preserve"> 3, esto sucede en el 0,1%.</w:t>
      </w:r>
    </w:p>
    <w:p w:rsidR="002B3327" w:rsidRPr="00591584" w:rsidRDefault="002B3327" w:rsidP="00EB2551">
      <w:pPr>
        <w:rPr>
          <w:lang w:val="es-ES"/>
        </w:rPr>
      </w:pPr>
      <w:r w:rsidRPr="00591584">
        <w:rPr>
          <w:lang w:val="es-ES"/>
        </w:rPr>
        <w:t>Sin embargo, puede extraerse información más detallada sobre la distribución del nivel de los impulsos de la APD producida únicamente por las muestras de IN y convertida en niveles de densidad (v</w:t>
      </w:r>
      <w:r>
        <w:rPr>
          <w:lang w:val="es-ES"/>
        </w:rPr>
        <w:t>é</w:t>
      </w:r>
      <w:r w:rsidRPr="00591584">
        <w:rPr>
          <w:lang w:val="es-ES"/>
        </w:rPr>
        <w:t>as</w:t>
      </w:r>
      <w:r>
        <w:rPr>
          <w:lang w:val="es-ES"/>
        </w:rPr>
        <w:t>e</w:t>
      </w:r>
      <w:r w:rsidRPr="00591584">
        <w:rPr>
          <w:lang w:val="es-ES"/>
        </w:rPr>
        <w:t xml:space="preserve"> el </w:t>
      </w:r>
      <w:r w:rsidR="00EB2551">
        <w:rPr>
          <w:lang w:val="es-ES"/>
        </w:rPr>
        <w:t>§ </w:t>
      </w:r>
      <w:r w:rsidRPr="00591584">
        <w:rPr>
          <w:lang w:val="es-ES"/>
        </w:rPr>
        <w:t>10.10.1).</w:t>
      </w:r>
    </w:p>
    <w:p w:rsidR="002B3327" w:rsidRPr="00591584" w:rsidRDefault="002B3327" w:rsidP="002A55BE">
      <w:pPr>
        <w:rPr>
          <w:lang w:val="es-ES"/>
        </w:rPr>
      </w:pPr>
      <w:r w:rsidRPr="00591584">
        <w:rPr>
          <w:lang w:val="es-ES"/>
        </w:rPr>
        <w:t xml:space="preserve">La distribución de la duración y el periodo del impulso/ráfaga puede presentarse más adecuadamente como un gráfico que indique la probabilidad relativa en función de la propia duración o el periodo, como puede verse en la </w:t>
      </w:r>
      <w:r>
        <w:rPr>
          <w:lang w:val="es-ES"/>
        </w:rPr>
        <w:t>Fig.</w:t>
      </w:r>
      <w:r w:rsidRPr="00591584">
        <w:rPr>
          <w:lang w:val="es-ES"/>
        </w:rPr>
        <w:t xml:space="preserve"> 12.</w:t>
      </w:r>
    </w:p>
    <w:p w:rsidR="002B3327" w:rsidRPr="00833B2D" w:rsidRDefault="00151803" w:rsidP="002B3327">
      <w:pPr>
        <w:pStyle w:val="FigureNo"/>
        <w:rPr>
          <w:sz w:val="24"/>
          <w:szCs w:val="24"/>
          <w:lang w:val="es-ES"/>
        </w:rPr>
      </w:pPr>
      <w:r w:rsidRPr="00970B36">
        <w:rPr>
          <w:sz w:val="24"/>
          <w:szCs w:val="24"/>
          <w:lang w:val="es-ES"/>
        </w:rPr>
        <w:pict>
          <v:shape id="_x0000_i1051" type="#_x0000_t75" style="width:395.3pt;height:263.35pt;mso-position-vertical:absolute">
            <v:imagedata r:id="rId54" o:title=""/>
          </v:shape>
        </w:pict>
      </w:r>
    </w:p>
    <w:p w:rsidR="003C700B" w:rsidRDefault="003C700B" w:rsidP="003C700B">
      <w:pPr>
        <w:rPr>
          <w:lang w:val="es-ES"/>
        </w:rPr>
      </w:pPr>
    </w:p>
    <w:p w:rsidR="002B3327" w:rsidRPr="00591584" w:rsidRDefault="002B3327" w:rsidP="002A55BE">
      <w:pPr>
        <w:rPr>
          <w:lang w:val="es-ES"/>
        </w:rPr>
      </w:pPr>
      <w:r w:rsidRPr="00591584">
        <w:rPr>
          <w:lang w:val="es-ES"/>
        </w:rPr>
        <w:t>El ejemplo muestra que la mayoría de los impulsos tiene una duración de 7 µs.</w:t>
      </w:r>
    </w:p>
    <w:p w:rsidR="002B3327" w:rsidRPr="00591584" w:rsidRDefault="002B3327" w:rsidP="002A55BE">
      <w:pPr>
        <w:rPr>
          <w:lang w:val="es-ES"/>
        </w:rPr>
      </w:pPr>
      <w:r w:rsidRPr="00591584">
        <w:rPr>
          <w:lang w:val="es-ES"/>
        </w:rPr>
        <w:t>La resolución en el tiempo de este gráfico es igual a la velocidad de muestreo.</w:t>
      </w:r>
    </w:p>
    <w:p w:rsidR="002B3327" w:rsidRPr="00591584" w:rsidRDefault="002B3327" w:rsidP="002A55BE">
      <w:pPr>
        <w:pStyle w:val="Heading1"/>
        <w:rPr>
          <w:u w:color="000000"/>
          <w:lang w:val="es-ES"/>
        </w:rPr>
      </w:pPr>
      <w:r w:rsidRPr="00591584">
        <w:rPr>
          <w:u w:color="000000"/>
          <w:lang w:val="es-ES"/>
        </w:rPr>
        <w:t>12</w:t>
      </w:r>
      <w:r w:rsidRPr="00591584">
        <w:rPr>
          <w:u w:color="000000"/>
          <w:lang w:val="es-ES"/>
        </w:rPr>
        <w:tab/>
        <w:t>Limitaciones</w:t>
      </w:r>
    </w:p>
    <w:p w:rsidR="002B3327" w:rsidRPr="00591584" w:rsidRDefault="002B3327" w:rsidP="002A55BE">
      <w:pPr>
        <w:rPr>
          <w:lang w:val="es-ES"/>
        </w:rPr>
      </w:pPr>
      <w:r w:rsidRPr="00591584">
        <w:rPr>
          <w:lang w:val="es-ES"/>
        </w:rPr>
        <w:t>El método descrito para separa</w:t>
      </w:r>
      <w:r>
        <w:rPr>
          <w:lang w:val="es-ES"/>
        </w:rPr>
        <w:t>r</w:t>
      </w:r>
      <w:r w:rsidRPr="00591584">
        <w:rPr>
          <w:lang w:val="es-ES"/>
        </w:rPr>
        <w:t xml:space="preserve"> el IN del WGN y calcular sus valores fundamentales da lugar a los siguientes límites para los parámetros del IN:</w:t>
      </w:r>
    </w:p>
    <w:p w:rsidR="002B3327" w:rsidRPr="00591584" w:rsidRDefault="002B3327" w:rsidP="002B3327">
      <w:pPr>
        <w:pStyle w:val="TableNo"/>
        <w:rPr>
          <w:lang w:val="es-ES"/>
        </w:rPr>
      </w:pPr>
      <w:r w:rsidRPr="00591584">
        <w:rPr>
          <w:lang w:val="es-ES"/>
        </w:rPr>
        <w:lastRenderedPageBreak/>
        <w:t>CUADRO 10</w:t>
      </w:r>
    </w:p>
    <w:p w:rsidR="002B3327" w:rsidRPr="00591584" w:rsidRDefault="002B3327" w:rsidP="002B3327">
      <w:pPr>
        <w:pStyle w:val="Tabletitle"/>
        <w:rPr>
          <w:lang w:val="es-ES"/>
        </w:rPr>
      </w:pPr>
      <w:r w:rsidRPr="00591584">
        <w:rPr>
          <w:lang w:val="es-ES"/>
        </w:rPr>
        <w:t>Limitaciones para el IN medible</w:t>
      </w:r>
    </w:p>
    <w:tbl>
      <w:tblPr>
        <w:tblW w:w="89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2410"/>
        <w:gridCol w:w="6521"/>
      </w:tblGrid>
      <w:tr w:rsidR="002B3327" w:rsidRPr="00591584" w:rsidTr="003C700B">
        <w:trPr>
          <w:jc w:val="center"/>
        </w:trPr>
        <w:tc>
          <w:tcPr>
            <w:tcW w:w="2410" w:type="dxa"/>
          </w:tcPr>
          <w:p w:rsidR="002B3327" w:rsidRPr="00591584" w:rsidRDefault="002B3327" w:rsidP="005D140F">
            <w:pPr>
              <w:pStyle w:val="Tablehead"/>
              <w:rPr>
                <w:lang w:val="es-ES"/>
              </w:rPr>
            </w:pPr>
            <w:r w:rsidRPr="00591584">
              <w:rPr>
                <w:lang w:val="es-ES"/>
              </w:rPr>
              <w:t>Parámetro</w:t>
            </w:r>
          </w:p>
        </w:tc>
        <w:tc>
          <w:tcPr>
            <w:tcW w:w="6521" w:type="dxa"/>
          </w:tcPr>
          <w:p w:rsidR="002B3327" w:rsidRPr="00591584" w:rsidRDefault="002B3327" w:rsidP="005D140F">
            <w:pPr>
              <w:pStyle w:val="Tablehead"/>
              <w:rPr>
                <w:lang w:val="es-ES"/>
              </w:rPr>
            </w:pPr>
            <w:r w:rsidRPr="00591584">
              <w:rPr>
                <w:lang w:val="es-ES"/>
              </w:rPr>
              <w:t>Valor</w:t>
            </w:r>
          </w:p>
        </w:tc>
      </w:tr>
      <w:tr w:rsidR="002B3327" w:rsidRPr="00151803" w:rsidTr="003C700B">
        <w:trPr>
          <w:jc w:val="center"/>
        </w:trPr>
        <w:tc>
          <w:tcPr>
            <w:tcW w:w="2410" w:type="dxa"/>
          </w:tcPr>
          <w:p w:rsidR="002B3327" w:rsidRPr="00591584" w:rsidRDefault="002B3327" w:rsidP="00074ED7">
            <w:pPr>
              <w:pStyle w:val="Tabletext"/>
              <w:keepNext/>
              <w:keepLines/>
              <w:jc w:val="left"/>
              <w:rPr>
                <w:lang w:val="es-ES"/>
              </w:rPr>
            </w:pPr>
            <w:r w:rsidRPr="00591584">
              <w:rPr>
                <w:lang w:val="es-ES"/>
              </w:rPr>
              <w:t>Nivel de IN más bajo</w:t>
            </w:r>
          </w:p>
        </w:tc>
        <w:tc>
          <w:tcPr>
            <w:tcW w:w="6521" w:type="dxa"/>
          </w:tcPr>
          <w:p w:rsidR="002B3327" w:rsidRPr="00591584" w:rsidRDefault="002B3327" w:rsidP="00074ED7">
            <w:pPr>
              <w:pStyle w:val="Tabletext"/>
              <w:keepNext/>
              <w:keepLines/>
              <w:jc w:val="left"/>
              <w:rPr>
                <w:lang w:val="es-ES"/>
              </w:rPr>
            </w:pPr>
            <w:r w:rsidRPr="00591584">
              <w:rPr>
                <w:lang w:val="es-ES"/>
              </w:rPr>
              <w:t>13 dB por encima del nivel del WGN</w:t>
            </w:r>
          </w:p>
        </w:tc>
      </w:tr>
      <w:tr w:rsidR="002B3327" w:rsidRPr="00591584" w:rsidTr="003C700B">
        <w:trPr>
          <w:jc w:val="center"/>
        </w:trPr>
        <w:tc>
          <w:tcPr>
            <w:tcW w:w="2410" w:type="dxa"/>
          </w:tcPr>
          <w:p w:rsidR="002B3327" w:rsidRPr="00591584" w:rsidRDefault="002B3327" w:rsidP="003C700B">
            <w:pPr>
              <w:pStyle w:val="Tabletext"/>
              <w:jc w:val="left"/>
              <w:rPr>
                <w:lang w:val="es-ES"/>
              </w:rPr>
            </w:pPr>
            <w:r w:rsidRPr="00591584">
              <w:rPr>
                <w:lang w:val="es-ES"/>
              </w:rPr>
              <w:t>Duración del impulso más breve</w:t>
            </w:r>
          </w:p>
        </w:tc>
        <w:tc>
          <w:tcPr>
            <w:tcW w:w="6521" w:type="dxa"/>
          </w:tcPr>
          <w:p w:rsidR="002B3327" w:rsidRPr="00591584" w:rsidRDefault="002B3327" w:rsidP="003C700B">
            <w:pPr>
              <w:pStyle w:val="Tabletext"/>
              <w:jc w:val="left"/>
              <w:rPr>
                <w:lang w:val="es-ES"/>
              </w:rPr>
            </w:pPr>
            <w:r w:rsidRPr="00591584">
              <w:rPr>
                <w:lang w:val="es-ES"/>
              </w:rPr>
              <w:t>1/frecuencia de muestreo</w:t>
            </w:r>
          </w:p>
        </w:tc>
      </w:tr>
      <w:tr w:rsidR="002B3327" w:rsidRPr="00151803" w:rsidTr="003C700B">
        <w:trPr>
          <w:jc w:val="center"/>
        </w:trPr>
        <w:tc>
          <w:tcPr>
            <w:tcW w:w="2410" w:type="dxa"/>
          </w:tcPr>
          <w:p w:rsidR="002B3327" w:rsidRPr="00591584" w:rsidRDefault="002B3327" w:rsidP="003C700B">
            <w:pPr>
              <w:pStyle w:val="Tabletext"/>
              <w:jc w:val="left"/>
              <w:rPr>
                <w:lang w:val="es-ES"/>
              </w:rPr>
            </w:pPr>
            <w:r>
              <w:rPr>
                <w:lang w:val="es-ES"/>
              </w:rPr>
              <w:t>D</w:t>
            </w:r>
            <w:r w:rsidRPr="00591584">
              <w:rPr>
                <w:lang w:val="es-ES"/>
              </w:rPr>
              <w:t>uración del impulso más largo</w:t>
            </w:r>
          </w:p>
        </w:tc>
        <w:tc>
          <w:tcPr>
            <w:tcW w:w="6521" w:type="dxa"/>
          </w:tcPr>
          <w:p w:rsidR="003C700B" w:rsidRDefault="002B3327" w:rsidP="003C700B">
            <w:pPr>
              <w:pStyle w:val="Tabletext"/>
              <w:jc w:val="left"/>
              <w:rPr>
                <w:lang w:val="es-ES"/>
              </w:rPr>
            </w:pPr>
            <w:r w:rsidRPr="00591584">
              <w:rPr>
                <w:lang w:val="es-ES"/>
              </w:rPr>
              <w:t>Para mediciones con analizadores de espectro: tiempo de barrido</w:t>
            </w:r>
          </w:p>
          <w:p w:rsidR="002B3327" w:rsidRPr="00591584" w:rsidRDefault="002B3327" w:rsidP="003C700B">
            <w:pPr>
              <w:pStyle w:val="Tabletext"/>
              <w:spacing w:before="0"/>
              <w:jc w:val="left"/>
              <w:rPr>
                <w:u w:color="000000"/>
                <w:lang w:val="es-ES"/>
              </w:rPr>
            </w:pPr>
            <w:r w:rsidRPr="00591584">
              <w:rPr>
                <w:lang w:val="es-ES"/>
              </w:rPr>
              <w:t>Para mediciones continuas: tiempo de medición</w:t>
            </w:r>
          </w:p>
        </w:tc>
      </w:tr>
      <w:tr w:rsidR="002B3327" w:rsidRPr="00151803" w:rsidTr="003C700B">
        <w:trPr>
          <w:jc w:val="center"/>
        </w:trPr>
        <w:tc>
          <w:tcPr>
            <w:tcW w:w="2410" w:type="dxa"/>
          </w:tcPr>
          <w:p w:rsidR="002B3327" w:rsidRPr="00591584" w:rsidRDefault="002B3327" w:rsidP="003C700B">
            <w:pPr>
              <w:pStyle w:val="Tabletext"/>
              <w:jc w:val="left"/>
              <w:rPr>
                <w:lang w:val="es-ES"/>
              </w:rPr>
            </w:pPr>
            <w:r w:rsidRPr="00591584">
              <w:rPr>
                <w:lang w:val="es-ES"/>
              </w:rPr>
              <w:t>Frecuencia de repetición de impulsos más baja</w:t>
            </w:r>
          </w:p>
        </w:tc>
        <w:tc>
          <w:tcPr>
            <w:tcW w:w="6521" w:type="dxa"/>
          </w:tcPr>
          <w:p w:rsidR="002B3327" w:rsidRPr="00591584" w:rsidRDefault="002B3327" w:rsidP="003C700B">
            <w:pPr>
              <w:pStyle w:val="Tabletext"/>
              <w:jc w:val="left"/>
              <w:rPr>
                <w:u w:color="000000"/>
                <w:lang w:val="es-ES"/>
              </w:rPr>
            </w:pPr>
            <w:r w:rsidRPr="00591584">
              <w:rPr>
                <w:lang w:val="es-ES"/>
              </w:rPr>
              <w:t>Para mediciones con analizadores de espectro: 1/tiempo de barrido</w:t>
            </w:r>
            <w:r w:rsidRPr="00591584">
              <w:rPr>
                <w:lang w:val="es-ES"/>
              </w:rPr>
              <w:br/>
              <w:t>Para mediciones continuas (</w:t>
            </w:r>
            <w:r>
              <w:rPr>
                <w:lang w:val="es-ES"/>
              </w:rPr>
              <w:t>por ejemplo</w:t>
            </w:r>
            <w:r w:rsidRPr="00591584">
              <w:rPr>
                <w:lang w:val="es-ES"/>
              </w:rPr>
              <w:t xml:space="preserve"> FFT): 1/tiempo de adquisición</w:t>
            </w:r>
          </w:p>
        </w:tc>
      </w:tr>
      <w:tr w:rsidR="002B3327" w:rsidRPr="00591584" w:rsidTr="003C700B">
        <w:trPr>
          <w:jc w:val="center"/>
        </w:trPr>
        <w:tc>
          <w:tcPr>
            <w:tcW w:w="2410" w:type="dxa"/>
          </w:tcPr>
          <w:p w:rsidR="002B3327" w:rsidRPr="00591584" w:rsidRDefault="002B3327" w:rsidP="003C700B">
            <w:pPr>
              <w:pStyle w:val="Tabletext"/>
              <w:jc w:val="left"/>
              <w:rPr>
                <w:lang w:val="es-ES"/>
              </w:rPr>
            </w:pPr>
            <w:r w:rsidRPr="00591584">
              <w:rPr>
                <w:lang w:val="es-ES"/>
              </w:rPr>
              <w:t>Frecuencia de repetición de impulsos más elevada</w:t>
            </w:r>
          </w:p>
        </w:tc>
        <w:tc>
          <w:tcPr>
            <w:tcW w:w="6521" w:type="dxa"/>
          </w:tcPr>
          <w:p w:rsidR="002B3327" w:rsidRPr="00591584" w:rsidRDefault="002B3327" w:rsidP="003C700B">
            <w:pPr>
              <w:pStyle w:val="Tabletext"/>
              <w:jc w:val="left"/>
              <w:rPr>
                <w:lang w:val="es-ES"/>
              </w:rPr>
            </w:pPr>
            <w:r w:rsidRPr="00591584">
              <w:rPr>
                <w:lang w:val="es-ES"/>
              </w:rPr>
              <w:t>Frecuencia de muestreo/2</w:t>
            </w:r>
          </w:p>
        </w:tc>
      </w:tr>
    </w:tbl>
    <w:p w:rsidR="002B3327" w:rsidRDefault="002B3327" w:rsidP="002A55BE">
      <w:pPr>
        <w:pStyle w:val="Tablefin"/>
        <w:rPr>
          <w:u w:color="000000"/>
          <w:lang w:val="es-ES"/>
        </w:rPr>
      </w:pPr>
    </w:p>
    <w:p w:rsidR="00151803" w:rsidRDefault="00151803" w:rsidP="00151803">
      <w:pPr>
        <w:rPr>
          <w:lang w:val="es-ES"/>
        </w:rPr>
      </w:pPr>
    </w:p>
    <w:p w:rsidR="00151803" w:rsidRDefault="00151803" w:rsidP="00151803">
      <w:pPr>
        <w:rPr>
          <w:lang w:val="es-ES"/>
        </w:rPr>
      </w:pPr>
    </w:p>
    <w:p w:rsidR="00151803" w:rsidRPr="00151803" w:rsidRDefault="00151803" w:rsidP="00151803">
      <w:pPr>
        <w:rPr>
          <w:lang w:val="es-ES"/>
        </w:rPr>
      </w:pPr>
    </w:p>
    <w:p w:rsidR="002B3327" w:rsidRPr="00591584" w:rsidRDefault="002B3327" w:rsidP="00E16436">
      <w:pPr>
        <w:pStyle w:val="AppendixNoTitle"/>
        <w:rPr>
          <w:u w:color="000000"/>
          <w:lang w:val="es-ES"/>
        </w:rPr>
      </w:pPr>
      <w:r w:rsidRPr="00591584">
        <w:rPr>
          <w:u w:color="000000"/>
          <w:lang w:val="es-ES"/>
        </w:rPr>
        <w:t>Apéndice 1</w:t>
      </w:r>
      <w:r w:rsidRPr="00591584">
        <w:rPr>
          <w:u w:color="000000"/>
          <w:lang w:val="es-ES"/>
        </w:rPr>
        <w:br/>
      </w:r>
      <w:r w:rsidRPr="00591584">
        <w:rPr>
          <w:u w:color="000000"/>
          <w:lang w:val="es-ES"/>
        </w:rPr>
        <w:br/>
        <w:t xml:space="preserve">Verificación de la selección de </w:t>
      </w:r>
      <w:r w:rsidRPr="00EE15CA">
        <w:rPr>
          <w:u w:color="000000"/>
          <w:lang w:val="es-ES_tradnl"/>
        </w:rPr>
        <w:t>frecuencia</w:t>
      </w:r>
      <w:r w:rsidRPr="00591584">
        <w:rPr>
          <w:u w:color="000000"/>
          <w:lang w:val="es-ES"/>
        </w:rPr>
        <w:t xml:space="preserve"> del WGN utilizando SVD</w:t>
      </w:r>
    </w:p>
    <w:p w:rsidR="002B3327" w:rsidRPr="00591584" w:rsidRDefault="002B3327" w:rsidP="003C700B">
      <w:pPr>
        <w:pStyle w:val="Normalaftertitle"/>
        <w:keepNext/>
        <w:keepLines/>
        <w:rPr>
          <w:lang w:val="es-ES"/>
        </w:rPr>
      </w:pPr>
      <w:r w:rsidRPr="00591584">
        <w:rPr>
          <w:lang w:val="es-ES"/>
        </w:rPr>
        <w:t>La SVD es un método analítico que sirve para determinar si el ruido medido es no gaussiano. En general, la SVD es una técnica de aproximación de matriz que filtra los valores cero y trabaja con los valores singulares de la matriz. Las matrices están relacionadas con las señales y la SVD separa de forma eficaz los datos de ruido de los datos de la señal.</w:t>
      </w:r>
    </w:p>
    <w:p w:rsidR="002B3327" w:rsidRPr="00591584" w:rsidRDefault="002B3327" w:rsidP="002A55BE">
      <w:pPr>
        <w:rPr>
          <w:lang w:val="es-ES"/>
        </w:rPr>
      </w:pPr>
      <w:r w:rsidRPr="00591584">
        <w:rPr>
          <w:lang w:val="es-ES"/>
        </w:rPr>
        <w:t>La aplicación de la SVD para determinar el ruido gaussiano es un procedimiento de tres etapas:</w:t>
      </w:r>
    </w:p>
    <w:p w:rsidR="002B3327" w:rsidRPr="00591584" w:rsidRDefault="002B3327" w:rsidP="006F431D">
      <w:pPr>
        <w:rPr>
          <w:lang w:val="es-ES"/>
        </w:rPr>
      </w:pPr>
      <w:r w:rsidRPr="00591584">
        <w:rPr>
          <w:i/>
          <w:iCs/>
          <w:lang w:val="es-ES"/>
        </w:rPr>
        <w:t>Etapa 1</w:t>
      </w:r>
      <w:r w:rsidRPr="00591584">
        <w:rPr>
          <w:lang w:val="es-ES"/>
        </w:rPr>
        <w:t>:</w:t>
      </w:r>
      <w:r w:rsidR="006F431D">
        <w:rPr>
          <w:lang w:val="es-ES"/>
        </w:rPr>
        <w:t>  </w:t>
      </w:r>
      <w:r w:rsidRPr="00591584">
        <w:rPr>
          <w:lang w:val="es-ES"/>
        </w:rPr>
        <w:t xml:space="preserve">Utilizando los valores de señal medidos </w:t>
      </w:r>
      <w:r w:rsidRPr="00591584">
        <w:rPr>
          <w:i/>
          <w:iCs/>
          <w:lang w:val="es-ES"/>
        </w:rPr>
        <w:t xml:space="preserve">I </w:t>
      </w:r>
      <w:r w:rsidRPr="00591584">
        <w:rPr>
          <w:lang w:val="es-ES"/>
        </w:rPr>
        <w:t xml:space="preserve">y </w:t>
      </w:r>
      <w:r w:rsidRPr="00591584">
        <w:rPr>
          <w:i/>
          <w:iCs/>
          <w:lang w:val="es-ES"/>
        </w:rPr>
        <w:t>Q</w:t>
      </w:r>
      <w:r w:rsidRPr="00591584">
        <w:rPr>
          <w:lang w:val="es-ES"/>
        </w:rPr>
        <w:t xml:space="preserve"> se forma un valor complejo </w:t>
      </w:r>
      <w:r w:rsidRPr="00591584">
        <w:rPr>
          <w:i/>
          <w:iCs/>
          <w:lang w:val="es-ES"/>
        </w:rPr>
        <w:t>x(n)</w:t>
      </w:r>
      <w:r w:rsidRPr="00591584">
        <w:rPr>
          <w:lang w:val="es-ES"/>
        </w:rPr>
        <w:t xml:space="preserve"> de longitud </w:t>
      </w:r>
      <w:r w:rsidRPr="00591584">
        <w:rPr>
          <w:i/>
          <w:iCs/>
          <w:lang w:val="es-ES"/>
        </w:rPr>
        <w:t>N</w:t>
      </w:r>
      <w:r w:rsidRPr="00591584">
        <w:rPr>
          <w:lang w:val="es-ES"/>
        </w:rPr>
        <w:t>, una secuencia de autocorrelaci</w:t>
      </w:r>
      <w:r w:rsidR="00E16436">
        <w:rPr>
          <w:lang w:val="es-ES"/>
        </w:rPr>
        <w:t>ó</w:t>
      </w:r>
      <w:r w:rsidRPr="00591584">
        <w:rPr>
          <w:lang w:val="es-ES"/>
        </w:rPr>
        <w:t xml:space="preserve">n (ACS) realiza una estimación de la longitud de </w:t>
      </w:r>
      <w:r w:rsidRPr="00591584">
        <w:rPr>
          <w:i/>
          <w:iCs/>
          <w:lang w:val="es-ES"/>
        </w:rPr>
        <w:t>M</w:t>
      </w:r>
      <w:r w:rsidRPr="00591584">
        <w:rPr>
          <w:lang w:val="es-ES"/>
        </w:rPr>
        <w:t xml:space="preserve"> y se construye, como se indica a continuación, una autocor</w:t>
      </w:r>
      <w:r>
        <w:rPr>
          <w:lang w:val="es-ES"/>
        </w:rPr>
        <w:t>r</w:t>
      </w:r>
      <w:r w:rsidRPr="00591584">
        <w:rPr>
          <w:lang w:val="es-ES"/>
        </w:rPr>
        <w:t xml:space="preserve">elación con dicha secuencia mediante los valores de señal medidos: </w:t>
      </w:r>
    </w:p>
    <w:p w:rsidR="002B3327" w:rsidRPr="00591584" w:rsidRDefault="002B3327" w:rsidP="002A55BE">
      <w:pPr>
        <w:rPr>
          <w:lang w:val="es-ES"/>
        </w:rPr>
      </w:pPr>
      <w:r w:rsidRPr="00591584">
        <w:rPr>
          <w:lang w:val="es-ES"/>
        </w:rPr>
        <w:t xml:space="preserve">En primer lugar se determina el orden </w:t>
      </w:r>
      <w:r w:rsidRPr="00591584">
        <w:rPr>
          <w:i/>
          <w:iCs/>
          <w:lang w:val="es-ES"/>
        </w:rPr>
        <w:t>p</w:t>
      </w:r>
      <w:r w:rsidRPr="00591584">
        <w:rPr>
          <w:lang w:val="es-ES"/>
        </w:rPr>
        <w:t xml:space="preserve"> del tamaño de la matriz de autocorrelacion </w:t>
      </w:r>
      <w:r w:rsidRPr="00591584">
        <w:rPr>
          <w:i/>
          <w:lang w:val="es-ES"/>
        </w:rPr>
        <w:t>R</w:t>
      </w:r>
      <w:r w:rsidRPr="00591584">
        <w:rPr>
          <w:i/>
          <w:szCs w:val="24"/>
          <w:vertAlign w:val="subscript"/>
          <w:lang w:val="es-ES"/>
        </w:rPr>
        <w:t>x</w:t>
      </w:r>
      <w:r w:rsidRPr="00591584">
        <w:rPr>
          <w:lang w:val="es-ES"/>
        </w:rPr>
        <w:t xml:space="preserve">. Este tamaño depende de las muestras de datos disponibles. Si se ha calculado una ACS de longitud </w:t>
      </w:r>
      <w:r w:rsidRPr="00591584">
        <w:rPr>
          <w:i/>
          <w:iCs/>
          <w:lang w:val="es-ES"/>
        </w:rPr>
        <w:t xml:space="preserve">M </w:t>
      </w:r>
      <w:r w:rsidRPr="00591584">
        <w:rPr>
          <w:lang w:val="es-ES"/>
        </w:rPr>
        <w:t xml:space="preserve">con </w:t>
      </w:r>
      <w:r w:rsidRPr="00591584">
        <w:rPr>
          <w:i/>
          <w:iCs/>
          <w:lang w:val="es-ES"/>
        </w:rPr>
        <w:t>N</w:t>
      </w:r>
      <w:r w:rsidRPr="00591584">
        <w:rPr>
          <w:lang w:val="es-ES"/>
        </w:rPr>
        <w:t xml:space="preserve"> muestras medidas en una exploración, el tamaño de la matriz de autocorrelacion es (</w:t>
      </w:r>
      <w:r w:rsidRPr="00591584">
        <w:rPr>
          <w:i/>
          <w:lang w:val="es-ES"/>
        </w:rPr>
        <w:t>p</w:t>
      </w:r>
      <w:r w:rsidRPr="00591584">
        <w:rPr>
          <w:lang w:val="es-ES"/>
        </w:rPr>
        <w:t> + 1)*(</w:t>
      </w:r>
      <w:r w:rsidRPr="00591584">
        <w:rPr>
          <w:i/>
          <w:lang w:val="es-ES"/>
        </w:rPr>
        <w:t>p </w:t>
      </w:r>
      <w:r w:rsidRPr="00591584">
        <w:rPr>
          <w:lang w:val="es-ES"/>
        </w:rPr>
        <w:t xml:space="preserve">+ 1) donde </w:t>
      </w:r>
      <w:r w:rsidRPr="00591584">
        <w:rPr>
          <w:i/>
          <w:lang w:val="es-ES" w:eastAsia="ko-KR"/>
        </w:rPr>
        <w:t>M </w:t>
      </w:r>
      <w:r w:rsidRPr="00591584">
        <w:rPr>
          <w:lang w:val="es-ES" w:eastAsia="ko-KR"/>
        </w:rPr>
        <w:t>= </w:t>
      </w:r>
      <w:r w:rsidRPr="00591584">
        <w:rPr>
          <w:i/>
          <w:lang w:val="es-ES"/>
        </w:rPr>
        <w:t>p </w:t>
      </w:r>
      <w:r w:rsidRPr="00591584">
        <w:rPr>
          <w:lang w:val="es-ES"/>
        </w:rPr>
        <w:t xml:space="preserve">+ 1. Puede emplearse un número tan bajo como </w:t>
      </w:r>
      <w:r w:rsidRPr="003114E2">
        <w:rPr>
          <w:i/>
          <w:lang w:val="es-ES_tradnl"/>
        </w:rPr>
        <w:t>p </w:t>
      </w:r>
      <w:r w:rsidRPr="003114E2">
        <w:rPr>
          <w:lang w:val="es-ES_tradnl"/>
        </w:rPr>
        <w:t>= 19</w:t>
      </w:r>
      <w:r w:rsidRPr="00591584">
        <w:rPr>
          <w:lang w:val="es-ES"/>
        </w:rPr>
        <w:t xml:space="preserve">, pero en principio un mayor valor de </w:t>
      </w:r>
      <w:r w:rsidRPr="003114E2">
        <w:rPr>
          <w:lang w:val="es-ES_tradnl"/>
        </w:rPr>
        <w:t>p</w:t>
      </w:r>
      <w:r w:rsidRPr="00591584">
        <w:rPr>
          <w:lang w:val="es-ES"/>
        </w:rPr>
        <w:t xml:space="preserve"> da lugar a una mejor clasificación.</w:t>
      </w:r>
    </w:p>
    <w:p w:rsidR="002B3327" w:rsidRDefault="002B3327" w:rsidP="00E16436">
      <w:pPr>
        <w:rPr>
          <w:lang w:val="es-ES"/>
        </w:rPr>
      </w:pPr>
      <w:r w:rsidRPr="00591584">
        <w:rPr>
          <w:lang w:val="es-ES"/>
        </w:rPr>
        <w:t xml:space="preserve">A continuación se construye la estimada </w:t>
      </w:r>
      <w:r w:rsidRPr="00591584">
        <w:rPr>
          <w:position w:val="-12"/>
          <w:lang w:val="es-ES"/>
        </w:rPr>
        <w:object w:dxaOrig="340" w:dyaOrig="400">
          <v:shape id="_x0000_i1052" type="#_x0000_t75" style="width:16.9pt;height:19.8pt" o:ole="">
            <v:imagedata r:id="rId55" o:title=""/>
          </v:shape>
          <o:OLEObject Type="Embed" ProgID="Equation.3" ShapeID="_x0000_i1052" DrawAspect="Content" ObjectID="_1357644472" r:id="rId56"/>
        </w:object>
      </w:r>
      <w:r w:rsidRPr="00591584">
        <w:rPr>
          <w:lang w:val="es-ES"/>
        </w:rPr>
        <w:t xml:space="preserve"> de la matriz de autocorrelaci</w:t>
      </w:r>
      <w:r w:rsidR="00E16436">
        <w:rPr>
          <w:lang w:val="es-ES"/>
        </w:rPr>
        <w:t>ó</w:t>
      </w:r>
      <w:r w:rsidRPr="00591584">
        <w:rPr>
          <w:lang w:val="es-ES"/>
        </w:rPr>
        <w:t>n (generalmente compleja):</w:t>
      </w:r>
    </w:p>
    <w:p w:rsidR="002B3327" w:rsidRPr="00591584" w:rsidRDefault="002B3327" w:rsidP="002A55BE">
      <w:pPr>
        <w:pStyle w:val="Blanc"/>
        <w:rPr>
          <w:lang w:val="es-ES"/>
        </w:rPr>
      </w:pPr>
    </w:p>
    <w:p w:rsidR="002B3327" w:rsidRPr="00591584" w:rsidRDefault="00151803" w:rsidP="00151803">
      <w:pPr>
        <w:pStyle w:val="Equation"/>
        <w:rPr>
          <w:lang w:val="es-ES"/>
        </w:rPr>
      </w:pPr>
      <w:r w:rsidRPr="00151803">
        <w:rPr>
          <w:lang w:val="es-ES_tradnl"/>
        </w:rPr>
        <w:t>  </w:t>
      </w:r>
      <w:r w:rsidR="003C700B" w:rsidRPr="00591584">
        <w:rPr>
          <w:position w:val="-74"/>
          <w:lang w:val="es-ES"/>
        </w:rPr>
        <w:object w:dxaOrig="8779" w:dyaOrig="1600">
          <v:shape id="_x0000_i1053" type="#_x0000_t75" style="width:439.25pt;height:79.75pt" o:ole="">
            <v:imagedata r:id="rId57" o:title=""/>
          </v:shape>
          <o:OLEObject Type="Embed" ProgID="Equation.3" ShapeID="_x0000_i1053" DrawAspect="Content" ObjectID="_1357644473" r:id="rId58"/>
        </w:object>
      </w:r>
      <w:r w:rsidR="002B3327" w:rsidRPr="00591584">
        <w:rPr>
          <w:lang w:val="es-ES"/>
        </w:rPr>
        <w:tab/>
        <w:t>(16)</w:t>
      </w:r>
    </w:p>
    <w:p w:rsidR="002B3327" w:rsidRDefault="002B3327" w:rsidP="00074ED7">
      <w:pPr>
        <w:keepNext/>
        <w:keepLines/>
        <w:rPr>
          <w:lang w:val="es-ES"/>
        </w:rPr>
      </w:pPr>
      <w:r w:rsidRPr="00591584">
        <w:rPr>
          <w:lang w:val="es-ES"/>
        </w:rPr>
        <w:lastRenderedPageBreak/>
        <w:t>donde:</w:t>
      </w:r>
    </w:p>
    <w:p w:rsidR="003C700B" w:rsidRPr="00EE15CA" w:rsidRDefault="003C700B" w:rsidP="003C700B">
      <w:pPr>
        <w:pStyle w:val="Blanc"/>
        <w:rPr>
          <w:lang w:val="es-ES_tradnl"/>
        </w:rPr>
      </w:pPr>
    </w:p>
    <w:p w:rsidR="002B3327" w:rsidRPr="00591584" w:rsidRDefault="002B3327" w:rsidP="002A55BE">
      <w:pPr>
        <w:pStyle w:val="Equation"/>
        <w:rPr>
          <w:lang w:val="es-ES"/>
        </w:rPr>
      </w:pPr>
      <w:r w:rsidRPr="00591584">
        <w:rPr>
          <w:lang w:val="es-ES"/>
        </w:rPr>
        <w:tab/>
      </w:r>
      <w:r w:rsidRPr="00591584">
        <w:rPr>
          <w:lang w:val="es-ES"/>
        </w:rPr>
        <w:tab/>
      </w:r>
      <w:r w:rsidR="00146A2A" w:rsidRPr="00591584">
        <w:rPr>
          <w:position w:val="-32"/>
          <w:lang w:val="es-ES"/>
        </w:rPr>
        <w:object w:dxaOrig="3320" w:dyaOrig="760">
          <v:shape id="_x0000_i1054" type="#_x0000_t75" style="width:166.25pt;height:37.7pt" o:ole="">
            <v:imagedata r:id="rId59" o:title=""/>
          </v:shape>
          <o:OLEObject Type="Embed" ProgID="Equation.3" ShapeID="_x0000_i1054" DrawAspect="Content" ObjectID="_1357644474" r:id="rId60"/>
        </w:object>
      </w:r>
      <w:r w:rsidRPr="00591584">
        <w:rPr>
          <w:lang w:val="es-ES"/>
        </w:rPr>
        <w:tab/>
        <w:t>(17)</w:t>
      </w:r>
    </w:p>
    <w:p w:rsidR="002B3327" w:rsidRPr="00591584" w:rsidRDefault="002B3327" w:rsidP="002A55BE">
      <w:pPr>
        <w:pStyle w:val="Blanc"/>
        <w:rPr>
          <w:lang w:val="es-ES"/>
        </w:rPr>
      </w:pPr>
    </w:p>
    <w:p w:rsidR="002B3327" w:rsidRPr="00591584" w:rsidRDefault="002B3327" w:rsidP="00E16436">
      <w:pPr>
        <w:rPr>
          <w:lang w:val="es-ES"/>
        </w:rPr>
      </w:pPr>
      <w:r w:rsidRPr="00591584">
        <w:rPr>
          <w:lang w:val="es-ES"/>
        </w:rPr>
        <w:t xml:space="preserve">El * indica un valor conjugado. Obsérvese que como </w:t>
      </w:r>
      <w:r w:rsidRPr="00591584">
        <w:rPr>
          <w:i/>
          <w:lang w:val="es-ES"/>
        </w:rPr>
        <w:t>R</w:t>
      </w:r>
      <w:r w:rsidRPr="00591584">
        <w:rPr>
          <w:i/>
          <w:szCs w:val="24"/>
          <w:vertAlign w:val="subscript"/>
          <w:lang w:val="es-ES"/>
        </w:rPr>
        <w:t>x</w:t>
      </w:r>
      <w:r w:rsidRPr="00591584">
        <w:rPr>
          <w:lang w:val="es-ES"/>
        </w:rPr>
        <w:t xml:space="preserve"> es una matriz de autocorrelaci</w:t>
      </w:r>
      <w:r w:rsidR="00E16436">
        <w:rPr>
          <w:lang w:val="es-ES"/>
        </w:rPr>
        <w:t>ó</w:t>
      </w:r>
      <w:r w:rsidRPr="00591584">
        <w:rPr>
          <w:lang w:val="es-ES"/>
        </w:rPr>
        <w:t xml:space="preserve">n, se utilizan </w:t>
      </w:r>
      <w:r w:rsidRPr="00591584">
        <w:rPr>
          <w:i/>
          <w:lang w:val="es-ES"/>
        </w:rPr>
        <w:t>p</w:t>
      </w:r>
      <w:r w:rsidRPr="00591584">
        <w:rPr>
          <w:lang w:val="es-ES"/>
        </w:rPr>
        <w:t xml:space="preserve"> + 1 valores únicos de </w:t>
      </w:r>
      <w:r>
        <w:rPr>
          <w:lang w:val="es-ES"/>
        </w:rPr>
        <w:t xml:space="preserve">la </w:t>
      </w:r>
      <w:r w:rsidRPr="00591584">
        <w:rPr>
          <w:lang w:val="es-ES"/>
        </w:rPr>
        <w:t xml:space="preserve">ACS para rellenar la matriz. Los valores únicos se construyen a partir de la ecuación (17). Cada uno de estos valores utiliza hasta </w:t>
      </w:r>
      <w:r w:rsidRPr="00591584">
        <w:rPr>
          <w:i/>
          <w:iCs/>
          <w:lang w:val="es-ES"/>
        </w:rPr>
        <w:t>N</w:t>
      </w:r>
      <w:r w:rsidRPr="00591584">
        <w:rPr>
          <w:lang w:val="es-ES"/>
        </w:rPr>
        <w:t xml:space="preserve"> mediciones.</w:t>
      </w:r>
    </w:p>
    <w:p w:rsidR="002B3327" w:rsidRDefault="002B3327" w:rsidP="006F431D">
      <w:pPr>
        <w:rPr>
          <w:lang w:val="es-ES"/>
        </w:rPr>
      </w:pPr>
      <w:r w:rsidRPr="00591584">
        <w:rPr>
          <w:i/>
          <w:iCs/>
          <w:lang w:val="es-ES"/>
        </w:rPr>
        <w:t>Etapa 2</w:t>
      </w:r>
      <w:r w:rsidRPr="00591584">
        <w:rPr>
          <w:lang w:val="es-ES"/>
        </w:rPr>
        <w:t>:</w:t>
      </w:r>
      <w:r w:rsidR="006F431D">
        <w:rPr>
          <w:lang w:val="es-ES"/>
        </w:rPr>
        <w:t>  </w:t>
      </w:r>
      <w:r w:rsidRPr="00591584">
        <w:rPr>
          <w:lang w:val="es-ES"/>
        </w:rPr>
        <w:t xml:space="preserve">En esta etapa, los valores singulares de la matriz de la ecuación (16) se evalúan mediante la aplicación de la SVD. A partir de la SVD de </w:t>
      </w:r>
      <w:r w:rsidRPr="00591584">
        <w:rPr>
          <w:position w:val="-12"/>
          <w:lang w:val="es-ES"/>
        </w:rPr>
        <w:object w:dxaOrig="320" w:dyaOrig="400">
          <v:shape id="_x0000_i1055" type="#_x0000_t75" style="width:16.45pt;height:19.8pt" o:ole="">
            <v:imagedata r:id="rId61" o:title=""/>
          </v:shape>
          <o:OLEObject Type="Embed" ProgID="Equation.3" ShapeID="_x0000_i1055" DrawAspect="Content" ObjectID="_1357644475" r:id="rId62"/>
        </w:object>
      </w:r>
      <w:r w:rsidRPr="00591584">
        <w:rPr>
          <w:lang w:val="es-ES"/>
        </w:rPr>
        <w:t xml:space="preserve">, se determinaba dos matrices unitarias auxiliares </w:t>
      </w:r>
      <w:r w:rsidRPr="00D27125">
        <w:rPr>
          <w:i/>
          <w:iCs/>
          <w:lang w:val="es-ES"/>
        </w:rPr>
        <w:t>U</w:t>
      </w:r>
      <w:r w:rsidRPr="00591584">
        <w:rPr>
          <w:lang w:val="es-ES"/>
        </w:rPr>
        <w:t>,</w:t>
      </w:r>
      <w:r>
        <w:rPr>
          <w:lang w:val="es-ES"/>
        </w:rPr>
        <w:t xml:space="preserve"> </w:t>
      </w:r>
      <w:r w:rsidRPr="00D27125">
        <w:rPr>
          <w:i/>
          <w:iCs/>
          <w:lang w:val="es-ES"/>
        </w:rPr>
        <w:t>V</w:t>
      </w:r>
      <w:r w:rsidRPr="00591584">
        <w:rPr>
          <w:lang w:val="es-ES"/>
        </w:rPr>
        <w:t xml:space="preserve"> y una matriz diagonal ∑ del mismo tamaño:</w:t>
      </w:r>
    </w:p>
    <w:p w:rsidR="003C700B" w:rsidRPr="00EE15CA" w:rsidRDefault="003C700B" w:rsidP="003C700B">
      <w:pPr>
        <w:pStyle w:val="Blanc"/>
        <w:rPr>
          <w:lang w:val="es-ES_tradnl"/>
        </w:rPr>
      </w:pPr>
    </w:p>
    <w:p w:rsidR="002B3327" w:rsidRPr="00591584" w:rsidRDefault="002B3327" w:rsidP="002A55BE">
      <w:pPr>
        <w:pStyle w:val="Equation"/>
        <w:rPr>
          <w:lang w:val="es-ES"/>
        </w:rPr>
      </w:pPr>
      <w:r w:rsidRPr="00591584">
        <w:rPr>
          <w:lang w:val="es-ES"/>
        </w:rPr>
        <w:tab/>
      </w:r>
      <w:r w:rsidRPr="00591584">
        <w:rPr>
          <w:lang w:val="es-ES"/>
        </w:rPr>
        <w:tab/>
      </w:r>
      <w:r w:rsidR="00146A2A" w:rsidRPr="00591584">
        <w:rPr>
          <w:position w:val="-12"/>
          <w:lang w:val="es-ES"/>
        </w:rPr>
        <w:object w:dxaOrig="1240" w:dyaOrig="420">
          <v:shape id="_x0000_i1056" type="#_x0000_t75" style="width:61.85pt;height:21.75pt" o:ole="">
            <v:imagedata r:id="rId63" o:title=""/>
          </v:shape>
          <o:OLEObject Type="Embed" ProgID="Equation.3" ShapeID="_x0000_i1056" DrawAspect="Content" ObjectID="_1357644476" r:id="rId64"/>
        </w:object>
      </w:r>
      <w:r w:rsidRPr="00591584">
        <w:rPr>
          <w:lang w:val="es-ES"/>
        </w:rPr>
        <w:tab/>
        <w:t>(18)</w:t>
      </w:r>
    </w:p>
    <w:p w:rsidR="003C700B" w:rsidRPr="00EE15CA" w:rsidRDefault="003C700B" w:rsidP="003C700B">
      <w:pPr>
        <w:pStyle w:val="Blanc"/>
        <w:rPr>
          <w:lang w:val="es-ES_tradnl"/>
        </w:rPr>
      </w:pPr>
    </w:p>
    <w:p w:rsidR="002B3327" w:rsidRPr="00591584" w:rsidRDefault="002B3327" w:rsidP="002A55BE">
      <w:pPr>
        <w:rPr>
          <w:lang w:val="es-ES"/>
        </w:rPr>
      </w:pPr>
      <w:r w:rsidRPr="00591584">
        <w:rPr>
          <w:lang w:val="es-ES"/>
        </w:rPr>
        <w:t xml:space="preserve">Hay </w:t>
      </w:r>
      <w:r w:rsidRPr="00591584">
        <w:rPr>
          <w:i/>
          <w:lang w:val="es-ES"/>
        </w:rPr>
        <w:t>p</w:t>
      </w:r>
      <w:r w:rsidRPr="00591584">
        <w:rPr>
          <w:lang w:val="es-ES"/>
        </w:rPr>
        <w:t> + 1 valores singulares σ</w:t>
      </w:r>
      <w:r w:rsidRPr="00591584">
        <w:rPr>
          <w:i/>
          <w:vertAlign w:val="subscript"/>
          <w:lang w:val="es-ES"/>
        </w:rPr>
        <w:t>k</w:t>
      </w:r>
      <w:r w:rsidRPr="00591584">
        <w:rPr>
          <w:lang w:val="es-ES"/>
        </w:rPr>
        <w:t xml:space="preserve"> de la matriz Σ que son cero o positivos. Obsérvese que como Σ es una matriz diagonal, los valores singulares son simplemente los valores de la diagonal.</w:t>
      </w:r>
    </w:p>
    <w:p w:rsidR="002B3327" w:rsidRDefault="002B3327" w:rsidP="006F431D">
      <w:pPr>
        <w:rPr>
          <w:lang w:val="es-ES"/>
        </w:rPr>
      </w:pPr>
      <w:r w:rsidRPr="00591584">
        <w:rPr>
          <w:i/>
          <w:iCs/>
          <w:lang w:val="es-ES"/>
        </w:rPr>
        <w:t>Etapa 3</w:t>
      </w:r>
      <w:r w:rsidRPr="00591584">
        <w:rPr>
          <w:lang w:val="es-ES"/>
        </w:rPr>
        <w:t>:</w:t>
      </w:r>
      <w:r w:rsidR="006F431D">
        <w:rPr>
          <w:lang w:val="es-ES"/>
        </w:rPr>
        <w:t>  </w:t>
      </w:r>
      <w:r w:rsidRPr="00591584">
        <w:rPr>
          <w:lang w:val="es-ES"/>
        </w:rPr>
        <w:t xml:space="preserve">Se trata de </w:t>
      </w:r>
      <w:r>
        <w:rPr>
          <w:lang w:val="es-ES"/>
        </w:rPr>
        <w:t>e</w:t>
      </w:r>
      <w:r w:rsidRPr="00591584">
        <w:rPr>
          <w:lang w:val="es-ES"/>
        </w:rPr>
        <w:t>valuar las cantidades basadas en los valores singulares como una métrica para decidir si el ruido es gaussiano. Específicamente, se calculan una métrica ν(</w:t>
      </w:r>
      <w:r w:rsidRPr="00591584">
        <w:rPr>
          <w:i/>
          <w:lang w:val="es-ES"/>
        </w:rPr>
        <w:t>k</w:t>
      </w:r>
      <w:r w:rsidRPr="00591584">
        <w:rPr>
          <w:lang w:val="es-ES"/>
        </w:rPr>
        <w:t>)</w:t>
      </w:r>
      <w:r w:rsidRPr="00591584">
        <w:rPr>
          <w:i/>
          <w:lang w:val="es-ES"/>
        </w:rPr>
        <w:t xml:space="preserve"> </w:t>
      </w:r>
      <w:r w:rsidRPr="00591584">
        <w:rPr>
          <w:lang w:val="es-ES"/>
        </w:rPr>
        <w:t xml:space="preserve">y su índice </w:t>
      </w:r>
      <w:r w:rsidRPr="00591584">
        <w:rPr>
          <w:i/>
          <w:iCs/>
          <w:lang w:val="es-ES"/>
        </w:rPr>
        <w:t>k</w:t>
      </w:r>
      <w:r w:rsidRPr="00591584">
        <w:rPr>
          <w:lang w:val="es-ES"/>
        </w:rPr>
        <w:t xml:space="preserve"> mediante la ecuación (19):</w:t>
      </w:r>
    </w:p>
    <w:p w:rsidR="003C700B" w:rsidRPr="00EE15CA" w:rsidRDefault="003C700B" w:rsidP="003C700B">
      <w:pPr>
        <w:pStyle w:val="Blanc"/>
        <w:rPr>
          <w:lang w:val="es-ES_tradnl"/>
        </w:rPr>
      </w:pPr>
    </w:p>
    <w:p w:rsidR="002B3327" w:rsidRPr="00591584" w:rsidRDefault="002B3327" w:rsidP="002A55BE">
      <w:pPr>
        <w:pStyle w:val="Equation"/>
        <w:rPr>
          <w:lang w:val="es-ES"/>
        </w:rPr>
      </w:pPr>
      <w:r w:rsidRPr="00591584">
        <w:rPr>
          <w:lang w:val="es-ES"/>
        </w:rPr>
        <w:tab/>
      </w:r>
      <w:r w:rsidRPr="00591584">
        <w:rPr>
          <w:lang w:val="es-ES"/>
        </w:rPr>
        <w:tab/>
      </w:r>
      <w:r w:rsidR="00146A2A" w:rsidRPr="00591584">
        <w:rPr>
          <w:position w:val="-42"/>
          <w:lang w:val="es-ES"/>
        </w:rPr>
        <w:object w:dxaOrig="4220" w:dyaOrig="1100">
          <v:shape id="_x0000_i1057" type="#_x0000_t75" style="width:211.15pt;height:55.1pt" o:ole="">
            <v:imagedata r:id="rId65" o:title=""/>
          </v:shape>
          <o:OLEObject Type="Embed" ProgID="Equation.3" ShapeID="_x0000_i1057" DrawAspect="Content" ObjectID="_1357644477" r:id="rId66"/>
        </w:object>
      </w:r>
      <w:r w:rsidRPr="00591584">
        <w:rPr>
          <w:lang w:val="es-ES"/>
        </w:rPr>
        <w:tab/>
        <w:t>(19)</w:t>
      </w:r>
    </w:p>
    <w:p w:rsidR="003C700B" w:rsidRPr="00EE15CA" w:rsidRDefault="003C700B" w:rsidP="003C700B">
      <w:pPr>
        <w:pStyle w:val="Blanc"/>
        <w:rPr>
          <w:lang w:val="es-ES_tradnl"/>
        </w:rPr>
      </w:pPr>
    </w:p>
    <w:p w:rsidR="002B3327" w:rsidRDefault="002B3327" w:rsidP="002A55BE">
      <w:pPr>
        <w:rPr>
          <w:lang w:val="es-ES"/>
        </w:rPr>
      </w:pPr>
      <w:r w:rsidRPr="00591584">
        <w:rPr>
          <w:lang w:val="es-ES"/>
        </w:rPr>
        <w:t xml:space="preserve">donde </w:t>
      </w:r>
      <w:r w:rsidRPr="00591584">
        <w:rPr>
          <w:position w:val="-20"/>
          <w:lang w:val="es-ES"/>
        </w:rPr>
        <w:object w:dxaOrig="680" w:dyaOrig="499">
          <v:shape id="_x0000_i1058" type="#_x0000_t75" style="width:34.3pt;height:25.15pt" o:ole="">
            <v:imagedata r:id="rId67" o:title=""/>
          </v:shape>
          <o:OLEObject Type="Embed" ProgID="Equation.3" ShapeID="_x0000_i1058" DrawAspect="Content" ObjectID="_1357644478" r:id="rId68"/>
        </w:object>
      </w:r>
      <w:r w:rsidRPr="00591584">
        <w:rPr>
          <w:lang w:val="es-ES"/>
        </w:rPr>
        <w:t xml:space="preserve"> es la norma de Frobenius de una matriz</w:t>
      </w:r>
      <w:r w:rsidRPr="00591584">
        <w:rPr>
          <w:position w:val="-12"/>
          <w:lang w:val="es-ES"/>
        </w:rPr>
        <w:object w:dxaOrig="340" w:dyaOrig="400">
          <v:shape id="_x0000_i1059" type="#_x0000_t75" style="width:16.9pt;height:19.8pt" o:ole="">
            <v:imagedata r:id="rId69" o:title=""/>
          </v:shape>
          <o:OLEObject Type="Embed" ProgID="Equation.3" ShapeID="_x0000_i1059" DrawAspect="Content" ObjectID="_1357644479" r:id="rId70"/>
        </w:object>
      </w:r>
      <w:r w:rsidR="006F431D">
        <w:rPr>
          <w:lang w:val="es-ES"/>
        </w:rPr>
        <w:t>.</w:t>
      </w:r>
    </w:p>
    <w:p w:rsidR="002B3327" w:rsidRPr="00591584" w:rsidRDefault="002B3327" w:rsidP="002A55BE">
      <w:pPr>
        <w:rPr>
          <w:lang w:val="es-ES"/>
        </w:rPr>
      </w:pPr>
      <w:r w:rsidRPr="00591584">
        <w:rPr>
          <w:lang w:val="es-ES"/>
        </w:rPr>
        <w:t xml:space="preserve">Téngase en cuanta que la norma de Frobenius corresponde a la norma de un vector que se obtiene apilando las columnas de la matriz una encima de otra. </w:t>
      </w:r>
    </w:p>
    <w:p w:rsidR="002B3327" w:rsidRPr="00591584" w:rsidRDefault="002B3327" w:rsidP="002A55BE">
      <w:pPr>
        <w:rPr>
          <w:lang w:val="es-ES"/>
        </w:rPr>
      </w:pPr>
      <w:r w:rsidRPr="00591584">
        <w:rPr>
          <w:lang w:val="es-ES"/>
        </w:rPr>
        <w:t>La etapa final co</w:t>
      </w:r>
      <w:r>
        <w:rPr>
          <w:lang w:val="es-ES"/>
        </w:rPr>
        <w:t>n</w:t>
      </w:r>
      <w:r w:rsidRPr="00591584">
        <w:rPr>
          <w:lang w:val="es-ES"/>
        </w:rPr>
        <w:t xml:space="preserve">siste en determinar el valor del índice de referencia </w:t>
      </w:r>
      <w:r w:rsidRPr="00591584">
        <w:rPr>
          <w:i/>
          <w:iCs/>
          <w:lang w:val="es-ES"/>
        </w:rPr>
        <w:t>k</w:t>
      </w:r>
      <w:r w:rsidRPr="00591584">
        <w:rPr>
          <w:lang w:val="es-ES"/>
        </w:rPr>
        <w:t xml:space="preserve"> que satisface la igualdad ν(</w:t>
      </w:r>
      <w:r w:rsidRPr="00591584">
        <w:rPr>
          <w:i/>
          <w:lang w:val="es-ES"/>
        </w:rPr>
        <w:t>k</w:t>
      </w:r>
      <w:r w:rsidRPr="00591584">
        <w:rPr>
          <w:lang w:val="es-ES"/>
        </w:rPr>
        <w:t>) = 0,95. Dependiendo del nivel de confianza requerido, pueden utilizarse otros valores distintos de 0,95. El nivel de confianza aumenta a medida que los valores se acercan a 1. Mediante experimentos se ha llegado a la conclusión de que el valor práctico recomendado debe ser 0,95.</w:t>
      </w:r>
    </w:p>
    <w:p w:rsidR="002B3327" w:rsidRPr="00591584" w:rsidRDefault="002B3327" w:rsidP="002A55BE">
      <w:pPr>
        <w:rPr>
          <w:lang w:val="es-ES"/>
        </w:rPr>
      </w:pPr>
      <w:r w:rsidRPr="00591584">
        <w:rPr>
          <w:lang w:val="es-ES"/>
        </w:rPr>
        <w:t xml:space="preserve">Si </w:t>
      </w:r>
      <w:r w:rsidRPr="00591584">
        <w:rPr>
          <w:position w:val="-24"/>
          <w:lang w:val="es-ES"/>
        </w:rPr>
        <w:object w:dxaOrig="859" w:dyaOrig="620">
          <v:shape id="_x0000_i1060" type="#_x0000_t75" style="width:43pt;height:31.4pt" o:ole="">
            <v:imagedata r:id="rId71" o:title=""/>
          </v:shape>
          <o:OLEObject Type="Embed" ProgID="Equation.3" ShapeID="_x0000_i1060" DrawAspect="Content" ObjectID="_1357644480" r:id="rId72"/>
        </w:object>
      </w:r>
      <w:r w:rsidRPr="00591584">
        <w:rPr>
          <w:lang w:val="es-ES"/>
        </w:rPr>
        <w:t>, solamente existe el WGN en las muestra de medición, de no ser así existe(n)</w:t>
      </w:r>
      <w:r>
        <w:rPr>
          <w:lang w:val="es-ES"/>
        </w:rPr>
        <w:t xml:space="preserve"> </w:t>
      </w:r>
      <w:r w:rsidRPr="00591584">
        <w:rPr>
          <w:lang w:val="es-ES"/>
        </w:rPr>
        <w:t>señal(es) más ruido.</w:t>
      </w:r>
    </w:p>
    <w:p w:rsidR="002B3327" w:rsidRPr="00591584" w:rsidRDefault="002B3327" w:rsidP="002A55BE">
      <w:pPr>
        <w:rPr>
          <w:lang w:val="es-ES"/>
        </w:rPr>
      </w:pPr>
      <w:r w:rsidRPr="00591584">
        <w:rPr>
          <w:lang w:val="es-ES"/>
        </w:rPr>
        <w:t xml:space="preserve">El máximo valor posible de </w:t>
      </w:r>
      <w:r w:rsidRPr="00591584">
        <w:rPr>
          <w:i/>
          <w:lang w:val="es-ES"/>
        </w:rPr>
        <w:t>k</w:t>
      </w:r>
      <w:r w:rsidRPr="00591584">
        <w:rPr>
          <w:lang w:val="es-ES"/>
        </w:rPr>
        <w:t xml:space="preserve"> es </w:t>
      </w:r>
      <w:r w:rsidRPr="00591584">
        <w:rPr>
          <w:i/>
          <w:lang w:val="es-ES"/>
        </w:rPr>
        <w:t>p</w:t>
      </w:r>
      <w:r w:rsidRPr="00591584">
        <w:rPr>
          <w:lang w:val="es-ES"/>
        </w:rPr>
        <w:t xml:space="preserve"> + 1. Obsérvese que a medida que </w:t>
      </w:r>
      <w:r w:rsidRPr="00591584">
        <w:rPr>
          <w:i/>
          <w:iCs/>
          <w:lang w:val="es-ES"/>
        </w:rPr>
        <w:t xml:space="preserve">k </w:t>
      </w:r>
      <w:r w:rsidRPr="00591584">
        <w:rPr>
          <w:lang w:val="es-ES"/>
        </w:rPr>
        <w:t>aumenta en la ecuación (19), ν(</w:t>
      </w:r>
      <w:r w:rsidRPr="00591584">
        <w:rPr>
          <w:i/>
          <w:lang w:val="es-ES"/>
        </w:rPr>
        <w:t>k</w:t>
      </w:r>
      <w:r w:rsidRPr="00591584">
        <w:rPr>
          <w:lang w:val="es-ES"/>
        </w:rPr>
        <w:t xml:space="preserve">) converge al valor 1. La </w:t>
      </w:r>
      <w:r>
        <w:rPr>
          <w:lang w:val="es-ES"/>
        </w:rPr>
        <w:t>Fig.</w:t>
      </w:r>
      <w:r w:rsidRPr="00591584">
        <w:rPr>
          <w:lang w:val="es-ES"/>
        </w:rPr>
        <w:t xml:space="preserve"> 13 muestra un ejemplo de este gráfico para una señal que contiene únicamente muestras de ruido.</w:t>
      </w:r>
    </w:p>
    <w:p w:rsidR="002B3327" w:rsidRPr="00591584" w:rsidRDefault="002B3327" w:rsidP="006F431D">
      <w:pPr>
        <w:rPr>
          <w:lang w:val="es-ES"/>
        </w:rPr>
      </w:pPr>
      <w:r w:rsidRPr="00591584">
        <w:rPr>
          <w:lang w:val="es-ES"/>
        </w:rPr>
        <w:t xml:space="preserve">La </w:t>
      </w:r>
      <w:r>
        <w:rPr>
          <w:lang w:val="es-ES"/>
        </w:rPr>
        <w:t>Fig.</w:t>
      </w:r>
      <w:r w:rsidR="006F431D">
        <w:rPr>
          <w:lang w:val="es-ES"/>
        </w:rPr>
        <w:t> </w:t>
      </w:r>
      <w:r w:rsidRPr="00591584">
        <w:rPr>
          <w:lang w:val="es-ES"/>
        </w:rPr>
        <w:t>14 representa un ejemplo de una exploración que contiene ruido combinado con algunas portadoras débiles.</w:t>
      </w:r>
    </w:p>
    <w:p w:rsidR="002B3327" w:rsidRDefault="00151803" w:rsidP="00B73AAF">
      <w:pPr>
        <w:pStyle w:val="FigureNo"/>
        <w:keepNext w:val="0"/>
        <w:keepLines w:val="0"/>
        <w:widowControl w:val="0"/>
        <w:rPr>
          <w:sz w:val="24"/>
          <w:szCs w:val="24"/>
          <w:lang w:val="es-ES"/>
        </w:rPr>
      </w:pPr>
      <w:r w:rsidRPr="00970B36">
        <w:rPr>
          <w:sz w:val="24"/>
          <w:szCs w:val="24"/>
          <w:lang w:val="es-ES"/>
        </w:rPr>
        <w:lastRenderedPageBreak/>
        <w:pict>
          <v:shape id="_x0000_i1061" type="#_x0000_t75" style="width:309.25pt;height:334.4pt;mso-position-vertical:absolute">
            <v:imagedata r:id="rId73" o:title=""/>
          </v:shape>
        </w:pict>
      </w:r>
    </w:p>
    <w:p w:rsidR="00146A2A" w:rsidRPr="00146A2A" w:rsidRDefault="00146A2A" w:rsidP="00146A2A">
      <w:pPr>
        <w:rPr>
          <w:lang w:val="es-ES"/>
        </w:rPr>
      </w:pPr>
    </w:p>
    <w:p w:rsidR="002B3327" w:rsidRPr="00C35745" w:rsidRDefault="00151803" w:rsidP="003747DF">
      <w:pPr>
        <w:pStyle w:val="FigureNo"/>
        <w:keepNext w:val="0"/>
        <w:keepLines w:val="0"/>
        <w:rPr>
          <w:sz w:val="24"/>
          <w:szCs w:val="24"/>
          <w:lang w:val="es-ES"/>
        </w:rPr>
      </w:pPr>
      <w:bookmarkStart w:id="6" w:name="#682b31c3"/>
      <w:bookmarkEnd w:id="6"/>
      <w:r w:rsidRPr="00970B36">
        <w:rPr>
          <w:sz w:val="24"/>
          <w:szCs w:val="24"/>
          <w:lang w:val="es-ES"/>
        </w:rPr>
        <w:pict>
          <v:shape id="_x0000_i1062" type="#_x0000_t75" style="width:310.25pt;height:335.35pt;mso-position-vertical:absolute">
            <v:imagedata r:id="rId74" o:title=""/>
          </v:shape>
        </w:pict>
      </w:r>
    </w:p>
    <w:p w:rsidR="002B3327" w:rsidRPr="00591584" w:rsidRDefault="002B3327" w:rsidP="00D50A7D">
      <w:pPr>
        <w:keepNext/>
        <w:keepLines/>
        <w:rPr>
          <w:lang w:val="es-ES"/>
        </w:rPr>
      </w:pPr>
      <w:r w:rsidRPr="00591584">
        <w:rPr>
          <w:lang w:val="es-ES"/>
        </w:rPr>
        <w:lastRenderedPageBreak/>
        <w:t xml:space="preserve">Puede observarse que aunque la relación </w:t>
      </w:r>
      <w:r w:rsidRPr="00591584">
        <w:rPr>
          <w:i/>
          <w:iCs/>
          <w:lang w:val="es-ES"/>
        </w:rPr>
        <w:t>S</w:t>
      </w:r>
      <w:r w:rsidRPr="00C35745">
        <w:rPr>
          <w:lang w:val="es-ES"/>
        </w:rPr>
        <w:t>/</w:t>
      </w:r>
      <w:r w:rsidRPr="00591584">
        <w:rPr>
          <w:i/>
          <w:iCs/>
          <w:lang w:val="es-ES"/>
        </w:rPr>
        <w:t>N</w:t>
      </w:r>
      <w:r w:rsidRPr="00591584">
        <w:rPr>
          <w:lang w:val="es-ES"/>
        </w:rPr>
        <w:t xml:space="preserve"> de las portadora inyectadas es muy baja (la APD se representa virtualmente mediante una línea recta), la curva </w:t>
      </w:r>
      <w:r w:rsidRPr="00591584">
        <w:rPr>
          <w:i/>
          <w:iCs/>
          <w:lang w:val="es-ES"/>
        </w:rPr>
        <w:t>v(k)</w:t>
      </w:r>
      <w:r w:rsidRPr="00591584">
        <w:rPr>
          <w:lang w:val="es-ES"/>
        </w:rPr>
        <w:t xml:space="preserve"> muestra un comportamiento completamente distinto en comparación al caso en que sólo está presente el ruido. El método SVD es, por tanto, mucho más sensible que la simple evaluación de la APD. </w:t>
      </w:r>
    </w:p>
    <w:p w:rsidR="002B3327" w:rsidRDefault="002B3327" w:rsidP="002A55BE">
      <w:pPr>
        <w:rPr>
          <w:lang w:val="es-ES"/>
        </w:rPr>
      </w:pPr>
      <w:r w:rsidRPr="00591584">
        <w:rPr>
          <w:lang w:val="es-ES"/>
        </w:rPr>
        <w:t>El método también es aplicable a mediciones de valores reales.</w:t>
      </w:r>
    </w:p>
    <w:p w:rsidR="003747DF" w:rsidRPr="00591584" w:rsidRDefault="003747DF" w:rsidP="002A55BE">
      <w:pPr>
        <w:rPr>
          <w:lang w:val="es-ES"/>
        </w:rPr>
      </w:pPr>
    </w:p>
    <w:p w:rsidR="002B3327" w:rsidRDefault="002B3327" w:rsidP="006F431D">
      <w:pPr>
        <w:rPr>
          <w:u w:color="000000"/>
          <w:lang w:val="es-ES"/>
        </w:rPr>
      </w:pPr>
    </w:p>
    <w:p w:rsidR="00146A2A" w:rsidRDefault="00146A2A" w:rsidP="006F431D">
      <w:pPr>
        <w:rPr>
          <w:u w:color="000000"/>
          <w:lang w:val="es-ES"/>
        </w:rPr>
      </w:pPr>
    </w:p>
    <w:p w:rsidR="002B3327" w:rsidRPr="00591584" w:rsidRDefault="002B3327" w:rsidP="002B3327">
      <w:pPr>
        <w:pStyle w:val="AppendixNoTitle"/>
        <w:rPr>
          <w:u w:color="000000"/>
          <w:lang w:val="es-ES"/>
        </w:rPr>
      </w:pPr>
      <w:r w:rsidRPr="00591584">
        <w:rPr>
          <w:u w:color="000000"/>
          <w:lang w:val="es-ES"/>
        </w:rPr>
        <w:t>Apéndice 2</w:t>
      </w:r>
      <w:r w:rsidRPr="00591584">
        <w:rPr>
          <w:u w:color="000000"/>
          <w:lang w:val="es-ES"/>
        </w:rPr>
        <w:br/>
      </w:r>
      <w:r w:rsidRPr="00591584">
        <w:rPr>
          <w:u w:color="000000"/>
          <w:lang w:val="es-ES"/>
        </w:rPr>
        <w:br/>
        <w:t>Verificación del valor de corte cuando se utilizan</w:t>
      </w:r>
      <w:r>
        <w:rPr>
          <w:u w:color="000000"/>
          <w:lang w:val="es-ES"/>
        </w:rPr>
        <w:br/>
      </w:r>
      <w:r w:rsidRPr="00591584">
        <w:rPr>
          <w:u w:color="000000"/>
          <w:lang w:val="es-ES"/>
        </w:rPr>
        <w:t>mediciones de valor eficaz directas</w:t>
      </w:r>
    </w:p>
    <w:p w:rsidR="002B3327" w:rsidRPr="00591584" w:rsidRDefault="002B3327" w:rsidP="002A55BE">
      <w:pPr>
        <w:pStyle w:val="Normalaftertitle"/>
        <w:rPr>
          <w:lang w:val="es-ES"/>
        </w:rPr>
      </w:pPr>
      <w:r w:rsidRPr="00591584">
        <w:rPr>
          <w:lang w:val="es-ES"/>
        </w:rPr>
        <w:t>Se supone que el</w:t>
      </w:r>
      <w:r w:rsidRPr="00591584">
        <w:rPr>
          <w:i/>
          <w:lang w:val="es-ES"/>
        </w:rPr>
        <w:t xml:space="preserve"> X</w:t>
      </w:r>
      <w:r w:rsidRPr="00591584">
        <w:rPr>
          <w:lang w:val="es-ES"/>
        </w:rPr>
        <w:t xml:space="preserve">% de los valores de medición de una exploración contienen sólo muestras de ruido. Si se excluye el porcentaje correcto de valores del proceso de evaluación, los valores mediano y medio de las muestras de ruido restantes deben ser iguales. Un prueba práctica consiste en trazar la diferencia entre el valor medio y el valor mediano, que evidentemente viene influenciada por señales diferentes al ruido. </w:t>
      </w:r>
    </w:p>
    <w:p w:rsidR="002B3327" w:rsidRPr="009419E2" w:rsidRDefault="00151803" w:rsidP="002B3327">
      <w:pPr>
        <w:pStyle w:val="FigureNo"/>
        <w:rPr>
          <w:sz w:val="24"/>
          <w:szCs w:val="24"/>
          <w:lang w:val="es-ES"/>
        </w:rPr>
      </w:pPr>
      <w:r w:rsidRPr="00970B36">
        <w:rPr>
          <w:sz w:val="24"/>
          <w:szCs w:val="24"/>
          <w:lang w:val="es-ES"/>
        </w:rPr>
        <w:pict>
          <v:shape id="_x0000_i1063" type="#_x0000_t75" style="width:257.55pt;height:282.7pt;mso-position-vertical:absolute">
            <v:imagedata r:id="rId75" o:title=""/>
          </v:shape>
        </w:pict>
      </w:r>
    </w:p>
    <w:p w:rsidR="00D50A7D" w:rsidRDefault="00D50A7D" w:rsidP="002A55BE">
      <w:pPr>
        <w:rPr>
          <w:lang w:val="es-ES"/>
        </w:rPr>
      </w:pPr>
    </w:p>
    <w:p w:rsidR="002B3327" w:rsidRPr="00591584" w:rsidRDefault="002B3327" w:rsidP="002A55BE">
      <w:pPr>
        <w:rPr>
          <w:u w:color="000000"/>
          <w:lang w:val="es-ES"/>
        </w:rPr>
      </w:pPr>
      <w:r w:rsidRPr="00591584">
        <w:rPr>
          <w:lang w:val="es-ES"/>
        </w:rPr>
        <w:t>Como ejemplo, el gr</w:t>
      </w:r>
      <w:r>
        <w:rPr>
          <w:lang w:val="es-ES"/>
        </w:rPr>
        <w:t>á</w:t>
      </w:r>
      <w:r w:rsidRPr="00591584">
        <w:rPr>
          <w:lang w:val="es-ES"/>
        </w:rPr>
        <w:t xml:space="preserve">fico de la </w:t>
      </w:r>
      <w:r>
        <w:rPr>
          <w:lang w:val="es-ES"/>
        </w:rPr>
        <w:t>Fig.</w:t>
      </w:r>
      <w:r w:rsidRPr="00591584">
        <w:rPr>
          <w:lang w:val="es-ES"/>
        </w:rPr>
        <w:t xml:space="preserve"> 15 muestra la diferencia entre los valores medio y mediano con un porcentaje fijo del 20% para todas las exploraciones. El periodo de observación es de 24</w:t>
      </w:r>
      <w:r>
        <w:rPr>
          <w:lang w:val="es-ES"/>
        </w:rPr>
        <w:t> </w:t>
      </w:r>
      <w:r w:rsidRPr="00591584">
        <w:rPr>
          <w:lang w:val="es-ES"/>
        </w:rPr>
        <w:t>h</w:t>
      </w:r>
      <w:r>
        <w:rPr>
          <w:lang w:val="es-ES"/>
        </w:rPr>
        <w:t>oras</w:t>
      </w:r>
      <w:r w:rsidRPr="00591584">
        <w:rPr>
          <w:u w:color="000000"/>
          <w:lang w:val="es-ES"/>
        </w:rPr>
        <w:t xml:space="preserve"> (00</w:t>
      </w:r>
      <w:r>
        <w:rPr>
          <w:u w:color="000000"/>
          <w:lang w:val="es-ES"/>
        </w:rPr>
        <w:t>.</w:t>
      </w:r>
      <w:r w:rsidRPr="00591584">
        <w:rPr>
          <w:u w:color="000000"/>
          <w:lang w:val="es-ES"/>
        </w:rPr>
        <w:t>00 a 23</w:t>
      </w:r>
      <w:r>
        <w:rPr>
          <w:u w:color="000000"/>
          <w:lang w:val="es-ES"/>
        </w:rPr>
        <w:t>.</w:t>
      </w:r>
      <w:r w:rsidRPr="00591584">
        <w:rPr>
          <w:u w:color="000000"/>
          <w:lang w:val="es-ES"/>
        </w:rPr>
        <w:t xml:space="preserve">59). </w:t>
      </w:r>
      <w:r w:rsidRPr="00591584">
        <w:rPr>
          <w:lang w:val="es-ES"/>
        </w:rPr>
        <w:t>Entre las 07.00</w:t>
      </w:r>
      <w:r>
        <w:rPr>
          <w:lang w:val="es-ES"/>
        </w:rPr>
        <w:t xml:space="preserve"> </w:t>
      </w:r>
      <w:r w:rsidRPr="00591584">
        <w:rPr>
          <w:lang w:val="es-ES"/>
        </w:rPr>
        <w:t>h</w:t>
      </w:r>
      <w:r>
        <w:rPr>
          <w:lang w:val="es-ES"/>
        </w:rPr>
        <w:t>oras</w:t>
      </w:r>
      <w:r w:rsidRPr="00591584">
        <w:rPr>
          <w:lang w:val="es-ES"/>
        </w:rPr>
        <w:t xml:space="preserve"> y las 20.00</w:t>
      </w:r>
      <w:r>
        <w:rPr>
          <w:lang w:val="es-ES"/>
        </w:rPr>
        <w:t xml:space="preserve"> </w:t>
      </w:r>
      <w:r w:rsidRPr="00591584">
        <w:rPr>
          <w:lang w:val="es-ES"/>
        </w:rPr>
        <w:t>h</w:t>
      </w:r>
      <w:r>
        <w:rPr>
          <w:lang w:val="es-ES"/>
        </w:rPr>
        <w:t>oras</w:t>
      </w:r>
      <w:r w:rsidRPr="00591584">
        <w:rPr>
          <w:lang w:val="es-ES"/>
        </w:rPr>
        <w:t xml:space="preserve"> las tormentas hacen que la distribución de la selección del 20% tenga pendientes más acusadas y, por ello, haya mayores diferencias ent</w:t>
      </w:r>
      <w:r>
        <w:rPr>
          <w:lang w:val="es-ES"/>
        </w:rPr>
        <w:t>r</w:t>
      </w:r>
      <w:r w:rsidRPr="00591584">
        <w:rPr>
          <w:lang w:val="es-ES"/>
        </w:rPr>
        <w:t>e los valores mediano y medio</w:t>
      </w:r>
      <w:r w:rsidRPr="00591584">
        <w:rPr>
          <w:u w:color="000000"/>
          <w:lang w:val="es-ES"/>
        </w:rPr>
        <w:t>.</w:t>
      </w:r>
    </w:p>
    <w:p w:rsidR="002B3327" w:rsidRPr="00591584" w:rsidRDefault="002B3327" w:rsidP="002A55BE">
      <w:pPr>
        <w:rPr>
          <w:lang w:val="es-ES"/>
        </w:rPr>
      </w:pPr>
      <w:r w:rsidRPr="00591584">
        <w:rPr>
          <w:lang w:val="es-ES"/>
        </w:rPr>
        <w:lastRenderedPageBreak/>
        <w:t>Otra prueba podría consistir en trazar el número de muestras de medición de un cierto nivel en función de dicho nivel y verificar si la curva a la derecha del punto de corte «</w:t>
      </w:r>
      <w:r w:rsidRPr="00591584">
        <w:rPr>
          <w:i/>
          <w:iCs/>
          <w:lang w:val="es-ES"/>
        </w:rPr>
        <w:t>X</w:t>
      </w:r>
      <w:r w:rsidRPr="00EB2551">
        <w:rPr>
          <w:lang w:val="es-ES"/>
        </w:rPr>
        <w:t>%</w:t>
      </w:r>
      <w:r w:rsidRPr="00591584">
        <w:rPr>
          <w:lang w:val="es-ES"/>
        </w:rPr>
        <w:t xml:space="preserve">» es suave y tiene una pendiente pequeña. En la </w:t>
      </w:r>
      <w:r>
        <w:rPr>
          <w:lang w:val="es-ES"/>
        </w:rPr>
        <w:t>Fig.</w:t>
      </w:r>
      <w:r w:rsidRPr="00591584">
        <w:rPr>
          <w:lang w:val="es-ES"/>
        </w:rPr>
        <w:t xml:space="preserve"> 16 aparece un ejemplo.</w:t>
      </w:r>
    </w:p>
    <w:p w:rsidR="002B3327" w:rsidRPr="009419E2" w:rsidRDefault="00151803" w:rsidP="002B3327">
      <w:pPr>
        <w:pStyle w:val="FigureNo"/>
        <w:rPr>
          <w:sz w:val="24"/>
          <w:szCs w:val="24"/>
          <w:lang w:val="es-ES"/>
        </w:rPr>
      </w:pPr>
      <w:r w:rsidRPr="00970B36">
        <w:rPr>
          <w:sz w:val="24"/>
          <w:szCs w:val="24"/>
          <w:lang w:val="es-ES"/>
        </w:rPr>
        <w:pict>
          <v:shape id="_x0000_i1064" type="#_x0000_t75" style="width:389pt;height:345.5pt;mso-position-vertical:absolute">
            <v:imagedata r:id="rId76" o:title=""/>
          </v:shape>
        </w:pict>
      </w:r>
    </w:p>
    <w:p w:rsidR="002B3327" w:rsidRPr="00591584" w:rsidRDefault="002B3327" w:rsidP="002A55BE">
      <w:pPr>
        <w:rPr>
          <w:u w:color="000000"/>
          <w:lang w:val="es-ES"/>
        </w:rPr>
      </w:pPr>
      <w:r w:rsidRPr="00591584">
        <w:rPr>
          <w:lang w:val="es-ES"/>
        </w:rPr>
        <w:t>El valor de corte seleccionado (línea vertical) es de 800 entre 1</w:t>
      </w:r>
      <w:r>
        <w:rPr>
          <w:lang w:val="es-ES"/>
        </w:rPr>
        <w:t xml:space="preserve"> </w:t>
      </w:r>
      <w:r w:rsidRPr="00591584">
        <w:rPr>
          <w:lang w:val="es-ES"/>
        </w:rPr>
        <w:t>000 muestras de medición, lo que corresponde al 20%. Puede observarse que en este ejemplo la selección del valor de corte no es crítica: podría haber sido elegido cualquier valor entre el 70% y el 10% (300 y 900 muestras) pues en esa gama la curva presenta una pendiente constante</w:t>
      </w:r>
      <w:r w:rsidRPr="00591584">
        <w:rPr>
          <w:u w:color="000000"/>
          <w:lang w:val="es-ES"/>
        </w:rPr>
        <w:t xml:space="preserve">. </w:t>
      </w:r>
    </w:p>
    <w:p w:rsidR="002B3327" w:rsidRPr="00591584" w:rsidRDefault="002B3327" w:rsidP="002A55BE">
      <w:pPr>
        <w:rPr>
          <w:lang w:val="es-ES"/>
        </w:rPr>
      </w:pPr>
      <w:r w:rsidRPr="00591584">
        <w:rPr>
          <w:lang w:val="es-ES"/>
        </w:rPr>
        <w:t xml:space="preserve">Ambos métodos exigen una cierta calibración </w:t>
      </w:r>
      <w:r w:rsidRPr="00591584">
        <w:rPr>
          <w:i/>
          <w:iCs/>
          <w:lang w:val="es-ES"/>
        </w:rPr>
        <w:t>a priori</w:t>
      </w:r>
      <w:r w:rsidRPr="00591584">
        <w:rPr>
          <w:lang w:val="es-ES"/>
        </w:rPr>
        <w:t xml:space="preserve">. Además, es necesario utilizar en la calibración un número significativo de muestras; por ejemplo, en este </w:t>
      </w:r>
      <w:r>
        <w:rPr>
          <w:lang w:val="es-ES"/>
        </w:rPr>
        <w:t>tipo</w:t>
      </w:r>
      <w:r w:rsidRPr="00591584">
        <w:rPr>
          <w:lang w:val="es-ES"/>
        </w:rPr>
        <w:t xml:space="preserve"> de prueba no puede emplearse una sola muestra. </w:t>
      </w:r>
    </w:p>
    <w:p w:rsidR="002B3327" w:rsidRPr="00591584" w:rsidRDefault="002B3327" w:rsidP="001311DD">
      <w:pPr>
        <w:pStyle w:val="AnnexNoTitle"/>
        <w:rPr>
          <w:u w:color="000000"/>
          <w:lang w:val="es-ES"/>
        </w:rPr>
      </w:pPr>
      <w:r w:rsidRPr="00591584">
        <w:rPr>
          <w:u w:color="000000"/>
          <w:lang w:val="es-ES"/>
        </w:rPr>
        <w:t>Referencias</w:t>
      </w:r>
    </w:p>
    <w:p w:rsidR="003747DF" w:rsidRPr="0091147C" w:rsidRDefault="003747DF" w:rsidP="001A13E6">
      <w:pPr>
        <w:pStyle w:val="Blanc"/>
        <w:rPr>
          <w:lang w:val="es-ES_tradnl"/>
        </w:rPr>
      </w:pPr>
    </w:p>
    <w:p w:rsidR="002B3327" w:rsidRPr="0062258A" w:rsidRDefault="002B3327" w:rsidP="002A55BE">
      <w:pPr>
        <w:pStyle w:val="Reftext"/>
        <w:rPr>
          <w:sz w:val="24"/>
          <w:szCs w:val="24"/>
          <w:lang w:val="es-ES_tradnl"/>
        </w:rPr>
      </w:pPr>
      <w:r w:rsidRPr="0062258A">
        <w:rPr>
          <w:sz w:val="24"/>
          <w:szCs w:val="24"/>
          <w:lang w:val="es-ES_tradnl"/>
        </w:rPr>
        <w:t>Recomendación UIT</w:t>
      </w:r>
      <w:r w:rsidRPr="0062258A">
        <w:rPr>
          <w:sz w:val="24"/>
          <w:szCs w:val="24"/>
          <w:lang w:val="es-ES_tradnl"/>
        </w:rPr>
        <w:noBreakHyphen/>
        <w:t>R P.372 − Ruido radioeléctrico</w:t>
      </w:r>
      <w:r>
        <w:rPr>
          <w:sz w:val="24"/>
          <w:szCs w:val="24"/>
          <w:lang w:val="es-ES_tradnl"/>
        </w:rPr>
        <w:t>.</w:t>
      </w:r>
    </w:p>
    <w:p w:rsidR="002B3327" w:rsidRPr="00341AC8" w:rsidRDefault="002B3327" w:rsidP="002A55BE">
      <w:pPr>
        <w:pStyle w:val="Reftext"/>
        <w:rPr>
          <w:sz w:val="24"/>
          <w:szCs w:val="24"/>
        </w:rPr>
      </w:pPr>
      <w:r w:rsidRPr="00341AC8">
        <w:rPr>
          <w:sz w:val="24"/>
          <w:szCs w:val="24"/>
        </w:rPr>
        <w:t>Informe UIT</w:t>
      </w:r>
      <w:r w:rsidRPr="00341AC8">
        <w:rPr>
          <w:sz w:val="24"/>
          <w:szCs w:val="24"/>
        </w:rPr>
        <w:noBreakHyphen/>
        <w:t xml:space="preserve">R SM.2055 − </w:t>
      </w:r>
      <w:r w:rsidRPr="00AE2BCB">
        <w:rPr>
          <w:i/>
          <w:iCs/>
          <w:sz w:val="24"/>
          <w:szCs w:val="24"/>
        </w:rPr>
        <w:t>Radio noise measurements</w:t>
      </w:r>
      <w:r>
        <w:rPr>
          <w:sz w:val="24"/>
          <w:szCs w:val="24"/>
        </w:rPr>
        <w:t>.</w:t>
      </w:r>
    </w:p>
    <w:p w:rsidR="002B3327" w:rsidRPr="0062258A" w:rsidRDefault="002B3327" w:rsidP="002A55BE">
      <w:pPr>
        <w:pStyle w:val="Reftext"/>
        <w:rPr>
          <w:sz w:val="24"/>
          <w:szCs w:val="24"/>
          <w:lang w:val="es-ES_tradnl"/>
        </w:rPr>
      </w:pPr>
      <w:r w:rsidRPr="0062258A">
        <w:rPr>
          <w:sz w:val="24"/>
          <w:szCs w:val="24"/>
          <w:lang w:val="es-ES_tradnl"/>
        </w:rPr>
        <w:t>Informe UIT</w:t>
      </w:r>
      <w:r w:rsidRPr="0062258A">
        <w:rPr>
          <w:sz w:val="24"/>
          <w:szCs w:val="24"/>
          <w:lang w:val="es-ES_tradnl"/>
        </w:rPr>
        <w:noBreakHyphen/>
        <w:t>R SM.2155 − Medición del ruido artificial en la gama de ondas decamétricas</w:t>
      </w:r>
      <w:r>
        <w:rPr>
          <w:sz w:val="24"/>
          <w:szCs w:val="24"/>
          <w:lang w:val="es-ES_tradnl"/>
        </w:rPr>
        <w:t>.</w:t>
      </w:r>
    </w:p>
    <w:p w:rsidR="002B3327" w:rsidRDefault="002B3327" w:rsidP="0091147C">
      <w:pPr>
        <w:pStyle w:val="Reftext"/>
        <w:ind w:left="0" w:firstLine="0"/>
        <w:rPr>
          <w:sz w:val="24"/>
          <w:szCs w:val="24"/>
          <w:lang w:val="es-ES_tradnl"/>
        </w:rPr>
      </w:pPr>
      <w:r w:rsidRPr="0062258A">
        <w:rPr>
          <w:sz w:val="24"/>
          <w:szCs w:val="24"/>
          <w:lang w:val="es-ES_tradnl"/>
        </w:rPr>
        <w:t>Informe UIT</w:t>
      </w:r>
      <w:r w:rsidRPr="0062258A">
        <w:rPr>
          <w:sz w:val="24"/>
          <w:szCs w:val="24"/>
          <w:lang w:val="es-ES_tradnl"/>
        </w:rPr>
        <w:noBreakHyphen/>
        <w:t>R SM.2157</w:t>
      </w:r>
      <w:r w:rsidR="0091147C">
        <w:rPr>
          <w:sz w:val="24"/>
          <w:szCs w:val="24"/>
          <w:lang w:val="es-ES_tradnl"/>
        </w:rPr>
        <w:t> </w:t>
      </w:r>
      <w:r w:rsidRPr="0062258A">
        <w:rPr>
          <w:sz w:val="24"/>
          <w:szCs w:val="24"/>
          <w:lang w:val="es-ES_tradnl"/>
        </w:rPr>
        <w:t>−</w:t>
      </w:r>
      <w:r w:rsidR="0091147C">
        <w:rPr>
          <w:sz w:val="24"/>
          <w:szCs w:val="24"/>
          <w:lang w:val="es-ES_tradnl"/>
        </w:rPr>
        <w:t> </w:t>
      </w:r>
      <w:r w:rsidRPr="0062258A">
        <w:rPr>
          <w:sz w:val="24"/>
          <w:szCs w:val="24"/>
          <w:lang w:val="es-ES_tradnl"/>
        </w:rPr>
        <w:t>Métodos de medición para los sistemas de telecomunicación de transmisión de datos a alta velocidad por líneas de transporte y distribución de energía eléctrica.</w:t>
      </w:r>
    </w:p>
    <w:p w:rsidR="003747DF" w:rsidRPr="0091147C" w:rsidRDefault="003747DF" w:rsidP="003747DF">
      <w:pPr>
        <w:rPr>
          <w:lang w:val="es-ES_tradnl"/>
        </w:rPr>
      </w:pPr>
    </w:p>
    <w:p w:rsidR="001311DD" w:rsidRPr="00EE15CA" w:rsidRDefault="001311DD" w:rsidP="001311DD">
      <w:pPr>
        <w:pStyle w:val="Line"/>
        <w:rPr>
          <w:lang w:val="es-ES_tradnl"/>
        </w:rPr>
      </w:pPr>
    </w:p>
    <w:sectPr w:rsidR="001311DD" w:rsidRPr="00EE15CA" w:rsidSect="004B3E86">
      <w:headerReference w:type="even" r:id="rId77"/>
      <w:headerReference w:type="default" r:id="rId78"/>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3E6" w:rsidRDefault="001A13E6">
      <w:r>
        <w:separator/>
      </w:r>
    </w:p>
  </w:endnote>
  <w:endnote w:type="continuationSeparator" w:id="0">
    <w:p w:rsidR="001A13E6" w:rsidRDefault="001A13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3E6" w:rsidRDefault="001A13E6">
      <w:r>
        <w:separator/>
      </w:r>
    </w:p>
  </w:footnote>
  <w:footnote w:type="continuationSeparator" w:id="0">
    <w:p w:rsidR="001A13E6" w:rsidRDefault="001A13E6">
      <w:r>
        <w:continuationSeparator/>
      </w:r>
    </w:p>
  </w:footnote>
  <w:footnote w:id="1">
    <w:p w:rsidR="001A13E6" w:rsidRPr="00221953" w:rsidRDefault="001A13E6" w:rsidP="00EB2551">
      <w:pPr>
        <w:pStyle w:val="FootnoteText"/>
        <w:rPr>
          <w:lang w:val="es-ES_tradnl"/>
        </w:rPr>
      </w:pPr>
      <w:r>
        <w:rPr>
          <w:rStyle w:val="FootnoteReference"/>
        </w:rPr>
        <w:footnoteRef/>
      </w:r>
      <w:r w:rsidRPr="00221953">
        <w:rPr>
          <w:lang w:val="es-ES_tradnl"/>
        </w:rPr>
        <w:tab/>
        <w:t>Cuando las fuentes de ruido est</w:t>
      </w:r>
      <w:r>
        <w:rPr>
          <w:lang w:val="es-ES_tradnl"/>
        </w:rPr>
        <w:t xml:space="preserve">án uniformemente </w:t>
      </w:r>
      <w:r w:rsidRPr="00EE15CA">
        <w:rPr>
          <w:lang w:val="es-ES_tradnl"/>
        </w:rPr>
        <w:t>distribuidas</w:t>
      </w:r>
      <w:r>
        <w:rPr>
          <w:lang w:val="es-ES_tradnl"/>
        </w:rPr>
        <w:t>, la potencia del ruido recibida por una antena de medición directiva y por la antena isótropa teórica será la misma. Por consiguiente, en este contexto el factor de antena medio se obtiene aplicando una corrección adecuada a la ganancia de antena en la dirección específica.</w:t>
      </w:r>
    </w:p>
  </w:footnote>
  <w:footnote w:id="2">
    <w:p w:rsidR="001A13E6" w:rsidRPr="008030AD" w:rsidRDefault="001A13E6" w:rsidP="002B3327">
      <w:pPr>
        <w:pStyle w:val="FootnoteText"/>
        <w:jc w:val="left"/>
        <w:rPr>
          <w:lang w:val="de-DE"/>
        </w:rPr>
      </w:pPr>
      <w:r>
        <w:rPr>
          <w:rStyle w:val="FootnoteReference"/>
        </w:rPr>
        <w:footnoteRef/>
      </w:r>
      <w:r w:rsidRPr="003964D3">
        <w:rPr>
          <w:lang w:val="es-ES_tradnl"/>
        </w:rPr>
        <w:t xml:space="preserve"> </w:t>
      </w:r>
      <w:r w:rsidRPr="003964D3">
        <w:rPr>
          <w:lang w:val="es-ES_tradnl"/>
        </w:rPr>
        <w:tab/>
        <w:t xml:space="preserve">El factor de antena normalmente se expresa como a y se da en DB. </w:t>
      </w:r>
      <w:r>
        <w:rPr>
          <w:lang w:val="es-ES_tradnl"/>
        </w:rPr>
        <w:t>Esto es incorrecto desde el punto de vista dimensional pero refleja una práctica de ingeniería habitual</w:t>
      </w:r>
      <w:r w:rsidRPr="003964D3">
        <w:rPr>
          <w:lang w:val="es-ES_tradn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E6" w:rsidRDefault="001A13E6">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E6" w:rsidRDefault="001A13E6" w:rsidP="005D140F">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E6" w:rsidRDefault="00970B36" w:rsidP="005D140F">
    <w:pPr>
      <w:pStyle w:val="Header"/>
      <w:jc w:val="left"/>
    </w:pPr>
    <w:r>
      <w:rPr>
        <w:rStyle w:val="PageNumber"/>
        <w:b/>
        <w:bCs/>
      </w:rPr>
      <w:fldChar w:fldCharType="begin"/>
    </w:r>
    <w:r w:rsidR="001A13E6">
      <w:rPr>
        <w:rStyle w:val="PageNumber"/>
        <w:b/>
        <w:bCs/>
      </w:rPr>
      <w:instrText xml:space="preserve"> PAGE </w:instrText>
    </w:r>
    <w:r>
      <w:rPr>
        <w:rStyle w:val="PageNumber"/>
        <w:b/>
        <w:bCs/>
      </w:rPr>
      <w:fldChar w:fldCharType="separate"/>
    </w:r>
    <w:r w:rsidR="00151803">
      <w:rPr>
        <w:rStyle w:val="PageNumber"/>
        <w:b/>
        <w:bCs/>
        <w:noProof/>
      </w:rPr>
      <w:t>ii</w:t>
    </w:r>
    <w:r>
      <w:rPr>
        <w:rStyle w:val="PageNumber"/>
        <w:b/>
        <w:bCs/>
      </w:rPr>
      <w:fldChar w:fldCharType="end"/>
    </w:r>
    <w:r w:rsidR="001A13E6">
      <w:tab/>
    </w:r>
    <w:fldSimple w:instr=" DOCPROPERTY &quot;Header&quot; \* MERGEFORMAT ">
      <w:r w:rsidR="00151803" w:rsidRPr="00151803">
        <w:rPr>
          <w:b/>
          <w:bCs/>
          <w:lang w:val="en-US"/>
        </w:rPr>
        <w:t xml:space="preserve">Rec. </w:t>
      </w:r>
    </w:fldSimple>
    <w:r w:rsidR="001A13E6">
      <w:rPr>
        <w:b/>
        <w:bCs/>
      </w:rPr>
      <w:t xml:space="preserve"> </w:t>
    </w:r>
    <w:r>
      <w:rPr>
        <w:b/>
        <w:bCs/>
      </w:rPr>
      <w:fldChar w:fldCharType="begin"/>
    </w:r>
    <w:r w:rsidR="001A13E6">
      <w:rPr>
        <w:b/>
        <w:bCs/>
      </w:rPr>
      <w:instrText>styleref href</w:instrText>
    </w:r>
    <w:r>
      <w:rPr>
        <w:b/>
        <w:bCs/>
      </w:rPr>
      <w:fldChar w:fldCharType="separate"/>
    </w:r>
    <w:r w:rsidR="00151803">
      <w:rPr>
        <w:b/>
        <w:bCs/>
        <w:noProof/>
      </w:rPr>
      <w:t>UIT-R  SM.1753-1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E6" w:rsidRDefault="001A13E6">
    <w:pPr>
      <w:pStyle w:val="Header"/>
    </w:pPr>
    <w:r>
      <w:tab/>
    </w:r>
    <w:fldSimple w:instr=" DOCPROPERTY &quot;Header&quot; \* MERGEFORMAT ">
      <w:r w:rsidR="00151803" w:rsidRPr="00151803">
        <w:rPr>
          <w:lang w:val="en-US"/>
        </w:rPr>
        <w:t xml:space="preserve">Rec. </w:t>
      </w:r>
    </w:fldSimple>
    <w:r>
      <w:rPr>
        <w:b/>
        <w:bCs/>
      </w:rPr>
      <w:t xml:space="preserve">  </w:t>
    </w:r>
    <w:r w:rsidR="00970B36">
      <w:rPr>
        <w:b/>
        <w:bCs/>
      </w:rPr>
      <w:fldChar w:fldCharType="begin"/>
    </w:r>
    <w:r>
      <w:rPr>
        <w:b/>
        <w:bCs/>
      </w:rPr>
      <w:instrText>styleref href</w:instrText>
    </w:r>
    <w:r w:rsidR="00970B36">
      <w:rPr>
        <w:b/>
        <w:bCs/>
      </w:rPr>
      <w:fldChar w:fldCharType="separate"/>
    </w:r>
    <w:r w:rsidR="00151803">
      <w:rPr>
        <w:b/>
        <w:bCs/>
        <w:noProof/>
      </w:rPr>
      <w:t>UIT-R  SM.1753-1</w:t>
    </w:r>
    <w:r w:rsidR="00970B36">
      <w:rPr>
        <w:b/>
        <w:bCs/>
      </w:rPr>
      <w:fldChar w:fldCharType="end"/>
    </w:r>
    <w:r>
      <w:tab/>
    </w:r>
    <w:r w:rsidR="00970B36">
      <w:rPr>
        <w:rStyle w:val="PageNumber"/>
        <w:b/>
        <w:bCs/>
      </w:rPr>
      <w:fldChar w:fldCharType="begin"/>
    </w:r>
    <w:r>
      <w:rPr>
        <w:rStyle w:val="PageNumber"/>
        <w:b/>
        <w:bCs/>
      </w:rPr>
      <w:instrText xml:space="preserve"> PAGE </w:instrText>
    </w:r>
    <w:r w:rsidR="00970B36">
      <w:rPr>
        <w:rStyle w:val="PageNumber"/>
        <w:b/>
        <w:bCs/>
      </w:rPr>
      <w:fldChar w:fldCharType="separate"/>
    </w:r>
    <w:r>
      <w:rPr>
        <w:rStyle w:val="PageNumber"/>
        <w:b/>
        <w:bCs/>
        <w:noProof/>
      </w:rPr>
      <w:t>iii</w:t>
    </w:r>
    <w:r w:rsidR="00970B36">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E6" w:rsidRDefault="00970B36">
    <w:pPr>
      <w:pStyle w:val="Header"/>
      <w:jc w:val="left"/>
      <w:rPr>
        <w:lang w:val="en-US"/>
      </w:rPr>
    </w:pPr>
    <w:r>
      <w:rPr>
        <w:rStyle w:val="PageNumber"/>
        <w:b/>
        <w:bCs/>
      </w:rPr>
      <w:fldChar w:fldCharType="begin"/>
    </w:r>
    <w:r w:rsidR="001A13E6">
      <w:rPr>
        <w:rStyle w:val="PageNumber"/>
        <w:b/>
        <w:bCs/>
        <w:lang w:val="en-US"/>
      </w:rPr>
      <w:instrText xml:space="preserve"> PAGE </w:instrText>
    </w:r>
    <w:r>
      <w:rPr>
        <w:rStyle w:val="PageNumber"/>
        <w:b/>
        <w:bCs/>
      </w:rPr>
      <w:fldChar w:fldCharType="separate"/>
    </w:r>
    <w:r w:rsidR="00151803">
      <w:rPr>
        <w:rStyle w:val="PageNumber"/>
        <w:b/>
        <w:bCs/>
        <w:noProof/>
        <w:lang w:val="en-US"/>
      </w:rPr>
      <w:t>32</w:t>
    </w:r>
    <w:r>
      <w:rPr>
        <w:rStyle w:val="PageNumber"/>
        <w:b/>
        <w:bCs/>
      </w:rPr>
      <w:fldChar w:fldCharType="end"/>
    </w:r>
    <w:r w:rsidR="001A13E6">
      <w:rPr>
        <w:lang w:val="en-US"/>
      </w:rPr>
      <w:tab/>
    </w:r>
    <w:fldSimple w:instr=" DOCPROPERTY &quot;Header&quot; \* MERGEFORMAT ">
      <w:r w:rsidR="00151803" w:rsidRPr="00151803">
        <w:rPr>
          <w:b/>
          <w:bCs/>
          <w:lang w:val="en-US"/>
        </w:rPr>
        <w:t xml:space="preserve">Rec. </w:t>
      </w:r>
    </w:fldSimple>
    <w:r w:rsidR="001A13E6">
      <w:rPr>
        <w:b/>
        <w:bCs/>
      </w:rPr>
      <w:t xml:space="preserve"> </w:t>
    </w:r>
    <w:r>
      <w:rPr>
        <w:b/>
        <w:bCs/>
      </w:rPr>
      <w:fldChar w:fldCharType="begin"/>
    </w:r>
    <w:r w:rsidR="001A13E6">
      <w:rPr>
        <w:b/>
        <w:bCs/>
        <w:lang w:val="en-US"/>
      </w:rPr>
      <w:instrText>styleref href</w:instrText>
    </w:r>
    <w:r>
      <w:rPr>
        <w:b/>
        <w:bCs/>
      </w:rPr>
      <w:fldChar w:fldCharType="separate"/>
    </w:r>
    <w:r w:rsidR="00151803">
      <w:rPr>
        <w:b/>
        <w:bCs/>
        <w:noProof/>
      </w:rPr>
      <w:t>UIT-R  SM.1753-1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E6" w:rsidRDefault="001A13E6">
    <w:pPr>
      <w:pStyle w:val="Header"/>
    </w:pPr>
    <w:r>
      <w:tab/>
    </w:r>
    <w:fldSimple w:instr=" DOCPROPERTY &quot;Header&quot; \* MERGEFORMAT ">
      <w:r w:rsidR="00151803" w:rsidRPr="00151803">
        <w:rPr>
          <w:b/>
          <w:bCs/>
        </w:rPr>
        <w:t xml:space="preserve">Rec. </w:t>
      </w:r>
    </w:fldSimple>
    <w:r>
      <w:rPr>
        <w:b/>
        <w:bCs/>
      </w:rPr>
      <w:t xml:space="preserve"> </w:t>
    </w:r>
    <w:r w:rsidR="00970B36">
      <w:rPr>
        <w:b/>
        <w:bCs/>
      </w:rPr>
      <w:fldChar w:fldCharType="begin"/>
    </w:r>
    <w:r>
      <w:rPr>
        <w:b/>
        <w:bCs/>
      </w:rPr>
      <w:instrText>styleref href</w:instrText>
    </w:r>
    <w:r w:rsidR="00970B36">
      <w:rPr>
        <w:b/>
        <w:bCs/>
      </w:rPr>
      <w:fldChar w:fldCharType="separate"/>
    </w:r>
    <w:r w:rsidR="00151803">
      <w:rPr>
        <w:b/>
        <w:bCs/>
        <w:noProof/>
      </w:rPr>
      <w:t>UIT-R  SM.1753-1</w:t>
    </w:r>
    <w:r w:rsidR="00970B36">
      <w:rPr>
        <w:b/>
        <w:bCs/>
      </w:rPr>
      <w:fldChar w:fldCharType="end"/>
    </w:r>
    <w:r>
      <w:tab/>
    </w:r>
    <w:r w:rsidR="00970B36">
      <w:rPr>
        <w:rStyle w:val="PageNumber"/>
        <w:b/>
        <w:bCs/>
      </w:rPr>
      <w:fldChar w:fldCharType="begin"/>
    </w:r>
    <w:r>
      <w:rPr>
        <w:rStyle w:val="PageNumber"/>
        <w:b/>
        <w:bCs/>
      </w:rPr>
      <w:instrText xml:space="preserve"> PAGE </w:instrText>
    </w:r>
    <w:r w:rsidR="00970B36">
      <w:rPr>
        <w:rStyle w:val="PageNumber"/>
        <w:b/>
        <w:bCs/>
      </w:rPr>
      <w:fldChar w:fldCharType="separate"/>
    </w:r>
    <w:r w:rsidR="00151803">
      <w:rPr>
        <w:rStyle w:val="PageNumber"/>
        <w:b/>
        <w:bCs/>
        <w:noProof/>
      </w:rPr>
      <w:t>31</w:t>
    </w:r>
    <w:r w:rsidR="00970B36">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1311DD"/>
    <w:rsid w:val="00074ED7"/>
    <w:rsid w:val="001311DD"/>
    <w:rsid w:val="00146A2A"/>
    <w:rsid w:val="00151803"/>
    <w:rsid w:val="001A13E6"/>
    <w:rsid w:val="00217EBF"/>
    <w:rsid w:val="002A55BE"/>
    <w:rsid w:val="002B3327"/>
    <w:rsid w:val="002D76C4"/>
    <w:rsid w:val="00365817"/>
    <w:rsid w:val="003747DF"/>
    <w:rsid w:val="003C700B"/>
    <w:rsid w:val="004B3E86"/>
    <w:rsid w:val="004C30A7"/>
    <w:rsid w:val="004F0801"/>
    <w:rsid w:val="00546709"/>
    <w:rsid w:val="005D140F"/>
    <w:rsid w:val="00606D49"/>
    <w:rsid w:val="00607D68"/>
    <w:rsid w:val="00664D1D"/>
    <w:rsid w:val="006A041D"/>
    <w:rsid w:val="006D7658"/>
    <w:rsid w:val="006F431D"/>
    <w:rsid w:val="007468DA"/>
    <w:rsid w:val="0091147C"/>
    <w:rsid w:val="00970B36"/>
    <w:rsid w:val="009D7564"/>
    <w:rsid w:val="00A6617B"/>
    <w:rsid w:val="00AB0DC8"/>
    <w:rsid w:val="00AE2BCB"/>
    <w:rsid w:val="00B26384"/>
    <w:rsid w:val="00B44E24"/>
    <w:rsid w:val="00B73AAF"/>
    <w:rsid w:val="00B86A13"/>
    <w:rsid w:val="00BF0637"/>
    <w:rsid w:val="00C467A5"/>
    <w:rsid w:val="00C75BE2"/>
    <w:rsid w:val="00D50A7D"/>
    <w:rsid w:val="00DF4176"/>
    <w:rsid w:val="00E16436"/>
    <w:rsid w:val="00E22B71"/>
    <w:rsid w:val="00E674A3"/>
    <w:rsid w:val="00E907E4"/>
    <w:rsid w:val="00EB2551"/>
    <w:rsid w:val="00EB5D5F"/>
    <w:rsid w:val="00EE15C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5D5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B5D5F"/>
    <w:pPr>
      <w:keepNext/>
      <w:keepLines/>
      <w:spacing w:before="480"/>
      <w:ind w:left="794" w:hanging="794"/>
      <w:outlineLvl w:val="0"/>
    </w:pPr>
    <w:rPr>
      <w:b/>
    </w:rPr>
  </w:style>
  <w:style w:type="paragraph" w:styleId="Heading2">
    <w:name w:val="heading 2"/>
    <w:basedOn w:val="Heading1"/>
    <w:next w:val="Normal"/>
    <w:link w:val="Heading2Char"/>
    <w:qFormat/>
    <w:rsid w:val="00EB5D5F"/>
    <w:pPr>
      <w:spacing w:before="320"/>
      <w:outlineLvl w:val="1"/>
    </w:pPr>
  </w:style>
  <w:style w:type="paragraph" w:styleId="Heading3">
    <w:name w:val="heading 3"/>
    <w:basedOn w:val="Heading1"/>
    <w:next w:val="Normal"/>
    <w:link w:val="Heading3Char"/>
    <w:qFormat/>
    <w:rsid w:val="00EB5D5F"/>
    <w:pPr>
      <w:spacing w:before="200"/>
      <w:outlineLvl w:val="2"/>
    </w:pPr>
  </w:style>
  <w:style w:type="paragraph" w:styleId="Heading4">
    <w:name w:val="heading 4"/>
    <w:basedOn w:val="Heading3"/>
    <w:next w:val="Normal"/>
    <w:link w:val="Heading4Char"/>
    <w:qFormat/>
    <w:rsid w:val="00EB5D5F"/>
    <w:pPr>
      <w:tabs>
        <w:tab w:val="clear" w:pos="794"/>
        <w:tab w:val="left" w:pos="992"/>
      </w:tabs>
      <w:ind w:left="992" w:hanging="992"/>
      <w:outlineLvl w:val="3"/>
    </w:pPr>
  </w:style>
  <w:style w:type="paragraph" w:styleId="Heading5">
    <w:name w:val="heading 5"/>
    <w:basedOn w:val="Heading4"/>
    <w:next w:val="Normal"/>
    <w:link w:val="Heading5Char"/>
    <w:qFormat/>
    <w:rsid w:val="00EB5D5F"/>
    <w:pPr>
      <w:outlineLvl w:val="4"/>
    </w:pPr>
  </w:style>
  <w:style w:type="paragraph" w:styleId="Heading6">
    <w:name w:val="heading 6"/>
    <w:basedOn w:val="Heading4"/>
    <w:next w:val="Normal"/>
    <w:link w:val="Heading6Char"/>
    <w:qFormat/>
    <w:rsid w:val="00EB5D5F"/>
    <w:pPr>
      <w:tabs>
        <w:tab w:val="clear" w:pos="992"/>
        <w:tab w:val="clear" w:pos="1191"/>
      </w:tabs>
      <w:ind w:left="1588" w:hanging="1588"/>
      <w:outlineLvl w:val="5"/>
    </w:pPr>
  </w:style>
  <w:style w:type="paragraph" w:styleId="Heading7">
    <w:name w:val="heading 7"/>
    <w:basedOn w:val="Heading6"/>
    <w:next w:val="Normal"/>
    <w:link w:val="Heading7Char"/>
    <w:qFormat/>
    <w:rsid w:val="00EB5D5F"/>
    <w:pPr>
      <w:outlineLvl w:val="6"/>
    </w:pPr>
  </w:style>
  <w:style w:type="paragraph" w:styleId="Heading8">
    <w:name w:val="heading 8"/>
    <w:basedOn w:val="Heading6"/>
    <w:next w:val="Normal"/>
    <w:link w:val="Heading8Char"/>
    <w:qFormat/>
    <w:rsid w:val="00EB5D5F"/>
    <w:pPr>
      <w:outlineLvl w:val="7"/>
    </w:pPr>
  </w:style>
  <w:style w:type="paragraph" w:styleId="Heading9">
    <w:name w:val="heading 9"/>
    <w:basedOn w:val="Heading6"/>
    <w:next w:val="Normal"/>
    <w:link w:val="Heading9Char"/>
    <w:qFormat/>
    <w:rsid w:val="00EB5D5F"/>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5D5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B5D5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5D5F"/>
  </w:style>
  <w:style w:type="paragraph" w:customStyle="1" w:styleId="Headingb">
    <w:name w:val="Heading_b"/>
    <w:basedOn w:val="Heading3"/>
    <w:next w:val="Normal"/>
    <w:rsid w:val="00EB5D5F"/>
    <w:pPr>
      <w:spacing w:before="160"/>
      <w:ind w:left="0" w:firstLine="0"/>
      <w:outlineLvl w:val="9"/>
    </w:pPr>
  </w:style>
  <w:style w:type="paragraph" w:customStyle="1" w:styleId="Headingi">
    <w:name w:val="Heading_i"/>
    <w:basedOn w:val="Heading3"/>
    <w:next w:val="Normal"/>
    <w:rsid w:val="00EB5D5F"/>
    <w:pPr>
      <w:spacing w:before="160"/>
      <w:ind w:left="0" w:firstLine="0"/>
    </w:pPr>
    <w:rPr>
      <w:b w:val="0"/>
      <w:i/>
    </w:rPr>
  </w:style>
  <w:style w:type="character" w:customStyle="1" w:styleId="href">
    <w:name w:val="href"/>
    <w:basedOn w:val="DefaultParagraphFont"/>
    <w:rsid w:val="00EB5D5F"/>
  </w:style>
  <w:style w:type="paragraph" w:customStyle="1" w:styleId="enumlev1">
    <w:name w:val="enumlev1"/>
    <w:basedOn w:val="Normal"/>
    <w:rsid w:val="00EB5D5F"/>
    <w:pPr>
      <w:spacing w:before="80"/>
      <w:ind w:left="794" w:hanging="794"/>
    </w:pPr>
  </w:style>
  <w:style w:type="paragraph" w:customStyle="1" w:styleId="enumlev2">
    <w:name w:val="enumlev2"/>
    <w:basedOn w:val="enumlev1"/>
    <w:rsid w:val="00EB5D5F"/>
    <w:pPr>
      <w:ind w:left="1191" w:hanging="397"/>
    </w:pPr>
  </w:style>
  <w:style w:type="paragraph" w:customStyle="1" w:styleId="enumlev3">
    <w:name w:val="enumlev3"/>
    <w:basedOn w:val="enumlev2"/>
    <w:rsid w:val="00EB5D5F"/>
    <w:pPr>
      <w:ind w:left="1588"/>
    </w:pPr>
  </w:style>
  <w:style w:type="paragraph" w:customStyle="1" w:styleId="Normalaftertitle">
    <w:name w:val="Normal_after_title"/>
    <w:basedOn w:val="Normal"/>
    <w:next w:val="Normal"/>
    <w:rsid w:val="00EB5D5F"/>
    <w:pPr>
      <w:spacing w:before="320"/>
    </w:pPr>
  </w:style>
  <w:style w:type="paragraph" w:customStyle="1" w:styleId="Note">
    <w:name w:val="Note"/>
    <w:basedOn w:val="Normal"/>
    <w:rsid w:val="00EB5D5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5D5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B5D5F"/>
    <w:pPr>
      <w:spacing w:before="240"/>
    </w:pPr>
    <w:rPr>
      <w:sz w:val="22"/>
      <w:lang w:val="es-ES_tradnl"/>
    </w:rPr>
  </w:style>
  <w:style w:type="paragraph" w:customStyle="1" w:styleId="Recref">
    <w:name w:val="Rec_ref"/>
    <w:basedOn w:val="Normal"/>
    <w:next w:val="Recdate"/>
    <w:rsid w:val="00EB5D5F"/>
    <w:pPr>
      <w:jc w:val="center"/>
    </w:pPr>
  </w:style>
  <w:style w:type="paragraph" w:customStyle="1" w:styleId="Recdate">
    <w:name w:val="Rec_date"/>
    <w:basedOn w:val="Recref"/>
    <w:next w:val="Normalaftertitle"/>
    <w:rsid w:val="00EB5D5F"/>
    <w:pPr>
      <w:jc w:val="right"/>
    </w:pPr>
  </w:style>
  <w:style w:type="paragraph" w:customStyle="1" w:styleId="AnnexNoTitle">
    <w:name w:val="Annex_NoTitle"/>
    <w:basedOn w:val="Normal"/>
    <w:next w:val="Normalaftertitle"/>
    <w:rsid w:val="00EB5D5F"/>
    <w:pPr>
      <w:keepNext/>
      <w:keepLines/>
      <w:spacing w:before="480" w:after="80"/>
      <w:jc w:val="center"/>
    </w:pPr>
    <w:rPr>
      <w:b/>
      <w:sz w:val="28"/>
    </w:rPr>
  </w:style>
  <w:style w:type="paragraph" w:customStyle="1" w:styleId="AppendixNoTitle">
    <w:name w:val="Appendix_NoTitle"/>
    <w:basedOn w:val="AnnexNoTitle"/>
    <w:next w:val="Normal"/>
    <w:rsid w:val="00EB5D5F"/>
  </w:style>
  <w:style w:type="paragraph" w:customStyle="1" w:styleId="Tablefin">
    <w:name w:val="Table_fin"/>
    <w:basedOn w:val="Normal"/>
    <w:next w:val="Normal"/>
    <w:rsid w:val="00EB5D5F"/>
    <w:pPr>
      <w:spacing w:before="0"/>
    </w:pPr>
    <w:rPr>
      <w:sz w:val="20"/>
      <w:lang w:val="en-GB"/>
    </w:rPr>
  </w:style>
  <w:style w:type="paragraph" w:customStyle="1" w:styleId="Tablehead">
    <w:name w:val="Table_head"/>
    <w:basedOn w:val="Normal"/>
    <w:next w:val="Normal"/>
    <w:rsid w:val="00EB5D5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5D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B5D5F"/>
    <w:pPr>
      <w:keepNext/>
      <w:spacing w:before="360" w:after="120"/>
      <w:jc w:val="center"/>
    </w:pPr>
  </w:style>
  <w:style w:type="paragraph" w:customStyle="1" w:styleId="Tabletext">
    <w:name w:val="Table_text"/>
    <w:basedOn w:val="Normal"/>
    <w:rsid w:val="00EB5D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Zchn"/>
    <w:rsid w:val="00EB5D5F"/>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B5D5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5D5F"/>
    <w:pPr>
      <w:ind w:left="794"/>
    </w:pPr>
  </w:style>
  <w:style w:type="paragraph" w:customStyle="1" w:styleId="Figurelegend">
    <w:name w:val="Figure_legend"/>
    <w:basedOn w:val="Normal"/>
    <w:rsid w:val="00EB5D5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EB5D5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5D5F"/>
    <w:pPr>
      <w:keepNext/>
      <w:keepLines/>
      <w:spacing w:before="480"/>
      <w:jc w:val="center"/>
    </w:pPr>
    <w:rPr>
      <w:sz w:val="28"/>
    </w:rPr>
  </w:style>
  <w:style w:type="paragraph" w:customStyle="1" w:styleId="Arttitle">
    <w:name w:val="Art_title"/>
    <w:basedOn w:val="Normal"/>
    <w:next w:val="Normalaftertitle"/>
    <w:rsid w:val="00EB5D5F"/>
    <w:pPr>
      <w:keepNext/>
      <w:keepLines/>
      <w:spacing w:before="240"/>
      <w:jc w:val="center"/>
    </w:pPr>
    <w:rPr>
      <w:b/>
      <w:sz w:val="28"/>
    </w:rPr>
  </w:style>
  <w:style w:type="paragraph" w:customStyle="1" w:styleId="Blanc">
    <w:name w:val="Blanc"/>
    <w:basedOn w:val="Normal"/>
    <w:next w:val="Tabletext"/>
    <w:rsid w:val="00EB5D5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5D5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B5D5F"/>
    <w:pPr>
      <w:keepNext/>
      <w:keepLines/>
      <w:spacing w:before="160"/>
      <w:ind w:left="794"/>
    </w:pPr>
    <w:rPr>
      <w:i/>
    </w:rPr>
  </w:style>
  <w:style w:type="paragraph" w:customStyle="1" w:styleId="ChapNo">
    <w:name w:val="Chap_No"/>
    <w:basedOn w:val="ArtNo"/>
    <w:next w:val="Chaptitle"/>
    <w:rsid w:val="00EB5D5F"/>
    <w:rPr>
      <w:b/>
    </w:rPr>
  </w:style>
  <w:style w:type="paragraph" w:customStyle="1" w:styleId="Chaptitle">
    <w:name w:val="Chap_title"/>
    <w:basedOn w:val="Arttitle"/>
    <w:next w:val="Normalaftertitle"/>
    <w:rsid w:val="00EB5D5F"/>
  </w:style>
  <w:style w:type="character" w:styleId="FootnoteReference">
    <w:name w:val="footnote reference"/>
    <w:basedOn w:val="DefaultParagraphFont"/>
    <w:rsid w:val="00EB5D5F"/>
    <w:rPr>
      <w:position w:val="6"/>
      <w:sz w:val="18"/>
    </w:rPr>
  </w:style>
  <w:style w:type="paragraph" w:styleId="FootnoteText">
    <w:name w:val="footnote text"/>
    <w:basedOn w:val="Normal"/>
    <w:link w:val="FootnoteTextChar"/>
    <w:rsid w:val="00EB5D5F"/>
    <w:pPr>
      <w:keepLines/>
      <w:tabs>
        <w:tab w:val="left" w:pos="255"/>
      </w:tabs>
      <w:ind w:left="255" w:hanging="255"/>
    </w:pPr>
    <w:rPr>
      <w:sz w:val="22"/>
    </w:rPr>
  </w:style>
  <w:style w:type="paragraph" w:styleId="Index1">
    <w:name w:val="index 1"/>
    <w:basedOn w:val="Normal"/>
    <w:next w:val="Normal"/>
    <w:semiHidden/>
    <w:rsid w:val="00EB5D5F"/>
  </w:style>
  <w:style w:type="paragraph" w:styleId="Index2">
    <w:name w:val="index 2"/>
    <w:basedOn w:val="Normal"/>
    <w:next w:val="Normal"/>
    <w:semiHidden/>
    <w:rsid w:val="00EB5D5F"/>
    <w:pPr>
      <w:ind w:left="283"/>
    </w:pPr>
  </w:style>
  <w:style w:type="paragraph" w:styleId="Index3">
    <w:name w:val="index 3"/>
    <w:basedOn w:val="Normal"/>
    <w:next w:val="Normal"/>
    <w:semiHidden/>
    <w:rsid w:val="00EB5D5F"/>
    <w:pPr>
      <w:ind w:left="566"/>
    </w:pPr>
  </w:style>
  <w:style w:type="paragraph" w:styleId="IndexHeading">
    <w:name w:val="index heading"/>
    <w:basedOn w:val="Normal"/>
    <w:next w:val="Index1"/>
    <w:semiHidden/>
    <w:rsid w:val="00EB5D5F"/>
  </w:style>
  <w:style w:type="paragraph" w:customStyle="1" w:styleId="Line">
    <w:name w:val="Line"/>
    <w:basedOn w:val="Normal"/>
    <w:next w:val="Normal"/>
    <w:rsid w:val="00EB5D5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5D5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5D5F"/>
  </w:style>
  <w:style w:type="paragraph" w:customStyle="1" w:styleId="Partref">
    <w:name w:val="Part_ref"/>
    <w:basedOn w:val="Normal"/>
    <w:next w:val="Normal"/>
    <w:rsid w:val="00EB5D5F"/>
    <w:pPr>
      <w:keepNext/>
      <w:keepLines/>
      <w:spacing w:after="280"/>
      <w:jc w:val="center"/>
    </w:pPr>
  </w:style>
  <w:style w:type="paragraph" w:customStyle="1" w:styleId="Parttitle">
    <w:name w:val="Part_title"/>
    <w:basedOn w:val="Normal"/>
    <w:next w:val="Normalaftertitle"/>
    <w:rsid w:val="00EB5D5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5D5F"/>
  </w:style>
  <w:style w:type="paragraph" w:customStyle="1" w:styleId="QuestionNo">
    <w:name w:val="Question_No"/>
    <w:basedOn w:val="RecNo"/>
    <w:next w:val="Normal"/>
    <w:rsid w:val="00EB5D5F"/>
  </w:style>
  <w:style w:type="paragraph" w:customStyle="1" w:styleId="Questionref">
    <w:name w:val="Question_ref"/>
    <w:basedOn w:val="Recref"/>
    <w:next w:val="Questiondate"/>
    <w:rsid w:val="00EB5D5F"/>
  </w:style>
  <w:style w:type="paragraph" w:customStyle="1" w:styleId="Questiontitle">
    <w:name w:val="Question_title"/>
    <w:basedOn w:val="Normal"/>
    <w:next w:val="Questionref"/>
    <w:rsid w:val="00EB5D5F"/>
  </w:style>
  <w:style w:type="paragraph" w:customStyle="1" w:styleId="Reftext">
    <w:name w:val="Ref_text"/>
    <w:basedOn w:val="Normal"/>
    <w:rsid w:val="00EB5D5F"/>
    <w:pPr>
      <w:ind w:left="794" w:hanging="794"/>
    </w:pPr>
    <w:rPr>
      <w:sz w:val="22"/>
    </w:rPr>
  </w:style>
  <w:style w:type="paragraph" w:customStyle="1" w:styleId="Reftitle">
    <w:name w:val="Ref_title"/>
    <w:basedOn w:val="Normal"/>
    <w:next w:val="Reftext"/>
    <w:rsid w:val="00EB5D5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5D5F"/>
  </w:style>
  <w:style w:type="paragraph" w:customStyle="1" w:styleId="RepNo">
    <w:name w:val="Rep_No"/>
    <w:basedOn w:val="RecNo"/>
    <w:next w:val="Reptitle"/>
    <w:rsid w:val="00EB5D5F"/>
  </w:style>
  <w:style w:type="paragraph" w:customStyle="1" w:styleId="Repref">
    <w:name w:val="Rep_ref"/>
    <w:basedOn w:val="Recref"/>
    <w:next w:val="Repdate"/>
    <w:rsid w:val="00EB5D5F"/>
  </w:style>
  <w:style w:type="paragraph" w:customStyle="1" w:styleId="Reptitle">
    <w:name w:val="Rep_title"/>
    <w:basedOn w:val="Rectitle"/>
    <w:next w:val="Repref"/>
    <w:rsid w:val="00EB5D5F"/>
  </w:style>
  <w:style w:type="paragraph" w:customStyle="1" w:styleId="Resdate">
    <w:name w:val="Res_date"/>
    <w:basedOn w:val="Recdate"/>
    <w:next w:val="Normalaftertitle"/>
    <w:rsid w:val="00EB5D5F"/>
  </w:style>
  <w:style w:type="paragraph" w:customStyle="1" w:styleId="ResNo">
    <w:name w:val="Res_No"/>
    <w:basedOn w:val="RecNo"/>
    <w:next w:val="Restitle"/>
    <w:rsid w:val="00EB5D5F"/>
  </w:style>
  <w:style w:type="paragraph" w:customStyle="1" w:styleId="Resref">
    <w:name w:val="Res_ref"/>
    <w:basedOn w:val="Recref"/>
    <w:next w:val="Resdate"/>
    <w:rsid w:val="00EB5D5F"/>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B5D5F"/>
  </w:style>
  <w:style w:type="paragraph" w:customStyle="1" w:styleId="Sectiontitle">
    <w:name w:val="Section_title"/>
    <w:basedOn w:val="Normal"/>
    <w:next w:val="Normalaftertitle"/>
    <w:rsid w:val="00EB5D5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5D5F"/>
    <w:pPr>
      <w:tabs>
        <w:tab w:val="clear" w:pos="794"/>
        <w:tab w:val="clear" w:pos="1191"/>
        <w:tab w:val="clear" w:pos="1588"/>
        <w:tab w:val="clear" w:pos="1985"/>
        <w:tab w:val="right" w:pos="9611"/>
      </w:tabs>
    </w:pPr>
    <w:rPr>
      <w:i/>
    </w:rPr>
  </w:style>
  <w:style w:type="paragraph" w:styleId="TOC1">
    <w:name w:val="toc 1"/>
    <w:basedOn w:val="Normal"/>
    <w:semiHidden/>
    <w:rsid w:val="00EB5D5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5D5F"/>
    <w:pPr>
      <w:tabs>
        <w:tab w:val="clear" w:pos="567"/>
        <w:tab w:val="left" w:pos="1276"/>
      </w:tabs>
      <w:spacing w:before="160"/>
      <w:ind w:left="1276" w:hanging="709"/>
    </w:pPr>
  </w:style>
  <w:style w:type="paragraph" w:styleId="TOC3">
    <w:name w:val="toc 3"/>
    <w:basedOn w:val="TOC2"/>
    <w:semiHidden/>
    <w:rsid w:val="00EB5D5F"/>
    <w:pPr>
      <w:tabs>
        <w:tab w:val="clear" w:pos="1276"/>
        <w:tab w:val="left" w:pos="2155"/>
      </w:tabs>
      <w:ind w:left="2155" w:hanging="879"/>
    </w:pPr>
  </w:style>
  <w:style w:type="paragraph" w:styleId="TOC4">
    <w:name w:val="toc 4"/>
    <w:basedOn w:val="TOC3"/>
    <w:semiHidden/>
    <w:rsid w:val="00EB5D5F"/>
    <w:pPr>
      <w:tabs>
        <w:tab w:val="left" w:pos="3261"/>
      </w:tabs>
      <w:spacing w:before="80"/>
      <w:ind w:left="3261" w:hanging="993"/>
    </w:pPr>
  </w:style>
  <w:style w:type="paragraph" w:styleId="TOC5">
    <w:name w:val="toc 5"/>
    <w:basedOn w:val="TOC4"/>
    <w:semiHidden/>
    <w:rsid w:val="00EB5D5F"/>
  </w:style>
  <w:style w:type="paragraph" w:styleId="TOC6">
    <w:name w:val="toc 6"/>
    <w:basedOn w:val="TOC4"/>
    <w:semiHidden/>
    <w:rsid w:val="00EB5D5F"/>
  </w:style>
  <w:style w:type="paragraph" w:styleId="TOC7">
    <w:name w:val="toc 7"/>
    <w:basedOn w:val="TOC4"/>
    <w:semiHidden/>
    <w:rsid w:val="00EB5D5F"/>
  </w:style>
  <w:style w:type="paragraph" w:styleId="TOC8">
    <w:name w:val="toc 8"/>
    <w:basedOn w:val="TOC4"/>
    <w:semiHidden/>
    <w:rsid w:val="00EB5D5F"/>
  </w:style>
  <w:style w:type="paragraph" w:customStyle="1" w:styleId="Rectitle">
    <w:name w:val="Rec_title"/>
    <w:basedOn w:val="Normal"/>
    <w:next w:val="Recref"/>
    <w:rsid w:val="00EB5D5F"/>
    <w:pPr>
      <w:keepNext/>
      <w:keepLines/>
      <w:spacing w:before="240"/>
      <w:jc w:val="center"/>
    </w:pPr>
    <w:rPr>
      <w:b/>
      <w:sz w:val="28"/>
    </w:rPr>
  </w:style>
  <w:style w:type="paragraph" w:customStyle="1" w:styleId="Annexref">
    <w:name w:val="Annex_ref"/>
    <w:basedOn w:val="Normal"/>
    <w:next w:val="Normalaftertitle"/>
    <w:rsid w:val="00EB5D5F"/>
    <w:pPr>
      <w:keepNext/>
      <w:keepLines/>
      <w:spacing w:after="280"/>
      <w:jc w:val="center"/>
    </w:pPr>
  </w:style>
  <w:style w:type="paragraph" w:customStyle="1" w:styleId="Appendixref">
    <w:name w:val="Appendix_ref"/>
    <w:basedOn w:val="Annexref"/>
    <w:next w:val="Normalaftertitle"/>
    <w:rsid w:val="00EB5D5F"/>
  </w:style>
  <w:style w:type="paragraph" w:customStyle="1" w:styleId="Figuretitle">
    <w:name w:val="Figure_title"/>
    <w:basedOn w:val="Normal"/>
    <w:next w:val="Figure"/>
    <w:rsid w:val="00EB5D5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B5D5F"/>
    <w:pPr>
      <w:keepNext/>
      <w:spacing w:before="0" w:after="120"/>
      <w:jc w:val="center"/>
    </w:pPr>
    <w:rPr>
      <w:b/>
    </w:rPr>
  </w:style>
  <w:style w:type="paragraph" w:customStyle="1" w:styleId="Summary">
    <w:name w:val="Summary"/>
    <w:basedOn w:val="Normal"/>
    <w:next w:val="Normalaftertitle"/>
    <w:rsid w:val="00EB5D5F"/>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B3327"/>
    <w:rPr>
      <w:color w:val="0000FF"/>
      <w:u w:val="single"/>
    </w:rPr>
  </w:style>
  <w:style w:type="table" w:styleId="TableGrid">
    <w:name w:val="Table Grid"/>
    <w:basedOn w:val="TableNormal"/>
    <w:rsid w:val="002B332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2B3327"/>
    <w:rPr>
      <w:b/>
      <w:sz w:val="24"/>
      <w:lang w:val="fr-FR" w:eastAsia="en-US"/>
    </w:rPr>
  </w:style>
  <w:style w:type="character" w:customStyle="1" w:styleId="Heading2Char">
    <w:name w:val="Heading 2 Char"/>
    <w:basedOn w:val="DefaultParagraphFont"/>
    <w:link w:val="Heading2"/>
    <w:rsid w:val="002B3327"/>
    <w:rPr>
      <w:b/>
      <w:sz w:val="24"/>
      <w:lang w:val="fr-FR" w:eastAsia="en-US"/>
    </w:rPr>
  </w:style>
  <w:style w:type="character" w:customStyle="1" w:styleId="Heading3Char">
    <w:name w:val="Heading 3 Char"/>
    <w:basedOn w:val="DefaultParagraphFont"/>
    <w:link w:val="Heading3"/>
    <w:rsid w:val="002B3327"/>
    <w:rPr>
      <w:b/>
      <w:sz w:val="24"/>
      <w:lang w:val="fr-FR" w:eastAsia="en-US"/>
    </w:rPr>
  </w:style>
  <w:style w:type="character" w:customStyle="1" w:styleId="Heading4Char">
    <w:name w:val="Heading 4 Char"/>
    <w:basedOn w:val="DefaultParagraphFont"/>
    <w:link w:val="Heading4"/>
    <w:rsid w:val="002B3327"/>
    <w:rPr>
      <w:b/>
      <w:sz w:val="24"/>
      <w:lang w:val="fr-FR" w:eastAsia="en-US"/>
    </w:rPr>
  </w:style>
  <w:style w:type="character" w:customStyle="1" w:styleId="Heading5Char">
    <w:name w:val="Heading 5 Char"/>
    <w:basedOn w:val="DefaultParagraphFont"/>
    <w:link w:val="Heading5"/>
    <w:rsid w:val="002B3327"/>
    <w:rPr>
      <w:b/>
      <w:sz w:val="24"/>
      <w:lang w:val="fr-FR" w:eastAsia="en-US"/>
    </w:rPr>
  </w:style>
  <w:style w:type="character" w:customStyle="1" w:styleId="Heading6Char">
    <w:name w:val="Heading 6 Char"/>
    <w:basedOn w:val="DefaultParagraphFont"/>
    <w:link w:val="Heading6"/>
    <w:rsid w:val="002B3327"/>
    <w:rPr>
      <w:b/>
      <w:sz w:val="24"/>
      <w:lang w:val="fr-FR" w:eastAsia="en-US"/>
    </w:rPr>
  </w:style>
  <w:style w:type="character" w:customStyle="1" w:styleId="Heading7Char">
    <w:name w:val="Heading 7 Char"/>
    <w:basedOn w:val="DefaultParagraphFont"/>
    <w:link w:val="Heading7"/>
    <w:rsid w:val="002B3327"/>
    <w:rPr>
      <w:b/>
      <w:sz w:val="24"/>
      <w:lang w:val="fr-FR" w:eastAsia="en-US"/>
    </w:rPr>
  </w:style>
  <w:style w:type="character" w:customStyle="1" w:styleId="Heading8Char">
    <w:name w:val="Heading 8 Char"/>
    <w:basedOn w:val="DefaultParagraphFont"/>
    <w:link w:val="Heading8"/>
    <w:rsid w:val="002B3327"/>
    <w:rPr>
      <w:b/>
      <w:sz w:val="24"/>
      <w:lang w:val="fr-FR" w:eastAsia="en-US"/>
    </w:rPr>
  </w:style>
  <w:style w:type="character" w:customStyle="1" w:styleId="Heading9Char">
    <w:name w:val="Heading 9 Char"/>
    <w:basedOn w:val="DefaultParagraphFont"/>
    <w:link w:val="Heading9"/>
    <w:rsid w:val="002B3327"/>
    <w:rPr>
      <w:b/>
      <w:sz w:val="24"/>
      <w:lang w:val="fr-FR" w:eastAsia="en-US"/>
    </w:rPr>
  </w:style>
  <w:style w:type="character" w:customStyle="1" w:styleId="HeaderChar">
    <w:name w:val="Header Char"/>
    <w:basedOn w:val="DefaultParagraphFont"/>
    <w:link w:val="Header"/>
    <w:uiPriority w:val="99"/>
    <w:rsid w:val="002B3327"/>
    <w:rPr>
      <w:sz w:val="24"/>
      <w:lang w:val="fr-FR" w:eastAsia="en-US"/>
    </w:rPr>
  </w:style>
  <w:style w:type="character" w:customStyle="1" w:styleId="FooterChar">
    <w:name w:val="Footer Char"/>
    <w:basedOn w:val="DefaultParagraphFont"/>
    <w:link w:val="Footer"/>
    <w:rsid w:val="002B3327"/>
    <w:rPr>
      <w:noProof/>
      <w:sz w:val="18"/>
      <w:lang w:val="fr-FR" w:eastAsia="en-US"/>
    </w:rPr>
  </w:style>
  <w:style w:type="character" w:customStyle="1" w:styleId="FootnoteTextChar">
    <w:name w:val="Footnote Text Char"/>
    <w:basedOn w:val="DefaultParagraphFont"/>
    <w:link w:val="FootnoteText"/>
    <w:rsid w:val="002B3327"/>
    <w:rPr>
      <w:sz w:val="22"/>
      <w:lang w:val="fr-FR" w:eastAsia="en-US"/>
    </w:rPr>
  </w:style>
  <w:style w:type="character" w:customStyle="1" w:styleId="FigureNoChar">
    <w:name w:val="Figure_No Char"/>
    <w:basedOn w:val="DefaultParagraphFont"/>
    <w:link w:val="FigureNo"/>
    <w:locked/>
    <w:rsid w:val="002B3327"/>
    <w:rPr>
      <w:caps/>
      <w:sz w:val="18"/>
      <w:lang w:val="fr-FR" w:eastAsia="en-US"/>
    </w:rPr>
  </w:style>
  <w:style w:type="character" w:customStyle="1" w:styleId="EquationZchn">
    <w:name w:val="Equation Zchn"/>
    <w:basedOn w:val="DefaultParagraphFont"/>
    <w:link w:val="Equation"/>
    <w:rsid w:val="002B3327"/>
    <w:rPr>
      <w:sz w:val="24"/>
      <w:lang w:val="fr-FR" w:eastAsia="en-US"/>
    </w:rPr>
  </w:style>
  <w:style w:type="character" w:customStyle="1" w:styleId="EquationlegendChar">
    <w:name w:val="Equation_legend Char"/>
    <w:basedOn w:val="DefaultParagraphFont"/>
    <w:link w:val="Equationlegend"/>
    <w:rsid w:val="002B3327"/>
    <w:rPr>
      <w:sz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oleObject" Target="embeddings/oleObject5.bin"/><Relationship Id="rId39" Type="http://schemas.openxmlformats.org/officeDocument/2006/relationships/image" Target="media/image18.emf"/><Relationship Id="rId21" Type="http://schemas.openxmlformats.org/officeDocument/2006/relationships/oleObject" Target="embeddings/oleObject4.bin"/><Relationship Id="rId34" Type="http://schemas.openxmlformats.org/officeDocument/2006/relationships/oleObject" Target="embeddings/oleObject9.bin"/><Relationship Id="rId42" Type="http://schemas.openxmlformats.org/officeDocument/2006/relationships/oleObject" Target="embeddings/oleObject11.bin"/><Relationship Id="rId47" Type="http://schemas.openxmlformats.org/officeDocument/2006/relationships/image" Target="media/image23.wmf"/><Relationship Id="rId50" Type="http://schemas.openxmlformats.org/officeDocument/2006/relationships/oleObject" Target="embeddings/oleObject15.bin"/><Relationship Id="rId55" Type="http://schemas.openxmlformats.org/officeDocument/2006/relationships/image" Target="media/image29.wmf"/><Relationship Id="rId63" Type="http://schemas.openxmlformats.org/officeDocument/2006/relationships/image" Target="media/image33.wmf"/><Relationship Id="rId68" Type="http://schemas.openxmlformats.org/officeDocument/2006/relationships/oleObject" Target="embeddings/oleObject22.bin"/><Relationship Id="rId76" Type="http://schemas.openxmlformats.org/officeDocument/2006/relationships/image" Target="media/image41.emf"/><Relationship Id="rId7" Type="http://schemas.openxmlformats.org/officeDocument/2006/relationships/header" Target="header1.xml"/><Relationship Id="rId71" Type="http://schemas.openxmlformats.org/officeDocument/2006/relationships/image" Target="media/image37.wmf"/><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image" Target="media/image12.wmf"/><Relationship Id="rId11" Type="http://schemas.openxmlformats.org/officeDocument/2006/relationships/header" Target="header3.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27.emf"/><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image" Target="media/image39.emf"/><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2.wmf"/><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image" Target="media/image13.wmf"/><Relationship Id="rId44" Type="http://schemas.openxmlformats.org/officeDocument/2006/relationships/oleObject" Target="embeddings/oleObject12.bin"/><Relationship Id="rId52" Type="http://schemas.openxmlformats.org/officeDocument/2006/relationships/image" Target="media/image26.emf"/><Relationship Id="rId60" Type="http://schemas.openxmlformats.org/officeDocument/2006/relationships/oleObject" Target="embeddings/oleObject18.bin"/><Relationship Id="rId65" Type="http://schemas.openxmlformats.org/officeDocument/2006/relationships/image" Target="media/image34.wmf"/><Relationship Id="rId73" Type="http://schemas.openxmlformats.org/officeDocument/2006/relationships/image" Target="media/image38.emf"/><Relationship Id="rId78"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image" Target="media/image15.wmf"/><Relationship Id="rId43" Type="http://schemas.openxmlformats.org/officeDocument/2006/relationships/image" Target="media/image21.wmf"/><Relationship Id="rId48" Type="http://schemas.openxmlformats.org/officeDocument/2006/relationships/oleObject" Target="embeddings/oleObject14.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36.wmf"/><Relationship Id="rId77" Type="http://schemas.openxmlformats.org/officeDocument/2006/relationships/header" Target="header5.xml"/><Relationship Id="rId8" Type="http://schemas.openxmlformats.org/officeDocument/2006/relationships/header" Target="header2.xml"/><Relationship Id="rId51" Type="http://schemas.openxmlformats.org/officeDocument/2006/relationships/image" Target="media/image25.emf"/><Relationship Id="rId72" Type="http://schemas.openxmlformats.org/officeDocument/2006/relationships/oleObject" Target="embeddings/oleObject24.bin"/><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7.emf"/><Relationship Id="rId46" Type="http://schemas.openxmlformats.org/officeDocument/2006/relationships/oleObject" Target="embeddings/oleObject13.bin"/><Relationship Id="rId59" Type="http://schemas.openxmlformats.org/officeDocument/2006/relationships/image" Target="media/image31.wmf"/><Relationship Id="rId67" Type="http://schemas.openxmlformats.org/officeDocument/2006/relationships/image" Target="media/image35.wmf"/><Relationship Id="rId20" Type="http://schemas.openxmlformats.org/officeDocument/2006/relationships/image" Target="media/image6.wmf"/><Relationship Id="rId41" Type="http://schemas.openxmlformats.org/officeDocument/2006/relationships/image" Target="media/image20.wmf"/><Relationship Id="rId54" Type="http://schemas.openxmlformats.org/officeDocument/2006/relationships/image" Target="media/image28.emf"/><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40.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4.wmf"/><Relationship Id="rId57" Type="http://schemas.openxmlformats.org/officeDocument/2006/relationships/image" Target="media/image3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202</TotalTime>
  <Pages>35</Pages>
  <Words>10712</Words>
  <Characters>55933</Characters>
  <Application>Microsoft Office Word</Application>
  <DocSecurity>0</DocSecurity>
  <Lines>1645</Lines>
  <Paragraphs>78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66567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22</cp:revision>
  <cp:lastPrinted>2005-02-10T15:54:00Z</cp:lastPrinted>
  <dcterms:created xsi:type="dcterms:W3CDTF">2011-01-14T13:33:00Z</dcterms:created>
  <dcterms:modified xsi:type="dcterms:W3CDTF">2011-01-27T13:35:00Z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