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1341" w14:textId="0E92A2B8" w:rsidR="00897C3F" w:rsidRDefault="00897C3F" w:rsidP="00897C3F">
      <w:pPr>
        <w:pStyle w:val="RecNo"/>
        <w:spacing w:before="0"/>
      </w:pPr>
      <w:proofErr w:type="gramStart"/>
      <w:r>
        <w:t xml:space="preserve">RECOMMANDATION  </w:t>
      </w:r>
      <w:r w:rsidRPr="00897C3F">
        <w:rPr>
          <w:rStyle w:val="href"/>
        </w:rPr>
        <w:t>UIT</w:t>
      </w:r>
      <w:proofErr w:type="gramEnd"/>
      <w:r w:rsidRPr="00897C3F">
        <w:rPr>
          <w:rStyle w:val="href"/>
        </w:rPr>
        <w:t>-R  SM.1809</w:t>
      </w:r>
      <w:r w:rsidR="009D3626">
        <w:rPr>
          <w:rStyle w:val="href"/>
        </w:rPr>
        <w:t>-0</w:t>
      </w:r>
      <w:r w:rsidR="009D3626">
        <w:rPr>
          <w:rStyle w:val="FootnoteReference"/>
        </w:rPr>
        <w:footnoteReference w:customMarkFollows="1" w:id="1"/>
        <w:t>*</w:t>
      </w:r>
    </w:p>
    <w:p w14:paraId="4B387F47" w14:textId="77777777" w:rsidR="00897C3F" w:rsidRDefault="00897C3F" w:rsidP="00C11A5D">
      <w:pPr>
        <w:pStyle w:val="Rectitle"/>
      </w:pPr>
      <w:r>
        <w:t>Format normalisé d'échange de données pour l'enregistrement des bandes de fréquences et les mesures aux stations de contrôle</w:t>
      </w:r>
    </w:p>
    <w:p w14:paraId="51779864" w14:textId="77777777" w:rsidR="00C11A5D" w:rsidRPr="00C11A5D" w:rsidRDefault="00C11A5D" w:rsidP="00C11A5D">
      <w:pPr>
        <w:pStyle w:val="Recdate"/>
      </w:pPr>
      <w:r>
        <w:t>(2007)</w:t>
      </w:r>
    </w:p>
    <w:p w14:paraId="741E06BF" w14:textId="7EEE4FB2" w:rsidR="00897C3F" w:rsidRDefault="00C11A5D" w:rsidP="00C11A5D">
      <w:pPr>
        <w:pStyle w:val="HeadingSum"/>
      </w:pPr>
      <w:r>
        <w:t xml:space="preserve">Domaine </w:t>
      </w:r>
      <w:r w:rsidR="009D3626">
        <w:t>d'application</w:t>
      </w:r>
    </w:p>
    <w:p w14:paraId="3EF5C619" w14:textId="77777777" w:rsidR="00897C3F" w:rsidRPr="0057313F" w:rsidRDefault="00897C3F" w:rsidP="009D3626">
      <w:pPr>
        <w:pStyle w:val="Summary"/>
        <w:spacing w:after="120"/>
        <w:rPr>
          <w:lang w:val="fr-FR"/>
        </w:rPr>
      </w:pPr>
      <w:r>
        <w:t xml:space="preserve">La gestion </w:t>
      </w:r>
      <w:r w:rsidRPr="00C11A5D">
        <w:t>d</w:t>
      </w:r>
      <w:r>
        <w:t>es fréquences et le travail de l'UIT-R en général rendent nécessaires des opérations de contrôle et des campagnes de mesure. Ces campagnes p</w:t>
      </w:r>
      <w:bookmarkStart w:id="0" w:name="_GoBack"/>
      <w:bookmarkEnd w:id="0"/>
      <w:r>
        <w:t xml:space="preserve">roduisent d'importants volumes de données qui, dans de nombreux cas, vont être comparées ou fusionnées. </w:t>
      </w:r>
      <w:r w:rsidRPr="0057313F">
        <w:rPr>
          <w:lang w:val="fr-FR"/>
        </w:rPr>
        <w:t>L</w:t>
      </w:r>
      <w:r w:rsidR="0057313F" w:rsidRPr="0057313F">
        <w:rPr>
          <w:lang w:val="fr-FR"/>
        </w:rPr>
        <w:t>a</w:t>
      </w:r>
      <w:r w:rsidRPr="0057313F">
        <w:rPr>
          <w:lang w:val="fr-FR"/>
        </w:rPr>
        <w:t xml:space="preserve"> présent</w:t>
      </w:r>
      <w:r w:rsidR="0057313F">
        <w:rPr>
          <w:lang w:val="fr-FR"/>
        </w:rPr>
        <w:t>e</w:t>
      </w:r>
      <w:r w:rsidRPr="0057313F">
        <w:rPr>
          <w:lang w:val="fr-FR"/>
        </w:rPr>
        <w:t xml:space="preserve"> </w:t>
      </w:r>
      <w:r w:rsidR="0057313F">
        <w:rPr>
          <w:lang w:val="fr-FR"/>
        </w:rPr>
        <w:t xml:space="preserve">Recommandation </w:t>
      </w:r>
      <w:r w:rsidRPr="0057313F">
        <w:rPr>
          <w:lang w:val="fr-FR"/>
        </w:rPr>
        <w:t xml:space="preserve">décrit un format normalisé d'échange applicable aux données de contrôle par balayage de fréquences. </w:t>
      </w:r>
    </w:p>
    <w:p w14:paraId="0F1B46AB" w14:textId="77777777" w:rsidR="009D3626" w:rsidRPr="009D3626" w:rsidRDefault="009D3626" w:rsidP="009D3626">
      <w:pPr>
        <w:pStyle w:val="Headingb"/>
      </w:pPr>
      <w:r w:rsidRPr="009D3626">
        <w:t>Mots clés</w:t>
      </w:r>
    </w:p>
    <w:p w14:paraId="18D9060C" w14:textId="2472CB44" w:rsidR="009D3626" w:rsidRDefault="009D3626" w:rsidP="009D3626">
      <w:pPr>
        <w:pStyle w:val="Normalaftertitle"/>
        <w:spacing w:before="120"/>
      </w:pPr>
      <w:r w:rsidRPr="009D3626">
        <w:rPr>
          <w:lang w:eastAsia="ko-KR"/>
        </w:rPr>
        <w:t xml:space="preserve">Gestion des fréquences, format </w:t>
      </w:r>
      <w:r w:rsidRPr="00B26D9B">
        <w:rPr>
          <w:lang w:eastAsia="ko-KR"/>
        </w:rPr>
        <w:t xml:space="preserve">d'échange </w:t>
      </w:r>
      <w:r w:rsidRPr="009D3626">
        <w:rPr>
          <w:lang w:eastAsia="ko-KR"/>
        </w:rPr>
        <w:t>norm</w:t>
      </w:r>
      <w:r w:rsidRPr="00B26D9B">
        <w:rPr>
          <w:lang w:eastAsia="ko-KR"/>
        </w:rPr>
        <w:t>alisé</w:t>
      </w:r>
      <w:r w:rsidRPr="009D3626">
        <w:rPr>
          <w:lang w:eastAsia="ko-KR"/>
        </w:rPr>
        <w:t>, RMDF</w:t>
      </w:r>
    </w:p>
    <w:p w14:paraId="75BD7888" w14:textId="4AE6F1DA" w:rsidR="00897C3F" w:rsidRDefault="00897C3F" w:rsidP="00C11A5D">
      <w:pPr>
        <w:pStyle w:val="Normalaftertitle"/>
        <w:spacing w:before="120"/>
      </w:pPr>
      <w:r>
        <w:t>L'Assemblée des radiocommunications de l'UIT,</w:t>
      </w:r>
    </w:p>
    <w:p w14:paraId="00C5F63E" w14:textId="77777777" w:rsidR="00897C3F" w:rsidRDefault="00897C3F" w:rsidP="00897C3F">
      <w:pPr>
        <w:pStyle w:val="Call"/>
      </w:pPr>
      <w:proofErr w:type="gramStart"/>
      <w:r>
        <w:t>considérant</w:t>
      </w:r>
      <w:proofErr w:type="gramEnd"/>
    </w:p>
    <w:p w14:paraId="45844D50" w14:textId="77777777" w:rsidR="00897C3F" w:rsidRDefault="00897C3F" w:rsidP="00897C3F">
      <w:r>
        <w:t>a)</w:t>
      </w:r>
      <w:r>
        <w:tab/>
        <w:t xml:space="preserve">que le succès des campagnes de contrôle repose sur l'effort global des administrations participantes et la combinaison de leurs données de contrôle et de </w:t>
      </w:r>
      <w:proofErr w:type="gramStart"/>
      <w:r>
        <w:t>mesure;</w:t>
      </w:r>
      <w:proofErr w:type="gramEnd"/>
      <w:r>
        <w:t xml:space="preserve"> </w:t>
      </w:r>
    </w:p>
    <w:p w14:paraId="7F96D704" w14:textId="77777777" w:rsidR="00897C3F" w:rsidRDefault="00897C3F" w:rsidP="00897C3F">
      <w:r>
        <w:t>b)</w:t>
      </w:r>
      <w:r>
        <w:tab/>
        <w:t xml:space="preserve">que les équipements de contrôle, les équipements informatiques et les logiciels ne sont pas normalisés, et qu'un grand nombre de formats différents, qui souvent sont des formats propriétaires, sont utilisés pour le stockage des </w:t>
      </w:r>
      <w:proofErr w:type="gramStart"/>
      <w:r>
        <w:t>données;</w:t>
      </w:r>
      <w:proofErr w:type="gramEnd"/>
    </w:p>
    <w:p w14:paraId="58C3C1C4" w14:textId="77777777" w:rsidR="00897C3F" w:rsidRDefault="00897C3F" w:rsidP="00897C3F">
      <w:r>
        <w:t>c)</w:t>
      </w:r>
      <w:r>
        <w:tab/>
        <w:t xml:space="preserve">que l'efficacité des opérations de fusion ou de combinaison des données de contrôle dépend </w:t>
      </w:r>
      <w:proofErr w:type="gramStart"/>
      <w:r>
        <w:t>non</w:t>
      </w:r>
      <w:proofErr w:type="gramEnd"/>
      <w:r>
        <w:t xml:space="preserve"> seulement du format dans lequel les données sont stockées mais encore des conditions environnementales et techniques de leur collecte, </w:t>
      </w:r>
    </w:p>
    <w:p w14:paraId="68ED6C38" w14:textId="77777777" w:rsidR="00897C3F" w:rsidRDefault="00897C3F" w:rsidP="00897C3F">
      <w:pPr>
        <w:pStyle w:val="Call"/>
      </w:pPr>
      <w:proofErr w:type="gramStart"/>
      <w:r>
        <w:t>recommande</w:t>
      </w:r>
      <w:proofErr w:type="gramEnd"/>
    </w:p>
    <w:p w14:paraId="775D8F62" w14:textId="77777777" w:rsidR="00897C3F" w:rsidRDefault="00897C3F" w:rsidP="00897C3F">
      <w:r>
        <w:rPr>
          <w:b/>
          <w:bCs/>
        </w:rPr>
        <w:t>1</w:t>
      </w:r>
      <w:r>
        <w:tab/>
        <w:t xml:space="preserve">de convertir les données collectées pendant les campagnes de contrôle au format décrit dans l'Annexe 1 avant d'échanger les </w:t>
      </w:r>
      <w:proofErr w:type="gramStart"/>
      <w:r>
        <w:t>données;</w:t>
      </w:r>
      <w:proofErr w:type="gramEnd"/>
      <w:r>
        <w:t xml:space="preserve"> </w:t>
      </w:r>
    </w:p>
    <w:p w14:paraId="5B52AA25" w14:textId="77777777" w:rsidR="00897C3F" w:rsidRDefault="00897C3F" w:rsidP="00897C3F">
      <w:r>
        <w:rPr>
          <w:b/>
          <w:bCs/>
        </w:rPr>
        <w:t>2</w:t>
      </w:r>
      <w:r>
        <w:t xml:space="preserve"> </w:t>
      </w:r>
      <w:r>
        <w:tab/>
        <w:t>de faire en sorte que les logiciels de contrôle automatique du spectre offrent la possibilité de stocker les données ou de les convertir au format décrit dans l'Annexe </w:t>
      </w:r>
      <w:proofErr w:type="gramStart"/>
      <w:r>
        <w:t>1;</w:t>
      </w:r>
      <w:proofErr w:type="gramEnd"/>
      <w:r>
        <w:t xml:space="preserve"> </w:t>
      </w:r>
    </w:p>
    <w:p w14:paraId="0D563DEA" w14:textId="77777777" w:rsidR="00897C3F" w:rsidRDefault="00897C3F" w:rsidP="00897C3F">
      <w:r>
        <w:rPr>
          <w:b/>
          <w:bCs/>
        </w:rPr>
        <w:t>3</w:t>
      </w:r>
      <w:r>
        <w:t xml:space="preserve"> </w:t>
      </w:r>
      <w:r>
        <w:tab/>
        <w:t xml:space="preserve">de faire en sorte que les administrations, avant le début de la campagne, débattent des conditions dans lesquelles une campagne de contrôle ou de mesure va être effectuée et dans lesquelles les données vont être échangées. </w:t>
      </w:r>
    </w:p>
    <w:p w14:paraId="4091DFC6" w14:textId="77777777" w:rsidR="00897C3F" w:rsidRDefault="00897C3F" w:rsidP="00C11A5D">
      <w:pPr>
        <w:pStyle w:val="AnnexNoTitle"/>
      </w:pPr>
      <w:r>
        <w:t>Annexe 1</w:t>
      </w:r>
      <w:r w:rsidR="00C11A5D">
        <w:br/>
      </w:r>
      <w:r w:rsidR="00C11A5D">
        <w:br/>
      </w:r>
      <w:r>
        <w:t xml:space="preserve">Format normalisé d'échange de données pour l'enregistrement des bandes de fréquences et les mesures aux stations de contrôle </w:t>
      </w:r>
    </w:p>
    <w:p w14:paraId="37427763" w14:textId="77777777" w:rsidR="00897C3F" w:rsidRDefault="00897C3F" w:rsidP="00897C3F">
      <w:pPr>
        <w:pStyle w:val="Heading1"/>
      </w:pPr>
      <w:r>
        <w:t>1</w:t>
      </w:r>
      <w:r>
        <w:tab/>
        <w:t>Considérations générales</w:t>
      </w:r>
    </w:p>
    <w:p w14:paraId="0BEADD3F" w14:textId="77777777" w:rsidR="00897C3F" w:rsidRDefault="00897C3F" w:rsidP="00B979B0">
      <w:r>
        <w:t>Le format décrit ci-après est dérivé du format RMDF (</w:t>
      </w:r>
      <w:r w:rsidR="00DF5AE0" w:rsidRPr="00DF5AE0">
        <w:t>R</w:t>
      </w:r>
      <w:r w:rsidRPr="00DF5AE0">
        <w:t xml:space="preserve">adio </w:t>
      </w:r>
      <w:r w:rsidR="00DF5AE0" w:rsidRPr="00DF5AE0">
        <w:t>M</w:t>
      </w:r>
      <w:r w:rsidRPr="00DF5AE0">
        <w:t xml:space="preserve">onitoring </w:t>
      </w:r>
      <w:r w:rsidR="00B979B0">
        <w:t>d</w:t>
      </w:r>
      <w:r w:rsidRPr="00DF5AE0">
        <w:t xml:space="preserve">ata </w:t>
      </w:r>
      <w:r w:rsidR="00DF5AE0" w:rsidRPr="00DF5AE0">
        <w:t>F</w:t>
      </w:r>
      <w:r w:rsidRPr="00DF5AE0">
        <w:t>ormat</w:t>
      </w:r>
      <w:r>
        <w:rPr>
          <w:i/>
          <w:iCs/>
        </w:rPr>
        <w:t> </w:t>
      </w:r>
      <w:r>
        <w:t>– format des données de contrôle des émissions radioélectriques) utilisé par le service de radioastronomie pour les échanges de données concernant le spectre. Il se présente sous forme de lignes de caractères ASCII, avec un</w:t>
      </w:r>
      <w:proofErr w:type="gramStart"/>
      <w:r>
        <w:t xml:space="preserve"> «retour</w:t>
      </w:r>
      <w:proofErr w:type="gramEnd"/>
      <w:r>
        <w:t xml:space="preserve"> chariot» à la fin de chaque ligne. Les fichiers de données peuvent être compressés de façon efficace, mais aucune spécification de compression ne figure dans la présente Recommandation, ni d'ailleurs dans la spécification du format RMDF. </w:t>
      </w:r>
    </w:p>
    <w:p w14:paraId="4C3669EA" w14:textId="77777777" w:rsidR="00897C3F" w:rsidRDefault="00897C3F" w:rsidP="00897C3F">
      <w:pPr>
        <w:pStyle w:val="Heading1"/>
      </w:pPr>
      <w:r>
        <w:t>2</w:t>
      </w:r>
      <w:r>
        <w:tab/>
        <w:t>Format de données normalisé</w:t>
      </w:r>
    </w:p>
    <w:p w14:paraId="5E8A2068" w14:textId="77777777" w:rsidR="00897C3F" w:rsidRDefault="00897C3F" w:rsidP="00897C3F">
      <w:r>
        <w:t xml:space="preserve">Le fichier se compose de deux </w:t>
      </w:r>
      <w:proofErr w:type="gramStart"/>
      <w:r>
        <w:t>sections:</w:t>
      </w:r>
      <w:proofErr w:type="gramEnd"/>
      <w:r>
        <w:t xml:space="preserve"> </w:t>
      </w:r>
    </w:p>
    <w:p w14:paraId="740A0CEC" w14:textId="77777777" w:rsidR="00897C3F" w:rsidRDefault="00897C3F" w:rsidP="00897C3F">
      <w:pPr>
        <w:pStyle w:val="enumlev1"/>
      </w:pPr>
      <w:r>
        <w:t>–</w:t>
      </w:r>
      <w:r>
        <w:tab/>
        <w:t>un</w:t>
      </w:r>
      <w:proofErr w:type="gramStart"/>
      <w:r>
        <w:t xml:space="preserve"> «en</w:t>
      </w:r>
      <w:proofErr w:type="gramEnd"/>
      <w:r>
        <w:t xml:space="preserve">-tête» contenant les informations statiques relatives à l'opération de contrôle considérée (lieu du contrôle, information de temps, principaux paramètres de contrôle); </w:t>
      </w:r>
    </w:p>
    <w:p w14:paraId="409E9D17" w14:textId="77777777" w:rsidR="00897C3F" w:rsidRDefault="00897C3F" w:rsidP="0057313F">
      <w:pPr>
        <w:pStyle w:val="enumlev1"/>
      </w:pPr>
      <w:r>
        <w:t>–</w:t>
      </w:r>
      <w:r>
        <w:tab/>
        <w:t>une</w:t>
      </w:r>
      <w:proofErr w:type="gramStart"/>
      <w:r>
        <w:t xml:space="preserve"> «données</w:t>
      </w:r>
      <w:proofErr w:type="gramEnd"/>
      <w:r>
        <w:t xml:space="preserve">» contenant tous les résultats des mesures effectuées pendant la période d'observation. </w:t>
      </w:r>
    </w:p>
    <w:p w14:paraId="1FFD4FCD" w14:textId="77777777" w:rsidR="00DF5AE0" w:rsidRDefault="00897C3F" w:rsidP="00DF5AE0">
      <w:r>
        <w:t>Dans la spécification RMDF initiale, deux fichiers séparés étaient affectés respectivement à l'en-tête et aux données. Dans la présente Recommandation, un seul fichier est utilisé, ce qui garantit la liaison entre l'en-tête et les données.</w:t>
      </w:r>
    </w:p>
    <w:p w14:paraId="53EB3A25" w14:textId="77777777" w:rsidR="00897C3F" w:rsidRDefault="00897C3F" w:rsidP="00DF5AE0">
      <w:r>
        <w:t>Le format est dénommé CEF (</w:t>
      </w:r>
      <w:r w:rsidR="00DF5AE0" w:rsidRPr="00C65A61">
        <w:t>C</w:t>
      </w:r>
      <w:r w:rsidRPr="00C65A61">
        <w:t xml:space="preserve">ommon data </w:t>
      </w:r>
      <w:r w:rsidR="00DF5AE0" w:rsidRPr="00C65A61">
        <w:t>E</w:t>
      </w:r>
      <w:r w:rsidRPr="00C65A61">
        <w:t xml:space="preserve">xchange </w:t>
      </w:r>
      <w:r w:rsidR="00DF5AE0" w:rsidRPr="00C65A61">
        <w:t>F</w:t>
      </w:r>
      <w:r w:rsidRPr="00C65A61">
        <w:t>ormat </w:t>
      </w:r>
      <w:r>
        <w:t xml:space="preserve">– format commun d'échange de données). </w:t>
      </w:r>
    </w:p>
    <w:p w14:paraId="02229302" w14:textId="77777777" w:rsidR="00897C3F" w:rsidRDefault="00897C3F" w:rsidP="00897C3F">
      <w:pPr>
        <w:pStyle w:val="Heading2"/>
      </w:pPr>
      <w:r>
        <w:t>2.1</w:t>
      </w:r>
      <w:r>
        <w:tab/>
        <w:t xml:space="preserve">Section d'en-tête </w:t>
      </w:r>
    </w:p>
    <w:p w14:paraId="036E66FB" w14:textId="77777777" w:rsidR="00897C3F" w:rsidRDefault="00897C3F" w:rsidP="00DF5AE0">
      <w:r>
        <w:t xml:space="preserve">Les champs et noms de champs suivants seront utilisés. Tous les champs de données appropriés seront inclus dans la zone d'en-tête, avant l'adjonction des résultats de mesure. L'en-tête peut contenir trois types d'information – </w:t>
      </w:r>
      <w:r w:rsidR="00DF5AE0" w:rsidRPr="0057313F">
        <w:t>E</w:t>
      </w:r>
      <w:r w:rsidRPr="0057313F">
        <w:t>ssentielle, facultative et facultative additionnelle</w:t>
      </w:r>
      <w:r>
        <w:t xml:space="preserve"> (</w:t>
      </w:r>
      <w:r w:rsidR="00DF5AE0">
        <w:t>E</w:t>
      </w:r>
      <w:r>
        <w:t xml:space="preserve">ssential, </w:t>
      </w:r>
      <w:r w:rsidR="00DF5AE0">
        <w:t>O</w:t>
      </w:r>
      <w:r>
        <w:t xml:space="preserve">ptional et </w:t>
      </w:r>
      <w:r w:rsidR="00DF5AE0">
        <w:t>A</w:t>
      </w:r>
      <w:r>
        <w:t xml:space="preserve">dditional </w:t>
      </w:r>
      <w:r w:rsidR="00DF5AE0">
        <w:t>O</w:t>
      </w:r>
      <w:r>
        <w:t>ptional, désigné par les lettres E, O et AO dans le Tableau 1). La mention</w:t>
      </w:r>
      <w:proofErr w:type="gramStart"/>
      <w:r>
        <w:t xml:space="preserve"> «facultative</w:t>
      </w:r>
      <w:proofErr w:type="gramEnd"/>
      <w:r>
        <w:t xml:space="preserve">» signifie qu'un espace correspondant est réservé dans l'en-tête mais que le champ affecté aux données est vide. </w:t>
      </w:r>
    </w:p>
    <w:p w14:paraId="3D7167F4" w14:textId="5A027D61" w:rsidR="00897C3F" w:rsidRPr="002D383D" w:rsidRDefault="009D3626" w:rsidP="00897C3F">
      <w:pPr>
        <w:pStyle w:val="TableNo"/>
      </w:pPr>
      <w:r>
        <w:br w:type="page"/>
      </w:r>
      <w:r w:rsidR="00DF5AE0" w:rsidRPr="002D383D">
        <w:t xml:space="preserve">TABLEAU </w:t>
      </w:r>
      <w:r w:rsidR="00897C3F" w:rsidRPr="002D383D">
        <w:t>1</w:t>
      </w:r>
    </w:p>
    <w:p w14:paraId="42ADD206" w14:textId="77777777" w:rsidR="00897C3F" w:rsidRPr="002D383D" w:rsidRDefault="00897C3F" w:rsidP="00897C3F">
      <w:pPr>
        <w:pStyle w:val="Tabletitle"/>
      </w:pPr>
      <w:r w:rsidRPr="002D383D">
        <w:t>Champs d'en-tête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755"/>
        <w:gridCol w:w="1620"/>
        <w:gridCol w:w="1136"/>
        <w:gridCol w:w="3047"/>
        <w:gridCol w:w="1604"/>
      </w:tblGrid>
      <w:tr w:rsidR="00897C3F" w:rsidRPr="002D383D" w14:paraId="0338D55D" w14:textId="77777777" w:rsidTr="00D85461">
        <w:tblPrEx>
          <w:tblCellMar>
            <w:top w:w="0" w:type="dxa"/>
            <w:bottom w:w="0" w:type="dxa"/>
          </w:tblCellMar>
        </w:tblPrEx>
        <w:trPr>
          <w:jc w:val="center"/>
        </w:trPr>
        <w:tc>
          <w:tcPr>
            <w:tcW w:w="693" w:type="dxa"/>
            <w:shd w:val="clear" w:color="auto" w:fill="auto"/>
          </w:tcPr>
          <w:p w14:paraId="215F0B4B" w14:textId="77777777" w:rsidR="00897C3F" w:rsidRPr="008F1FDF" w:rsidRDefault="00897C3F" w:rsidP="008F1FDF">
            <w:pPr>
              <w:pStyle w:val="Tablehead"/>
              <w:rPr>
                <w:sz w:val="18"/>
                <w:szCs w:val="18"/>
              </w:rPr>
            </w:pPr>
            <w:r w:rsidRPr="008F1FDF">
              <w:rPr>
                <w:sz w:val="18"/>
                <w:szCs w:val="18"/>
              </w:rPr>
              <w:t>Type</w:t>
            </w:r>
          </w:p>
        </w:tc>
        <w:tc>
          <w:tcPr>
            <w:tcW w:w="1755" w:type="dxa"/>
            <w:shd w:val="clear" w:color="auto" w:fill="auto"/>
          </w:tcPr>
          <w:p w14:paraId="5641114A" w14:textId="77777777" w:rsidR="00897C3F" w:rsidRPr="008F1FDF" w:rsidRDefault="00897C3F" w:rsidP="008F1FDF">
            <w:pPr>
              <w:pStyle w:val="Tablehead"/>
              <w:rPr>
                <w:sz w:val="18"/>
                <w:szCs w:val="18"/>
              </w:rPr>
            </w:pPr>
            <w:r w:rsidRPr="008F1FDF">
              <w:rPr>
                <w:sz w:val="18"/>
                <w:szCs w:val="18"/>
              </w:rPr>
              <w:t>Nom</w:t>
            </w:r>
          </w:p>
        </w:tc>
        <w:tc>
          <w:tcPr>
            <w:tcW w:w="1620" w:type="dxa"/>
            <w:shd w:val="clear" w:color="auto" w:fill="auto"/>
          </w:tcPr>
          <w:p w14:paraId="194123F2" w14:textId="77777777" w:rsidR="00897C3F" w:rsidRPr="008F1FDF" w:rsidRDefault="00897C3F" w:rsidP="00C42098">
            <w:pPr>
              <w:pStyle w:val="Tablehead"/>
              <w:ind w:right="-57"/>
              <w:rPr>
                <w:sz w:val="18"/>
                <w:szCs w:val="18"/>
              </w:rPr>
            </w:pPr>
            <w:r w:rsidRPr="008F1FDF">
              <w:rPr>
                <w:sz w:val="18"/>
                <w:szCs w:val="18"/>
              </w:rPr>
              <w:t>Type de données</w:t>
            </w:r>
          </w:p>
        </w:tc>
        <w:tc>
          <w:tcPr>
            <w:tcW w:w="1136" w:type="dxa"/>
            <w:shd w:val="clear" w:color="auto" w:fill="auto"/>
          </w:tcPr>
          <w:p w14:paraId="730CA924" w14:textId="77777777" w:rsidR="00897C3F" w:rsidRPr="008F1FDF" w:rsidRDefault="00897C3F" w:rsidP="008F1FDF">
            <w:pPr>
              <w:pStyle w:val="Tablehead"/>
              <w:rPr>
                <w:sz w:val="18"/>
                <w:szCs w:val="18"/>
              </w:rPr>
            </w:pPr>
            <w:proofErr w:type="gramStart"/>
            <w:r w:rsidRPr="008F1FDF">
              <w:rPr>
                <w:sz w:val="18"/>
                <w:szCs w:val="18"/>
              </w:rPr>
              <w:t>Intervalle</w:t>
            </w:r>
            <w:r w:rsidRPr="008F1FDF">
              <w:rPr>
                <w:sz w:val="18"/>
                <w:szCs w:val="18"/>
                <w:vertAlign w:val="superscript"/>
              </w:rPr>
              <w:t>(</w:t>
            </w:r>
            <w:proofErr w:type="gramEnd"/>
            <w:r w:rsidRPr="008F1FDF">
              <w:rPr>
                <w:sz w:val="18"/>
                <w:szCs w:val="18"/>
                <w:vertAlign w:val="superscript"/>
              </w:rPr>
              <w:t>1)</w:t>
            </w:r>
          </w:p>
        </w:tc>
        <w:tc>
          <w:tcPr>
            <w:tcW w:w="3047" w:type="dxa"/>
            <w:shd w:val="clear" w:color="auto" w:fill="auto"/>
          </w:tcPr>
          <w:p w14:paraId="47C1CD0D" w14:textId="77777777" w:rsidR="00897C3F" w:rsidRPr="008F1FDF" w:rsidRDefault="00897C3F" w:rsidP="008F1FDF">
            <w:pPr>
              <w:pStyle w:val="Tablehead"/>
              <w:rPr>
                <w:sz w:val="18"/>
                <w:szCs w:val="18"/>
              </w:rPr>
            </w:pPr>
            <w:r w:rsidRPr="008F1FDF">
              <w:rPr>
                <w:sz w:val="18"/>
                <w:szCs w:val="18"/>
              </w:rPr>
              <w:t>Description</w:t>
            </w:r>
          </w:p>
        </w:tc>
        <w:tc>
          <w:tcPr>
            <w:tcW w:w="1604" w:type="dxa"/>
            <w:shd w:val="clear" w:color="auto" w:fill="auto"/>
          </w:tcPr>
          <w:p w14:paraId="70E4590A" w14:textId="77777777" w:rsidR="00897C3F" w:rsidRPr="008F1FDF" w:rsidRDefault="00897C3F" w:rsidP="008F1FDF">
            <w:pPr>
              <w:pStyle w:val="Tablehead"/>
              <w:rPr>
                <w:sz w:val="18"/>
                <w:szCs w:val="18"/>
              </w:rPr>
            </w:pPr>
            <w:r w:rsidRPr="008F1FDF">
              <w:rPr>
                <w:sz w:val="18"/>
                <w:szCs w:val="18"/>
              </w:rPr>
              <w:t>Exemple</w:t>
            </w:r>
          </w:p>
        </w:tc>
      </w:tr>
      <w:tr w:rsidR="00897C3F" w:rsidRPr="002D383D" w14:paraId="4EC6EDC1" w14:textId="77777777" w:rsidTr="00D85461">
        <w:tblPrEx>
          <w:tblCellMar>
            <w:top w:w="0" w:type="dxa"/>
            <w:bottom w:w="0" w:type="dxa"/>
          </w:tblCellMar>
        </w:tblPrEx>
        <w:trPr>
          <w:trHeight w:val="196"/>
          <w:jc w:val="center"/>
        </w:trPr>
        <w:tc>
          <w:tcPr>
            <w:tcW w:w="693" w:type="dxa"/>
          </w:tcPr>
          <w:p w14:paraId="365E06A9"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50324BE0" w14:textId="77777777" w:rsidR="00897C3F" w:rsidRPr="008F1FDF" w:rsidRDefault="00897C3F" w:rsidP="00897C3F">
            <w:pPr>
              <w:pStyle w:val="Tabletext"/>
              <w:rPr>
                <w:sz w:val="18"/>
                <w:szCs w:val="18"/>
              </w:rPr>
            </w:pPr>
            <w:r w:rsidRPr="008F1FDF">
              <w:rPr>
                <w:sz w:val="18"/>
                <w:szCs w:val="18"/>
              </w:rPr>
              <w:t>FileType</w:t>
            </w:r>
          </w:p>
        </w:tc>
        <w:tc>
          <w:tcPr>
            <w:tcW w:w="1620" w:type="dxa"/>
          </w:tcPr>
          <w:p w14:paraId="3495AFFC" w14:textId="77777777" w:rsidR="00897C3F" w:rsidRPr="008F1FDF" w:rsidRDefault="00897C3F" w:rsidP="00D85461">
            <w:pPr>
              <w:pStyle w:val="Tabletext"/>
              <w:jc w:val="left"/>
              <w:rPr>
                <w:sz w:val="18"/>
                <w:szCs w:val="18"/>
              </w:rPr>
            </w:pPr>
            <w:r w:rsidRPr="008F1FDF">
              <w:rPr>
                <w:sz w:val="18"/>
                <w:szCs w:val="18"/>
              </w:rPr>
              <w:t>Texte</w:t>
            </w:r>
          </w:p>
        </w:tc>
        <w:tc>
          <w:tcPr>
            <w:tcW w:w="1136" w:type="dxa"/>
          </w:tcPr>
          <w:p w14:paraId="6D8D27B1"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5B38A6A3" w14:textId="77777777" w:rsidR="00897C3F" w:rsidRPr="008F1FDF" w:rsidRDefault="00897C3F" w:rsidP="00D85461">
            <w:pPr>
              <w:pStyle w:val="Tabletext"/>
              <w:jc w:val="left"/>
              <w:rPr>
                <w:sz w:val="18"/>
                <w:szCs w:val="18"/>
              </w:rPr>
            </w:pPr>
            <w:r w:rsidRPr="008F1FDF">
              <w:rPr>
                <w:sz w:val="18"/>
                <w:szCs w:val="18"/>
              </w:rPr>
              <w:t>Type et/ou version du fichier</w:t>
            </w:r>
          </w:p>
        </w:tc>
        <w:tc>
          <w:tcPr>
            <w:tcW w:w="1604" w:type="dxa"/>
          </w:tcPr>
          <w:p w14:paraId="275DA670" w14:textId="77777777" w:rsidR="00897C3F" w:rsidRPr="008F1FDF" w:rsidRDefault="00897C3F" w:rsidP="00897C3F">
            <w:pPr>
              <w:pStyle w:val="Tabletext"/>
              <w:rPr>
                <w:sz w:val="18"/>
                <w:szCs w:val="18"/>
              </w:rPr>
            </w:pPr>
            <w:r w:rsidRPr="008F1FDF">
              <w:rPr>
                <w:sz w:val="18"/>
                <w:szCs w:val="18"/>
              </w:rPr>
              <w:t>Format d'échange commun V2.0</w:t>
            </w:r>
          </w:p>
        </w:tc>
      </w:tr>
      <w:tr w:rsidR="00897C3F" w:rsidRPr="002D383D" w14:paraId="3DB7AA54" w14:textId="77777777" w:rsidTr="00D85461">
        <w:tblPrEx>
          <w:tblCellMar>
            <w:top w:w="0" w:type="dxa"/>
            <w:bottom w:w="0" w:type="dxa"/>
          </w:tblCellMar>
        </w:tblPrEx>
        <w:trPr>
          <w:jc w:val="center"/>
        </w:trPr>
        <w:tc>
          <w:tcPr>
            <w:tcW w:w="693" w:type="dxa"/>
          </w:tcPr>
          <w:p w14:paraId="409BE180"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3726C3EB" w14:textId="77777777" w:rsidR="00897C3F" w:rsidRPr="008F1FDF" w:rsidRDefault="00897C3F" w:rsidP="00897C3F">
            <w:pPr>
              <w:pStyle w:val="Tabletext"/>
              <w:rPr>
                <w:sz w:val="18"/>
                <w:szCs w:val="18"/>
              </w:rPr>
            </w:pPr>
            <w:r w:rsidRPr="008F1FDF">
              <w:rPr>
                <w:sz w:val="18"/>
                <w:szCs w:val="18"/>
              </w:rPr>
              <w:t>LocationName</w:t>
            </w:r>
          </w:p>
        </w:tc>
        <w:tc>
          <w:tcPr>
            <w:tcW w:w="1620" w:type="dxa"/>
          </w:tcPr>
          <w:p w14:paraId="6536CEBC" w14:textId="77777777" w:rsidR="00897C3F" w:rsidRPr="008F1FDF" w:rsidRDefault="00897C3F" w:rsidP="00D85461">
            <w:pPr>
              <w:pStyle w:val="Tabletext"/>
              <w:jc w:val="left"/>
              <w:rPr>
                <w:sz w:val="18"/>
                <w:szCs w:val="18"/>
              </w:rPr>
            </w:pPr>
            <w:r w:rsidRPr="008F1FDF">
              <w:rPr>
                <w:sz w:val="18"/>
                <w:szCs w:val="18"/>
              </w:rPr>
              <w:t>Texte</w:t>
            </w:r>
          </w:p>
        </w:tc>
        <w:tc>
          <w:tcPr>
            <w:tcW w:w="1136" w:type="dxa"/>
          </w:tcPr>
          <w:p w14:paraId="02A5DD44"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30261A73" w14:textId="77777777" w:rsidR="00897C3F" w:rsidRPr="008F1FDF" w:rsidRDefault="00897C3F" w:rsidP="00D85461">
            <w:pPr>
              <w:pStyle w:val="Tabletext"/>
              <w:jc w:val="left"/>
              <w:rPr>
                <w:sz w:val="18"/>
                <w:szCs w:val="18"/>
              </w:rPr>
            </w:pPr>
            <w:r w:rsidRPr="008F1FDF">
              <w:rPr>
                <w:sz w:val="18"/>
                <w:szCs w:val="18"/>
              </w:rPr>
              <w:t>Désignation du lieu où les mesures sont faites</w:t>
            </w:r>
          </w:p>
        </w:tc>
        <w:tc>
          <w:tcPr>
            <w:tcW w:w="1604" w:type="dxa"/>
          </w:tcPr>
          <w:p w14:paraId="40D16FB8" w14:textId="77777777" w:rsidR="00897C3F" w:rsidRPr="008F1FDF" w:rsidRDefault="00897C3F" w:rsidP="00897C3F">
            <w:pPr>
              <w:pStyle w:val="Tabletext"/>
              <w:rPr>
                <w:sz w:val="18"/>
                <w:szCs w:val="18"/>
              </w:rPr>
            </w:pPr>
            <w:r w:rsidRPr="008F1FDF">
              <w:rPr>
                <w:sz w:val="18"/>
                <w:szCs w:val="18"/>
              </w:rPr>
              <w:t>NERA</w:t>
            </w:r>
          </w:p>
        </w:tc>
      </w:tr>
      <w:tr w:rsidR="00897C3F" w:rsidRPr="002D383D" w14:paraId="6C3664AD" w14:textId="77777777" w:rsidTr="00D85461">
        <w:tblPrEx>
          <w:tblCellMar>
            <w:top w:w="0" w:type="dxa"/>
            <w:bottom w:w="0" w:type="dxa"/>
          </w:tblCellMar>
        </w:tblPrEx>
        <w:trPr>
          <w:jc w:val="center"/>
        </w:trPr>
        <w:tc>
          <w:tcPr>
            <w:tcW w:w="693" w:type="dxa"/>
          </w:tcPr>
          <w:p w14:paraId="4A0E331B"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1DCB5D71" w14:textId="77777777" w:rsidR="00897C3F" w:rsidRPr="008F1FDF" w:rsidRDefault="00897C3F" w:rsidP="00897C3F">
            <w:pPr>
              <w:pStyle w:val="Tabletext"/>
              <w:rPr>
                <w:sz w:val="18"/>
                <w:szCs w:val="18"/>
              </w:rPr>
            </w:pPr>
            <w:r w:rsidRPr="008F1FDF">
              <w:rPr>
                <w:sz w:val="18"/>
                <w:szCs w:val="18"/>
              </w:rPr>
              <w:t>Latitude</w:t>
            </w:r>
          </w:p>
        </w:tc>
        <w:tc>
          <w:tcPr>
            <w:tcW w:w="1620" w:type="dxa"/>
          </w:tcPr>
          <w:p w14:paraId="1DCC683B" w14:textId="77777777" w:rsidR="00897C3F" w:rsidRPr="008F1FDF" w:rsidRDefault="00897C3F" w:rsidP="00D85461">
            <w:pPr>
              <w:pStyle w:val="Tabletext"/>
              <w:jc w:val="left"/>
              <w:rPr>
                <w:sz w:val="18"/>
                <w:szCs w:val="18"/>
              </w:rPr>
            </w:pPr>
            <w:r w:rsidRPr="008F1FDF">
              <w:rPr>
                <w:sz w:val="18"/>
                <w:szCs w:val="18"/>
              </w:rPr>
              <w:t>Texte</w:t>
            </w:r>
          </w:p>
        </w:tc>
        <w:tc>
          <w:tcPr>
            <w:tcW w:w="1136" w:type="dxa"/>
          </w:tcPr>
          <w:p w14:paraId="45C77168"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0F5671AF" w14:textId="77777777" w:rsidR="00897C3F" w:rsidRPr="008F1FDF" w:rsidRDefault="00897C3F" w:rsidP="00D85461">
            <w:pPr>
              <w:pStyle w:val="Tabletext"/>
              <w:jc w:val="left"/>
              <w:rPr>
                <w:sz w:val="18"/>
                <w:szCs w:val="18"/>
                <w:lang w:val="pt-BR"/>
              </w:rPr>
            </w:pPr>
            <w:r w:rsidRPr="008F1FDF">
              <w:rPr>
                <w:sz w:val="18"/>
                <w:szCs w:val="18"/>
                <w:lang w:val="pt-BR"/>
              </w:rPr>
              <w:t xml:space="preserve">DD.MM.SSx, </w:t>
            </w:r>
            <w:r w:rsidR="0057313F">
              <w:rPr>
                <w:sz w:val="18"/>
                <w:szCs w:val="18"/>
                <w:lang w:val="pt-BR"/>
              </w:rPr>
              <w:t>où</w:t>
            </w:r>
            <w:r w:rsidRPr="008F1FDF">
              <w:rPr>
                <w:sz w:val="18"/>
                <w:szCs w:val="18"/>
                <w:lang w:val="pt-BR"/>
              </w:rPr>
              <w:br/>
              <w:t>«x» = «N» ou</w:t>
            </w:r>
            <w:r w:rsidRPr="008F1FDF">
              <w:rPr>
                <w:sz w:val="18"/>
                <w:szCs w:val="18"/>
                <w:lang w:val="pt-BR"/>
              </w:rPr>
              <w:br/>
              <w:t>«x» = «S»</w:t>
            </w:r>
          </w:p>
        </w:tc>
        <w:tc>
          <w:tcPr>
            <w:tcW w:w="1604" w:type="dxa"/>
          </w:tcPr>
          <w:p w14:paraId="02540452" w14:textId="77777777" w:rsidR="00897C3F" w:rsidRPr="008F1FDF" w:rsidRDefault="00897C3F" w:rsidP="00897C3F">
            <w:pPr>
              <w:pStyle w:val="Tabletext"/>
              <w:rPr>
                <w:sz w:val="18"/>
                <w:szCs w:val="18"/>
              </w:rPr>
            </w:pPr>
            <w:r w:rsidRPr="008F1FDF">
              <w:rPr>
                <w:sz w:val="18"/>
                <w:szCs w:val="18"/>
              </w:rPr>
              <w:t>52.10.04N</w:t>
            </w:r>
          </w:p>
        </w:tc>
      </w:tr>
      <w:tr w:rsidR="00897C3F" w:rsidRPr="002D383D" w14:paraId="70079FA8" w14:textId="77777777" w:rsidTr="00D85461">
        <w:tblPrEx>
          <w:tblCellMar>
            <w:top w:w="0" w:type="dxa"/>
            <w:bottom w:w="0" w:type="dxa"/>
          </w:tblCellMar>
        </w:tblPrEx>
        <w:trPr>
          <w:jc w:val="center"/>
        </w:trPr>
        <w:tc>
          <w:tcPr>
            <w:tcW w:w="693" w:type="dxa"/>
          </w:tcPr>
          <w:p w14:paraId="7DC1251A"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75B948B5" w14:textId="77777777" w:rsidR="00897C3F" w:rsidRPr="008F1FDF" w:rsidRDefault="00897C3F" w:rsidP="00897C3F">
            <w:pPr>
              <w:pStyle w:val="Tabletext"/>
              <w:rPr>
                <w:sz w:val="18"/>
                <w:szCs w:val="18"/>
              </w:rPr>
            </w:pPr>
            <w:r w:rsidRPr="008F1FDF">
              <w:rPr>
                <w:sz w:val="18"/>
                <w:szCs w:val="18"/>
              </w:rPr>
              <w:t>Longitude</w:t>
            </w:r>
          </w:p>
        </w:tc>
        <w:tc>
          <w:tcPr>
            <w:tcW w:w="1620" w:type="dxa"/>
          </w:tcPr>
          <w:p w14:paraId="6027481B" w14:textId="77777777" w:rsidR="00897C3F" w:rsidRPr="008F1FDF" w:rsidRDefault="00897C3F" w:rsidP="00D85461">
            <w:pPr>
              <w:pStyle w:val="Tabletext"/>
              <w:jc w:val="left"/>
              <w:rPr>
                <w:sz w:val="18"/>
                <w:szCs w:val="18"/>
              </w:rPr>
            </w:pPr>
            <w:r w:rsidRPr="008F1FDF">
              <w:rPr>
                <w:sz w:val="18"/>
                <w:szCs w:val="18"/>
              </w:rPr>
              <w:t>Texte</w:t>
            </w:r>
          </w:p>
        </w:tc>
        <w:tc>
          <w:tcPr>
            <w:tcW w:w="1136" w:type="dxa"/>
          </w:tcPr>
          <w:p w14:paraId="5E06137E"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2A26A0E4" w14:textId="77777777" w:rsidR="00897C3F" w:rsidRPr="008F1FDF" w:rsidRDefault="00897C3F" w:rsidP="00D85461">
            <w:pPr>
              <w:pStyle w:val="Tabletext"/>
              <w:jc w:val="left"/>
              <w:rPr>
                <w:sz w:val="18"/>
                <w:szCs w:val="18"/>
              </w:rPr>
            </w:pPr>
            <w:r w:rsidRPr="008F1FDF">
              <w:rPr>
                <w:sz w:val="18"/>
                <w:szCs w:val="18"/>
              </w:rPr>
              <w:t xml:space="preserve">DDD.MM.SSx, </w:t>
            </w:r>
            <w:r w:rsidR="0057313F">
              <w:rPr>
                <w:sz w:val="18"/>
                <w:szCs w:val="18"/>
                <w:lang w:val="pt-BR"/>
              </w:rPr>
              <w:t>où</w:t>
            </w:r>
            <w:r w:rsidRPr="008F1FDF">
              <w:rPr>
                <w:sz w:val="18"/>
                <w:szCs w:val="18"/>
              </w:rPr>
              <w:br/>
              <w:t>«</w:t>
            </w:r>
            <w:proofErr w:type="gramStart"/>
            <w:r w:rsidRPr="008F1FDF">
              <w:rPr>
                <w:sz w:val="18"/>
                <w:szCs w:val="18"/>
              </w:rPr>
              <w:t>x»</w:t>
            </w:r>
            <w:proofErr w:type="gramEnd"/>
            <w:r w:rsidRPr="008F1FDF">
              <w:rPr>
                <w:sz w:val="18"/>
                <w:szCs w:val="18"/>
              </w:rPr>
              <w:t xml:space="preserve"> = «E» ou</w:t>
            </w:r>
            <w:r w:rsidRPr="008F1FDF">
              <w:rPr>
                <w:sz w:val="18"/>
                <w:szCs w:val="18"/>
              </w:rPr>
              <w:br/>
              <w:t xml:space="preserve">«x» = «W» </w:t>
            </w:r>
          </w:p>
        </w:tc>
        <w:tc>
          <w:tcPr>
            <w:tcW w:w="1604" w:type="dxa"/>
          </w:tcPr>
          <w:p w14:paraId="26F715AF" w14:textId="77777777" w:rsidR="00897C3F" w:rsidRPr="008F1FDF" w:rsidRDefault="00897C3F" w:rsidP="00897C3F">
            <w:pPr>
              <w:pStyle w:val="Tabletext"/>
              <w:rPr>
                <w:sz w:val="18"/>
                <w:szCs w:val="18"/>
              </w:rPr>
            </w:pPr>
            <w:r w:rsidRPr="008F1FDF">
              <w:rPr>
                <w:sz w:val="18"/>
                <w:szCs w:val="18"/>
              </w:rPr>
              <w:t>005.10.09W</w:t>
            </w:r>
          </w:p>
        </w:tc>
      </w:tr>
      <w:tr w:rsidR="00897C3F" w:rsidRPr="002D383D" w14:paraId="314FAEAE" w14:textId="77777777" w:rsidTr="00D85461">
        <w:tblPrEx>
          <w:tblCellMar>
            <w:top w:w="0" w:type="dxa"/>
            <w:bottom w:w="0" w:type="dxa"/>
          </w:tblCellMar>
        </w:tblPrEx>
        <w:trPr>
          <w:jc w:val="center"/>
        </w:trPr>
        <w:tc>
          <w:tcPr>
            <w:tcW w:w="693" w:type="dxa"/>
          </w:tcPr>
          <w:p w14:paraId="6F84DC00"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56F8E276" w14:textId="77777777" w:rsidR="00897C3F" w:rsidRPr="008F1FDF" w:rsidRDefault="00897C3F" w:rsidP="00897C3F">
            <w:pPr>
              <w:pStyle w:val="Tabletext"/>
              <w:rPr>
                <w:sz w:val="18"/>
                <w:szCs w:val="18"/>
              </w:rPr>
            </w:pPr>
            <w:r w:rsidRPr="008F1FDF">
              <w:rPr>
                <w:sz w:val="18"/>
                <w:szCs w:val="18"/>
              </w:rPr>
              <w:t>FreqStart</w:t>
            </w:r>
          </w:p>
        </w:tc>
        <w:tc>
          <w:tcPr>
            <w:tcW w:w="1620" w:type="dxa"/>
          </w:tcPr>
          <w:p w14:paraId="2514A974" w14:textId="77777777" w:rsidR="00897C3F" w:rsidRPr="008F1FDF" w:rsidRDefault="00897C3F" w:rsidP="00D85461">
            <w:pPr>
              <w:pStyle w:val="Tabletext"/>
              <w:jc w:val="left"/>
              <w:rPr>
                <w:sz w:val="18"/>
                <w:szCs w:val="18"/>
              </w:rPr>
            </w:pPr>
            <w:r w:rsidRPr="008F1FDF">
              <w:rPr>
                <w:sz w:val="18"/>
                <w:szCs w:val="18"/>
              </w:rPr>
              <w:t>Valeur numérique (réelle)</w:t>
            </w:r>
          </w:p>
        </w:tc>
        <w:tc>
          <w:tcPr>
            <w:tcW w:w="1136" w:type="dxa"/>
          </w:tcPr>
          <w:p w14:paraId="24B57FCA"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61F42825" w14:textId="77777777" w:rsidR="00897C3F" w:rsidRPr="008F1FDF" w:rsidRDefault="00897C3F" w:rsidP="00D85461">
            <w:pPr>
              <w:pStyle w:val="Tabletext"/>
              <w:jc w:val="left"/>
              <w:rPr>
                <w:sz w:val="18"/>
                <w:szCs w:val="18"/>
              </w:rPr>
            </w:pPr>
            <w:r w:rsidRPr="008F1FDF">
              <w:rPr>
                <w:sz w:val="18"/>
                <w:szCs w:val="18"/>
              </w:rPr>
              <w:t xml:space="preserve">Fréquence </w:t>
            </w:r>
            <w:r w:rsidR="00D85461">
              <w:rPr>
                <w:sz w:val="18"/>
                <w:szCs w:val="18"/>
              </w:rPr>
              <w:t>(</w:t>
            </w:r>
            <w:r w:rsidRPr="008F1FDF">
              <w:rPr>
                <w:sz w:val="18"/>
                <w:szCs w:val="18"/>
              </w:rPr>
              <w:t>kHz</w:t>
            </w:r>
            <w:r w:rsidR="00D85461">
              <w:rPr>
                <w:sz w:val="18"/>
                <w:szCs w:val="18"/>
              </w:rPr>
              <w:t>)</w:t>
            </w:r>
          </w:p>
        </w:tc>
        <w:tc>
          <w:tcPr>
            <w:tcW w:w="1604" w:type="dxa"/>
          </w:tcPr>
          <w:p w14:paraId="6EB50362" w14:textId="77777777" w:rsidR="00897C3F" w:rsidRPr="008F1FDF" w:rsidRDefault="00897C3F" w:rsidP="00897C3F">
            <w:pPr>
              <w:pStyle w:val="Tabletext"/>
              <w:rPr>
                <w:sz w:val="18"/>
                <w:szCs w:val="18"/>
              </w:rPr>
            </w:pPr>
            <w:r w:rsidRPr="008F1FDF">
              <w:rPr>
                <w:sz w:val="18"/>
                <w:szCs w:val="18"/>
              </w:rPr>
              <w:t>1000,000</w:t>
            </w:r>
          </w:p>
        </w:tc>
      </w:tr>
      <w:tr w:rsidR="00897C3F" w:rsidRPr="002D383D" w14:paraId="56BF2126" w14:textId="77777777" w:rsidTr="00D85461">
        <w:tblPrEx>
          <w:tblCellMar>
            <w:top w:w="0" w:type="dxa"/>
            <w:bottom w:w="0" w:type="dxa"/>
          </w:tblCellMar>
        </w:tblPrEx>
        <w:trPr>
          <w:jc w:val="center"/>
        </w:trPr>
        <w:tc>
          <w:tcPr>
            <w:tcW w:w="693" w:type="dxa"/>
          </w:tcPr>
          <w:p w14:paraId="58ED0839"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186169B2" w14:textId="77777777" w:rsidR="00897C3F" w:rsidRPr="008F1FDF" w:rsidRDefault="00897C3F" w:rsidP="00897C3F">
            <w:pPr>
              <w:pStyle w:val="Tabletext"/>
              <w:rPr>
                <w:sz w:val="18"/>
                <w:szCs w:val="18"/>
              </w:rPr>
            </w:pPr>
            <w:r w:rsidRPr="008F1FDF">
              <w:rPr>
                <w:sz w:val="18"/>
                <w:szCs w:val="18"/>
              </w:rPr>
              <w:t>FreqStop</w:t>
            </w:r>
          </w:p>
        </w:tc>
        <w:tc>
          <w:tcPr>
            <w:tcW w:w="1620" w:type="dxa"/>
          </w:tcPr>
          <w:p w14:paraId="6C209639" w14:textId="77777777" w:rsidR="00897C3F" w:rsidRPr="008F1FDF" w:rsidRDefault="00897C3F" w:rsidP="00D85461">
            <w:pPr>
              <w:pStyle w:val="Tabletext"/>
              <w:jc w:val="left"/>
              <w:rPr>
                <w:sz w:val="18"/>
                <w:szCs w:val="18"/>
              </w:rPr>
            </w:pPr>
            <w:r w:rsidRPr="008F1FDF">
              <w:rPr>
                <w:sz w:val="18"/>
                <w:szCs w:val="18"/>
              </w:rPr>
              <w:t>Valeur numérique (réelle)</w:t>
            </w:r>
          </w:p>
        </w:tc>
        <w:tc>
          <w:tcPr>
            <w:tcW w:w="1136" w:type="dxa"/>
          </w:tcPr>
          <w:p w14:paraId="392FEA44"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7E3AF95B" w14:textId="77777777" w:rsidR="00897C3F" w:rsidRPr="008F1FDF" w:rsidRDefault="00897C3F" w:rsidP="00D85461">
            <w:pPr>
              <w:pStyle w:val="Tabletext"/>
              <w:jc w:val="left"/>
              <w:rPr>
                <w:sz w:val="18"/>
                <w:szCs w:val="18"/>
              </w:rPr>
            </w:pPr>
            <w:r w:rsidRPr="008F1FDF">
              <w:rPr>
                <w:sz w:val="18"/>
                <w:szCs w:val="18"/>
              </w:rPr>
              <w:t xml:space="preserve">Fréquence </w:t>
            </w:r>
            <w:r w:rsidR="00D85461">
              <w:rPr>
                <w:sz w:val="18"/>
                <w:szCs w:val="18"/>
              </w:rPr>
              <w:t>(</w:t>
            </w:r>
            <w:r w:rsidRPr="008F1FDF">
              <w:rPr>
                <w:sz w:val="18"/>
                <w:szCs w:val="18"/>
              </w:rPr>
              <w:t>kHz</w:t>
            </w:r>
            <w:r w:rsidR="00D85461">
              <w:rPr>
                <w:sz w:val="18"/>
                <w:szCs w:val="18"/>
              </w:rPr>
              <w:t>)</w:t>
            </w:r>
          </w:p>
        </w:tc>
        <w:tc>
          <w:tcPr>
            <w:tcW w:w="1604" w:type="dxa"/>
          </w:tcPr>
          <w:p w14:paraId="377D2347" w14:textId="77777777" w:rsidR="00897C3F" w:rsidRPr="008F1FDF" w:rsidRDefault="00897C3F" w:rsidP="00897C3F">
            <w:pPr>
              <w:pStyle w:val="Tabletext"/>
              <w:rPr>
                <w:sz w:val="18"/>
                <w:szCs w:val="18"/>
              </w:rPr>
            </w:pPr>
            <w:r w:rsidRPr="008F1FDF">
              <w:rPr>
                <w:sz w:val="18"/>
                <w:szCs w:val="18"/>
              </w:rPr>
              <w:t>2000,000</w:t>
            </w:r>
          </w:p>
        </w:tc>
      </w:tr>
      <w:tr w:rsidR="00897C3F" w:rsidRPr="002D383D" w14:paraId="45126DDA" w14:textId="77777777" w:rsidTr="00D85461">
        <w:tblPrEx>
          <w:tblCellMar>
            <w:top w:w="0" w:type="dxa"/>
            <w:bottom w:w="0" w:type="dxa"/>
          </w:tblCellMar>
        </w:tblPrEx>
        <w:trPr>
          <w:jc w:val="center"/>
        </w:trPr>
        <w:tc>
          <w:tcPr>
            <w:tcW w:w="693" w:type="dxa"/>
          </w:tcPr>
          <w:p w14:paraId="7D679E25"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0B2AEE80" w14:textId="77777777" w:rsidR="00897C3F" w:rsidRPr="008F1FDF" w:rsidRDefault="00897C3F" w:rsidP="00897C3F">
            <w:pPr>
              <w:pStyle w:val="Tabletext"/>
              <w:rPr>
                <w:sz w:val="18"/>
                <w:szCs w:val="18"/>
              </w:rPr>
            </w:pPr>
            <w:r w:rsidRPr="008F1FDF">
              <w:rPr>
                <w:sz w:val="18"/>
                <w:szCs w:val="18"/>
              </w:rPr>
              <w:t>AntennaType</w:t>
            </w:r>
          </w:p>
        </w:tc>
        <w:tc>
          <w:tcPr>
            <w:tcW w:w="1620" w:type="dxa"/>
          </w:tcPr>
          <w:p w14:paraId="090C5E20" w14:textId="77777777" w:rsidR="00897C3F" w:rsidRPr="008F1FDF" w:rsidRDefault="00897C3F" w:rsidP="00D85461">
            <w:pPr>
              <w:pStyle w:val="Tabletext"/>
              <w:jc w:val="left"/>
              <w:rPr>
                <w:sz w:val="18"/>
                <w:szCs w:val="18"/>
              </w:rPr>
            </w:pPr>
            <w:r w:rsidRPr="008F1FDF">
              <w:rPr>
                <w:sz w:val="18"/>
                <w:szCs w:val="18"/>
              </w:rPr>
              <w:t>Texte, valeur numérique (réelle), valeur numérique (réelle)</w:t>
            </w:r>
          </w:p>
        </w:tc>
        <w:tc>
          <w:tcPr>
            <w:tcW w:w="1136" w:type="dxa"/>
          </w:tcPr>
          <w:p w14:paraId="3A8398E3"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658D1D32" w14:textId="77777777" w:rsidR="00897C3F" w:rsidRPr="008F1FDF" w:rsidRDefault="00897C3F" w:rsidP="00D85461">
            <w:pPr>
              <w:pStyle w:val="Tabletext"/>
              <w:spacing w:after="0"/>
              <w:jc w:val="left"/>
              <w:rPr>
                <w:sz w:val="18"/>
                <w:szCs w:val="18"/>
              </w:rPr>
            </w:pPr>
            <w:r w:rsidRPr="008F1FDF">
              <w:rPr>
                <w:sz w:val="18"/>
                <w:szCs w:val="18"/>
              </w:rPr>
              <w:t>Info, gain (dBi), facteur K (dB/m)</w:t>
            </w:r>
            <w:r w:rsidR="0057313F">
              <w:rPr>
                <w:sz w:val="18"/>
                <w:szCs w:val="18"/>
              </w:rPr>
              <w:t>.</w:t>
            </w:r>
          </w:p>
          <w:p w14:paraId="71A5F41B" w14:textId="77777777" w:rsidR="00897C3F" w:rsidRPr="008F1FDF" w:rsidRDefault="00897C3F" w:rsidP="00D85461">
            <w:pPr>
              <w:pStyle w:val="Tabletext"/>
              <w:spacing w:before="0"/>
              <w:jc w:val="left"/>
              <w:rPr>
                <w:sz w:val="18"/>
                <w:szCs w:val="18"/>
              </w:rPr>
            </w:pPr>
            <w:r w:rsidRPr="008F1FDF">
              <w:rPr>
                <w:sz w:val="18"/>
                <w:szCs w:val="18"/>
              </w:rPr>
              <w:t>Les champs</w:t>
            </w:r>
            <w:proofErr w:type="gramStart"/>
            <w:r w:rsidRPr="008F1FDF">
              <w:rPr>
                <w:sz w:val="18"/>
                <w:szCs w:val="18"/>
              </w:rPr>
              <w:t xml:space="preserve"> «gain</w:t>
            </w:r>
            <w:proofErr w:type="gramEnd"/>
            <w:r w:rsidRPr="008F1FDF">
              <w:rPr>
                <w:sz w:val="18"/>
                <w:szCs w:val="18"/>
              </w:rPr>
              <w:t>» et «facteur K» peuvent être omis s'ils ne sont pas utilisés</w:t>
            </w:r>
          </w:p>
        </w:tc>
        <w:tc>
          <w:tcPr>
            <w:tcW w:w="1604" w:type="dxa"/>
          </w:tcPr>
          <w:p w14:paraId="0692B410" w14:textId="77777777" w:rsidR="00897C3F" w:rsidRPr="008F1FDF" w:rsidRDefault="00897C3F" w:rsidP="00897C3F">
            <w:pPr>
              <w:pStyle w:val="Tabletext"/>
              <w:rPr>
                <w:sz w:val="18"/>
                <w:szCs w:val="18"/>
              </w:rPr>
            </w:pPr>
            <w:r w:rsidRPr="008F1FDF">
              <w:rPr>
                <w:sz w:val="18"/>
                <w:szCs w:val="18"/>
              </w:rPr>
              <w:t xml:space="preserve">LPD,7,10 </w:t>
            </w:r>
          </w:p>
        </w:tc>
      </w:tr>
      <w:tr w:rsidR="00897C3F" w:rsidRPr="002D383D" w14:paraId="5821FBB0" w14:textId="77777777" w:rsidTr="00D85461">
        <w:tblPrEx>
          <w:tblCellMar>
            <w:top w:w="0" w:type="dxa"/>
            <w:bottom w:w="0" w:type="dxa"/>
          </w:tblCellMar>
        </w:tblPrEx>
        <w:trPr>
          <w:jc w:val="center"/>
        </w:trPr>
        <w:tc>
          <w:tcPr>
            <w:tcW w:w="693" w:type="dxa"/>
          </w:tcPr>
          <w:p w14:paraId="6F0D2C31"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6765587F" w14:textId="77777777" w:rsidR="00897C3F" w:rsidRPr="008F1FDF" w:rsidRDefault="00897C3F" w:rsidP="00897C3F">
            <w:pPr>
              <w:pStyle w:val="Tabletext"/>
              <w:rPr>
                <w:sz w:val="18"/>
                <w:szCs w:val="18"/>
              </w:rPr>
            </w:pPr>
            <w:r w:rsidRPr="008F1FDF">
              <w:rPr>
                <w:sz w:val="18"/>
                <w:szCs w:val="18"/>
              </w:rPr>
              <w:t>FilterBandwidth</w:t>
            </w:r>
          </w:p>
        </w:tc>
        <w:tc>
          <w:tcPr>
            <w:tcW w:w="1620" w:type="dxa"/>
          </w:tcPr>
          <w:p w14:paraId="3600F45A" w14:textId="77777777" w:rsidR="00897C3F" w:rsidRPr="008F1FDF" w:rsidRDefault="00897C3F" w:rsidP="00D85461">
            <w:pPr>
              <w:pStyle w:val="Tabletext"/>
              <w:jc w:val="left"/>
              <w:rPr>
                <w:sz w:val="18"/>
                <w:szCs w:val="18"/>
              </w:rPr>
            </w:pPr>
            <w:r w:rsidRPr="008F1FDF">
              <w:rPr>
                <w:sz w:val="18"/>
                <w:szCs w:val="18"/>
              </w:rPr>
              <w:t>Valeur numérique (réelle)</w:t>
            </w:r>
          </w:p>
        </w:tc>
        <w:tc>
          <w:tcPr>
            <w:tcW w:w="1136" w:type="dxa"/>
          </w:tcPr>
          <w:p w14:paraId="5DAAEFF8"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01C4DDAE" w14:textId="77777777" w:rsidR="00897C3F" w:rsidRPr="008F1FDF" w:rsidRDefault="00897C3F" w:rsidP="00D85461">
            <w:pPr>
              <w:pStyle w:val="Tabletext"/>
              <w:jc w:val="left"/>
              <w:rPr>
                <w:sz w:val="18"/>
                <w:szCs w:val="18"/>
              </w:rPr>
            </w:pPr>
            <w:r w:rsidRPr="008F1FDF">
              <w:rPr>
                <w:sz w:val="18"/>
                <w:szCs w:val="18"/>
              </w:rPr>
              <w:t>En kHz</w:t>
            </w:r>
          </w:p>
        </w:tc>
        <w:tc>
          <w:tcPr>
            <w:tcW w:w="1604" w:type="dxa"/>
          </w:tcPr>
          <w:p w14:paraId="787914DB" w14:textId="77777777" w:rsidR="00897C3F" w:rsidRPr="008F1FDF" w:rsidRDefault="00897C3F" w:rsidP="00897C3F">
            <w:pPr>
              <w:pStyle w:val="Tabletext"/>
              <w:rPr>
                <w:sz w:val="18"/>
                <w:szCs w:val="18"/>
              </w:rPr>
            </w:pPr>
            <w:r w:rsidRPr="008F1FDF">
              <w:rPr>
                <w:sz w:val="18"/>
                <w:szCs w:val="18"/>
              </w:rPr>
              <w:t>0,2</w:t>
            </w:r>
          </w:p>
        </w:tc>
      </w:tr>
      <w:tr w:rsidR="00897C3F" w:rsidRPr="002D383D" w14:paraId="46868195" w14:textId="77777777" w:rsidTr="00D85461">
        <w:tblPrEx>
          <w:tblCellMar>
            <w:top w:w="0" w:type="dxa"/>
            <w:bottom w:w="0" w:type="dxa"/>
          </w:tblCellMar>
        </w:tblPrEx>
        <w:trPr>
          <w:jc w:val="center"/>
        </w:trPr>
        <w:tc>
          <w:tcPr>
            <w:tcW w:w="693" w:type="dxa"/>
          </w:tcPr>
          <w:p w14:paraId="2AC16F86"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59E02053" w14:textId="77777777" w:rsidR="00897C3F" w:rsidRPr="008F1FDF" w:rsidRDefault="00897C3F" w:rsidP="00897C3F">
            <w:pPr>
              <w:pStyle w:val="Tabletext"/>
              <w:rPr>
                <w:sz w:val="18"/>
                <w:szCs w:val="18"/>
              </w:rPr>
            </w:pPr>
            <w:r w:rsidRPr="008F1FDF">
              <w:rPr>
                <w:sz w:val="18"/>
                <w:szCs w:val="18"/>
              </w:rPr>
              <w:t>LevelUnits</w:t>
            </w:r>
          </w:p>
        </w:tc>
        <w:tc>
          <w:tcPr>
            <w:tcW w:w="1620" w:type="dxa"/>
          </w:tcPr>
          <w:p w14:paraId="0644F649" w14:textId="77777777" w:rsidR="00897C3F" w:rsidRPr="008F1FDF" w:rsidRDefault="00897C3F" w:rsidP="00D85461">
            <w:pPr>
              <w:pStyle w:val="Tabletext"/>
              <w:jc w:val="left"/>
              <w:rPr>
                <w:sz w:val="18"/>
                <w:szCs w:val="18"/>
              </w:rPr>
            </w:pPr>
            <w:r w:rsidRPr="008F1FDF">
              <w:rPr>
                <w:sz w:val="18"/>
                <w:szCs w:val="18"/>
              </w:rPr>
              <w:t>Texte</w:t>
            </w:r>
          </w:p>
        </w:tc>
        <w:tc>
          <w:tcPr>
            <w:tcW w:w="1136" w:type="dxa"/>
          </w:tcPr>
          <w:p w14:paraId="1EA8F1BD"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524EA15F" w14:textId="77777777" w:rsidR="00897C3F" w:rsidRPr="008F1FDF" w:rsidRDefault="00897C3F" w:rsidP="00D85461">
            <w:pPr>
              <w:pStyle w:val="Tabletext"/>
              <w:jc w:val="left"/>
              <w:rPr>
                <w:sz w:val="18"/>
                <w:szCs w:val="18"/>
              </w:rPr>
            </w:pPr>
            <w:proofErr w:type="gramStart"/>
            <w:r w:rsidRPr="008F1FDF">
              <w:rPr>
                <w:sz w:val="18"/>
                <w:szCs w:val="18"/>
              </w:rPr>
              <w:t>dBuV</w:t>
            </w:r>
            <w:proofErr w:type="gramEnd"/>
            <w:r w:rsidRPr="008F1FDF">
              <w:rPr>
                <w:sz w:val="18"/>
                <w:szCs w:val="18"/>
              </w:rPr>
              <w:t>, dBuV/m ou dBm (noter que «u» signifie la lettre «μ»)</w:t>
            </w:r>
          </w:p>
        </w:tc>
        <w:tc>
          <w:tcPr>
            <w:tcW w:w="1604" w:type="dxa"/>
          </w:tcPr>
          <w:p w14:paraId="2D919ED1" w14:textId="77777777" w:rsidR="00897C3F" w:rsidRPr="008F1FDF" w:rsidRDefault="00897C3F" w:rsidP="00897C3F">
            <w:pPr>
              <w:pStyle w:val="Tabletext"/>
              <w:rPr>
                <w:sz w:val="18"/>
                <w:szCs w:val="18"/>
              </w:rPr>
            </w:pPr>
            <w:proofErr w:type="gramStart"/>
            <w:r w:rsidRPr="008F1FDF">
              <w:rPr>
                <w:sz w:val="18"/>
                <w:szCs w:val="18"/>
              </w:rPr>
              <w:t>dBuV</w:t>
            </w:r>
            <w:proofErr w:type="gramEnd"/>
          </w:p>
        </w:tc>
      </w:tr>
      <w:tr w:rsidR="00897C3F" w:rsidRPr="002D383D" w14:paraId="1ABBB719" w14:textId="77777777" w:rsidTr="00D85461">
        <w:tblPrEx>
          <w:tblCellMar>
            <w:top w:w="0" w:type="dxa"/>
            <w:bottom w:w="0" w:type="dxa"/>
          </w:tblCellMar>
        </w:tblPrEx>
        <w:trPr>
          <w:jc w:val="center"/>
        </w:trPr>
        <w:tc>
          <w:tcPr>
            <w:tcW w:w="693" w:type="dxa"/>
          </w:tcPr>
          <w:p w14:paraId="3125F9D0" w14:textId="77777777" w:rsidR="00897C3F" w:rsidRPr="008F1FDF" w:rsidRDefault="00897C3F" w:rsidP="009D0867">
            <w:pPr>
              <w:pStyle w:val="Tabletext"/>
              <w:jc w:val="center"/>
              <w:rPr>
                <w:sz w:val="18"/>
                <w:szCs w:val="18"/>
              </w:rPr>
            </w:pPr>
            <w:r w:rsidRPr="008F1FDF">
              <w:rPr>
                <w:sz w:val="18"/>
                <w:szCs w:val="18"/>
              </w:rPr>
              <w:t>E</w:t>
            </w:r>
          </w:p>
        </w:tc>
        <w:tc>
          <w:tcPr>
            <w:tcW w:w="1755" w:type="dxa"/>
          </w:tcPr>
          <w:p w14:paraId="18ED5B62" w14:textId="77777777" w:rsidR="00897C3F" w:rsidRPr="008F1FDF" w:rsidRDefault="00897C3F" w:rsidP="009D0867">
            <w:pPr>
              <w:pStyle w:val="Tabletext"/>
              <w:rPr>
                <w:sz w:val="18"/>
                <w:szCs w:val="18"/>
              </w:rPr>
            </w:pPr>
            <w:r w:rsidRPr="008F1FDF">
              <w:rPr>
                <w:sz w:val="18"/>
                <w:szCs w:val="18"/>
              </w:rPr>
              <w:t>Date</w:t>
            </w:r>
          </w:p>
        </w:tc>
        <w:tc>
          <w:tcPr>
            <w:tcW w:w="1620" w:type="dxa"/>
          </w:tcPr>
          <w:p w14:paraId="64D788A1" w14:textId="77777777" w:rsidR="00897C3F" w:rsidRPr="008F1FDF" w:rsidRDefault="00897C3F" w:rsidP="009D0867">
            <w:pPr>
              <w:pStyle w:val="Tabletext"/>
              <w:jc w:val="left"/>
              <w:rPr>
                <w:sz w:val="18"/>
                <w:szCs w:val="18"/>
              </w:rPr>
            </w:pPr>
            <w:r w:rsidRPr="008F1FDF">
              <w:rPr>
                <w:sz w:val="18"/>
                <w:szCs w:val="18"/>
              </w:rPr>
              <w:t>Texte</w:t>
            </w:r>
          </w:p>
        </w:tc>
        <w:tc>
          <w:tcPr>
            <w:tcW w:w="1136" w:type="dxa"/>
          </w:tcPr>
          <w:p w14:paraId="3BA17403" w14:textId="77777777" w:rsidR="00897C3F" w:rsidRPr="008F1FDF" w:rsidRDefault="00897C3F" w:rsidP="009D0867">
            <w:pPr>
              <w:pStyle w:val="Tabletext"/>
              <w:jc w:val="center"/>
              <w:rPr>
                <w:sz w:val="18"/>
                <w:szCs w:val="18"/>
              </w:rPr>
            </w:pPr>
            <w:r w:rsidRPr="008F1FDF">
              <w:rPr>
                <w:sz w:val="18"/>
                <w:szCs w:val="18"/>
              </w:rPr>
              <w:t>N</w:t>
            </w:r>
          </w:p>
        </w:tc>
        <w:tc>
          <w:tcPr>
            <w:tcW w:w="3047" w:type="dxa"/>
          </w:tcPr>
          <w:p w14:paraId="3BEC63AB" w14:textId="77777777" w:rsidR="00897C3F" w:rsidRPr="008F1FDF" w:rsidRDefault="00897C3F" w:rsidP="009D0867">
            <w:pPr>
              <w:pStyle w:val="Tabletext"/>
              <w:jc w:val="left"/>
              <w:rPr>
                <w:sz w:val="18"/>
                <w:szCs w:val="18"/>
              </w:rPr>
            </w:pPr>
            <w:r w:rsidRPr="008F1FDF">
              <w:rPr>
                <w:sz w:val="18"/>
                <w:szCs w:val="18"/>
              </w:rPr>
              <w:t>Date des mesures, format</w:t>
            </w:r>
            <w:r w:rsidR="003A0846">
              <w:rPr>
                <w:sz w:val="18"/>
                <w:szCs w:val="18"/>
              </w:rPr>
              <w:t xml:space="preserve"> </w:t>
            </w:r>
            <w:r w:rsidRPr="008F1FDF">
              <w:rPr>
                <w:sz w:val="18"/>
                <w:szCs w:val="18"/>
              </w:rPr>
              <w:t>YYYY</w:t>
            </w:r>
            <w:r w:rsidR="003A0846">
              <w:rPr>
                <w:sz w:val="18"/>
                <w:szCs w:val="18"/>
              </w:rPr>
              <w:noBreakHyphen/>
            </w:r>
            <w:r w:rsidRPr="008F1FDF">
              <w:rPr>
                <w:sz w:val="18"/>
                <w:szCs w:val="18"/>
              </w:rPr>
              <w:t>MM-DD (date de début lorsque minuit est compris dans la période de mesure). Noter que le temps est également enregistré dans chaque ligne de la section données</w:t>
            </w:r>
          </w:p>
        </w:tc>
        <w:tc>
          <w:tcPr>
            <w:tcW w:w="1604" w:type="dxa"/>
          </w:tcPr>
          <w:p w14:paraId="76B86305" w14:textId="77777777" w:rsidR="00897C3F" w:rsidRPr="008F1FDF" w:rsidRDefault="00897C3F" w:rsidP="009D0867">
            <w:pPr>
              <w:pStyle w:val="Tabletext"/>
              <w:rPr>
                <w:sz w:val="18"/>
                <w:szCs w:val="18"/>
              </w:rPr>
            </w:pPr>
            <w:r w:rsidRPr="008F1FDF">
              <w:rPr>
                <w:sz w:val="18"/>
                <w:szCs w:val="18"/>
              </w:rPr>
              <w:t>2006-06-25</w:t>
            </w:r>
          </w:p>
        </w:tc>
      </w:tr>
    </w:tbl>
    <w:p w14:paraId="2E6BEC5C" w14:textId="77777777" w:rsidR="009D0867" w:rsidRPr="002D383D" w:rsidRDefault="009D0867" w:rsidP="009D0867">
      <w:pPr>
        <w:pStyle w:val="TableNo"/>
      </w:pPr>
      <w:r>
        <w:br w:type="page"/>
      </w:r>
      <w:r w:rsidRPr="002D383D">
        <w:lastRenderedPageBreak/>
        <w:t>TABLEAU 1</w:t>
      </w:r>
      <w:r>
        <w:t xml:space="preserve"> (</w:t>
      </w:r>
      <w:r w:rsidRPr="009D0867">
        <w:rPr>
          <w:i/>
          <w:iCs/>
        </w:rPr>
        <w:t>fin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755"/>
        <w:gridCol w:w="1620"/>
        <w:gridCol w:w="1136"/>
        <w:gridCol w:w="3047"/>
        <w:gridCol w:w="1604"/>
      </w:tblGrid>
      <w:tr w:rsidR="009D0867" w:rsidRPr="002D383D" w14:paraId="7B3FD3BB" w14:textId="77777777" w:rsidTr="009D0867">
        <w:tblPrEx>
          <w:tblCellMar>
            <w:top w:w="0" w:type="dxa"/>
            <w:bottom w:w="0" w:type="dxa"/>
          </w:tblCellMar>
        </w:tblPrEx>
        <w:trPr>
          <w:jc w:val="center"/>
        </w:trPr>
        <w:tc>
          <w:tcPr>
            <w:tcW w:w="693" w:type="dxa"/>
            <w:shd w:val="clear" w:color="auto" w:fill="auto"/>
          </w:tcPr>
          <w:p w14:paraId="7D575AB0" w14:textId="77777777" w:rsidR="009D0867" w:rsidRPr="008F1FDF" w:rsidRDefault="009D0867" w:rsidP="009D0867">
            <w:pPr>
              <w:pStyle w:val="Tablehead"/>
              <w:rPr>
                <w:sz w:val="18"/>
                <w:szCs w:val="18"/>
              </w:rPr>
            </w:pPr>
            <w:r w:rsidRPr="008F1FDF">
              <w:rPr>
                <w:sz w:val="18"/>
                <w:szCs w:val="18"/>
              </w:rPr>
              <w:t>Type</w:t>
            </w:r>
          </w:p>
        </w:tc>
        <w:tc>
          <w:tcPr>
            <w:tcW w:w="1755" w:type="dxa"/>
            <w:shd w:val="clear" w:color="auto" w:fill="auto"/>
          </w:tcPr>
          <w:p w14:paraId="1B3F06E7" w14:textId="77777777" w:rsidR="009D0867" w:rsidRPr="008F1FDF" w:rsidRDefault="009D0867" w:rsidP="009D0867">
            <w:pPr>
              <w:pStyle w:val="Tablehead"/>
              <w:rPr>
                <w:sz w:val="18"/>
                <w:szCs w:val="18"/>
              </w:rPr>
            </w:pPr>
            <w:r w:rsidRPr="008F1FDF">
              <w:rPr>
                <w:sz w:val="18"/>
                <w:szCs w:val="18"/>
              </w:rPr>
              <w:t>Nom</w:t>
            </w:r>
          </w:p>
        </w:tc>
        <w:tc>
          <w:tcPr>
            <w:tcW w:w="1620" w:type="dxa"/>
            <w:shd w:val="clear" w:color="auto" w:fill="auto"/>
          </w:tcPr>
          <w:p w14:paraId="5BF89439" w14:textId="77777777" w:rsidR="009D0867" w:rsidRPr="008F1FDF" w:rsidRDefault="009D0867" w:rsidP="009D0867">
            <w:pPr>
              <w:pStyle w:val="Tablehead"/>
              <w:ind w:right="-57"/>
              <w:rPr>
                <w:sz w:val="18"/>
                <w:szCs w:val="18"/>
              </w:rPr>
            </w:pPr>
            <w:r w:rsidRPr="008F1FDF">
              <w:rPr>
                <w:sz w:val="18"/>
                <w:szCs w:val="18"/>
              </w:rPr>
              <w:t>Type de données</w:t>
            </w:r>
          </w:p>
        </w:tc>
        <w:tc>
          <w:tcPr>
            <w:tcW w:w="1136" w:type="dxa"/>
            <w:shd w:val="clear" w:color="auto" w:fill="auto"/>
          </w:tcPr>
          <w:p w14:paraId="6A5B3369" w14:textId="77777777" w:rsidR="009D0867" w:rsidRPr="008F1FDF" w:rsidRDefault="009D0867" w:rsidP="009D0867">
            <w:pPr>
              <w:pStyle w:val="Tablehead"/>
              <w:rPr>
                <w:sz w:val="18"/>
                <w:szCs w:val="18"/>
              </w:rPr>
            </w:pPr>
            <w:proofErr w:type="gramStart"/>
            <w:r w:rsidRPr="008F1FDF">
              <w:rPr>
                <w:sz w:val="18"/>
                <w:szCs w:val="18"/>
              </w:rPr>
              <w:t>Intervalle</w:t>
            </w:r>
            <w:r w:rsidRPr="008F1FDF">
              <w:rPr>
                <w:sz w:val="18"/>
                <w:szCs w:val="18"/>
                <w:vertAlign w:val="superscript"/>
              </w:rPr>
              <w:t>(</w:t>
            </w:r>
            <w:proofErr w:type="gramEnd"/>
            <w:r w:rsidRPr="008F1FDF">
              <w:rPr>
                <w:sz w:val="18"/>
                <w:szCs w:val="18"/>
                <w:vertAlign w:val="superscript"/>
              </w:rPr>
              <w:t>1)</w:t>
            </w:r>
          </w:p>
        </w:tc>
        <w:tc>
          <w:tcPr>
            <w:tcW w:w="3047" w:type="dxa"/>
            <w:shd w:val="clear" w:color="auto" w:fill="auto"/>
          </w:tcPr>
          <w:p w14:paraId="47D021C7" w14:textId="77777777" w:rsidR="009D0867" w:rsidRPr="008F1FDF" w:rsidRDefault="009D0867" w:rsidP="009D0867">
            <w:pPr>
              <w:pStyle w:val="Tablehead"/>
              <w:rPr>
                <w:sz w:val="18"/>
                <w:szCs w:val="18"/>
              </w:rPr>
            </w:pPr>
            <w:r w:rsidRPr="008F1FDF">
              <w:rPr>
                <w:sz w:val="18"/>
                <w:szCs w:val="18"/>
              </w:rPr>
              <w:t>Description</w:t>
            </w:r>
          </w:p>
        </w:tc>
        <w:tc>
          <w:tcPr>
            <w:tcW w:w="1604" w:type="dxa"/>
            <w:shd w:val="clear" w:color="auto" w:fill="auto"/>
          </w:tcPr>
          <w:p w14:paraId="16ACB8F2" w14:textId="77777777" w:rsidR="009D0867" w:rsidRPr="008F1FDF" w:rsidRDefault="009D0867" w:rsidP="009D0867">
            <w:pPr>
              <w:pStyle w:val="Tablehead"/>
              <w:rPr>
                <w:sz w:val="18"/>
                <w:szCs w:val="18"/>
              </w:rPr>
            </w:pPr>
            <w:r w:rsidRPr="008F1FDF">
              <w:rPr>
                <w:sz w:val="18"/>
                <w:szCs w:val="18"/>
              </w:rPr>
              <w:t>Exemple</w:t>
            </w:r>
          </w:p>
        </w:tc>
      </w:tr>
      <w:tr w:rsidR="00897C3F" w:rsidRPr="002D383D" w14:paraId="4D0283E9" w14:textId="77777777" w:rsidTr="00D85461">
        <w:tblPrEx>
          <w:tblCellMar>
            <w:top w:w="0" w:type="dxa"/>
            <w:bottom w:w="0" w:type="dxa"/>
          </w:tblCellMar>
        </w:tblPrEx>
        <w:trPr>
          <w:jc w:val="center"/>
        </w:trPr>
        <w:tc>
          <w:tcPr>
            <w:tcW w:w="693" w:type="dxa"/>
          </w:tcPr>
          <w:p w14:paraId="5AAAB97F"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629B340C" w14:textId="77777777" w:rsidR="00897C3F" w:rsidRPr="008F1FDF" w:rsidRDefault="00897C3F" w:rsidP="00897C3F">
            <w:pPr>
              <w:pStyle w:val="Tabletext"/>
              <w:rPr>
                <w:sz w:val="18"/>
                <w:szCs w:val="18"/>
              </w:rPr>
            </w:pPr>
            <w:r w:rsidRPr="008F1FDF">
              <w:rPr>
                <w:sz w:val="18"/>
                <w:szCs w:val="18"/>
              </w:rPr>
              <w:t>DataPoints</w:t>
            </w:r>
          </w:p>
        </w:tc>
        <w:tc>
          <w:tcPr>
            <w:tcW w:w="1620" w:type="dxa"/>
          </w:tcPr>
          <w:p w14:paraId="77289450" w14:textId="77777777" w:rsidR="00897C3F" w:rsidRPr="008F1FDF" w:rsidRDefault="00897C3F" w:rsidP="00D85461">
            <w:pPr>
              <w:pStyle w:val="Tabletext"/>
              <w:jc w:val="left"/>
              <w:rPr>
                <w:sz w:val="18"/>
                <w:szCs w:val="18"/>
              </w:rPr>
            </w:pPr>
            <w:r w:rsidRPr="008F1FDF">
              <w:rPr>
                <w:sz w:val="18"/>
                <w:szCs w:val="18"/>
              </w:rPr>
              <w:t>Valeur numérique (nombre entier)</w:t>
            </w:r>
          </w:p>
        </w:tc>
        <w:tc>
          <w:tcPr>
            <w:tcW w:w="1136" w:type="dxa"/>
          </w:tcPr>
          <w:p w14:paraId="6ACEA6BD"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14DF8D3C" w14:textId="77777777" w:rsidR="00897C3F" w:rsidRPr="008F1FDF" w:rsidRDefault="00897C3F" w:rsidP="00D85461">
            <w:pPr>
              <w:pStyle w:val="Tabletext"/>
              <w:jc w:val="left"/>
              <w:rPr>
                <w:sz w:val="18"/>
                <w:szCs w:val="18"/>
              </w:rPr>
            </w:pPr>
            <w:r w:rsidRPr="008F1FDF">
              <w:rPr>
                <w:sz w:val="18"/>
                <w:szCs w:val="18"/>
              </w:rPr>
              <w:t>Nombre d'éléments de données dans la rangée de données (points de données de l'analyseur ou pas du récepteur)</w:t>
            </w:r>
          </w:p>
        </w:tc>
        <w:tc>
          <w:tcPr>
            <w:tcW w:w="1604" w:type="dxa"/>
          </w:tcPr>
          <w:p w14:paraId="5F39F1EA" w14:textId="77777777" w:rsidR="00897C3F" w:rsidRPr="008F1FDF" w:rsidRDefault="00897C3F" w:rsidP="00897C3F">
            <w:pPr>
              <w:pStyle w:val="Tabletext"/>
              <w:rPr>
                <w:sz w:val="18"/>
                <w:szCs w:val="18"/>
              </w:rPr>
            </w:pPr>
            <w:r w:rsidRPr="008F1FDF">
              <w:rPr>
                <w:sz w:val="18"/>
                <w:szCs w:val="18"/>
              </w:rPr>
              <w:t>80000</w:t>
            </w:r>
          </w:p>
        </w:tc>
      </w:tr>
      <w:tr w:rsidR="00897C3F" w:rsidRPr="002D383D" w14:paraId="5DBD6890" w14:textId="77777777" w:rsidTr="00D85461">
        <w:tblPrEx>
          <w:tblCellMar>
            <w:top w:w="0" w:type="dxa"/>
            <w:bottom w:w="0" w:type="dxa"/>
          </w:tblCellMar>
        </w:tblPrEx>
        <w:trPr>
          <w:jc w:val="center"/>
        </w:trPr>
        <w:tc>
          <w:tcPr>
            <w:tcW w:w="693" w:type="dxa"/>
          </w:tcPr>
          <w:p w14:paraId="748B5CAE" w14:textId="77777777" w:rsidR="00897C3F" w:rsidRPr="008F1FDF" w:rsidRDefault="00897C3F" w:rsidP="008F1FDF">
            <w:pPr>
              <w:pStyle w:val="Tabletext"/>
              <w:jc w:val="center"/>
              <w:rPr>
                <w:sz w:val="18"/>
                <w:szCs w:val="18"/>
              </w:rPr>
            </w:pPr>
            <w:r w:rsidRPr="008F1FDF">
              <w:rPr>
                <w:sz w:val="18"/>
                <w:szCs w:val="18"/>
              </w:rPr>
              <w:t>E</w:t>
            </w:r>
          </w:p>
        </w:tc>
        <w:tc>
          <w:tcPr>
            <w:tcW w:w="1755" w:type="dxa"/>
          </w:tcPr>
          <w:p w14:paraId="216F73A7" w14:textId="77777777" w:rsidR="00897C3F" w:rsidRPr="008F1FDF" w:rsidRDefault="00897C3F" w:rsidP="008F1FDF">
            <w:pPr>
              <w:pStyle w:val="Tabletext"/>
              <w:rPr>
                <w:sz w:val="18"/>
                <w:szCs w:val="18"/>
              </w:rPr>
            </w:pPr>
            <w:r w:rsidRPr="008F1FDF">
              <w:rPr>
                <w:sz w:val="18"/>
                <w:szCs w:val="18"/>
              </w:rPr>
              <w:t>ScanTime</w:t>
            </w:r>
          </w:p>
        </w:tc>
        <w:tc>
          <w:tcPr>
            <w:tcW w:w="1620" w:type="dxa"/>
          </w:tcPr>
          <w:p w14:paraId="4BB48BA2" w14:textId="77777777" w:rsidR="00897C3F" w:rsidRPr="008F1FDF" w:rsidRDefault="00897C3F" w:rsidP="00D85461">
            <w:pPr>
              <w:pStyle w:val="Tabletext"/>
              <w:jc w:val="left"/>
              <w:rPr>
                <w:sz w:val="18"/>
                <w:szCs w:val="18"/>
              </w:rPr>
            </w:pPr>
            <w:r w:rsidRPr="008F1FDF">
              <w:rPr>
                <w:sz w:val="18"/>
                <w:szCs w:val="18"/>
              </w:rPr>
              <w:t>Valeur numérique (réelle)</w:t>
            </w:r>
          </w:p>
        </w:tc>
        <w:tc>
          <w:tcPr>
            <w:tcW w:w="1136" w:type="dxa"/>
          </w:tcPr>
          <w:p w14:paraId="685DA801" w14:textId="77777777" w:rsidR="00897C3F" w:rsidRPr="008F1FDF" w:rsidRDefault="00897C3F" w:rsidP="008F1FDF">
            <w:pPr>
              <w:pStyle w:val="Tabletext"/>
              <w:jc w:val="center"/>
              <w:rPr>
                <w:sz w:val="18"/>
                <w:szCs w:val="18"/>
              </w:rPr>
            </w:pPr>
            <w:r w:rsidRPr="008F1FDF">
              <w:rPr>
                <w:sz w:val="18"/>
                <w:szCs w:val="18"/>
              </w:rPr>
              <w:t>N</w:t>
            </w:r>
          </w:p>
        </w:tc>
        <w:tc>
          <w:tcPr>
            <w:tcW w:w="3047" w:type="dxa"/>
          </w:tcPr>
          <w:p w14:paraId="6C032C9D" w14:textId="77777777" w:rsidR="00897C3F" w:rsidRPr="008F1FDF" w:rsidRDefault="00897C3F" w:rsidP="00D85461">
            <w:pPr>
              <w:pStyle w:val="Tabletext"/>
              <w:jc w:val="left"/>
              <w:rPr>
                <w:sz w:val="18"/>
                <w:szCs w:val="18"/>
              </w:rPr>
            </w:pPr>
            <w:r w:rsidRPr="008F1FDF">
              <w:rPr>
                <w:sz w:val="18"/>
                <w:szCs w:val="18"/>
              </w:rPr>
              <w:t>Temps effectif (s) de balayage (de FreqStart à FreqStop) caractéristique de l'équipement. Dans le cas d'un système numérique avec transformée de Fourier, rapide, temps nécessaire pour échantillonner le bloc de données</w:t>
            </w:r>
          </w:p>
        </w:tc>
        <w:tc>
          <w:tcPr>
            <w:tcW w:w="1604" w:type="dxa"/>
          </w:tcPr>
          <w:p w14:paraId="50D385B6" w14:textId="77777777" w:rsidR="00897C3F" w:rsidRPr="008F1FDF" w:rsidRDefault="00897C3F" w:rsidP="008F1FDF">
            <w:pPr>
              <w:pStyle w:val="Tabletext"/>
              <w:rPr>
                <w:sz w:val="18"/>
                <w:szCs w:val="18"/>
              </w:rPr>
            </w:pPr>
            <w:r w:rsidRPr="008F1FDF">
              <w:rPr>
                <w:sz w:val="18"/>
                <w:szCs w:val="18"/>
              </w:rPr>
              <w:t>24.1</w:t>
            </w:r>
          </w:p>
        </w:tc>
      </w:tr>
      <w:tr w:rsidR="00897C3F" w:rsidRPr="002D383D" w14:paraId="60FA651D" w14:textId="77777777" w:rsidTr="00D85461">
        <w:tblPrEx>
          <w:tblCellMar>
            <w:top w:w="0" w:type="dxa"/>
            <w:bottom w:w="0" w:type="dxa"/>
          </w:tblCellMar>
        </w:tblPrEx>
        <w:trPr>
          <w:jc w:val="center"/>
        </w:trPr>
        <w:tc>
          <w:tcPr>
            <w:tcW w:w="693" w:type="dxa"/>
          </w:tcPr>
          <w:p w14:paraId="46614729" w14:textId="77777777" w:rsidR="00897C3F" w:rsidRPr="008F1FDF" w:rsidRDefault="00897C3F" w:rsidP="00897C3F">
            <w:pPr>
              <w:pStyle w:val="Tabletext"/>
              <w:jc w:val="center"/>
              <w:rPr>
                <w:sz w:val="18"/>
                <w:szCs w:val="18"/>
              </w:rPr>
            </w:pPr>
            <w:r w:rsidRPr="008F1FDF">
              <w:rPr>
                <w:sz w:val="18"/>
                <w:szCs w:val="18"/>
              </w:rPr>
              <w:t>E</w:t>
            </w:r>
          </w:p>
        </w:tc>
        <w:tc>
          <w:tcPr>
            <w:tcW w:w="1755" w:type="dxa"/>
          </w:tcPr>
          <w:p w14:paraId="1CF3CA7C" w14:textId="77777777" w:rsidR="00897C3F" w:rsidRPr="008F1FDF" w:rsidRDefault="00897C3F" w:rsidP="00897C3F">
            <w:pPr>
              <w:pStyle w:val="Tabletext"/>
              <w:rPr>
                <w:sz w:val="18"/>
                <w:szCs w:val="18"/>
              </w:rPr>
            </w:pPr>
            <w:r w:rsidRPr="008F1FDF">
              <w:rPr>
                <w:sz w:val="18"/>
                <w:szCs w:val="18"/>
              </w:rPr>
              <w:t>Detector</w:t>
            </w:r>
          </w:p>
        </w:tc>
        <w:tc>
          <w:tcPr>
            <w:tcW w:w="1620" w:type="dxa"/>
          </w:tcPr>
          <w:p w14:paraId="4FABC1AD" w14:textId="77777777" w:rsidR="00897C3F" w:rsidRPr="008F1FDF" w:rsidRDefault="00897C3F" w:rsidP="00897C3F">
            <w:pPr>
              <w:pStyle w:val="Tabletext"/>
              <w:rPr>
                <w:sz w:val="18"/>
                <w:szCs w:val="18"/>
              </w:rPr>
            </w:pPr>
            <w:r w:rsidRPr="008F1FDF">
              <w:rPr>
                <w:sz w:val="18"/>
                <w:szCs w:val="18"/>
              </w:rPr>
              <w:t>Texte</w:t>
            </w:r>
          </w:p>
        </w:tc>
        <w:tc>
          <w:tcPr>
            <w:tcW w:w="1136" w:type="dxa"/>
          </w:tcPr>
          <w:p w14:paraId="0B31E065"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137A2E4D" w14:textId="77777777" w:rsidR="00897C3F" w:rsidRPr="008F1FDF" w:rsidRDefault="00897C3F" w:rsidP="00897C3F">
            <w:pPr>
              <w:pStyle w:val="Tabletext"/>
              <w:rPr>
                <w:sz w:val="18"/>
                <w:szCs w:val="18"/>
              </w:rPr>
            </w:pPr>
          </w:p>
        </w:tc>
        <w:tc>
          <w:tcPr>
            <w:tcW w:w="1604" w:type="dxa"/>
          </w:tcPr>
          <w:p w14:paraId="514F0EDF" w14:textId="77777777" w:rsidR="00897C3F" w:rsidRPr="008F1FDF" w:rsidRDefault="00897C3F" w:rsidP="00897C3F">
            <w:pPr>
              <w:pStyle w:val="Tabletext"/>
              <w:rPr>
                <w:sz w:val="18"/>
                <w:szCs w:val="18"/>
              </w:rPr>
            </w:pPr>
            <w:r w:rsidRPr="008F1FDF">
              <w:rPr>
                <w:sz w:val="18"/>
                <w:szCs w:val="18"/>
              </w:rPr>
              <w:t>RMS</w:t>
            </w:r>
          </w:p>
        </w:tc>
      </w:tr>
      <w:tr w:rsidR="00897C3F" w:rsidRPr="002D383D" w14:paraId="0B8260C8" w14:textId="77777777" w:rsidTr="00D85461">
        <w:tblPrEx>
          <w:tblCellMar>
            <w:top w:w="0" w:type="dxa"/>
            <w:bottom w:w="0" w:type="dxa"/>
          </w:tblCellMar>
        </w:tblPrEx>
        <w:trPr>
          <w:jc w:val="center"/>
        </w:trPr>
        <w:tc>
          <w:tcPr>
            <w:tcW w:w="693" w:type="dxa"/>
          </w:tcPr>
          <w:p w14:paraId="0105FD27"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5DCD7F0F" w14:textId="77777777" w:rsidR="00897C3F" w:rsidRPr="008F1FDF" w:rsidRDefault="00897C3F" w:rsidP="00897C3F">
            <w:pPr>
              <w:pStyle w:val="Tabletext"/>
              <w:rPr>
                <w:sz w:val="18"/>
                <w:szCs w:val="18"/>
              </w:rPr>
            </w:pPr>
            <w:r w:rsidRPr="008F1FDF">
              <w:rPr>
                <w:sz w:val="18"/>
                <w:szCs w:val="18"/>
              </w:rPr>
              <w:t>Note</w:t>
            </w:r>
          </w:p>
        </w:tc>
        <w:tc>
          <w:tcPr>
            <w:tcW w:w="1620" w:type="dxa"/>
          </w:tcPr>
          <w:p w14:paraId="2F903DA4" w14:textId="77777777" w:rsidR="00897C3F" w:rsidRPr="008F1FDF" w:rsidRDefault="00897C3F" w:rsidP="00897C3F">
            <w:pPr>
              <w:pStyle w:val="Tabletext"/>
              <w:rPr>
                <w:sz w:val="18"/>
                <w:szCs w:val="18"/>
              </w:rPr>
            </w:pPr>
            <w:r w:rsidRPr="008F1FDF">
              <w:rPr>
                <w:sz w:val="18"/>
                <w:szCs w:val="18"/>
              </w:rPr>
              <w:t>Texte</w:t>
            </w:r>
          </w:p>
        </w:tc>
        <w:tc>
          <w:tcPr>
            <w:tcW w:w="1136" w:type="dxa"/>
          </w:tcPr>
          <w:p w14:paraId="4B997DB1"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5A77C338" w14:textId="77777777" w:rsidR="00897C3F" w:rsidRPr="008F1FDF" w:rsidRDefault="00897C3F" w:rsidP="00897C3F">
            <w:pPr>
              <w:pStyle w:val="Tabletext"/>
              <w:rPr>
                <w:sz w:val="18"/>
                <w:szCs w:val="18"/>
              </w:rPr>
            </w:pPr>
            <w:r w:rsidRPr="008F1FDF">
              <w:rPr>
                <w:sz w:val="18"/>
                <w:szCs w:val="18"/>
              </w:rPr>
              <w:t>Observations générales</w:t>
            </w:r>
          </w:p>
        </w:tc>
        <w:tc>
          <w:tcPr>
            <w:tcW w:w="1604" w:type="dxa"/>
          </w:tcPr>
          <w:p w14:paraId="3F8925F8" w14:textId="77777777" w:rsidR="00897C3F" w:rsidRPr="008F1FDF" w:rsidRDefault="00897C3F" w:rsidP="00897C3F">
            <w:pPr>
              <w:pStyle w:val="Tabletext"/>
              <w:rPr>
                <w:sz w:val="18"/>
                <w:szCs w:val="18"/>
              </w:rPr>
            </w:pPr>
          </w:p>
        </w:tc>
      </w:tr>
      <w:tr w:rsidR="00897C3F" w:rsidRPr="002D383D" w14:paraId="6CC0D1B2" w14:textId="77777777" w:rsidTr="00D85461">
        <w:tblPrEx>
          <w:tblCellMar>
            <w:top w:w="0" w:type="dxa"/>
            <w:bottom w:w="0" w:type="dxa"/>
          </w:tblCellMar>
        </w:tblPrEx>
        <w:trPr>
          <w:jc w:val="center"/>
        </w:trPr>
        <w:tc>
          <w:tcPr>
            <w:tcW w:w="693" w:type="dxa"/>
          </w:tcPr>
          <w:p w14:paraId="23C78949"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38EA8AF0" w14:textId="77777777" w:rsidR="00897C3F" w:rsidRPr="008F1FDF" w:rsidRDefault="00897C3F" w:rsidP="00897C3F">
            <w:pPr>
              <w:pStyle w:val="Tabletext"/>
              <w:rPr>
                <w:sz w:val="18"/>
                <w:szCs w:val="18"/>
              </w:rPr>
            </w:pPr>
            <w:r w:rsidRPr="008F1FDF">
              <w:rPr>
                <w:sz w:val="18"/>
                <w:szCs w:val="18"/>
              </w:rPr>
              <w:t>AntennaAzimuth</w:t>
            </w:r>
          </w:p>
        </w:tc>
        <w:tc>
          <w:tcPr>
            <w:tcW w:w="1620" w:type="dxa"/>
          </w:tcPr>
          <w:p w14:paraId="18E0F5BA" w14:textId="77777777" w:rsidR="00897C3F" w:rsidRPr="008F1FDF" w:rsidRDefault="00897C3F" w:rsidP="00897C3F">
            <w:pPr>
              <w:pStyle w:val="Tabletext"/>
              <w:rPr>
                <w:sz w:val="18"/>
                <w:szCs w:val="18"/>
              </w:rPr>
            </w:pPr>
            <w:r w:rsidRPr="008F1FDF">
              <w:rPr>
                <w:sz w:val="18"/>
                <w:szCs w:val="18"/>
              </w:rPr>
              <w:t>Texte</w:t>
            </w:r>
          </w:p>
        </w:tc>
        <w:tc>
          <w:tcPr>
            <w:tcW w:w="1136" w:type="dxa"/>
          </w:tcPr>
          <w:p w14:paraId="093FA090"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68FF6C6E" w14:textId="77777777" w:rsidR="00897C3F" w:rsidRPr="008F1FDF" w:rsidRDefault="00897C3F" w:rsidP="00897C3F">
            <w:pPr>
              <w:pStyle w:val="Tabletext"/>
              <w:rPr>
                <w:sz w:val="18"/>
                <w:szCs w:val="18"/>
              </w:rPr>
            </w:pPr>
            <w:r w:rsidRPr="008F1FDF">
              <w:rPr>
                <w:sz w:val="18"/>
                <w:szCs w:val="18"/>
              </w:rPr>
              <w:t>DDD.DD (0 = nord)</w:t>
            </w:r>
          </w:p>
        </w:tc>
        <w:tc>
          <w:tcPr>
            <w:tcW w:w="1604" w:type="dxa"/>
          </w:tcPr>
          <w:p w14:paraId="29EFBA0A" w14:textId="77777777" w:rsidR="00897C3F" w:rsidRPr="008F1FDF" w:rsidRDefault="00897C3F" w:rsidP="00897C3F">
            <w:pPr>
              <w:pStyle w:val="Tabletext"/>
              <w:rPr>
                <w:sz w:val="18"/>
                <w:szCs w:val="18"/>
              </w:rPr>
            </w:pPr>
            <w:r w:rsidRPr="008F1FDF">
              <w:rPr>
                <w:sz w:val="18"/>
                <w:szCs w:val="18"/>
              </w:rPr>
              <w:t>181.12</w:t>
            </w:r>
          </w:p>
        </w:tc>
      </w:tr>
      <w:tr w:rsidR="00897C3F" w:rsidRPr="002D383D" w14:paraId="21D1664A" w14:textId="77777777" w:rsidTr="00D85461">
        <w:tblPrEx>
          <w:tblCellMar>
            <w:top w:w="0" w:type="dxa"/>
            <w:bottom w:w="0" w:type="dxa"/>
          </w:tblCellMar>
        </w:tblPrEx>
        <w:trPr>
          <w:jc w:val="center"/>
        </w:trPr>
        <w:tc>
          <w:tcPr>
            <w:tcW w:w="693" w:type="dxa"/>
          </w:tcPr>
          <w:p w14:paraId="3C397F1E"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04CE79A5" w14:textId="77777777" w:rsidR="00897C3F" w:rsidRPr="008F1FDF" w:rsidRDefault="00897C3F" w:rsidP="00897C3F">
            <w:pPr>
              <w:pStyle w:val="Tabletext"/>
              <w:rPr>
                <w:sz w:val="18"/>
                <w:szCs w:val="18"/>
              </w:rPr>
            </w:pPr>
            <w:r w:rsidRPr="008F1FDF">
              <w:rPr>
                <w:sz w:val="18"/>
                <w:szCs w:val="18"/>
              </w:rPr>
              <w:t>AntennaElevation</w:t>
            </w:r>
          </w:p>
        </w:tc>
        <w:tc>
          <w:tcPr>
            <w:tcW w:w="1620" w:type="dxa"/>
          </w:tcPr>
          <w:p w14:paraId="001D56F5" w14:textId="77777777" w:rsidR="00897C3F" w:rsidRPr="008F1FDF" w:rsidRDefault="00897C3F" w:rsidP="00897C3F">
            <w:pPr>
              <w:pStyle w:val="Tabletext"/>
              <w:rPr>
                <w:sz w:val="18"/>
                <w:szCs w:val="18"/>
              </w:rPr>
            </w:pPr>
            <w:r w:rsidRPr="008F1FDF">
              <w:rPr>
                <w:sz w:val="18"/>
                <w:szCs w:val="18"/>
              </w:rPr>
              <w:t>Texte</w:t>
            </w:r>
          </w:p>
        </w:tc>
        <w:tc>
          <w:tcPr>
            <w:tcW w:w="1136" w:type="dxa"/>
          </w:tcPr>
          <w:p w14:paraId="009DA856"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3B4F889E" w14:textId="77777777" w:rsidR="00897C3F" w:rsidRPr="008F1FDF" w:rsidRDefault="00897C3F" w:rsidP="00897C3F">
            <w:pPr>
              <w:pStyle w:val="Tabletext"/>
              <w:rPr>
                <w:sz w:val="18"/>
                <w:szCs w:val="18"/>
              </w:rPr>
            </w:pPr>
            <w:r w:rsidRPr="008F1FDF">
              <w:rPr>
                <w:sz w:val="18"/>
                <w:szCs w:val="18"/>
              </w:rPr>
              <w:t>DD.DD (0 = élévation nulle)</w:t>
            </w:r>
          </w:p>
        </w:tc>
        <w:tc>
          <w:tcPr>
            <w:tcW w:w="1604" w:type="dxa"/>
          </w:tcPr>
          <w:p w14:paraId="7538DF0A" w14:textId="77777777" w:rsidR="00897C3F" w:rsidRPr="008F1FDF" w:rsidRDefault="00897C3F" w:rsidP="00897C3F">
            <w:pPr>
              <w:pStyle w:val="Tabletext"/>
              <w:rPr>
                <w:sz w:val="18"/>
                <w:szCs w:val="18"/>
              </w:rPr>
            </w:pPr>
            <w:r w:rsidRPr="008F1FDF">
              <w:rPr>
                <w:sz w:val="18"/>
                <w:szCs w:val="18"/>
              </w:rPr>
              <w:t>45.32</w:t>
            </w:r>
          </w:p>
        </w:tc>
      </w:tr>
      <w:tr w:rsidR="00897C3F" w:rsidRPr="002D383D" w14:paraId="22239A3D" w14:textId="77777777" w:rsidTr="00D85461">
        <w:tblPrEx>
          <w:tblCellMar>
            <w:top w:w="0" w:type="dxa"/>
            <w:bottom w:w="0" w:type="dxa"/>
          </w:tblCellMar>
        </w:tblPrEx>
        <w:trPr>
          <w:trHeight w:val="243"/>
          <w:jc w:val="center"/>
        </w:trPr>
        <w:tc>
          <w:tcPr>
            <w:tcW w:w="693" w:type="dxa"/>
          </w:tcPr>
          <w:p w14:paraId="794DEED5"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3DD06C4C" w14:textId="77777777" w:rsidR="00897C3F" w:rsidRPr="008F1FDF" w:rsidRDefault="00897C3F" w:rsidP="00897C3F">
            <w:pPr>
              <w:pStyle w:val="Tabletext"/>
              <w:rPr>
                <w:sz w:val="18"/>
                <w:szCs w:val="18"/>
              </w:rPr>
            </w:pPr>
            <w:r w:rsidRPr="008F1FDF">
              <w:rPr>
                <w:sz w:val="18"/>
                <w:szCs w:val="18"/>
              </w:rPr>
              <w:t>Attenuation</w:t>
            </w:r>
          </w:p>
        </w:tc>
        <w:tc>
          <w:tcPr>
            <w:tcW w:w="1620" w:type="dxa"/>
          </w:tcPr>
          <w:p w14:paraId="7FD77074" w14:textId="77777777" w:rsidR="00897C3F" w:rsidRPr="008F1FDF" w:rsidRDefault="00897C3F" w:rsidP="00D85461">
            <w:pPr>
              <w:pStyle w:val="Tabletext"/>
              <w:jc w:val="left"/>
              <w:rPr>
                <w:sz w:val="18"/>
                <w:szCs w:val="18"/>
              </w:rPr>
            </w:pPr>
            <w:r w:rsidRPr="008F1FDF">
              <w:rPr>
                <w:sz w:val="18"/>
                <w:szCs w:val="18"/>
              </w:rPr>
              <w:t>Valeur numérique (nombre entier)</w:t>
            </w:r>
          </w:p>
        </w:tc>
        <w:tc>
          <w:tcPr>
            <w:tcW w:w="1136" w:type="dxa"/>
          </w:tcPr>
          <w:p w14:paraId="070211F9"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75782C6F" w14:textId="77777777" w:rsidR="00897C3F" w:rsidRPr="008F1FDF" w:rsidRDefault="00897C3F" w:rsidP="00897C3F">
            <w:pPr>
              <w:pStyle w:val="Tabletext"/>
              <w:rPr>
                <w:sz w:val="18"/>
                <w:szCs w:val="18"/>
              </w:rPr>
            </w:pPr>
            <w:r w:rsidRPr="008F1FDF">
              <w:rPr>
                <w:sz w:val="18"/>
                <w:szCs w:val="18"/>
              </w:rPr>
              <w:t>Réglage de l'atténuateur</w:t>
            </w:r>
            <w:r w:rsidR="0057313F">
              <w:rPr>
                <w:sz w:val="18"/>
                <w:szCs w:val="18"/>
              </w:rPr>
              <w:t xml:space="preserve"> (</w:t>
            </w:r>
            <w:r w:rsidRPr="008F1FDF">
              <w:rPr>
                <w:sz w:val="18"/>
                <w:szCs w:val="18"/>
              </w:rPr>
              <w:t>dB</w:t>
            </w:r>
            <w:r w:rsidR="0057313F">
              <w:rPr>
                <w:sz w:val="18"/>
                <w:szCs w:val="18"/>
              </w:rPr>
              <w:t>)</w:t>
            </w:r>
          </w:p>
        </w:tc>
        <w:tc>
          <w:tcPr>
            <w:tcW w:w="1604" w:type="dxa"/>
          </w:tcPr>
          <w:p w14:paraId="1E4D9A42" w14:textId="77777777" w:rsidR="00897C3F" w:rsidRPr="008F1FDF" w:rsidRDefault="00897C3F" w:rsidP="00897C3F">
            <w:pPr>
              <w:pStyle w:val="Tabletext"/>
              <w:rPr>
                <w:sz w:val="18"/>
                <w:szCs w:val="18"/>
              </w:rPr>
            </w:pPr>
            <w:r w:rsidRPr="008F1FDF">
              <w:rPr>
                <w:sz w:val="18"/>
                <w:szCs w:val="18"/>
              </w:rPr>
              <w:t>3</w:t>
            </w:r>
          </w:p>
        </w:tc>
      </w:tr>
      <w:tr w:rsidR="00897C3F" w:rsidRPr="002D383D" w14:paraId="08FB2918" w14:textId="77777777" w:rsidTr="00D85461">
        <w:tblPrEx>
          <w:tblCellMar>
            <w:top w:w="0" w:type="dxa"/>
            <w:bottom w:w="0" w:type="dxa"/>
          </w:tblCellMar>
        </w:tblPrEx>
        <w:trPr>
          <w:jc w:val="center"/>
        </w:trPr>
        <w:tc>
          <w:tcPr>
            <w:tcW w:w="693" w:type="dxa"/>
          </w:tcPr>
          <w:p w14:paraId="4AE0DBD8"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2F5EC476" w14:textId="77777777" w:rsidR="00897C3F" w:rsidRPr="008F1FDF" w:rsidRDefault="00897C3F" w:rsidP="00897C3F">
            <w:pPr>
              <w:pStyle w:val="Tabletext"/>
              <w:rPr>
                <w:sz w:val="18"/>
                <w:szCs w:val="18"/>
              </w:rPr>
            </w:pPr>
            <w:r w:rsidRPr="008F1FDF">
              <w:rPr>
                <w:sz w:val="18"/>
                <w:szCs w:val="18"/>
              </w:rPr>
              <w:t>FilterType</w:t>
            </w:r>
          </w:p>
        </w:tc>
        <w:tc>
          <w:tcPr>
            <w:tcW w:w="1620" w:type="dxa"/>
          </w:tcPr>
          <w:p w14:paraId="61A3B849" w14:textId="77777777" w:rsidR="00897C3F" w:rsidRPr="008F1FDF" w:rsidRDefault="00897C3F" w:rsidP="00897C3F">
            <w:pPr>
              <w:pStyle w:val="Tabletext"/>
              <w:rPr>
                <w:sz w:val="18"/>
                <w:szCs w:val="18"/>
              </w:rPr>
            </w:pPr>
            <w:r w:rsidRPr="008F1FDF">
              <w:rPr>
                <w:sz w:val="18"/>
                <w:szCs w:val="18"/>
              </w:rPr>
              <w:t>Texte</w:t>
            </w:r>
          </w:p>
        </w:tc>
        <w:tc>
          <w:tcPr>
            <w:tcW w:w="1136" w:type="dxa"/>
          </w:tcPr>
          <w:p w14:paraId="60E1A50E" w14:textId="77777777" w:rsidR="00897C3F" w:rsidRPr="008F1FDF" w:rsidRDefault="00897C3F" w:rsidP="00897C3F">
            <w:pPr>
              <w:pStyle w:val="Tabletext"/>
              <w:jc w:val="center"/>
              <w:rPr>
                <w:sz w:val="18"/>
                <w:szCs w:val="18"/>
              </w:rPr>
            </w:pPr>
            <w:r w:rsidRPr="008F1FDF">
              <w:rPr>
                <w:sz w:val="18"/>
                <w:szCs w:val="18"/>
              </w:rPr>
              <w:t>Y</w:t>
            </w:r>
          </w:p>
        </w:tc>
        <w:tc>
          <w:tcPr>
            <w:tcW w:w="3047" w:type="dxa"/>
          </w:tcPr>
          <w:p w14:paraId="4B85F070" w14:textId="77777777" w:rsidR="00897C3F" w:rsidRPr="008F1FDF" w:rsidRDefault="00897C3F" w:rsidP="00D85461">
            <w:pPr>
              <w:pStyle w:val="Tabletext"/>
              <w:spacing w:after="0"/>
              <w:jc w:val="left"/>
              <w:rPr>
                <w:sz w:val="18"/>
                <w:szCs w:val="18"/>
              </w:rPr>
            </w:pPr>
            <w:r w:rsidRPr="008F1FDF">
              <w:rPr>
                <w:sz w:val="18"/>
                <w:szCs w:val="18"/>
              </w:rPr>
              <w:t>Largeur de bande de filtrage et facteur de forme.</w:t>
            </w:r>
          </w:p>
          <w:p w14:paraId="6C65D72B" w14:textId="77777777" w:rsidR="00897C3F" w:rsidRPr="008F1FDF" w:rsidRDefault="00897C3F" w:rsidP="00D85461">
            <w:pPr>
              <w:pStyle w:val="Tabletext"/>
              <w:spacing w:before="0"/>
              <w:jc w:val="left"/>
              <w:rPr>
                <w:sz w:val="18"/>
                <w:szCs w:val="18"/>
              </w:rPr>
            </w:pPr>
            <w:r w:rsidRPr="008F1FDF">
              <w:rPr>
                <w:sz w:val="18"/>
                <w:szCs w:val="18"/>
              </w:rPr>
              <w:t>Dans le cas d'un système numérique utilisant une transformée de Fourier, rapide, le type de créneau utilisé peut être spécifié ici</w:t>
            </w:r>
          </w:p>
        </w:tc>
        <w:tc>
          <w:tcPr>
            <w:tcW w:w="1604" w:type="dxa"/>
          </w:tcPr>
          <w:p w14:paraId="19FC8EB3" w14:textId="77777777" w:rsidR="00897C3F" w:rsidRPr="008F1FDF" w:rsidRDefault="00897C3F" w:rsidP="0057313F">
            <w:pPr>
              <w:pStyle w:val="Tabletext"/>
              <w:jc w:val="left"/>
              <w:rPr>
                <w:sz w:val="18"/>
                <w:szCs w:val="18"/>
              </w:rPr>
            </w:pPr>
            <w:r w:rsidRPr="008F1FDF">
              <w:rPr>
                <w:sz w:val="18"/>
                <w:szCs w:val="18"/>
              </w:rPr>
              <w:t>Facteur de mise en forme gaussien</w:t>
            </w:r>
            <w:r w:rsidR="0057313F">
              <w:rPr>
                <w:sz w:val="18"/>
                <w:szCs w:val="18"/>
              </w:rPr>
              <w:t xml:space="preserve"> </w:t>
            </w:r>
            <w:r w:rsidRPr="008F1FDF">
              <w:rPr>
                <w:sz w:val="18"/>
                <w:szCs w:val="18"/>
              </w:rPr>
              <w:t>3</w:t>
            </w:r>
            <w:r w:rsidR="0057313F">
              <w:rPr>
                <w:sz w:val="18"/>
                <w:szCs w:val="18"/>
              </w:rPr>
              <w:t> </w:t>
            </w:r>
            <w:r w:rsidRPr="008F1FDF">
              <w:rPr>
                <w:sz w:val="18"/>
                <w:szCs w:val="18"/>
              </w:rPr>
              <w:t xml:space="preserve">dB </w:t>
            </w:r>
            <w:r w:rsidRPr="008F1FDF">
              <w:rPr>
                <w:sz w:val="18"/>
                <w:szCs w:val="18"/>
              </w:rPr>
              <w:br/>
              <w:t>3.2</w:t>
            </w:r>
          </w:p>
        </w:tc>
      </w:tr>
      <w:tr w:rsidR="00897C3F" w:rsidRPr="002D383D" w14:paraId="401ECE12" w14:textId="77777777" w:rsidTr="00D85461">
        <w:tblPrEx>
          <w:tblCellMar>
            <w:top w:w="0" w:type="dxa"/>
            <w:bottom w:w="0" w:type="dxa"/>
          </w:tblCellMar>
        </w:tblPrEx>
        <w:trPr>
          <w:jc w:val="center"/>
        </w:trPr>
        <w:tc>
          <w:tcPr>
            <w:tcW w:w="693" w:type="dxa"/>
          </w:tcPr>
          <w:p w14:paraId="26643CCF"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6E7DA8CA" w14:textId="77777777" w:rsidR="00897C3F" w:rsidRPr="008F1FDF" w:rsidRDefault="00897C3F" w:rsidP="00897C3F">
            <w:pPr>
              <w:pStyle w:val="Tabletext"/>
              <w:rPr>
                <w:sz w:val="18"/>
                <w:szCs w:val="18"/>
              </w:rPr>
            </w:pPr>
            <w:r w:rsidRPr="008F1FDF">
              <w:rPr>
                <w:sz w:val="18"/>
                <w:szCs w:val="18"/>
              </w:rPr>
              <w:t>DisplayedNote</w:t>
            </w:r>
          </w:p>
        </w:tc>
        <w:tc>
          <w:tcPr>
            <w:tcW w:w="1620" w:type="dxa"/>
          </w:tcPr>
          <w:p w14:paraId="65C1342F" w14:textId="77777777" w:rsidR="00897C3F" w:rsidRPr="008F1FDF" w:rsidRDefault="00897C3F" w:rsidP="00897C3F">
            <w:pPr>
              <w:pStyle w:val="Tabletext"/>
              <w:rPr>
                <w:sz w:val="18"/>
                <w:szCs w:val="18"/>
              </w:rPr>
            </w:pPr>
            <w:r w:rsidRPr="008F1FDF">
              <w:rPr>
                <w:sz w:val="18"/>
                <w:szCs w:val="18"/>
              </w:rPr>
              <w:t>Texte</w:t>
            </w:r>
          </w:p>
        </w:tc>
        <w:tc>
          <w:tcPr>
            <w:tcW w:w="1136" w:type="dxa"/>
          </w:tcPr>
          <w:p w14:paraId="3FFBD101"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3A8DFCB7" w14:textId="77777777" w:rsidR="00897C3F" w:rsidRPr="008F1FDF" w:rsidRDefault="00897C3F" w:rsidP="00D85461">
            <w:pPr>
              <w:pStyle w:val="Tabletext"/>
              <w:jc w:val="left"/>
              <w:rPr>
                <w:sz w:val="18"/>
                <w:szCs w:val="18"/>
              </w:rPr>
            </w:pPr>
            <w:r w:rsidRPr="008F1FDF">
              <w:rPr>
                <w:sz w:val="18"/>
                <w:szCs w:val="18"/>
              </w:rPr>
              <w:t>Brève observation de moins de 40 caractères comprenant des informations essentielles pouvant être affichées au regard des données dans un rapport final</w:t>
            </w:r>
          </w:p>
        </w:tc>
        <w:tc>
          <w:tcPr>
            <w:tcW w:w="1604" w:type="dxa"/>
            <w:tcBorders>
              <w:bottom w:val="nil"/>
            </w:tcBorders>
          </w:tcPr>
          <w:p w14:paraId="7424BACA" w14:textId="77777777" w:rsidR="00897C3F" w:rsidRPr="008F1FDF" w:rsidRDefault="00897C3F" w:rsidP="00897C3F">
            <w:pPr>
              <w:pStyle w:val="Tabletext"/>
              <w:rPr>
                <w:sz w:val="18"/>
                <w:szCs w:val="18"/>
              </w:rPr>
            </w:pPr>
          </w:p>
        </w:tc>
      </w:tr>
      <w:tr w:rsidR="00897C3F" w:rsidRPr="002D383D" w14:paraId="5F336F52" w14:textId="77777777" w:rsidTr="00D85461">
        <w:tblPrEx>
          <w:tblCellMar>
            <w:top w:w="0" w:type="dxa"/>
            <w:bottom w:w="0" w:type="dxa"/>
          </w:tblCellMar>
        </w:tblPrEx>
        <w:trPr>
          <w:trHeight w:val="420"/>
          <w:jc w:val="center"/>
        </w:trPr>
        <w:tc>
          <w:tcPr>
            <w:tcW w:w="693" w:type="dxa"/>
          </w:tcPr>
          <w:p w14:paraId="78D45796" w14:textId="77777777" w:rsidR="00897C3F" w:rsidRPr="008F1FDF" w:rsidRDefault="00897C3F" w:rsidP="00897C3F">
            <w:pPr>
              <w:pStyle w:val="Tabletext"/>
              <w:jc w:val="center"/>
              <w:rPr>
                <w:sz w:val="18"/>
                <w:szCs w:val="18"/>
              </w:rPr>
            </w:pPr>
            <w:r w:rsidRPr="008F1FDF">
              <w:rPr>
                <w:sz w:val="18"/>
                <w:szCs w:val="18"/>
              </w:rPr>
              <w:t>O</w:t>
            </w:r>
          </w:p>
        </w:tc>
        <w:tc>
          <w:tcPr>
            <w:tcW w:w="1755" w:type="dxa"/>
          </w:tcPr>
          <w:p w14:paraId="05310789" w14:textId="77777777" w:rsidR="00897C3F" w:rsidRPr="008F1FDF" w:rsidRDefault="00897C3F" w:rsidP="00897C3F">
            <w:pPr>
              <w:pStyle w:val="Tabletext"/>
              <w:rPr>
                <w:sz w:val="18"/>
                <w:szCs w:val="18"/>
              </w:rPr>
            </w:pPr>
            <w:r w:rsidRPr="008F1FDF">
              <w:rPr>
                <w:sz w:val="18"/>
                <w:szCs w:val="18"/>
              </w:rPr>
              <w:t>Multiscan</w:t>
            </w:r>
          </w:p>
        </w:tc>
        <w:tc>
          <w:tcPr>
            <w:tcW w:w="1620" w:type="dxa"/>
          </w:tcPr>
          <w:p w14:paraId="44FAD7EE" w14:textId="77777777" w:rsidR="00897C3F" w:rsidRPr="008F1FDF" w:rsidRDefault="00897C3F" w:rsidP="00897C3F">
            <w:pPr>
              <w:pStyle w:val="Tabletext"/>
              <w:rPr>
                <w:sz w:val="18"/>
                <w:szCs w:val="18"/>
              </w:rPr>
            </w:pPr>
            <w:r w:rsidRPr="008F1FDF">
              <w:rPr>
                <w:sz w:val="18"/>
                <w:szCs w:val="18"/>
              </w:rPr>
              <w:t>Texte</w:t>
            </w:r>
          </w:p>
        </w:tc>
        <w:tc>
          <w:tcPr>
            <w:tcW w:w="1136" w:type="dxa"/>
          </w:tcPr>
          <w:p w14:paraId="663A9209"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70015588" w14:textId="77777777" w:rsidR="00897C3F" w:rsidRPr="008F1FDF" w:rsidRDefault="00897C3F" w:rsidP="00D85461">
            <w:pPr>
              <w:pStyle w:val="Tabletext"/>
              <w:spacing w:after="0"/>
              <w:rPr>
                <w:sz w:val="18"/>
                <w:szCs w:val="18"/>
              </w:rPr>
            </w:pPr>
            <w:r w:rsidRPr="008F1FDF">
              <w:rPr>
                <w:sz w:val="18"/>
                <w:szCs w:val="18"/>
              </w:rPr>
              <w:t>Y ou N</w:t>
            </w:r>
          </w:p>
          <w:p w14:paraId="7E3B42AE" w14:textId="77777777" w:rsidR="00897C3F" w:rsidRPr="008F1FDF" w:rsidRDefault="00897C3F" w:rsidP="00D85461">
            <w:pPr>
              <w:pStyle w:val="Tabletext"/>
              <w:spacing w:before="0"/>
              <w:jc w:val="left"/>
              <w:rPr>
                <w:sz w:val="18"/>
                <w:szCs w:val="18"/>
              </w:rPr>
            </w:pPr>
            <w:r w:rsidRPr="008F1FDF">
              <w:rPr>
                <w:sz w:val="18"/>
                <w:szCs w:val="18"/>
              </w:rPr>
              <w:t>Lorsque ce champ facultatif n'est pas présent, la valeur est automatiquement</w:t>
            </w:r>
            <w:r w:rsidR="00D85461">
              <w:rPr>
                <w:sz w:val="18"/>
                <w:szCs w:val="18"/>
              </w:rPr>
              <w:t> </w:t>
            </w:r>
            <w:r w:rsidRPr="008F1FDF">
              <w:rPr>
                <w:sz w:val="18"/>
                <w:szCs w:val="18"/>
              </w:rPr>
              <w:t>N</w:t>
            </w:r>
          </w:p>
        </w:tc>
        <w:tc>
          <w:tcPr>
            <w:tcW w:w="1604" w:type="dxa"/>
            <w:tcBorders>
              <w:top w:val="single" w:sz="4" w:space="0" w:color="auto"/>
              <w:bottom w:val="single" w:sz="4" w:space="0" w:color="auto"/>
              <w:right w:val="single" w:sz="4" w:space="0" w:color="auto"/>
            </w:tcBorders>
          </w:tcPr>
          <w:p w14:paraId="427A0C37" w14:textId="77777777" w:rsidR="00897C3F" w:rsidRPr="008F1FDF" w:rsidRDefault="00897C3F" w:rsidP="00897C3F">
            <w:pPr>
              <w:pStyle w:val="Tabletext"/>
              <w:rPr>
                <w:sz w:val="18"/>
                <w:szCs w:val="18"/>
              </w:rPr>
            </w:pPr>
          </w:p>
        </w:tc>
      </w:tr>
      <w:tr w:rsidR="00897C3F" w:rsidRPr="002D383D" w14:paraId="6B805E22" w14:textId="77777777" w:rsidTr="00D85461">
        <w:tblPrEx>
          <w:tblCellMar>
            <w:top w:w="0" w:type="dxa"/>
            <w:bottom w:w="0" w:type="dxa"/>
          </w:tblCellMar>
        </w:tblPrEx>
        <w:trPr>
          <w:trHeight w:val="420"/>
          <w:jc w:val="center"/>
        </w:trPr>
        <w:tc>
          <w:tcPr>
            <w:tcW w:w="693" w:type="dxa"/>
          </w:tcPr>
          <w:p w14:paraId="534298B8" w14:textId="77777777" w:rsidR="00897C3F" w:rsidRPr="008F1FDF" w:rsidRDefault="00897C3F" w:rsidP="00897C3F">
            <w:pPr>
              <w:pStyle w:val="Tabletext"/>
              <w:jc w:val="center"/>
              <w:rPr>
                <w:sz w:val="18"/>
                <w:szCs w:val="18"/>
              </w:rPr>
            </w:pPr>
            <w:r w:rsidRPr="008F1FDF">
              <w:rPr>
                <w:sz w:val="18"/>
                <w:szCs w:val="18"/>
              </w:rPr>
              <w:t>AO</w:t>
            </w:r>
          </w:p>
        </w:tc>
        <w:tc>
          <w:tcPr>
            <w:tcW w:w="1755" w:type="dxa"/>
          </w:tcPr>
          <w:p w14:paraId="3CE9B551" w14:textId="77777777" w:rsidR="00897C3F" w:rsidRPr="008F1FDF" w:rsidRDefault="00897C3F" w:rsidP="00897C3F">
            <w:pPr>
              <w:pStyle w:val="Tabletext"/>
              <w:rPr>
                <w:sz w:val="18"/>
                <w:szCs w:val="18"/>
              </w:rPr>
            </w:pPr>
            <w:r w:rsidRPr="008F1FDF">
              <w:rPr>
                <w:sz w:val="18"/>
                <w:szCs w:val="18"/>
              </w:rPr>
              <w:t>Measurement Accuracy</w:t>
            </w:r>
          </w:p>
        </w:tc>
        <w:tc>
          <w:tcPr>
            <w:tcW w:w="1620" w:type="dxa"/>
          </w:tcPr>
          <w:p w14:paraId="6CDDC289" w14:textId="77777777" w:rsidR="00897C3F" w:rsidRPr="008F1FDF" w:rsidRDefault="00897C3F" w:rsidP="00897C3F">
            <w:pPr>
              <w:pStyle w:val="Tabletext"/>
              <w:rPr>
                <w:sz w:val="18"/>
                <w:szCs w:val="18"/>
              </w:rPr>
            </w:pPr>
            <w:r w:rsidRPr="008F1FDF">
              <w:rPr>
                <w:sz w:val="18"/>
                <w:szCs w:val="18"/>
              </w:rPr>
              <w:t>Valeur numérique</w:t>
            </w:r>
          </w:p>
        </w:tc>
        <w:tc>
          <w:tcPr>
            <w:tcW w:w="1136" w:type="dxa"/>
          </w:tcPr>
          <w:p w14:paraId="127CE102" w14:textId="77777777" w:rsidR="00897C3F" w:rsidRPr="008F1FDF" w:rsidRDefault="00897C3F" w:rsidP="00897C3F">
            <w:pPr>
              <w:pStyle w:val="Tabletext"/>
              <w:jc w:val="center"/>
              <w:rPr>
                <w:sz w:val="18"/>
                <w:szCs w:val="18"/>
              </w:rPr>
            </w:pPr>
            <w:r w:rsidRPr="008F1FDF">
              <w:rPr>
                <w:sz w:val="18"/>
                <w:szCs w:val="18"/>
              </w:rPr>
              <w:t>N</w:t>
            </w:r>
          </w:p>
        </w:tc>
        <w:tc>
          <w:tcPr>
            <w:tcW w:w="3047" w:type="dxa"/>
          </w:tcPr>
          <w:p w14:paraId="5BD0B81B" w14:textId="77777777" w:rsidR="00897C3F" w:rsidRPr="008F1FDF" w:rsidRDefault="00897C3F" w:rsidP="00897C3F">
            <w:pPr>
              <w:pStyle w:val="Tabletext"/>
              <w:rPr>
                <w:sz w:val="18"/>
                <w:szCs w:val="18"/>
              </w:rPr>
            </w:pPr>
            <w:r w:rsidRPr="008F1FDF">
              <w:rPr>
                <w:sz w:val="18"/>
                <w:szCs w:val="18"/>
              </w:rPr>
              <w:t>Précision totale du système</w:t>
            </w:r>
          </w:p>
        </w:tc>
        <w:tc>
          <w:tcPr>
            <w:tcW w:w="1604" w:type="dxa"/>
            <w:tcBorders>
              <w:top w:val="single" w:sz="4" w:space="0" w:color="auto"/>
              <w:bottom w:val="single" w:sz="4" w:space="0" w:color="auto"/>
              <w:right w:val="single" w:sz="4" w:space="0" w:color="auto"/>
            </w:tcBorders>
          </w:tcPr>
          <w:p w14:paraId="7133CE5B" w14:textId="77777777" w:rsidR="00897C3F" w:rsidRPr="008F1FDF" w:rsidRDefault="00897C3F" w:rsidP="00897C3F">
            <w:pPr>
              <w:pStyle w:val="Tabletext"/>
              <w:rPr>
                <w:sz w:val="18"/>
                <w:szCs w:val="18"/>
              </w:rPr>
            </w:pPr>
          </w:p>
        </w:tc>
      </w:tr>
      <w:tr w:rsidR="00897C3F" w:rsidRPr="002D383D" w14:paraId="4CB649CD" w14:textId="77777777" w:rsidTr="00D85461">
        <w:tblPrEx>
          <w:tblCellMar>
            <w:top w:w="0" w:type="dxa"/>
            <w:bottom w:w="0" w:type="dxa"/>
          </w:tblCellMar>
        </w:tblPrEx>
        <w:trPr>
          <w:trHeight w:val="239"/>
          <w:jc w:val="center"/>
        </w:trPr>
        <w:tc>
          <w:tcPr>
            <w:tcW w:w="693" w:type="dxa"/>
            <w:tcBorders>
              <w:bottom w:val="single" w:sz="4" w:space="0" w:color="auto"/>
            </w:tcBorders>
          </w:tcPr>
          <w:p w14:paraId="36A83FE7" w14:textId="77777777" w:rsidR="00897C3F" w:rsidRPr="008F1FDF" w:rsidRDefault="00897C3F" w:rsidP="00897C3F">
            <w:pPr>
              <w:pStyle w:val="Tabletext"/>
              <w:jc w:val="center"/>
              <w:rPr>
                <w:sz w:val="18"/>
                <w:szCs w:val="18"/>
              </w:rPr>
            </w:pPr>
            <w:r w:rsidRPr="008F1FDF">
              <w:rPr>
                <w:sz w:val="18"/>
                <w:szCs w:val="18"/>
              </w:rPr>
              <w:t>AO</w:t>
            </w:r>
          </w:p>
        </w:tc>
        <w:tc>
          <w:tcPr>
            <w:tcW w:w="1755" w:type="dxa"/>
            <w:tcBorders>
              <w:bottom w:val="single" w:sz="4" w:space="0" w:color="auto"/>
            </w:tcBorders>
          </w:tcPr>
          <w:p w14:paraId="6FA85D01" w14:textId="77777777" w:rsidR="00897C3F" w:rsidRPr="008F1FDF" w:rsidRDefault="00897C3F" w:rsidP="00897C3F">
            <w:pPr>
              <w:pStyle w:val="Tabletext"/>
              <w:rPr>
                <w:sz w:val="18"/>
                <w:szCs w:val="18"/>
              </w:rPr>
            </w:pPr>
            <w:r w:rsidRPr="008F1FDF">
              <w:rPr>
                <w:sz w:val="18"/>
                <w:szCs w:val="18"/>
              </w:rPr>
              <w:t>VideoFilterType</w:t>
            </w:r>
          </w:p>
        </w:tc>
        <w:tc>
          <w:tcPr>
            <w:tcW w:w="1620" w:type="dxa"/>
            <w:tcBorders>
              <w:bottom w:val="single" w:sz="4" w:space="0" w:color="auto"/>
            </w:tcBorders>
          </w:tcPr>
          <w:p w14:paraId="2904D245" w14:textId="77777777" w:rsidR="00897C3F" w:rsidRPr="008F1FDF" w:rsidRDefault="00897C3F" w:rsidP="00897C3F">
            <w:pPr>
              <w:pStyle w:val="Tabletext"/>
              <w:rPr>
                <w:sz w:val="18"/>
                <w:szCs w:val="18"/>
              </w:rPr>
            </w:pPr>
            <w:r w:rsidRPr="008F1FDF">
              <w:rPr>
                <w:sz w:val="18"/>
                <w:szCs w:val="18"/>
              </w:rPr>
              <w:t>Texte</w:t>
            </w:r>
          </w:p>
        </w:tc>
        <w:tc>
          <w:tcPr>
            <w:tcW w:w="1136" w:type="dxa"/>
            <w:tcBorders>
              <w:bottom w:val="single" w:sz="4" w:space="0" w:color="auto"/>
            </w:tcBorders>
          </w:tcPr>
          <w:p w14:paraId="390371EA" w14:textId="77777777" w:rsidR="00897C3F" w:rsidRPr="008F1FDF" w:rsidRDefault="00897C3F" w:rsidP="00897C3F">
            <w:pPr>
              <w:pStyle w:val="Tabletext"/>
              <w:jc w:val="center"/>
              <w:rPr>
                <w:sz w:val="18"/>
                <w:szCs w:val="18"/>
              </w:rPr>
            </w:pPr>
            <w:r w:rsidRPr="008F1FDF">
              <w:rPr>
                <w:sz w:val="18"/>
                <w:szCs w:val="18"/>
              </w:rPr>
              <w:t>Y</w:t>
            </w:r>
          </w:p>
        </w:tc>
        <w:tc>
          <w:tcPr>
            <w:tcW w:w="3047" w:type="dxa"/>
            <w:tcBorders>
              <w:bottom w:val="single" w:sz="4" w:space="0" w:color="auto"/>
            </w:tcBorders>
          </w:tcPr>
          <w:p w14:paraId="5435F779" w14:textId="77777777" w:rsidR="00897C3F" w:rsidRPr="008F1FDF" w:rsidRDefault="00897C3F" w:rsidP="00D85461">
            <w:pPr>
              <w:pStyle w:val="Tabletext"/>
              <w:jc w:val="left"/>
              <w:rPr>
                <w:sz w:val="18"/>
                <w:szCs w:val="18"/>
              </w:rPr>
            </w:pPr>
            <w:r w:rsidRPr="008F1FDF">
              <w:rPr>
                <w:sz w:val="18"/>
                <w:szCs w:val="18"/>
              </w:rPr>
              <w:t>Largeur de bande et facteur de forme du type de filtre vidéo</w:t>
            </w:r>
          </w:p>
        </w:tc>
        <w:tc>
          <w:tcPr>
            <w:tcW w:w="1604" w:type="dxa"/>
            <w:tcBorders>
              <w:top w:val="single" w:sz="4" w:space="0" w:color="auto"/>
              <w:bottom w:val="single" w:sz="4" w:space="0" w:color="auto"/>
              <w:right w:val="single" w:sz="4" w:space="0" w:color="auto"/>
            </w:tcBorders>
          </w:tcPr>
          <w:p w14:paraId="3563B227" w14:textId="77777777" w:rsidR="00897C3F" w:rsidRPr="008F1FDF" w:rsidRDefault="00897C3F" w:rsidP="00897C3F">
            <w:pPr>
              <w:pStyle w:val="Tabletext"/>
              <w:rPr>
                <w:sz w:val="18"/>
                <w:szCs w:val="18"/>
              </w:rPr>
            </w:pPr>
          </w:p>
        </w:tc>
      </w:tr>
      <w:tr w:rsidR="00897C3F" w:rsidRPr="002D383D" w14:paraId="3597C104" w14:textId="77777777" w:rsidTr="00D85461">
        <w:tblPrEx>
          <w:tblCellMar>
            <w:top w:w="0" w:type="dxa"/>
            <w:bottom w:w="0" w:type="dxa"/>
          </w:tblCellMar>
        </w:tblPrEx>
        <w:trPr>
          <w:jc w:val="center"/>
        </w:trPr>
        <w:tc>
          <w:tcPr>
            <w:tcW w:w="9855" w:type="dxa"/>
            <w:gridSpan w:val="6"/>
            <w:tcBorders>
              <w:left w:val="nil"/>
              <w:bottom w:val="nil"/>
              <w:right w:val="nil"/>
            </w:tcBorders>
          </w:tcPr>
          <w:p w14:paraId="083A09D4" w14:textId="77777777" w:rsidR="00897C3F" w:rsidRPr="00D85461" w:rsidRDefault="00D85461" w:rsidP="00D85461">
            <w:pPr>
              <w:pStyle w:val="Tablelegend"/>
              <w:rPr>
                <w:sz w:val="18"/>
                <w:szCs w:val="18"/>
              </w:rPr>
            </w:pPr>
            <w:r w:rsidRPr="00D85461">
              <w:rPr>
                <w:sz w:val="18"/>
                <w:szCs w:val="18"/>
                <w:vertAlign w:val="superscript"/>
              </w:rPr>
              <w:t>(1)</w:t>
            </w:r>
            <w:r>
              <w:rPr>
                <w:sz w:val="18"/>
                <w:szCs w:val="18"/>
              </w:rPr>
              <w:tab/>
            </w:r>
            <w:proofErr w:type="gramStart"/>
            <w:r w:rsidR="00897C3F" w:rsidRPr="00D85461">
              <w:rPr>
                <w:sz w:val="18"/>
                <w:szCs w:val="18"/>
              </w:rPr>
              <w:t>Explication:</w:t>
            </w:r>
            <w:proofErr w:type="gramEnd"/>
            <w:r w:rsidR="00897C3F" w:rsidRPr="00D85461">
              <w:rPr>
                <w:sz w:val="18"/>
                <w:szCs w:val="18"/>
              </w:rPr>
              <w:t xml:space="preserve"> </w:t>
            </w:r>
            <w:r w:rsidR="0057313F">
              <w:rPr>
                <w:sz w:val="18"/>
                <w:szCs w:val="18"/>
              </w:rPr>
              <w:t xml:space="preserve">voir le </w:t>
            </w:r>
            <w:r w:rsidR="00897C3F" w:rsidRPr="00D85461">
              <w:rPr>
                <w:sz w:val="18"/>
                <w:szCs w:val="18"/>
              </w:rPr>
              <w:t>§ 2.4.</w:t>
            </w:r>
          </w:p>
        </w:tc>
      </w:tr>
    </w:tbl>
    <w:p w14:paraId="19D4765F" w14:textId="77777777" w:rsidR="003A0846" w:rsidRDefault="003A0846" w:rsidP="003A0846">
      <w:pPr>
        <w:pStyle w:val="Tablefin"/>
      </w:pPr>
    </w:p>
    <w:p w14:paraId="06CDCBAB" w14:textId="77777777" w:rsidR="00897C3F" w:rsidRPr="002D383D" w:rsidRDefault="00897C3F" w:rsidP="003A0846">
      <w:r w:rsidRPr="002D383D">
        <w:t>Les champs facultatifs additionnels sont des champs qui peuvent être ajoutés à l'en-tête pour fournir un complément d'information. Toutefois, ces champs ne seront pas automatiquement traités ou reconnus par le logiciel de transfert. Les sections</w:t>
      </w:r>
      <w:proofErr w:type="gramStart"/>
      <w:r w:rsidRPr="002D383D">
        <w:t xml:space="preserve"> </w:t>
      </w:r>
      <w:r>
        <w:t>«</w:t>
      </w:r>
      <w:r w:rsidRPr="002D383D">
        <w:t>en</w:t>
      </w:r>
      <w:proofErr w:type="gramEnd"/>
      <w:r w:rsidRPr="002D383D">
        <w:t>-tête</w:t>
      </w:r>
      <w:r>
        <w:t>»</w:t>
      </w:r>
      <w:r w:rsidRPr="002D383D">
        <w:t xml:space="preserve"> et </w:t>
      </w:r>
      <w:r>
        <w:t>«</w:t>
      </w:r>
      <w:r w:rsidRPr="002D383D">
        <w:t>données</w:t>
      </w:r>
      <w:r>
        <w:t>»</w:t>
      </w:r>
      <w:r w:rsidRPr="002D383D">
        <w:t xml:space="preserve"> seront séparées par UNE ligne vide.</w:t>
      </w:r>
    </w:p>
    <w:p w14:paraId="200B1898" w14:textId="77777777" w:rsidR="00897C3F" w:rsidRPr="002D383D" w:rsidRDefault="00897C3F" w:rsidP="009D0867">
      <w:pPr>
        <w:pStyle w:val="Heading2"/>
        <w:keepNext w:val="0"/>
        <w:keepLines w:val="0"/>
      </w:pPr>
      <w:r w:rsidRPr="002D383D">
        <w:t>2.2</w:t>
      </w:r>
      <w:r w:rsidRPr="002D383D">
        <w:tab/>
        <w:t>Section données</w:t>
      </w:r>
    </w:p>
    <w:p w14:paraId="64BB3EE8" w14:textId="77777777" w:rsidR="00897C3F" w:rsidRPr="002D383D" w:rsidRDefault="00897C3F" w:rsidP="009D0867">
      <w:proofErr w:type="gramStart"/>
      <w:r w:rsidRPr="002D383D">
        <w:t>La section données</w:t>
      </w:r>
      <w:proofErr w:type="gramEnd"/>
      <w:r w:rsidRPr="002D383D">
        <w:t xml:space="preserve"> </w:t>
      </w:r>
      <w:r>
        <w:t xml:space="preserve">rassemble une suite </w:t>
      </w:r>
      <w:r w:rsidRPr="002D383D">
        <w:t xml:space="preserve">de balayages, avec une ligne </w:t>
      </w:r>
      <w:r>
        <w:t xml:space="preserve">par </w:t>
      </w:r>
      <w:r w:rsidRPr="002D383D">
        <w:t xml:space="preserve">balayage. Chaque ligne doit contenir l'heure de début du balayage (format </w:t>
      </w:r>
      <w:proofErr w:type="gramStart"/>
      <w:r w:rsidRPr="002D383D">
        <w:t>HH:</w:t>
      </w:r>
      <w:proofErr w:type="gramEnd"/>
      <w:r w:rsidRPr="002D383D">
        <w:t>MM:SS) convertie en heure UTC (ou en heure locale à la demande du coordinateur), suivie d'une indication de niveau pour chaque point de fréquence d'analyse ou chaque pas de fréquence de réception, toutes ces informations étant séparées par des virgules. Dans le cas d'une campagne de contrôle sans spécification de données de mesure de niveau exactes, les valeurs de niveau de signal peuvent être arrondies au nombre entier le plus proche dans le souci de réduire le volume du fichier de donnée</w:t>
      </w:r>
      <w:r>
        <w:t>s. Pour les campagnes de mesure</w:t>
      </w:r>
      <w:r w:rsidRPr="002D383D">
        <w:t>, on utilisera une précision d'une décimale. On utilisera toujours le symbole du point décimal, la virgule étant utilisée comme séparateur. Le premier espace libre de chaque ligne sépare le descripteur de la variable.</w:t>
      </w:r>
    </w:p>
    <w:p w14:paraId="7E693341" w14:textId="77777777" w:rsidR="00897C3F" w:rsidRPr="002D383D" w:rsidRDefault="00897C3F" w:rsidP="009D0867">
      <w:pPr>
        <w:pStyle w:val="Heading2"/>
        <w:keepNext w:val="0"/>
        <w:keepLines w:val="0"/>
      </w:pPr>
      <w:r w:rsidRPr="002D383D">
        <w:t>2.3</w:t>
      </w:r>
      <w:r w:rsidRPr="002D383D">
        <w:tab/>
        <w:t>Exemple de fichier</w:t>
      </w:r>
    </w:p>
    <w:p w14:paraId="24E030D0" w14:textId="77777777" w:rsidR="00897C3F" w:rsidRPr="002D383D" w:rsidRDefault="00897C3F" w:rsidP="009D0867">
      <w:pPr>
        <w:jc w:val="left"/>
      </w:pPr>
      <w:r w:rsidRPr="002D383D">
        <w:t>FileType Standard Data exchange Format 2.0</w:t>
      </w:r>
      <w:r w:rsidRPr="002D383D">
        <w:br/>
        <w:t>LocationName NERA</w:t>
      </w:r>
      <w:r w:rsidRPr="002D383D">
        <w:br/>
        <w:t>Latitude 52.00.00N</w:t>
      </w:r>
      <w:r w:rsidRPr="002D383D">
        <w:br/>
        <w:t>Longitude 005.08.00W</w:t>
      </w:r>
      <w:r w:rsidRPr="002D383D">
        <w:br/>
        <w:t>FreqStart 7000</w:t>
      </w:r>
      <w:r w:rsidRPr="002D383D">
        <w:br/>
        <w:t>FreqStop 7200</w:t>
      </w:r>
      <w:r w:rsidRPr="002D383D">
        <w:br/>
        <w:t>AntennaType Inverted V</w:t>
      </w:r>
      <w:r w:rsidRPr="002D383D">
        <w:br/>
        <w:t>FilterBandwidth 0.5</w:t>
      </w:r>
      <w:r w:rsidRPr="002D383D">
        <w:br/>
        <w:t>LevelUnits dBuV/m</w:t>
      </w:r>
      <w:r w:rsidRPr="002D383D">
        <w:br/>
        <w:t>Date 2006-06-25</w:t>
      </w:r>
      <w:r w:rsidRPr="002D383D">
        <w:br/>
        <w:t>DataPoints 80000</w:t>
      </w:r>
      <w:r w:rsidRPr="002D383D">
        <w:br/>
        <w:t>ScanTime 7.5</w:t>
      </w:r>
      <w:r w:rsidRPr="002D383D">
        <w:br/>
        <w:t>Detector RMS</w:t>
      </w:r>
    </w:p>
    <w:p w14:paraId="47BD5A21" w14:textId="77777777" w:rsidR="00524FA8" w:rsidRDefault="00524FA8" w:rsidP="00524FA8">
      <w:pPr>
        <w:pStyle w:val="Note"/>
      </w:pPr>
    </w:p>
    <w:p w14:paraId="4637712A" w14:textId="77777777" w:rsidR="00897C3F" w:rsidRDefault="00897C3F" w:rsidP="00524FA8">
      <w:pPr>
        <w:pStyle w:val="Note"/>
      </w:pPr>
      <w:r w:rsidRPr="002D383D">
        <w:t>NOTE – Ce qui suit est un exemple de fichier illustrant le format de données.</w:t>
      </w:r>
    </w:p>
    <w:p w14:paraId="57FD358B" w14:textId="77777777" w:rsidR="00524FA8" w:rsidRPr="002D383D" w:rsidRDefault="00524FA8" w:rsidP="00524FA8">
      <w:pPr>
        <w:pStyle w:val="Note"/>
      </w:pPr>
    </w:p>
    <w:p w14:paraId="27FBF4CF" w14:textId="77777777" w:rsidR="00897C3F" w:rsidRPr="002D383D" w:rsidRDefault="00897C3F" w:rsidP="00897C3F">
      <w:r w:rsidRPr="002D383D">
        <w:t>00:00:00,65,56,64,54,23,29,32,43,54,25,29,25,36…etc…,43,59</w:t>
      </w:r>
      <w:r w:rsidRPr="002D383D">
        <w:br/>
        <w:t>00:00:10,64,53,65,59,42,37,35,34,64,25,26,36,63…etc…,54,61</w:t>
      </w:r>
      <w:r w:rsidRPr="002D383D">
        <w:br/>
        <w:t>00:00:20,62,57,64,59,41,36,26,42,53,62,16,52,24…etc…,52,66</w:t>
      </w:r>
      <w:r w:rsidRPr="002D383D">
        <w:br/>
        <w:t>.</w:t>
      </w:r>
      <w:r w:rsidRPr="002D383D">
        <w:br/>
        <w:t>.</w:t>
      </w:r>
      <w:r w:rsidRPr="002D383D">
        <w:br/>
        <w:t>.</w:t>
      </w:r>
      <w:r w:rsidRPr="002D383D">
        <w:br/>
        <w:t>etc</w:t>
      </w:r>
      <w:r>
        <w:t>.</w:t>
      </w:r>
      <w:r w:rsidRPr="002D383D">
        <w:br/>
        <w:t>.</w:t>
      </w:r>
      <w:r w:rsidRPr="002D383D">
        <w:br/>
        <w:t>.</w:t>
      </w:r>
      <w:r w:rsidRPr="002D383D">
        <w:br/>
        <w:t>.</w:t>
      </w:r>
      <w:r w:rsidRPr="002D383D">
        <w:br/>
        <w:t>23:59:30,53,33,61,44,25,44,36,26,46,24,26,24,63…etc…,29,56</w:t>
      </w:r>
      <w:r w:rsidRPr="002D383D">
        <w:br/>
        <w:t>23:59:40,54,32,62,48,24,42,35,26,24,64,24,34,35…etc…,29,56</w:t>
      </w:r>
      <w:r w:rsidRPr="002D383D">
        <w:br/>
        <w:t>23:59:50,64,52,63,57,33,23,32,53,25,26,63,35,26…etc…,32,59</w:t>
      </w:r>
    </w:p>
    <w:p w14:paraId="07EB5E7A" w14:textId="77777777" w:rsidR="00897C3F" w:rsidRPr="002D383D" w:rsidRDefault="00897C3F" w:rsidP="00897C3F">
      <w:pPr>
        <w:pStyle w:val="Heading2"/>
      </w:pPr>
      <w:r w:rsidRPr="002D383D">
        <w:t>2.4</w:t>
      </w:r>
      <w:r w:rsidRPr="002D383D">
        <w:tab/>
        <w:t>Balayage multiple</w:t>
      </w:r>
    </w:p>
    <w:p w14:paraId="6B94276A" w14:textId="77777777" w:rsidR="00897C3F" w:rsidRPr="002D383D" w:rsidRDefault="00897C3F" w:rsidP="00897C3F">
      <w:r w:rsidRPr="002D383D">
        <w:t xml:space="preserve">Pour certaines applications, il peut être nécessaire de balayer de multiples petits intervalles de fréquences séparés par des intervalles plus importants. Ce champ facultatif indique si le fichier de données contient plusieurs </w:t>
      </w:r>
      <w:r>
        <w:t>intervalles</w:t>
      </w:r>
      <w:r w:rsidRPr="002D383D">
        <w:t xml:space="preserve">. Lorsque sa valeur est Y, les champs assortis </w:t>
      </w:r>
      <w:r>
        <w:t>de la lettre Y dans la colonne</w:t>
      </w:r>
      <w:proofErr w:type="gramStart"/>
      <w:r>
        <w:t xml:space="preserve"> «</w:t>
      </w:r>
      <w:r w:rsidRPr="002D383D">
        <w:t>Intervalle</w:t>
      </w:r>
      <w:proofErr w:type="gramEnd"/>
      <w:r>
        <w:t>»</w:t>
      </w:r>
      <w:r w:rsidRPr="002D383D">
        <w:t xml:space="preserve"> comportent un intervalle de valeurs et non plus une seule valeur. Les valeurs individuelles de l</w:t>
      </w:r>
      <w:r>
        <w:t>'intervalle sont séparées par des</w:t>
      </w:r>
      <w:r w:rsidRPr="002D383D">
        <w:t xml:space="preserve"> point</w:t>
      </w:r>
      <w:r>
        <w:t>s</w:t>
      </w:r>
      <w:r>
        <w:noBreakHyphen/>
      </w:r>
      <w:r w:rsidRPr="002D383D">
        <w:t>virgule</w:t>
      </w:r>
      <w:r>
        <w:t>s</w:t>
      </w:r>
      <w:r w:rsidRPr="002D383D">
        <w:t xml:space="preserve">. </w:t>
      </w:r>
    </w:p>
    <w:p w14:paraId="2DB8F715" w14:textId="77777777" w:rsidR="00897C3F" w:rsidRPr="002D383D" w:rsidRDefault="00897C3F" w:rsidP="00897C3F">
      <w:pPr>
        <w:keepNext/>
        <w:keepLines/>
      </w:pPr>
      <w:r w:rsidRPr="002D383D">
        <w:t xml:space="preserve">Exemple d'une partie d'en-tête d'un fichier à balayage </w:t>
      </w:r>
      <w:proofErr w:type="gramStart"/>
      <w:r w:rsidRPr="002D383D">
        <w:t>multiple:</w:t>
      </w:r>
      <w:proofErr w:type="gramEnd"/>
    </w:p>
    <w:p w14:paraId="2BEBB7EC" w14:textId="77777777" w:rsidR="00897C3F" w:rsidRPr="002D383D" w:rsidRDefault="00897C3F" w:rsidP="00524FA8">
      <w:pPr>
        <w:keepNext/>
        <w:keepLines/>
        <w:jc w:val="left"/>
      </w:pPr>
      <w:r w:rsidRPr="002D383D">
        <w:t>FileType Common Exchange Format 2.0</w:t>
      </w:r>
      <w:r w:rsidRPr="002D383D">
        <w:tab/>
        <w:t xml:space="preserve">ce champ n'est pas modifié </w:t>
      </w:r>
      <w:r w:rsidRPr="002D383D">
        <w:br/>
        <w:t xml:space="preserve">FreqStart </w:t>
      </w:r>
      <w:proofErr w:type="gramStart"/>
      <w:r w:rsidRPr="002D383D">
        <w:t>3100;</w:t>
      </w:r>
      <w:proofErr w:type="gramEnd"/>
      <w:r w:rsidRPr="002D383D">
        <w:t>7000;5000.2</w:t>
      </w:r>
      <w:r w:rsidRPr="002D383D">
        <w:tab/>
      </w:r>
      <w:r w:rsidRPr="002D383D">
        <w:tab/>
      </w:r>
      <w:r w:rsidRPr="002D383D">
        <w:tab/>
        <w:t>ce champ comportera dans ce cas 3 valeurs</w:t>
      </w:r>
      <w:r w:rsidRPr="002D383D">
        <w:br/>
        <w:t>FreqStop 3200;7200;5100.1</w:t>
      </w:r>
      <w:r w:rsidRPr="002D383D">
        <w:tab/>
      </w:r>
      <w:r w:rsidRPr="002D383D">
        <w:tab/>
      </w:r>
      <w:r w:rsidRPr="002D383D">
        <w:tab/>
        <w:t>ce champ comportera dans ce cas 3 valeurs</w:t>
      </w:r>
    </w:p>
    <w:p w14:paraId="0CFBA3AB" w14:textId="77777777" w:rsidR="00897C3F" w:rsidRPr="002D383D" w:rsidRDefault="00897C3F" w:rsidP="00897C3F">
      <w:r w:rsidRPr="002D383D">
        <w:t xml:space="preserve">Il en va de même pour </w:t>
      </w:r>
      <w:proofErr w:type="gramStart"/>
      <w:r w:rsidRPr="002D383D">
        <w:t>la section données</w:t>
      </w:r>
      <w:proofErr w:type="gramEnd"/>
      <w:r w:rsidRPr="002D383D">
        <w:t xml:space="preserve">. Dans le cas d'un fichier à 3 balayages, une ligne se présentera comme </w:t>
      </w:r>
      <w:proofErr w:type="gramStart"/>
      <w:r w:rsidRPr="002D383D">
        <w:t>suit:</w:t>
      </w:r>
      <w:proofErr w:type="gramEnd"/>
    </w:p>
    <w:p w14:paraId="2CC27CD0" w14:textId="77777777" w:rsidR="00897C3F" w:rsidRPr="00930F14" w:rsidRDefault="00897C3F" w:rsidP="00897C3F">
      <w:pPr>
        <w:rPr>
          <w:sz w:val="19"/>
          <w:szCs w:val="19"/>
        </w:rPr>
      </w:pPr>
      <w:proofErr w:type="gramStart"/>
      <w:r w:rsidRPr="00930F14">
        <w:rPr>
          <w:sz w:val="19"/>
          <w:szCs w:val="19"/>
        </w:rPr>
        <w:t>23:</w:t>
      </w:r>
      <w:proofErr w:type="gramEnd"/>
      <w:r w:rsidRPr="00930F14">
        <w:rPr>
          <w:sz w:val="19"/>
          <w:szCs w:val="19"/>
        </w:rPr>
        <w:t>59:50,64,52,63,57,33,23,26,…etc…,38,55; ,64,52,63,57,33,23,26,…etc…,32,46; ,64,52,63,57,33,23,26,…etc…,55,23</w:t>
      </w:r>
    </w:p>
    <w:p w14:paraId="3C3AF90D" w14:textId="77777777" w:rsidR="00897C3F" w:rsidRPr="002D383D" w:rsidRDefault="00897C3F" w:rsidP="00897C3F">
      <w:r w:rsidRPr="002D383D">
        <w:t xml:space="preserve">Il convient de noter qu'un seul timbre horaire est utilisé pour l'ensemble </w:t>
      </w:r>
      <w:r>
        <w:t>de balayages et que le temps de</w:t>
      </w:r>
      <w:r w:rsidRPr="002D383D">
        <w:t xml:space="preserve"> balayage indiqué dans l'en-tête correspond au temps total nécessaire pour faire tous les balayages. Le balayage multiple a une autre application, le balayage de canaux. Dans ce cas, on définit la fréquence de départ et la fréquence d'arrêt comme ayant la même valeur, de telle sorte qu'une seule fréquence est balayée. La ligne de la section données comporte maintenant les fréquences balayées, séparées par des points</w:t>
      </w:r>
      <w:r>
        <w:noBreakHyphen/>
      </w:r>
      <w:r w:rsidRPr="002D383D">
        <w:t xml:space="preserve">virgules. </w:t>
      </w:r>
    </w:p>
    <w:p w14:paraId="3D71381F" w14:textId="77777777" w:rsidR="00897C3F" w:rsidRPr="00B748EC" w:rsidRDefault="00897C3F" w:rsidP="00897C3F">
      <w:pPr>
        <w:pStyle w:val="Heading2"/>
      </w:pPr>
      <w:r w:rsidRPr="00B748EC">
        <w:t>2.5</w:t>
      </w:r>
      <w:r w:rsidRPr="00B748EC">
        <w:tab/>
        <w:t>Logiciel de transfert</w:t>
      </w:r>
    </w:p>
    <w:p w14:paraId="3B82D348" w14:textId="77777777" w:rsidR="00897C3F" w:rsidRDefault="00897C3F" w:rsidP="00897C3F">
      <w:r w:rsidRPr="00732E66">
        <w:t xml:space="preserve">Les formats de données utilisés diffèrent d'une administration à l'autre, et les administrations doivent développer et obtenir des logiciels de transfert pour assurer </w:t>
      </w:r>
      <w:r>
        <w:t>la</w:t>
      </w:r>
      <w:r w:rsidRPr="00732E66">
        <w:t xml:space="preserve"> conversion entre leurs propres formats de données et le format d'échange commun. Dans la </w:t>
      </w:r>
      <w:r>
        <w:t>structure du format interne, le </w:t>
      </w:r>
      <w:r w:rsidRPr="00732E66">
        <w:t xml:space="preserve">logiciel </w:t>
      </w:r>
      <w:r>
        <w:t xml:space="preserve">de </w:t>
      </w:r>
      <w:r w:rsidRPr="00732E66">
        <w:t xml:space="preserve">transfert peut être un simple </w:t>
      </w:r>
      <w:proofErr w:type="gramStart"/>
      <w:r>
        <w:t xml:space="preserve">macro </w:t>
      </w:r>
      <w:r w:rsidRPr="00732E66">
        <w:t>fichier</w:t>
      </w:r>
      <w:proofErr w:type="gramEnd"/>
      <w:r w:rsidRPr="00732E66">
        <w:t xml:space="preserve"> ou un programme complexe de conversion des données en fonction d'une structure dérivée.</w:t>
      </w:r>
      <w:r>
        <w:t xml:space="preserve"> </w:t>
      </w:r>
      <w:r w:rsidRPr="00732E66">
        <w:t>Les logiciels de contrôle peuvent comprendre une fonction de transfert intégré</w:t>
      </w:r>
      <w:r>
        <w:t>e</w:t>
      </w:r>
      <w:r w:rsidRPr="00732E66">
        <w:t xml:space="preserve">, mais un outil </w:t>
      </w:r>
      <w:r>
        <w:t>indépendant communiqué gratuitement pour chaque logiciel pourrait faciliter les échanges de données entre administrations.</w:t>
      </w:r>
    </w:p>
    <w:p w14:paraId="24F038B7" w14:textId="77777777" w:rsidR="009D0867" w:rsidRDefault="009D0867" w:rsidP="00897C3F"/>
    <w:p w14:paraId="2EBC89DE" w14:textId="77777777" w:rsidR="00897C3F" w:rsidRPr="00897C3F" w:rsidRDefault="00897C3F" w:rsidP="00897C3F">
      <w:pPr>
        <w:pStyle w:val="FigureNo"/>
      </w:pPr>
      <w:r w:rsidRPr="00897C3F">
        <w:t>FIGURE 1</w:t>
      </w:r>
    </w:p>
    <w:p w14:paraId="1201C4C5" w14:textId="77777777" w:rsidR="00897C3F" w:rsidRPr="00732E66" w:rsidRDefault="00897C3F" w:rsidP="00897C3F">
      <w:pPr>
        <w:pStyle w:val="Figuretitle"/>
      </w:pPr>
      <w:r w:rsidRPr="00732E66">
        <w:t xml:space="preserve">Schéma du transfert des données entre </w:t>
      </w:r>
      <w:r>
        <w:t xml:space="preserve">un </w:t>
      </w:r>
      <w:r w:rsidRPr="00732E66">
        <w:t xml:space="preserve">format spécifique et </w:t>
      </w:r>
      <w:r>
        <w:t>de format</w:t>
      </w:r>
      <w:r w:rsidRPr="00732E66">
        <w:t xml:space="preserve"> d'échange commun</w:t>
      </w:r>
    </w:p>
    <w:p w14:paraId="68E6791A" w14:textId="77777777" w:rsidR="00897C3F" w:rsidRPr="00732E66" w:rsidRDefault="0057313F" w:rsidP="00897C3F">
      <w:pPr>
        <w:pStyle w:val="Figure"/>
      </w:pPr>
      <w:r>
        <w:object w:dxaOrig="7608" w:dyaOrig="2837" w14:anchorId="7F36B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41.5pt" o:ole="">
            <v:imagedata r:id="rId7" o:title=""/>
          </v:shape>
          <o:OLEObject Type="Embed" ProgID="CorelDRAW.Graphic.12" ShapeID="_x0000_i1025" DrawAspect="Content" ObjectID="_1649148456" r:id="rId8"/>
        </w:object>
      </w:r>
    </w:p>
    <w:p w14:paraId="6CC0DBD8" w14:textId="77777777" w:rsidR="009D0867" w:rsidRDefault="009D0867" w:rsidP="009D0867"/>
    <w:p w14:paraId="3DBEE1E8" w14:textId="77777777" w:rsidR="00897C3F" w:rsidRPr="00343CB5" w:rsidRDefault="00897C3F" w:rsidP="00897C3F">
      <w:pPr>
        <w:pStyle w:val="Heading2"/>
      </w:pPr>
      <w:r w:rsidRPr="00343CB5">
        <w:t>2.6</w:t>
      </w:r>
      <w:r w:rsidRPr="00343CB5">
        <w:tab/>
        <w:t>Vérification de l'intégrité du fichier de données</w:t>
      </w:r>
    </w:p>
    <w:p w14:paraId="5EED659C" w14:textId="77777777" w:rsidR="00897C3F" w:rsidRDefault="00897C3F" w:rsidP="00897C3F">
      <w:r>
        <w:t xml:space="preserve">Avant d'importer et d'utiliser un fichier de données soumis par une tierce partie, on recommande de vérifier l'intégrité du fichier et sa conformité avec le format spécifié. Pour ce faire, le mieux est d'établir un outil de vérification de la présence de tous les champs nécessaires. </w:t>
      </w:r>
      <w:r w:rsidRPr="0003402A">
        <w:t>L'outil devra aussi permettre de vérifier l'intégrité chronologique de la séquence de balayage et le nombre de points de mesure valides dans chaque balayage.</w:t>
      </w:r>
      <w:r>
        <w:t xml:space="preserve"> </w:t>
      </w:r>
      <w:r w:rsidRPr="00C804AA">
        <w:t>L'enquête pourra comprendre un certain nombre de champs facultatifs et de champs facultatifs additionnels, de sorte qu'un outil ou un programme modifié en fonction de la campagne de mesure considé</w:t>
      </w:r>
      <w:r>
        <w:t xml:space="preserve">rée pourra être </w:t>
      </w:r>
      <w:proofErr w:type="gramStart"/>
      <w:r>
        <w:t>nécessaire;</w:t>
      </w:r>
      <w:proofErr w:type="gramEnd"/>
      <w:r>
        <w:t xml:space="preserve"> un tel outil sera distribué aux participants. </w:t>
      </w:r>
    </w:p>
    <w:p w14:paraId="545FF3D4" w14:textId="77777777" w:rsidR="00897C3F" w:rsidRPr="00C804AA" w:rsidRDefault="00897C3F" w:rsidP="00897C3F">
      <w:pPr>
        <w:pStyle w:val="Heading2"/>
      </w:pPr>
      <w:r w:rsidRPr="00C804AA">
        <w:t>2.7</w:t>
      </w:r>
      <w:r w:rsidRPr="00C804AA">
        <w:tab/>
        <w:t>Organisation et indexation d'un grand nombre de fichiers de données de mesure</w:t>
      </w:r>
    </w:p>
    <w:p w14:paraId="0019E3E9" w14:textId="77777777" w:rsidR="00897C3F" w:rsidRPr="00C804AA" w:rsidRDefault="00897C3F" w:rsidP="00524FA8">
      <w:r w:rsidRPr="00C804AA">
        <w:t>La section en-tête du fichier de données comprend suffisamment d'informations pour générer des indicateurs uniques correspondant à chaque fich</w:t>
      </w:r>
      <w:r>
        <w:t xml:space="preserve">ier de mesures. </w:t>
      </w:r>
      <w:r w:rsidRPr="00C804AA">
        <w:t xml:space="preserve">Il est recommandé d'utiliser les champs Date LocationName et Note et, au besoin, FreqStart </w:t>
      </w:r>
      <w:r>
        <w:t>et</w:t>
      </w:r>
      <w:r w:rsidRPr="00C804AA">
        <w:t xml:space="preserve"> FreqStop</w:t>
      </w:r>
      <w:r>
        <w:t xml:space="preserve">, et la liste des mesures indexées pourra alors se présenter comme illustré à la </w:t>
      </w:r>
      <w:r w:rsidRPr="00C804AA">
        <w:t>Fig</w:t>
      </w:r>
      <w:r>
        <w:t>. </w:t>
      </w:r>
      <w:r w:rsidRPr="00C804AA">
        <w:t>2.</w:t>
      </w:r>
    </w:p>
    <w:p w14:paraId="7C491797" w14:textId="77777777" w:rsidR="00897C3F" w:rsidRDefault="00897C3F" w:rsidP="00897C3F">
      <w:pPr>
        <w:pStyle w:val="FigureNo"/>
      </w:pPr>
      <w:r>
        <w:t>FIGURE 2</w:t>
      </w:r>
    </w:p>
    <w:p w14:paraId="1B1AF3AB" w14:textId="77777777" w:rsidR="00897C3F" w:rsidRDefault="00897C3F" w:rsidP="00897C3F">
      <w:pPr>
        <w:pStyle w:val="Figuretitle"/>
      </w:pPr>
      <w:r>
        <w:t>Exemple de liste de fichiers de mesure indexés</w:t>
      </w:r>
    </w:p>
    <w:p w14:paraId="7402B951" w14:textId="77777777" w:rsidR="00897C3F" w:rsidRDefault="0057313F" w:rsidP="00897C3F">
      <w:pPr>
        <w:pStyle w:val="Figure"/>
      </w:pPr>
      <w:r>
        <w:object w:dxaOrig="7589" w:dyaOrig="3114" w14:anchorId="7249C806">
          <v:shape id="_x0000_i1026" type="#_x0000_t75" style="width:379.5pt;height:156pt" o:ole="">
            <v:imagedata r:id="rId9" o:title=""/>
          </v:shape>
          <o:OLEObject Type="Embed" ProgID="CorelDRAW.Graphic.12" ShapeID="_x0000_i1026" DrawAspect="Content" ObjectID="_1649148457" r:id="rId10"/>
        </w:object>
      </w:r>
    </w:p>
    <w:p w14:paraId="278C3C3B" w14:textId="77777777" w:rsidR="00897C3F" w:rsidRPr="006658EE" w:rsidRDefault="00897C3F" w:rsidP="00897C3F">
      <w:pPr>
        <w:pStyle w:val="Heading1"/>
      </w:pPr>
      <w:r w:rsidRPr="006658EE">
        <w:t>3</w:t>
      </w:r>
      <w:r w:rsidRPr="006658EE">
        <w:tab/>
        <w:t xml:space="preserve">Considérations relatives </w:t>
      </w:r>
      <w:proofErr w:type="gramStart"/>
      <w:r w:rsidRPr="006658EE">
        <w:t>à</w:t>
      </w:r>
      <w:proofErr w:type="gramEnd"/>
      <w:r w:rsidRPr="006658EE">
        <w:t xml:space="preserve"> la décision de commencer une campagne de mesure/</w:t>
      </w:r>
      <w:r>
        <w:t>contrôle</w:t>
      </w:r>
    </w:p>
    <w:p w14:paraId="49EF7B2D" w14:textId="77777777" w:rsidR="00897C3F" w:rsidRDefault="00897C3F" w:rsidP="00897C3F">
      <w:r w:rsidRPr="006658EE">
        <w:t>Mis à part l'utilisation d'un format de données normalisé, on recommande de définir certains éléments fondamentaux avant de commencer une campagne de contr</w:t>
      </w:r>
      <w:r>
        <w:t xml:space="preserve">ôle ou de mesure, de telle sorte qu'il soit possible de procéder à des échanges de données de contrôle et d'utiliser ces données de façon efficace. </w:t>
      </w:r>
      <w:r w:rsidRPr="00465FCD">
        <w:t>Le premier ensemble d'éléments, défini au Tableau 2, porte sur les questions techniques et les questions logistiques sur lesquelles il est nécessaire de s'entendre</w:t>
      </w:r>
      <w:r>
        <w:t>.</w:t>
      </w:r>
    </w:p>
    <w:p w14:paraId="03553BBA" w14:textId="77777777" w:rsidR="00897C3F" w:rsidRPr="00465FCD" w:rsidRDefault="00897C3F" w:rsidP="00897C3F">
      <w:r>
        <w:t xml:space="preserve">On observe une forte relation entre certains paramètres techniques, et par ailleurs le contenu de l'information et la précision de mesure des données collectées dépendent du réglage de l'équipement. </w:t>
      </w:r>
      <w:r w:rsidRPr="00465FCD">
        <w:t>Le second ensemble d'éléments spécifié au Tableau 3 concerne donc les aspects</w:t>
      </w:r>
      <w:proofErr w:type="gramStart"/>
      <w:r w:rsidRPr="00465FCD">
        <w:t xml:space="preserve"> </w:t>
      </w:r>
      <w:r>
        <w:t>«</w:t>
      </w:r>
      <w:r w:rsidRPr="00465FCD">
        <w:t>équipement</w:t>
      </w:r>
      <w:proofErr w:type="gramEnd"/>
      <w:r>
        <w:t>»</w:t>
      </w:r>
      <w:r w:rsidRPr="00465FCD">
        <w:t xml:space="preserve"> qui ont une influence directe sur les données générées.</w:t>
      </w:r>
    </w:p>
    <w:p w14:paraId="77E101E5" w14:textId="77777777" w:rsidR="00897C3F" w:rsidRPr="005E694A" w:rsidRDefault="00384823" w:rsidP="00897C3F">
      <w:pPr>
        <w:pStyle w:val="TableNo"/>
      </w:pPr>
      <w:r>
        <w:t>TAB</w:t>
      </w:r>
      <w:r w:rsidRPr="005E694A">
        <w:t xml:space="preserve">LEAU </w:t>
      </w:r>
      <w:r w:rsidR="00897C3F" w:rsidRPr="005E694A">
        <w:t>2</w:t>
      </w:r>
    </w:p>
    <w:p w14:paraId="0E12984C" w14:textId="77777777" w:rsidR="00897C3F" w:rsidRPr="005E694A" w:rsidRDefault="00897C3F" w:rsidP="00897C3F">
      <w:pPr>
        <w:pStyle w:val="Tabletitle"/>
        <w:spacing w:after="240"/>
      </w:pPr>
      <w:r w:rsidRPr="005E694A">
        <w:t>Paramètres techniques et logistiques généraux</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598"/>
      </w:tblGrid>
      <w:tr w:rsidR="00897C3F" w:rsidRPr="005E694A" w14:paraId="0DCF863C" w14:textId="77777777" w:rsidTr="009D0867">
        <w:tblPrEx>
          <w:tblCellMar>
            <w:top w:w="0" w:type="dxa"/>
            <w:bottom w:w="0" w:type="dxa"/>
          </w:tblCellMar>
        </w:tblPrEx>
        <w:trPr>
          <w:jc w:val="center"/>
        </w:trPr>
        <w:tc>
          <w:tcPr>
            <w:tcW w:w="3041" w:type="dxa"/>
            <w:shd w:val="clear" w:color="auto" w:fill="FFFFFF"/>
          </w:tcPr>
          <w:p w14:paraId="7A694797" w14:textId="77777777" w:rsidR="00897C3F" w:rsidRPr="005E694A" w:rsidRDefault="00897C3F" w:rsidP="00897C3F">
            <w:pPr>
              <w:pStyle w:val="Tablehead"/>
            </w:pPr>
            <w:r w:rsidRPr="005E694A">
              <w:t>Paramètre</w:t>
            </w:r>
          </w:p>
        </w:tc>
        <w:tc>
          <w:tcPr>
            <w:tcW w:w="6598" w:type="dxa"/>
            <w:shd w:val="clear" w:color="auto" w:fill="FFFFFF"/>
          </w:tcPr>
          <w:p w14:paraId="33EC5D99" w14:textId="77777777" w:rsidR="00897C3F" w:rsidRPr="005E694A" w:rsidRDefault="00897C3F" w:rsidP="00897C3F">
            <w:pPr>
              <w:pStyle w:val="Tablehead"/>
            </w:pPr>
            <w:r w:rsidRPr="005E694A">
              <w:t>Observations</w:t>
            </w:r>
          </w:p>
        </w:tc>
      </w:tr>
      <w:tr w:rsidR="00897C3F" w:rsidRPr="005E694A" w14:paraId="1C88D236" w14:textId="77777777" w:rsidTr="009D0867">
        <w:tblPrEx>
          <w:tblCellMar>
            <w:top w:w="0" w:type="dxa"/>
            <w:bottom w:w="0" w:type="dxa"/>
          </w:tblCellMar>
        </w:tblPrEx>
        <w:trPr>
          <w:jc w:val="center"/>
        </w:trPr>
        <w:tc>
          <w:tcPr>
            <w:tcW w:w="3041" w:type="dxa"/>
          </w:tcPr>
          <w:p w14:paraId="6D5D627E" w14:textId="77777777" w:rsidR="00897C3F" w:rsidRPr="005E694A" w:rsidRDefault="00897C3F" w:rsidP="00384823">
            <w:pPr>
              <w:pStyle w:val="Tabletext"/>
              <w:jc w:val="left"/>
            </w:pPr>
            <w:r w:rsidRPr="005E694A">
              <w:t>Dates/heures de mesures</w:t>
            </w:r>
          </w:p>
        </w:tc>
        <w:tc>
          <w:tcPr>
            <w:tcW w:w="6598" w:type="dxa"/>
            <w:tcBorders>
              <w:right w:val="single" w:sz="4" w:space="0" w:color="auto"/>
            </w:tcBorders>
          </w:tcPr>
          <w:p w14:paraId="32986C8B" w14:textId="77777777" w:rsidR="00897C3F" w:rsidRPr="005E694A" w:rsidRDefault="00897C3F" w:rsidP="00384823">
            <w:pPr>
              <w:pStyle w:val="Tabletext"/>
              <w:jc w:val="left"/>
            </w:pPr>
            <w:r w:rsidRPr="005E694A">
              <w:t>Les données à fusionner ou à comparer doivent être collectées simultanément ou selon une séquence définie</w:t>
            </w:r>
          </w:p>
        </w:tc>
      </w:tr>
      <w:tr w:rsidR="00897C3F" w:rsidRPr="005E694A" w14:paraId="62D21DFD" w14:textId="77777777" w:rsidTr="009D0867">
        <w:tblPrEx>
          <w:tblCellMar>
            <w:top w:w="0" w:type="dxa"/>
            <w:bottom w:w="0" w:type="dxa"/>
          </w:tblCellMar>
        </w:tblPrEx>
        <w:trPr>
          <w:jc w:val="center"/>
        </w:trPr>
        <w:tc>
          <w:tcPr>
            <w:tcW w:w="3041" w:type="dxa"/>
          </w:tcPr>
          <w:p w14:paraId="47F5208F" w14:textId="77777777" w:rsidR="00897C3F" w:rsidRPr="005E694A" w:rsidRDefault="00897C3F" w:rsidP="00384823">
            <w:pPr>
              <w:pStyle w:val="Tabletext"/>
              <w:jc w:val="left"/>
            </w:pPr>
            <w:r w:rsidRPr="005E694A">
              <w:t>Lieu géographique recherché</w:t>
            </w:r>
          </w:p>
        </w:tc>
        <w:tc>
          <w:tcPr>
            <w:tcW w:w="6598" w:type="dxa"/>
            <w:tcBorders>
              <w:right w:val="single" w:sz="4" w:space="0" w:color="auto"/>
            </w:tcBorders>
          </w:tcPr>
          <w:p w14:paraId="21EED79B" w14:textId="77777777" w:rsidR="00897C3F" w:rsidRPr="005E694A" w:rsidRDefault="00897C3F" w:rsidP="00384823">
            <w:pPr>
              <w:pStyle w:val="Tabletext"/>
              <w:jc w:val="left"/>
            </w:pPr>
            <w:r w:rsidRPr="005E694A">
              <w:t>Pour exclure ou exploiter les effets de propagation</w:t>
            </w:r>
          </w:p>
        </w:tc>
      </w:tr>
      <w:tr w:rsidR="00897C3F" w:rsidRPr="005E694A" w14:paraId="2A2C18E9" w14:textId="77777777" w:rsidTr="009D0867">
        <w:tblPrEx>
          <w:tblCellMar>
            <w:top w:w="0" w:type="dxa"/>
            <w:bottom w:w="0" w:type="dxa"/>
          </w:tblCellMar>
        </w:tblPrEx>
        <w:trPr>
          <w:jc w:val="center"/>
        </w:trPr>
        <w:tc>
          <w:tcPr>
            <w:tcW w:w="3041" w:type="dxa"/>
          </w:tcPr>
          <w:p w14:paraId="31D55418" w14:textId="77777777" w:rsidR="00897C3F" w:rsidRPr="005E694A" w:rsidRDefault="00897C3F" w:rsidP="00384823">
            <w:pPr>
              <w:pStyle w:val="Tabletext"/>
              <w:jc w:val="left"/>
              <w:rPr>
                <w:i/>
              </w:rPr>
            </w:pPr>
            <w:r w:rsidRPr="005E694A">
              <w:t>Gamme de fréquences</w:t>
            </w:r>
            <w:r w:rsidR="00384823">
              <w:br/>
            </w:r>
            <w:r w:rsidRPr="005E694A">
              <w:rPr>
                <w:i/>
              </w:rPr>
              <w:t>(FreqStart, FreqStop)</w:t>
            </w:r>
          </w:p>
        </w:tc>
        <w:tc>
          <w:tcPr>
            <w:tcW w:w="6598" w:type="dxa"/>
          </w:tcPr>
          <w:p w14:paraId="6007E6BF" w14:textId="77777777" w:rsidR="00897C3F" w:rsidRPr="005E694A" w:rsidRDefault="00897C3F" w:rsidP="00384823">
            <w:pPr>
              <w:pStyle w:val="Tabletext"/>
              <w:jc w:val="left"/>
            </w:pPr>
            <w:r w:rsidRPr="005E694A">
              <w:t xml:space="preserve">En fonction des besoins. Noter que dans de nombreux cas, on observe une relation directe entre l'intervalle de </w:t>
            </w:r>
            <w:r w:rsidRPr="005E694A">
              <w:rPr>
                <w:rFonts w:cs="Times"/>
              </w:rPr>
              <w:t>fréquence, la résolution en la fréquence des mesures et l'heure de mesure</w:t>
            </w:r>
          </w:p>
        </w:tc>
      </w:tr>
      <w:tr w:rsidR="00897C3F" w:rsidRPr="005E694A" w14:paraId="45D69FA9" w14:textId="77777777" w:rsidTr="009D0867">
        <w:tblPrEx>
          <w:tblCellMar>
            <w:top w:w="0" w:type="dxa"/>
            <w:bottom w:w="0" w:type="dxa"/>
          </w:tblCellMar>
        </w:tblPrEx>
        <w:trPr>
          <w:trHeight w:val="201"/>
          <w:jc w:val="center"/>
        </w:trPr>
        <w:tc>
          <w:tcPr>
            <w:tcW w:w="3041" w:type="dxa"/>
          </w:tcPr>
          <w:p w14:paraId="78C46F38" w14:textId="77777777" w:rsidR="00897C3F" w:rsidRPr="005E694A" w:rsidRDefault="00897C3F" w:rsidP="00384823">
            <w:pPr>
              <w:pStyle w:val="Tabletext"/>
              <w:jc w:val="left"/>
            </w:pPr>
            <w:r w:rsidRPr="005E694A">
              <w:t>Durée du contrôle</w:t>
            </w:r>
          </w:p>
        </w:tc>
        <w:tc>
          <w:tcPr>
            <w:tcW w:w="6598" w:type="dxa"/>
          </w:tcPr>
          <w:p w14:paraId="22EBA99D" w14:textId="77777777" w:rsidR="00897C3F" w:rsidRPr="005E694A" w:rsidRDefault="00897C3F" w:rsidP="00384823">
            <w:pPr>
              <w:pStyle w:val="Tabletext"/>
              <w:jc w:val="left"/>
            </w:pPr>
            <w:r w:rsidRPr="005E694A">
              <w:t>Selon la tâche considérée</w:t>
            </w:r>
          </w:p>
        </w:tc>
      </w:tr>
      <w:tr w:rsidR="00897C3F" w:rsidRPr="005E694A" w14:paraId="038E5191" w14:textId="77777777" w:rsidTr="009D0867">
        <w:tblPrEx>
          <w:tblCellMar>
            <w:top w:w="0" w:type="dxa"/>
            <w:bottom w:w="0" w:type="dxa"/>
          </w:tblCellMar>
        </w:tblPrEx>
        <w:trPr>
          <w:jc w:val="center"/>
        </w:trPr>
        <w:tc>
          <w:tcPr>
            <w:tcW w:w="3041" w:type="dxa"/>
            <w:tcBorders>
              <w:right w:val="nil"/>
            </w:tcBorders>
          </w:tcPr>
          <w:p w14:paraId="55B7F601" w14:textId="77777777" w:rsidR="00897C3F" w:rsidRPr="005E694A" w:rsidRDefault="00897C3F" w:rsidP="00384823">
            <w:pPr>
              <w:pStyle w:val="Tabletext"/>
              <w:jc w:val="left"/>
            </w:pPr>
            <w:r w:rsidRPr="005E694A">
              <w:t>Intervalle de répétition</w:t>
            </w:r>
          </w:p>
        </w:tc>
        <w:tc>
          <w:tcPr>
            <w:tcW w:w="6598" w:type="dxa"/>
            <w:tcBorders>
              <w:right w:val="single" w:sz="4" w:space="0" w:color="auto"/>
            </w:tcBorders>
          </w:tcPr>
          <w:p w14:paraId="0D655584" w14:textId="77777777" w:rsidR="00897C3F" w:rsidRPr="005E694A" w:rsidRDefault="00897C3F" w:rsidP="00384823">
            <w:pPr>
              <w:pStyle w:val="Tabletext"/>
              <w:jc w:val="left"/>
            </w:pPr>
            <w:r w:rsidRPr="005E694A">
              <w:t xml:space="preserve">Intervalle de temps entre mesures effectuées sur chaque fréquence individuelle considérée, selon la Recommandation </w:t>
            </w:r>
            <w:r>
              <w:t xml:space="preserve">UIT-R </w:t>
            </w:r>
            <w:r w:rsidRPr="005E694A">
              <w:t xml:space="preserve">SM.1536. Doit être suffisamment court pour qu'il soit possible de détecter la plus brève transmission intéressante. Pour éviter tout suréchantillonnage inutile, il est utile de convenir d'un intervalle de répétition défini </w:t>
            </w:r>
          </w:p>
        </w:tc>
      </w:tr>
      <w:tr w:rsidR="00897C3F" w:rsidRPr="005E694A" w14:paraId="189B8C5A" w14:textId="77777777" w:rsidTr="009D0867">
        <w:tblPrEx>
          <w:tblCellMar>
            <w:top w:w="0" w:type="dxa"/>
            <w:bottom w:w="0" w:type="dxa"/>
          </w:tblCellMar>
        </w:tblPrEx>
        <w:trPr>
          <w:jc w:val="center"/>
        </w:trPr>
        <w:tc>
          <w:tcPr>
            <w:tcW w:w="3041" w:type="dxa"/>
          </w:tcPr>
          <w:p w14:paraId="05DBEC64" w14:textId="77777777" w:rsidR="00897C3F" w:rsidRPr="005E694A" w:rsidRDefault="00897C3F" w:rsidP="00384823">
            <w:pPr>
              <w:pStyle w:val="Tabletext"/>
              <w:jc w:val="left"/>
              <w:rPr>
                <w:i/>
              </w:rPr>
            </w:pPr>
            <w:r w:rsidRPr="005E694A">
              <w:t>Antenne</w:t>
            </w:r>
            <w:r w:rsidR="00384823">
              <w:br/>
            </w:r>
            <w:r w:rsidRPr="005E694A">
              <w:rPr>
                <w:i/>
              </w:rPr>
              <w:t xml:space="preserve">(AntennaType) </w:t>
            </w:r>
          </w:p>
        </w:tc>
        <w:tc>
          <w:tcPr>
            <w:tcW w:w="6598" w:type="dxa"/>
            <w:tcBorders>
              <w:right w:val="single" w:sz="4" w:space="0" w:color="auto"/>
            </w:tcBorders>
          </w:tcPr>
          <w:p w14:paraId="61085B18" w14:textId="77777777" w:rsidR="00897C3F" w:rsidRPr="005E694A" w:rsidRDefault="00897C3F" w:rsidP="00384823">
            <w:pPr>
              <w:pStyle w:val="Tabletext"/>
              <w:jc w:val="left"/>
            </w:pPr>
            <w:r w:rsidRPr="005E694A">
              <w:t>La directivité, le gain et le diagramme d'antenne doivent être choisis en fo</w:t>
            </w:r>
            <w:r>
              <w:t>nction de la campagne de mesure</w:t>
            </w:r>
            <w:r w:rsidRPr="005E694A">
              <w:t xml:space="preserve"> et de certaines limites identiques pour toutes les stations participantes</w:t>
            </w:r>
          </w:p>
        </w:tc>
      </w:tr>
    </w:tbl>
    <w:p w14:paraId="22640A00" w14:textId="77777777" w:rsidR="009D0867" w:rsidRPr="005E694A" w:rsidRDefault="009D0867" w:rsidP="009D0867">
      <w:pPr>
        <w:pStyle w:val="TableNo"/>
      </w:pPr>
      <w:r>
        <w:br w:type="page"/>
        <w:t>TAB</w:t>
      </w:r>
      <w:r w:rsidRPr="005E694A">
        <w:t>LEAU 2</w:t>
      </w:r>
      <w:r>
        <w:t xml:space="preserve"> (</w:t>
      </w:r>
      <w:r w:rsidRPr="009D0867">
        <w:rPr>
          <w:i/>
          <w:iCs/>
        </w:rPr>
        <w:t>fin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598"/>
      </w:tblGrid>
      <w:tr w:rsidR="009D0867" w:rsidRPr="005E694A" w14:paraId="6442C294" w14:textId="77777777" w:rsidTr="009D0867">
        <w:tblPrEx>
          <w:tblCellMar>
            <w:top w:w="0" w:type="dxa"/>
            <w:bottom w:w="0" w:type="dxa"/>
          </w:tblCellMar>
        </w:tblPrEx>
        <w:trPr>
          <w:jc w:val="center"/>
        </w:trPr>
        <w:tc>
          <w:tcPr>
            <w:tcW w:w="3041" w:type="dxa"/>
            <w:shd w:val="clear" w:color="auto" w:fill="FFFFFF"/>
          </w:tcPr>
          <w:p w14:paraId="72E06967" w14:textId="77777777" w:rsidR="009D0867" w:rsidRPr="005E694A" w:rsidRDefault="009D0867" w:rsidP="009D0867">
            <w:pPr>
              <w:pStyle w:val="Tablehead"/>
            </w:pPr>
            <w:r w:rsidRPr="005E694A">
              <w:t>Paramètre</w:t>
            </w:r>
          </w:p>
        </w:tc>
        <w:tc>
          <w:tcPr>
            <w:tcW w:w="6598" w:type="dxa"/>
            <w:shd w:val="clear" w:color="auto" w:fill="FFFFFF"/>
          </w:tcPr>
          <w:p w14:paraId="26389898" w14:textId="77777777" w:rsidR="009D0867" w:rsidRPr="005E694A" w:rsidRDefault="009D0867" w:rsidP="009D0867">
            <w:pPr>
              <w:pStyle w:val="Tablehead"/>
            </w:pPr>
            <w:r w:rsidRPr="005E694A">
              <w:t>Observations</w:t>
            </w:r>
          </w:p>
        </w:tc>
      </w:tr>
      <w:tr w:rsidR="00897C3F" w:rsidRPr="005E694A" w14:paraId="42FE3423" w14:textId="77777777" w:rsidTr="009D0867">
        <w:tblPrEx>
          <w:tblCellMar>
            <w:top w:w="0" w:type="dxa"/>
            <w:bottom w:w="0" w:type="dxa"/>
          </w:tblCellMar>
        </w:tblPrEx>
        <w:trPr>
          <w:jc w:val="center"/>
        </w:trPr>
        <w:tc>
          <w:tcPr>
            <w:tcW w:w="3041" w:type="dxa"/>
          </w:tcPr>
          <w:p w14:paraId="702F8CEB" w14:textId="77777777" w:rsidR="00897C3F" w:rsidRPr="005E694A" w:rsidRDefault="00897C3F" w:rsidP="00384823">
            <w:pPr>
              <w:pStyle w:val="Tabletext"/>
              <w:jc w:val="left"/>
              <w:rPr>
                <w:i/>
              </w:rPr>
            </w:pPr>
            <w:r>
              <w:t>Détecteur</w:t>
            </w:r>
            <w:r w:rsidR="00384823">
              <w:br/>
            </w:r>
            <w:r w:rsidRPr="005E694A">
              <w:rPr>
                <w:i/>
              </w:rPr>
              <w:t>(Detector)</w:t>
            </w:r>
          </w:p>
        </w:tc>
        <w:tc>
          <w:tcPr>
            <w:tcW w:w="6598" w:type="dxa"/>
          </w:tcPr>
          <w:p w14:paraId="6B3DF573" w14:textId="77777777" w:rsidR="00897C3F" w:rsidRPr="005E694A" w:rsidRDefault="00897C3F" w:rsidP="00384823">
            <w:pPr>
              <w:pStyle w:val="Tabletext"/>
              <w:jc w:val="left"/>
            </w:pPr>
            <w:r w:rsidRPr="005E694A">
              <w:t>Le choix du détecteur dépend du type de signal à mesurer. Pour des signaux impulsionnels brefs, le mieux est d'utiliser un détecteur de crête ou un échantillonneur, m</w:t>
            </w:r>
            <w:r>
              <w:t>ais pour une campagne de mesure</w:t>
            </w:r>
            <w:r w:rsidRPr="005E694A">
              <w:t xml:space="preserve"> de bruit, par exemple, on utilisera un détecteur RMS. Dans les récepteurs/analyseurs analogiques, le temps d'intégration ou le temps d'échantillonnage dépend de la largeur de bande du filtre utilisé et, sur la période de mesure correspondant au pas de fréquence considéré, les valeurs de l'échantillon sont converties en valeurs crête, rms, moyenne, etc. Dans les analyseurs FFT, la fonction de détection repose sur le traitement de balayages successifs, mais le résultat est le même</w:t>
            </w:r>
          </w:p>
        </w:tc>
      </w:tr>
    </w:tbl>
    <w:p w14:paraId="2D230A31" w14:textId="77777777" w:rsidR="00384823" w:rsidRDefault="00384823" w:rsidP="00384823">
      <w:pPr>
        <w:pStyle w:val="Tablefin"/>
      </w:pPr>
    </w:p>
    <w:p w14:paraId="344ACDB9" w14:textId="77777777" w:rsidR="00897C3F" w:rsidRPr="005E694A" w:rsidRDefault="00384823" w:rsidP="00897C3F">
      <w:pPr>
        <w:pStyle w:val="TableNo"/>
        <w:spacing w:before="280"/>
      </w:pPr>
      <w:r w:rsidRPr="005E694A">
        <w:t xml:space="preserve">TABLEAU </w:t>
      </w:r>
      <w:r w:rsidR="00897C3F" w:rsidRPr="005E694A">
        <w:t>3</w:t>
      </w:r>
    </w:p>
    <w:p w14:paraId="34C2F678" w14:textId="77777777" w:rsidR="00897C3F" w:rsidRPr="005E694A" w:rsidRDefault="00897C3F" w:rsidP="00897C3F">
      <w:pPr>
        <w:pStyle w:val="Tabletitle"/>
        <w:spacing w:after="240"/>
      </w:pPr>
      <w:r w:rsidRPr="005E694A">
        <w:t>Paramètres</w:t>
      </w:r>
      <w:proofErr w:type="gramStart"/>
      <w:r w:rsidRPr="005E694A">
        <w:t xml:space="preserve"> «équipement</w:t>
      </w:r>
      <w:proofErr w:type="gramEnd"/>
      <w:r w:rsidRPr="005E694A">
        <w:t>» ayant une incidence sur les données collectées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6552"/>
      </w:tblGrid>
      <w:tr w:rsidR="00897C3F" w:rsidRPr="005E694A" w14:paraId="076F9D71" w14:textId="77777777" w:rsidTr="00D3547A">
        <w:tblPrEx>
          <w:tblCellMar>
            <w:top w:w="0" w:type="dxa"/>
            <w:bottom w:w="0" w:type="dxa"/>
          </w:tblCellMar>
        </w:tblPrEx>
        <w:trPr>
          <w:jc w:val="center"/>
        </w:trPr>
        <w:tc>
          <w:tcPr>
            <w:tcW w:w="2950" w:type="dxa"/>
            <w:shd w:val="clear" w:color="auto" w:fill="FFFFFF"/>
          </w:tcPr>
          <w:p w14:paraId="36761F47" w14:textId="77777777" w:rsidR="00897C3F" w:rsidRPr="005E694A" w:rsidRDefault="00897C3F" w:rsidP="00897C3F">
            <w:pPr>
              <w:pStyle w:val="Tablehead"/>
            </w:pPr>
            <w:r w:rsidRPr="005E694A">
              <w:t>Paramètre</w:t>
            </w:r>
          </w:p>
        </w:tc>
        <w:tc>
          <w:tcPr>
            <w:tcW w:w="6262" w:type="dxa"/>
            <w:shd w:val="clear" w:color="auto" w:fill="FFFFFF"/>
          </w:tcPr>
          <w:p w14:paraId="6C9ABDC8" w14:textId="77777777" w:rsidR="00897C3F" w:rsidRPr="005E694A" w:rsidRDefault="00897C3F" w:rsidP="00897C3F">
            <w:pPr>
              <w:pStyle w:val="Tablehead"/>
            </w:pPr>
            <w:r w:rsidRPr="005E694A">
              <w:t>Observations</w:t>
            </w:r>
          </w:p>
        </w:tc>
      </w:tr>
      <w:tr w:rsidR="00897C3F" w:rsidRPr="005E694A" w14:paraId="278CC8F0" w14:textId="77777777" w:rsidTr="00D3547A">
        <w:tblPrEx>
          <w:tblCellMar>
            <w:top w:w="0" w:type="dxa"/>
            <w:bottom w:w="0" w:type="dxa"/>
          </w:tblCellMar>
        </w:tblPrEx>
        <w:trPr>
          <w:jc w:val="center"/>
        </w:trPr>
        <w:tc>
          <w:tcPr>
            <w:tcW w:w="2950" w:type="dxa"/>
          </w:tcPr>
          <w:p w14:paraId="5FF7AE39" w14:textId="77777777" w:rsidR="00897C3F" w:rsidRPr="005E694A" w:rsidRDefault="00897C3F" w:rsidP="00D3547A">
            <w:pPr>
              <w:pStyle w:val="Tabletext"/>
              <w:jc w:val="left"/>
            </w:pPr>
            <w:r w:rsidRPr="005E694A">
              <w:t xml:space="preserve">Nombre de points de fréquence par balayage </w:t>
            </w:r>
            <w:r w:rsidR="0057313F">
              <w:br/>
            </w:r>
            <w:r w:rsidRPr="005E694A">
              <w:rPr>
                <w:i/>
              </w:rPr>
              <w:t>(DataPoints)</w:t>
            </w:r>
          </w:p>
        </w:tc>
        <w:tc>
          <w:tcPr>
            <w:tcW w:w="6262" w:type="dxa"/>
          </w:tcPr>
          <w:p w14:paraId="3BE3A70F" w14:textId="77777777" w:rsidR="00897C3F" w:rsidRPr="005E694A" w:rsidRDefault="00897C3F" w:rsidP="00D3547A">
            <w:pPr>
              <w:pStyle w:val="Tabletext"/>
              <w:jc w:val="left"/>
            </w:pPr>
            <w:r w:rsidRPr="005E694A">
              <w:t>Le choix du nombre de points doit garantir une résolution en fréquence suffisante, ainsi que la compatibilité requise avec les autres participants concernés par la campagne. Il peut être nécessaire d'interpoler ou d'extrapoler pour obtenir un nombre de points uniformes par balayage</w:t>
            </w:r>
          </w:p>
        </w:tc>
      </w:tr>
      <w:tr w:rsidR="00897C3F" w:rsidRPr="005E694A" w14:paraId="22C04D9E" w14:textId="77777777" w:rsidTr="00D3547A">
        <w:tblPrEx>
          <w:tblCellMar>
            <w:top w:w="0" w:type="dxa"/>
            <w:bottom w:w="0" w:type="dxa"/>
          </w:tblCellMar>
        </w:tblPrEx>
        <w:trPr>
          <w:jc w:val="center"/>
        </w:trPr>
        <w:tc>
          <w:tcPr>
            <w:tcW w:w="2950" w:type="dxa"/>
          </w:tcPr>
          <w:p w14:paraId="5F055489" w14:textId="77777777" w:rsidR="00897C3F" w:rsidRPr="005E694A" w:rsidRDefault="00897C3F" w:rsidP="00D3547A">
            <w:pPr>
              <w:pStyle w:val="Tabletext"/>
              <w:jc w:val="left"/>
              <w:rPr>
                <w:i/>
              </w:rPr>
            </w:pPr>
            <w:r w:rsidRPr="005E694A">
              <w:t xml:space="preserve">Largeur de bande du filtre </w:t>
            </w:r>
            <w:r w:rsidRPr="005E694A">
              <w:rPr>
                <w:i/>
              </w:rPr>
              <w:t>(FilterBandwidth)</w:t>
            </w:r>
          </w:p>
        </w:tc>
        <w:tc>
          <w:tcPr>
            <w:tcW w:w="6262" w:type="dxa"/>
          </w:tcPr>
          <w:p w14:paraId="6A88F232" w14:textId="77777777" w:rsidR="00897C3F" w:rsidRPr="005E694A" w:rsidRDefault="00897C3F" w:rsidP="00D3547A">
            <w:pPr>
              <w:pStyle w:val="Tabletext"/>
              <w:jc w:val="left"/>
            </w:pPr>
            <w:r w:rsidRPr="005E694A">
              <w:t>Pour faire en sorte que toutes les fréquences soient contrôlées avec un chevauchement minimal, on recommande de régler le récepteur de balayage à environ 120% du pas. La valeur obtenue dépendra naturellement du coefficient de mise en forme du filtre. Dans le cas d'un équipement numérique à FFT, le créneau utilisé et le nombre de points de données dans ce créneau détermine</w:t>
            </w:r>
            <w:r>
              <w:t>nt</w:t>
            </w:r>
            <w:r w:rsidRPr="005E694A">
              <w:t xml:space="preserve"> la résolution en fréquence. Pour les analyseurs (semi-)analogiques, les points à 3 dB du filtre gaussien doivent se chevaucher</w:t>
            </w:r>
          </w:p>
        </w:tc>
      </w:tr>
      <w:tr w:rsidR="00897C3F" w:rsidRPr="005E694A" w14:paraId="2986DD0D" w14:textId="77777777" w:rsidTr="00D3547A">
        <w:tblPrEx>
          <w:tblCellMar>
            <w:top w:w="0" w:type="dxa"/>
            <w:bottom w:w="0" w:type="dxa"/>
          </w:tblCellMar>
        </w:tblPrEx>
        <w:trPr>
          <w:jc w:val="center"/>
        </w:trPr>
        <w:tc>
          <w:tcPr>
            <w:tcW w:w="2950" w:type="dxa"/>
          </w:tcPr>
          <w:p w14:paraId="466E7DFD" w14:textId="77777777" w:rsidR="00897C3F" w:rsidRPr="005E694A" w:rsidRDefault="00897C3F" w:rsidP="00D3547A">
            <w:pPr>
              <w:pStyle w:val="Tabletext"/>
              <w:keepNext/>
              <w:keepLines/>
              <w:jc w:val="left"/>
              <w:rPr>
                <w:i/>
              </w:rPr>
            </w:pPr>
            <w:r w:rsidRPr="005E694A">
              <w:t xml:space="preserve">Durée de balayage </w:t>
            </w:r>
            <w:r w:rsidR="0057313F">
              <w:br/>
            </w:r>
            <w:r w:rsidRPr="005E694A">
              <w:rPr>
                <w:i/>
              </w:rPr>
              <w:t>(ScanTime)</w:t>
            </w:r>
          </w:p>
        </w:tc>
        <w:tc>
          <w:tcPr>
            <w:tcW w:w="6262" w:type="dxa"/>
            <w:tcBorders>
              <w:right w:val="single" w:sz="4" w:space="0" w:color="auto"/>
            </w:tcBorders>
          </w:tcPr>
          <w:p w14:paraId="17E439B7" w14:textId="77777777" w:rsidR="00897C3F" w:rsidRPr="005E694A" w:rsidRDefault="00897C3F" w:rsidP="00D3547A">
            <w:pPr>
              <w:pStyle w:val="Tabletext"/>
              <w:keepNext/>
              <w:keepLines/>
              <w:jc w:val="left"/>
            </w:pPr>
            <w:r w:rsidRPr="005E694A">
              <w:rPr>
                <w:bCs/>
              </w:rPr>
              <w:t>Temps nécessaire à l'équipement pour balayer de FreqStart à FreqStop. Toujours inférieur à l'intervalle de répétition</w:t>
            </w:r>
          </w:p>
        </w:tc>
      </w:tr>
      <w:tr w:rsidR="00897C3F" w:rsidRPr="005E694A" w14:paraId="24119992" w14:textId="77777777" w:rsidTr="00D3547A">
        <w:tblPrEx>
          <w:tblCellMar>
            <w:top w:w="0" w:type="dxa"/>
            <w:bottom w:w="0" w:type="dxa"/>
          </w:tblCellMar>
        </w:tblPrEx>
        <w:trPr>
          <w:jc w:val="center"/>
        </w:trPr>
        <w:tc>
          <w:tcPr>
            <w:tcW w:w="2950" w:type="dxa"/>
          </w:tcPr>
          <w:p w14:paraId="35DAFEB6" w14:textId="77777777" w:rsidR="00897C3F" w:rsidRPr="005E694A" w:rsidRDefault="00897C3F" w:rsidP="00D3547A">
            <w:pPr>
              <w:pStyle w:val="Tabletext"/>
              <w:jc w:val="left"/>
            </w:pPr>
            <w:r w:rsidRPr="005E694A">
              <w:t>Affaiblissement</w:t>
            </w:r>
            <w:r w:rsidR="00D3547A">
              <w:br/>
            </w:r>
            <w:r w:rsidRPr="0057313F">
              <w:rPr>
                <w:i/>
                <w:iCs/>
              </w:rPr>
              <w:t>(Attenuation)</w:t>
            </w:r>
          </w:p>
        </w:tc>
        <w:tc>
          <w:tcPr>
            <w:tcW w:w="6262" w:type="dxa"/>
            <w:tcBorders>
              <w:right w:val="single" w:sz="4" w:space="0" w:color="auto"/>
            </w:tcBorders>
          </w:tcPr>
          <w:p w14:paraId="2D6A4E6E" w14:textId="77777777" w:rsidR="00897C3F" w:rsidRPr="005E694A" w:rsidRDefault="00897C3F" w:rsidP="00D3547A">
            <w:pPr>
              <w:pStyle w:val="Tabletext"/>
              <w:jc w:val="left"/>
            </w:pPr>
            <w:r w:rsidRPr="005E694A">
              <w:t>Un fort affaiblissement d'entrée relève le plancher de bruit et doit être évité. En revanche, une saturation du récepteur peut se traduire par un blocage et de l'intermodulation.</w:t>
            </w:r>
          </w:p>
          <w:p w14:paraId="624FA248" w14:textId="77777777" w:rsidR="00897C3F" w:rsidRPr="005E694A" w:rsidRDefault="00897C3F" w:rsidP="00D3547A">
            <w:pPr>
              <w:pStyle w:val="Tabletext"/>
              <w:jc w:val="left"/>
            </w:pPr>
            <w:r w:rsidRPr="005E694A">
              <w:t>Le réglage d'affaiblissement doit être aussi peu élevé que possible, selon les conditions locales. Une valeur de 0 dB n'est pas recommandée, du fait que l'impédance d'entrée du récepteur n'est pas définie, ce qui entraîne une importante incertitude de mesure</w:t>
            </w:r>
          </w:p>
        </w:tc>
      </w:tr>
      <w:tr w:rsidR="00897C3F" w:rsidRPr="005E694A" w14:paraId="3FD43433" w14:textId="77777777" w:rsidTr="00D3547A">
        <w:tblPrEx>
          <w:tblCellMar>
            <w:top w:w="0" w:type="dxa"/>
            <w:bottom w:w="0" w:type="dxa"/>
          </w:tblCellMar>
        </w:tblPrEx>
        <w:trPr>
          <w:jc w:val="center"/>
        </w:trPr>
        <w:tc>
          <w:tcPr>
            <w:tcW w:w="2950" w:type="dxa"/>
          </w:tcPr>
          <w:p w14:paraId="523D41B7" w14:textId="77777777" w:rsidR="00897C3F" w:rsidRPr="005E694A" w:rsidRDefault="00897C3F" w:rsidP="00D3547A">
            <w:pPr>
              <w:pStyle w:val="Tabletext"/>
              <w:jc w:val="left"/>
            </w:pPr>
            <w:r w:rsidRPr="005E694A">
              <w:t>Dynamique RF et niveau de référence</w:t>
            </w:r>
          </w:p>
        </w:tc>
        <w:tc>
          <w:tcPr>
            <w:tcW w:w="6262" w:type="dxa"/>
          </w:tcPr>
          <w:p w14:paraId="130EF4DB" w14:textId="77777777" w:rsidR="00897C3F" w:rsidRPr="005E694A" w:rsidRDefault="00897C3F" w:rsidP="00D3547A">
            <w:pPr>
              <w:pStyle w:val="Tabletext"/>
              <w:jc w:val="left"/>
            </w:pPr>
            <w:r w:rsidRPr="005E694A">
              <w:t>On choisira une dynamique et un niveau de référence suffisant</w:t>
            </w:r>
            <w:r>
              <w:t>s</w:t>
            </w:r>
            <w:r w:rsidRPr="005E694A">
              <w:t xml:space="preserve"> pour traiter à la réception à la fois les valeurs de signal les plus fortes et les valeurs de signal les plus faibles. Le choix de la dynamique et du niveau de référence prédétermine les </w:t>
            </w:r>
            <w:r>
              <w:t xml:space="preserve">limites des </w:t>
            </w:r>
            <w:r w:rsidRPr="005E694A">
              <w:t>valeurs retenues</w:t>
            </w:r>
          </w:p>
        </w:tc>
      </w:tr>
    </w:tbl>
    <w:p w14:paraId="4AE35CAC" w14:textId="77777777" w:rsidR="00A6617B" w:rsidRDefault="00A6617B" w:rsidP="00A6617B"/>
    <w:p w14:paraId="0F670BA7" w14:textId="77777777" w:rsidR="00897C3F" w:rsidRPr="00897C3F" w:rsidRDefault="00897C3F" w:rsidP="00897C3F">
      <w:pPr>
        <w:pStyle w:val="Line"/>
      </w:pPr>
    </w:p>
    <w:sectPr w:rsidR="00897C3F" w:rsidRPr="00897C3F">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091C" w14:textId="77777777" w:rsidR="00D3547A" w:rsidRDefault="00D3547A">
      <w:r>
        <w:separator/>
      </w:r>
    </w:p>
  </w:endnote>
  <w:endnote w:type="continuationSeparator" w:id="0">
    <w:p w14:paraId="293DB3D5" w14:textId="77777777" w:rsidR="00D3547A" w:rsidRDefault="00D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7F66" w14:textId="77777777" w:rsidR="00D3547A" w:rsidRDefault="00D3547A">
      <w:r>
        <w:separator/>
      </w:r>
    </w:p>
  </w:footnote>
  <w:footnote w:type="continuationSeparator" w:id="0">
    <w:p w14:paraId="34A3D78F" w14:textId="77777777" w:rsidR="00D3547A" w:rsidRDefault="00D3547A">
      <w:r>
        <w:continuationSeparator/>
      </w:r>
    </w:p>
  </w:footnote>
  <w:footnote w:id="1">
    <w:p w14:paraId="2A792BC9" w14:textId="4C79AFD1" w:rsidR="009D3626" w:rsidRPr="009D3626" w:rsidRDefault="009D3626">
      <w:pPr>
        <w:pStyle w:val="FootnoteText"/>
        <w:rPr>
          <w:lang w:val="fr-CH"/>
        </w:rPr>
      </w:pPr>
      <w:r>
        <w:rPr>
          <w:rStyle w:val="FootnoteReference"/>
        </w:rPr>
        <w:t>*</w:t>
      </w:r>
      <w:r>
        <w:t xml:space="preserve"> </w:t>
      </w:r>
      <w:r>
        <w:tab/>
      </w:r>
      <w:r w:rsidRPr="009D3626">
        <w:t>La Commission d'études 1 des radiocommunications a apporté des modifications rédactionnelles à la présente Recommandation en 2019 conformément aux dispositions de la Résolution UIT</w:t>
      </w:r>
      <w:r w:rsidRPr="009D3626">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256B" w14:textId="5CD12485" w:rsidR="00D3547A" w:rsidRDefault="00D3547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313F">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9D0867">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D3626">
      <w:rPr>
        <w:b/>
        <w:bCs/>
        <w:noProof/>
        <w:lang w:val="en-US"/>
      </w:rPr>
      <w:t>UIT-R  SM.1809-0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FA47" w14:textId="0D1B3696" w:rsidR="00D3547A" w:rsidRDefault="00D3547A">
    <w:pPr>
      <w:pStyle w:val="Header"/>
    </w:pPr>
    <w:r>
      <w:tab/>
    </w:r>
    <w:r>
      <w:rPr>
        <w:b/>
        <w:bCs/>
      </w:rPr>
      <w:fldChar w:fldCharType="begin"/>
    </w:r>
    <w:r>
      <w:rPr>
        <w:b/>
        <w:bCs/>
      </w:rPr>
      <w:instrText xml:space="preserve"> DOCPROPERTY "Header" \* MERGEFORMAT </w:instrText>
    </w:r>
    <w:r>
      <w:rPr>
        <w:b/>
        <w:bCs/>
      </w:rPr>
      <w:fldChar w:fldCharType="separate"/>
    </w:r>
    <w:r w:rsidR="009D0867">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D3626">
      <w:rPr>
        <w:b/>
        <w:bCs/>
        <w:noProof/>
      </w:rPr>
      <w:t>UIT-R  SM.1809-0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313F">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590"/>
    <w:rsid w:val="002518AA"/>
    <w:rsid w:val="002859A0"/>
    <w:rsid w:val="002D76C4"/>
    <w:rsid w:val="00335BF7"/>
    <w:rsid w:val="00384823"/>
    <w:rsid w:val="003A0846"/>
    <w:rsid w:val="00524FA8"/>
    <w:rsid w:val="0057313F"/>
    <w:rsid w:val="00607D68"/>
    <w:rsid w:val="007468DA"/>
    <w:rsid w:val="00837590"/>
    <w:rsid w:val="00897C3F"/>
    <w:rsid w:val="008F1FDF"/>
    <w:rsid w:val="009D0867"/>
    <w:rsid w:val="009D3626"/>
    <w:rsid w:val="00A6617B"/>
    <w:rsid w:val="00AB0DC8"/>
    <w:rsid w:val="00B44E24"/>
    <w:rsid w:val="00B979B0"/>
    <w:rsid w:val="00C11A5D"/>
    <w:rsid w:val="00C42098"/>
    <w:rsid w:val="00C65A61"/>
    <w:rsid w:val="00D3547A"/>
    <w:rsid w:val="00D85461"/>
    <w:rsid w:val="00DF4176"/>
    <w:rsid w:val="00DF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54D6D"/>
  <w15:chartTrackingRefBased/>
  <w15:docId w15:val="{050EA80E-72A2-4A38-9E9D-284811A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A5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C11A5D"/>
    <w:pPr>
      <w:keepNext/>
      <w:keepLines/>
      <w:spacing w:before="480"/>
      <w:ind w:left="794" w:hanging="794"/>
      <w:outlineLvl w:val="0"/>
    </w:pPr>
    <w:rPr>
      <w:b/>
    </w:rPr>
  </w:style>
  <w:style w:type="paragraph" w:styleId="Heading2">
    <w:name w:val="heading 2"/>
    <w:basedOn w:val="Heading1"/>
    <w:next w:val="Normal"/>
    <w:qFormat/>
    <w:rsid w:val="00C11A5D"/>
    <w:pPr>
      <w:spacing w:before="320"/>
      <w:outlineLvl w:val="1"/>
    </w:pPr>
  </w:style>
  <w:style w:type="paragraph" w:styleId="Heading3">
    <w:name w:val="heading 3"/>
    <w:basedOn w:val="Heading1"/>
    <w:next w:val="Normal"/>
    <w:qFormat/>
    <w:rsid w:val="00C11A5D"/>
    <w:pPr>
      <w:spacing w:before="200"/>
      <w:outlineLvl w:val="2"/>
    </w:pPr>
  </w:style>
  <w:style w:type="paragraph" w:styleId="Heading4">
    <w:name w:val="heading 4"/>
    <w:basedOn w:val="Heading3"/>
    <w:next w:val="Normal"/>
    <w:qFormat/>
    <w:rsid w:val="00C11A5D"/>
    <w:pPr>
      <w:tabs>
        <w:tab w:val="clear" w:pos="794"/>
        <w:tab w:val="left" w:pos="992"/>
      </w:tabs>
      <w:ind w:left="992" w:hanging="992"/>
      <w:outlineLvl w:val="3"/>
    </w:pPr>
  </w:style>
  <w:style w:type="paragraph" w:styleId="Heading5">
    <w:name w:val="heading 5"/>
    <w:basedOn w:val="Heading4"/>
    <w:next w:val="Normal"/>
    <w:qFormat/>
    <w:rsid w:val="00C11A5D"/>
    <w:pPr>
      <w:outlineLvl w:val="4"/>
    </w:pPr>
  </w:style>
  <w:style w:type="paragraph" w:styleId="Heading6">
    <w:name w:val="heading 6"/>
    <w:basedOn w:val="Heading4"/>
    <w:next w:val="Normal"/>
    <w:qFormat/>
    <w:rsid w:val="00C11A5D"/>
    <w:pPr>
      <w:tabs>
        <w:tab w:val="clear" w:pos="992"/>
        <w:tab w:val="clear" w:pos="1191"/>
      </w:tabs>
      <w:ind w:left="1588" w:hanging="1588"/>
      <w:outlineLvl w:val="5"/>
    </w:pPr>
  </w:style>
  <w:style w:type="paragraph" w:styleId="Heading7">
    <w:name w:val="heading 7"/>
    <w:basedOn w:val="Heading6"/>
    <w:next w:val="Normal"/>
    <w:qFormat/>
    <w:rsid w:val="00C11A5D"/>
    <w:pPr>
      <w:outlineLvl w:val="6"/>
    </w:pPr>
  </w:style>
  <w:style w:type="paragraph" w:styleId="Heading8">
    <w:name w:val="heading 8"/>
    <w:basedOn w:val="Heading6"/>
    <w:next w:val="Normal"/>
    <w:qFormat/>
    <w:rsid w:val="00C11A5D"/>
    <w:pPr>
      <w:outlineLvl w:val="7"/>
    </w:pPr>
  </w:style>
  <w:style w:type="paragraph" w:styleId="Heading9">
    <w:name w:val="heading 9"/>
    <w:basedOn w:val="Heading6"/>
    <w:next w:val="Normal"/>
    <w:qFormat/>
    <w:rsid w:val="00C11A5D"/>
    <w:pPr>
      <w:jc w:val="left"/>
      <w:outlineLvl w:val="8"/>
    </w:pPr>
  </w:style>
  <w:style w:type="character" w:default="1" w:styleId="DefaultParagraphFont">
    <w:name w:val="Default Paragraph Font"/>
    <w:semiHidden/>
    <w:rsid w:val="00C11A5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11A5D"/>
  </w:style>
  <w:style w:type="paragraph" w:styleId="Header">
    <w:name w:val="header"/>
    <w:basedOn w:val="Normal"/>
    <w:rsid w:val="00C11A5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C11A5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C11A5D"/>
  </w:style>
  <w:style w:type="paragraph" w:customStyle="1" w:styleId="Headingb">
    <w:name w:val="Heading_b"/>
    <w:basedOn w:val="Heading3"/>
    <w:next w:val="Normal"/>
    <w:link w:val="HeadingbChar"/>
    <w:qFormat/>
    <w:rsid w:val="00C11A5D"/>
    <w:pPr>
      <w:spacing w:before="160"/>
      <w:ind w:left="0" w:firstLine="0"/>
      <w:outlineLvl w:val="9"/>
    </w:pPr>
  </w:style>
  <w:style w:type="paragraph" w:customStyle="1" w:styleId="Headingi">
    <w:name w:val="Heading_i"/>
    <w:basedOn w:val="Heading3"/>
    <w:next w:val="Normal"/>
    <w:rsid w:val="00C11A5D"/>
    <w:pPr>
      <w:spacing w:before="160"/>
      <w:ind w:left="0" w:firstLine="0"/>
    </w:pPr>
    <w:rPr>
      <w:b w:val="0"/>
      <w:i/>
    </w:rPr>
  </w:style>
  <w:style w:type="character" w:customStyle="1" w:styleId="href">
    <w:name w:val="href"/>
    <w:basedOn w:val="DefaultParagraphFont"/>
    <w:rsid w:val="00C11A5D"/>
  </w:style>
  <w:style w:type="paragraph" w:customStyle="1" w:styleId="enumlev1">
    <w:name w:val="enumlev1"/>
    <w:basedOn w:val="Normal"/>
    <w:rsid w:val="00C11A5D"/>
    <w:pPr>
      <w:spacing w:before="80"/>
      <w:ind w:left="794" w:hanging="794"/>
    </w:pPr>
  </w:style>
  <w:style w:type="paragraph" w:customStyle="1" w:styleId="enumlev2">
    <w:name w:val="enumlev2"/>
    <w:basedOn w:val="enumlev1"/>
    <w:rsid w:val="00C11A5D"/>
    <w:pPr>
      <w:ind w:left="1191" w:hanging="397"/>
    </w:pPr>
  </w:style>
  <w:style w:type="paragraph" w:customStyle="1" w:styleId="enumlev3">
    <w:name w:val="enumlev3"/>
    <w:basedOn w:val="enumlev2"/>
    <w:rsid w:val="00C11A5D"/>
    <w:pPr>
      <w:ind w:left="1588"/>
    </w:pPr>
  </w:style>
  <w:style w:type="paragraph" w:customStyle="1" w:styleId="Normalaftertitle">
    <w:name w:val="Normal_after_title"/>
    <w:basedOn w:val="Normal"/>
    <w:next w:val="Normal"/>
    <w:rsid w:val="00C11A5D"/>
    <w:pPr>
      <w:spacing w:before="320"/>
    </w:pPr>
  </w:style>
  <w:style w:type="paragraph" w:customStyle="1" w:styleId="Note">
    <w:name w:val="Note"/>
    <w:basedOn w:val="Normal"/>
    <w:rsid w:val="00C11A5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C11A5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C11A5D"/>
    <w:pPr>
      <w:spacing w:before="240"/>
    </w:pPr>
    <w:rPr>
      <w:sz w:val="22"/>
      <w:lang w:val="es-ES_tradnl"/>
    </w:rPr>
  </w:style>
  <w:style w:type="paragraph" w:customStyle="1" w:styleId="Recref">
    <w:name w:val="Rec_ref"/>
    <w:basedOn w:val="Normal"/>
    <w:next w:val="Recdate"/>
    <w:rsid w:val="00C11A5D"/>
    <w:pPr>
      <w:jc w:val="center"/>
    </w:pPr>
  </w:style>
  <w:style w:type="paragraph" w:customStyle="1" w:styleId="Recdate">
    <w:name w:val="Rec_date"/>
    <w:basedOn w:val="Recref"/>
    <w:next w:val="Normalaftertitle"/>
    <w:rsid w:val="00C11A5D"/>
    <w:pPr>
      <w:jc w:val="right"/>
    </w:pPr>
  </w:style>
  <w:style w:type="paragraph" w:customStyle="1" w:styleId="AnnexNoTitle">
    <w:name w:val="Annex_NoTitle"/>
    <w:basedOn w:val="Normal"/>
    <w:next w:val="Normalaftertitle"/>
    <w:rsid w:val="009D3626"/>
    <w:pPr>
      <w:keepNext/>
      <w:keepLines/>
      <w:spacing w:before="480" w:after="80"/>
      <w:jc w:val="center"/>
      <w:outlineLvl w:val="0"/>
    </w:pPr>
    <w:rPr>
      <w:b/>
      <w:sz w:val="28"/>
    </w:rPr>
  </w:style>
  <w:style w:type="paragraph" w:customStyle="1" w:styleId="AppendixNoTitle">
    <w:name w:val="Appendix_NoTitle"/>
    <w:basedOn w:val="AnnexNoTitle"/>
    <w:next w:val="Normal"/>
    <w:rsid w:val="00C11A5D"/>
  </w:style>
  <w:style w:type="paragraph" w:customStyle="1" w:styleId="Tablefin">
    <w:name w:val="Table_fin"/>
    <w:basedOn w:val="Normal"/>
    <w:next w:val="Normal"/>
    <w:rsid w:val="00C11A5D"/>
    <w:pPr>
      <w:spacing w:before="0"/>
    </w:pPr>
    <w:rPr>
      <w:sz w:val="20"/>
      <w:lang w:val="en-GB"/>
    </w:rPr>
  </w:style>
  <w:style w:type="paragraph" w:customStyle="1" w:styleId="Tablehead">
    <w:name w:val="Table_head"/>
    <w:basedOn w:val="Normal"/>
    <w:next w:val="Normal"/>
    <w:rsid w:val="00C11A5D"/>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11A5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C11A5D"/>
    <w:pPr>
      <w:keepNext/>
      <w:spacing w:before="360" w:after="120"/>
      <w:jc w:val="center"/>
    </w:pPr>
  </w:style>
  <w:style w:type="paragraph" w:customStyle="1" w:styleId="Tabletext">
    <w:name w:val="Table_text"/>
    <w:basedOn w:val="Normal"/>
    <w:rsid w:val="00C11A5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C11A5D"/>
    <w:pPr>
      <w:tabs>
        <w:tab w:val="clear" w:pos="1191"/>
        <w:tab w:val="clear" w:pos="1588"/>
        <w:tab w:val="clear" w:pos="1985"/>
        <w:tab w:val="center" w:pos="4820"/>
        <w:tab w:val="right" w:pos="9639"/>
      </w:tabs>
    </w:pPr>
  </w:style>
  <w:style w:type="paragraph" w:customStyle="1" w:styleId="Equationlegend">
    <w:name w:val="Equation_legend"/>
    <w:basedOn w:val="NormalIndent"/>
    <w:rsid w:val="00C11A5D"/>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rsid w:val="00C11A5D"/>
    <w:pPr>
      <w:ind w:left="794"/>
    </w:pPr>
  </w:style>
  <w:style w:type="paragraph" w:customStyle="1" w:styleId="Figurelegend">
    <w:name w:val="Figure_legend"/>
    <w:basedOn w:val="Normal"/>
    <w:rsid w:val="00C11A5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11A5D"/>
    <w:pPr>
      <w:keepNext/>
      <w:keepLines/>
      <w:spacing w:before="480" w:after="80"/>
      <w:jc w:val="center"/>
    </w:pPr>
    <w:rPr>
      <w:caps/>
      <w:sz w:val="18"/>
    </w:rPr>
  </w:style>
  <w:style w:type="paragraph" w:customStyle="1" w:styleId="tocpart">
    <w:name w:val="tocpart"/>
    <w:basedOn w:val="Normal"/>
    <w:rsid w:val="00C11A5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C11A5D"/>
    <w:pPr>
      <w:keepNext/>
      <w:keepLines/>
      <w:spacing w:before="480"/>
      <w:jc w:val="center"/>
    </w:pPr>
    <w:rPr>
      <w:sz w:val="28"/>
    </w:rPr>
  </w:style>
  <w:style w:type="paragraph" w:customStyle="1" w:styleId="Arttitle">
    <w:name w:val="Art_title"/>
    <w:basedOn w:val="Normal"/>
    <w:next w:val="Normalaftertitle"/>
    <w:rsid w:val="00C11A5D"/>
    <w:pPr>
      <w:keepNext/>
      <w:keepLines/>
      <w:spacing w:before="240"/>
      <w:jc w:val="center"/>
    </w:pPr>
    <w:rPr>
      <w:b/>
      <w:sz w:val="28"/>
    </w:rPr>
  </w:style>
  <w:style w:type="paragraph" w:customStyle="1" w:styleId="Blanc">
    <w:name w:val="Blanc"/>
    <w:basedOn w:val="Normal"/>
    <w:next w:val="Tabletext"/>
    <w:rsid w:val="00C11A5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C11A5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C11A5D"/>
    <w:pPr>
      <w:keepNext/>
      <w:keepLines/>
      <w:spacing w:before="160"/>
      <w:ind w:left="794"/>
    </w:pPr>
    <w:rPr>
      <w:i/>
    </w:rPr>
  </w:style>
  <w:style w:type="paragraph" w:customStyle="1" w:styleId="ChapNo">
    <w:name w:val="Chap_No"/>
    <w:basedOn w:val="ArtNo"/>
    <w:next w:val="Chaptitle"/>
    <w:rsid w:val="00C11A5D"/>
    <w:rPr>
      <w:b/>
    </w:rPr>
  </w:style>
  <w:style w:type="paragraph" w:customStyle="1" w:styleId="Chaptitle">
    <w:name w:val="Chap_title"/>
    <w:basedOn w:val="Arttitle"/>
    <w:next w:val="Normalaftertitle"/>
    <w:rsid w:val="00C11A5D"/>
  </w:style>
  <w:style w:type="character" w:styleId="FootnoteReference">
    <w:name w:val="footnote reference"/>
    <w:basedOn w:val="DefaultParagraphFont"/>
    <w:semiHidden/>
    <w:rsid w:val="00C11A5D"/>
    <w:rPr>
      <w:position w:val="6"/>
      <w:sz w:val="18"/>
    </w:rPr>
  </w:style>
  <w:style w:type="paragraph" w:styleId="FootnoteText">
    <w:name w:val="footnote text"/>
    <w:basedOn w:val="Normal"/>
    <w:semiHidden/>
    <w:rsid w:val="00C11A5D"/>
    <w:pPr>
      <w:keepLines/>
      <w:tabs>
        <w:tab w:val="left" w:pos="255"/>
      </w:tabs>
      <w:ind w:left="255" w:hanging="255"/>
    </w:pPr>
    <w:rPr>
      <w:sz w:val="22"/>
    </w:rPr>
  </w:style>
  <w:style w:type="paragraph" w:styleId="Index1">
    <w:name w:val="index 1"/>
    <w:basedOn w:val="Normal"/>
    <w:next w:val="Normal"/>
    <w:semiHidden/>
    <w:rsid w:val="00C11A5D"/>
  </w:style>
  <w:style w:type="paragraph" w:styleId="Index2">
    <w:name w:val="index 2"/>
    <w:basedOn w:val="Normal"/>
    <w:next w:val="Normal"/>
    <w:semiHidden/>
    <w:rsid w:val="00C11A5D"/>
    <w:pPr>
      <w:ind w:left="283"/>
    </w:pPr>
  </w:style>
  <w:style w:type="paragraph" w:styleId="Index3">
    <w:name w:val="index 3"/>
    <w:basedOn w:val="Normal"/>
    <w:next w:val="Normal"/>
    <w:semiHidden/>
    <w:rsid w:val="00C11A5D"/>
    <w:pPr>
      <w:ind w:left="566"/>
    </w:pPr>
  </w:style>
  <w:style w:type="paragraph" w:styleId="IndexHeading">
    <w:name w:val="index heading"/>
    <w:basedOn w:val="Normal"/>
    <w:next w:val="Index1"/>
    <w:semiHidden/>
    <w:rsid w:val="00C11A5D"/>
  </w:style>
  <w:style w:type="paragraph" w:customStyle="1" w:styleId="Line">
    <w:name w:val="Line"/>
    <w:basedOn w:val="Normal"/>
    <w:next w:val="Normal"/>
    <w:rsid w:val="00C11A5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C11A5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C11A5D"/>
  </w:style>
  <w:style w:type="paragraph" w:customStyle="1" w:styleId="Partref">
    <w:name w:val="Part_ref"/>
    <w:basedOn w:val="Normal"/>
    <w:next w:val="Normal"/>
    <w:rsid w:val="00C11A5D"/>
    <w:pPr>
      <w:keepNext/>
      <w:keepLines/>
      <w:spacing w:after="280"/>
      <w:jc w:val="center"/>
    </w:pPr>
  </w:style>
  <w:style w:type="paragraph" w:customStyle="1" w:styleId="Parttitle">
    <w:name w:val="Part_title"/>
    <w:basedOn w:val="Normal"/>
    <w:next w:val="Normalaftertitle"/>
    <w:rsid w:val="00C11A5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C11A5D"/>
  </w:style>
  <w:style w:type="paragraph" w:customStyle="1" w:styleId="QuestionNo">
    <w:name w:val="Question_No"/>
    <w:basedOn w:val="RecNo"/>
    <w:next w:val="Normal"/>
    <w:rsid w:val="00C11A5D"/>
  </w:style>
  <w:style w:type="paragraph" w:customStyle="1" w:styleId="Questionref">
    <w:name w:val="Question_ref"/>
    <w:basedOn w:val="Recref"/>
    <w:next w:val="Questiondate"/>
    <w:rsid w:val="00C11A5D"/>
  </w:style>
  <w:style w:type="paragraph" w:customStyle="1" w:styleId="Questiontitle">
    <w:name w:val="Question_title"/>
    <w:basedOn w:val="Normal"/>
    <w:next w:val="Questionref"/>
    <w:rsid w:val="00C11A5D"/>
  </w:style>
  <w:style w:type="paragraph" w:customStyle="1" w:styleId="Reftext">
    <w:name w:val="Ref_text"/>
    <w:basedOn w:val="Normal"/>
    <w:rsid w:val="00C11A5D"/>
    <w:pPr>
      <w:ind w:left="794" w:hanging="794"/>
    </w:pPr>
    <w:rPr>
      <w:sz w:val="22"/>
    </w:rPr>
  </w:style>
  <w:style w:type="paragraph" w:customStyle="1" w:styleId="Reftitle">
    <w:name w:val="Ref_title"/>
    <w:basedOn w:val="Normal"/>
    <w:next w:val="Reftext"/>
    <w:rsid w:val="00C11A5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C11A5D"/>
  </w:style>
  <w:style w:type="paragraph" w:customStyle="1" w:styleId="RepNo">
    <w:name w:val="Rep_No"/>
    <w:basedOn w:val="RecNo"/>
    <w:next w:val="Reptitle"/>
    <w:rsid w:val="00C11A5D"/>
  </w:style>
  <w:style w:type="paragraph" w:customStyle="1" w:styleId="Repref">
    <w:name w:val="Rep_ref"/>
    <w:basedOn w:val="Recref"/>
    <w:next w:val="Repdate"/>
    <w:rsid w:val="00C11A5D"/>
  </w:style>
  <w:style w:type="paragraph" w:customStyle="1" w:styleId="Reptitle">
    <w:name w:val="Rep_title"/>
    <w:basedOn w:val="Rectitle"/>
    <w:next w:val="Repref"/>
    <w:rsid w:val="00C11A5D"/>
  </w:style>
  <w:style w:type="paragraph" w:customStyle="1" w:styleId="Resdate">
    <w:name w:val="Res_date"/>
    <w:basedOn w:val="Recdate"/>
    <w:next w:val="Normalaftertitle"/>
    <w:rsid w:val="00C11A5D"/>
  </w:style>
  <w:style w:type="paragraph" w:customStyle="1" w:styleId="ResNo">
    <w:name w:val="Res_No"/>
    <w:basedOn w:val="RecNo"/>
    <w:next w:val="Restitle"/>
    <w:rsid w:val="00C11A5D"/>
  </w:style>
  <w:style w:type="paragraph" w:customStyle="1" w:styleId="Resref">
    <w:name w:val="Res_ref"/>
    <w:basedOn w:val="Recref"/>
    <w:next w:val="Resdate"/>
    <w:rsid w:val="00C11A5D"/>
  </w:style>
  <w:style w:type="paragraph" w:customStyle="1" w:styleId="Restitle">
    <w:name w:val="Res_title"/>
    <w:basedOn w:val="Normal"/>
    <w:next w:val="Resref"/>
    <w:rsid w:val="00C11A5D"/>
    <w:pPr>
      <w:spacing w:before="240"/>
      <w:jc w:val="center"/>
    </w:pPr>
    <w:rPr>
      <w:b/>
      <w:sz w:val="28"/>
    </w:rPr>
  </w:style>
  <w:style w:type="paragraph" w:customStyle="1" w:styleId="SectionNo">
    <w:name w:val="Section_No"/>
    <w:basedOn w:val="Normal"/>
    <w:next w:val="Normal"/>
    <w:rsid w:val="00C11A5D"/>
  </w:style>
  <w:style w:type="paragraph" w:customStyle="1" w:styleId="Sectiontitle">
    <w:name w:val="Section_title"/>
    <w:basedOn w:val="Normal"/>
    <w:next w:val="Normalaftertitle"/>
    <w:rsid w:val="00C11A5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C11A5D"/>
    <w:pPr>
      <w:tabs>
        <w:tab w:val="clear" w:pos="794"/>
        <w:tab w:val="clear" w:pos="1191"/>
        <w:tab w:val="clear" w:pos="1588"/>
        <w:tab w:val="clear" w:pos="1985"/>
        <w:tab w:val="right" w:pos="9611"/>
      </w:tabs>
    </w:pPr>
    <w:rPr>
      <w:i/>
    </w:rPr>
  </w:style>
  <w:style w:type="paragraph" w:styleId="TOC1">
    <w:name w:val="toc 1"/>
    <w:basedOn w:val="Normal"/>
    <w:semiHidden/>
    <w:rsid w:val="00C11A5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C11A5D"/>
    <w:pPr>
      <w:tabs>
        <w:tab w:val="clear" w:pos="567"/>
        <w:tab w:val="left" w:pos="1276"/>
      </w:tabs>
      <w:spacing w:before="160"/>
      <w:ind w:left="1276" w:hanging="709"/>
    </w:pPr>
  </w:style>
  <w:style w:type="paragraph" w:styleId="TOC3">
    <w:name w:val="toc 3"/>
    <w:basedOn w:val="TOC2"/>
    <w:semiHidden/>
    <w:rsid w:val="00C11A5D"/>
    <w:pPr>
      <w:tabs>
        <w:tab w:val="clear" w:pos="1276"/>
        <w:tab w:val="left" w:pos="2155"/>
      </w:tabs>
      <w:ind w:left="2155" w:hanging="879"/>
    </w:pPr>
  </w:style>
  <w:style w:type="paragraph" w:styleId="TOC4">
    <w:name w:val="toc 4"/>
    <w:basedOn w:val="TOC3"/>
    <w:semiHidden/>
    <w:rsid w:val="00C11A5D"/>
    <w:pPr>
      <w:tabs>
        <w:tab w:val="left" w:pos="3261"/>
      </w:tabs>
      <w:spacing w:before="80"/>
      <w:ind w:left="3261" w:hanging="993"/>
    </w:pPr>
  </w:style>
  <w:style w:type="paragraph" w:styleId="TOC5">
    <w:name w:val="toc 5"/>
    <w:basedOn w:val="TOC4"/>
    <w:semiHidden/>
    <w:rsid w:val="00C11A5D"/>
  </w:style>
  <w:style w:type="paragraph" w:styleId="TOC6">
    <w:name w:val="toc 6"/>
    <w:basedOn w:val="TOC4"/>
    <w:semiHidden/>
    <w:rsid w:val="00C11A5D"/>
  </w:style>
  <w:style w:type="paragraph" w:styleId="TOC7">
    <w:name w:val="toc 7"/>
    <w:basedOn w:val="TOC4"/>
    <w:semiHidden/>
    <w:rsid w:val="00C11A5D"/>
  </w:style>
  <w:style w:type="paragraph" w:styleId="TOC8">
    <w:name w:val="toc 8"/>
    <w:basedOn w:val="TOC4"/>
    <w:semiHidden/>
    <w:rsid w:val="00C11A5D"/>
  </w:style>
  <w:style w:type="paragraph" w:customStyle="1" w:styleId="Rectitle">
    <w:name w:val="Rec_title"/>
    <w:basedOn w:val="Normal"/>
    <w:next w:val="Recref"/>
    <w:rsid w:val="00C11A5D"/>
    <w:pPr>
      <w:keepNext/>
      <w:keepLines/>
      <w:spacing w:before="240"/>
      <w:jc w:val="center"/>
    </w:pPr>
    <w:rPr>
      <w:b/>
      <w:sz w:val="28"/>
    </w:rPr>
  </w:style>
  <w:style w:type="paragraph" w:customStyle="1" w:styleId="Annexref">
    <w:name w:val="Annex_ref"/>
    <w:basedOn w:val="Normal"/>
    <w:next w:val="Normalaftertitle"/>
    <w:rsid w:val="00C11A5D"/>
    <w:pPr>
      <w:keepNext/>
      <w:keepLines/>
      <w:spacing w:after="280"/>
      <w:jc w:val="center"/>
    </w:pPr>
  </w:style>
  <w:style w:type="paragraph" w:customStyle="1" w:styleId="Appendixref">
    <w:name w:val="Appendix_ref"/>
    <w:basedOn w:val="Annexref"/>
    <w:next w:val="Normalaftertitle"/>
    <w:rsid w:val="00C11A5D"/>
  </w:style>
  <w:style w:type="paragraph" w:customStyle="1" w:styleId="Figuretitle">
    <w:name w:val="Figure_title"/>
    <w:basedOn w:val="Normal"/>
    <w:next w:val="Figure"/>
    <w:rsid w:val="00C11A5D"/>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C11A5D"/>
    <w:pPr>
      <w:keepNext/>
      <w:spacing w:before="0" w:after="120"/>
      <w:jc w:val="center"/>
    </w:pPr>
    <w:rPr>
      <w:b/>
    </w:rPr>
  </w:style>
  <w:style w:type="paragraph" w:customStyle="1" w:styleId="Summary">
    <w:name w:val="Summary"/>
    <w:basedOn w:val="Normal"/>
    <w:next w:val="Normalaftertitle"/>
    <w:link w:val="SummaryChar"/>
    <w:rsid w:val="00C11A5D"/>
    <w:pPr>
      <w:spacing w:after="480"/>
    </w:pPr>
    <w:rPr>
      <w:sz w:val="22"/>
      <w:lang w:val="es-ES_tradnl"/>
    </w:rPr>
  </w:style>
  <w:style w:type="paragraph" w:customStyle="1" w:styleId="TableLegendNote">
    <w:name w:val="Table_Legend_Note"/>
    <w:basedOn w:val="Tablelegend"/>
    <w:next w:val="Tablelegend"/>
    <w:rsid w:val="00C11A5D"/>
    <w:pPr>
      <w:ind w:left="-85" w:firstLine="0"/>
    </w:pPr>
    <w:rPr>
      <w:lang w:val="en-US"/>
    </w:rPr>
  </w:style>
  <w:style w:type="paragraph" w:customStyle="1" w:styleId="Figure">
    <w:name w:val="Figure"/>
    <w:basedOn w:val="FigureNo"/>
    <w:next w:val="Normal"/>
    <w:rsid w:val="00C11A5D"/>
    <w:pPr>
      <w:keepNext w:val="0"/>
      <w:spacing w:before="0" w:after="240"/>
    </w:pPr>
  </w:style>
  <w:style w:type="character" w:customStyle="1" w:styleId="TabletitleChar">
    <w:name w:val="Table_title Char"/>
    <w:basedOn w:val="DefaultParagraphFont"/>
    <w:link w:val="Tabletitle"/>
    <w:rsid w:val="00897C3F"/>
    <w:rPr>
      <w:b/>
      <w:sz w:val="24"/>
      <w:lang w:val="fr-FR" w:eastAsia="en-US" w:bidi="ar-SA"/>
    </w:rPr>
  </w:style>
  <w:style w:type="character" w:customStyle="1" w:styleId="SummaryChar">
    <w:name w:val="Summary Char"/>
    <w:basedOn w:val="DefaultParagraphFont"/>
    <w:link w:val="Summary"/>
    <w:rsid w:val="00C11A5D"/>
    <w:rPr>
      <w:sz w:val="22"/>
      <w:lang w:val="es-ES_tradnl" w:eastAsia="en-US" w:bidi="ar-SA"/>
    </w:rPr>
  </w:style>
  <w:style w:type="paragraph" w:customStyle="1" w:styleId="Artheading">
    <w:name w:val="Art_heading"/>
    <w:basedOn w:val="Normal"/>
    <w:next w:val="Normalaftertitle"/>
    <w:rsid w:val="009D3626"/>
    <w:pPr>
      <w:tabs>
        <w:tab w:val="left" w:pos="794"/>
        <w:tab w:val="left" w:pos="1191"/>
        <w:tab w:val="left" w:pos="1588"/>
        <w:tab w:val="left" w:pos="1985"/>
      </w:tabs>
      <w:spacing w:before="480"/>
      <w:jc w:val="center"/>
    </w:pPr>
    <w:rPr>
      <w:rFonts w:eastAsia="SimSun"/>
      <w:b/>
      <w:sz w:val="28"/>
    </w:rPr>
  </w:style>
  <w:style w:type="character" w:customStyle="1" w:styleId="HeadingbChar">
    <w:name w:val="Heading_b Char"/>
    <w:link w:val="Headingb"/>
    <w:locked/>
    <w:rsid w:val="009D3626"/>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8</Pages>
  <Words>2488</Words>
  <Characters>14208</Characters>
  <Application>Microsoft Office Word</Application>
  <DocSecurity>0</DocSecurity>
  <Lines>458</Lines>
  <Paragraphs>278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SM.1809-0* - Format normalisé d'échange de données pour l'enregistrement des bandes de fréquences et les mesures aux stations de contrôle</dc:title>
  <dc:subject>Série SM = Gestion du spectre</dc:subject>
  <dc:creator>Bureau des radiocommunications de l'UIT (BR)</dc:creator>
  <cp:keywords>SM,1809-0*</cp:keywords>
  <dc:description>Gachetc, 23/04/2020, ITU51013811</dc:description>
  <cp:lastModifiedBy>Gachet, Christelle</cp:lastModifiedBy>
  <cp:revision>3</cp:revision>
  <cp:lastPrinted>2005-02-10T15:54:00Z</cp:lastPrinted>
  <dcterms:created xsi:type="dcterms:W3CDTF">2020-04-23T09:24:00Z</dcterms:created>
  <dcterms:modified xsi:type="dcterms:W3CDTF">2020-04-23T09:26:00Z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Gachetc</vt:lpwstr>
  </property>
  <property fmtid="{D5CDD505-2E9C-101B-9397-08002B2CF9AE}" pid="11" name="Date completed">
    <vt:lpwstr>23 April 2020</vt:lpwstr>
  </property>
</Properties>
</file>