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023CB" w:rsidTr="00E159C0">
        <w:tc>
          <w:tcPr>
            <w:tcW w:w="10089" w:type="dxa"/>
          </w:tcPr>
          <w:p w:rsidR="004023CB" w:rsidRPr="001511A6" w:rsidRDefault="004023CB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23CB" w:rsidRPr="001511A6" w:rsidRDefault="004023CB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852</w:t>
            </w:r>
            <w:r w:rsidR="00D21F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:rsidR="004023CB" w:rsidRPr="001511A6" w:rsidRDefault="004023CB" w:rsidP="00E159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03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1992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4023CB" w:rsidRPr="007B3EA0" w:rsidTr="00E159C0">
        <w:tc>
          <w:tcPr>
            <w:tcW w:w="10089" w:type="dxa"/>
          </w:tcPr>
          <w:p w:rsidR="004023CB" w:rsidRPr="001511A6" w:rsidRDefault="004023CB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4023CB" w:rsidRPr="001511A6" w:rsidRDefault="004023CB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Sensitivity of radio receivers for class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of emissions F3E</w:t>
            </w:r>
          </w:p>
          <w:p w:rsidR="004023CB" w:rsidRPr="001511A6" w:rsidRDefault="004023CB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4023CB" w:rsidTr="00E159C0">
        <w:tc>
          <w:tcPr>
            <w:tcW w:w="10089" w:type="dxa"/>
          </w:tcPr>
          <w:p w:rsidR="004023CB" w:rsidRPr="007B3EA0" w:rsidRDefault="004023CB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23CB" w:rsidRPr="007B3EA0" w:rsidRDefault="004023CB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23CB" w:rsidRPr="007B3EA0" w:rsidRDefault="004023CB" w:rsidP="00E159C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023CB" w:rsidRPr="001511A6" w:rsidRDefault="004023CB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023CB" w:rsidRPr="001511A6" w:rsidRDefault="004023CB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4023CB" w:rsidRPr="001511A6" w:rsidRDefault="004023CB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4023CB" w:rsidRPr="001511A6" w:rsidRDefault="004023CB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4023C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023CB" w:rsidRPr="00586EF8" w:rsidRDefault="004023CB" w:rsidP="004023C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4023CB" w:rsidRDefault="004023CB" w:rsidP="004023CB">
      <w:pPr>
        <w:spacing w:before="240"/>
        <w:rPr>
          <w:lang w:val="en-US"/>
        </w:rPr>
      </w:pPr>
      <w:r>
        <w:rPr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4023CB" w:rsidRDefault="004023CB" w:rsidP="004023CB">
      <w:pPr>
        <w:rPr>
          <w:lang w:val="en-US"/>
        </w:rPr>
      </w:pPr>
      <w:r>
        <w:rPr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4023CB" w:rsidRPr="00B714F3" w:rsidRDefault="004023CB" w:rsidP="004023CB">
      <w:pPr>
        <w:pStyle w:val="Heading1"/>
        <w:spacing w:before="680"/>
        <w:jc w:val="center"/>
        <w:rPr>
          <w:lang w:val="en-US"/>
        </w:rPr>
      </w:pPr>
      <w:r w:rsidRPr="00B714F3">
        <w:rPr>
          <w:lang w:val="en-US"/>
        </w:rPr>
        <w:t>Policy on Intellectual Property Right (IPR)</w:t>
      </w:r>
    </w:p>
    <w:p w:rsidR="004023CB" w:rsidRPr="00B714F3" w:rsidRDefault="004023CB" w:rsidP="004023C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lang w:val="en-US"/>
        </w:rPr>
      </w:pPr>
      <w:r w:rsidRPr="00B714F3">
        <w:rPr>
          <w:lang w:val="en-US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B714F3">
        <w:rPr>
          <w:lang w:val="en-US"/>
        </w:rPr>
        <w:t xml:space="preserve">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lang w:val="en-US"/>
          </w:rPr>
          <w:t>http://www.itu.int/ITU-R/go/patents/en</w:t>
        </w:r>
      </w:hyperlink>
      <w:r w:rsidRPr="00B714F3">
        <w:rPr>
          <w:lang w:val="en-US"/>
        </w:rPr>
        <w:t xml:space="preserve"> where the Guidelines for Implementation of the Common Patent Policy for ITU</w:t>
      </w:r>
      <w:r w:rsidRPr="00B714F3">
        <w:rPr>
          <w:lang w:val="en-US"/>
        </w:rPr>
        <w:noBreakHyphen/>
        <w:t>T/ITU</w:t>
      </w:r>
      <w:r w:rsidRPr="00B714F3">
        <w:rPr>
          <w:lang w:val="en-US"/>
        </w:rPr>
        <w:noBreakHyphen/>
        <w:t xml:space="preserve">R/ISO/IEC and the ITU-R patent information database can also be found. </w:t>
      </w:r>
    </w:p>
    <w:p w:rsidR="004023CB" w:rsidRDefault="004023CB" w:rsidP="004023CB">
      <w:pPr>
        <w:jc w:val="center"/>
        <w:rPr>
          <w:sz w:val="22"/>
          <w:lang w:val="en-US"/>
        </w:rPr>
      </w:pPr>
    </w:p>
    <w:p w:rsidR="004023CB" w:rsidRDefault="004023CB" w:rsidP="004023CB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023CB" w:rsidRPr="007B3EA0" w:rsidTr="00E159C0">
        <w:tc>
          <w:tcPr>
            <w:tcW w:w="9360" w:type="dxa"/>
            <w:gridSpan w:val="2"/>
          </w:tcPr>
          <w:p w:rsidR="004023CB" w:rsidRPr="00036EE3" w:rsidRDefault="004023CB" w:rsidP="00E159C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20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4023CB" w:rsidRPr="007B3EA0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4023CB" w:rsidRPr="00ED2695" w:rsidTr="00E159C0">
        <w:tc>
          <w:tcPr>
            <w:tcW w:w="1140" w:type="dxa"/>
            <w:shd w:val="clear" w:color="auto" w:fill="auto"/>
          </w:tcPr>
          <w:p w:rsidR="004023CB" w:rsidRPr="00ED2695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4023CB" w:rsidRPr="00ED2695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4023CB" w:rsidRPr="00036EE3" w:rsidTr="00E159C0">
        <w:tc>
          <w:tcPr>
            <w:tcW w:w="1140" w:type="dxa"/>
            <w:shd w:val="clear" w:color="auto" w:fill="auto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4023CB" w:rsidRPr="00036EE3" w:rsidRDefault="004023CB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4023CB" w:rsidRPr="00036EE3" w:rsidTr="00E159C0">
        <w:tc>
          <w:tcPr>
            <w:tcW w:w="1140" w:type="dxa"/>
            <w:shd w:val="clear" w:color="auto" w:fill="auto"/>
          </w:tcPr>
          <w:p w:rsidR="004023CB" w:rsidRPr="00906589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06589">
              <w:rPr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4023CB" w:rsidRPr="00906589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fr-CH"/>
              </w:rPr>
            </w:pPr>
            <w:r w:rsidRPr="00036EE3">
              <w:rPr>
                <w:lang w:val="fr-CH"/>
              </w:rPr>
              <w:t>Radiowave propagation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Fixed-satellite service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Space applications and meteorology</w:t>
            </w:r>
          </w:p>
        </w:tc>
      </w:tr>
      <w:tr w:rsidR="004023CB" w:rsidRPr="007B3EA0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Frequency sharing and coordination between fixed-satellite and fixed service systems</w:t>
            </w:r>
          </w:p>
        </w:tc>
      </w:tr>
      <w:tr w:rsidR="004023CB" w:rsidRPr="00036EE3" w:rsidTr="00E159C0">
        <w:tc>
          <w:tcPr>
            <w:tcW w:w="1140" w:type="dxa"/>
            <w:shd w:val="clear" w:color="auto" w:fill="F3F3F3"/>
          </w:tcPr>
          <w:p w:rsidR="004023CB" w:rsidRPr="00906589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4023CB" w:rsidRPr="00906589" w:rsidRDefault="004023CB" w:rsidP="00E159C0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Spectrum management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Satellite news gathering</w:t>
            </w:r>
          </w:p>
        </w:tc>
      </w:tr>
      <w:tr w:rsidR="004023CB" w:rsidRPr="007B3EA0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Time signals and frequency standards emissions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18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Vocabulary and related subjects</w:t>
            </w:r>
          </w:p>
        </w:tc>
      </w:tr>
    </w:tbl>
    <w:p w:rsidR="004023CB" w:rsidRPr="00036EE3" w:rsidRDefault="004023CB" w:rsidP="004023CB">
      <w:pPr>
        <w:spacing w:before="30" w:after="30"/>
        <w:jc w:val="center"/>
        <w:rPr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023CB" w:rsidTr="00E159C0">
        <w:tc>
          <w:tcPr>
            <w:tcW w:w="720" w:type="dxa"/>
          </w:tcPr>
          <w:p w:rsidR="004023CB" w:rsidRDefault="004023CB" w:rsidP="00E159C0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4023CB" w:rsidRPr="00036EE3" w:rsidRDefault="004023CB" w:rsidP="004023CB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023CB" w:rsidRPr="007B3EA0" w:rsidTr="00E159C0">
        <w:tc>
          <w:tcPr>
            <w:tcW w:w="9360" w:type="dxa"/>
          </w:tcPr>
          <w:p w:rsidR="004023CB" w:rsidRPr="002F5199" w:rsidRDefault="004023CB" w:rsidP="00E159C0">
            <w:pPr>
              <w:spacing w:after="120"/>
              <w:jc w:val="center"/>
              <w:rPr>
                <w:lang w:val="en-US"/>
              </w:rPr>
            </w:pPr>
            <w:r w:rsidRPr="002F5199">
              <w:rPr>
                <w:b/>
                <w:bCs/>
                <w:i/>
                <w:iCs/>
                <w:lang w:val="en-US"/>
              </w:rPr>
              <w:t>Note</w:t>
            </w:r>
            <w:r w:rsidRPr="002F5199">
              <w:rPr>
                <w:lang w:val="en-US"/>
              </w:rPr>
              <w:t xml:space="preserve">: </w:t>
            </w:r>
            <w:r w:rsidRPr="002F5199">
              <w:rPr>
                <w:i/>
                <w:iCs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4023CB" w:rsidRDefault="004023CB" w:rsidP="004023CB">
      <w:pPr>
        <w:spacing w:before="0"/>
        <w:jc w:val="center"/>
        <w:rPr>
          <w:sz w:val="22"/>
          <w:lang w:val="en-US"/>
        </w:rPr>
      </w:pPr>
    </w:p>
    <w:p w:rsidR="004023CB" w:rsidRDefault="004023CB" w:rsidP="004023CB">
      <w:pPr>
        <w:spacing w:before="0"/>
        <w:jc w:val="center"/>
        <w:rPr>
          <w:sz w:val="22"/>
          <w:lang w:val="en-US"/>
        </w:rPr>
      </w:pPr>
    </w:p>
    <w:p w:rsidR="004023CB" w:rsidRPr="002F5199" w:rsidRDefault="004023CB" w:rsidP="004023CB">
      <w:pPr>
        <w:spacing w:before="0"/>
        <w:jc w:val="right"/>
        <w:rPr>
          <w:i/>
          <w:iCs/>
          <w:lang w:val="en-US"/>
        </w:rPr>
      </w:pPr>
      <w:r w:rsidRPr="002F5199">
        <w:rPr>
          <w:i/>
          <w:iCs/>
          <w:lang w:val="en-US"/>
        </w:rPr>
        <w:t>Electronic Publication</w:t>
      </w:r>
    </w:p>
    <w:p w:rsidR="004023CB" w:rsidRPr="002F5199" w:rsidRDefault="004023CB" w:rsidP="004023CB">
      <w:pPr>
        <w:spacing w:before="0"/>
        <w:jc w:val="right"/>
        <w:rPr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lang w:val="en-US"/>
            </w:rPr>
            <w:t>Geneva</w:t>
          </w:r>
        </w:smartTag>
      </w:smartTag>
      <w:r w:rsidRPr="002F5199">
        <w:rPr>
          <w:lang w:val="en-US"/>
        </w:rPr>
        <w:t>, 20</w:t>
      </w:r>
      <w:r w:rsidR="00D21F30">
        <w:rPr>
          <w:lang w:val="en-US"/>
        </w:rPr>
        <w:t>18</w:t>
      </w:r>
    </w:p>
    <w:p w:rsidR="004023CB" w:rsidRDefault="004023CB" w:rsidP="004023CB">
      <w:pPr>
        <w:jc w:val="center"/>
        <w:rPr>
          <w:sz w:val="22"/>
          <w:lang w:val="en-US"/>
        </w:rPr>
      </w:pPr>
    </w:p>
    <w:p w:rsidR="004023CB" w:rsidRPr="00470E28" w:rsidRDefault="004023CB" w:rsidP="004023CB">
      <w:pPr>
        <w:jc w:val="center"/>
        <w:rPr>
          <w:lang w:val="en-US"/>
        </w:rPr>
      </w:pPr>
      <w:r w:rsidRPr="00470E28">
        <w:rPr>
          <w:lang w:val="en-US"/>
        </w:rPr>
        <w:sym w:font="Symbol" w:char="F0E3"/>
      </w:r>
      <w:r w:rsidRPr="00470E28">
        <w:rPr>
          <w:lang w:val="en-US"/>
        </w:rPr>
        <w:t xml:space="preserve"> ITU </w:t>
      </w:r>
      <w:bookmarkStart w:id="2" w:name="iiannee"/>
      <w:bookmarkEnd w:id="2"/>
      <w:r w:rsidRPr="00470E28">
        <w:rPr>
          <w:lang w:val="en-US"/>
        </w:rPr>
        <w:t>20</w:t>
      </w:r>
      <w:r w:rsidR="00D21F30">
        <w:rPr>
          <w:lang w:val="en-US"/>
        </w:rPr>
        <w:t>18</w:t>
      </w:r>
    </w:p>
    <w:p w:rsidR="004023CB" w:rsidRPr="00470E28" w:rsidRDefault="004023CB" w:rsidP="004023CB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4023CB" w:rsidRDefault="004023CB" w:rsidP="004023CB">
      <w:pPr>
        <w:spacing w:before="160"/>
        <w:rPr>
          <w:i/>
          <w:lang w:val="en-US"/>
        </w:rPr>
        <w:sectPr w:rsidR="004023CB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1428A" w:rsidRDefault="004023CB" w:rsidP="00062C18">
      <w:pPr>
        <w:pStyle w:val="Rec"/>
        <w:spacing w:before="240"/>
      </w:pPr>
      <w:r>
        <w:lastRenderedPageBreak/>
        <w:t xml:space="preserve">RECOMMENDATION  </w:t>
      </w:r>
      <w:r w:rsidR="009D57A0">
        <w:t>ITU-R  SM.</w:t>
      </w:r>
      <w:r>
        <w:t>852</w:t>
      </w:r>
      <w:r w:rsidR="00D21F30">
        <w:t>-0</w:t>
      </w:r>
      <w:r w:rsidR="009D57A0">
        <w:rPr>
          <w:rStyle w:val="FootnoteReference"/>
        </w:rPr>
        <w:footnoteReference w:customMarkFollows="1" w:id="1"/>
        <w:t>*</w:t>
      </w:r>
    </w:p>
    <w:p w:rsidR="00D1428A" w:rsidRDefault="004023CB">
      <w:pPr>
        <w:pStyle w:val="RecTitle"/>
      </w:pPr>
      <w:r>
        <w:t>SENSITIVITY  OF  RADIO  RECEIVERS  FOR</w:t>
      </w:r>
      <w:r>
        <w:br/>
        <w:t>CLASS  OF  EMISSIONS  F3E</w:t>
      </w:r>
    </w:p>
    <w:p w:rsidR="00D1428A" w:rsidRPr="00D21F30" w:rsidRDefault="004023CB">
      <w:pPr>
        <w:pStyle w:val="RecTitleDate"/>
        <w:rPr>
          <w:lang w:val="fr-CH"/>
        </w:rPr>
      </w:pPr>
      <w:r w:rsidRPr="00D21F30">
        <w:rPr>
          <w:lang w:val="fr-CH"/>
        </w:rPr>
        <w:t>(1992)</w:t>
      </w:r>
    </w:p>
    <w:p w:rsidR="00D1428A" w:rsidRPr="00D21F30" w:rsidRDefault="004023CB">
      <w:pPr>
        <w:pStyle w:val="headfoot"/>
        <w:rPr>
          <w:color w:val="FFFFFF" w:themeColor="background1"/>
          <w:lang w:val="fr-CH"/>
        </w:rPr>
      </w:pPr>
      <w:r w:rsidRPr="00D21F30">
        <w:rPr>
          <w:color w:val="FFFFFF" w:themeColor="background1"/>
          <w:lang w:val="fr-CH"/>
        </w:rPr>
        <w:t xml:space="preserve">Rec. </w:t>
      </w:r>
      <w:r w:rsidR="009D57A0" w:rsidRPr="00D21F30">
        <w:rPr>
          <w:color w:val="FFFFFF" w:themeColor="background1"/>
          <w:lang w:val="fr-CH"/>
        </w:rPr>
        <w:t xml:space="preserve"> ITU-R  SM.</w:t>
      </w:r>
      <w:r w:rsidRPr="00D21F30">
        <w:rPr>
          <w:color w:val="FFFFFF" w:themeColor="background1"/>
          <w:lang w:val="fr-CH"/>
        </w:rPr>
        <w:t>852</w:t>
      </w:r>
    </w:p>
    <w:p w:rsidR="00335753" w:rsidRPr="00335753" w:rsidRDefault="00335753" w:rsidP="00335753">
      <w:pPr>
        <w:pStyle w:val="Headingb"/>
        <w:rPr>
          <w:sz w:val="22"/>
          <w:szCs w:val="22"/>
          <w:lang w:val="en-GB"/>
        </w:rPr>
      </w:pPr>
      <w:r w:rsidRPr="00335753">
        <w:rPr>
          <w:sz w:val="22"/>
          <w:szCs w:val="22"/>
          <w:lang w:val="en-GB"/>
        </w:rPr>
        <w:t>Scope</w:t>
      </w:r>
    </w:p>
    <w:p w:rsidR="00335753" w:rsidRPr="00F52A66" w:rsidRDefault="00335753" w:rsidP="00335753">
      <w:pPr>
        <w:spacing w:after="480"/>
      </w:pPr>
      <w:r w:rsidRPr="00F52A66">
        <w:t xml:space="preserve">This Recommendation provides the method to measure the sensitivity of receivers for class of emission F3E. </w:t>
      </w:r>
    </w:p>
    <w:p w:rsidR="00335753" w:rsidRPr="00335753" w:rsidRDefault="00335753" w:rsidP="00335753">
      <w:pPr>
        <w:pStyle w:val="Headingb"/>
        <w:spacing w:before="240"/>
        <w:rPr>
          <w:rFonts w:eastAsia="Batang"/>
          <w:sz w:val="22"/>
          <w:szCs w:val="22"/>
          <w:lang w:val="en-GB"/>
        </w:rPr>
      </w:pPr>
      <w:r w:rsidRPr="00335753">
        <w:rPr>
          <w:rFonts w:eastAsia="Batang"/>
          <w:sz w:val="22"/>
          <w:szCs w:val="22"/>
          <w:lang w:val="en-GB"/>
        </w:rPr>
        <w:t>Keywords</w:t>
      </w:r>
    </w:p>
    <w:p w:rsidR="00335753" w:rsidRPr="00F52A66" w:rsidRDefault="00335753" w:rsidP="00335753">
      <w:pPr>
        <w:rPr>
          <w:rFonts w:eastAsia="Batang"/>
        </w:rPr>
      </w:pPr>
      <w:r w:rsidRPr="00F52A66">
        <w:rPr>
          <w:rFonts w:eastAsia="Batang"/>
        </w:rPr>
        <w:t>Sensitivity, receiver, emission, F3E</w:t>
      </w:r>
    </w:p>
    <w:p w:rsidR="00D1428A" w:rsidRPr="00D21F30" w:rsidRDefault="00D1428A">
      <w:pPr>
        <w:rPr>
          <w:lang w:val="fr-CH"/>
        </w:rPr>
      </w:pPr>
    </w:p>
    <w:p w:rsidR="00D1428A" w:rsidRDefault="004023CB" w:rsidP="009D57A0">
      <w:pPr>
        <w:pStyle w:val="CCI"/>
      </w:pPr>
      <w:r>
        <w:t xml:space="preserve">The </w:t>
      </w:r>
      <w:r w:rsidR="009D57A0">
        <w:t>ITU Radiocommunication Assembly</w:t>
      </w:r>
      <w:r>
        <w:t>,</w:t>
      </w:r>
    </w:p>
    <w:p w:rsidR="00D1428A" w:rsidRDefault="004023CB">
      <w:pPr>
        <w:pStyle w:val="call"/>
      </w:pPr>
      <w:r>
        <w:t>considering</w:t>
      </w:r>
    </w:p>
    <w:p w:rsidR="00D1428A" w:rsidRDefault="004023CB">
      <w:r>
        <w:t>a)</w:t>
      </w:r>
      <w:r>
        <w:tab/>
        <w:t>that knowledge of the performance in terms of sensitivity and selectivity of a receiver is required, both in system planning and operation;</w:t>
      </w:r>
    </w:p>
    <w:p w:rsidR="00D1428A" w:rsidRDefault="004023CB">
      <w:r>
        <w:t>b)</w:t>
      </w:r>
      <w:r>
        <w:tab/>
        <w:t>that it would be important to have a single system performance measure; and</w:t>
      </w:r>
    </w:p>
    <w:p w:rsidR="00D1428A" w:rsidRDefault="004023CB">
      <w:r>
        <w:t>c)</w:t>
      </w:r>
      <w:r>
        <w:tab/>
        <w:t>that the method used to obtain the reference output for sensitivity and selectivity of a receiver is:</w:t>
      </w:r>
    </w:p>
    <w:p w:rsidR="00D1428A" w:rsidRDefault="004023CB">
      <w:pPr>
        <w:pStyle w:val="enumlev1"/>
      </w:pPr>
      <w:r>
        <w:t>–</w:t>
      </w:r>
      <w:r>
        <w:tab/>
        <w:t xml:space="preserve">the “SINAD method”, which uses the ratio (Signal </w:t>
      </w:r>
      <w:r>
        <w:rPr>
          <w:rFonts w:ascii="Symbol" w:hAnsi="Symbol"/>
        </w:rPr>
        <w:t></w:t>
      </w:r>
      <w:r>
        <w:t xml:space="preserve"> Noise </w:t>
      </w:r>
      <w:r>
        <w:rPr>
          <w:rFonts w:ascii="Symbol" w:hAnsi="Symbol"/>
        </w:rPr>
        <w:t></w:t>
      </w:r>
      <w:r>
        <w:t xml:space="preserve"> Distortion)/(Noise </w:t>
      </w:r>
      <w:r>
        <w:rPr>
          <w:rFonts w:ascii="Symbol" w:hAnsi="Symbol"/>
        </w:rPr>
        <w:t></w:t>
      </w:r>
      <w:r>
        <w:t xml:space="preserve"> Distortion) (</w:t>
      </w:r>
      <w:r>
        <w:rPr>
          <w:i/>
        </w:rPr>
        <w:t>SND/ND</w:t>
      </w:r>
      <w:r>
        <w:t>) as a reference magnitude of receiver performance. The value of both the numerator (</w:t>
      </w:r>
      <w:r>
        <w:rPr>
          <w:i/>
        </w:rPr>
        <w:t>SND</w:t>
      </w:r>
      <w:r>
        <w:t>) and the denominator (</w:t>
      </w:r>
      <w:r>
        <w:rPr>
          <w:i/>
        </w:rPr>
        <w:t>ND)</w:t>
      </w:r>
      <w:r>
        <w:t xml:space="preserve"> is determined in the presence of modulation. The desired signal (</w:t>
      </w:r>
      <w:r>
        <w:rPr>
          <w:i/>
        </w:rPr>
        <w:t>S</w:t>
      </w:r>
      <w:r>
        <w:t>) is removed in the denominator by means of a distortion analyzer notch filter,</w:t>
      </w:r>
    </w:p>
    <w:p w:rsidR="00D1428A" w:rsidRDefault="004023CB">
      <w:pPr>
        <w:pStyle w:val="call"/>
      </w:pPr>
      <w:r>
        <w:t>recommends</w:t>
      </w:r>
    </w:p>
    <w:p w:rsidR="00D1428A" w:rsidRDefault="004023CB" w:rsidP="009D57A0">
      <w:r>
        <w:rPr>
          <w:b/>
        </w:rPr>
        <w:t>1.</w:t>
      </w:r>
      <w:r>
        <w:tab/>
        <w:t xml:space="preserve">that the SINAD method given in </w:t>
      </w:r>
      <w:r w:rsidR="009D57A0" w:rsidRPr="009D57A0">
        <w:rPr>
          <w:i/>
          <w:iCs/>
        </w:rPr>
        <w:t>considering</w:t>
      </w:r>
      <w:r w:rsidR="009D57A0">
        <w:t xml:space="preserve"> </w:t>
      </w:r>
      <w:r>
        <w:t>c) should be used to measure the sensitivity of receivers for class of emission F3E for use in the land and maritime mobile services;</w:t>
      </w:r>
    </w:p>
    <w:p w:rsidR="00D1428A" w:rsidRDefault="004023CB">
      <w:r>
        <w:rPr>
          <w:b/>
        </w:rPr>
        <w:t>2.</w:t>
      </w:r>
      <w:r>
        <w:tab/>
        <w:t>that the sensitivity of the receivers should be the input signal level that gives:</w:t>
      </w:r>
    </w:p>
    <w:p w:rsidR="00D1428A" w:rsidRDefault="004023CB">
      <w:pPr>
        <w:jc w:val="center"/>
      </w:pPr>
      <w:r>
        <w:rPr>
          <w:i/>
        </w:rPr>
        <w:t>SND/ND</w:t>
      </w:r>
      <w:r>
        <w:t xml:space="preserve"> (or SINAD) </w:t>
      </w:r>
      <w:r>
        <w:rPr>
          <w:rFonts w:ascii="Symbol" w:hAnsi="Symbol"/>
        </w:rPr>
        <w:t></w:t>
      </w:r>
      <w:r>
        <w:t xml:space="preserve"> 12 dB</w:t>
      </w:r>
    </w:p>
    <w:p w:rsidR="00D1428A" w:rsidRDefault="004023CB">
      <w:r>
        <w:t>measured in the presence of modulation with a test signal rejection filter.</w:t>
      </w:r>
    </w:p>
    <w:p w:rsidR="00D1428A" w:rsidRDefault="00D1428A"/>
    <w:p w:rsidR="004023CB" w:rsidRDefault="004023CB"/>
    <w:p w:rsidR="004023CB" w:rsidRDefault="004023CB"/>
    <w:p w:rsidR="00D1428A" w:rsidRDefault="00D1428A">
      <w:pPr>
        <w:pStyle w:val="Line"/>
      </w:pPr>
    </w:p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sectPr w:rsidR="00D1428A" w:rsidSect="00062C18">
      <w:headerReference w:type="even" r:id="rId13"/>
      <w:headerReference w:type="default" r:id="rId14"/>
      <w:pgSz w:w="11907" w:h="16834"/>
      <w:pgMar w:top="1088" w:right="1088" w:bottom="1088" w:left="1088" w:header="720" w:footer="720" w:gutter="0"/>
      <w:pgNumType w:start="1"/>
      <w:cols w:space="720"/>
      <w:vAlign w:val="both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28A" w:rsidRDefault="004023CB">
      <w:pPr>
        <w:spacing w:before="0"/>
      </w:pPr>
      <w:r>
        <w:separator/>
      </w:r>
    </w:p>
  </w:endnote>
  <w:endnote w:type="continuationSeparator" w:id="0">
    <w:p w:rsidR="00D1428A" w:rsidRDefault="004023C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28A" w:rsidRDefault="004023CB">
      <w:r>
        <w:rPr>
          <w:b/>
        </w:rPr>
        <w:t>_______________</w:t>
      </w:r>
    </w:p>
  </w:footnote>
  <w:footnote w:type="continuationSeparator" w:id="0">
    <w:p w:rsidR="00D1428A" w:rsidRDefault="004023CB">
      <w:pPr>
        <w:spacing w:before="0"/>
      </w:pPr>
      <w:r>
        <w:continuationSeparator/>
      </w:r>
    </w:p>
  </w:footnote>
  <w:footnote w:id="1">
    <w:p w:rsidR="009D57A0" w:rsidRPr="009D57A0" w:rsidRDefault="009D57A0" w:rsidP="00335753">
      <w:pPr>
        <w:pStyle w:val="FootnoteText"/>
        <w:ind w:left="313" w:hanging="313"/>
        <w:rPr>
          <w:lang w:val="en-US"/>
        </w:rPr>
      </w:pPr>
      <w:r>
        <w:rPr>
          <w:rStyle w:val="FootnoteReference"/>
        </w:rPr>
        <w:t>*</w:t>
      </w:r>
      <w:r>
        <w:tab/>
      </w:r>
      <w:r w:rsidR="00335753">
        <w:t>Radiocommunication Study Group 1 made editorial amendments to this Recommendation in the years 2018 and 2019 in accordance with Resolution ITU-R 1.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 w:rsidP="00B033C8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F958742" wp14:editId="3672D40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 w:rsidP="004023CB">
    <w:pPr>
      <w:pStyle w:val="Header"/>
      <w:jc w:val="left"/>
      <w:rPr>
        <w:lang w:val="en-US"/>
      </w:rPr>
    </w:pPr>
    <w:r w:rsidRPr="004023CB">
      <w:rPr>
        <w:rStyle w:val="PageNumber"/>
      </w:rPr>
      <w:fldChar w:fldCharType="begin"/>
    </w:r>
    <w:r w:rsidRPr="004023CB">
      <w:rPr>
        <w:rStyle w:val="PageNumber"/>
        <w:lang w:val="en-US"/>
      </w:rPr>
      <w:instrText xml:space="preserve"> PAGE </w:instrText>
    </w:r>
    <w:r w:rsidRPr="004023CB">
      <w:rPr>
        <w:rStyle w:val="PageNumber"/>
      </w:rPr>
      <w:fldChar w:fldCharType="separate"/>
    </w:r>
    <w:r w:rsidR="007E4CE9">
      <w:rPr>
        <w:rStyle w:val="PageNumber"/>
        <w:noProof/>
        <w:lang w:val="en-US"/>
      </w:rPr>
      <w:t>ii</w:t>
    </w:r>
    <w:r w:rsidRPr="004023CB">
      <w:rPr>
        <w:rStyle w:val="PageNumber"/>
      </w:rPr>
      <w:fldChar w:fldCharType="end"/>
    </w:r>
    <w:r>
      <w:rPr>
        <w:lang w:val="en-US"/>
      </w:rPr>
      <w:tab/>
    </w:r>
    <w:r>
      <w:fldChar w:fldCharType="begin"/>
    </w:r>
    <w:r>
      <w:instrText>styleref head_foot</w:instrText>
    </w:r>
    <w:r>
      <w:fldChar w:fldCharType="separate"/>
    </w:r>
    <w:r w:rsidR="007E4CE9">
      <w:rPr>
        <w:noProof/>
      </w:rPr>
      <w:t>Rec.  ITU-R  SM.852</w:t>
    </w:r>
    <w:r>
      <w:fldChar w:fldCharType="end"/>
    </w:r>
    <w:r w:rsidR="00062C18">
      <w:t>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A34D91">
      <w:rPr>
        <w:b w:val="0"/>
        <w:bCs w:val="0"/>
        <w:lang w:val="en-US"/>
      </w:rPr>
      <w:t>Error! Unknown document property name.</w:t>
    </w:r>
    <w:r>
      <w:rPr>
        <w:b w:val="0"/>
        <w:bCs w:val="0"/>
      </w:rPr>
      <w:fldChar w:fldCharType="end"/>
    </w:r>
    <w:r>
      <w:rPr>
        <w:b w:val="0"/>
        <w:bCs w:val="0"/>
      </w:rPr>
      <w:t xml:space="preserve"> </w:t>
    </w:r>
    <w:r>
      <w:rPr>
        <w:b w:val="0"/>
        <w:bCs w:val="0"/>
      </w:rPr>
      <w:fldChar w:fldCharType="begin"/>
    </w:r>
    <w:r>
      <w:rPr>
        <w:b w:val="0"/>
        <w:bCs w:val="0"/>
      </w:rPr>
      <w:instrText>styleref href</w:instrText>
    </w:r>
    <w:r>
      <w:rPr>
        <w:b w:val="0"/>
        <w:bCs w:val="0"/>
      </w:rPr>
      <w:fldChar w:fldCharType="separate"/>
    </w:r>
    <w:r w:rsidR="00A34D91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  <w:b w:val="0"/>
        <w:bCs w:val="0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>
      <w:rPr>
        <w:rStyle w:val="PageNumber"/>
        <w:b w:val="0"/>
        <w:bCs w:val="0"/>
        <w:noProof/>
      </w:rPr>
      <w:t>1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28A" w:rsidRDefault="004023CB">
    <w:pPr>
      <w:pStyle w:val="Header"/>
    </w:pPr>
    <w:r>
      <w:t>1</w:t>
    </w:r>
    <w:r>
      <w:rPr>
        <w:b w:val="0"/>
      </w:rPr>
      <w:tab/>
    </w:r>
    <w:r>
      <w:fldChar w:fldCharType="begin"/>
    </w:r>
    <w:r>
      <w:instrText>styleref head_foot</w:instrText>
    </w:r>
    <w:r>
      <w:fldChar w:fldCharType="separate"/>
    </w:r>
    <w:r w:rsidR="007E4CE9">
      <w:rPr>
        <w:noProof/>
      </w:rPr>
      <w:t>Rec.  ITU-R  SM.852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28A" w:rsidRDefault="004023CB">
    <w:pPr>
      <w:pStyle w:val="Header"/>
      <w:rPr>
        <w:sz w:val="24"/>
      </w:rPr>
    </w:pPr>
    <w:r>
      <w:tab/>
    </w:r>
    <w:r>
      <w:fldChar w:fldCharType="begin"/>
    </w:r>
    <w:r>
      <w:instrText>styleref head_foot</w:instrText>
    </w:r>
    <w:r>
      <w:fldChar w:fldCharType="separate"/>
    </w:r>
    <w:r w:rsidR="007E4CE9">
      <w:rPr>
        <w:noProof/>
      </w:rPr>
      <w:t>Rec.  ITU-R  SM.852</w:t>
    </w:r>
    <w:r>
      <w:fldChar w:fldCharType="end"/>
    </w:r>
    <w:r w:rsidR="00D21F30">
      <w:t>-0</w:t>
    </w:r>
    <w:r>
      <w:tab/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FractionalCharacterWidth/>
  <w:hideSpellingErrors/>
  <w:hideGrammaticalErrors/>
  <w:attachedTemplate r:id="rId1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A0"/>
    <w:rsid w:val="00062C18"/>
    <w:rsid w:val="00335753"/>
    <w:rsid w:val="004023CB"/>
    <w:rsid w:val="00736241"/>
    <w:rsid w:val="007E4CE9"/>
    <w:rsid w:val="009D57A0"/>
    <w:rsid w:val="00A34D91"/>
    <w:rsid w:val="00D1428A"/>
    <w:rsid w:val="00D2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545C730B-577C-40A6-99D4-8812D58C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spacing w:before="200"/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  <w:semiHidden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semiHidden/>
    <w:pPr>
      <w:ind w:left="600"/>
    </w:pPr>
  </w:style>
  <w:style w:type="paragraph" w:customStyle="1" w:styleId="Line1">
    <w:name w:val="Line_1"/>
    <w:basedOn w:val="Normal"/>
    <w:next w:val="Normal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20"/>
      <w:jc w:val="left"/>
    </w:pPr>
    <w:rPr>
      <w:noProof/>
    </w:rPr>
  </w:style>
  <w:style w:type="character" w:styleId="PageNumber">
    <w:name w:val="page number"/>
    <w:basedOn w:val="DefaultParagraphFont"/>
    <w:rsid w:val="004023CB"/>
  </w:style>
  <w:style w:type="paragraph" w:customStyle="1" w:styleId="Tablehead">
    <w:name w:val="Table_head"/>
    <w:basedOn w:val="Normal"/>
    <w:next w:val="Normal"/>
    <w:rsid w:val="004023C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  <w:ind w:left="-85" w:right="-85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Text">
    <w:name w:val="Table_Text"/>
    <w:basedOn w:val="TableLegend"/>
    <w:pPr>
      <w:spacing w:before="100" w:after="100" w:line="190" w:lineRule="exact"/>
      <w:ind w:left="0" w:right="0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567" w:hanging="567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</w:r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Date">
    <w:name w:val="Rep_Title/Date"/>
    <w:basedOn w:val="RecTitleDate"/>
    <w:next w:val="headfoot"/>
  </w:style>
  <w:style w:type="paragraph" w:customStyle="1" w:styleId="RepTitleRef">
    <w:name w:val="Rep_Title/Ref"/>
    <w:basedOn w:val="RecTitleRef"/>
    <w:next w:val="RepTitleDate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Date">
    <w:name w:val="Question_Title/Date"/>
    <w:basedOn w:val="RecTitleDate"/>
    <w:next w:val="headfoot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Date">
    <w:name w:val="Res_Title/Date"/>
    <w:basedOn w:val="RecTitleDate"/>
    <w:next w:val="headfoot"/>
  </w:style>
  <w:style w:type="paragraph" w:customStyle="1" w:styleId="ResTitleRef">
    <w:name w:val="Res_Title/Ref"/>
    <w:basedOn w:val="RecTitleRef"/>
    <w:next w:val="ResTitleDate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Title2">
    <w:name w:val="Title 2"/>
    <w:basedOn w:val="Normal"/>
    <w:next w:val="Title3"/>
    <w:pPr>
      <w:tabs>
        <w:tab w:val="clear" w:pos="794"/>
        <w:tab w:val="clear" w:pos="1191"/>
        <w:tab w:val="clear" w:pos="1588"/>
        <w:tab w:val="clear" w:pos="1985"/>
      </w:tabs>
      <w:spacing w:before="0" w:after="240"/>
      <w:jc w:val="center"/>
    </w:pPr>
    <w:rPr>
      <w:rFonts w:ascii="Helvetica" w:hAnsi="Helvetica"/>
      <w:sz w:val="22"/>
      <w:szCs w:val="22"/>
    </w:rPr>
  </w:style>
  <w:style w:type="paragraph" w:customStyle="1" w:styleId="Title3">
    <w:name w:val="Title 3"/>
    <w:basedOn w:val="Title2"/>
    <w:next w:val="Heading1"/>
    <w:pPr>
      <w:spacing w:after="480"/>
    </w:pPr>
  </w:style>
  <w:style w:type="paragraph" w:customStyle="1" w:styleId="Head">
    <w:name w:val="Head"/>
    <w:basedOn w:val="Normal"/>
    <w:pPr>
      <w:tabs>
        <w:tab w:val="clear" w:pos="794"/>
        <w:tab w:val="clear" w:pos="1191"/>
        <w:tab w:val="clear" w:pos="1588"/>
        <w:tab w:val="clear" w:pos="1985"/>
        <w:tab w:val="center" w:pos="1702"/>
        <w:tab w:val="left" w:pos="6804"/>
      </w:tabs>
      <w:spacing w:before="0"/>
      <w:jc w:val="left"/>
    </w:pPr>
    <w:rPr>
      <w:rFonts w:ascii="Helvetica" w:hAnsi="Helvetica"/>
      <w:sz w:val="22"/>
      <w:szCs w:val="22"/>
    </w:rPr>
  </w:style>
  <w:style w:type="paragraph" w:customStyle="1" w:styleId="RecTitle0">
    <w:name w:val="Rec Title"/>
    <w:basedOn w:val="Normal"/>
    <w:next w:val="Heading1"/>
    <w:pPr>
      <w:keepNext/>
      <w:keepLines/>
      <w:spacing w:before="240"/>
      <w:jc w:val="center"/>
    </w:pPr>
    <w:rPr>
      <w:rFonts w:ascii="Helvetica" w:hAnsi="Helvetica"/>
      <w:b/>
      <w:bCs/>
      <w:sz w:val="22"/>
      <w:szCs w:val="22"/>
    </w:rPr>
  </w:style>
  <w:style w:type="paragraph" w:customStyle="1" w:styleId="toc0">
    <w:name w:val="toc 0"/>
    <w:basedOn w:val="Normal"/>
    <w:next w:val="TOC1"/>
    <w:pPr>
      <w:keepNext/>
      <w:tabs>
        <w:tab w:val="clear" w:pos="794"/>
        <w:tab w:val="clear" w:pos="1191"/>
        <w:tab w:val="clear" w:pos="1588"/>
        <w:tab w:val="clear" w:pos="1985"/>
        <w:tab w:val="right" w:pos="9866"/>
      </w:tabs>
      <w:jc w:val="left"/>
    </w:pPr>
    <w:rPr>
      <w:rFonts w:ascii="Helvetica" w:hAnsi="Helvetica"/>
      <w:sz w:val="22"/>
      <w:szCs w:val="22"/>
      <w:u w:val="words"/>
    </w:rPr>
  </w:style>
  <w:style w:type="paragraph" w:customStyle="1" w:styleId="Infodoc">
    <w:name w:val="Infodoc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021"/>
      </w:tabs>
      <w:spacing w:before="0"/>
      <w:ind w:left="1021" w:hanging="1021"/>
      <w:jc w:val="left"/>
    </w:pPr>
    <w:rPr>
      <w:rFonts w:ascii="Helvetica" w:hAnsi="Helvetica"/>
      <w:sz w:val="22"/>
      <w:szCs w:val="22"/>
    </w:rPr>
  </w:style>
  <w:style w:type="paragraph" w:customStyle="1" w:styleId="styles">
    <w:name w:val="styles"/>
    <w:basedOn w:val="Normal"/>
    <w:pPr>
      <w:spacing w:before="284"/>
      <w:ind w:left="-567"/>
      <w:jc w:val="left"/>
    </w:pPr>
    <w:rPr>
      <w:rFonts w:ascii="Helvetica" w:hAnsi="Helvetica"/>
      <w:b/>
      <w:bCs/>
      <w:sz w:val="22"/>
      <w:szCs w:val="22"/>
      <w:u w:val="single"/>
    </w:r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left" w:pos="6521"/>
      </w:tabs>
      <w:ind w:left="794"/>
      <w:jc w:val="left"/>
    </w:pPr>
    <w:rPr>
      <w:rFonts w:ascii="Helvetica" w:hAnsi="Helvetica"/>
      <w:sz w:val="22"/>
      <w:szCs w:val="22"/>
    </w:rPr>
  </w:style>
  <w:style w:type="paragraph" w:customStyle="1" w:styleId="prec">
    <w:name w:val="prec"/>
    <w:basedOn w:val="Normal"/>
    <w:pPr>
      <w:framePr w:w="567" w:hSpace="113" w:vSpace="113" w:wrap="auto" w:hAnchor="page"/>
      <w:tabs>
        <w:tab w:val="clear" w:pos="794"/>
        <w:tab w:val="clear" w:pos="1191"/>
        <w:tab w:val="clear" w:pos="1588"/>
        <w:tab w:val="clear" w:pos="1985"/>
      </w:tabs>
      <w:jc w:val="left"/>
    </w:pPr>
    <w:rPr>
      <w:rFonts w:ascii="Helvetica" w:hAnsi="Helvetica"/>
      <w:smallCaps/>
      <w:sz w:val="16"/>
      <w:szCs w:val="16"/>
    </w:rPr>
  </w:style>
  <w:style w:type="paragraph" w:customStyle="1" w:styleId="Title1">
    <w:name w:val="Title 1"/>
    <w:basedOn w:val="Normal"/>
    <w:next w:val="Title2"/>
    <w:pPr>
      <w:tabs>
        <w:tab w:val="clear" w:pos="794"/>
        <w:tab w:val="clear" w:pos="1191"/>
        <w:tab w:val="clear" w:pos="1588"/>
        <w:tab w:val="clear" w:pos="1985"/>
      </w:tabs>
      <w:spacing w:before="480" w:after="240"/>
      <w:jc w:val="center"/>
    </w:pPr>
    <w:rPr>
      <w:rFonts w:ascii="Helvetica" w:hAnsi="Helvetica"/>
      <w:sz w:val="22"/>
      <w:szCs w:val="22"/>
      <w:u w:val="single"/>
    </w:rPr>
  </w:style>
  <w:style w:type="paragraph" w:customStyle="1" w:styleId="Subject">
    <w:name w:val="Subject"/>
    <w:basedOn w:val="Normal"/>
    <w:next w:val="Title1"/>
    <w:pPr>
      <w:tabs>
        <w:tab w:val="clear" w:pos="794"/>
        <w:tab w:val="clear" w:pos="1191"/>
        <w:tab w:val="clear" w:pos="1588"/>
        <w:tab w:val="clear" w:pos="1985"/>
        <w:tab w:val="left" w:pos="823"/>
      </w:tabs>
      <w:spacing w:before="0"/>
      <w:jc w:val="left"/>
    </w:pPr>
    <w:rPr>
      <w:rFonts w:ascii="Helvetica" w:hAnsi="Helvetica"/>
      <w:sz w:val="22"/>
      <w:szCs w:val="22"/>
    </w:rPr>
  </w:style>
  <w:style w:type="paragraph" w:customStyle="1" w:styleId="Object">
    <w:name w:val="Object"/>
    <w:basedOn w:val="Subject"/>
    <w:next w:val="Subject"/>
  </w:style>
  <w:style w:type="paragraph" w:customStyle="1" w:styleId="Data">
    <w:name w:val="Data"/>
    <w:basedOn w:val="Subject"/>
    <w:next w:val="Subject"/>
  </w:style>
  <w:style w:type="paragraph" w:customStyle="1" w:styleId="Tabletext0">
    <w:name w:val="Table_text"/>
    <w:basedOn w:val="Normal"/>
    <w:rsid w:val="004023C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4023CB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basedOn w:val="DefaultParagraphFont"/>
    <w:rsid w:val="004023CB"/>
    <w:rPr>
      <w:color w:val="0000FF"/>
      <w:u w:val="single"/>
    </w:rPr>
  </w:style>
  <w:style w:type="paragraph" w:customStyle="1" w:styleId="Headingb">
    <w:name w:val="Heading_b"/>
    <w:basedOn w:val="Normal"/>
    <w:next w:val="Normal"/>
    <w:qFormat/>
    <w:rsid w:val="00335753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60"/>
      <w:jc w:val="left"/>
    </w:pPr>
    <w:rPr>
      <w:rFonts w:ascii="Times New Roman Bold" w:hAnsi="Times New Roman Bold" w:cs="Times New Roman Bold"/>
      <w:b/>
      <w:sz w:val="24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272A6-5756-4F15-8BE4-B3064938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7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SM.852 - Sensitivity of radio receivers for class of emissions f3e</vt:lpstr>
    </vt:vector>
  </TitlesOfParts>
  <Manager>PV..1677</Manager>
  <Company>ITU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SM.852 - Sensitivity of radio receivers for class of emissions f3e</dc:title>
  <dc:subject>SM Series = Spectrum management</dc:subject>
  <dc:creator>ITU Radiocommunication Bureau (BR)</dc:creator>
  <cp:keywords>SM, 852</cp:keywords>
  <dc:description>Formatage BR:  8.8.95/RM_x000d_
WW2/WW7                  17.11.97     / PV</dc:description>
  <cp:lastModifiedBy>Gachet, Christelle</cp:lastModifiedBy>
  <cp:revision>9</cp:revision>
  <cp:lastPrinted>2019-09-13T08:41:00Z</cp:lastPrinted>
  <dcterms:created xsi:type="dcterms:W3CDTF">2011-06-27T10:47:00Z</dcterms:created>
  <dcterms:modified xsi:type="dcterms:W3CDTF">2019-09-13T08:50:00Z</dcterms:modified>
  <cp:category>\\WW7//     Folios:      1    à     1</cp:category>
</cp:coreProperties>
</file>